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03C7" w14:textId="77777777" w:rsidR="009B1A49" w:rsidRPr="009B1A49" w:rsidRDefault="009B1A49" w:rsidP="009B1A49">
      <w:pPr>
        <w:widowControl w:val="0"/>
        <w:autoSpaceDE w:val="0"/>
        <w:autoSpaceDN w:val="0"/>
        <w:adjustRightInd w:val="0"/>
        <w:spacing w:after="240"/>
        <w:jc w:val="both"/>
        <w:rPr>
          <w:rFonts w:asciiTheme="majorHAnsi" w:hAnsiTheme="majorHAnsi" w:cs="Times"/>
          <w:b/>
          <w:sz w:val="28"/>
          <w:szCs w:val="28"/>
          <w:lang w:val="en-US"/>
        </w:rPr>
      </w:pPr>
      <w:r w:rsidRPr="009B1A49">
        <w:rPr>
          <w:rFonts w:asciiTheme="majorHAnsi" w:hAnsiTheme="majorHAnsi" w:cs="Times"/>
          <w:b/>
          <w:sz w:val="28"/>
          <w:szCs w:val="28"/>
          <w:lang w:val="en-US"/>
        </w:rPr>
        <w:t>A multinomial model for comorbidity in England of long-standing cardiovascular disease, diabetes and obesity</w:t>
      </w:r>
    </w:p>
    <w:p w14:paraId="048FC156" w14:textId="77777777" w:rsid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Karyn</w:t>
      </w:r>
      <w:proofErr w:type="spellEnd"/>
      <w:r w:rsidRPr="009B1A49">
        <w:rPr>
          <w:rFonts w:asciiTheme="majorHAnsi" w:hAnsiTheme="majorHAnsi" w:cs="Times"/>
          <w:lang w:val="en-US"/>
        </w:rPr>
        <w:t xml:space="preserve"> Morrissey, </w:t>
      </w:r>
      <w:proofErr w:type="spellStart"/>
      <w:r w:rsidRPr="009B1A49">
        <w:rPr>
          <w:rFonts w:asciiTheme="majorHAnsi" w:hAnsiTheme="majorHAnsi" w:cs="Times"/>
          <w:lang w:val="en-US"/>
        </w:rPr>
        <w:t>Ferran</w:t>
      </w:r>
      <w:proofErr w:type="spellEnd"/>
      <w:r w:rsidRPr="009B1A49">
        <w:rPr>
          <w:rFonts w:asciiTheme="majorHAnsi" w:hAnsiTheme="majorHAnsi" w:cs="Times"/>
          <w:lang w:val="en-US"/>
        </w:rPr>
        <w:t xml:space="preserve"> </w:t>
      </w:r>
      <w:proofErr w:type="spellStart"/>
      <w:r w:rsidRPr="009B1A49">
        <w:rPr>
          <w:rFonts w:asciiTheme="majorHAnsi" w:hAnsiTheme="majorHAnsi" w:cs="Times"/>
          <w:lang w:val="en-US"/>
        </w:rPr>
        <w:t>Espuny</w:t>
      </w:r>
      <w:proofErr w:type="spellEnd"/>
      <w:r w:rsidRPr="009B1A49">
        <w:rPr>
          <w:rFonts w:asciiTheme="majorHAnsi" w:hAnsiTheme="majorHAnsi" w:cs="Times"/>
          <w:sz w:val="18"/>
          <w:szCs w:val="18"/>
          <w:lang w:val="en-US"/>
        </w:rPr>
        <w:t xml:space="preserve"> </w:t>
      </w:r>
      <w:r w:rsidRPr="009B1A49">
        <w:rPr>
          <w:rFonts w:asciiTheme="majorHAnsi" w:hAnsiTheme="majorHAnsi" w:cs="Times"/>
          <w:lang w:val="en-US"/>
        </w:rPr>
        <w:t>and Paul Williamson</w:t>
      </w:r>
    </w:p>
    <w:p w14:paraId="19F8C42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Department of Geography and Planning, University of Liverpool, Liverpool, UK</w:t>
      </w:r>
    </w:p>
    <w:p w14:paraId="7788EF3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b/>
          <w:sz w:val="26"/>
          <w:szCs w:val="26"/>
          <w:lang w:val="en-US"/>
        </w:rPr>
        <w:t>Abstract</w:t>
      </w:r>
    </w:p>
    <w:p w14:paraId="5B4D1665"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Comorbidity </w:t>
      </w:r>
      <w:proofErr w:type="gramStart"/>
      <w:r w:rsidRPr="009B1A49">
        <w:rPr>
          <w:rFonts w:asciiTheme="majorHAnsi" w:hAnsiTheme="majorHAnsi" w:cs="Times"/>
          <w:lang w:val="en-US"/>
        </w:rPr>
        <w:t>has been found to be significantly related</w:t>
      </w:r>
      <w:proofErr w:type="gramEnd"/>
      <w:r w:rsidRPr="009B1A49">
        <w:rPr>
          <w:rFonts w:asciiTheme="majorHAnsi" w:hAnsiTheme="majorHAnsi" w:cs="Times"/>
          <w:lang w:val="en-US"/>
        </w:rPr>
        <w:t xml:space="preserve"> to increased levels of mortality, decreased functional status and quality of life, increasing dependence on health services and an increased risk of mental and social problems. Previous research into comorbidity has mainly focused on identifying the most common groupings of illnesses found among elderly healthcare users. In contrast, this paper pools data from the Health Survey for England from 2008 to 2012 to form a representative sample of individuals in private households in England to explore the risk of comorbidity among the general population; and to take account of not only the demographic but also the socioeconomic and area-level determinants of comorbidity. Using a multinomial logistic model, this research confirms that age and gender are significant predictors of cardiovascular disease, diabetes and obesity, whether examined singly or in any comorbidity combination. Across the seven possible disease combinations, the odds ratios are lowest for those individuals with a </w:t>
      </w:r>
      <w:proofErr w:type="gramStart"/>
      <w:r w:rsidRPr="009B1A49">
        <w:rPr>
          <w:rFonts w:asciiTheme="majorHAnsi" w:hAnsiTheme="majorHAnsi" w:cs="Times"/>
          <w:lang w:val="en-US"/>
        </w:rPr>
        <w:t>high income</w:t>
      </w:r>
      <w:proofErr w:type="gramEnd"/>
      <w:r w:rsidRPr="009B1A49">
        <w:rPr>
          <w:rFonts w:asciiTheme="majorHAnsi" w:hAnsiTheme="majorHAnsi" w:cs="Times"/>
          <w:lang w:val="en-US"/>
        </w:rPr>
        <w:t xml:space="preserve"> (6 of 7), home-owning (5 of 7), degree educated (7 of 7) and living in the least deprived area (6 of 7), when controlling for demographic and smoking characteristics. The important influence of socioeconomic factors associated with comorbidity risk indicates that healthcare policy needs to move from a focus on age profiles to take better account of individual and local area socioeconomic circumstances.</w:t>
      </w:r>
    </w:p>
    <w:p w14:paraId="37611A9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b/>
          <w:lang w:val="en-US"/>
        </w:rPr>
        <w:t>Keywords</w:t>
      </w:r>
      <w:r w:rsidRPr="009B1A49">
        <w:rPr>
          <w:rFonts w:asciiTheme="majorHAnsi" w:hAnsiTheme="majorHAnsi" w:cs="Times"/>
          <w:lang w:val="en-US"/>
        </w:rPr>
        <w:t>: cardiovascular disease, comorbidity, diabetes, general population, obesity, socioeconomic profile</w:t>
      </w:r>
    </w:p>
    <w:p w14:paraId="23464DBB" w14:textId="77777777" w:rsidR="009B1A49" w:rsidRPr="009B1A49" w:rsidRDefault="009B1A49" w:rsidP="009B1A49">
      <w:pPr>
        <w:widowControl w:val="0"/>
        <w:autoSpaceDE w:val="0"/>
        <w:autoSpaceDN w:val="0"/>
        <w:adjustRightInd w:val="0"/>
        <w:spacing w:after="240"/>
        <w:jc w:val="both"/>
        <w:rPr>
          <w:rFonts w:asciiTheme="majorHAnsi" w:hAnsiTheme="majorHAnsi" w:cs="Times"/>
          <w:b/>
          <w:lang w:val="en-US"/>
        </w:rPr>
      </w:pPr>
      <w:r w:rsidRPr="009B1A49">
        <w:rPr>
          <w:rFonts w:asciiTheme="majorHAnsi" w:hAnsiTheme="majorHAnsi" w:cs="Times"/>
          <w:b/>
          <w:sz w:val="26"/>
          <w:szCs w:val="26"/>
          <w:lang w:val="en-US"/>
        </w:rPr>
        <w:t>Introduction</w:t>
      </w:r>
    </w:p>
    <w:p w14:paraId="5B20B2D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Along with an increased prevalence of cardiovascular disease (CVD), diabetes and obesity as single health conditions, there is a growing body of evidence that individuals are increasingly experiencing two or more of these conditions (</w:t>
      </w:r>
      <w:proofErr w:type="spellStart"/>
      <w:r w:rsidRPr="009B1A49">
        <w:rPr>
          <w:rFonts w:asciiTheme="majorHAnsi" w:hAnsiTheme="majorHAnsi" w:cs="Times"/>
          <w:lang w:val="en-US"/>
        </w:rPr>
        <w:t>Sachdev</w:t>
      </w:r>
      <w:proofErr w:type="spellEnd"/>
      <w:r w:rsidRPr="009B1A49">
        <w:rPr>
          <w:rFonts w:asciiTheme="majorHAnsi" w:hAnsiTheme="majorHAnsi" w:cs="Times"/>
          <w:lang w:val="en-US"/>
        </w:rPr>
        <w:t xml:space="preserve"> et al. 2004, </w:t>
      </w:r>
      <w:proofErr w:type="spellStart"/>
      <w:r w:rsidRPr="009B1A49">
        <w:rPr>
          <w:rFonts w:asciiTheme="majorHAnsi" w:hAnsiTheme="majorHAnsi" w:cs="Times"/>
          <w:lang w:val="en-US"/>
        </w:rPr>
        <w:t>Valderas</w:t>
      </w:r>
      <w:proofErr w:type="spellEnd"/>
      <w:r w:rsidRPr="009B1A49">
        <w:rPr>
          <w:rFonts w:asciiTheme="majorHAnsi" w:hAnsiTheme="majorHAnsi" w:cs="Times"/>
          <w:lang w:val="en-US"/>
        </w:rPr>
        <w:t xml:space="preserve"> et al. 2009, Barnett et al. 2012, Charlton et al. 2013). Comorbidity refers to one or more chronic diseases among people with an index disease (the primary disease of interest) (</w:t>
      </w:r>
      <w:proofErr w:type="spellStart"/>
      <w:r w:rsidRPr="009B1A49">
        <w:rPr>
          <w:rFonts w:asciiTheme="majorHAnsi" w:hAnsiTheme="majorHAnsi" w:cs="Times"/>
          <w:lang w:val="en-US"/>
        </w:rPr>
        <w:t>Gijsen</w:t>
      </w:r>
      <w:proofErr w:type="spellEnd"/>
      <w:r w:rsidRPr="009B1A49">
        <w:rPr>
          <w:rFonts w:asciiTheme="majorHAnsi" w:hAnsiTheme="majorHAnsi" w:cs="Times"/>
          <w:lang w:val="en-US"/>
        </w:rPr>
        <w:t xml:space="preserve"> et al. 2001, </w:t>
      </w:r>
      <w:proofErr w:type="spellStart"/>
      <w:r w:rsidRPr="009B1A49">
        <w:rPr>
          <w:rFonts w:asciiTheme="majorHAnsi" w:hAnsiTheme="majorHAnsi" w:cs="Times"/>
          <w:lang w:val="en-US"/>
        </w:rPr>
        <w:t>Valderas</w:t>
      </w:r>
      <w:proofErr w:type="spellEnd"/>
      <w:r w:rsidRPr="009B1A49">
        <w:rPr>
          <w:rFonts w:asciiTheme="majorHAnsi" w:hAnsiTheme="majorHAnsi" w:cs="Times"/>
          <w:lang w:val="en-US"/>
        </w:rPr>
        <w:t xml:space="preserve"> et al. 2009, </w:t>
      </w:r>
      <w:proofErr w:type="spellStart"/>
      <w:r w:rsidRPr="009B1A49">
        <w:rPr>
          <w:rFonts w:asciiTheme="majorHAnsi" w:hAnsiTheme="majorHAnsi" w:cs="Times"/>
          <w:lang w:val="en-US"/>
        </w:rPr>
        <w:t>Congdon</w:t>
      </w:r>
      <w:proofErr w:type="spellEnd"/>
      <w:r w:rsidRPr="009B1A49">
        <w:rPr>
          <w:rFonts w:asciiTheme="majorHAnsi" w:hAnsiTheme="majorHAnsi" w:cs="Times"/>
          <w:lang w:val="en-US"/>
        </w:rPr>
        <w:t xml:space="preserve"> 2010) and is associated with increased, </w:t>
      </w:r>
      <w:proofErr w:type="gramStart"/>
      <w:r w:rsidRPr="009B1A49">
        <w:rPr>
          <w:rFonts w:asciiTheme="majorHAnsi" w:hAnsiTheme="majorHAnsi" w:cs="Times"/>
          <w:lang w:val="en-US"/>
        </w:rPr>
        <w:t>often fragmented</w:t>
      </w:r>
      <w:proofErr w:type="gramEnd"/>
      <w:r w:rsidRPr="009B1A49">
        <w:rPr>
          <w:rFonts w:asciiTheme="majorHAnsi" w:hAnsiTheme="majorHAnsi" w:cs="Times"/>
          <w:lang w:val="en-US"/>
        </w:rPr>
        <w:t xml:space="preserve"> healthcare needs (Barnett et al. 2012, Charlton et al. 2013). Responding to the knowledge that comorbidity significantly increases mortality rates and decreases functional status and quality of life, the study of comorbidity has increased over the last decade (Islam et al. 2014). However, this research has tended to focus on identifying the most prevalent groupings of illnesses that demonstrate comorbidity (</w:t>
      </w:r>
      <w:proofErr w:type="spellStart"/>
      <w:r w:rsidRPr="009B1A49">
        <w:rPr>
          <w:rFonts w:asciiTheme="majorHAnsi" w:hAnsiTheme="majorHAnsi" w:cs="Times"/>
          <w:lang w:val="en-US"/>
        </w:rPr>
        <w:t>Sachdev</w:t>
      </w:r>
      <w:proofErr w:type="spellEnd"/>
      <w:r w:rsidRPr="009B1A49">
        <w:rPr>
          <w:rFonts w:asciiTheme="majorHAnsi" w:hAnsiTheme="majorHAnsi" w:cs="Times"/>
          <w:lang w:val="en-US"/>
        </w:rPr>
        <w:t xml:space="preserve"> et al. 2004), particularly among the elderly population (</w:t>
      </w:r>
      <w:proofErr w:type="spellStart"/>
      <w:r w:rsidRPr="009B1A49">
        <w:rPr>
          <w:rFonts w:asciiTheme="majorHAnsi" w:hAnsiTheme="majorHAnsi" w:cs="Times"/>
          <w:lang w:val="en-US"/>
        </w:rPr>
        <w:t>Gijsen</w:t>
      </w:r>
      <w:proofErr w:type="spellEnd"/>
      <w:r w:rsidRPr="009B1A49">
        <w:rPr>
          <w:rFonts w:asciiTheme="majorHAnsi" w:hAnsiTheme="majorHAnsi" w:cs="Times"/>
          <w:lang w:val="en-US"/>
        </w:rPr>
        <w:t xml:space="preserve"> et </w:t>
      </w:r>
      <w:r w:rsidRPr="009B1A49">
        <w:rPr>
          <w:rFonts w:asciiTheme="majorHAnsi" w:hAnsiTheme="majorHAnsi" w:cs="Times"/>
          <w:lang w:val="en-US"/>
        </w:rPr>
        <w:lastRenderedPageBreak/>
        <w:t xml:space="preserve">al. 2001, Fortin et al. 2007, </w:t>
      </w:r>
      <w:proofErr w:type="spellStart"/>
      <w:r w:rsidRPr="009B1A49">
        <w:rPr>
          <w:rFonts w:asciiTheme="majorHAnsi" w:hAnsiTheme="majorHAnsi" w:cs="Times"/>
          <w:lang w:val="en-US"/>
        </w:rPr>
        <w:t>Marengoni</w:t>
      </w:r>
      <w:proofErr w:type="spellEnd"/>
      <w:r w:rsidRPr="009B1A49">
        <w:rPr>
          <w:rFonts w:asciiTheme="majorHAnsi" w:hAnsiTheme="majorHAnsi" w:cs="Times"/>
          <w:lang w:val="en-US"/>
        </w:rPr>
        <w:t xml:space="preserve"> et al. 2011, Carey et al. 2013, </w:t>
      </w:r>
      <w:proofErr w:type="spellStart"/>
      <w:r w:rsidRPr="009B1A49">
        <w:rPr>
          <w:rFonts w:asciiTheme="majorHAnsi" w:hAnsiTheme="majorHAnsi" w:cs="Times"/>
          <w:lang w:val="en-US"/>
        </w:rPr>
        <w:t>Salive</w:t>
      </w:r>
      <w:proofErr w:type="spellEnd"/>
      <w:r w:rsidRPr="009B1A49">
        <w:rPr>
          <w:rFonts w:asciiTheme="majorHAnsi" w:hAnsiTheme="majorHAnsi" w:cs="Times"/>
          <w:lang w:val="en-US"/>
        </w:rPr>
        <w:t xml:space="preserve"> 2013). Indeed, in compiling a literature review on previous research into comorbidity, it is difficult to find research that is not limited to the elderly people and does not </w:t>
      </w:r>
      <w:proofErr w:type="spellStart"/>
      <w:r w:rsidRPr="009B1A49">
        <w:rPr>
          <w:rFonts w:asciiTheme="majorHAnsi" w:hAnsiTheme="majorHAnsi" w:cs="Times"/>
          <w:lang w:val="en-US"/>
        </w:rPr>
        <w:t>conceptualise</w:t>
      </w:r>
      <w:proofErr w:type="spellEnd"/>
      <w:r w:rsidRPr="009B1A49">
        <w:rPr>
          <w:rFonts w:asciiTheme="majorHAnsi" w:hAnsiTheme="majorHAnsi" w:cs="Times"/>
          <w:lang w:val="en-US"/>
        </w:rPr>
        <w:t xml:space="preserve"> the need for research into comorbidity within the context of the global ageing population.</w:t>
      </w:r>
    </w:p>
    <w:p w14:paraId="107A770B"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In contrast, far less well established is the socioeconomic gradient in comorbidity (Barnett et al. 2012). This is in direct contrast to research into single morbidities where research over the last two decades has found that socioeconomic circumstances, in addition to demographic and genetic factors, are key determinants of individual health outcomes. The handful of studies that examine the role of socioeconomic status in comorbidity (see for example Kahn et al. 2008, </w:t>
      </w:r>
      <w:proofErr w:type="spellStart"/>
      <w:r w:rsidRPr="009B1A49">
        <w:rPr>
          <w:rFonts w:asciiTheme="majorHAnsi" w:hAnsiTheme="majorHAnsi" w:cs="Times"/>
          <w:lang w:val="en-US"/>
        </w:rPr>
        <w:t>Congdon</w:t>
      </w:r>
      <w:proofErr w:type="spellEnd"/>
      <w:r w:rsidRPr="009B1A49">
        <w:rPr>
          <w:rFonts w:asciiTheme="majorHAnsi" w:hAnsiTheme="majorHAnsi" w:cs="Times"/>
          <w:lang w:val="en-US"/>
        </w:rPr>
        <w:t xml:space="preserve"> 2010, Barnett et al. 2012, Charlton et al. 2013) have been based upon analyses of clinical records, GP, community care and hospital data. However, data based on clinical records are a source of revealed need: only individuals who have actively sought medical attention, usually in the 12month time period before, are included in these data sets. This overlooks those individuals with comorbidities who have not sought medical attention. Research into health service access has found a variety of reasons why individuals do not access health services even when they are ill, many closely linked to an individual’s socioeconomic circumstances, such as cost, opportunity, cost of time spent away from work or the home, distance and lack of transport (Joseph &amp; Phillips 1984, </w:t>
      </w:r>
      <w:proofErr w:type="spellStart"/>
      <w:r w:rsidRPr="009B1A49">
        <w:rPr>
          <w:rFonts w:asciiTheme="majorHAnsi" w:hAnsiTheme="majorHAnsi" w:cs="Times"/>
          <w:lang w:val="en-US"/>
        </w:rPr>
        <w:t>McLafferty</w:t>
      </w:r>
      <w:proofErr w:type="spellEnd"/>
      <w:r w:rsidRPr="009B1A49">
        <w:rPr>
          <w:rFonts w:asciiTheme="majorHAnsi" w:hAnsiTheme="majorHAnsi" w:cs="Times"/>
          <w:lang w:val="en-US"/>
        </w:rPr>
        <w:t xml:space="preserve"> 2003, Wan et al. 2012). Arguably, it may be that the characteristics and life circumstances of individuals who are ill and have not sought medical attention are of most interest to public health research and healthcare provision (Kavanagh et al. 2010, Wan et al. 2012). As such, a better understanding of the epidemiology of comorbidity in the general population is necessary to develop interventions to prevent it, reduce its burden and align healthcare services more closely with patients’ needs.</w:t>
      </w:r>
    </w:p>
    <w:p w14:paraId="4535A1A9"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Set against this backdrop, the aims of this paper were twofold. First, this paper aims to estimate the odds ratios of CVD, diabetes and obesity, both as single and comorbidities </w:t>
      </w:r>
      <w:proofErr w:type="gramStart"/>
      <w:r w:rsidRPr="009B1A49">
        <w:rPr>
          <w:rFonts w:asciiTheme="majorHAnsi" w:hAnsiTheme="majorHAnsi" w:cs="Times"/>
          <w:lang w:val="en-US"/>
        </w:rPr>
        <w:t>in</w:t>
      </w:r>
      <w:proofErr w:type="gramEnd"/>
      <w:r w:rsidRPr="009B1A49">
        <w:rPr>
          <w:rFonts w:asciiTheme="majorHAnsi" w:hAnsiTheme="majorHAnsi" w:cs="Times"/>
          <w:lang w:val="en-US"/>
        </w:rPr>
        <w:t xml:space="preserve"> the private household population across England. Second, this paper seeks to identify the individual-level and area-level risk factors which shape this risk, taking account of not only age and sex but also socioeconomic, lifestyle and area-level contextual factors. To achieve these goals, the paper makes use of a nationally representative sample of the private household population, the Health Survey for England (HSE).</w:t>
      </w:r>
    </w:p>
    <w:p w14:paraId="3587A0DE" w14:textId="77777777" w:rsidR="009B1A49" w:rsidRPr="009B1A49" w:rsidRDefault="009B1A49" w:rsidP="009B1A49">
      <w:pPr>
        <w:widowControl w:val="0"/>
        <w:autoSpaceDE w:val="0"/>
        <w:autoSpaceDN w:val="0"/>
        <w:adjustRightInd w:val="0"/>
        <w:spacing w:after="240"/>
        <w:jc w:val="both"/>
        <w:rPr>
          <w:rFonts w:asciiTheme="majorHAnsi" w:hAnsiTheme="majorHAnsi" w:cs="Times"/>
          <w:b/>
          <w:lang w:val="en-US"/>
        </w:rPr>
      </w:pPr>
      <w:r w:rsidRPr="009B1A49">
        <w:rPr>
          <w:rFonts w:asciiTheme="majorHAnsi" w:hAnsiTheme="majorHAnsi" w:cs="Times"/>
          <w:b/>
          <w:sz w:val="26"/>
          <w:szCs w:val="26"/>
          <w:lang w:val="en-US"/>
        </w:rPr>
        <w:t>Methods</w:t>
      </w:r>
    </w:p>
    <w:p w14:paraId="2F3341A3" w14:textId="77777777" w:rsidR="009B1A49" w:rsidRPr="009B1A49" w:rsidRDefault="009B1A49" w:rsidP="009B1A49">
      <w:pPr>
        <w:widowControl w:val="0"/>
        <w:autoSpaceDE w:val="0"/>
        <w:autoSpaceDN w:val="0"/>
        <w:adjustRightInd w:val="0"/>
        <w:spacing w:after="240"/>
        <w:jc w:val="both"/>
        <w:rPr>
          <w:rFonts w:asciiTheme="majorHAnsi" w:hAnsiTheme="majorHAnsi" w:cs="Times"/>
          <w:i/>
          <w:lang w:val="en-US"/>
        </w:rPr>
      </w:pPr>
      <w:r w:rsidRPr="009B1A49">
        <w:rPr>
          <w:rFonts w:asciiTheme="majorHAnsi" w:hAnsiTheme="majorHAnsi" w:cs="Times"/>
          <w:i/>
          <w:lang w:val="en-US"/>
        </w:rPr>
        <w:t>Health Survey for England</w:t>
      </w:r>
    </w:p>
    <w:p w14:paraId="5C69CDA6"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The HSE has been carried out annually since 1995 and provides health, demographic, socioeconomic and lifestyle information at the individual level. The survey is designed to represent the population living in private households, and thus it excludes those living in institutions. </w:t>
      </w:r>
      <w:proofErr w:type="spellStart"/>
      <w:r w:rsidRPr="009B1A49">
        <w:rPr>
          <w:rFonts w:asciiTheme="majorHAnsi" w:hAnsiTheme="majorHAnsi" w:cs="Times"/>
          <w:lang w:val="en-US"/>
        </w:rPr>
        <w:t>Acik-Toprak</w:t>
      </w:r>
      <w:proofErr w:type="spellEnd"/>
      <w:r w:rsidRPr="009B1A49">
        <w:rPr>
          <w:rFonts w:asciiTheme="majorHAnsi" w:hAnsiTheme="majorHAnsi" w:cs="Times"/>
          <w:lang w:val="en-US"/>
        </w:rPr>
        <w:t xml:space="preserve"> (2012) highlighted that omitting institutional residents leads to underestimates of the extent of poor health in the total population, as the unhealthiest, who are over-represented in institutions – e.g. residential care homes – are excluded. However, this paper is specifically interested in exploring the prevalence of comorbidity, alongside the associated risk factors, for members of the private household population. The nature of comorbidity among this population is not well understood. For example, there is likely a mismatch between this population’s actual health needs and those revealed via contact with medical services. In contrast, those with comorbidity residing in residential homes or care facilities already have their health needs met and clinical data on their comorbidities already exist.</w:t>
      </w:r>
    </w:p>
    <w:p w14:paraId="6203456D"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The HSE samples were drawn using a multistage stratified probability sampling design. Initially, a random sample of primary sampling units (PSUs), based on postcode sectors, was selected. Within each selected PSU, a random sample of postal addresses (known as delivery points) was then drawn. In single dwelling and unit household addresses, the corresponding household was selected, whereas in multi-occupied addresses, one household was selected at random. Finally, for each household, face-to-face </w:t>
      </w:r>
      <w:proofErr w:type="gramStart"/>
      <w:r w:rsidRPr="009B1A49">
        <w:rPr>
          <w:rFonts w:asciiTheme="majorHAnsi" w:hAnsiTheme="majorHAnsi" w:cs="Times"/>
          <w:lang w:val="en-US"/>
        </w:rPr>
        <w:t>interviews</w:t>
      </w:r>
      <w:proofErr w:type="gramEnd"/>
      <w:r w:rsidRPr="009B1A49">
        <w:rPr>
          <w:rFonts w:asciiTheme="majorHAnsi" w:hAnsiTheme="majorHAnsi" w:cs="Times"/>
          <w:lang w:val="en-US"/>
        </w:rPr>
        <w:t xml:space="preserve"> were conducted with all adults in the household and a limit of two was placed on the number of children aged 0–15 selected for interview. The final number of adult respondents for the HSE was approximately 15,000 in 2008, 4500 in 2009 and 8500 each year since 2010. The survey contains interviewer weights, which adjust for selection, non-response, and population age/sex and strategic health authority profile, the latter using estimates from the Office of National Statistics. Further details can be found in the Methods and Documentation yearly volumes associated with the survey data (e.g. Craig &amp; </w:t>
      </w:r>
      <w:proofErr w:type="spellStart"/>
      <w:r w:rsidRPr="009B1A49">
        <w:rPr>
          <w:rFonts w:asciiTheme="majorHAnsi" w:hAnsiTheme="majorHAnsi" w:cs="Times"/>
          <w:lang w:val="en-US"/>
        </w:rPr>
        <w:t>Mindell</w:t>
      </w:r>
      <w:proofErr w:type="spellEnd"/>
      <w:r w:rsidRPr="009B1A49">
        <w:rPr>
          <w:rFonts w:asciiTheme="majorHAnsi" w:hAnsiTheme="majorHAnsi" w:cs="Times"/>
          <w:lang w:val="en-US"/>
        </w:rPr>
        <w:t xml:space="preserve"> 2012). Unless indicated otherwise, the analysis performed in this paper uses the HSE interviewer weights.</w:t>
      </w:r>
    </w:p>
    <w:p w14:paraId="328B448F" w14:textId="77777777" w:rsidR="009B1A49" w:rsidRPr="009B1A49" w:rsidRDefault="009B1A49" w:rsidP="009B1A49">
      <w:pPr>
        <w:widowControl w:val="0"/>
        <w:autoSpaceDE w:val="0"/>
        <w:autoSpaceDN w:val="0"/>
        <w:adjustRightInd w:val="0"/>
        <w:spacing w:after="240"/>
        <w:jc w:val="both"/>
        <w:rPr>
          <w:rFonts w:asciiTheme="majorHAnsi" w:hAnsiTheme="majorHAnsi" w:cs="Times"/>
          <w:i/>
          <w:lang w:val="en-US"/>
        </w:rPr>
      </w:pPr>
      <w:r w:rsidRPr="009B1A49">
        <w:rPr>
          <w:rFonts w:asciiTheme="majorHAnsi" w:hAnsiTheme="majorHAnsi" w:cs="Times"/>
          <w:i/>
          <w:lang w:val="en-US"/>
        </w:rPr>
        <w:t>Data</w:t>
      </w:r>
    </w:p>
    <w:p w14:paraId="23D1F340"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In order to study the comorbidity of CVD, diabetes and obesity in adults (age 16 years and above), data from 2008 to 2012 were pooled. The HSE </w:t>
      </w:r>
      <w:proofErr w:type="spellStart"/>
      <w:r w:rsidRPr="009B1A49">
        <w:rPr>
          <w:rFonts w:asciiTheme="majorHAnsi" w:hAnsiTheme="majorHAnsi" w:cs="Times"/>
          <w:lang w:val="en-US"/>
        </w:rPr>
        <w:t>categorises</w:t>
      </w:r>
      <w:proofErr w:type="spellEnd"/>
      <w:r w:rsidRPr="009B1A49">
        <w:rPr>
          <w:rFonts w:asciiTheme="majorHAnsi" w:hAnsiTheme="majorHAnsi" w:cs="Times"/>
          <w:lang w:val="en-US"/>
        </w:rPr>
        <w:t xml:space="preserve"> the ailments of those respondents reporting at least one long-standing illness using the International Classification of Diseases (ICD 10). Each year all respondents, including those not reporting a current longstanding illness, are also asked whether they have ever suffered from particular health conditions, and which of these, if any, were doctor-diagnosed. The set of health conditions probed in this way is very limited and changes from year to year. Consequently, the HSE provides data on diabetes and CVD every year for those reporting a long-standing illness, but data on doctor-diagnosed CVD only for particular non-consecutive years. The need to pool data across consecutive years to generate a large enough sample of individuals with comorbidity to achieve statistical power meant that doctor-diagnosed CVD was not appropriate for this analysis.</w:t>
      </w:r>
    </w:p>
    <w:p w14:paraId="486D94C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Out of the weighted pooled total of 45,265 adult HSE participants, only 28 (0.06%) failed to give a valid response to the long-standing illness question, and therefore lacked any information on their current ailments. Dropping in addition those without a valid response to all of the variables of interest for this study (obesity and </w:t>
      </w:r>
      <w:proofErr w:type="spellStart"/>
      <w:r w:rsidRPr="009B1A49">
        <w:rPr>
          <w:rFonts w:asciiTheme="majorHAnsi" w:hAnsiTheme="majorHAnsi" w:cs="Times"/>
          <w:lang w:val="en-US"/>
        </w:rPr>
        <w:t>equivalised</w:t>
      </w:r>
      <w:proofErr w:type="spellEnd"/>
      <w:r w:rsidRPr="009B1A49">
        <w:rPr>
          <w:rFonts w:asciiTheme="majorHAnsi" w:hAnsiTheme="majorHAnsi" w:cs="Times"/>
          <w:lang w:val="en-US"/>
        </w:rPr>
        <w:t xml:space="preserve"> income being the most problematic) reduced the final weighted sample used within this paper by one-third (32.5%), to 30,545. From the descriptive statistics presented in Table 1, it can be seen that the age–sex distribution of HSE respondents is maintained after the removal of cases with non-response. Table 2 offers an overview of the 40 diseases into which the HSE classifies long-standing illnesses, and provides confirmation that removing cases with non-response also has minimal impact on their observed prevalence. For the impact on other study variables, see the Results section.</w:t>
      </w:r>
    </w:p>
    <w:p w14:paraId="2EF238F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For the purpose of this study, individuals are </w:t>
      </w:r>
      <w:proofErr w:type="spellStart"/>
      <w:r w:rsidRPr="009B1A49">
        <w:rPr>
          <w:rFonts w:asciiTheme="majorHAnsi" w:hAnsiTheme="majorHAnsi" w:cs="Times"/>
          <w:lang w:val="en-US"/>
        </w:rPr>
        <w:t>categorised</w:t>
      </w:r>
      <w:proofErr w:type="spellEnd"/>
      <w:r w:rsidRPr="009B1A49">
        <w:rPr>
          <w:rFonts w:asciiTheme="majorHAnsi" w:hAnsiTheme="majorHAnsi" w:cs="Times"/>
          <w:lang w:val="en-US"/>
        </w:rPr>
        <w:t xml:space="preserve"> as having CVD if the long-standing illnesses they reported were classified into any of the follow-</w:t>
      </w:r>
    </w:p>
    <w:p w14:paraId="1D7F3F6F"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proofErr w:type="gramStart"/>
      <w:r w:rsidRPr="009B1A49">
        <w:rPr>
          <w:rFonts w:asciiTheme="majorHAnsi" w:hAnsiTheme="majorHAnsi" w:cs="Times"/>
          <w:lang w:val="en-US"/>
        </w:rPr>
        <w:t>ing</w:t>
      </w:r>
      <w:proofErr w:type="spellEnd"/>
      <w:proofErr w:type="gramEnd"/>
      <w:r w:rsidRPr="009B1A49">
        <w:rPr>
          <w:rFonts w:asciiTheme="majorHAnsi" w:hAnsiTheme="majorHAnsi" w:cs="Times"/>
          <w:lang w:val="en-US"/>
        </w:rPr>
        <w:t xml:space="preserve"> ICD 10 categories: (</w:t>
      </w:r>
      <w:proofErr w:type="spellStart"/>
      <w:r w:rsidRPr="009B1A49">
        <w:rPr>
          <w:rFonts w:asciiTheme="majorHAnsi" w:hAnsiTheme="majorHAnsi" w:cs="Times"/>
          <w:lang w:val="en-US"/>
        </w:rPr>
        <w:t>i</w:t>
      </w:r>
      <w:proofErr w:type="spellEnd"/>
      <w:r w:rsidRPr="009B1A49">
        <w:rPr>
          <w:rFonts w:asciiTheme="majorHAnsi" w:hAnsiTheme="majorHAnsi" w:cs="Times"/>
          <w:lang w:val="en-US"/>
        </w:rPr>
        <w:t xml:space="preserve">) Stroke/cerebral </w:t>
      </w:r>
      <w:proofErr w:type="spellStart"/>
      <w:r w:rsidRPr="009B1A49">
        <w:rPr>
          <w:rFonts w:asciiTheme="majorHAnsi" w:hAnsiTheme="majorHAnsi" w:cs="Times"/>
          <w:lang w:val="en-US"/>
        </w:rPr>
        <w:t>haemorrhage</w:t>
      </w:r>
      <w:proofErr w:type="spellEnd"/>
      <w:r w:rsidRPr="009B1A49">
        <w:rPr>
          <w:rFonts w:asciiTheme="majorHAnsi" w:hAnsiTheme="majorHAnsi" w:cs="Times"/>
          <w:lang w:val="en-US"/>
        </w:rPr>
        <w:t xml:space="preserve">/cerebral thrombosis, (ii) Heart attack/angina, (iii) Hypertension and (iv) Other heart problems. The diabetes variable was taken directly from the survey. No differentiation between the two types of diabetes is possible from 2011 onwards because of changing patterns in the prescription of insulin therapy at early ages (which was used in previous years to determine the diabetes type). As is typical in studies using the HSE data set, obesity was approximated using the weight and height measurements provided by the HSE interviewers to compute a body mass index (BMI) measure. Using the current definition of obesity, individuals with a BMI above or equal to </w:t>
      </w:r>
      <w:proofErr w:type="gramStart"/>
      <w:r w:rsidRPr="009B1A49">
        <w:rPr>
          <w:rFonts w:asciiTheme="majorHAnsi" w:hAnsiTheme="majorHAnsi" w:cs="Times"/>
          <w:lang w:val="en-US"/>
        </w:rPr>
        <w:t>30 kg/</w:t>
      </w:r>
      <w:proofErr w:type="gramEnd"/>
      <w:r w:rsidRPr="009B1A49">
        <w:rPr>
          <w:rFonts w:asciiTheme="majorHAnsi" w:hAnsiTheme="majorHAnsi" w:cs="Times"/>
          <w:lang w:val="en-US"/>
        </w:rPr>
        <w:t xml:space="preserve"> m</w:t>
      </w:r>
      <w:r w:rsidRPr="009B1A49">
        <w:rPr>
          <w:rFonts w:asciiTheme="majorHAnsi" w:hAnsiTheme="majorHAnsi" w:cs="Times"/>
          <w:position w:val="10"/>
          <w:sz w:val="18"/>
          <w:szCs w:val="18"/>
          <w:lang w:val="en-US"/>
        </w:rPr>
        <w:t xml:space="preserve">2 </w:t>
      </w:r>
      <w:r w:rsidRPr="009B1A49">
        <w:rPr>
          <w:rFonts w:asciiTheme="majorHAnsi" w:hAnsiTheme="majorHAnsi" w:cs="Times"/>
          <w:lang w:val="en-US"/>
        </w:rPr>
        <w:t>were defined as obese for the purpose of this paper. The impact of using a BMI-based measure of obesity, particularly as it relates to different ethnic groups, is further considered in the Discussion section.</w:t>
      </w:r>
    </w:p>
    <w:p w14:paraId="35B13C8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With regard to the explanatory variables used in this analysis, the demographic variables included age (four categories), sex, ethnicity and marital status. The socioeconomic variables included </w:t>
      </w:r>
      <w:proofErr w:type="spellStart"/>
      <w:r w:rsidRPr="009B1A49">
        <w:rPr>
          <w:rFonts w:asciiTheme="majorHAnsi" w:hAnsiTheme="majorHAnsi" w:cs="Times"/>
          <w:lang w:val="en-US"/>
        </w:rPr>
        <w:t>equivalised</w:t>
      </w:r>
      <w:proofErr w:type="spellEnd"/>
      <w:r w:rsidRPr="009B1A49">
        <w:rPr>
          <w:rFonts w:asciiTheme="majorHAnsi" w:hAnsiTheme="majorHAnsi" w:cs="Times"/>
          <w:lang w:val="en-US"/>
        </w:rPr>
        <w:t xml:space="preserve"> income (by </w:t>
      </w:r>
      <w:proofErr w:type="spellStart"/>
      <w:r w:rsidRPr="009B1A49">
        <w:rPr>
          <w:rFonts w:asciiTheme="majorHAnsi" w:hAnsiTheme="majorHAnsi" w:cs="Times"/>
          <w:lang w:val="en-US"/>
        </w:rPr>
        <w:t>tertiles</w:t>
      </w:r>
      <w:proofErr w:type="spellEnd"/>
      <w:r w:rsidRPr="009B1A49">
        <w:rPr>
          <w:rFonts w:asciiTheme="majorHAnsi" w:hAnsiTheme="majorHAnsi" w:cs="Times"/>
          <w:lang w:val="en-US"/>
        </w:rPr>
        <w:t xml:space="preserve">), third-level education (whether an individual has a degree or not) and tenure (using the available levels in the HSE). In similar fashion to Barnett et al. (2012), the Index of Multiple Deprivation for England (Index for Multiple Deprivation 2010) was included as a five-category variable to control for area-level deprivation. Finally, smoking was included as a lifestyle variable. Other lifestyle variables associated with CVD, diabetes and obesity include alcohol consumption, diet and exercise (Kavanagh et al. 2010). However, the HSE does not include data on physical activity and includes a question on food and diet that relates only to consumption on the previous day. Drinking frequency and quantity estimates are available in the HSE, but initial analysis found that these variables were highly correlated with age. Therefore, no variable relating to drinking </w:t>
      </w:r>
      <w:proofErr w:type="spellStart"/>
      <w:r w:rsidRPr="009B1A49">
        <w:rPr>
          <w:rFonts w:asciiTheme="majorHAnsi" w:hAnsiTheme="majorHAnsi" w:cs="Times"/>
          <w:lang w:val="en-US"/>
        </w:rPr>
        <w:t>behaviour</w:t>
      </w:r>
      <w:proofErr w:type="spellEnd"/>
      <w:r w:rsidRPr="009B1A49">
        <w:rPr>
          <w:rFonts w:asciiTheme="majorHAnsi" w:hAnsiTheme="majorHAnsi" w:cs="Times"/>
          <w:lang w:val="en-US"/>
        </w:rPr>
        <w:t xml:space="preserve"> was included in the model. As this paper used secondary analysis of previously collected data, ethics approval was not required.</w:t>
      </w:r>
    </w:p>
    <w:p w14:paraId="6B6C9BAD" w14:textId="77777777" w:rsidR="009B1A49" w:rsidRPr="009B1A49" w:rsidRDefault="009B1A49" w:rsidP="009B1A49">
      <w:pPr>
        <w:widowControl w:val="0"/>
        <w:autoSpaceDE w:val="0"/>
        <w:autoSpaceDN w:val="0"/>
        <w:adjustRightInd w:val="0"/>
        <w:spacing w:after="240"/>
        <w:jc w:val="both"/>
        <w:rPr>
          <w:rFonts w:asciiTheme="majorHAnsi" w:hAnsiTheme="majorHAnsi" w:cs="Times"/>
          <w:i/>
          <w:lang w:val="en-US"/>
        </w:rPr>
      </w:pPr>
      <w:r w:rsidRPr="009B1A49">
        <w:rPr>
          <w:rFonts w:asciiTheme="majorHAnsi" w:hAnsiTheme="majorHAnsi" w:cs="Times"/>
          <w:i/>
          <w:lang w:val="en-US"/>
        </w:rPr>
        <w:t>Statistical model: multinomial logistic regression</w:t>
      </w:r>
    </w:p>
    <w:p w14:paraId="409D2D5D"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Using variables that have been found to be significantly associated with each of the three morbidities, this paper uses a multinomial log-linear model to model the demographic and socioeconomic determinants of comorbidity (CVD, diabetes and obesity) at the individual level for England. Multinomial log-linear models are used when the dependent variable to be explained is </w:t>
      </w:r>
      <w:proofErr w:type="spellStart"/>
      <w:r w:rsidRPr="009B1A49">
        <w:rPr>
          <w:rFonts w:asciiTheme="majorHAnsi" w:hAnsiTheme="majorHAnsi" w:cs="Times"/>
          <w:lang w:val="en-US"/>
        </w:rPr>
        <w:t>polytomous</w:t>
      </w:r>
      <w:proofErr w:type="spellEnd"/>
      <w:r w:rsidRPr="009B1A49">
        <w:rPr>
          <w:rFonts w:asciiTheme="majorHAnsi" w:hAnsiTheme="majorHAnsi" w:cs="Times"/>
          <w:lang w:val="en-US"/>
        </w:rPr>
        <w:t xml:space="preserve"> and categorical, i.e. it has more than two categories with no global order between them (Morgan &amp; </w:t>
      </w:r>
      <w:proofErr w:type="spellStart"/>
      <w:r w:rsidRPr="009B1A49">
        <w:rPr>
          <w:rFonts w:asciiTheme="majorHAnsi" w:hAnsiTheme="majorHAnsi" w:cs="Times"/>
          <w:lang w:val="en-US"/>
        </w:rPr>
        <w:t>Teachman</w:t>
      </w:r>
      <w:proofErr w:type="spellEnd"/>
      <w:r w:rsidRPr="009B1A49">
        <w:rPr>
          <w:rFonts w:asciiTheme="majorHAnsi" w:hAnsiTheme="majorHAnsi" w:cs="Times"/>
          <w:lang w:val="en-US"/>
        </w:rPr>
        <w:t xml:space="preserve"> 1988). Comorbidity is studied using a response variable y with eight categories, corresponding to the product of all possible combinations of CVD, diabetes and obesity status for the considered long-standing illness population; concisely: non-obese, non-CVD, non-diabetic (y = 1); obese, non-CVD, non-diabetic (y = 2); CVD, non-obese, non-diabetic (y = 3); diabetic, non-obese, non-CVD (y = 4); obese, CVD, non-diabetic (y = 5);obese, diabetic, non-CVD (y = 6); CVD, diabetic, </w:t>
      </w:r>
      <w:proofErr w:type="spellStart"/>
      <w:r w:rsidRPr="009B1A49">
        <w:rPr>
          <w:rFonts w:asciiTheme="majorHAnsi" w:hAnsiTheme="majorHAnsi" w:cs="Times"/>
          <w:lang w:val="en-US"/>
        </w:rPr>
        <w:t>nonobese</w:t>
      </w:r>
      <w:proofErr w:type="spellEnd"/>
      <w:r w:rsidRPr="009B1A49">
        <w:rPr>
          <w:rFonts w:asciiTheme="majorHAnsi" w:hAnsiTheme="majorHAnsi" w:cs="Times"/>
          <w:lang w:val="en-US"/>
        </w:rPr>
        <w:t xml:space="preserve"> (y = 7); obese, CVD, diabetic (y = 8).</w:t>
      </w:r>
    </w:p>
    <w:p w14:paraId="68E229D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Nnet</w:t>
      </w:r>
      <w:proofErr w:type="spellEnd"/>
      <w:r w:rsidRPr="009B1A49">
        <w:rPr>
          <w:rFonts w:asciiTheme="majorHAnsi" w:hAnsiTheme="majorHAnsi" w:cs="Times"/>
          <w:lang w:val="en-US"/>
        </w:rPr>
        <w:t xml:space="preserve"> within the R software (</w:t>
      </w:r>
      <w:proofErr w:type="spellStart"/>
      <w:r w:rsidRPr="009B1A49">
        <w:rPr>
          <w:rFonts w:asciiTheme="majorHAnsi" w:hAnsiTheme="majorHAnsi" w:cs="Times"/>
          <w:lang w:val="en-US"/>
        </w:rPr>
        <w:t>Venables</w:t>
      </w:r>
      <w:proofErr w:type="spellEnd"/>
      <w:r w:rsidRPr="009B1A49">
        <w:rPr>
          <w:rFonts w:asciiTheme="majorHAnsi" w:hAnsiTheme="majorHAnsi" w:cs="Times"/>
          <w:lang w:val="en-US"/>
        </w:rPr>
        <w:t xml:space="preserve"> &amp; Ripley, 2002) is a statistical package that supports the fitting of multinomial log-linear models. Its function ‘</w:t>
      </w:r>
      <w:proofErr w:type="spellStart"/>
      <w:r w:rsidRPr="009B1A49">
        <w:rPr>
          <w:rFonts w:asciiTheme="majorHAnsi" w:hAnsiTheme="majorHAnsi" w:cs="Times"/>
          <w:lang w:val="en-US"/>
        </w:rPr>
        <w:t>multinom</w:t>
      </w:r>
      <w:proofErr w:type="spellEnd"/>
      <w:r w:rsidRPr="009B1A49">
        <w:rPr>
          <w:rFonts w:asciiTheme="majorHAnsi" w:hAnsiTheme="majorHAnsi" w:cs="Times"/>
          <w:lang w:val="en-US"/>
        </w:rPr>
        <w:t>’ (</w:t>
      </w:r>
      <w:proofErr w:type="spellStart"/>
      <w:r w:rsidRPr="009B1A49">
        <w:rPr>
          <w:rFonts w:asciiTheme="majorHAnsi" w:hAnsiTheme="majorHAnsi" w:cs="Times"/>
          <w:lang w:val="en-US"/>
        </w:rPr>
        <w:t>Venables</w:t>
      </w:r>
      <w:proofErr w:type="spellEnd"/>
      <w:r w:rsidRPr="009B1A49">
        <w:rPr>
          <w:rFonts w:asciiTheme="majorHAnsi" w:hAnsiTheme="majorHAnsi" w:cs="Times"/>
          <w:lang w:val="en-US"/>
        </w:rPr>
        <w:t xml:space="preserve"> &amp; Ripley, 2002) was used to fit the described model for different tested sets of explanatory variables and </w:t>
      </w:r>
      <w:proofErr w:type="spellStart"/>
      <w:r w:rsidRPr="009B1A49">
        <w:rPr>
          <w:rFonts w:asciiTheme="majorHAnsi" w:hAnsiTheme="majorHAnsi" w:cs="Times"/>
          <w:lang w:val="en-US"/>
        </w:rPr>
        <w:t>categorisations</w:t>
      </w:r>
      <w:proofErr w:type="spellEnd"/>
      <w:r w:rsidRPr="009B1A49">
        <w:rPr>
          <w:rFonts w:asciiTheme="majorHAnsi" w:hAnsiTheme="majorHAnsi" w:cs="Times"/>
          <w:lang w:val="en-US"/>
        </w:rPr>
        <w:t xml:space="preserve"> of those variables. All </w:t>
      </w:r>
      <w:proofErr w:type="spellStart"/>
      <w:r w:rsidRPr="009B1A49">
        <w:rPr>
          <w:rFonts w:asciiTheme="majorHAnsi" w:hAnsiTheme="majorHAnsi" w:cs="Times"/>
          <w:lang w:val="en-US"/>
        </w:rPr>
        <w:t>ageand</w:t>
      </w:r>
      <w:proofErr w:type="spellEnd"/>
      <w:r w:rsidRPr="009B1A49">
        <w:rPr>
          <w:rFonts w:asciiTheme="majorHAnsi" w:hAnsiTheme="majorHAnsi" w:cs="Times"/>
          <w:lang w:val="en-US"/>
        </w:rPr>
        <w:t xml:space="preserve"> sex-related interactions were considered. Only two interactions were found to be statistically significant, and neither added materially to model interpretation, so for the sake of simplicity they were discarded. The final model selected was the one with the set of </w:t>
      </w:r>
      <w:proofErr w:type="spellStart"/>
      <w:r w:rsidRPr="009B1A49">
        <w:rPr>
          <w:rFonts w:asciiTheme="majorHAnsi" w:hAnsiTheme="majorHAnsi" w:cs="Times"/>
          <w:lang w:val="en-US"/>
        </w:rPr>
        <w:t>regressors</w:t>
      </w:r>
      <w:proofErr w:type="spellEnd"/>
      <w:r w:rsidRPr="009B1A49">
        <w:rPr>
          <w:rFonts w:asciiTheme="majorHAnsi" w:hAnsiTheme="majorHAnsi" w:cs="Times"/>
          <w:lang w:val="en-US"/>
        </w:rPr>
        <w:t xml:space="preserve"> with the best </w:t>
      </w:r>
      <w:proofErr w:type="spellStart"/>
      <w:r w:rsidRPr="009B1A49">
        <w:rPr>
          <w:rFonts w:asciiTheme="majorHAnsi" w:hAnsiTheme="majorHAnsi" w:cs="Times"/>
          <w:lang w:val="en-US"/>
        </w:rPr>
        <w:t>Akaike</w:t>
      </w:r>
      <w:proofErr w:type="spellEnd"/>
      <w:r w:rsidRPr="009B1A49">
        <w:rPr>
          <w:rFonts w:asciiTheme="majorHAnsi" w:hAnsiTheme="majorHAnsi" w:cs="Times"/>
          <w:lang w:val="en-US"/>
        </w:rPr>
        <w:t xml:space="preserve"> information criterion, thus giving the best compromise between goodness of fit and complexity (Burnham &amp; Anderson 2004).</w:t>
      </w:r>
    </w:p>
    <w:p w14:paraId="476B1962"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b/>
          <w:sz w:val="26"/>
          <w:szCs w:val="26"/>
          <w:lang w:val="en-US"/>
        </w:rPr>
        <w:t>Results</w:t>
      </w:r>
    </w:p>
    <w:p w14:paraId="72B99200" w14:textId="77777777" w:rsidR="009B1A49" w:rsidRPr="009B1A49" w:rsidRDefault="009B1A49" w:rsidP="009B1A49">
      <w:pPr>
        <w:widowControl w:val="0"/>
        <w:autoSpaceDE w:val="0"/>
        <w:autoSpaceDN w:val="0"/>
        <w:adjustRightInd w:val="0"/>
        <w:spacing w:after="240"/>
        <w:jc w:val="both"/>
        <w:rPr>
          <w:rFonts w:asciiTheme="majorHAnsi" w:hAnsiTheme="majorHAnsi" w:cs="Times"/>
          <w:i/>
          <w:lang w:val="en-US"/>
        </w:rPr>
      </w:pPr>
      <w:r w:rsidRPr="009B1A49">
        <w:rPr>
          <w:rFonts w:asciiTheme="majorHAnsi" w:hAnsiTheme="majorHAnsi" w:cs="Times"/>
          <w:i/>
          <w:lang w:val="en-US"/>
        </w:rPr>
        <w:t>The long-standing illness HSE sample</w:t>
      </w:r>
    </w:p>
    <w:p w14:paraId="5422FC3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The individual-level demographic and socioeconomic characteristics of all pooled HSE respondents are compared in Table 3 with the characteristics of those retained in our final cleaned sample of persons with no missing data. It can be observed that the two samples are closely consistent, the main difference of note being a slight under-representation of those aged 75+ (8.9% vs. 6.9%), and a slight tendency for the cleaned sample to over-represent the more affluent (e.g. 59% vs. 55% in work).</w:t>
      </w:r>
    </w:p>
    <w:p w14:paraId="5D31B6BF" w14:textId="77777777" w:rsidR="009B1A49" w:rsidRPr="009B1A49" w:rsidRDefault="009B1A49" w:rsidP="009B1A49">
      <w:pPr>
        <w:widowControl w:val="0"/>
        <w:autoSpaceDE w:val="0"/>
        <w:autoSpaceDN w:val="0"/>
        <w:adjustRightInd w:val="0"/>
        <w:spacing w:after="240"/>
        <w:jc w:val="both"/>
        <w:rPr>
          <w:rFonts w:asciiTheme="majorHAnsi" w:hAnsiTheme="majorHAnsi" w:cs="Times"/>
          <w:i/>
          <w:lang w:val="en-US"/>
        </w:rPr>
      </w:pPr>
      <w:r w:rsidRPr="009B1A49">
        <w:rPr>
          <w:rFonts w:asciiTheme="majorHAnsi" w:hAnsiTheme="majorHAnsi" w:cs="Times"/>
          <w:i/>
          <w:lang w:val="en-US"/>
        </w:rPr>
        <w:t>The prevalence of comorbidity</w:t>
      </w:r>
    </w:p>
    <w:p w14:paraId="573C9A26"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Table 4 presents the comorbidity profile by age and by age/gender observed in the cleaned HSE weighted sample. In general, morbidity and comorbidity rates are marginally higher for men than for women. The main exception is obesity, which is more common among women than men. There are also clear age patterns. CVD prevalence among the private household population (on its own or as part of a comorbidity) increases continuously with age for both sexes, reaching around 35% among those aged 75+. Diabetes prevalence also increases continuously with age for women, affecting 10% of those aged 75+, but for men peaks at around 13% in the age range 65–74. Obesity is far more common than either CVD or diabetes in younger ages, but its prevalence falls slightly in the oldest age groups, having peaked at around 33% for men aged 55–64 and women aged 65–74. Patterns of disease combination also vary. Obesity is more common as a stand-alone morbidity than as part of a comorbidity set, for all persons except men aged 75+. Conversely, diabetes is more commonly found in tandem with CVD or obesity than on its own at all ages, as is CVD until ages 75+. The most common comorbidity is CVD and obesity, peaking at 10% among those aged 75+. For individuals aged 75+, the rarest type of comorbidity involves all </w:t>
      </w:r>
      <w:proofErr w:type="gramStart"/>
      <w:r w:rsidRPr="009B1A49">
        <w:rPr>
          <w:rFonts w:asciiTheme="majorHAnsi" w:hAnsiTheme="majorHAnsi" w:cs="Times"/>
          <w:lang w:val="en-US"/>
        </w:rPr>
        <w:t>three health</w:t>
      </w:r>
      <w:proofErr w:type="gramEnd"/>
      <w:r w:rsidRPr="009B1A49">
        <w:rPr>
          <w:rFonts w:asciiTheme="majorHAnsi" w:hAnsiTheme="majorHAnsi" w:cs="Times"/>
          <w:lang w:val="en-US"/>
        </w:rPr>
        <w:t xml:space="preserve"> conditions.</w:t>
      </w:r>
    </w:p>
    <w:p w14:paraId="4AF278B3"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For younger age groups, however, the combination of CVD and diabetes alone is </w:t>
      </w:r>
      <w:proofErr w:type="gramStart"/>
      <w:r w:rsidRPr="009B1A49">
        <w:rPr>
          <w:rFonts w:asciiTheme="majorHAnsi" w:hAnsiTheme="majorHAnsi" w:cs="Times"/>
          <w:lang w:val="en-US"/>
        </w:rPr>
        <w:t>rarer</w:t>
      </w:r>
      <w:proofErr w:type="gramEnd"/>
      <w:r w:rsidRPr="009B1A49">
        <w:rPr>
          <w:rFonts w:asciiTheme="majorHAnsi" w:hAnsiTheme="majorHAnsi" w:cs="Times"/>
          <w:lang w:val="en-US"/>
        </w:rPr>
        <w:t>. If obesity leads to later onset diabetes and/or CVD, then the results in Table 4 suggest that a key health policy intervention should be to seek to reduce high levels of early-life obesity. There is also scope to assess the extent to which the prevalence of private household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xml:space="preserve"> revealed through health service usage matches that recorded in the HSE, in order to ensure that adequate health services exist to provide the complex care required to enable older comorbid patients to remain living at home. Finally, due account should be taken of the way in which the various (</w:t>
      </w:r>
      <w:proofErr w:type="gramStart"/>
      <w:r w:rsidRPr="009B1A49">
        <w:rPr>
          <w:rFonts w:asciiTheme="majorHAnsi" w:hAnsiTheme="majorHAnsi" w:cs="Times"/>
          <w:lang w:val="en-US"/>
        </w:rPr>
        <w:t>co)morbidities</w:t>
      </w:r>
      <w:proofErr w:type="gramEnd"/>
      <w:r w:rsidRPr="009B1A49">
        <w:rPr>
          <w:rFonts w:asciiTheme="majorHAnsi" w:hAnsiTheme="majorHAnsi" w:cs="Times"/>
          <w:lang w:val="en-US"/>
        </w:rPr>
        <w:t xml:space="preserve"> peak by age and sex.</w:t>
      </w:r>
    </w:p>
    <w:p w14:paraId="530D3D26" w14:textId="77777777" w:rsidR="009B1A49" w:rsidRPr="009B1A49" w:rsidRDefault="009B1A49" w:rsidP="009B1A49">
      <w:pPr>
        <w:widowControl w:val="0"/>
        <w:autoSpaceDE w:val="0"/>
        <w:autoSpaceDN w:val="0"/>
        <w:adjustRightInd w:val="0"/>
        <w:spacing w:after="240"/>
        <w:jc w:val="both"/>
        <w:rPr>
          <w:rFonts w:asciiTheme="majorHAnsi" w:hAnsiTheme="majorHAnsi" w:cs="Times"/>
          <w:i/>
          <w:lang w:val="en-US"/>
        </w:rPr>
      </w:pPr>
      <w:r w:rsidRPr="009B1A49">
        <w:rPr>
          <w:rFonts w:asciiTheme="majorHAnsi" w:hAnsiTheme="majorHAnsi" w:cs="Times"/>
          <w:i/>
          <w:lang w:val="en-US"/>
        </w:rPr>
        <w:t>Multinomial logistic analysis</w:t>
      </w:r>
    </w:p>
    <w:p w14:paraId="3DEFB7A4"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Table 5 continues the analysis of the demographic and socioeconomic determinants of comorbidity by presenting the results of the multinomial model. For all combinations of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the lowest risk is associated with the reference group (female, age 16– 54, white, single, high income, with a degree, owning their own home, living in the least deprived areas and currently a regular smoker). Of the health outcomes considered, CVD–diabetes has the lowest reference group risk relative to healthy persons (individuals with neither obesity, nor CVD or diabetes as long-standing illness), while single morbidity obesity has the highest risk relative to healthy persons.</w:t>
      </w:r>
    </w:p>
    <w:p w14:paraId="3064EA7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Table 5 confirms the gender patterns observed in Table 4. Namely, the risk of suffering from obesity only is higher for women than for men, relative to healthy persons, whereas the risk for all other single morbidities and comorbidities is significantly higher for men than for women. The relationship between age and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xml:space="preserve"> is more complex. The odds ratios increase with age for single CVD (OR = 5.41, 7.06, 11.22) and diabetes (OR = 2.68, 4.30, 5.76), relative to healthy persons. These findings coincide with existing 2012 clinical-based estimates on CVD and related risk factor estimates, which report an age gradient for CVD and diabetes and similar gender differentials on the considered single morbidities (British Heart Foundation 2014). For single obesity [OR = 1.29, 1.21, 0.85 (not significant)], the story is more complex, with the odds ratio highest for the age category 55–64 but falling thereafter, such that those in the oldest age category (75+) actually have a lower risk than that observed for the reference age category of 16–54, having controlled for other demographic and socioeconomic factors. This result may be due to a combination of one or more of three possible causes. First, the oldest individuals within the group may have lower rates of obesity due to a cohort effect, whereby less sedentary lifestyles and lower levels of high fat, high sugar processed foods throughout the life-course of oldest people in this sample lower their risk of obesity. Second, differential survival rates due to obesity lowering life expectancy may mean a small group of individuals being obese at age 75 or above (Foresight 2007). Third, as this paper is examining private households only, there may be an effect of transfer to care homes, with the obese being more likely to be selected for transfer. This complexity in the </w:t>
      </w:r>
      <w:proofErr w:type="spellStart"/>
      <w:r w:rsidRPr="009B1A49">
        <w:rPr>
          <w:rFonts w:asciiTheme="majorHAnsi" w:hAnsiTheme="majorHAnsi" w:cs="Times"/>
          <w:lang w:val="en-US"/>
        </w:rPr>
        <w:t>agerelated</w:t>
      </w:r>
      <w:proofErr w:type="spellEnd"/>
      <w:r w:rsidRPr="009B1A49">
        <w:rPr>
          <w:rFonts w:asciiTheme="majorHAnsi" w:hAnsiTheme="majorHAnsi" w:cs="Times"/>
          <w:lang w:val="en-US"/>
        </w:rPr>
        <w:t xml:space="preserve"> risk of single morbidities is echoed in the </w:t>
      </w:r>
      <w:proofErr w:type="spellStart"/>
      <w:r w:rsidRPr="009B1A49">
        <w:rPr>
          <w:rFonts w:asciiTheme="majorHAnsi" w:hAnsiTheme="majorHAnsi" w:cs="Times"/>
          <w:lang w:val="en-US"/>
        </w:rPr>
        <w:t>agerelated</w:t>
      </w:r>
      <w:proofErr w:type="spellEnd"/>
      <w:r w:rsidRPr="009B1A49">
        <w:rPr>
          <w:rFonts w:asciiTheme="majorHAnsi" w:hAnsiTheme="majorHAnsi" w:cs="Times"/>
          <w:lang w:val="en-US"/>
        </w:rPr>
        <w:t xml:space="preserve"> risks of comorbidity. For example, for the comorbidity of obesity–diabetes (OR = 4.19, 4.01,</w:t>
      </w:r>
    </w:p>
    <w:p w14:paraId="2A82BF0E"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3.18), the age-related trends for obesity and diabetes </w:t>
      </w:r>
      <w:proofErr w:type="gramStart"/>
      <w:r w:rsidRPr="009B1A49">
        <w:rPr>
          <w:rFonts w:asciiTheme="majorHAnsi" w:hAnsiTheme="majorHAnsi" w:cs="Times"/>
          <w:lang w:val="en-US"/>
        </w:rPr>
        <w:t>pull</w:t>
      </w:r>
      <w:proofErr w:type="gramEnd"/>
      <w:r w:rsidRPr="009B1A49">
        <w:rPr>
          <w:rFonts w:asciiTheme="majorHAnsi" w:hAnsiTheme="majorHAnsi" w:cs="Times"/>
          <w:lang w:val="en-US"/>
        </w:rPr>
        <w:t xml:space="preserve"> in opposite directions, with the impact of obesity ultimately appearing to outweigh that of diabetes. In contrast, for the comorbidity of CVD–diabetes, risk increases straightforwardly with age (OR = 4.36, 8.48, 15.32), consistent with the fact that both single morbidities ‘pull’ in the same direction.</w:t>
      </w:r>
    </w:p>
    <w:p w14:paraId="74E832EE"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Controlling for all other factors, ethnicity was found to be significant for five of the seven (</w:t>
      </w:r>
      <w:proofErr w:type="gramStart"/>
      <w:r w:rsidRPr="009B1A49">
        <w:rPr>
          <w:rFonts w:asciiTheme="majorHAnsi" w:hAnsiTheme="majorHAnsi" w:cs="Times"/>
          <w:lang w:val="en-US"/>
        </w:rPr>
        <w:t>co)morbidities</w:t>
      </w:r>
      <w:proofErr w:type="gramEnd"/>
      <w:r w:rsidRPr="009B1A49">
        <w:rPr>
          <w:rFonts w:asciiTheme="majorHAnsi" w:hAnsiTheme="majorHAnsi" w:cs="Times"/>
          <w:lang w:val="en-US"/>
        </w:rPr>
        <w:t xml:space="preserve">. All single and comorbidities other than single morbidity CVD were significantly more likely to happen in the black population than in the predominant white population, with the highest odds ratio observed for diabetes and CVD–diabetes (OR = 2.85, 4.53). In contrast, only single morbidity diabetes and CVD–diabetes are significantly more likely to occur in the Asian population (OR = 3.33, 4.24) than in the predominant white population. This result is similar to research by </w:t>
      </w:r>
      <w:proofErr w:type="spellStart"/>
      <w:r w:rsidRPr="009B1A49">
        <w:rPr>
          <w:rFonts w:asciiTheme="majorHAnsi" w:hAnsiTheme="majorHAnsi" w:cs="Times"/>
          <w:lang w:val="en-US"/>
        </w:rPr>
        <w:t>Tallin</w:t>
      </w:r>
      <w:proofErr w:type="spellEnd"/>
      <w:r w:rsidRPr="009B1A49">
        <w:rPr>
          <w:rFonts w:asciiTheme="majorHAnsi" w:hAnsiTheme="majorHAnsi" w:cs="Times"/>
          <w:lang w:val="en-US"/>
        </w:rPr>
        <w:t xml:space="preserve"> et al. (2012), whose study reported diabetes to be the most prevalent in these ethnic groups. Conversely, obesity and obesity–CVD are significantly less likely to occur in the Asian population (OR = 0.61, 0.47) relative to the white population. In combination with the observed higher diabetes risk, this result points to the debate on the suitability of the current BMI threshold defining obesity for the Asian population (see e.g. James et al. 2002). The recent NICE Public Health Guidance (2013) is to use specific BMI thresholds (lower than usual) for both black and Asian ethnic groups to define obesity only for diabetes prevention, but not for the general purpose of defining obesity. However, to date, a consensus on the specific BMI thresholds to use for each ethnicity group has not yet been reached.</w:t>
      </w:r>
    </w:p>
    <w:p w14:paraId="0AF6D32B"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Turning our attention to marital status, being single was associated with a lower odds ratio than any other marital status across all morbidity combinations, controlling for the other factors in the model. Other than the reference category single, cohabitees experienced the lowest risks across all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xml:space="preserve"> types, many of which were not statistically different from the reference category. Despite having controlled for age, the highest odds ratio was experienced by the widowed for all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xml:space="preserve"> categories except single morbidity diabetes and obesity–diabetes, where the separated/divorced experienced a higher risk. Other than this, the odds ratio for those married or separated/divorced were similar to, but slightly lower than, those who were widowed. One clear point to draw from this analysis of marital status is that being single is a protector for all comorbidities. This result is a surprise given the supposed protective effect of marriage for most health outcomes (Williams 2003). It should also be noted that despite controlling for age, there is a danger that the influences of marital status and age remain partially confounded due to the wide range of the first age group (16–54), necessitated by the low numbers of the comorbid in younger ages.</w:t>
      </w:r>
    </w:p>
    <w:p w14:paraId="3A0FD217"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Table 5 also considers the impact of a range of socioeconomic factors. Controlling for all other factors, persons in the highest income </w:t>
      </w:r>
      <w:proofErr w:type="spellStart"/>
      <w:r w:rsidRPr="009B1A49">
        <w:rPr>
          <w:rFonts w:asciiTheme="majorHAnsi" w:hAnsiTheme="majorHAnsi" w:cs="Times"/>
          <w:lang w:val="en-US"/>
        </w:rPr>
        <w:t>tertile</w:t>
      </w:r>
      <w:proofErr w:type="spellEnd"/>
      <w:r w:rsidRPr="009B1A49">
        <w:rPr>
          <w:rFonts w:asciiTheme="majorHAnsi" w:hAnsiTheme="majorHAnsi" w:cs="Times"/>
          <w:lang w:val="en-US"/>
        </w:rPr>
        <w:t xml:space="preserve"> experience the lowest risk across all morbidity combinations. There is also an observable income gradient for all (</w:t>
      </w:r>
      <w:proofErr w:type="gramStart"/>
      <w:r w:rsidRPr="009B1A49">
        <w:rPr>
          <w:rFonts w:asciiTheme="majorHAnsi" w:hAnsiTheme="majorHAnsi" w:cs="Times"/>
          <w:lang w:val="en-US"/>
        </w:rPr>
        <w:t>co)morbidities</w:t>
      </w:r>
      <w:proofErr w:type="gramEnd"/>
      <w:r w:rsidRPr="009B1A49">
        <w:rPr>
          <w:rFonts w:asciiTheme="majorHAnsi" w:hAnsiTheme="majorHAnsi" w:cs="Times"/>
          <w:lang w:val="en-US"/>
        </w:rPr>
        <w:t xml:space="preserve"> except CVD, with lower income being associated with higher odds ratios, although this gradient is only significant for obesity, and all three morbidities combined. For example, those in the </w:t>
      </w:r>
      <w:proofErr w:type="spellStart"/>
      <w:r w:rsidRPr="009B1A49">
        <w:rPr>
          <w:rFonts w:asciiTheme="majorHAnsi" w:hAnsiTheme="majorHAnsi" w:cs="Times"/>
          <w:lang w:val="en-US"/>
        </w:rPr>
        <w:t>middleincome</w:t>
      </w:r>
      <w:proofErr w:type="spellEnd"/>
      <w:r w:rsidRPr="009B1A49">
        <w:rPr>
          <w:rFonts w:asciiTheme="majorHAnsi" w:hAnsiTheme="majorHAnsi" w:cs="Times"/>
          <w:lang w:val="en-US"/>
        </w:rPr>
        <w:t xml:space="preserve"> </w:t>
      </w:r>
      <w:proofErr w:type="spellStart"/>
      <w:r w:rsidRPr="009B1A49">
        <w:rPr>
          <w:rFonts w:asciiTheme="majorHAnsi" w:hAnsiTheme="majorHAnsi" w:cs="Times"/>
          <w:lang w:val="en-US"/>
        </w:rPr>
        <w:t>tertile</w:t>
      </w:r>
      <w:proofErr w:type="spellEnd"/>
      <w:r w:rsidRPr="009B1A49">
        <w:rPr>
          <w:rFonts w:asciiTheme="majorHAnsi" w:hAnsiTheme="majorHAnsi" w:cs="Times"/>
          <w:lang w:val="en-US"/>
        </w:rPr>
        <w:t xml:space="preserve"> have an odds ratio of 1.47 for all three comorbidities</w:t>
      </w:r>
      <w:proofErr w:type="gramStart"/>
      <w:r w:rsidRPr="009B1A49">
        <w:rPr>
          <w:rFonts w:asciiTheme="majorHAnsi" w:hAnsiTheme="majorHAnsi" w:cs="Times"/>
          <w:lang w:val="en-US"/>
        </w:rPr>
        <w:t>;</w:t>
      </w:r>
      <w:proofErr w:type="gramEnd"/>
      <w:r w:rsidRPr="009B1A49">
        <w:rPr>
          <w:rFonts w:asciiTheme="majorHAnsi" w:hAnsiTheme="majorHAnsi" w:cs="Times"/>
          <w:lang w:val="en-US"/>
        </w:rPr>
        <w:t xml:space="preserve"> a risk which increases to 1.85 in the lowest income </w:t>
      </w:r>
      <w:proofErr w:type="spellStart"/>
      <w:r w:rsidRPr="009B1A49">
        <w:rPr>
          <w:rFonts w:asciiTheme="majorHAnsi" w:hAnsiTheme="majorHAnsi" w:cs="Times"/>
          <w:lang w:val="en-US"/>
        </w:rPr>
        <w:t>tertile</w:t>
      </w:r>
      <w:proofErr w:type="spellEnd"/>
      <w:r w:rsidRPr="009B1A49">
        <w:rPr>
          <w:rFonts w:asciiTheme="majorHAnsi" w:hAnsiTheme="majorHAnsi" w:cs="Times"/>
          <w:lang w:val="en-US"/>
        </w:rPr>
        <w:t>. Other indicators of affluence display a similar gradient. Not having a degree increases the odds ratio for all disease combinations (not significant for diabetes and obesity–diabetes), while not being in work increases the risk for all but obesity. For tenure, the story is more complex, per-</w:t>
      </w:r>
    </w:p>
    <w:p w14:paraId="0BFBA269"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gramStart"/>
      <w:r w:rsidRPr="009B1A49">
        <w:rPr>
          <w:rFonts w:asciiTheme="majorHAnsi" w:hAnsiTheme="majorHAnsi" w:cs="Times"/>
          <w:lang w:val="en-US"/>
        </w:rPr>
        <w:t>haps</w:t>
      </w:r>
      <w:proofErr w:type="gramEnd"/>
      <w:r w:rsidRPr="009B1A49">
        <w:rPr>
          <w:rFonts w:asciiTheme="majorHAnsi" w:hAnsiTheme="majorHAnsi" w:cs="Times"/>
          <w:lang w:val="en-US"/>
        </w:rPr>
        <w:t xml:space="preserve"> reflecting the somewhat indirect link between income and chosen tenure category. However, </w:t>
      </w:r>
      <w:proofErr w:type="gramStart"/>
      <w:r w:rsidRPr="009B1A49">
        <w:rPr>
          <w:rFonts w:asciiTheme="majorHAnsi" w:hAnsiTheme="majorHAnsi" w:cs="Times"/>
          <w:lang w:val="en-US"/>
        </w:rPr>
        <w:t>home owners</w:t>
      </w:r>
      <w:proofErr w:type="gramEnd"/>
      <w:r w:rsidRPr="009B1A49">
        <w:rPr>
          <w:rFonts w:asciiTheme="majorHAnsi" w:hAnsiTheme="majorHAnsi" w:cs="Times"/>
          <w:lang w:val="en-US"/>
        </w:rPr>
        <w:t xml:space="preserve"> (the reference category) do have a lower odds ratio for all disease combinations except single morbidity CVD and diabetes, although this reduced risk is statistically significant only for obesity and for all three comorbidities.</w:t>
      </w:r>
    </w:p>
    <w:p w14:paraId="4F9258C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With regard to area effects, the broad pattern is that living in more deprived lower super output areas (IMD, 2010) is associated with an increased odds ratio of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The exception is that for diabetes, obesity–diabetes and CVD–diabetes, the odds ratio reduces slightly for the most deprived areas, although it still remains higher for the least deprived areas. This finding is similar to that of Charlton et al. (2013) who found a significant association between area deprivation and comorbidities in England.</w:t>
      </w:r>
    </w:p>
    <w:p w14:paraId="3C63D04F"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Finally, we turn our attention to lifestyle. Here, the multinomial model found that, as expected, former regular smokers have a higher disease risk than non-smokers for all disease combinations. Current smokers were also found to have statistically significant lower levels of risk than those who had never smoked regularly for most disease combinations. Given the known health risks associated with smoking, this was deemed a surprising result. To examine this relationship further, a simple logistic model was run for obesity using smoking status as the independent variable and controlling for demographic factors. The logistic model showed that average BMI is lower for current smokers than for non-smokers, while BMI is highest for ex-smokers. These relationships are significant.</w:t>
      </w:r>
    </w:p>
    <w:p w14:paraId="5C3B4BA0"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An increase in weight when quitting smoking has been reported elsewhere (Alley et al. 2010, </w:t>
      </w:r>
      <w:proofErr w:type="spellStart"/>
      <w:r w:rsidRPr="009B1A49">
        <w:rPr>
          <w:rFonts w:asciiTheme="majorHAnsi" w:hAnsiTheme="majorHAnsi" w:cs="Times"/>
          <w:lang w:val="en-US"/>
        </w:rPr>
        <w:t>Aubin</w:t>
      </w:r>
      <w:proofErr w:type="spellEnd"/>
      <w:r w:rsidRPr="009B1A49">
        <w:rPr>
          <w:rFonts w:asciiTheme="majorHAnsi" w:hAnsiTheme="majorHAnsi" w:cs="Times"/>
          <w:lang w:val="en-US"/>
        </w:rPr>
        <w:t xml:space="preserve"> et al. 2012), and we </w:t>
      </w:r>
      <w:proofErr w:type="spellStart"/>
      <w:r w:rsidRPr="009B1A49">
        <w:rPr>
          <w:rFonts w:asciiTheme="majorHAnsi" w:hAnsiTheme="majorHAnsi" w:cs="Times"/>
          <w:lang w:val="en-US"/>
        </w:rPr>
        <w:t>hypothesise</w:t>
      </w:r>
      <w:proofErr w:type="spellEnd"/>
      <w:r w:rsidRPr="009B1A49">
        <w:rPr>
          <w:rFonts w:asciiTheme="majorHAnsi" w:hAnsiTheme="majorHAnsi" w:cs="Times"/>
          <w:lang w:val="en-US"/>
        </w:rPr>
        <w:t xml:space="preserve"> that the decreased obesity risk for current smokers compared to </w:t>
      </w:r>
      <w:proofErr w:type="spellStart"/>
      <w:r w:rsidRPr="009B1A49">
        <w:rPr>
          <w:rFonts w:asciiTheme="majorHAnsi" w:hAnsiTheme="majorHAnsi" w:cs="Times"/>
          <w:lang w:val="en-US"/>
        </w:rPr>
        <w:t>exsmokers</w:t>
      </w:r>
      <w:proofErr w:type="spellEnd"/>
      <w:r w:rsidRPr="009B1A49">
        <w:rPr>
          <w:rFonts w:asciiTheme="majorHAnsi" w:hAnsiTheme="majorHAnsi" w:cs="Times"/>
          <w:lang w:val="en-US"/>
        </w:rPr>
        <w:t xml:space="preserve"> is associated with such weight gain. Finally, it should be observed that for all but one disease combination, the odds ratio for current smokers is markedly lower than for former regular smokers. Given that numerous medical studies show that quitting smoking reduces disease risk (see e.g. Clair et al. 2013 on CVD), this is </w:t>
      </w:r>
      <w:proofErr w:type="spellStart"/>
      <w:r w:rsidRPr="009B1A49">
        <w:rPr>
          <w:rFonts w:asciiTheme="majorHAnsi" w:hAnsiTheme="majorHAnsi" w:cs="Times"/>
          <w:lang w:val="en-US"/>
        </w:rPr>
        <w:t>hypothesised</w:t>
      </w:r>
      <w:proofErr w:type="spellEnd"/>
      <w:r w:rsidRPr="009B1A49">
        <w:rPr>
          <w:rFonts w:asciiTheme="majorHAnsi" w:hAnsiTheme="majorHAnsi" w:cs="Times"/>
          <w:lang w:val="en-US"/>
        </w:rPr>
        <w:t xml:space="preserve"> to be in part due to the weight-gain effect of quitting smoking noted above, and in part due to a selection effect, whereby smokers are more likely to become ex-smokers once they have contracted a smoking-related morbidity.</w:t>
      </w:r>
    </w:p>
    <w:p w14:paraId="69D12CA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b/>
          <w:sz w:val="26"/>
          <w:szCs w:val="26"/>
          <w:lang w:val="en-US"/>
        </w:rPr>
        <w:t>Discussion</w:t>
      </w:r>
    </w:p>
    <w:p w14:paraId="18AB530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Previous clinical research into comorbidity has focused mainly on identifying the most prevalent and </w:t>
      </w:r>
      <w:proofErr w:type="spellStart"/>
      <w:r w:rsidRPr="009B1A49">
        <w:rPr>
          <w:rFonts w:asciiTheme="majorHAnsi" w:hAnsiTheme="majorHAnsi" w:cs="Times"/>
          <w:lang w:val="en-US"/>
        </w:rPr>
        <w:t>prognostically</w:t>
      </w:r>
      <w:proofErr w:type="spellEnd"/>
      <w:r w:rsidRPr="009B1A49">
        <w:rPr>
          <w:rFonts w:asciiTheme="majorHAnsi" w:hAnsiTheme="majorHAnsi" w:cs="Times"/>
          <w:lang w:val="en-US"/>
        </w:rPr>
        <w:t xml:space="preserve"> important illnesses that tend to demonstrate comorbidity (</w:t>
      </w:r>
      <w:proofErr w:type="spellStart"/>
      <w:r w:rsidRPr="009B1A49">
        <w:rPr>
          <w:rFonts w:asciiTheme="majorHAnsi" w:hAnsiTheme="majorHAnsi" w:cs="Times"/>
          <w:lang w:val="en-US"/>
        </w:rPr>
        <w:t>Sachdev</w:t>
      </w:r>
      <w:proofErr w:type="spellEnd"/>
      <w:r w:rsidRPr="009B1A49">
        <w:rPr>
          <w:rFonts w:asciiTheme="majorHAnsi" w:hAnsiTheme="majorHAnsi" w:cs="Times"/>
          <w:lang w:val="en-US"/>
        </w:rPr>
        <w:t xml:space="preserve"> et al. 2004), while both </w:t>
      </w:r>
      <w:proofErr w:type="spellStart"/>
      <w:r w:rsidRPr="009B1A49">
        <w:rPr>
          <w:rFonts w:asciiTheme="majorHAnsi" w:hAnsiTheme="majorHAnsi" w:cs="Times"/>
          <w:lang w:val="en-US"/>
        </w:rPr>
        <w:t>clinicaland</w:t>
      </w:r>
      <w:proofErr w:type="spellEnd"/>
      <w:r w:rsidRPr="009B1A49">
        <w:rPr>
          <w:rFonts w:asciiTheme="majorHAnsi" w:hAnsiTheme="majorHAnsi" w:cs="Times"/>
          <w:lang w:val="en-US"/>
        </w:rPr>
        <w:t xml:space="preserve"> population-based research have focused on the elderly population, with age and sex viewed as the prime determinants of comorbidity. Yet, an individual’s health is known to be the outcome of multi-faceted processes and not just the result of ageing or initial health status alone (Morrissey et. al. 2013). Our analysis of persons aged 16 and over living in private households in England suggests that </w:t>
      </w:r>
      <w:proofErr w:type="spellStart"/>
      <w:r w:rsidRPr="009B1A49">
        <w:rPr>
          <w:rFonts w:asciiTheme="majorHAnsi" w:hAnsiTheme="majorHAnsi" w:cs="Times"/>
          <w:lang w:val="en-US"/>
        </w:rPr>
        <w:t>individualand</w:t>
      </w:r>
      <w:proofErr w:type="spellEnd"/>
      <w:r w:rsidRPr="009B1A49">
        <w:rPr>
          <w:rFonts w:asciiTheme="majorHAnsi" w:hAnsiTheme="majorHAnsi" w:cs="Times"/>
          <w:lang w:val="en-US"/>
        </w:rPr>
        <w:t xml:space="preserve"> area-level socioeconomic characteristics are also important comorbidity risk factors, just as they are already known to be for CVD, diabetes and obesity as single morbidities (</w:t>
      </w:r>
      <w:proofErr w:type="spellStart"/>
      <w:r w:rsidRPr="009B1A49">
        <w:rPr>
          <w:rFonts w:asciiTheme="majorHAnsi" w:hAnsiTheme="majorHAnsi" w:cs="Times"/>
          <w:lang w:val="en-US"/>
        </w:rPr>
        <w:t>Congdon</w:t>
      </w:r>
      <w:proofErr w:type="spellEnd"/>
      <w:r w:rsidRPr="009B1A49">
        <w:rPr>
          <w:rFonts w:asciiTheme="majorHAnsi" w:hAnsiTheme="majorHAnsi" w:cs="Times"/>
          <w:lang w:val="en-US"/>
        </w:rPr>
        <w:t xml:space="preserve"> 2010, Kavanagh et al. 2010, </w:t>
      </w:r>
      <w:proofErr w:type="spellStart"/>
      <w:r w:rsidRPr="009B1A49">
        <w:rPr>
          <w:rFonts w:asciiTheme="majorHAnsi" w:hAnsiTheme="majorHAnsi" w:cs="Times"/>
          <w:lang w:val="en-US"/>
        </w:rPr>
        <w:t>Fone</w:t>
      </w:r>
      <w:proofErr w:type="spellEnd"/>
      <w:r w:rsidRPr="009B1A49">
        <w:rPr>
          <w:rFonts w:asciiTheme="majorHAnsi" w:hAnsiTheme="majorHAnsi" w:cs="Times"/>
          <w:lang w:val="en-US"/>
        </w:rPr>
        <w:t xml:space="preserve"> et al. 2013). We argue, therefore, that increased attention needs to be paid to the influence of socioeconomic factors on comorbidity, both in England and internationally.</w:t>
      </w:r>
    </w:p>
    <w:p w14:paraId="7F9DAC4D"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Other factors are also associated with comorbidity. Our analysis found that gender and marital status are significant predictors of all </w:t>
      </w:r>
      <w:proofErr w:type="gramStart"/>
      <w:r w:rsidRPr="009B1A49">
        <w:rPr>
          <w:rFonts w:asciiTheme="majorHAnsi" w:hAnsiTheme="majorHAnsi" w:cs="Times"/>
          <w:lang w:val="en-US"/>
        </w:rPr>
        <w:t>seven disease</w:t>
      </w:r>
      <w:proofErr w:type="gramEnd"/>
      <w:r w:rsidRPr="009B1A49">
        <w:rPr>
          <w:rFonts w:asciiTheme="majorHAnsi" w:hAnsiTheme="majorHAnsi" w:cs="Times"/>
          <w:lang w:val="en-US"/>
        </w:rPr>
        <w:t xml:space="preserve"> combinations considered (except obesity for gender). With regard to ethnicity, the black population presents a high risk for diabetes (and diabetes-related comorbidity), while the Asian population presents a high risk for diabetes but low risk for obesity. With regard to socioeconomic status, having controlled for demographic and lifestyle factors, the risk for all of the comorbidities considered was lowest for individuals with an </w:t>
      </w:r>
      <w:proofErr w:type="spellStart"/>
      <w:r w:rsidRPr="009B1A49">
        <w:rPr>
          <w:rFonts w:asciiTheme="majorHAnsi" w:hAnsiTheme="majorHAnsi" w:cs="Times"/>
          <w:lang w:val="en-US"/>
        </w:rPr>
        <w:t>equivalised</w:t>
      </w:r>
      <w:proofErr w:type="spellEnd"/>
      <w:r w:rsidRPr="009B1A49">
        <w:rPr>
          <w:rFonts w:asciiTheme="majorHAnsi" w:hAnsiTheme="majorHAnsi" w:cs="Times"/>
          <w:lang w:val="en-US"/>
        </w:rPr>
        <w:t xml:space="preserve"> income in the highest </w:t>
      </w:r>
      <w:proofErr w:type="spellStart"/>
      <w:r w:rsidRPr="009B1A49">
        <w:rPr>
          <w:rFonts w:asciiTheme="majorHAnsi" w:hAnsiTheme="majorHAnsi" w:cs="Times"/>
          <w:lang w:val="en-US"/>
        </w:rPr>
        <w:t>tertile</w:t>
      </w:r>
      <w:proofErr w:type="spellEnd"/>
      <w:r w:rsidRPr="009B1A49">
        <w:rPr>
          <w:rFonts w:asciiTheme="majorHAnsi" w:hAnsiTheme="majorHAnsi" w:cs="Times"/>
          <w:lang w:val="en-US"/>
        </w:rPr>
        <w:t>, owning their own home, working and having a degree. Examining the area-level variable IMD, the analysis found that the most deprived areas have higher levels of morbidity and comorbidity than the least deprived areas. Having controlled for demographic characteristics, the continuing strong associations between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xml:space="preserve"> and lower </w:t>
      </w:r>
      <w:proofErr w:type="spellStart"/>
      <w:r w:rsidRPr="009B1A49">
        <w:rPr>
          <w:rFonts w:asciiTheme="majorHAnsi" w:hAnsiTheme="majorHAnsi" w:cs="Times"/>
          <w:lang w:val="en-US"/>
        </w:rPr>
        <w:t>individuallevel</w:t>
      </w:r>
      <w:proofErr w:type="spellEnd"/>
      <w:r w:rsidRPr="009B1A49">
        <w:rPr>
          <w:rFonts w:asciiTheme="majorHAnsi" w:hAnsiTheme="majorHAnsi" w:cs="Times"/>
          <w:lang w:val="en-US"/>
        </w:rPr>
        <w:t xml:space="preserve"> and area-level </w:t>
      </w:r>
      <w:proofErr w:type="spellStart"/>
      <w:r w:rsidRPr="009B1A49">
        <w:rPr>
          <w:rFonts w:asciiTheme="majorHAnsi" w:hAnsiTheme="majorHAnsi" w:cs="Times"/>
          <w:lang w:val="en-US"/>
        </w:rPr>
        <w:t>socioecomomic</w:t>
      </w:r>
      <w:proofErr w:type="spellEnd"/>
      <w:r w:rsidRPr="009B1A49">
        <w:rPr>
          <w:rFonts w:asciiTheme="majorHAnsi" w:hAnsiTheme="majorHAnsi" w:cs="Times"/>
          <w:lang w:val="en-US"/>
        </w:rPr>
        <w:t xml:space="preserve"> status reinforce the need to concentrate health promotion and health policy efforts on reducing social inequalities rather than on targeting particular age groups or </w:t>
      </w:r>
      <w:proofErr w:type="spellStart"/>
      <w:r w:rsidRPr="009B1A49">
        <w:rPr>
          <w:rFonts w:asciiTheme="majorHAnsi" w:hAnsiTheme="majorHAnsi" w:cs="Times"/>
          <w:lang w:val="en-US"/>
        </w:rPr>
        <w:t>behavioural</w:t>
      </w:r>
      <w:proofErr w:type="spellEnd"/>
      <w:r w:rsidRPr="009B1A49">
        <w:rPr>
          <w:rFonts w:asciiTheme="majorHAnsi" w:hAnsiTheme="majorHAnsi" w:cs="Times"/>
          <w:lang w:val="en-US"/>
        </w:rPr>
        <w:t xml:space="preserve"> characteristics alone (Kavanagh et al. 2010). The association between IMD quintile and comorbidity also suggests that health interventions need to be spatially targeted.</w:t>
      </w:r>
    </w:p>
    <w:p w14:paraId="5EE807F9"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Following </w:t>
      </w:r>
      <w:proofErr w:type="spellStart"/>
      <w:r w:rsidRPr="009B1A49">
        <w:rPr>
          <w:rFonts w:asciiTheme="majorHAnsi" w:hAnsiTheme="majorHAnsi" w:cs="Times"/>
          <w:lang w:val="en-US"/>
        </w:rPr>
        <w:t>Frohlich</w:t>
      </w:r>
      <w:proofErr w:type="spellEnd"/>
      <w:r w:rsidRPr="009B1A49">
        <w:rPr>
          <w:rFonts w:asciiTheme="majorHAnsi" w:hAnsiTheme="majorHAnsi" w:cs="Times"/>
          <w:lang w:val="en-US"/>
        </w:rPr>
        <w:t xml:space="preserve"> and </w:t>
      </w:r>
      <w:proofErr w:type="spellStart"/>
      <w:r w:rsidRPr="009B1A49">
        <w:rPr>
          <w:rFonts w:asciiTheme="majorHAnsi" w:hAnsiTheme="majorHAnsi" w:cs="Times"/>
          <w:lang w:val="en-US"/>
        </w:rPr>
        <w:t>Potvin</w:t>
      </w:r>
      <w:proofErr w:type="spellEnd"/>
      <w:r w:rsidRPr="009B1A49">
        <w:rPr>
          <w:rFonts w:asciiTheme="majorHAnsi" w:hAnsiTheme="majorHAnsi" w:cs="Times"/>
          <w:lang w:val="en-US"/>
        </w:rPr>
        <w:t xml:space="preserve"> (2008), we note that interventions that attempt to alter some of society’s </w:t>
      </w:r>
      <w:proofErr w:type="spellStart"/>
      <w:r w:rsidRPr="009B1A49">
        <w:rPr>
          <w:rFonts w:asciiTheme="majorHAnsi" w:hAnsiTheme="majorHAnsi" w:cs="Times"/>
          <w:lang w:val="en-US"/>
        </w:rPr>
        <w:t>behavioural</w:t>
      </w:r>
      <w:proofErr w:type="spellEnd"/>
      <w:r w:rsidRPr="009B1A49">
        <w:rPr>
          <w:rFonts w:asciiTheme="majorHAnsi" w:hAnsiTheme="majorHAnsi" w:cs="Times"/>
          <w:lang w:val="en-US"/>
        </w:rPr>
        <w:t xml:space="preserve"> norms, for example the banning of smoking in public places, assumes that everyone’s risk exposure is reduced by the same amount, regardless of one’s initial position in the risk exposure distribution. In reality, socioeconomic position has been repeatedly shown to influence an individual’s </w:t>
      </w:r>
      <w:proofErr w:type="spellStart"/>
      <w:r w:rsidRPr="009B1A49">
        <w:rPr>
          <w:rFonts w:asciiTheme="majorHAnsi" w:hAnsiTheme="majorHAnsi" w:cs="Times"/>
          <w:lang w:val="en-US"/>
        </w:rPr>
        <w:t>behavioural</w:t>
      </w:r>
      <w:proofErr w:type="spellEnd"/>
      <w:r w:rsidRPr="009B1A49">
        <w:rPr>
          <w:rFonts w:asciiTheme="majorHAnsi" w:hAnsiTheme="majorHAnsi" w:cs="Times"/>
          <w:lang w:val="en-US"/>
        </w:rPr>
        <w:t xml:space="preserve"> characteristics (</w:t>
      </w:r>
      <w:proofErr w:type="spellStart"/>
      <w:r w:rsidRPr="009B1A49">
        <w:rPr>
          <w:rFonts w:asciiTheme="majorHAnsi" w:hAnsiTheme="majorHAnsi" w:cs="Times"/>
          <w:lang w:val="en-US"/>
        </w:rPr>
        <w:t>Frohlich</w:t>
      </w:r>
      <w:proofErr w:type="spellEnd"/>
      <w:r w:rsidRPr="009B1A49">
        <w:rPr>
          <w:rFonts w:asciiTheme="majorHAnsi" w:hAnsiTheme="majorHAnsi" w:cs="Times"/>
          <w:lang w:val="en-US"/>
        </w:rPr>
        <w:t xml:space="preserve"> &amp; </w:t>
      </w:r>
      <w:proofErr w:type="spellStart"/>
      <w:r w:rsidRPr="009B1A49">
        <w:rPr>
          <w:rFonts w:asciiTheme="majorHAnsi" w:hAnsiTheme="majorHAnsi" w:cs="Times"/>
          <w:lang w:val="en-US"/>
        </w:rPr>
        <w:t>Potvin</w:t>
      </w:r>
      <w:proofErr w:type="spellEnd"/>
      <w:r w:rsidRPr="009B1A49">
        <w:rPr>
          <w:rFonts w:asciiTheme="majorHAnsi" w:hAnsiTheme="majorHAnsi" w:cs="Times"/>
          <w:lang w:val="en-US"/>
        </w:rPr>
        <w:t xml:space="preserve"> 2008, Kavanagh et al. 2010). As </w:t>
      </w:r>
      <w:proofErr w:type="spellStart"/>
      <w:r w:rsidRPr="009B1A49">
        <w:rPr>
          <w:rFonts w:asciiTheme="majorHAnsi" w:hAnsiTheme="majorHAnsi" w:cs="Times"/>
          <w:lang w:val="en-US"/>
        </w:rPr>
        <w:t>Frohlich</w:t>
      </w:r>
      <w:proofErr w:type="spellEnd"/>
      <w:r w:rsidRPr="009B1A49">
        <w:rPr>
          <w:rFonts w:asciiTheme="majorHAnsi" w:hAnsiTheme="majorHAnsi" w:cs="Times"/>
          <w:lang w:val="en-US"/>
        </w:rPr>
        <w:t xml:space="preserve"> and </w:t>
      </w:r>
      <w:proofErr w:type="spellStart"/>
      <w:r w:rsidRPr="009B1A49">
        <w:rPr>
          <w:rFonts w:asciiTheme="majorHAnsi" w:hAnsiTheme="majorHAnsi" w:cs="Times"/>
          <w:lang w:val="en-US"/>
        </w:rPr>
        <w:t>Potvin</w:t>
      </w:r>
      <w:proofErr w:type="spellEnd"/>
      <w:r w:rsidRPr="009B1A49">
        <w:rPr>
          <w:rFonts w:asciiTheme="majorHAnsi" w:hAnsiTheme="majorHAnsi" w:cs="Times"/>
          <w:lang w:val="en-US"/>
        </w:rPr>
        <w:t xml:space="preserve"> (2008) argue, the notion of vulnerable populations differs from that of populations at risk in that a population at risk is defined by a higher measured exposure to a specific risk factor. In contrast, a vulnerable population is a </w:t>
      </w:r>
      <w:proofErr w:type="gramStart"/>
      <w:r w:rsidRPr="009B1A49">
        <w:rPr>
          <w:rFonts w:asciiTheme="majorHAnsi" w:hAnsiTheme="majorHAnsi" w:cs="Times"/>
          <w:lang w:val="en-US"/>
        </w:rPr>
        <w:t>subpopulation which</w:t>
      </w:r>
      <w:proofErr w:type="gramEnd"/>
      <w:r w:rsidRPr="009B1A49">
        <w:rPr>
          <w:rFonts w:asciiTheme="majorHAnsi" w:hAnsiTheme="majorHAnsi" w:cs="Times"/>
          <w:lang w:val="en-US"/>
        </w:rPr>
        <w:t>, because of shared social characteristics, is commonly exposed to contextual conditions that places it at a higher risk than the rest of the population. The findings of this paper indicate that, controlling for demographic factors, individuals in lower socioeconomic groups across England may be defined as vulnerable groups. Thus, we argue that inequalities in health outcomes are unlikely to change without attention being paid to the generators of socioeconomic inequalities. With regard to health policy, these findings indicate that solutions to redressing health inequalities may lie outside the health sector (</w:t>
      </w:r>
      <w:proofErr w:type="spellStart"/>
      <w:r w:rsidRPr="009B1A49">
        <w:rPr>
          <w:rFonts w:asciiTheme="majorHAnsi" w:hAnsiTheme="majorHAnsi" w:cs="Times"/>
          <w:lang w:val="en-US"/>
        </w:rPr>
        <w:t>Frohlich</w:t>
      </w:r>
      <w:proofErr w:type="spellEnd"/>
      <w:r w:rsidRPr="009B1A49">
        <w:rPr>
          <w:rFonts w:asciiTheme="majorHAnsi" w:hAnsiTheme="majorHAnsi" w:cs="Times"/>
          <w:lang w:val="en-US"/>
        </w:rPr>
        <w:t xml:space="preserve"> &amp; </w:t>
      </w:r>
      <w:proofErr w:type="spellStart"/>
      <w:r w:rsidRPr="009B1A49">
        <w:rPr>
          <w:rFonts w:asciiTheme="majorHAnsi" w:hAnsiTheme="majorHAnsi" w:cs="Times"/>
          <w:lang w:val="en-US"/>
        </w:rPr>
        <w:t>Potvin</w:t>
      </w:r>
      <w:proofErr w:type="spellEnd"/>
      <w:r w:rsidRPr="009B1A49">
        <w:rPr>
          <w:rFonts w:asciiTheme="majorHAnsi" w:hAnsiTheme="majorHAnsi" w:cs="Times"/>
          <w:lang w:val="en-US"/>
        </w:rPr>
        <w:t xml:space="preserve"> 2008, Kavanagh et al. 2010), thus calling for a more interdisciplinary approach to public health provision. We further argue that a focus on vulnerable populations is a necessary complement to a population-wide approach if social inequalities in health are to be addressed.</w:t>
      </w:r>
    </w:p>
    <w:p w14:paraId="0686BAFF"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Finally, with regard to the provision of health services, this study indicates that in England, a single disease management approach is no longer suitable for a large number of patients. As comorbidity is significantly related to increased levels of mortality and decreased functional status and quality of life, healthcare should shift its focus from specific diseases to multiple pathologies, where worsening functional status, increasing dependence of care and the increased risk of mental and social problems (</w:t>
      </w:r>
      <w:proofErr w:type="spellStart"/>
      <w:r w:rsidRPr="009B1A49">
        <w:rPr>
          <w:rFonts w:asciiTheme="majorHAnsi" w:hAnsiTheme="majorHAnsi" w:cs="Times"/>
          <w:lang w:val="en-US"/>
        </w:rPr>
        <w:t>Gijsen</w:t>
      </w:r>
      <w:proofErr w:type="spellEnd"/>
      <w:r w:rsidRPr="009B1A49">
        <w:rPr>
          <w:rFonts w:asciiTheme="majorHAnsi" w:hAnsiTheme="majorHAnsi" w:cs="Times"/>
          <w:lang w:val="en-US"/>
        </w:rPr>
        <w:t xml:space="preserve"> et al. 2001, Islam et al. 2014) are more acute. Furthermore, given the socioeconomic gradient observed in this paper and previous international research (Kavanagh et al. 2010), interventions to reduce comorbidities should be tailored to the unique risk profile and needs of high-risk communities (Rodriguez et al. 2013).</w:t>
      </w:r>
    </w:p>
    <w:p w14:paraId="79C06C73" w14:textId="77777777" w:rsidR="009B1A49" w:rsidRPr="009B1A49" w:rsidRDefault="009B1A49" w:rsidP="009B1A49">
      <w:pPr>
        <w:widowControl w:val="0"/>
        <w:autoSpaceDE w:val="0"/>
        <w:autoSpaceDN w:val="0"/>
        <w:adjustRightInd w:val="0"/>
        <w:spacing w:after="240"/>
        <w:jc w:val="both"/>
        <w:rPr>
          <w:rFonts w:asciiTheme="majorHAnsi" w:hAnsiTheme="majorHAnsi" w:cs="Times"/>
          <w:b/>
          <w:lang w:val="en-US"/>
        </w:rPr>
      </w:pPr>
      <w:r w:rsidRPr="009B1A49">
        <w:rPr>
          <w:rFonts w:asciiTheme="majorHAnsi" w:hAnsiTheme="majorHAnsi" w:cs="Times"/>
          <w:b/>
          <w:lang w:val="en-US"/>
        </w:rPr>
        <w:t>Concluding comments</w:t>
      </w:r>
    </w:p>
    <w:p w14:paraId="660D713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While the research presented in this paper focused primarily on individual-level factors, our results indicate that having controlled for these factors, risk of (</w:t>
      </w:r>
      <w:proofErr w:type="gramStart"/>
      <w:r w:rsidRPr="009B1A49">
        <w:rPr>
          <w:rFonts w:asciiTheme="majorHAnsi" w:hAnsiTheme="majorHAnsi" w:cs="Times"/>
          <w:lang w:val="en-US"/>
        </w:rPr>
        <w:t>co)morbidity</w:t>
      </w:r>
      <w:proofErr w:type="gramEnd"/>
      <w:r w:rsidRPr="009B1A49">
        <w:rPr>
          <w:rFonts w:asciiTheme="majorHAnsi" w:hAnsiTheme="majorHAnsi" w:cs="Times"/>
          <w:lang w:val="en-US"/>
        </w:rPr>
        <w:t xml:space="preserve"> is still higher in more deprived areas (as measured using IMD). To explore the association between area deprivation and comorbidity, future research must include both individual and contextual environmental factors. Place of residence is strongly patterned by social position; </w:t>
      </w:r>
      <w:proofErr w:type="spellStart"/>
      <w:r w:rsidRPr="009B1A49">
        <w:rPr>
          <w:rFonts w:asciiTheme="majorHAnsi" w:hAnsiTheme="majorHAnsi" w:cs="Times"/>
          <w:lang w:val="en-US"/>
        </w:rPr>
        <w:t>neighbourhood</w:t>
      </w:r>
      <w:proofErr w:type="spellEnd"/>
      <w:r w:rsidRPr="009B1A49">
        <w:rPr>
          <w:rFonts w:asciiTheme="majorHAnsi" w:hAnsiTheme="majorHAnsi" w:cs="Times"/>
          <w:lang w:val="en-US"/>
        </w:rPr>
        <w:t xml:space="preserve"> characteristics may be important contributors to health disparities (</w:t>
      </w:r>
      <w:proofErr w:type="spellStart"/>
      <w:r w:rsidRPr="009B1A49">
        <w:rPr>
          <w:rFonts w:asciiTheme="majorHAnsi" w:hAnsiTheme="majorHAnsi" w:cs="Times"/>
          <w:lang w:val="en-US"/>
        </w:rPr>
        <w:t>Diez</w:t>
      </w:r>
      <w:proofErr w:type="spellEnd"/>
      <w:r w:rsidRPr="009B1A49">
        <w:rPr>
          <w:rFonts w:asciiTheme="majorHAnsi" w:hAnsiTheme="majorHAnsi" w:cs="Times"/>
          <w:lang w:val="en-US"/>
        </w:rPr>
        <w:t xml:space="preserve"> Roux &amp; </w:t>
      </w:r>
      <w:proofErr w:type="spellStart"/>
      <w:r w:rsidRPr="009B1A49">
        <w:rPr>
          <w:rFonts w:asciiTheme="majorHAnsi" w:hAnsiTheme="majorHAnsi" w:cs="Times"/>
          <w:lang w:val="en-US"/>
        </w:rPr>
        <w:t>Mair</w:t>
      </w:r>
      <w:proofErr w:type="spellEnd"/>
      <w:r w:rsidRPr="009B1A49">
        <w:rPr>
          <w:rFonts w:asciiTheme="majorHAnsi" w:hAnsiTheme="majorHAnsi" w:cs="Times"/>
          <w:lang w:val="en-US"/>
        </w:rPr>
        <w:t xml:space="preserve"> 2010). There is a growing appreciation of the role that contextual environmental factors or ‘</w:t>
      </w:r>
      <w:proofErr w:type="spellStart"/>
      <w:r w:rsidRPr="009B1A49">
        <w:rPr>
          <w:rFonts w:asciiTheme="majorHAnsi" w:hAnsiTheme="majorHAnsi" w:cs="Times"/>
          <w:lang w:val="en-US"/>
        </w:rPr>
        <w:t>neighbourhood</w:t>
      </w:r>
      <w:proofErr w:type="spellEnd"/>
      <w:r w:rsidRPr="009B1A49">
        <w:rPr>
          <w:rFonts w:asciiTheme="majorHAnsi" w:hAnsiTheme="majorHAnsi" w:cs="Times"/>
          <w:lang w:val="en-US"/>
        </w:rPr>
        <w:t>’ effects play on physical</w:t>
      </w:r>
    </w:p>
    <w:p w14:paraId="2CBDF592"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gramStart"/>
      <w:r w:rsidRPr="009B1A49">
        <w:rPr>
          <w:rFonts w:asciiTheme="majorHAnsi" w:hAnsiTheme="majorHAnsi" w:cs="Times"/>
          <w:lang w:val="en-US"/>
        </w:rPr>
        <w:t>health</w:t>
      </w:r>
      <w:proofErr w:type="gramEnd"/>
      <w:r w:rsidRPr="009B1A49">
        <w:rPr>
          <w:rFonts w:asciiTheme="majorHAnsi" w:hAnsiTheme="majorHAnsi" w:cs="Times"/>
          <w:lang w:val="en-US"/>
        </w:rPr>
        <w:t xml:space="preserve"> (</w:t>
      </w:r>
      <w:proofErr w:type="spellStart"/>
      <w:r w:rsidRPr="009B1A49">
        <w:rPr>
          <w:rFonts w:asciiTheme="majorHAnsi" w:hAnsiTheme="majorHAnsi" w:cs="Times"/>
          <w:lang w:val="en-US"/>
        </w:rPr>
        <w:t>Diez</w:t>
      </w:r>
      <w:proofErr w:type="spellEnd"/>
      <w:r w:rsidRPr="009B1A49">
        <w:rPr>
          <w:rFonts w:asciiTheme="majorHAnsi" w:hAnsiTheme="majorHAnsi" w:cs="Times"/>
          <w:lang w:val="en-US"/>
        </w:rPr>
        <w:t xml:space="preserve"> Roux &amp; </w:t>
      </w:r>
      <w:proofErr w:type="spellStart"/>
      <w:r w:rsidRPr="009B1A49">
        <w:rPr>
          <w:rFonts w:asciiTheme="majorHAnsi" w:hAnsiTheme="majorHAnsi" w:cs="Times"/>
          <w:lang w:val="en-US"/>
        </w:rPr>
        <w:t>Mair</w:t>
      </w:r>
      <w:proofErr w:type="spellEnd"/>
      <w:r w:rsidRPr="009B1A49">
        <w:rPr>
          <w:rFonts w:asciiTheme="majorHAnsi" w:hAnsiTheme="majorHAnsi" w:cs="Times"/>
          <w:lang w:val="en-US"/>
        </w:rPr>
        <w:t xml:space="preserve"> 2010). </w:t>
      </w:r>
      <w:proofErr w:type="spellStart"/>
      <w:r w:rsidRPr="009B1A49">
        <w:rPr>
          <w:rFonts w:asciiTheme="majorHAnsi" w:hAnsiTheme="majorHAnsi" w:cs="Times"/>
          <w:lang w:val="en-US"/>
        </w:rPr>
        <w:t>Neighbourhoods</w:t>
      </w:r>
      <w:proofErr w:type="spellEnd"/>
      <w:r w:rsidRPr="009B1A49">
        <w:rPr>
          <w:rFonts w:asciiTheme="majorHAnsi" w:hAnsiTheme="majorHAnsi" w:cs="Times"/>
          <w:lang w:val="en-US"/>
        </w:rPr>
        <w:t xml:space="preserve"> have both physical and social attributes that may influence health. Physical attributes include access to goods and services, green space, and availability of alcohol and tobacco outlets; social attributes include community unemployment, segregation, social capital, civic participation and crime (</w:t>
      </w:r>
      <w:proofErr w:type="spellStart"/>
      <w:r w:rsidRPr="009B1A49">
        <w:rPr>
          <w:rFonts w:asciiTheme="majorHAnsi" w:hAnsiTheme="majorHAnsi" w:cs="Times"/>
          <w:lang w:val="en-US"/>
        </w:rPr>
        <w:t>Diez</w:t>
      </w:r>
      <w:proofErr w:type="spellEnd"/>
      <w:r w:rsidRPr="009B1A49">
        <w:rPr>
          <w:rFonts w:asciiTheme="majorHAnsi" w:hAnsiTheme="majorHAnsi" w:cs="Times"/>
          <w:lang w:val="en-US"/>
        </w:rPr>
        <w:t xml:space="preserve"> Roux &amp; </w:t>
      </w:r>
      <w:proofErr w:type="spellStart"/>
      <w:r w:rsidRPr="009B1A49">
        <w:rPr>
          <w:rFonts w:asciiTheme="majorHAnsi" w:hAnsiTheme="majorHAnsi" w:cs="Times"/>
          <w:lang w:val="en-US"/>
        </w:rPr>
        <w:t>Mair</w:t>
      </w:r>
      <w:proofErr w:type="spellEnd"/>
      <w:r w:rsidRPr="009B1A49">
        <w:rPr>
          <w:rFonts w:asciiTheme="majorHAnsi" w:hAnsiTheme="majorHAnsi" w:cs="Times"/>
          <w:lang w:val="en-US"/>
        </w:rPr>
        <w:t xml:space="preserve"> 2010). Thus, the next step in our own research will be to incorporate spatial referencing within the HSE via a spatial </w:t>
      </w:r>
      <w:proofErr w:type="spellStart"/>
      <w:r w:rsidRPr="009B1A49">
        <w:rPr>
          <w:rFonts w:asciiTheme="majorHAnsi" w:hAnsiTheme="majorHAnsi" w:cs="Times"/>
          <w:lang w:val="en-US"/>
        </w:rPr>
        <w:t>microsimulation</w:t>
      </w:r>
      <w:proofErr w:type="spellEnd"/>
      <w:r w:rsidRPr="009B1A49">
        <w:rPr>
          <w:rFonts w:asciiTheme="majorHAnsi" w:hAnsiTheme="majorHAnsi" w:cs="Times"/>
          <w:lang w:val="en-US"/>
        </w:rPr>
        <w:t xml:space="preserve"> algorithm (Morrissey et al. 2013, Clarke et al. 2014) and the Census of Population 2011 to help understand how rates of comorbidity are represented across England. Creating a spatially representative demographic, socioeconomic and comorbidity profile for the population of England will allow identification of comorbidity hotspots in relation to current health supply facilities, highlighting areas with potential unmet health service needs (Morrissey et al. 2008).</w:t>
      </w:r>
    </w:p>
    <w:p w14:paraId="0E82B5A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To conclude, this paper uses pooled 2008–2012 HSE data to explore the risk of comorbidity within the wider private household population of England. The HSE is a nationally representative sample, with a wide variety of health, demographic and socioeconomic variables. Using the HSE expands previous research into comorbidity from a small subset of the population recorded through clinical records to the general population. Furthermore, the individual-level nature of the HSE data also meant that comorbidities in the same person, rather than comorbidities in sub populations, could be identified. Finally, this research is innovative in that it focuses on the demographic, socioeconomic and area-level characteristics associated with comorbidity of the full adult population (16+) of England rather than the elderly population alone. This is particularly important if public health research is to be successfully used in developing prevention initiatives for comorbidity.</w:t>
      </w:r>
    </w:p>
    <w:p w14:paraId="477FE325"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b/>
          <w:sz w:val="26"/>
          <w:szCs w:val="26"/>
          <w:lang w:val="en-US"/>
        </w:rPr>
        <w:t>Acknowledgements</w:t>
      </w:r>
    </w:p>
    <w:p w14:paraId="1039D89D"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gramStart"/>
      <w:r w:rsidRPr="009B1A49">
        <w:rPr>
          <w:rFonts w:asciiTheme="majorHAnsi" w:hAnsiTheme="majorHAnsi" w:cs="Times"/>
          <w:lang w:val="en-US"/>
        </w:rPr>
        <w:t xml:space="preserve">Funding for this research was provided by the ESRC Secondary Data Analysis </w:t>
      </w:r>
      <w:proofErr w:type="spellStart"/>
      <w:r w:rsidRPr="009B1A49">
        <w:rPr>
          <w:rFonts w:asciiTheme="majorHAnsi" w:hAnsiTheme="majorHAnsi" w:cs="Times"/>
          <w:lang w:val="en-US"/>
        </w:rPr>
        <w:t>Initative</w:t>
      </w:r>
      <w:proofErr w:type="spellEnd"/>
      <w:r w:rsidRPr="009B1A49">
        <w:rPr>
          <w:rFonts w:asciiTheme="majorHAnsi" w:hAnsiTheme="majorHAnsi" w:cs="Times"/>
          <w:lang w:val="en-US"/>
        </w:rPr>
        <w:t>, Grant Number ES/K004433/1</w:t>
      </w:r>
      <w:proofErr w:type="gramEnd"/>
      <w:r w:rsidRPr="009B1A49">
        <w:rPr>
          <w:rFonts w:asciiTheme="majorHAnsi" w:hAnsiTheme="majorHAnsi" w:cs="Times"/>
          <w:lang w:val="en-US"/>
        </w:rPr>
        <w:t>.</w:t>
      </w:r>
    </w:p>
    <w:p w14:paraId="1637AE2B"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b/>
          <w:lang w:val="en-US"/>
        </w:rPr>
        <w:t>References</w:t>
      </w:r>
    </w:p>
    <w:p w14:paraId="712164C3"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Acik-Toprak</w:t>
      </w:r>
      <w:proofErr w:type="spellEnd"/>
      <w:r w:rsidRPr="009B1A49">
        <w:rPr>
          <w:rFonts w:asciiTheme="majorHAnsi" w:hAnsiTheme="majorHAnsi" w:cs="Times"/>
          <w:lang w:val="en-US"/>
        </w:rPr>
        <w:t xml:space="preserve"> N. (2012) SARs Use Example: Comparing the Health of Elderly People in Communal Establishments and Households with the 2001 Individual Licensed SARs. CCSR, University of Manchester, England.</w:t>
      </w:r>
    </w:p>
    <w:p w14:paraId="4F68E479" w14:textId="62733E8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Alley D.E., Lloyd J. &amp; </w:t>
      </w:r>
      <w:proofErr w:type="spellStart"/>
      <w:r w:rsidRPr="009B1A49">
        <w:rPr>
          <w:rFonts w:asciiTheme="majorHAnsi" w:hAnsiTheme="majorHAnsi" w:cs="Times"/>
          <w:lang w:val="en-US"/>
        </w:rPr>
        <w:t>Shardell</w:t>
      </w:r>
      <w:proofErr w:type="spellEnd"/>
      <w:r w:rsidRPr="009B1A49">
        <w:rPr>
          <w:rFonts w:asciiTheme="majorHAnsi" w:hAnsiTheme="majorHAnsi" w:cs="Times"/>
          <w:lang w:val="en-US"/>
        </w:rPr>
        <w:t xml:space="preserve"> M. (2010) Can obesity account for cross-national differences in life expectancy trends? In: E.M. </w:t>
      </w:r>
      <w:proofErr w:type="spellStart"/>
      <w:r w:rsidRPr="009B1A49">
        <w:rPr>
          <w:rFonts w:asciiTheme="majorHAnsi" w:hAnsiTheme="majorHAnsi" w:cs="Times"/>
          <w:lang w:val="en-US"/>
        </w:rPr>
        <w:t>Crimmins</w:t>
      </w:r>
      <w:proofErr w:type="spellEnd"/>
      <w:r w:rsidRPr="009B1A49">
        <w:rPr>
          <w:rFonts w:asciiTheme="majorHAnsi" w:hAnsiTheme="majorHAnsi" w:cs="Times"/>
          <w:lang w:val="en-US"/>
        </w:rPr>
        <w:t>, S.H. Preston &amp; B. Cohen (</w:t>
      </w:r>
      <w:proofErr w:type="spellStart"/>
      <w:r w:rsidRPr="009B1A49">
        <w:rPr>
          <w:rFonts w:asciiTheme="majorHAnsi" w:hAnsiTheme="majorHAnsi" w:cs="Times"/>
          <w:lang w:val="en-US"/>
        </w:rPr>
        <w:t>Eds</w:t>
      </w:r>
      <w:proofErr w:type="spellEnd"/>
      <w:r w:rsidRPr="009B1A49">
        <w:rPr>
          <w:rFonts w:asciiTheme="majorHAnsi" w:hAnsiTheme="majorHAnsi" w:cs="Times"/>
          <w:lang w:val="en-US"/>
        </w:rPr>
        <w:t>) International Differences in Mor</w:t>
      </w:r>
      <w:r w:rsidR="00FD0F48">
        <w:rPr>
          <w:rFonts w:asciiTheme="majorHAnsi" w:hAnsiTheme="majorHAnsi" w:cs="Times"/>
          <w:lang w:val="en-US"/>
        </w:rPr>
        <w:t>tality at Older Ages: Dimen</w:t>
      </w:r>
      <w:r w:rsidRPr="009B1A49">
        <w:rPr>
          <w:rFonts w:asciiTheme="majorHAnsi" w:hAnsiTheme="majorHAnsi" w:cs="Times"/>
          <w:lang w:val="en-US"/>
        </w:rPr>
        <w:t>sions and Sources, pp. 164–192. The National Academies</w:t>
      </w:r>
    </w:p>
    <w:p w14:paraId="5C7BCF15" w14:textId="77777777" w:rsidR="00FD0F48"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Press, Washington, DC</w:t>
      </w:r>
      <w:proofErr w:type="gramStart"/>
      <w:r w:rsidRPr="009B1A49">
        <w:rPr>
          <w:rFonts w:asciiTheme="majorHAnsi" w:hAnsiTheme="majorHAnsi" w:cs="Times"/>
          <w:lang w:val="en-US"/>
        </w:rPr>
        <w:t>. </w:t>
      </w:r>
      <w:proofErr w:type="spellStart"/>
      <w:proofErr w:type="gramEnd"/>
      <w:r w:rsidRPr="009B1A49">
        <w:rPr>
          <w:rFonts w:asciiTheme="majorHAnsi" w:hAnsiTheme="majorHAnsi" w:cs="Times"/>
          <w:lang w:val="en-US"/>
        </w:rPr>
        <w:t>Aubin</w:t>
      </w:r>
      <w:proofErr w:type="spellEnd"/>
      <w:r w:rsidRPr="009B1A49">
        <w:rPr>
          <w:rFonts w:asciiTheme="majorHAnsi" w:hAnsiTheme="majorHAnsi" w:cs="Times"/>
          <w:lang w:val="en-US"/>
        </w:rPr>
        <w:t xml:space="preserve"> H.J., Farley A., </w:t>
      </w:r>
      <w:proofErr w:type="spellStart"/>
      <w:r w:rsidRPr="009B1A49">
        <w:rPr>
          <w:rFonts w:asciiTheme="majorHAnsi" w:hAnsiTheme="majorHAnsi" w:cs="Times"/>
          <w:lang w:val="en-US"/>
        </w:rPr>
        <w:t>Lycett</w:t>
      </w:r>
      <w:proofErr w:type="spellEnd"/>
      <w:r w:rsidRPr="009B1A49">
        <w:rPr>
          <w:rFonts w:asciiTheme="majorHAnsi" w:hAnsiTheme="majorHAnsi" w:cs="Times"/>
          <w:lang w:val="en-US"/>
        </w:rPr>
        <w:t xml:space="preserve"> D., </w:t>
      </w:r>
      <w:proofErr w:type="spellStart"/>
      <w:r w:rsidRPr="009B1A49">
        <w:rPr>
          <w:rFonts w:asciiTheme="majorHAnsi" w:hAnsiTheme="majorHAnsi" w:cs="Times"/>
          <w:lang w:val="en-US"/>
        </w:rPr>
        <w:t>Lahmek</w:t>
      </w:r>
      <w:proofErr w:type="spellEnd"/>
      <w:r w:rsidRPr="009B1A49">
        <w:rPr>
          <w:rFonts w:asciiTheme="majorHAnsi" w:hAnsiTheme="majorHAnsi" w:cs="Times"/>
          <w:lang w:val="en-US"/>
        </w:rPr>
        <w:t xml:space="preserve"> P. &amp; </w:t>
      </w:r>
      <w:proofErr w:type="spellStart"/>
      <w:r w:rsidRPr="009B1A49">
        <w:rPr>
          <w:rFonts w:asciiTheme="majorHAnsi" w:hAnsiTheme="majorHAnsi" w:cs="Times"/>
          <w:lang w:val="en-US"/>
        </w:rPr>
        <w:t>Aveyard</w:t>
      </w:r>
      <w:proofErr w:type="spellEnd"/>
      <w:r w:rsidRPr="009B1A49">
        <w:rPr>
          <w:rFonts w:asciiTheme="majorHAnsi" w:hAnsiTheme="majorHAnsi" w:cs="Times"/>
          <w:lang w:val="en-US"/>
        </w:rPr>
        <w:t xml:space="preserve"> P.</w:t>
      </w:r>
      <w:r w:rsidR="00FD0F48">
        <w:rPr>
          <w:rFonts w:asciiTheme="majorHAnsi" w:hAnsiTheme="majorHAnsi" w:cs="Times"/>
          <w:lang w:val="en-US"/>
        </w:rPr>
        <w:t xml:space="preserve"> </w:t>
      </w:r>
      <w:r w:rsidRPr="009B1A49">
        <w:rPr>
          <w:rFonts w:asciiTheme="majorHAnsi" w:hAnsiTheme="majorHAnsi" w:cs="Times"/>
          <w:lang w:val="en-US"/>
        </w:rPr>
        <w:t>(2012) Weight gain in smokers after quitting cigarettes:</w:t>
      </w:r>
      <w:r w:rsidR="00FD0F48">
        <w:rPr>
          <w:rFonts w:asciiTheme="majorHAnsi" w:hAnsiTheme="majorHAnsi" w:cs="Times"/>
          <w:lang w:val="en-US"/>
        </w:rPr>
        <w:t xml:space="preserve"> </w:t>
      </w:r>
      <w:r w:rsidRPr="009B1A49">
        <w:rPr>
          <w:rFonts w:asciiTheme="majorHAnsi" w:hAnsiTheme="majorHAnsi" w:cs="Times"/>
          <w:lang w:val="en-US"/>
        </w:rPr>
        <w:t>meta-analysis. British Medical Journal 345, e4439</w:t>
      </w:r>
      <w:proofErr w:type="gramStart"/>
      <w:r w:rsidRPr="009B1A49">
        <w:rPr>
          <w:rFonts w:asciiTheme="majorHAnsi" w:hAnsiTheme="majorHAnsi" w:cs="Times"/>
          <w:lang w:val="en-US"/>
        </w:rPr>
        <w:t>. </w:t>
      </w:r>
      <w:proofErr w:type="gramEnd"/>
    </w:p>
    <w:p w14:paraId="77240B7A" w14:textId="77777777" w:rsidR="00FD0F48"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Barnett K., Mercer S.W., </w:t>
      </w:r>
      <w:proofErr w:type="spellStart"/>
      <w:r w:rsidRPr="009B1A49">
        <w:rPr>
          <w:rFonts w:asciiTheme="majorHAnsi" w:hAnsiTheme="majorHAnsi" w:cs="Times"/>
          <w:lang w:val="en-US"/>
        </w:rPr>
        <w:t>Norbury</w:t>
      </w:r>
      <w:proofErr w:type="spellEnd"/>
      <w:r w:rsidRPr="009B1A49">
        <w:rPr>
          <w:rFonts w:asciiTheme="majorHAnsi" w:hAnsiTheme="majorHAnsi" w:cs="Times"/>
          <w:lang w:val="en-US"/>
        </w:rPr>
        <w:t xml:space="preserve"> M., Watt G., </w:t>
      </w:r>
      <w:proofErr w:type="spellStart"/>
      <w:r w:rsidRPr="009B1A49">
        <w:rPr>
          <w:rFonts w:asciiTheme="majorHAnsi" w:hAnsiTheme="majorHAnsi" w:cs="Times"/>
          <w:lang w:val="en-US"/>
        </w:rPr>
        <w:t>Wyke</w:t>
      </w:r>
      <w:proofErr w:type="spellEnd"/>
      <w:r w:rsidRPr="009B1A49">
        <w:rPr>
          <w:rFonts w:asciiTheme="majorHAnsi" w:hAnsiTheme="majorHAnsi" w:cs="Times"/>
          <w:lang w:val="en-US"/>
        </w:rPr>
        <w:t xml:space="preserve"> S. &amp; Guthrie B. (2012) Epidemiology of </w:t>
      </w:r>
      <w:proofErr w:type="spellStart"/>
      <w:r w:rsidRPr="009B1A49">
        <w:rPr>
          <w:rFonts w:asciiTheme="majorHAnsi" w:hAnsiTheme="majorHAnsi" w:cs="Times"/>
          <w:lang w:val="en-US"/>
        </w:rPr>
        <w:t>multimorbidity</w:t>
      </w:r>
      <w:proofErr w:type="spellEnd"/>
      <w:r w:rsidRPr="009B1A49">
        <w:rPr>
          <w:rFonts w:asciiTheme="majorHAnsi" w:hAnsiTheme="majorHAnsi" w:cs="Times"/>
          <w:lang w:val="en-US"/>
        </w:rPr>
        <w:t xml:space="preserve"> and implications for health ca</w:t>
      </w:r>
      <w:r w:rsidR="00FD0F48">
        <w:rPr>
          <w:rFonts w:asciiTheme="majorHAnsi" w:hAnsiTheme="majorHAnsi" w:cs="Times"/>
          <w:lang w:val="en-US"/>
        </w:rPr>
        <w:t>re, research, and medical educa</w:t>
      </w:r>
      <w:r w:rsidRPr="009B1A49">
        <w:rPr>
          <w:rFonts w:asciiTheme="majorHAnsi" w:hAnsiTheme="majorHAnsi" w:cs="Times"/>
          <w:lang w:val="en-US"/>
        </w:rPr>
        <w:t xml:space="preserve">tion: a cross-sectional study. Lancet 380 (9836), 37–43. </w:t>
      </w:r>
    </w:p>
    <w:p w14:paraId="4B0310B2" w14:textId="77777777" w:rsidR="00FD0F48" w:rsidRDefault="009B1A49" w:rsidP="009B1A49">
      <w:pPr>
        <w:widowControl w:val="0"/>
        <w:autoSpaceDE w:val="0"/>
        <w:autoSpaceDN w:val="0"/>
        <w:adjustRightInd w:val="0"/>
        <w:spacing w:after="240"/>
        <w:jc w:val="both"/>
        <w:rPr>
          <w:rFonts w:asciiTheme="majorHAnsi" w:hAnsiTheme="majorHAnsi" w:cs="Times"/>
          <w:lang w:val="en-US"/>
        </w:rPr>
      </w:pPr>
      <w:proofErr w:type="gramStart"/>
      <w:r w:rsidRPr="009B1A49">
        <w:rPr>
          <w:rFonts w:asciiTheme="majorHAnsi" w:hAnsiTheme="majorHAnsi" w:cs="Times"/>
          <w:lang w:val="en-US"/>
        </w:rPr>
        <w:t>British Heart Foundation (20</w:t>
      </w:r>
      <w:r w:rsidR="00FD0F48">
        <w:rPr>
          <w:rFonts w:asciiTheme="majorHAnsi" w:hAnsiTheme="majorHAnsi" w:cs="Times"/>
          <w:lang w:val="en-US"/>
        </w:rPr>
        <w:t>14) Cardiovascular Disease, Sta</w:t>
      </w:r>
      <w:r w:rsidRPr="009B1A49">
        <w:rPr>
          <w:rFonts w:asciiTheme="majorHAnsi" w:hAnsiTheme="majorHAnsi" w:cs="Times"/>
          <w:lang w:val="en-US"/>
        </w:rPr>
        <w:t>tistics.</w:t>
      </w:r>
      <w:proofErr w:type="gramEnd"/>
      <w:r w:rsidRPr="009B1A49">
        <w:rPr>
          <w:rFonts w:asciiTheme="majorHAnsi" w:hAnsiTheme="majorHAnsi" w:cs="Times"/>
          <w:lang w:val="en-US"/>
        </w:rPr>
        <w:t xml:space="preserve"> British Heart Foundation, Birmingham</w:t>
      </w:r>
      <w:proofErr w:type="gramStart"/>
      <w:r w:rsidRPr="009B1A49">
        <w:rPr>
          <w:rFonts w:asciiTheme="majorHAnsi" w:hAnsiTheme="majorHAnsi" w:cs="Times"/>
          <w:lang w:val="en-US"/>
        </w:rPr>
        <w:t>. </w:t>
      </w:r>
      <w:proofErr w:type="gramEnd"/>
    </w:p>
    <w:p w14:paraId="6E41286A" w14:textId="261677D1" w:rsidR="00FD0F48"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Burnham K.P. &amp; Anderson D.R. (2004) </w:t>
      </w:r>
      <w:proofErr w:type="spellStart"/>
      <w:r w:rsidRPr="009B1A49">
        <w:rPr>
          <w:rFonts w:asciiTheme="majorHAnsi" w:hAnsiTheme="majorHAnsi" w:cs="Times"/>
          <w:lang w:val="en-US"/>
        </w:rPr>
        <w:t>Multimodel</w:t>
      </w:r>
      <w:proofErr w:type="spellEnd"/>
      <w:r w:rsidRPr="009B1A49">
        <w:rPr>
          <w:rFonts w:asciiTheme="majorHAnsi" w:hAnsiTheme="majorHAnsi" w:cs="Times"/>
          <w:lang w:val="en-US"/>
        </w:rPr>
        <w:t xml:space="preserve"> inference: understanding AIC and BIC in Model Selection.</w:t>
      </w:r>
      <w:r w:rsidR="00FD0F48">
        <w:rPr>
          <w:rFonts w:asciiTheme="majorHAnsi" w:hAnsiTheme="majorHAnsi" w:cs="Times"/>
          <w:lang w:val="en-US"/>
        </w:rPr>
        <w:t xml:space="preserve"> </w:t>
      </w:r>
      <w:r w:rsidRPr="009B1A49">
        <w:rPr>
          <w:rFonts w:asciiTheme="majorHAnsi" w:hAnsiTheme="majorHAnsi" w:cs="Times"/>
          <w:lang w:val="en-US"/>
        </w:rPr>
        <w:t>Sociological Methods and Research 33, 261–304</w:t>
      </w:r>
      <w:proofErr w:type="gramStart"/>
      <w:r w:rsidRPr="009B1A49">
        <w:rPr>
          <w:rFonts w:asciiTheme="majorHAnsi" w:hAnsiTheme="majorHAnsi" w:cs="Times"/>
          <w:lang w:val="en-US"/>
        </w:rPr>
        <w:t>. </w:t>
      </w:r>
      <w:proofErr w:type="gramEnd"/>
    </w:p>
    <w:p w14:paraId="46FF5921" w14:textId="4CBE5886" w:rsidR="00FD0F48"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Carey I., Shah S., Harris T., </w:t>
      </w:r>
      <w:proofErr w:type="spellStart"/>
      <w:r w:rsidRPr="009B1A49">
        <w:rPr>
          <w:rFonts w:asciiTheme="majorHAnsi" w:hAnsiTheme="majorHAnsi" w:cs="Times"/>
          <w:lang w:val="en-US"/>
        </w:rPr>
        <w:t>DeWilde</w:t>
      </w:r>
      <w:proofErr w:type="spellEnd"/>
      <w:r w:rsidRPr="009B1A49">
        <w:rPr>
          <w:rFonts w:asciiTheme="majorHAnsi" w:hAnsiTheme="majorHAnsi" w:cs="Times"/>
          <w:lang w:val="en-US"/>
        </w:rPr>
        <w:t xml:space="preserve"> S. &amp; Cook D. (2013) A new simple primary care morbidity score predicted mortality and better explains between practice variations than the </w:t>
      </w:r>
      <w:proofErr w:type="spellStart"/>
      <w:r w:rsidRPr="009B1A49">
        <w:rPr>
          <w:rFonts w:asciiTheme="majorHAnsi" w:hAnsiTheme="majorHAnsi" w:cs="Times"/>
          <w:lang w:val="en-US"/>
        </w:rPr>
        <w:t>Charlson</w:t>
      </w:r>
      <w:proofErr w:type="spellEnd"/>
      <w:r w:rsidRPr="009B1A49">
        <w:rPr>
          <w:rFonts w:asciiTheme="majorHAnsi" w:hAnsiTheme="majorHAnsi" w:cs="Times"/>
          <w:lang w:val="en-US"/>
        </w:rPr>
        <w:t xml:space="preserve"> index. Journal of Clinical Epidemiology 66 (4),</w:t>
      </w:r>
      <w:r w:rsidR="00FD0F48">
        <w:rPr>
          <w:rFonts w:asciiTheme="majorHAnsi" w:hAnsiTheme="majorHAnsi" w:cs="Times"/>
          <w:lang w:val="en-US"/>
        </w:rPr>
        <w:t xml:space="preserve"> </w:t>
      </w:r>
      <w:r w:rsidRPr="009B1A49">
        <w:rPr>
          <w:rFonts w:asciiTheme="majorHAnsi" w:hAnsiTheme="majorHAnsi" w:cs="Times"/>
          <w:lang w:val="en-US"/>
        </w:rPr>
        <w:t>436–444</w:t>
      </w:r>
      <w:proofErr w:type="gramStart"/>
      <w:r w:rsidRPr="009B1A49">
        <w:rPr>
          <w:rFonts w:asciiTheme="majorHAnsi" w:hAnsiTheme="majorHAnsi" w:cs="Times"/>
          <w:lang w:val="en-US"/>
        </w:rPr>
        <w:t>. </w:t>
      </w:r>
      <w:proofErr w:type="gramEnd"/>
    </w:p>
    <w:p w14:paraId="3BDF22AE" w14:textId="4BCA777C"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Charlton J., </w:t>
      </w:r>
      <w:proofErr w:type="spellStart"/>
      <w:r w:rsidRPr="009B1A49">
        <w:rPr>
          <w:rFonts w:asciiTheme="majorHAnsi" w:hAnsiTheme="majorHAnsi" w:cs="Times"/>
          <w:lang w:val="en-US"/>
        </w:rPr>
        <w:t>Rudisill</w:t>
      </w:r>
      <w:proofErr w:type="spellEnd"/>
      <w:r w:rsidRPr="009B1A49">
        <w:rPr>
          <w:rFonts w:asciiTheme="majorHAnsi" w:hAnsiTheme="majorHAnsi" w:cs="Times"/>
          <w:lang w:val="en-US"/>
        </w:rPr>
        <w:t xml:space="preserve"> C., </w:t>
      </w:r>
      <w:proofErr w:type="spellStart"/>
      <w:r w:rsidRPr="009B1A49">
        <w:rPr>
          <w:rFonts w:asciiTheme="majorHAnsi" w:hAnsiTheme="majorHAnsi" w:cs="Times"/>
          <w:lang w:val="en-US"/>
        </w:rPr>
        <w:t>Bhattarai</w:t>
      </w:r>
      <w:proofErr w:type="spellEnd"/>
      <w:r w:rsidRPr="009B1A49">
        <w:rPr>
          <w:rFonts w:asciiTheme="majorHAnsi" w:hAnsiTheme="majorHAnsi" w:cs="Times"/>
          <w:lang w:val="en-US"/>
        </w:rPr>
        <w:t xml:space="preserve"> N. &amp; </w:t>
      </w:r>
      <w:proofErr w:type="spellStart"/>
      <w:r w:rsidRPr="009B1A49">
        <w:rPr>
          <w:rFonts w:asciiTheme="majorHAnsi" w:hAnsiTheme="majorHAnsi" w:cs="Times"/>
          <w:lang w:val="en-US"/>
        </w:rPr>
        <w:t>Gulliford</w:t>
      </w:r>
      <w:proofErr w:type="spellEnd"/>
      <w:r w:rsidRPr="009B1A49">
        <w:rPr>
          <w:rFonts w:asciiTheme="majorHAnsi" w:hAnsiTheme="majorHAnsi" w:cs="Times"/>
          <w:lang w:val="en-US"/>
        </w:rPr>
        <w:t xml:space="preserve"> M. (2013)</w:t>
      </w:r>
      <w:r w:rsidR="00FD0F48">
        <w:rPr>
          <w:rFonts w:asciiTheme="majorHAnsi" w:hAnsiTheme="majorHAnsi" w:cs="Times"/>
          <w:lang w:val="en-US"/>
        </w:rPr>
        <w:t xml:space="preserve"> </w:t>
      </w:r>
      <w:r w:rsidRPr="009B1A49">
        <w:rPr>
          <w:rFonts w:asciiTheme="majorHAnsi" w:hAnsiTheme="majorHAnsi" w:cs="Times"/>
          <w:lang w:val="en-US"/>
        </w:rPr>
        <w:t>Impact of deprivation on occurrence, outcomes and health care costs of people with multiple morbidity. Journal of Health Services Research and Policy 18 (4), 215–223.</w:t>
      </w:r>
    </w:p>
    <w:p w14:paraId="7A424F5D"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Clair C., </w:t>
      </w:r>
      <w:proofErr w:type="spellStart"/>
      <w:r w:rsidRPr="009B1A49">
        <w:rPr>
          <w:rFonts w:asciiTheme="majorHAnsi" w:hAnsiTheme="majorHAnsi" w:cs="Times"/>
          <w:lang w:val="en-US"/>
        </w:rPr>
        <w:t>Rigo</w:t>
      </w:r>
      <w:bookmarkStart w:id="0" w:name="_GoBack"/>
      <w:bookmarkEnd w:id="0"/>
      <w:r w:rsidRPr="009B1A49">
        <w:rPr>
          <w:rFonts w:asciiTheme="majorHAnsi" w:hAnsiTheme="majorHAnsi" w:cs="Times"/>
          <w:lang w:val="en-US"/>
        </w:rPr>
        <w:t>tti</w:t>
      </w:r>
      <w:proofErr w:type="spellEnd"/>
      <w:r w:rsidRPr="009B1A49">
        <w:rPr>
          <w:rFonts w:asciiTheme="majorHAnsi" w:hAnsiTheme="majorHAnsi" w:cs="Times"/>
          <w:lang w:val="en-US"/>
        </w:rPr>
        <w:t xml:space="preserve"> N.A., </w:t>
      </w:r>
      <w:proofErr w:type="spellStart"/>
      <w:r w:rsidRPr="009B1A49">
        <w:rPr>
          <w:rFonts w:asciiTheme="majorHAnsi" w:hAnsiTheme="majorHAnsi" w:cs="Times"/>
          <w:lang w:val="en-US"/>
        </w:rPr>
        <w:t>Porneala</w:t>
      </w:r>
      <w:proofErr w:type="spellEnd"/>
      <w:r w:rsidRPr="009B1A49">
        <w:rPr>
          <w:rFonts w:asciiTheme="majorHAnsi" w:hAnsiTheme="majorHAnsi" w:cs="Times"/>
          <w:lang w:val="en-US"/>
        </w:rPr>
        <w:t xml:space="preserve"> B., Fox C.S., </w:t>
      </w:r>
      <w:proofErr w:type="spellStart"/>
      <w:r w:rsidRPr="009B1A49">
        <w:rPr>
          <w:rFonts w:asciiTheme="majorHAnsi" w:hAnsiTheme="majorHAnsi" w:cs="Times"/>
          <w:lang w:val="en-US"/>
        </w:rPr>
        <w:t>D’Agostino</w:t>
      </w:r>
      <w:proofErr w:type="spellEnd"/>
      <w:r w:rsidRPr="009B1A49">
        <w:rPr>
          <w:rFonts w:asciiTheme="majorHAnsi" w:hAnsiTheme="majorHAnsi" w:cs="Times"/>
          <w:lang w:val="en-US"/>
        </w:rPr>
        <w:t xml:space="preserve"> R.B., </w:t>
      </w:r>
      <w:proofErr w:type="spellStart"/>
      <w:r w:rsidRPr="009B1A49">
        <w:rPr>
          <w:rFonts w:asciiTheme="majorHAnsi" w:hAnsiTheme="majorHAnsi" w:cs="Times"/>
          <w:lang w:val="en-US"/>
        </w:rPr>
        <w:t>Pencina</w:t>
      </w:r>
      <w:proofErr w:type="spellEnd"/>
      <w:r w:rsidRPr="009B1A49">
        <w:rPr>
          <w:rFonts w:asciiTheme="majorHAnsi" w:hAnsiTheme="majorHAnsi" w:cs="Times"/>
          <w:lang w:val="en-US"/>
        </w:rPr>
        <w:t xml:space="preserve"> M.J. &amp; </w:t>
      </w:r>
      <w:proofErr w:type="spellStart"/>
      <w:r w:rsidRPr="009B1A49">
        <w:rPr>
          <w:rFonts w:asciiTheme="majorHAnsi" w:hAnsiTheme="majorHAnsi" w:cs="Times"/>
          <w:lang w:val="en-US"/>
        </w:rPr>
        <w:t>Meigs</w:t>
      </w:r>
      <w:proofErr w:type="spellEnd"/>
      <w:r w:rsidRPr="009B1A49">
        <w:rPr>
          <w:rFonts w:asciiTheme="majorHAnsi" w:hAnsiTheme="majorHAnsi" w:cs="Times"/>
          <w:lang w:val="en-US"/>
        </w:rPr>
        <w:t xml:space="preserve"> J.B. (2013) Association of smoking cessation and weight change with cardiovascular disease among adults with and without diabetes. The Journal of the American Medical Association 309, 1014–1021.</w:t>
      </w:r>
    </w:p>
    <w:p w14:paraId="5CEBA10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gramStart"/>
      <w:r w:rsidRPr="009B1A49">
        <w:rPr>
          <w:rFonts w:asciiTheme="majorHAnsi" w:hAnsiTheme="majorHAnsi" w:cs="Times"/>
          <w:lang w:val="en-US"/>
        </w:rPr>
        <w:t xml:space="preserve">Clarke S., </w:t>
      </w:r>
      <w:proofErr w:type="spellStart"/>
      <w:r w:rsidRPr="009B1A49">
        <w:rPr>
          <w:rFonts w:asciiTheme="majorHAnsi" w:hAnsiTheme="majorHAnsi" w:cs="Times"/>
          <w:lang w:val="en-US"/>
        </w:rPr>
        <w:t>Birkin</w:t>
      </w:r>
      <w:proofErr w:type="spellEnd"/>
      <w:r w:rsidRPr="009B1A49">
        <w:rPr>
          <w:rFonts w:asciiTheme="majorHAnsi" w:hAnsiTheme="majorHAnsi" w:cs="Times"/>
          <w:lang w:val="en-US"/>
        </w:rPr>
        <w:t xml:space="preserve"> M. &amp; </w:t>
      </w:r>
      <w:proofErr w:type="spellStart"/>
      <w:r w:rsidRPr="009B1A49">
        <w:rPr>
          <w:rFonts w:asciiTheme="majorHAnsi" w:hAnsiTheme="majorHAnsi" w:cs="Times"/>
          <w:lang w:val="en-US"/>
        </w:rPr>
        <w:t>Heppenstall</w:t>
      </w:r>
      <w:proofErr w:type="spellEnd"/>
      <w:r w:rsidRPr="009B1A49">
        <w:rPr>
          <w:rFonts w:asciiTheme="majorHAnsi" w:hAnsiTheme="majorHAnsi" w:cs="Times"/>
          <w:lang w:val="en-US"/>
        </w:rPr>
        <w:t xml:space="preserve"> A. (2014) Sub regional estimates of morbidities in the English elderly population.</w:t>
      </w:r>
      <w:proofErr w:type="gramEnd"/>
      <w:r w:rsidRPr="009B1A49">
        <w:rPr>
          <w:rFonts w:asciiTheme="majorHAnsi" w:hAnsiTheme="majorHAnsi" w:cs="Times"/>
          <w:lang w:val="en-US"/>
        </w:rPr>
        <w:t xml:space="preserve"> </w:t>
      </w:r>
      <w:proofErr w:type="gramStart"/>
      <w:r w:rsidRPr="009B1A49">
        <w:rPr>
          <w:rFonts w:asciiTheme="majorHAnsi" w:hAnsiTheme="majorHAnsi" w:cs="Times"/>
          <w:lang w:val="en-US"/>
        </w:rPr>
        <w:t>Health and Place 27, 176–185.</w:t>
      </w:r>
      <w:proofErr w:type="gramEnd"/>
    </w:p>
    <w:p w14:paraId="568DD905"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Congdon</w:t>
      </w:r>
      <w:proofErr w:type="spellEnd"/>
      <w:r w:rsidRPr="009B1A49">
        <w:rPr>
          <w:rFonts w:asciiTheme="majorHAnsi" w:hAnsiTheme="majorHAnsi" w:cs="Times"/>
          <w:lang w:val="en-US"/>
        </w:rPr>
        <w:t xml:space="preserve"> P. (2010) </w:t>
      </w:r>
      <w:proofErr w:type="gramStart"/>
      <w:r w:rsidRPr="009B1A49">
        <w:rPr>
          <w:rFonts w:asciiTheme="majorHAnsi" w:hAnsiTheme="majorHAnsi" w:cs="Times"/>
          <w:lang w:val="en-US"/>
        </w:rPr>
        <w:t>A</w:t>
      </w:r>
      <w:proofErr w:type="gramEnd"/>
      <w:r w:rsidRPr="009B1A49">
        <w:rPr>
          <w:rFonts w:asciiTheme="majorHAnsi" w:hAnsiTheme="majorHAnsi" w:cs="Times"/>
          <w:lang w:val="en-US"/>
        </w:rPr>
        <w:t xml:space="preserve"> multilevel model for comorbid outcomes: obesity and diabetes in the US. International Journal of Environmental Resources and Public Health 7 (2), 333–352.</w:t>
      </w:r>
    </w:p>
    <w:p w14:paraId="1ACB6D3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Craig R. &amp; </w:t>
      </w:r>
      <w:proofErr w:type="spellStart"/>
      <w:r w:rsidRPr="009B1A49">
        <w:rPr>
          <w:rFonts w:asciiTheme="majorHAnsi" w:hAnsiTheme="majorHAnsi" w:cs="Times"/>
          <w:lang w:val="en-US"/>
        </w:rPr>
        <w:t>Mindell</w:t>
      </w:r>
      <w:proofErr w:type="spellEnd"/>
      <w:r w:rsidRPr="009B1A49">
        <w:rPr>
          <w:rFonts w:asciiTheme="majorHAnsi" w:hAnsiTheme="majorHAnsi" w:cs="Times"/>
          <w:lang w:val="en-US"/>
        </w:rPr>
        <w:t xml:space="preserve"> J. (2012) Health Survey for England 2011: Volume 2. </w:t>
      </w:r>
      <w:proofErr w:type="gramStart"/>
      <w:r w:rsidRPr="009B1A49">
        <w:rPr>
          <w:rFonts w:asciiTheme="majorHAnsi" w:hAnsiTheme="majorHAnsi" w:cs="Times"/>
          <w:lang w:val="en-US"/>
        </w:rPr>
        <w:t>Methods and Documentation.</w:t>
      </w:r>
      <w:proofErr w:type="gramEnd"/>
      <w:r w:rsidRPr="009B1A49">
        <w:rPr>
          <w:rFonts w:asciiTheme="majorHAnsi" w:hAnsiTheme="majorHAnsi" w:cs="Times"/>
          <w:lang w:val="en-US"/>
        </w:rPr>
        <w:t xml:space="preserve"> The Health and Social Care Information Centre, Leeds.</w:t>
      </w:r>
    </w:p>
    <w:p w14:paraId="092A572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proofErr w:type="gramStart"/>
      <w:r w:rsidRPr="009B1A49">
        <w:rPr>
          <w:rFonts w:asciiTheme="majorHAnsi" w:hAnsiTheme="majorHAnsi" w:cs="Times"/>
          <w:lang w:val="en-US"/>
        </w:rPr>
        <w:t>Diez</w:t>
      </w:r>
      <w:proofErr w:type="spellEnd"/>
      <w:r w:rsidRPr="009B1A49">
        <w:rPr>
          <w:rFonts w:asciiTheme="majorHAnsi" w:hAnsiTheme="majorHAnsi" w:cs="Times"/>
          <w:lang w:val="en-US"/>
        </w:rPr>
        <w:t xml:space="preserve"> Roux A. &amp; </w:t>
      </w:r>
      <w:proofErr w:type="spellStart"/>
      <w:r w:rsidRPr="009B1A49">
        <w:rPr>
          <w:rFonts w:asciiTheme="majorHAnsi" w:hAnsiTheme="majorHAnsi" w:cs="Times"/>
          <w:lang w:val="en-US"/>
        </w:rPr>
        <w:t>Mair</w:t>
      </w:r>
      <w:proofErr w:type="spellEnd"/>
      <w:r w:rsidRPr="009B1A49">
        <w:rPr>
          <w:rFonts w:asciiTheme="majorHAnsi" w:hAnsiTheme="majorHAnsi" w:cs="Times"/>
          <w:lang w:val="en-US"/>
        </w:rPr>
        <w:t xml:space="preserve"> C. (2010) Neighborhoods and health.</w:t>
      </w:r>
      <w:proofErr w:type="gramEnd"/>
      <w:r w:rsidRPr="009B1A49">
        <w:rPr>
          <w:rFonts w:asciiTheme="majorHAnsi" w:hAnsiTheme="majorHAnsi" w:cs="Times"/>
          <w:lang w:val="en-US"/>
        </w:rPr>
        <w:t xml:space="preserve"> Annals of the New York Academy of Sciences 1186, 125–145.</w:t>
      </w:r>
    </w:p>
    <w:p w14:paraId="385E9AD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Fone</w:t>
      </w:r>
      <w:proofErr w:type="spellEnd"/>
      <w:r w:rsidRPr="009B1A49">
        <w:rPr>
          <w:rFonts w:asciiTheme="majorHAnsi" w:hAnsiTheme="majorHAnsi" w:cs="Times"/>
          <w:lang w:val="en-US"/>
        </w:rPr>
        <w:t xml:space="preserve"> D., Greene G. &amp; Farewell D. (2013) Common mental disorders, </w:t>
      </w:r>
      <w:proofErr w:type="spellStart"/>
      <w:r w:rsidRPr="009B1A49">
        <w:rPr>
          <w:rFonts w:asciiTheme="majorHAnsi" w:hAnsiTheme="majorHAnsi" w:cs="Times"/>
          <w:lang w:val="en-US"/>
        </w:rPr>
        <w:t>neighbourhood</w:t>
      </w:r>
      <w:proofErr w:type="spellEnd"/>
      <w:r w:rsidRPr="009B1A49">
        <w:rPr>
          <w:rFonts w:asciiTheme="majorHAnsi" w:hAnsiTheme="majorHAnsi" w:cs="Times"/>
          <w:lang w:val="en-US"/>
        </w:rPr>
        <w:t xml:space="preserve"> income inequality and income deprivation: small-area multilevel analysis. </w:t>
      </w:r>
      <w:proofErr w:type="gramStart"/>
      <w:r w:rsidRPr="009B1A49">
        <w:rPr>
          <w:rFonts w:asciiTheme="majorHAnsi" w:hAnsiTheme="majorHAnsi" w:cs="Times"/>
          <w:lang w:val="en-US"/>
        </w:rPr>
        <w:t>British Journal of Psychiatry 202, 286–293.</w:t>
      </w:r>
      <w:proofErr w:type="gramEnd"/>
    </w:p>
    <w:p w14:paraId="2067B108"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Foresight (2007) Tackling Obesities: Future Choices – Project Report. </w:t>
      </w:r>
      <w:proofErr w:type="gramStart"/>
      <w:r w:rsidRPr="009B1A49">
        <w:rPr>
          <w:rFonts w:asciiTheme="majorHAnsi" w:hAnsiTheme="majorHAnsi" w:cs="Times"/>
          <w:lang w:val="en-US"/>
        </w:rPr>
        <w:t>Government Office for Science, London.</w:t>
      </w:r>
      <w:proofErr w:type="gramEnd"/>
    </w:p>
    <w:p w14:paraId="44FF41D8"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Fortin M., Dubois M.F., </w:t>
      </w:r>
      <w:proofErr w:type="spellStart"/>
      <w:r w:rsidRPr="009B1A49">
        <w:rPr>
          <w:rFonts w:asciiTheme="majorHAnsi" w:hAnsiTheme="majorHAnsi" w:cs="Times"/>
          <w:lang w:val="en-US"/>
        </w:rPr>
        <w:t>Hudon</w:t>
      </w:r>
      <w:proofErr w:type="spellEnd"/>
      <w:r w:rsidRPr="009B1A49">
        <w:rPr>
          <w:rFonts w:asciiTheme="majorHAnsi" w:hAnsiTheme="majorHAnsi" w:cs="Times"/>
          <w:lang w:val="en-US"/>
        </w:rPr>
        <w:t xml:space="preserve"> C., </w:t>
      </w:r>
      <w:proofErr w:type="spellStart"/>
      <w:r w:rsidRPr="009B1A49">
        <w:rPr>
          <w:rFonts w:asciiTheme="majorHAnsi" w:hAnsiTheme="majorHAnsi" w:cs="Times"/>
          <w:lang w:val="en-US"/>
        </w:rPr>
        <w:t>Soubhi</w:t>
      </w:r>
      <w:proofErr w:type="spellEnd"/>
      <w:r w:rsidRPr="009B1A49">
        <w:rPr>
          <w:rFonts w:asciiTheme="majorHAnsi" w:hAnsiTheme="majorHAnsi" w:cs="Times"/>
          <w:lang w:val="en-US"/>
        </w:rPr>
        <w:t xml:space="preserve"> H. &amp; </w:t>
      </w:r>
      <w:proofErr w:type="spellStart"/>
      <w:r w:rsidRPr="009B1A49">
        <w:rPr>
          <w:rFonts w:asciiTheme="majorHAnsi" w:hAnsiTheme="majorHAnsi" w:cs="Times"/>
          <w:lang w:val="en-US"/>
        </w:rPr>
        <w:t>Almirall</w:t>
      </w:r>
      <w:proofErr w:type="spellEnd"/>
      <w:r w:rsidRPr="009B1A49">
        <w:rPr>
          <w:rFonts w:asciiTheme="majorHAnsi" w:hAnsiTheme="majorHAnsi" w:cs="Times"/>
          <w:lang w:val="en-US"/>
        </w:rPr>
        <w:t xml:space="preserve"> J. (2007) </w:t>
      </w:r>
      <w:proofErr w:type="spellStart"/>
      <w:r w:rsidRPr="009B1A49">
        <w:rPr>
          <w:rFonts w:asciiTheme="majorHAnsi" w:hAnsiTheme="majorHAnsi" w:cs="Times"/>
          <w:lang w:val="en-US"/>
        </w:rPr>
        <w:t>Multimorbidity</w:t>
      </w:r>
      <w:proofErr w:type="spellEnd"/>
      <w:r w:rsidRPr="009B1A49">
        <w:rPr>
          <w:rFonts w:asciiTheme="majorHAnsi" w:hAnsiTheme="majorHAnsi" w:cs="Times"/>
          <w:lang w:val="en-US"/>
        </w:rPr>
        <w:t xml:space="preserve"> and quality of life: a closer look. </w:t>
      </w:r>
      <w:proofErr w:type="gramStart"/>
      <w:r w:rsidRPr="009B1A49">
        <w:rPr>
          <w:rFonts w:asciiTheme="majorHAnsi" w:hAnsiTheme="majorHAnsi" w:cs="Times"/>
          <w:lang w:val="en-US"/>
        </w:rPr>
        <w:t>Health and Quality of Life Outcomes 5, 52.</w:t>
      </w:r>
      <w:proofErr w:type="gramEnd"/>
    </w:p>
    <w:p w14:paraId="0F8DCF51"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Frohlich</w:t>
      </w:r>
      <w:proofErr w:type="spellEnd"/>
      <w:r w:rsidRPr="009B1A49">
        <w:rPr>
          <w:rFonts w:asciiTheme="majorHAnsi" w:hAnsiTheme="majorHAnsi" w:cs="Times"/>
          <w:lang w:val="en-US"/>
        </w:rPr>
        <w:t xml:space="preserve"> K.L. &amp; </w:t>
      </w:r>
      <w:proofErr w:type="spellStart"/>
      <w:r w:rsidRPr="009B1A49">
        <w:rPr>
          <w:rFonts w:asciiTheme="majorHAnsi" w:hAnsiTheme="majorHAnsi" w:cs="Times"/>
          <w:lang w:val="en-US"/>
        </w:rPr>
        <w:t>Potvin</w:t>
      </w:r>
      <w:proofErr w:type="spellEnd"/>
      <w:r w:rsidRPr="009B1A49">
        <w:rPr>
          <w:rFonts w:asciiTheme="majorHAnsi" w:hAnsiTheme="majorHAnsi" w:cs="Times"/>
          <w:lang w:val="en-US"/>
        </w:rPr>
        <w:t xml:space="preserve"> L. (2008) The inequality paradox: the population approach and vulnerable populations. </w:t>
      </w:r>
      <w:proofErr w:type="gramStart"/>
      <w:r w:rsidRPr="009B1A49">
        <w:rPr>
          <w:rFonts w:asciiTheme="majorHAnsi" w:hAnsiTheme="majorHAnsi" w:cs="Times"/>
          <w:lang w:val="en-US"/>
        </w:rPr>
        <w:t>American Journal of Public Health 98, 216–221.</w:t>
      </w:r>
      <w:proofErr w:type="gramEnd"/>
    </w:p>
    <w:p w14:paraId="4E5713B7"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Gijsen</w:t>
      </w:r>
      <w:proofErr w:type="spellEnd"/>
      <w:r w:rsidRPr="009B1A49">
        <w:rPr>
          <w:rFonts w:asciiTheme="majorHAnsi" w:hAnsiTheme="majorHAnsi" w:cs="Times"/>
          <w:lang w:val="en-US"/>
        </w:rPr>
        <w:t xml:space="preserve"> R., </w:t>
      </w:r>
      <w:proofErr w:type="spellStart"/>
      <w:r w:rsidRPr="009B1A49">
        <w:rPr>
          <w:rFonts w:asciiTheme="majorHAnsi" w:hAnsiTheme="majorHAnsi" w:cs="Times"/>
          <w:lang w:val="en-US"/>
        </w:rPr>
        <w:t>Hoeymans</w:t>
      </w:r>
      <w:proofErr w:type="spellEnd"/>
      <w:r w:rsidRPr="009B1A49">
        <w:rPr>
          <w:rFonts w:asciiTheme="majorHAnsi" w:hAnsiTheme="majorHAnsi" w:cs="Times"/>
          <w:lang w:val="en-US"/>
        </w:rPr>
        <w:t xml:space="preserve"> N., </w:t>
      </w:r>
      <w:proofErr w:type="spellStart"/>
      <w:r w:rsidRPr="009B1A49">
        <w:rPr>
          <w:rFonts w:asciiTheme="majorHAnsi" w:hAnsiTheme="majorHAnsi" w:cs="Times"/>
          <w:lang w:val="en-US"/>
        </w:rPr>
        <w:t>Schellevis</w:t>
      </w:r>
      <w:proofErr w:type="spellEnd"/>
      <w:r w:rsidRPr="009B1A49">
        <w:rPr>
          <w:rFonts w:asciiTheme="majorHAnsi" w:hAnsiTheme="majorHAnsi" w:cs="Times"/>
          <w:lang w:val="en-US"/>
        </w:rPr>
        <w:t xml:space="preserve"> F.G., </w:t>
      </w:r>
      <w:proofErr w:type="spellStart"/>
      <w:r w:rsidRPr="009B1A49">
        <w:rPr>
          <w:rFonts w:asciiTheme="majorHAnsi" w:hAnsiTheme="majorHAnsi" w:cs="Times"/>
          <w:lang w:val="en-US"/>
        </w:rPr>
        <w:t>Ruwaard</w:t>
      </w:r>
      <w:proofErr w:type="spellEnd"/>
      <w:r w:rsidRPr="009B1A49">
        <w:rPr>
          <w:rFonts w:asciiTheme="majorHAnsi" w:hAnsiTheme="majorHAnsi" w:cs="Times"/>
          <w:lang w:val="en-US"/>
        </w:rPr>
        <w:t xml:space="preserve"> D., </w:t>
      </w:r>
      <w:proofErr w:type="spellStart"/>
      <w:r w:rsidRPr="009B1A49">
        <w:rPr>
          <w:rFonts w:asciiTheme="majorHAnsi" w:hAnsiTheme="majorHAnsi" w:cs="Times"/>
          <w:lang w:val="en-US"/>
        </w:rPr>
        <w:t>Satariano</w:t>
      </w:r>
      <w:proofErr w:type="spellEnd"/>
      <w:r w:rsidRPr="009B1A49">
        <w:rPr>
          <w:rFonts w:asciiTheme="majorHAnsi" w:hAnsiTheme="majorHAnsi" w:cs="Times"/>
          <w:lang w:val="en-US"/>
        </w:rPr>
        <w:t xml:space="preserve"> W. &amp; van den </w:t>
      </w:r>
      <w:proofErr w:type="spellStart"/>
      <w:r w:rsidRPr="009B1A49">
        <w:rPr>
          <w:rFonts w:asciiTheme="majorHAnsi" w:hAnsiTheme="majorHAnsi" w:cs="Times"/>
          <w:lang w:val="en-US"/>
        </w:rPr>
        <w:t>Bos</w:t>
      </w:r>
      <w:proofErr w:type="spellEnd"/>
      <w:r w:rsidRPr="009B1A49">
        <w:rPr>
          <w:rFonts w:asciiTheme="majorHAnsi" w:hAnsiTheme="majorHAnsi" w:cs="Times"/>
          <w:lang w:val="en-US"/>
        </w:rPr>
        <w:t xml:space="preserve"> G. (2001) Causes and consequences of comorbidity: a review. Journal of Clinical Epidemiology 54 (7), 661–674.</w:t>
      </w:r>
    </w:p>
    <w:p w14:paraId="7D9C43A5"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Index for Multiple Deprivation (2010) Department for Communities and Local Government, London.</w:t>
      </w:r>
    </w:p>
    <w:p w14:paraId="6EDC0DEB"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Islam M.M., </w:t>
      </w:r>
      <w:proofErr w:type="spellStart"/>
      <w:r w:rsidRPr="009B1A49">
        <w:rPr>
          <w:rFonts w:asciiTheme="majorHAnsi" w:hAnsiTheme="majorHAnsi" w:cs="Times"/>
          <w:lang w:val="en-US"/>
        </w:rPr>
        <w:t>Valderas</w:t>
      </w:r>
      <w:proofErr w:type="spellEnd"/>
      <w:r w:rsidRPr="009B1A49">
        <w:rPr>
          <w:rFonts w:asciiTheme="majorHAnsi" w:hAnsiTheme="majorHAnsi" w:cs="Times"/>
          <w:lang w:val="en-US"/>
        </w:rPr>
        <w:t xml:space="preserve"> J.M., Yen L., </w:t>
      </w:r>
      <w:proofErr w:type="spellStart"/>
      <w:r w:rsidRPr="009B1A49">
        <w:rPr>
          <w:rFonts w:asciiTheme="majorHAnsi" w:hAnsiTheme="majorHAnsi" w:cs="Times"/>
          <w:lang w:val="en-US"/>
        </w:rPr>
        <w:t>Dawda</w:t>
      </w:r>
      <w:proofErr w:type="spellEnd"/>
      <w:r w:rsidRPr="009B1A49">
        <w:rPr>
          <w:rFonts w:asciiTheme="majorHAnsi" w:hAnsiTheme="majorHAnsi" w:cs="Times"/>
          <w:lang w:val="en-US"/>
        </w:rPr>
        <w:t xml:space="preserve"> P. &amp; </w:t>
      </w:r>
      <w:proofErr w:type="spellStart"/>
      <w:r w:rsidRPr="009B1A49">
        <w:rPr>
          <w:rFonts w:asciiTheme="majorHAnsi" w:hAnsiTheme="majorHAnsi" w:cs="Times"/>
          <w:lang w:val="en-US"/>
        </w:rPr>
        <w:t>Jowsey</w:t>
      </w:r>
      <w:proofErr w:type="spellEnd"/>
      <w:r w:rsidRPr="009B1A49">
        <w:rPr>
          <w:rFonts w:asciiTheme="majorHAnsi" w:hAnsiTheme="majorHAnsi" w:cs="Times"/>
          <w:lang w:val="en-US"/>
        </w:rPr>
        <w:t xml:space="preserve"> T. (2014) </w:t>
      </w:r>
      <w:proofErr w:type="spellStart"/>
      <w:r w:rsidRPr="009B1A49">
        <w:rPr>
          <w:rFonts w:asciiTheme="majorHAnsi" w:hAnsiTheme="majorHAnsi" w:cs="Times"/>
          <w:lang w:val="en-US"/>
        </w:rPr>
        <w:t>Multimorbidity</w:t>
      </w:r>
      <w:proofErr w:type="spellEnd"/>
      <w:r w:rsidRPr="009B1A49">
        <w:rPr>
          <w:rFonts w:asciiTheme="majorHAnsi" w:hAnsiTheme="majorHAnsi" w:cs="Times"/>
          <w:lang w:val="en-US"/>
        </w:rPr>
        <w:t xml:space="preserve"> and comorbidity of chronic diseases among the senior Australians: prevalence and patterns. </w:t>
      </w:r>
      <w:proofErr w:type="spellStart"/>
      <w:r w:rsidRPr="009B1A49">
        <w:rPr>
          <w:rFonts w:asciiTheme="majorHAnsi" w:hAnsiTheme="majorHAnsi" w:cs="Times"/>
          <w:lang w:val="en-US"/>
        </w:rPr>
        <w:t>PLoS</w:t>
      </w:r>
      <w:proofErr w:type="spellEnd"/>
      <w:r w:rsidRPr="009B1A49">
        <w:rPr>
          <w:rFonts w:asciiTheme="majorHAnsi" w:hAnsiTheme="majorHAnsi" w:cs="Times"/>
          <w:lang w:val="en-US"/>
        </w:rPr>
        <w:t xml:space="preserve"> ONE 9 (1), e83783.</w:t>
      </w:r>
    </w:p>
    <w:p w14:paraId="0B0EEFAE"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James W.P.T., Chen C. &amp; Inoue S. (2002) Appropriate Asian body mass indices? </w:t>
      </w:r>
      <w:proofErr w:type="gramStart"/>
      <w:r w:rsidRPr="009B1A49">
        <w:rPr>
          <w:rFonts w:asciiTheme="majorHAnsi" w:hAnsiTheme="majorHAnsi" w:cs="Times"/>
          <w:lang w:val="en-US"/>
        </w:rPr>
        <w:t>Obesity Review 3 (3), 139.</w:t>
      </w:r>
      <w:proofErr w:type="gramEnd"/>
    </w:p>
    <w:p w14:paraId="570D8AB3"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Joseph A. &amp; Phillips D. (1984) Accessibility and Utilization: Geographical Perspectives on Health Care Delivery. Harper &amp; Row, London, UK.</w:t>
      </w:r>
    </w:p>
    <w:p w14:paraId="3D8EE07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Kahn R., Robertson R.M., Smith R. &amp; Eddy D. (2008) The impact of prevention on reducing the burden of cardiovascular disease. Circulation 118, 576–585.</w:t>
      </w:r>
    </w:p>
    <w:p w14:paraId="2D466DEE"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Kavanagh A., Bentley R.J., </w:t>
      </w:r>
      <w:proofErr w:type="spellStart"/>
      <w:r w:rsidRPr="009B1A49">
        <w:rPr>
          <w:rFonts w:asciiTheme="majorHAnsi" w:hAnsiTheme="majorHAnsi" w:cs="Times"/>
          <w:lang w:val="en-US"/>
        </w:rPr>
        <w:t>Turrell</w:t>
      </w:r>
      <w:proofErr w:type="spellEnd"/>
      <w:r w:rsidRPr="009B1A49">
        <w:rPr>
          <w:rFonts w:asciiTheme="majorHAnsi" w:hAnsiTheme="majorHAnsi" w:cs="Times"/>
          <w:lang w:val="en-US"/>
        </w:rPr>
        <w:t xml:space="preserve"> G., Shaw J., Dunstan D. &amp; Subramanian S.V. (2010) Socioeconomic position, gender, health </w:t>
      </w:r>
      <w:proofErr w:type="spellStart"/>
      <w:r w:rsidRPr="009B1A49">
        <w:rPr>
          <w:rFonts w:asciiTheme="majorHAnsi" w:hAnsiTheme="majorHAnsi" w:cs="Times"/>
          <w:lang w:val="en-US"/>
        </w:rPr>
        <w:t>behaviours</w:t>
      </w:r>
      <w:proofErr w:type="spellEnd"/>
      <w:r w:rsidRPr="009B1A49">
        <w:rPr>
          <w:rFonts w:asciiTheme="majorHAnsi" w:hAnsiTheme="majorHAnsi" w:cs="Times"/>
          <w:lang w:val="en-US"/>
        </w:rPr>
        <w:t xml:space="preserve"> and biomarkers of cardiovascular disease and diabetes. Social Science &amp; Medicine 71, 1150–1160.</w:t>
      </w:r>
    </w:p>
    <w:p w14:paraId="01F4137D"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Marengoni</w:t>
      </w:r>
      <w:proofErr w:type="spellEnd"/>
      <w:r w:rsidRPr="009B1A49">
        <w:rPr>
          <w:rFonts w:asciiTheme="majorHAnsi" w:hAnsiTheme="majorHAnsi" w:cs="Times"/>
          <w:lang w:val="en-US"/>
        </w:rPr>
        <w:t xml:space="preserve"> A., </w:t>
      </w:r>
      <w:proofErr w:type="spellStart"/>
      <w:r w:rsidRPr="009B1A49">
        <w:rPr>
          <w:rFonts w:asciiTheme="majorHAnsi" w:hAnsiTheme="majorHAnsi" w:cs="Times"/>
          <w:lang w:val="en-US"/>
        </w:rPr>
        <w:t>Angleman</w:t>
      </w:r>
      <w:proofErr w:type="spellEnd"/>
      <w:r w:rsidRPr="009B1A49">
        <w:rPr>
          <w:rFonts w:asciiTheme="majorHAnsi" w:hAnsiTheme="majorHAnsi" w:cs="Times"/>
          <w:lang w:val="en-US"/>
        </w:rPr>
        <w:t xml:space="preserve"> S., </w:t>
      </w:r>
      <w:proofErr w:type="spellStart"/>
      <w:r w:rsidRPr="009B1A49">
        <w:rPr>
          <w:rFonts w:asciiTheme="majorHAnsi" w:hAnsiTheme="majorHAnsi" w:cs="Times"/>
          <w:lang w:val="en-US"/>
        </w:rPr>
        <w:t>Melis</w:t>
      </w:r>
      <w:proofErr w:type="spellEnd"/>
      <w:r w:rsidRPr="009B1A49">
        <w:rPr>
          <w:rFonts w:asciiTheme="majorHAnsi" w:hAnsiTheme="majorHAnsi" w:cs="Times"/>
          <w:lang w:val="en-US"/>
        </w:rPr>
        <w:t xml:space="preserve"> R., </w:t>
      </w:r>
      <w:proofErr w:type="spellStart"/>
      <w:r w:rsidRPr="009B1A49">
        <w:rPr>
          <w:rFonts w:asciiTheme="majorHAnsi" w:hAnsiTheme="majorHAnsi" w:cs="Times"/>
          <w:lang w:val="en-US"/>
        </w:rPr>
        <w:t>Mangialasche</w:t>
      </w:r>
      <w:proofErr w:type="spellEnd"/>
      <w:r w:rsidRPr="009B1A49">
        <w:rPr>
          <w:rFonts w:asciiTheme="majorHAnsi" w:hAnsiTheme="majorHAnsi" w:cs="Times"/>
          <w:lang w:val="en-US"/>
        </w:rPr>
        <w:t xml:space="preserve"> F. &amp; Karp A. (2011) </w:t>
      </w:r>
      <w:proofErr w:type="gramStart"/>
      <w:r w:rsidRPr="009B1A49">
        <w:rPr>
          <w:rFonts w:asciiTheme="majorHAnsi" w:hAnsiTheme="majorHAnsi" w:cs="Times"/>
          <w:lang w:val="en-US"/>
        </w:rPr>
        <w:t>Aging</w:t>
      </w:r>
      <w:proofErr w:type="gramEnd"/>
      <w:r w:rsidRPr="009B1A49">
        <w:rPr>
          <w:rFonts w:asciiTheme="majorHAnsi" w:hAnsiTheme="majorHAnsi" w:cs="Times"/>
          <w:lang w:val="en-US"/>
        </w:rPr>
        <w:t xml:space="preserve"> with </w:t>
      </w:r>
      <w:proofErr w:type="spellStart"/>
      <w:r w:rsidRPr="009B1A49">
        <w:rPr>
          <w:rFonts w:asciiTheme="majorHAnsi" w:hAnsiTheme="majorHAnsi" w:cs="Times"/>
          <w:lang w:val="en-US"/>
        </w:rPr>
        <w:t>multimorbidity</w:t>
      </w:r>
      <w:proofErr w:type="spellEnd"/>
      <w:r w:rsidRPr="009B1A49">
        <w:rPr>
          <w:rFonts w:asciiTheme="majorHAnsi" w:hAnsiTheme="majorHAnsi" w:cs="Times"/>
          <w:lang w:val="en-US"/>
        </w:rPr>
        <w:t>: a systematic review of the literature. Ageing Research Reviews 10, 430–439.</w:t>
      </w:r>
    </w:p>
    <w:p w14:paraId="0B9C5597"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McLafferty</w:t>
      </w:r>
      <w:proofErr w:type="spellEnd"/>
      <w:r w:rsidRPr="009B1A49">
        <w:rPr>
          <w:rFonts w:asciiTheme="majorHAnsi" w:hAnsiTheme="majorHAnsi" w:cs="Times"/>
          <w:lang w:val="en-US"/>
        </w:rPr>
        <w:t xml:space="preserve"> S. (2003) GIS and health care. Annual Review of Public Health 24, 25–42.</w:t>
      </w:r>
    </w:p>
    <w:p w14:paraId="078C37A9"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Morgan S.P. &amp; </w:t>
      </w:r>
      <w:proofErr w:type="spellStart"/>
      <w:r w:rsidRPr="009B1A49">
        <w:rPr>
          <w:rFonts w:asciiTheme="majorHAnsi" w:hAnsiTheme="majorHAnsi" w:cs="Times"/>
          <w:lang w:val="en-US"/>
        </w:rPr>
        <w:t>Teachman</w:t>
      </w:r>
      <w:proofErr w:type="spellEnd"/>
      <w:r w:rsidRPr="009B1A49">
        <w:rPr>
          <w:rFonts w:asciiTheme="majorHAnsi" w:hAnsiTheme="majorHAnsi" w:cs="Times"/>
          <w:lang w:val="en-US"/>
        </w:rPr>
        <w:t xml:space="preserve"> J.D. (1988) Logistic regression: description, examples, and comparisons. Journal of Marriage and the Family 50, 929–936.</w:t>
      </w:r>
    </w:p>
    <w:p w14:paraId="29400289"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Morrissey K., Clarke G.P., Hynes S., </w:t>
      </w:r>
      <w:proofErr w:type="spellStart"/>
      <w:r w:rsidRPr="009B1A49">
        <w:rPr>
          <w:rFonts w:asciiTheme="majorHAnsi" w:hAnsiTheme="majorHAnsi" w:cs="Times"/>
          <w:lang w:val="en-US"/>
        </w:rPr>
        <w:t>O’Donoghue</w:t>
      </w:r>
      <w:proofErr w:type="spellEnd"/>
      <w:r w:rsidRPr="009B1A49">
        <w:rPr>
          <w:rFonts w:asciiTheme="majorHAnsi" w:hAnsiTheme="majorHAnsi" w:cs="Times"/>
          <w:lang w:val="en-US"/>
        </w:rPr>
        <w:t xml:space="preserve"> C. &amp; </w:t>
      </w:r>
      <w:proofErr w:type="spellStart"/>
      <w:r w:rsidRPr="009B1A49">
        <w:rPr>
          <w:rFonts w:asciiTheme="majorHAnsi" w:hAnsiTheme="majorHAnsi" w:cs="Times"/>
          <w:lang w:val="en-US"/>
        </w:rPr>
        <w:t>Ballas</w:t>
      </w:r>
      <w:proofErr w:type="spellEnd"/>
      <w:r w:rsidRPr="009B1A49">
        <w:rPr>
          <w:rFonts w:asciiTheme="majorHAnsi" w:hAnsiTheme="majorHAnsi" w:cs="Times"/>
          <w:lang w:val="en-US"/>
        </w:rPr>
        <w:t xml:space="preserve"> B. (2008) Examining access to GP services in rural Ireland using </w:t>
      </w:r>
      <w:proofErr w:type="spellStart"/>
      <w:r w:rsidRPr="009B1A49">
        <w:rPr>
          <w:rFonts w:asciiTheme="majorHAnsi" w:hAnsiTheme="majorHAnsi" w:cs="Times"/>
          <w:lang w:val="en-US"/>
        </w:rPr>
        <w:t>microsimulation</w:t>
      </w:r>
      <w:proofErr w:type="spellEnd"/>
      <w:r w:rsidRPr="009B1A49">
        <w:rPr>
          <w:rFonts w:asciiTheme="majorHAnsi" w:hAnsiTheme="majorHAnsi" w:cs="Times"/>
          <w:lang w:val="en-US"/>
        </w:rPr>
        <w:t xml:space="preserve"> analysis. Area 40 (3), 354–364.</w:t>
      </w:r>
    </w:p>
    <w:p w14:paraId="17AE1C8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Morrissey K., </w:t>
      </w:r>
      <w:proofErr w:type="spellStart"/>
      <w:r w:rsidRPr="009B1A49">
        <w:rPr>
          <w:rFonts w:asciiTheme="majorHAnsi" w:hAnsiTheme="majorHAnsi" w:cs="Times"/>
          <w:lang w:val="en-US"/>
        </w:rPr>
        <w:t>O’Donoghue</w:t>
      </w:r>
      <w:proofErr w:type="spellEnd"/>
      <w:r w:rsidRPr="009B1A49">
        <w:rPr>
          <w:rFonts w:asciiTheme="majorHAnsi" w:hAnsiTheme="majorHAnsi" w:cs="Times"/>
          <w:lang w:val="en-US"/>
        </w:rPr>
        <w:t xml:space="preserve"> C., Clarke G.P. &amp; Li J. (2013) </w:t>
      </w:r>
      <w:proofErr w:type="gramStart"/>
      <w:r w:rsidRPr="009B1A49">
        <w:rPr>
          <w:rFonts w:asciiTheme="majorHAnsi" w:hAnsiTheme="majorHAnsi" w:cs="Times"/>
          <w:lang w:val="en-US"/>
        </w:rPr>
        <w:t>Using</w:t>
      </w:r>
      <w:proofErr w:type="gramEnd"/>
      <w:r w:rsidRPr="009B1A49">
        <w:rPr>
          <w:rFonts w:asciiTheme="majorHAnsi" w:hAnsiTheme="majorHAnsi" w:cs="Times"/>
          <w:lang w:val="en-US"/>
        </w:rPr>
        <w:t xml:space="preserve"> simulated data to examine the determinants of acute hospital demand at the small area level. Geographical Analysis 45 (1), 49–76.</w:t>
      </w:r>
    </w:p>
    <w:p w14:paraId="0D8993C2"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gramStart"/>
      <w:r w:rsidRPr="009B1A49">
        <w:rPr>
          <w:rFonts w:asciiTheme="majorHAnsi" w:hAnsiTheme="majorHAnsi" w:cs="Times"/>
          <w:lang w:val="en-US"/>
        </w:rPr>
        <w:t xml:space="preserve">Wan N., Benjamin Zhan F., </w:t>
      </w:r>
      <w:proofErr w:type="spellStart"/>
      <w:r w:rsidRPr="009B1A49">
        <w:rPr>
          <w:rFonts w:asciiTheme="majorHAnsi" w:hAnsiTheme="majorHAnsi" w:cs="Times"/>
          <w:lang w:val="en-US"/>
        </w:rPr>
        <w:t>Zou</w:t>
      </w:r>
      <w:proofErr w:type="spellEnd"/>
      <w:r w:rsidRPr="009B1A49">
        <w:rPr>
          <w:rFonts w:asciiTheme="majorHAnsi" w:hAnsiTheme="majorHAnsi" w:cs="Times"/>
          <w:lang w:val="en-US"/>
        </w:rPr>
        <w:t xml:space="preserve"> B. &amp; Gaines Wilson J. (2012) Spatial access to health care services and disparities in colorectal cancer stage at diagnosis in Texas.</w:t>
      </w:r>
      <w:proofErr w:type="gramEnd"/>
      <w:r w:rsidRPr="009B1A49">
        <w:rPr>
          <w:rFonts w:asciiTheme="majorHAnsi" w:hAnsiTheme="majorHAnsi" w:cs="Times"/>
          <w:lang w:val="en-US"/>
        </w:rPr>
        <w:t xml:space="preserve"> Professional Geographer 65 (3), 527–541.</w:t>
      </w:r>
    </w:p>
    <w:p w14:paraId="71F620B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NICE Public Health Guidance (2013) Assessing Body Mass Index and Waist Circumference Thresholds for Intervening to Prevent Ill Health and Premature Death among Adults from Black, Asian and Other Minority Ethnic Groups in the UK. NICE Public Health Guidance 46.</w:t>
      </w:r>
    </w:p>
    <w:p w14:paraId="0A52D365"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Rodriguez F., Wang Y., </w:t>
      </w:r>
      <w:proofErr w:type="spellStart"/>
      <w:r w:rsidRPr="009B1A49">
        <w:rPr>
          <w:rFonts w:asciiTheme="majorHAnsi" w:hAnsiTheme="majorHAnsi" w:cs="Times"/>
          <w:lang w:val="en-US"/>
        </w:rPr>
        <w:t>Naderi</w:t>
      </w:r>
      <w:proofErr w:type="spellEnd"/>
      <w:r w:rsidRPr="009B1A49">
        <w:rPr>
          <w:rFonts w:asciiTheme="majorHAnsi" w:hAnsiTheme="majorHAnsi" w:cs="Times"/>
          <w:lang w:val="en-US"/>
        </w:rPr>
        <w:t xml:space="preserve"> S., Johnson C. &amp; </w:t>
      </w:r>
      <w:proofErr w:type="spellStart"/>
      <w:r w:rsidRPr="009B1A49">
        <w:rPr>
          <w:rFonts w:asciiTheme="majorHAnsi" w:hAnsiTheme="majorHAnsi" w:cs="Times"/>
          <w:lang w:val="en-US"/>
        </w:rPr>
        <w:t>Foody</w:t>
      </w:r>
      <w:proofErr w:type="spellEnd"/>
      <w:r w:rsidRPr="009B1A49">
        <w:rPr>
          <w:rFonts w:asciiTheme="majorHAnsi" w:hAnsiTheme="majorHAnsi" w:cs="Times"/>
          <w:lang w:val="en-US"/>
        </w:rPr>
        <w:t xml:space="preserve"> J. (2013) Community-level cardiovascular risk factors impact geographic variation in cardiovascular disease hospitalizations for women. Journal of Community Health 38, 451–457.</w:t>
      </w:r>
    </w:p>
    <w:p w14:paraId="2684905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Sachdev</w:t>
      </w:r>
      <w:proofErr w:type="spellEnd"/>
      <w:r w:rsidRPr="009B1A49">
        <w:rPr>
          <w:rFonts w:asciiTheme="majorHAnsi" w:hAnsiTheme="majorHAnsi" w:cs="Times"/>
          <w:lang w:val="en-US"/>
        </w:rPr>
        <w:t xml:space="preserve"> M., Lena Sun J., </w:t>
      </w:r>
      <w:proofErr w:type="spellStart"/>
      <w:r w:rsidRPr="009B1A49">
        <w:rPr>
          <w:rFonts w:asciiTheme="majorHAnsi" w:hAnsiTheme="majorHAnsi" w:cs="Times"/>
          <w:lang w:val="en-US"/>
        </w:rPr>
        <w:t>Tsiatis</w:t>
      </w:r>
      <w:proofErr w:type="spellEnd"/>
      <w:r w:rsidRPr="009B1A49">
        <w:rPr>
          <w:rFonts w:asciiTheme="majorHAnsi" w:hAnsiTheme="majorHAnsi" w:cs="Times"/>
          <w:lang w:val="en-US"/>
        </w:rPr>
        <w:t xml:space="preserve"> A., Nelson C., Mark D. &amp; </w:t>
      </w:r>
      <w:proofErr w:type="spellStart"/>
      <w:r w:rsidRPr="009B1A49">
        <w:rPr>
          <w:rFonts w:asciiTheme="majorHAnsi" w:hAnsiTheme="majorHAnsi" w:cs="Times"/>
          <w:lang w:val="en-US"/>
        </w:rPr>
        <w:t>Jollis</w:t>
      </w:r>
      <w:proofErr w:type="spellEnd"/>
      <w:r w:rsidRPr="009B1A49">
        <w:rPr>
          <w:rFonts w:asciiTheme="majorHAnsi" w:hAnsiTheme="majorHAnsi" w:cs="Times"/>
          <w:lang w:val="en-US"/>
        </w:rPr>
        <w:t xml:space="preserve"> J. (2004) The prognostic importance of comorbidity for mortality in patients with stable coronary artery disease. Journal of the American College of Cardiology 43 (4), 576–582.</w:t>
      </w:r>
    </w:p>
    <w:p w14:paraId="46A28B2F"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proofErr w:type="gramStart"/>
      <w:r w:rsidRPr="009B1A49">
        <w:rPr>
          <w:rFonts w:asciiTheme="majorHAnsi" w:hAnsiTheme="majorHAnsi" w:cs="Times"/>
          <w:lang w:val="en-US"/>
        </w:rPr>
        <w:t>Salive</w:t>
      </w:r>
      <w:proofErr w:type="spellEnd"/>
      <w:r w:rsidRPr="009B1A49">
        <w:rPr>
          <w:rFonts w:asciiTheme="majorHAnsi" w:hAnsiTheme="majorHAnsi" w:cs="Times"/>
          <w:lang w:val="en-US"/>
        </w:rPr>
        <w:t xml:space="preserve"> M. (2013) </w:t>
      </w:r>
      <w:proofErr w:type="spellStart"/>
      <w:r w:rsidRPr="009B1A49">
        <w:rPr>
          <w:rFonts w:asciiTheme="majorHAnsi" w:hAnsiTheme="majorHAnsi" w:cs="Times"/>
          <w:lang w:val="en-US"/>
        </w:rPr>
        <w:t>Multimorbidity</w:t>
      </w:r>
      <w:proofErr w:type="spellEnd"/>
      <w:r w:rsidRPr="009B1A49">
        <w:rPr>
          <w:rFonts w:asciiTheme="majorHAnsi" w:hAnsiTheme="majorHAnsi" w:cs="Times"/>
          <w:lang w:val="en-US"/>
        </w:rPr>
        <w:t xml:space="preserve"> in older adults.</w:t>
      </w:r>
      <w:proofErr w:type="gramEnd"/>
      <w:r w:rsidRPr="009B1A49">
        <w:rPr>
          <w:rFonts w:asciiTheme="majorHAnsi" w:hAnsiTheme="majorHAnsi" w:cs="Times"/>
          <w:lang w:val="en-US"/>
        </w:rPr>
        <w:t xml:space="preserve"> Epidemiology Reviews 35, 75–83.</w:t>
      </w:r>
    </w:p>
    <w:p w14:paraId="64C276A5"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Tillin</w:t>
      </w:r>
      <w:proofErr w:type="spellEnd"/>
      <w:r w:rsidRPr="009B1A49">
        <w:rPr>
          <w:rFonts w:asciiTheme="majorHAnsi" w:hAnsiTheme="majorHAnsi" w:cs="Times"/>
          <w:lang w:val="en-US"/>
        </w:rPr>
        <w:t xml:space="preserve"> T., Hughes A.D. &amp; </w:t>
      </w:r>
      <w:proofErr w:type="spellStart"/>
      <w:r w:rsidRPr="009B1A49">
        <w:rPr>
          <w:rFonts w:asciiTheme="majorHAnsi" w:hAnsiTheme="majorHAnsi" w:cs="Times"/>
          <w:lang w:val="en-US"/>
        </w:rPr>
        <w:t>Godsland</w:t>
      </w:r>
      <w:proofErr w:type="spellEnd"/>
      <w:r w:rsidRPr="009B1A49">
        <w:rPr>
          <w:rFonts w:asciiTheme="majorHAnsi" w:hAnsiTheme="majorHAnsi" w:cs="Times"/>
          <w:lang w:val="en-US"/>
        </w:rPr>
        <w:t xml:space="preserve"> I.F. (2013) Insulin resistance and </w:t>
      </w:r>
      <w:proofErr w:type="spellStart"/>
      <w:r w:rsidRPr="009B1A49">
        <w:rPr>
          <w:rFonts w:asciiTheme="majorHAnsi" w:hAnsiTheme="majorHAnsi" w:cs="Times"/>
          <w:lang w:val="en-US"/>
        </w:rPr>
        <w:t>Truncal</w:t>
      </w:r>
      <w:proofErr w:type="spellEnd"/>
      <w:r w:rsidRPr="009B1A49">
        <w:rPr>
          <w:rFonts w:asciiTheme="majorHAnsi" w:hAnsiTheme="majorHAnsi" w:cs="Times"/>
          <w:lang w:val="en-US"/>
        </w:rPr>
        <w:t xml:space="preserve"> Obesity as Important Determinants of the Greater Incidence of Diabetes in Indian Asians and African </w:t>
      </w:r>
      <w:proofErr w:type="spellStart"/>
      <w:r w:rsidRPr="009B1A49">
        <w:rPr>
          <w:rFonts w:asciiTheme="majorHAnsi" w:hAnsiTheme="majorHAnsi" w:cs="Times"/>
          <w:lang w:val="en-US"/>
        </w:rPr>
        <w:t>Caribbeans</w:t>
      </w:r>
      <w:proofErr w:type="spellEnd"/>
      <w:r w:rsidRPr="009B1A49">
        <w:rPr>
          <w:rFonts w:asciiTheme="majorHAnsi" w:hAnsiTheme="majorHAnsi" w:cs="Times"/>
          <w:lang w:val="en-US"/>
        </w:rPr>
        <w:t xml:space="preserve"> Compared with Europeans: </w:t>
      </w:r>
      <w:proofErr w:type="spellStart"/>
      <w:r w:rsidRPr="009B1A49">
        <w:rPr>
          <w:rFonts w:asciiTheme="majorHAnsi" w:hAnsiTheme="majorHAnsi" w:cs="Times"/>
          <w:lang w:val="en-US"/>
        </w:rPr>
        <w:t>Thw</w:t>
      </w:r>
      <w:proofErr w:type="spellEnd"/>
      <w:r w:rsidRPr="009B1A49">
        <w:rPr>
          <w:rFonts w:asciiTheme="majorHAnsi" w:hAnsiTheme="majorHAnsi" w:cs="Times"/>
          <w:lang w:val="en-US"/>
        </w:rPr>
        <w:t xml:space="preserve"> </w:t>
      </w:r>
      <w:proofErr w:type="spellStart"/>
      <w:r w:rsidRPr="009B1A49">
        <w:rPr>
          <w:rFonts w:asciiTheme="majorHAnsi" w:hAnsiTheme="majorHAnsi" w:cs="Times"/>
          <w:lang w:val="en-US"/>
        </w:rPr>
        <w:t>Southal</w:t>
      </w:r>
      <w:proofErr w:type="spellEnd"/>
      <w:r w:rsidRPr="009B1A49">
        <w:rPr>
          <w:rFonts w:asciiTheme="majorHAnsi" w:hAnsiTheme="majorHAnsi" w:cs="Times"/>
          <w:lang w:val="en-US"/>
        </w:rPr>
        <w:t xml:space="preserve"> and Brent </w:t>
      </w:r>
      <w:proofErr w:type="spellStart"/>
      <w:r w:rsidRPr="009B1A49">
        <w:rPr>
          <w:rFonts w:asciiTheme="majorHAnsi" w:hAnsiTheme="majorHAnsi" w:cs="Times"/>
          <w:lang w:val="en-US"/>
        </w:rPr>
        <w:t>REvisited</w:t>
      </w:r>
      <w:proofErr w:type="spellEnd"/>
      <w:r w:rsidRPr="009B1A49">
        <w:rPr>
          <w:rFonts w:asciiTheme="majorHAnsi" w:hAnsiTheme="majorHAnsi" w:cs="Times"/>
          <w:lang w:val="en-US"/>
        </w:rPr>
        <w:t xml:space="preserve"> (SABRE) cohort. Diabetes Care 36 (2), 383–393.</w:t>
      </w:r>
    </w:p>
    <w:p w14:paraId="134E795A"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Valderas</w:t>
      </w:r>
      <w:proofErr w:type="spellEnd"/>
      <w:r w:rsidRPr="009B1A49">
        <w:rPr>
          <w:rFonts w:asciiTheme="majorHAnsi" w:hAnsiTheme="majorHAnsi" w:cs="Times"/>
          <w:lang w:val="en-US"/>
        </w:rPr>
        <w:t xml:space="preserve"> J.M., </w:t>
      </w:r>
      <w:proofErr w:type="spellStart"/>
      <w:r w:rsidRPr="009B1A49">
        <w:rPr>
          <w:rFonts w:asciiTheme="majorHAnsi" w:hAnsiTheme="majorHAnsi" w:cs="Times"/>
          <w:lang w:val="en-US"/>
        </w:rPr>
        <w:t>Starfield</w:t>
      </w:r>
      <w:proofErr w:type="spellEnd"/>
      <w:r w:rsidRPr="009B1A49">
        <w:rPr>
          <w:rFonts w:asciiTheme="majorHAnsi" w:hAnsiTheme="majorHAnsi" w:cs="Times"/>
          <w:lang w:val="en-US"/>
        </w:rPr>
        <w:t xml:space="preserve"> B., </w:t>
      </w:r>
      <w:proofErr w:type="spellStart"/>
      <w:r w:rsidRPr="009B1A49">
        <w:rPr>
          <w:rFonts w:asciiTheme="majorHAnsi" w:hAnsiTheme="majorHAnsi" w:cs="Times"/>
          <w:lang w:val="en-US"/>
        </w:rPr>
        <w:t>Sibbald</w:t>
      </w:r>
      <w:proofErr w:type="spellEnd"/>
      <w:r w:rsidRPr="009B1A49">
        <w:rPr>
          <w:rFonts w:asciiTheme="majorHAnsi" w:hAnsiTheme="majorHAnsi" w:cs="Times"/>
          <w:lang w:val="en-US"/>
        </w:rPr>
        <w:t xml:space="preserve"> B., </w:t>
      </w:r>
      <w:proofErr w:type="gramStart"/>
      <w:r w:rsidRPr="009B1A49">
        <w:rPr>
          <w:rFonts w:asciiTheme="majorHAnsi" w:hAnsiTheme="majorHAnsi" w:cs="Times"/>
          <w:lang w:val="en-US"/>
        </w:rPr>
        <w:t>Salisbury</w:t>
      </w:r>
      <w:proofErr w:type="gramEnd"/>
      <w:r w:rsidRPr="009B1A49">
        <w:rPr>
          <w:rFonts w:asciiTheme="majorHAnsi" w:hAnsiTheme="majorHAnsi" w:cs="Times"/>
          <w:lang w:val="en-US"/>
        </w:rPr>
        <w:t xml:space="preserve"> C. &amp; Roland M. (2009) Defining comorbidity: implications for understanding health and health services. Annals of Family Medicine 7 (4), 357–363.</w:t>
      </w:r>
    </w:p>
    <w:p w14:paraId="44922A44"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roofErr w:type="spellStart"/>
      <w:r w:rsidRPr="009B1A49">
        <w:rPr>
          <w:rFonts w:asciiTheme="majorHAnsi" w:hAnsiTheme="majorHAnsi" w:cs="Times"/>
          <w:lang w:val="en-US"/>
        </w:rPr>
        <w:t>Venables</w:t>
      </w:r>
      <w:proofErr w:type="spellEnd"/>
      <w:r w:rsidRPr="009B1A49">
        <w:rPr>
          <w:rFonts w:asciiTheme="majorHAnsi" w:hAnsiTheme="majorHAnsi" w:cs="Times"/>
          <w:lang w:val="en-US"/>
        </w:rPr>
        <w:t xml:space="preserve"> W.N. &amp; Ripley B.D. (2002) Modern Applied Statistics with S, 4th </w:t>
      </w:r>
      <w:proofErr w:type="spellStart"/>
      <w:r w:rsidRPr="009B1A49">
        <w:rPr>
          <w:rFonts w:asciiTheme="majorHAnsi" w:hAnsiTheme="majorHAnsi" w:cs="Times"/>
          <w:lang w:val="en-US"/>
        </w:rPr>
        <w:t>edn</w:t>
      </w:r>
      <w:proofErr w:type="spellEnd"/>
      <w:r w:rsidRPr="009B1A49">
        <w:rPr>
          <w:rFonts w:asciiTheme="majorHAnsi" w:hAnsiTheme="majorHAnsi" w:cs="Times"/>
          <w:lang w:val="en-US"/>
        </w:rPr>
        <w:t xml:space="preserve">. </w:t>
      </w:r>
      <w:proofErr w:type="gramStart"/>
      <w:r w:rsidRPr="009B1A49">
        <w:rPr>
          <w:rFonts w:asciiTheme="majorHAnsi" w:hAnsiTheme="majorHAnsi" w:cs="Times"/>
          <w:lang w:val="en-US"/>
        </w:rPr>
        <w:t>Springer, New York.</w:t>
      </w:r>
      <w:proofErr w:type="gramEnd"/>
    </w:p>
    <w:p w14:paraId="366C51DD" w14:textId="77777777" w:rsidR="009B1A49" w:rsidRDefault="009B1A49" w:rsidP="009B1A49">
      <w:pPr>
        <w:widowControl w:val="0"/>
        <w:autoSpaceDE w:val="0"/>
        <w:autoSpaceDN w:val="0"/>
        <w:adjustRightInd w:val="0"/>
        <w:spacing w:after="240"/>
        <w:jc w:val="both"/>
        <w:rPr>
          <w:rFonts w:asciiTheme="majorHAnsi" w:hAnsiTheme="majorHAnsi" w:cs="Times"/>
          <w:lang w:val="en-US"/>
        </w:rPr>
      </w:pPr>
      <w:r w:rsidRPr="009B1A49">
        <w:rPr>
          <w:rFonts w:asciiTheme="majorHAnsi" w:hAnsiTheme="majorHAnsi" w:cs="Times"/>
          <w:lang w:val="en-US"/>
        </w:rPr>
        <w:t xml:space="preserve">Williams G. (2003) </w:t>
      </w:r>
      <w:proofErr w:type="gramStart"/>
      <w:r w:rsidRPr="009B1A49">
        <w:rPr>
          <w:rFonts w:asciiTheme="majorHAnsi" w:hAnsiTheme="majorHAnsi" w:cs="Times"/>
          <w:lang w:val="en-US"/>
        </w:rPr>
        <w:t>The</w:t>
      </w:r>
      <w:proofErr w:type="gramEnd"/>
      <w:r w:rsidRPr="009B1A49">
        <w:rPr>
          <w:rFonts w:asciiTheme="majorHAnsi" w:hAnsiTheme="majorHAnsi" w:cs="Times"/>
          <w:lang w:val="en-US"/>
        </w:rPr>
        <w:t xml:space="preserve"> determinants of health: structure, context and agency. </w:t>
      </w:r>
      <w:proofErr w:type="gramStart"/>
      <w:r w:rsidRPr="009B1A49">
        <w:rPr>
          <w:rFonts w:asciiTheme="majorHAnsi" w:hAnsiTheme="majorHAnsi" w:cs="Times"/>
          <w:lang w:val="en-US"/>
        </w:rPr>
        <w:t>Sociology of Health &amp; Illness 25 (1), 131–154.</w:t>
      </w:r>
      <w:proofErr w:type="gramEnd"/>
    </w:p>
    <w:p w14:paraId="748D58FC" w14:textId="77777777" w:rsidR="009B1A49" w:rsidRPr="00BF16D3" w:rsidRDefault="009B1A49" w:rsidP="00BF16D3">
      <w:pPr>
        <w:rPr>
          <w:rFonts w:asciiTheme="majorHAnsi" w:hAnsiTheme="majorHAnsi"/>
        </w:rPr>
      </w:pPr>
      <w:r>
        <w:rPr>
          <w:rFonts w:asciiTheme="majorHAnsi" w:hAnsiTheme="majorHAnsi" w:cs="Times"/>
          <w:lang w:val="en-US"/>
        </w:rPr>
        <w:br w:type="column"/>
      </w:r>
      <w:r w:rsidRPr="00BF16D3">
        <w:rPr>
          <w:rFonts w:asciiTheme="majorHAnsi" w:hAnsiTheme="majorHAnsi"/>
          <w:b/>
        </w:rPr>
        <w:t xml:space="preserve">Table 1 </w:t>
      </w:r>
      <w:r w:rsidRPr="00BF16D3">
        <w:rPr>
          <w:rFonts w:asciiTheme="majorHAnsi" w:hAnsiTheme="majorHAnsi"/>
        </w:rPr>
        <w:t>The age-gender distributions of the Health Survey for England (HSE) weighted samples before removing non-response (HSE</w:t>
      </w:r>
      <w:r w:rsidRPr="00BF16D3">
        <w:rPr>
          <w:rFonts w:asciiTheme="majorHAnsi" w:hAnsiTheme="majorHAnsi"/>
          <w:vertAlign w:val="subscript"/>
        </w:rPr>
        <w:t>0</w:t>
      </w:r>
      <w:r w:rsidRPr="00BF16D3">
        <w:rPr>
          <w:rFonts w:asciiTheme="majorHAnsi" w:hAnsiTheme="majorHAnsi"/>
        </w:rPr>
        <w:t xml:space="preserve">), and after doing so (HSE sample) </w:t>
      </w:r>
    </w:p>
    <w:p w14:paraId="6D9BA33F" w14:textId="77777777" w:rsidR="00BF16D3" w:rsidRPr="00BF16D3" w:rsidRDefault="00BF16D3" w:rsidP="00BF16D3">
      <w:pPr>
        <w:rPr>
          <w:rFonts w:asciiTheme="majorHAnsi" w:hAnsiTheme="maj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1388"/>
        <w:gridCol w:w="1389"/>
        <w:gridCol w:w="1389"/>
        <w:gridCol w:w="1157"/>
      </w:tblGrid>
      <w:tr w:rsidR="009B1A49" w:rsidRPr="00BF16D3" w14:paraId="2DAE53EB" w14:textId="77777777" w:rsidTr="00BF16D3">
        <w:trPr>
          <w:jc w:val="center"/>
        </w:trPr>
        <w:tc>
          <w:tcPr>
            <w:tcW w:w="1995" w:type="pct"/>
            <w:tcBorders>
              <w:top w:val="single" w:sz="4" w:space="0" w:color="auto"/>
              <w:bottom w:val="single" w:sz="4" w:space="0" w:color="auto"/>
            </w:tcBorders>
          </w:tcPr>
          <w:p w14:paraId="06D290B7"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Sex</w:t>
            </w:r>
          </w:p>
        </w:tc>
        <w:tc>
          <w:tcPr>
            <w:tcW w:w="3005" w:type="pct"/>
            <w:gridSpan w:val="4"/>
            <w:tcBorders>
              <w:top w:val="single" w:sz="4" w:space="0" w:color="auto"/>
              <w:bottom w:val="single" w:sz="4" w:space="0" w:color="auto"/>
            </w:tcBorders>
          </w:tcPr>
          <w:p w14:paraId="57067473"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Male</w:t>
            </w:r>
          </w:p>
        </w:tc>
      </w:tr>
      <w:tr w:rsidR="009B1A49" w:rsidRPr="00BF16D3" w14:paraId="49307EF7" w14:textId="77777777" w:rsidTr="00BF16D3">
        <w:trPr>
          <w:jc w:val="center"/>
        </w:trPr>
        <w:tc>
          <w:tcPr>
            <w:tcW w:w="1995" w:type="pct"/>
            <w:tcBorders>
              <w:top w:val="single" w:sz="4" w:space="0" w:color="auto"/>
              <w:bottom w:val="single" w:sz="4" w:space="0" w:color="auto"/>
            </w:tcBorders>
          </w:tcPr>
          <w:p w14:paraId="13D626AE"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Age</w:t>
            </w:r>
          </w:p>
        </w:tc>
        <w:tc>
          <w:tcPr>
            <w:tcW w:w="784" w:type="pct"/>
            <w:tcBorders>
              <w:top w:val="single" w:sz="4" w:space="0" w:color="auto"/>
              <w:bottom w:val="single" w:sz="4" w:space="0" w:color="auto"/>
            </w:tcBorders>
          </w:tcPr>
          <w:p w14:paraId="19969F8E"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16-54</w:t>
            </w:r>
          </w:p>
        </w:tc>
        <w:tc>
          <w:tcPr>
            <w:tcW w:w="784" w:type="pct"/>
            <w:tcBorders>
              <w:top w:val="single" w:sz="4" w:space="0" w:color="auto"/>
              <w:bottom w:val="single" w:sz="4" w:space="0" w:color="auto"/>
            </w:tcBorders>
          </w:tcPr>
          <w:p w14:paraId="4273C2DB"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55-64</w:t>
            </w:r>
          </w:p>
        </w:tc>
        <w:tc>
          <w:tcPr>
            <w:tcW w:w="784" w:type="pct"/>
            <w:tcBorders>
              <w:top w:val="single" w:sz="4" w:space="0" w:color="auto"/>
              <w:bottom w:val="single" w:sz="4" w:space="0" w:color="auto"/>
            </w:tcBorders>
          </w:tcPr>
          <w:p w14:paraId="6E073534"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65-74</w:t>
            </w:r>
          </w:p>
        </w:tc>
        <w:tc>
          <w:tcPr>
            <w:tcW w:w="653" w:type="pct"/>
            <w:tcBorders>
              <w:top w:val="single" w:sz="4" w:space="0" w:color="auto"/>
              <w:bottom w:val="single" w:sz="4" w:space="0" w:color="auto"/>
            </w:tcBorders>
          </w:tcPr>
          <w:p w14:paraId="25911071"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75+</w:t>
            </w:r>
          </w:p>
        </w:tc>
      </w:tr>
      <w:tr w:rsidR="009B1A49" w:rsidRPr="00BF16D3" w14:paraId="123660F1" w14:textId="77777777" w:rsidTr="00BF16D3">
        <w:trPr>
          <w:jc w:val="center"/>
        </w:trPr>
        <w:tc>
          <w:tcPr>
            <w:tcW w:w="1995" w:type="pct"/>
            <w:tcBorders>
              <w:top w:val="single" w:sz="4" w:space="0" w:color="auto"/>
            </w:tcBorders>
          </w:tcPr>
          <w:p w14:paraId="6483A13F"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HSE</w:t>
            </w:r>
            <w:r w:rsidRPr="00BF16D3">
              <w:rPr>
                <w:rFonts w:asciiTheme="majorHAnsi" w:hAnsiTheme="majorHAnsi"/>
                <w:sz w:val="24"/>
                <w:szCs w:val="24"/>
                <w:vertAlign w:val="subscript"/>
              </w:rPr>
              <w:t>0</w:t>
            </w:r>
            <w:r w:rsidRPr="00BF16D3">
              <w:rPr>
                <w:rFonts w:asciiTheme="majorHAnsi" w:hAnsiTheme="majorHAnsi"/>
                <w:sz w:val="24"/>
                <w:szCs w:val="24"/>
              </w:rPr>
              <w:t xml:space="preserve"> (%)</w:t>
            </w:r>
          </w:p>
        </w:tc>
        <w:tc>
          <w:tcPr>
            <w:tcW w:w="784" w:type="pct"/>
            <w:tcBorders>
              <w:top w:val="single" w:sz="4" w:space="0" w:color="auto"/>
            </w:tcBorders>
          </w:tcPr>
          <w:p w14:paraId="28CDCDB9"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33.08</w:t>
            </w:r>
          </w:p>
        </w:tc>
        <w:tc>
          <w:tcPr>
            <w:tcW w:w="784" w:type="pct"/>
            <w:tcBorders>
              <w:top w:val="single" w:sz="4" w:space="0" w:color="auto"/>
            </w:tcBorders>
          </w:tcPr>
          <w:p w14:paraId="7A59F1E5"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7.19</w:t>
            </w:r>
          </w:p>
        </w:tc>
        <w:tc>
          <w:tcPr>
            <w:tcW w:w="784" w:type="pct"/>
            <w:tcBorders>
              <w:top w:val="single" w:sz="4" w:space="0" w:color="auto"/>
            </w:tcBorders>
          </w:tcPr>
          <w:p w14:paraId="67A1C72A"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4.98</w:t>
            </w:r>
          </w:p>
        </w:tc>
        <w:tc>
          <w:tcPr>
            <w:tcW w:w="653" w:type="pct"/>
            <w:tcBorders>
              <w:top w:val="single" w:sz="4" w:space="0" w:color="auto"/>
            </w:tcBorders>
          </w:tcPr>
          <w:p w14:paraId="44628287"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3.69</w:t>
            </w:r>
          </w:p>
        </w:tc>
      </w:tr>
      <w:tr w:rsidR="009B1A49" w:rsidRPr="00BF16D3" w14:paraId="052B418B" w14:textId="77777777" w:rsidTr="00BF16D3">
        <w:trPr>
          <w:jc w:val="center"/>
        </w:trPr>
        <w:tc>
          <w:tcPr>
            <w:tcW w:w="1995" w:type="pct"/>
            <w:tcBorders>
              <w:bottom w:val="single" w:sz="4" w:space="0" w:color="auto"/>
            </w:tcBorders>
          </w:tcPr>
          <w:p w14:paraId="4B31C69B" w14:textId="77777777" w:rsidR="009B1A49" w:rsidRPr="00BF16D3" w:rsidRDefault="009B1A49" w:rsidP="009B1A49">
            <w:pPr>
              <w:rPr>
                <w:rFonts w:asciiTheme="majorHAnsi" w:hAnsiTheme="majorHAnsi"/>
                <w:sz w:val="24"/>
                <w:szCs w:val="24"/>
              </w:rPr>
            </w:pPr>
            <w:r w:rsidRPr="00BF16D3">
              <w:rPr>
                <w:rFonts w:asciiTheme="majorHAnsi" w:hAnsiTheme="majorHAnsi"/>
                <w:sz w:val="24"/>
                <w:szCs w:val="24"/>
              </w:rPr>
              <w:t>HSE  (%)</w:t>
            </w:r>
          </w:p>
        </w:tc>
        <w:tc>
          <w:tcPr>
            <w:tcW w:w="784" w:type="pct"/>
            <w:tcBorders>
              <w:bottom w:val="single" w:sz="4" w:space="0" w:color="auto"/>
            </w:tcBorders>
          </w:tcPr>
          <w:p w14:paraId="4F9D05F8"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34.25</w:t>
            </w:r>
          </w:p>
        </w:tc>
        <w:tc>
          <w:tcPr>
            <w:tcW w:w="784" w:type="pct"/>
            <w:tcBorders>
              <w:bottom w:val="single" w:sz="4" w:space="0" w:color="auto"/>
            </w:tcBorders>
          </w:tcPr>
          <w:p w14:paraId="55FAD6E1"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7.53</w:t>
            </w:r>
          </w:p>
        </w:tc>
        <w:tc>
          <w:tcPr>
            <w:tcW w:w="784" w:type="pct"/>
            <w:tcBorders>
              <w:bottom w:val="single" w:sz="4" w:space="0" w:color="auto"/>
            </w:tcBorders>
          </w:tcPr>
          <w:p w14:paraId="13126323"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4.99</w:t>
            </w:r>
          </w:p>
        </w:tc>
        <w:tc>
          <w:tcPr>
            <w:tcW w:w="653" w:type="pct"/>
            <w:tcBorders>
              <w:bottom w:val="single" w:sz="4" w:space="0" w:color="auto"/>
            </w:tcBorders>
          </w:tcPr>
          <w:p w14:paraId="4371F0AF" w14:textId="77777777" w:rsidR="009B1A49" w:rsidRPr="00BF16D3" w:rsidRDefault="00BF16D3" w:rsidP="009B1A49">
            <w:pPr>
              <w:rPr>
                <w:rFonts w:asciiTheme="majorHAnsi" w:hAnsiTheme="majorHAnsi"/>
                <w:sz w:val="24"/>
                <w:szCs w:val="24"/>
              </w:rPr>
            </w:pPr>
            <w:r w:rsidRPr="00BF16D3">
              <w:rPr>
                <w:rFonts w:asciiTheme="majorHAnsi" w:hAnsiTheme="majorHAnsi"/>
                <w:sz w:val="24"/>
                <w:szCs w:val="24"/>
              </w:rPr>
              <w:t>3.11</w:t>
            </w:r>
          </w:p>
        </w:tc>
      </w:tr>
    </w:tbl>
    <w:p w14:paraId="677E2E69" w14:textId="77777777" w:rsidR="009B1A49" w:rsidRPr="00BF16D3" w:rsidRDefault="009B1A49" w:rsidP="009B1A49">
      <w:pPr>
        <w:widowControl w:val="0"/>
        <w:autoSpaceDE w:val="0"/>
        <w:autoSpaceDN w:val="0"/>
        <w:adjustRightInd w:val="0"/>
        <w:spacing w:after="240"/>
        <w:jc w:val="both"/>
        <w:rPr>
          <w:rFonts w:asciiTheme="majorHAnsi" w:hAnsiTheme="majorHAnsi" w:cs="Times"/>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1388"/>
        <w:gridCol w:w="1389"/>
        <w:gridCol w:w="1389"/>
        <w:gridCol w:w="1157"/>
      </w:tblGrid>
      <w:tr w:rsidR="00BF16D3" w:rsidRPr="00BF16D3" w14:paraId="2D50F617" w14:textId="77777777" w:rsidTr="00226805">
        <w:trPr>
          <w:jc w:val="center"/>
        </w:trPr>
        <w:tc>
          <w:tcPr>
            <w:tcW w:w="1995" w:type="pct"/>
            <w:tcBorders>
              <w:top w:val="single" w:sz="4" w:space="0" w:color="auto"/>
              <w:bottom w:val="single" w:sz="4" w:space="0" w:color="auto"/>
            </w:tcBorders>
          </w:tcPr>
          <w:p w14:paraId="6EC765D5"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Sex</w:t>
            </w:r>
          </w:p>
        </w:tc>
        <w:tc>
          <w:tcPr>
            <w:tcW w:w="3005" w:type="pct"/>
            <w:gridSpan w:val="4"/>
            <w:tcBorders>
              <w:top w:val="single" w:sz="4" w:space="0" w:color="auto"/>
              <w:bottom w:val="single" w:sz="4" w:space="0" w:color="auto"/>
            </w:tcBorders>
          </w:tcPr>
          <w:p w14:paraId="729A8799"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Female</w:t>
            </w:r>
          </w:p>
        </w:tc>
      </w:tr>
      <w:tr w:rsidR="00BF16D3" w:rsidRPr="00BF16D3" w14:paraId="48C6E138" w14:textId="77777777" w:rsidTr="00226805">
        <w:trPr>
          <w:jc w:val="center"/>
        </w:trPr>
        <w:tc>
          <w:tcPr>
            <w:tcW w:w="1995" w:type="pct"/>
            <w:tcBorders>
              <w:top w:val="single" w:sz="4" w:space="0" w:color="auto"/>
              <w:bottom w:val="single" w:sz="4" w:space="0" w:color="auto"/>
            </w:tcBorders>
          </w:tcPr>
          <w:p w14:paraId="15FD8D6D"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Age</w:t>
            </w:r>
          </w:p>
        </w:tc>
        <w:tc>
          <w:tcPr>
            <w:tcW w:w="784" w:type="pct"/>
            <w:tcBorders>
              <w:top w:val="single" w:sz="4" w:space="0" w:color="auto"/>
              <w:bottom w:val="single" w:sz="4" w:space="0" w:color="auto"/>
            </w:tcBorders>
          </w:tcPr>
          <w:p w14:paraId="3B27437F"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16-54</w:t>
            </w:r>
          </w:p>
        </w:tc>
        <w:tc>
          <w:tcPr>
            <w:tcW w:w="784" w:type="pct"/>
            <w:tcBorders>
              <w:top w:val="single" w:sz="4" w:space="0" w:color="auto"/>
              <w:bottom w:val="single" w:sz="4" w:space="0" w:color="auto"/>
            </w:tcBorders>
          </w:tcPr>
          <w:p w14:paraId="6C55421D"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55-64</w:t>
            </w:r>
          </w:p>
        </w:tc>
        <w:tc>
          <w:tcPr>
            <w:tcW w:w="784" w:type="pct"/>
            <w:tcBorders>
              <w:top w:val="single" w:sz="4" w:space="0" w:color="auto"/>
              <w:bottom w:val="single" w:sz="4" w:space="0" w:color="auto"/>
            </w:tcBorders>
          </w:tcPr>
          <w:p w14:paraId="1DD650B8"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65-74</w:t>
            </w:r>
          </w:p>
        </w:tc>
        <w:tc>
          <w:tcPr>
            <w:tcW w:w="653" w:type="pct"/>
            <w:tcBorders>
              <w:top w:val="single" w:sz="4" w:space="0" w:color="auto"/>
              <w:bottom w:val="single" w:sz="4" w:space="0" w:color="auto"/>
            </w:tcBorders>
          </w:tcPr>
          <w:p w14:paraId="41E351D3"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75+</w:t>
            </w:r>
          </w:p>
        </w:tc>
      </w:tr>
      <w:tr w:rsidR="00BF16D3" w:rsidRPr="00BF16D3" w14:paraId="0AD65283" w14:textId="77777777" w:rsidTr="00226805">
        <w:trPr>
          <w:jc w:val="center"/>
        </w:trPr>
        <w:tc>
          <w:tcPr>
            <w:tcW w:w="1995" w:type="pct"/>
            <w:tcBorders>
              <w:top w:val="single" w:sz="4" w:space="0" w:color="auto"/>
            </w:tcBorders>
          </w:tcPr>
          <w:p w14:paraId="10BB0BD2"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Sub-sample used in paper (%)</w:t>
            </w:r>
          </w:p>
        </w:tc>
        <w:tc>
          <w:tcPr>
            <w:tcW w:w="784" w:type="pct"/>
            <w:tcBorders>
              <w:top w:val="single" w:sz="4" w:space="0" w:color="auto"/>
            </w:tcBorders>
          </w:tcPr>
          <w:p w14:paraId="72C12F08"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32.8</w:t>
            </w:r>
          </w:p>
        </w:tc>
        <w:tc>
          <w:tcPr>
            <w:tcW w:w="784" w:type="pct"/>
            <w:tcBorders>
              <w:top w:val="single" w:sz="4" w:space="0" w:color="auto"/>
            </w:tcBorders>
          </w:tcPr>
          <w:p w14:paraId="78364B80"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7.44</w:t>
            </w:r>
          </w:p>
        </w:tc>
        <w:tc>
          <w:tcPr>
            <w:tcW w:w="784" w:type="pct"/>
            <w:tcBorders>
              <w:top w:val="single" w:sz="4" w:space="0" w:color="auto"/>
            </w:tcBorders>
          </w:tcPr>
          <w:p w14:paraId="55FB689B"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5.45</w:t>
            </w:r>
          </w:p>
        </w:tc>
        <w:tc>
          <w:tcPr>
            <w:tcW w:w="653" w:type="pct"/>
            <w:tcBorders>
              <w:top w:val="single" w:sz="4" w:space="0" w:color="auto"/>
            </w:tcBorders>
          </w:tcPr>
          <w:p w14:paraId="28E8ECEF"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5.19</w:t>
            </w:r>
          </w:p>
        </w:tc>
      </w:tr>
      <w:tr w:rsidR="00BF16D3" w:rsidRPr="00BF16D3" w14:paraId="67B1454C" w14:textId="77777777" w:rsidTr="00226805">
        <w:trPr>
          <w:jc w:val="center"/>
        </w:trPr>
        <w:tc>
          <w:tcPr>
            <w:tcW w:w="1995" w:type="pct"/>
            <w:tcBorders>
              <w:bottom w:val="single" w:sz="4" w:space="0" w:color="auto"/>
            </w:tcBorders>
          </w:tcPr>
          <w:p w14:paraId="5B281C38"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All HSE respondents (%)</w:t>
            </w:r>
          </w:p>
        </w:tc>
        <w:tc>
          <w:tcPr>
            <w:tcW w:w="784" w:type="pct"/>
            <w:tcBorders>
              <w:bottom w:val="single" w:sz="4" w:space="0" w:color="auto"/>
            </w:tcBorders>
          </w:tcPr>
          <w:p w14:paraId="2CCF65C3"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33.56</w:t>
            </w:r>
          </w:p>
        </w:tc>
        <w:tc>
          <w:tcPr>
            <w:tcW w:w="784" w:type="pct"/>
            <w:tcBorders>
              <w:bottom w:val="single" w:sz="4" w:space="0" w:color="auto"/>
            </w:tcBorders>
          </w:tcPr>
          <w:p w14:paraId="2B7FC661"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7.57</w:t>
            </w:r>
          </w:p>
        </w:tc>
        <w:tc>
          <w:tcPr>
            <w:tcW w:w="784" w:type="pct"/>
            <w:tcBorders>
              <w:bottom w:val="single" w:sz="4" w:space="0" w:color="auto"/>
            </w:tcBorders>
          </w:tcPr>
          <w:p w14:paraId="5FEA373A"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5.16</w:t>
            </w:r>
          </w:p>
        </w:tc>
        <w:tc>
          <w:tcPr>
            <w:tcW w:w="653" w:type="pct"/>
            <w:tcBorders>
              <w:bottom w:val="single" w:sz="4" w:space="0" w:color="auto"/>
            </w:tcBorders>
          </w:tcPr>
          <w:p w14:paraId="37558A8E" w14:textId="77777777" w:rsidR="00BF16D3" w:rsidRPr="00BF16D3" w:rsidRDefault="00BF16D3" w:rsidP="00226805">
            <w:pPr>
              <w:rPr>
                <w:rFonts w:asciiTheme="majorHAnsi" w:hAnsiTheme="majorHAnsi"/>
                <w:sz w:val="24"/>
                <w:szCs w:val="24"/>
              </w:rPr>
            </w:pPr>
            <w:r w:rsidRPr="00BF16D3">
              <w:rPr>
                <w:rFonts w:asciiTheme="majorHAnsi" w:hAnsiTheme="majorHAnsi"/>
                <w:sz w:val="24"/>
                <w:szCs w:val="24"/>
              </w:rPr>
              <w:t>3.84</w:t>
            </w:r>
          </w:p>
        </w:tc>
      </w:tr>
    </w:tbl>
    <w:p w14:paraId="16BC5B0A" w14:textId="77777777" w:rsidR="00BF16D3" w:rsidRPr="00BF16D3" w:rsidRDefault="00BF16D3" w:rsidP="009B1A49">
      <w:pPr>
        <w:widowControl w:val="0"/>
        <w:autoSpaceDE w:val="0"/>
        <w:autoSpaceDN w:val="0"/>
        <w:adjustRightInd w:val="0"/>
        <w:spacing w:after="240"/>
        <w:jc w:val="both"/>
        <w:rPr>
          <w:rFonts w:asciiTheme="majorHAnsi" w:hAnsiTheme="majorHAnsi" w:cs="Times"/>
          <w:lang w:val="en-US"/>
        </w:rPr>
      </w:pPr>
    </w:p>
    <w:p w14:paraId="52FD4DB9" w14:textId="77777777" w:rsidR="009B1A49" w:rsidRPr="00BF16D3" w:rsidRDefault="009B1A49" w:rsidP="009B1A49">
      <w:pPr>
        <w:widowControl w:val="0"/>
        <w:autoSpaceDE w:val="0"/>
        <w:autoSpaceDN w:val="0"/>
        <w:adjustRightInd w:val="0"/>
        <w:spacing w:after="240"/>
        <w:jc w:val="both"/>
        <w:rPr>
          <w:rFonts w:asciiTheme="majorHAnsi" w:hAnsiTheme="majorHAnsi" w:cs="Times"/>
          <w:lang w:val="en-US"/>
        </w:rPr>
      </w:pPr>
    </w:p>
    <w:p w14:paraId="5A9B89CC" w14:textId="77777777" w:rsidR="009B1A49" w:rsidRPr="009B1A49" w:rsidRDefault="009B1A49" w:rsidP="009B1A49">
      <w:pPr>
        <w:widowControl w:val="0"/>
        <w:autoSpaceDE w:val="0"/>
        <w:autoSpaceDN w:val="0"/>
        <w:adjustRightInd w:val="0"/>
        <w:spacing w:after="240"/>
        <w:jc w:val="both"/>
        <w:rPr>
          <w:rFonts w:asciiTheme="majorHAnsi" w:hAnsiTheme="majorHAnsi" w:cs="Times"/>
          <w:lang w:val="en-US"/>
        </w:rPr>
      </w:pPr>
    </w:p>
    <w:p w14:paraId="1C023DEA" w14:textId="59A356A6" w:rsidR="00BF16D3" w:rsidRDefault="00BF16D3" w:rsidP="00BF16D3">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br w:type="column"/>
      </w:r>
      <w:r w:rsidRPr="00D43518">
        <w:rPr>
          <w:rFonts w:asciiTheme="majorHAnsi" w:hAnsiTheme="majorHAnsi" w:cs="Times"/>
          <w:b/>
          <w:sz w:val="20"/>
          <w:lang w:val="en-US"/>
        </w:rPr>
        <w:t>Table 2</w:t>
      </w:r>
      <w:r w:rsidRPr="00D43518">
        <w:rPr>
          <w:rFonts w:asciiTheme="majorHAnsi" w:hAnsiTheme="majorHAnsi" w:cs="Times"/>
          <w:sz w:val="20"/>
          <w:lang w:val="en-US"/>
        </w:rPr>
        <w:t xml:space="preserve"> Overview of the diseases included in the Health Survey for England (HSE) as long-standing illness estimated using the (weighted) HSE adult samples with valid response to the LSI question before removing non-response to the variables of interest (HS</w:t>
      </w:r>
      <w:r w:rsidR="00171961" w:rsidRPr="00D43518">
        <w:rPr>
          <w:rFonts w:asciiTheme="majorHAnsi" w:hAnsiTheme="majorHAnsi" w:cs="Times"/>
          <w:sz w:val="20"/>
          <w:lang w:val="en-US"/>
        </w:rPr>
        <w:t>E</w:t>
      </w:r>
      <w:r w:rsidR="00171961" w:rsidRPr="00D43518">
        <w:rPr>
          <w:rFonts w:asciiTheme="majorHAnsi" w:hAnsiTheme="majorHAnsi" w:cs="Times"/>
          <w:sz w:val="20"/>
          <w:vertAlign w:val="subscript"/>
          <w:lang w:val="en-US"/>
        </w:rPr>
        <w:t>0</w:t>
      </w:r>
      <w:r w:rsidRPr="00D43518">
        <w:rPr>
          <w:rFonts w:asciiTheme="majorHAnsi" w:hAnsiTheme="majorHAnsi" w:cs="Times"/>
          <w:position w:val="-3"/>
          <w:sz w:val="20"/>
          <w:lang w:val="en-US"/>
        </w:rPr>
        <w:t xml:space="preserve"> </w:t>
      </w:r>
      <w:r w:rsidRPr="00D43518">
        <w:rPr>
          <w:rFonts w:asciiTheme="majorHAnsi" w:hAnsiTheme="majorHAnsi" w:cs="Times"/>
          <w:sz w:val="20"/>
          <w:lang w:val="en-US"/>
        </w:rPr>
        <w:t>sample) and after doing so (HSE sample)</w:t>
      </w:r>
    </w:p>
    <w:tbl>
      <w:tblPr>
        <w:tblStyle w:val="TableGrid"/>
        <w:tblW w:w="1016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2"/>
        <w:gridCol w:w="865"/>
        <w:gridCol w:w="920"/>
        <w:gridCol w:w="841"/>
        <w:gridCol w:w="948"/>
      </w:tblGrid>
      <w:tr w:rsidR="00D43518" w:rsidRPr="00833C03" w14:paraId="78157C29" w14:textId="77777777" w:rsidTr="00D43518">
        <w:tc>
          <w:tcPr>
            <w:tcW w:w="6592" w:type="dxa"/>
            <w:tcBorders>
              <w:top w:val="single" w:sz="4" w:space="0" w:color="auto"/>
            </w:tcBorders>
          </w:tcPr>
          <w:p w14:paraId="4FBCA1B2" w14:textId="77777777" w:rsidR="00D43518" w:rsidRPr="00833C03" w:rsidRDefault="00D43518" w:rsidP="00D43518">
            <w:pPr>
              <w:widowControl w:val="0"/>
              <w:autoSpaceDE w:val="0"/>
              <w:autoSpaceDN w:val="0"/>
              <w:adjustRightInd w:val="0"/>
              <w:rPr>
                <w:rFonts w:ascii="Calibri" w:hAnsi="Calibri" w:cs="Times"/>
                <w:sz w:val="20"/>
                <w:szCs w:val="20"/>
                <w:lang w:val="en-US"/>
              </w:rPr>
            </w:pPr>
          </w:p>
        </w:tc>
        <w:tc>
          <w:tcPr>
            <w:tcW w:w="1785" w:type="dxa"/>
            <w:gridSpan w:val="2"/>
            <w:tcBorders>
              <w:top w:val="single" w:sz="4" w:space="0" w:color="auto"/>
              <w:bottom w:val="single" w:sz="4" w:space="0" w:color="auto"/>
            </w:tcBorders>
          </w:tcPr>
          <w:p w14:paraId="12940D19" w14:textId="77777777" w:rsidR="00D43518" w:rsidRPr="00833C03" w:rsidRDefault="00D43518" w:rsidP="00D43518">
            <w:pPr>
              <w:widowControl w:val="0"/>
              <w:autoSpaceDE w:val="0"/>
              <w:autoSpaceDN w:val="0"/>
              <w:adjustRightInd w:val="0"/>
              <w:jc w:val="center"/>
              <w:rPr>
                <w:rFonts w:ascii="Calibri" w:hAnsi="Calibri" w:cs="Times"/>
                <w:sz w:val="20"/>
                <w:szCs w:val="20"/>
                <w:lang w:val="en-US"/>
              </w:rPr>
            </w:pPr>
            <w:r w:rsidRPr="00833C03">
              <w:rPr>
                <w:rFonts w:ascii="Calibri" w:hAnsi="Calibri" w:cs="Times"/>
                <w:sz w:val="20"/>
                <w:szCs w:val="20"/>
                <w:lang w:val="en-US"/>
              </w:rPr>
              <w:t>HSE</w:t>
            </w:r>
            <w:r w:rsidRPr="00833C03">
              <w:rPr>
                <w:rFonts w:ascii="Calibri" w:hAnsi="Calibri" w:cs="Times"/>
                <w:sz w:val="20"/>
                <w:szCs w:val="20"/>
                <w:vertAlign w:val="subscript"/>
                <w:lang w:val="en-US"/>
              </w:rPr>
              <w:t xml:space="preserve">0 </w:t>
            </w:r>
            <w:r w:rsidRPr="00833C03">
              <w:rPr>
                <w:rFonts w:ascii="Calibri" w:hAnsi="Calibri" w:cs="Times"/>
                <w:sz w:val="20"/>
                <w:szCs w:val="20"/>
                <w:lang w:val="en-US"/>
              </w:rPr>
              <w:t>Sample</w:t>
            </w:r>
          </w:p>
        </w:tc>
        <w:tc>
          <w:tcPr>
            <w:tcW w:w="1789" w:type="dxa"/>
            <w:gridSpan w:val="2"/>
            <w:tcBorders>
              <w:top w:val="single" w:sz="4" w:space="0" w:color="auto"/>
              <w:bottom w:val="single" w:sz="4" w:space="0" w:color="auto"/>
            </w:tcBorders>
          </w:tcPr>
          <w:p w14:paraId="54C72CFB" w14:textId="77777777" w:rsidR="00D43518" w:rsidRPr="00833C03" w:rsidRDefault="00D43518" w:rsidP="00D43518">
            <w:pPr>
              <w:widowControl w:val="0"/>
              <w:autoSpaceDE w:val="0"/>
              <w:autoSpaceDN w:val="0"/>
              <w:adjustRightInd w:val="0"/>
              <w:jc w:val="center"/>
              <w:rPr>
                <w:rFonts w:ascii="Calibri" w:hAnsi="Calibri" w:cs="Times"/>
                <w:sz w:val="20"/>
                <w:szCs w:val="20"/>
                <w:lang w:val="en-US"/>
              </w:rPr>
            </w:pPr>
            <w:r w:rsidRPr="00833C03">
              <w:rPr>
                <w:rFonts w:ascii="Calibri" w:hAnsi="Calibri" w:cs="Times"/>
                <w:sz w:val="20"/>
                <w:szCs w:val="20"/>
                <w:lang w:val="en-US"/>
              </w:rPr>
              <w:t>HSE</w:t>
            </w:r>
            <w:r w:rsidRPr="00833C03">
              <w:rPr>
                <w:rFonts w:ascii="Calibri" w:hAnsi="Calibri" w:cs="Times"/>
                <w:sz w:val="20"/>
                <w:szCs w:val="20"/>
                <w:vertAlign w:val="subscript"/>
                <w:lang w:val="en-US"/>
              </w:rPr>
              <w:t xml:space="preserve"> </w:t>
            </w:r>
            <w:r w:rsidRPr="00833C03">
              <w:rPr>
                <w:rFonts w:ascii="Calibri" w:hAnsi="Calibri" w:cs="Times"/>
                <w:sz w:val="20"/>
                <w:szCs w:val="20"/>
                <w:lang w:val="en-US"/>
              </w:rPr>
              <w:t>Sample</w:t>
            </w:r>
          </w:p>
        </w:tc>
      </w:tr>
      <w:tr w:rsidR="00D43518" w:rsidRPr="00833C03" w14:paraId="76F470C4" w14:textId="77777777" w:rsidTr="00D43518">
        <w:tc>
          <w:tcPr>
            <w:tcW w:w="6592" w:type="dxa"/>
            <w:tcBorders>
              <w:bottom w:val="single" w:sz="4" w:space="0" w:color="auto"/>
            </w:tcBorders>
          </w:tcPr>
          <w:p w14:paraId="6B492F12"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HSE illness category</w:t>
            </w:r>
          </w:p>
        </w:tc>
        <w:tc>
          <w:tcPr>
            <w:tcW w:w="865" w:type="dxa"/>
            <w:tcBorders>
              <w:top w:val="single" w:sz="4" w:space="0" w:color="auto"/>
              <w:bottom w:val="single" w:sz="4" w:space="0" w:color="auto"/>
            </w:tcBorders>
          </w:tcPr>
          <w:p w14:paraId="719FC13E" w14:textId="77777777" w:rsidR="00D43518" w:rsidRPr="00833C03" w:rsidRDefault="00D43518" w:rsidP="00D43518">
            <w:pPr>
              <w:widowControl w:val="0"/>
              <w:autoSpaceDE w:val="0"/>
              <w:autoSpaceDN w:val="0"/>
              <w:adjustRightInd w:val="0"/>
              <w:jc w:val="center"/>
              <w:rPr>
                <w:rFonts w:ascii="Calibri" w:hAnsi="Calibri" w:cs="Times"/>
                <w:sz w:val="20"/>
                <w:szCs w:val="20"/>
                <w:lang w:val="en-US"/>
              </w:rPr>
            </w:pPr>
            <w:r w:rsidRPr="00833C03">
              <w:rPr>
                <w:rFonts w:ascii="Calibri" w:hAnsi="Calibri" w:cs="Times"/>
                <w:sz w:val="20"/>
                <w:szCs w:val="20"/>
                <w:lang w:val="en-US"/>
              </w:rPr>
              <w:t>%</w:t>
            </w:r>
          </w:p>
        </w:tc>
        <w:tc>
          <w:tcPr>
            <w:tcW w:w="920" w:type="dxa"/>
            <w:tcBorders>
              <w:top w:val="single" w:sz="4" w:space="0" w:color="auto"/>
              <w:bottom w:val="single" w:sz="4" w:space="0" w:color="auto"/>
            </w:tcBorders>
          </w:tcPr>
          <w:p w14:paraId="18C56388" w14:textId="77777777" w:rsidR="00D43518" w:rsidRPr="00833C03" w:rsidRDefault="00D43518" w:rsidP="00D43518">
            <w:pPr>
              <w:widowControl w:val="0"/>
              <w:autoSpaceDE w:val="0"/>
              <w:autoSpaceDN w:val="0"/>
              <w:adjustRightInd w:val="0"/>
              <w:jc w:val="center"/>
              <w:rPr>
                <w:rFonts w:ascii="Calibri" w:hAnsi="Calibri" w:cs="Times"/>
                <w:sz w:val="20"/>
                <w:szCs w:val="20"/>
                <w:lang w:val="en-US"/>
              </w:rPr>
            </w:pPr>
            <w:r w:rsidRPr="00833C03">
              <w:rPr>
                <w:rFonts w:ascii="Calibri" w:hAnsi="Calibri" w:cs="Times"/>
                <w:sz w:val="20"/>
                <w:szCs w:val="20"/>
                <w:lang w:val="en-US"/>
              </w:rPr>
              <w:t>Persons</w:t>
            </w:r>
          </w:p>
        </w:tc>
        <w:tc>
          <w:tcPr>
            <w:tcW w:w="841" w:type="dxa"/>
            <w:tcBorders>
              <w:top w:val="single" w:sz="4" w:space="0" w:color="auto"/>
              <w:bottom w:val="single" w:sz="4" w:space="0" w:color="auto"/>
            </w:tcBorders>
          </w:tcPr>
          <w:p w14:paraId="6788238F" w14:textId="77777777" w:rsidR="00D43518" w:rsidRPr="00833C03" w:rsidRDefault="00D43518" w:rsidP="00D43518">
            <w:pPr>
              <w:widowControl w:val="0"/>
              <w:autoSpaceDE w:val="0"/>
              <w:autoSpaceDN w:val="0"/>
              <w:adjustRightInd w:val="0"/>
              <w:jc w:val="center"/>
              <w:rPr>
                <w:rFonts w:ascii="Calibri" w:hAnsi="Calibri" w:cs="Times"/>
                <w:sz w:val="20"/>
                <w:szCs w:val="20"/>
                <w:lang w:val="en-US"/>
              </w:rPr>
            </w:pPr>
            <w:r w:rsidRPr="00833C03">
              <w:rPr>
                <w:rFonts w:ascii="Calibri" w:hAnsi="Calibri" w:cs="Times"/>
                <w:sz w:val="20"/>
                <w:szCs w:val="20"/>
                <w:lang w:val="en-US"/>
              </w:rPr>
              <w:t>%</w:t>
            </w:r>
          </w:p>
        </w:tc>
        <w:tc>
          <w:tcPr>
            <w:tcW w:w="948" w:type="dxa"/>
            <w:tcBorders>
              <w:top w:val="single" w:sz="4" w:space="0" w:color="auto"/>
              <w:bottom w:val="single" w:sz="4" w:space="0" w:color="auto"/>
            </w:tcBorders>
          </w:tcPr>
          <w:p w14:paraId="6CC905E7" w14:textId="77777777" w:rsidR="00D43518" w:rsidRPr="00833C03" w:rsidRDefault="00D43518" w:rsidP="00D43518">
            <w:pPr>
              <w:widowControl w:val="0"/>
              <w:autoSpaceDE w:val="0"/>
              <w:autoSpaceDN w:val="0"/>
              <w:adjustRightInd w:val="0"/>
              <w:jc w:val="center"/>
              <w:rPr>
                <w:rFonts w:ascii="Calibri" w:hAnsi="Calibri" w:cs="Times"/>
                <w:sz w:val="20"/>
                <w:szCs w:val="20"/>
                <w:lang w:val="en-US"/>
              </w:rPr>
            </w:pPr>
            <w:r w:rsidRPr="00833C03">
              <w:rPr>
                <w:rFonts w:ascii="Calibri" w:hAnsi="Calibri" w:cs="Times"/>
                <w:sz w:val="20"/>
                <w:szCs w:val="20"/>
                <w:lang w:val="en-US"/>
              </w:rPr>
              <w:t>Persons</w:t>
            </w:r>
          </w:p>
        </w:tc>
      </w:tr>
      <w:tr w:rsidR="00D43518" w:rsidRPr="00833C03" w14:paraId="35E5B019" w14:textId="77777777" w:rsidTr="00D43518">
        <w:tc>
          <w:tcPr>
            <w:tcW w:w="6592" w:type="dxa"/>
            <w:tcBorders>
              <w:top w:val="single" w:sz="4" w:space="0" w:color="auto"/>
            </w:tcBorders>
          </w:tcPr>
          <w:p w14:paraId="1A97072A"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Cancer (neoplasm) </w:t>
            </w:r>
          </w:p>
        </w:tc>
        <w:tc>
          <w:tcPr>
            <w:tcW w:w="865" w:type="dxa"/>
            <w:tcBorders>
              <w:top w:val="single" w:sz="4" w:space="0" w:color="auto"/>
            </w:tcBorders>
          </w:tcPr>
          <w:p w14:paraId="2EFAA8C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1.9</w:t>
            </w:r>
          </w:p>
        </w:tc>
        <w:tc>
          <w:tcPr>
            <w:tcW w:w="920" w:type="dxa"/>
            <w:tcBorders>
              <w:top w:val="single" w:sz="4" w:space="0" w:color="auto"/>
            </w:tcBorders>
          </w:tcPr>
          <w:p w14:paraId="6128CD6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863.2</w:t>
            </w:r>
          </w:p>
        </w:tc>
        <w:tc>
          <w:tcPr>
            <w:tcW w:w="841" w:type="dxa"/>
            <w:tcBorders>
              <w:top w:val="single" w:sz="4" w:space="0" w:color="auto"/>
            </w:tcBorders>
          </w:tcPr>
          <w:p w14:paraId="755DBC3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w:t>
            </w:r>
          </w:p>
        </w:tc>
        <w:tc>
          <w:tcPr>
            <w:tcW w:w="948" w:type="dxa"/>
            <w:tcBorders>
              <w:top w:val="single" w:sz="4" w:space="0" w:color="auto"/>
            </w:tcBorders>
          </w:tcPr>
          <w:p w14:paraId="280A803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534.1</w:t>
            </w:r>
          </w:p>
        </w:tc>
      </w:tr>
      <w:tr w:rsidR="00D43518" w:rsidRPr="00833C03" w14:paraId="78F6ADF2" w14:textId="77777777" w:rsidTr="00D43518">
        <w:tc>
          <w:tcPr>
            <w:tcW w:w="6592" w:type="dxa"/>
          </w:tcPr>
          <w:p w14:paraId="47A17B0F"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Diabetes </w:t>
            </w:r>
          </w:p>
        </w:tc>
        <w:tc>
          <w:tcPr>
            <w:tcW w:w="865" w:type="dxa"/>
          </w:tcPr>
          <w:p w14:paraId="18FACF5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4.6</w:t>
            </w:r>
          </w:p>
        </w:tc>
        <w:tc>
          <w:tcPr>
            <w:tcW w:w="920" w:type="dxa"/>
          </w:tcPr>
          <w:p w14:paraId="68F0C46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2101.4</w:t>
            </w:r>
          </w:p>
        </w:tc>
        <w:tc>
          <w:tcPr>
            <w:tcW w:w="841" w:type="dxa"/>
          </w:tcPr>
          <w:p w14:paraId="77AB52B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4.2</w:t>
            </w:r>
          </w:p>
        </w:tc>
        <w:tc>
          <w:tcPr>
            <w:tcW w:w="948" w:type="dxa"/>
          </w:tcPr>
          <w:p w14:paraId="0290681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1287.7</w:t>
            </w:r>
          </w:p>
        </w:tc>
      </w:tr>
      <w:tr w:rsidR="00D43518" w:rsidRPr="00833C03" w14:paraId="4E14FBBA" w14:textId="77777777" w:rsidTr="00D43518">
        <w:tc>
          <w:tcPr>
            <w:tcW w:w="6592" w:type="dxa"/>
          </w:tcPr>
          <w:p w14:paraId="2A7C0A77"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endocrine/metabolic </w:t>
            </w:r>
          </w:p>
        </w:tc>
        <w:tc>
          <w:tcPr>
            <w:tcW w:w="865" w:type="dxa"/>
          </w:tcPr>
          <w:p w14:paraId="73AA30D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4.3</w:t>
            </w:r>
          </w:p>
        </w:tc>
        <w:tc>
          <w:tcPr>
            <w:tcW w:w="920" w:type="dxa"/>
          </w:tcPr>
          <w:p w14:paraId="6320E8D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1954.5</w:t>
            </w:r>
          </w:p>
        </w:tc>
        <w:tc>
          <w:tcPr>
            <w:tcW w:w="841" w:type="dxa"/>
          </w:tcPr>
          <w:p w14:paraId="0090A10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4.2</w:t>
            </w:r>
          </w:p>
        </w:tc>
        <w:tc>
          <w:tcPr>
            <w:tcW w:w="948" w:type="dxa"/>
          </w:tcPr>
          <w:p w14:paraId="477E29C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1292.8</w:t>
            </w:r>
          </w:p>
        </w:tc>
      </w:tr>
      <w:tr w:rsidR="00D43518" w:rsidRPr="00833C03" w14:paraId="66011D43" w14:textId="77777777" w:rsidTr="00D43518">
        <w:tc>
          <w:tcPr>
            <w:tcW w:w="6592" w:type="dxa"/>
          </w:tcPr>
          <w:p w14:paraId="1609E45E"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Mental health problems/anxiety/depression/nerves (</w:t>
            </w:r>
            <w:proofErr w:type="spellStart"/>
            <w:r w:rsidRPr="00833C03">
              <w:rPr>
                <w:rFonts w:ascii="Calibri" w:hAnsi="Calibri" w:cs="Times"/>
                <w:sz w:val="20"/>
                <w:szCs w:val="20"/>
                <w:lang w:val="en-US"/>
              </w:rPr>
              <w:t>nes</w:t>
            </w:r>
            <w:proofErr w:type="spellEnd"/>
            <w:r w:rsidRPr="00833C03">
              <w:rPr>
                <w:rFonts w:ascii="Calibri" w:hAnsi="Calibri" w:cs="Times"/>
                <w:sz w:val="20"/>
                <w:szCs w:val="20"/>
                <w:lang w:val="en-US"/>
              </w:rPr>
              <w:t>) </w:t>
            </w:r>
          </w:p>
        </w:tc>
        <w:tc>
          <w:tcPr>
            <w:tcW w:w="865" w:type="dxa"/>
          </w:tcPr>
          <w:p w14:paraId="148A9CC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4.1</w:t>
            </w:r>
          </w:p>
        </w:tc>
        <w:tc>
          <w:tcPr>
            <w:tcW w:w="920" w:type="dxa"/>
          </w:tcPr>
          <w:p w14:paraId="24AE363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1844.0</w:t>
            </w:r>
          </w:p>
        </w:tc>
        <w:tc>
          <w:tcPr>
            <w:tcW w:w="841" w:type="dxa"/>
          </w:tcPr>
          <w:p w14:paraId="4A62E2B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4.2</w:t>
            </w:r>
          </w:p>
        </w:tc>
        <w:tc>
          <w:tcPr>
            <w:tcW w:w="948" w:type="dxa"/>
          </w:tcPr>
          <w:p w14:paraId="4E9FDD7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1281.7</w:t>
            </w:r>
          </w:p>
        </w:tc>
      </w:tr>
      <w:tr w:rsidR="00D43518" w:rsidRPr="00833C03" w14:paraId="24E7FE79" w14:textId="77777777" w:rsidTr="00D43518">
        <w:tc>
          <w:tcPr>
            <w:tcW w:w="6592" w:type="dxa"/>
          </w:tcPr>
          <w:p w14:paraId="53CC8228"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Mental handicap </w:t>
            </w:r>
          </w:p>
        </w:tc>
        <w:tc>
          <w:tcPr>
            <w:tcW w:w="865" w:type="dxa"/>
          </w:tcPr>
          <w:p w14:paraId="67AA2B2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20" w:type="dxa"/>
          </w:tcPr>
          <w:p w14:paraId="06470D6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61.3</w:t>
            </w:r>
          </w:p>
        </w:tc>
        <w:tc>
          <w:tcPr>
            <w:tcW w:w="841" w:type="dxa"/>
          </w:tcPr>
          <w:p w14:paraId="6ED9064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48" w:type="dxa"/>
          </w:tcPr>
          <w:p w14:paraId="16D2829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24.6</w:t>
            </w:r>
          </w:p>
        </w:tc>
      </w:tr>
      <w:tr w:rsidR="00D43518" w:rsidRPr="00833C03" w14:paraId="50022631" w14:textId="77777777" w:rsidTr="00D43518">
        <w:tc>
          <w:tcPr>
            <w:tcW w:w="6592" w:type="dxa"/>
          </w:tcPr>
          <w:p w14:paraId="731A1CDB"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Epilepsy/fits/convulsions </w:t>
            </w:r>
          </w:p>
        </w:tc>
        <w:tc>
          <w:tcPr>
            <w:tcW w:w="865" w:type="dxa"/>
          </w:tcPr>
          <w:p w14:paraId="4BD1E08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20" w:type="dxa"/>
          </w:tcPr>
          <w:p w14:paraId="4D9FE60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347.7</w:t>
            </w:r>
          </w:p>
        </w:tc>
        <w:tc>
          <w:tcPr>
            <w:tcW w:w="841" w:type="dxa"/>
          </w:tcPr>
          <w:p w14:paraId="0A48507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0.7</w:t>
            </w:r>
          </w:p>
        </w:tc>
        <w:tc>
          <w:tcPr>
            <w:tcW w:w="948" w:type="dxa"/>
          </w:tcPr>
          <w:p w14:paraId="1344C33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209.2</w:t>
            </w:r>
          </w:p>
        </w:tc>
      </w:tr>
      <w:tr w:rsidR="00D43518" w:rsidRPr="00833C03" w14:paraId="460EACE6" w14:textId="77777777" w:rsidTr="00D43518">
        <w:tc>
          <w:tcPr>
            <w:tcW w:w="6592" w:type="dxa"/>
          </w:tcPr>
          <w:p w14:paraId="7D800063"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Migraine/headaches </w:t>
            </w:r>
          </w:p>
        </w:tc>
        <w:tc>
          <w:tcPr>
            <w:tcW w:w="865" w:type="dxa"/>
          </w:tcPr>
          <w:p w14:paraId="329BC6F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20" w:type="dxa"/>
          </w:tcPr>
          <w:p w14:paraId="1D2C7B8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344.6</w:t>
            </w:r>
          </w:p>
        </w:tc>
        <w:tc>
          <w:tcPr>
            <w:tcW w:w="841" w:type="dxa"/>
          </w:tcPr>
          <w:p w14:paraId="4E8C7BD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48" w:type="dxa"/>
          </w:tcPr>
          <w:p w14:paraId="7E77694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229.2</w:t>
            </w:r>
          </w:p>
        </w:tc>
      </w:tr>
      <w:tr w:rsidR="00D43518" w:rsidRPr="00833C03" w14:paraId="5BA95F3A" w14:textId="77777777" w:rsidTr="00D43518">
        <w:tc>
          <w:tcPr>
            <w:tcW w:w="6592" w:type="dxa"/>
          </w:tcPr>
          <w:p w14:paraId="3C0BC0CE"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problems of nervous system</w:t>
            </w:r>
          </w:p>
        </w:tc>
        <w:tc>
          <w:tcPr>
            <w:tcW w:w="865" w:type="dxa"/>
          </w:tcPr>
          <w:p w14:paraId="29F0831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w:t>
            </w:r>
          </w:p>
        </w:tc>
        <w:tc>
          <w:tcPr>
            <w:tcW w:w="920" w:type="dxa"/>
          </w:tcPr>
          <w:p w14:paraId="0AE1E48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1051.4</w:t>
            </w:r>
          </w:p>
        </w:tc>
        <w:tc>
          <w:tcPr>
            <w:tcW w:w="841" w:type="dxa"/>
          </w:tcPr>
          <w:p w14:paraId="1709848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w:t>
            </w:r>
          </w:p>
        </w:tc>
        <w:tc>
          <w:tcPr>
            <w:tcW w:w="948" w:type="dxa"/>
          </w:tcPr>
          <w:p w14:paraId="632D4B2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651.8</w:t>
            </w:r>
          </w:p>
        </w:tc>
      </w:tr>
      <w:tr w:rsidR="00D43518" w:rsidRPr="00833C03" w14:paraId="6D6A54A5" w14:textId="77777777" w:rsidTr="00D43518">
        <w:tc>
          <w:tcPr>
            <w:tcW w:w="6592" w:type="dxa"/>
          </w:tcPr>
          <w:p w14:paraId="0BB70D2A"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 Cataract/poor eye sight/blindness </w:t>
            </w:r>
          </w:p>
        </w:tc>
        <w:tc>
          <w:tcPr>
            <w:tcW w:w="865" w:type="dxa"/>
          </w:tcPr>
          <w:p w14:paraId="0880B69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1.1</w:t>
            </w:r>
          </w:p>
        </w:tc>
        <w:tc>
          <w:tcPr>
            <w:tcW w:w="920" w:type="dxa"/>
          </w:tcPr>
          <w:p w14:paraId="4CEA5AE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491.0</w:t>
            </w:r>
          </w:p>
        </w:tc>
        <w:tc>
          <w:tcPr>
            <w:tcW w:w="841" w:type="dxa"/>
          </w:tcPr>
          <w:p w14:paraId="55AE671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0.9</w:t>
            </w:r>
          </w:p>
        </w:tc>
        <w:tc>
          <w:tcPr>
            <w:tcW w:w="948" w:type="dxa"/>
          </w:tcPr>
          <w:p w14:paraId="1EB6FF3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262.6</w:t>
            </w:r>
          </w:p>
        </w:tc>
      </w:tr>
      <w:tr w:rsidR="00D43518" w:rsidRPr="00833C03" w14:paraId="3E14BB39" w14:textId="77777777" w:rsidTr="00D43518">
        <w:tc>
          <w:tcPr>
            <w:tcW w:w="6592" w:type="dxa"/>
          </w:tcPr>
          <w:p w14:paraId="233E3275"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eye complaints </w:t>
            </w:r>
          </w:p>
        </w:tc>
        <w:tc>
          <w:tcPr>
            <w:tcW w:w="865" w:type="dxa"/>
          </w:tcPr>
          <w:p w14:paraId="2422775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w:t>
            </w:r>
          </w:p>
        </w:tc>
        <w:tc>
          <w:tcPr>
            <w:tcW w:w="920" w:type="dxa"/>
          </w:tcPr>
          <w:p w14:paraId="594A01D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447.3</w:t>
            </w:r>
          </w:p>
        </w:tc>
        <w:tc>
          <w:tcPr>
            <w:tcW w:w="841" w:type="dxa"/>
          </w:tcPr>
          <w:p w14:paraId="0735E49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0.9</w:t>
            </w:r>
          </w:p>
        </w:tc>
        <w:tc>
          <w:tcPr>
            <w:tcW w:w="948" w:type="dxa"/>
          </w:tcPr>
          <w:p w14:paraId="398F008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290.2</w:t>
            </w:r>
          </w:p>
        </w:tc>
      </w:tr>
      <w:tr w:rsidR="00D43518" w:rsidRPr="00833C03" w14:paraId="561D0936" w14:textId="77777777" w:rsidTr="00D43518">
        <w:tc>
          <w:tcPr>
            <w:tcW w:w="6592" w:type="dxa"/>
          </w:tcPr>
          <w:p w14:paraId="3C5F54AC"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Poor hearing/deafness </w:t>
            </w:r>
          </w:p>
        </w:tc>
        <w:tc>
          <w:tcPr>
            <w:tcW w:w="865" w:type="dxa"/>
          </w:tcPr>
          <w:p w14:paraId="3040119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w:t>
            </w:r>
          </w:p>
        </w:tc>
        <w:tc>
          <w:tcPr>
            <w:tcW w:w="920" w:type="dxa"/>
          </w:tcPr>
          <w:p w14:paraId="24EFB62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611.5</w:t>
            </w:r>
          </w:p>
        </w:tc>
        <w:tc>
          <w:tcPr>
            <w:tcW w:w="841" w:type="dxa"/>
          </w:tcPr>
          <w:p w14:paraId="1B2BF06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w:t>
            </w:r>
          </w:p>
        </w:tc>
        <w:tc>
          <w:tcPr>
            <w:tcW w:w="948" w:type="dxa"/>
          </w:tcPr>
          <w:p w14:paraId="7FB1768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377.4</w:t>
            </w:r>
          </w:p>
        </w:tc>
      </w:tr>
      <w:tr w:rsidR="00D43518" w:rsidRPr="00833C03" w14:paraId="6FF6513F" w14:textId="77777777" w:rsidTr="00D43518">
        <w:tc>
          <w:tcPr>
            <w:tcW w:w="6592" w:type="dxa"/>
          </w:tcPr>
          <w:p w14:paraId="32F7334F"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Tinnitus/noises in the ear </w:t>
            </w:r>
          </w:p>
        </w:tc>
        <w:tc>
          <w:tcPr>
            <w:tcW w:w="865" w:type="dxa"/>
          </w:tcPr>
          <w:p w14:paraId="50783D9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0.2</w:t>
            </w:r>
          </w:p>
        </w:tc>
        <w:tc>
          <w:tcPr>
            <w:tcW w:w="920" w:type="dxa"/>
          </w:tcPr>
          <w:p w14:paraId="2FE0505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105.1</w:t>
            </w:r>
          </w:p>
        </w:tc>
        <w:tc>
          <w:tcPr>
            <w:tcW w:w="841" w:type="dxa"/>
          </w:tcPr>
          <w:p w14:paraId="4B768B5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0.2</w:t>
            </w:r>
          </w:p>
        </w:tc>
        <w:tc>
          <w:tcPr>
            <w:tcW w:w="948" w:type="dxa"/>
          </w:tcPr>
          <w:p w14:paraId="1DCD81B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72.7</w:t>
            </w:r>
          </w:p>
        </w:tc>
      </w:tr>
      <w:tr w:rsidR="00D43518" w:rsidRPr="00833C03" w14:paraId="6506E515" w14:textId="77777777" w:rsidTr="00D43518">
        <w:tc>
          <w:tcPr>
            <w:tcW w:w="6592" w:type="dxa"/>
          </w:tcPr>
          <w:p w14:paraId="5797E32F"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Meniere’s disease/ear complaints causing balance problems </w:t>
            </w:r>
          </w:p>
        </w:tc>
        <w:tc>
          <w:tcPr>
            <w:tcW w:w="865" w:type="dxa"/>
          </w:tcPr>
          <w:p w14:paraId="78F3614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0.3</w:t>
            </w:r>
          </w:p>
        </w:tc>
        <w:tc>
          <w:tcPr>
            <w:tcW w:w="920" w:type="dxa"/>
          </w:tcPr>
          <w:p w14:paraId="2BE8E85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130.6</w:t>
            </w:r>
          </w:p>
        </w:tc>
        <w:tc>
          <w:tcPr>
            <w:tcW w:w="841" w:type="dxa"/>
          </w:tcPr>
          <w:p w14:paraId="212741E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0.3</w:t>
            </w:r>
          </w:p>
        </w:tc>
        <w:tc>
          <w:tcPr>
            <w:tcW w:w="948" w:type="dxa"/>
          </w:tcPr>
          <w:p w14:paraId="7A17258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86.7</w:t>
            </w:r>
          </w:p>
        </w:tc>
      </w:tr>
      <w:tr w:rsidR="00D43518" w:rsidRPr="00833C03" w14:paraId="513432D5" w14:textId="77777777" w:rsidTr="00D43518">
        <w:tc>
          <w:tcPr>
            <w:tcW w:w="6592" w:type="dxa"/>
          </w:tcPr>
          <w:p w14:paraId="548F5661"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ear complaints</w:t>
            </w:r>
          </w:p>
        </w:tc>
        <w:tc>
          <w:tcPr>
            <w:tcW w:w="865" w:type="dxa"/>
          </w:tcPr>
          <w:p w14:paraId="19F1BBD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20" w:type="dxa"/>
          </w:tcPr>
          <w:p w14:paraId="69BF7FC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45.6</w:t>
            </w:r>
          </w:p>
        </w:tc>
        <w:tc>
          <w:tcPr>
            <w:tcW w:w="841" w:type="dxa"/>
          </w:tcPr>
          <w:p w14:paraId="7295748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48" w:type="dxa"/>
          </w:tcPr>
          <w:p w14:paraId="6AA4D960"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26.5</w:t>
            </w:r>
          </w:p>
        </w:tc>
      </w:tr>
      <w:tr w:rsidR="00D43518" w:rsidRPr="00833C03" w14:paraId="72371741" w14:textId="77777777" w:rsidTr="00D43518">
        <w:tc>
          <w:tcPr>
            <w:tcW w:w="6592" w:type="dxa"/>
          </w:tcPr>
          <w:p w14:paraId="5A8EF1FD"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xml:space="preserve"> Stroke/cerebral </w:t>
            </w:r>
            <w:proofErr w:type="spellStart"/>
            <w:r w:rsidRPr="00833C03">
              <w:rPr>
                <w:rFonts w:ascii="Calibri" w:hAnsi="Calibri" w:cs="Times"/>
                <w:sz w:val="20"/>
                <w:szCs w:val="20"/>
                <w:lang w:val="en-US"/>
              </w:rPr>
              <w:t>haemorrhage</w:t>
            </w:r>
            <w:proofErr w:type="spellEnd"/>
            <w:r w:rsidRPr="00833C03">
              <w:rPr>
                <w:rFonts w:ascii="Calibri" w:hAnsi="Calibri" w:cs="Times"/>
                <w:sz w:val="20"/>
                <w:szCs w:val="20"/>
                <w:lang w:val="en-US"/>
              </w:rPr>
              <w:t>/cerebral thrombosis</w:t>
            </w:r>
          </w:p>
        </w:tc>
        <w:tc>
          <w:tcPr>
            <w:tcW w:w="865" w:type="dxa"/>
          </w:tcPr>
          <w:p w14:paraId="38E6643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20" w:type="dxa"/>
          </w:tcPr>
          <w:p w14:paraId="79A005C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360.6</w:t>
            </w:r>
          </w:p>
        </w:tc>
        <w:tc>
          <w:tcPr>
            <w:tcW w:w="841" w:type="dxa"/>
          </w:tcPr>
          <w:p w14:paraId="0B0B3F3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0.6</w:t>
            </w:r>
          </w:p>
        </w:tc>
        <w:tc>
          <w:tcPr>
            <w:tcW w:w="948" w:type="dxa"/>
          </w:tcPr>
          <w:p w14:paraId="4984442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183.3</w:t>
            </w:r>
          </w:p>
        </w:tc>
      </w:tr>
      <w:tr w:rsidR="00D43518" w:rsidRPr="00833C03" w14:paraId="259A7359" w14:textId="77777777" w:rsidTr="00D43518">
        <w:tc>
          <w:tcPr>
            <w:tcW w:w="6592" w:type="dxa"/>
          </w:tcPr>
          <w:p w14:paraId="46841452"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 Heart attack/angina </w:t>
            </w:r>
          </w:p>
        </w:tc>
        <w:tc>
          <w:tcPr>
            <w:tcW w:w="865" w:type="dxa"/>
          </w:tcPr>
          <w:p w14:paraId="540C636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1.6</w:t>
            </w:r>
          </w:p>
        </w:tc>
        <w:tc>
          <w:tcPr>
            <w:tcW w:w="920" w:type="dxa"/>
          </w:tcPr>
          <w:p w14:paraId="7A4F646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709.9</w:t>
            </w:r>
          </w:p>
        </w:tc>
        <w:tc>
          <w:tcPr>
            <w:tcW w:w="841" w:type="dxa"/>
          </w:tcPr>
          <w:p w14:paraId="52CB9D6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w:t>
            </w:r>
          </w:p>
        </w:tc>
        <w:tc>
          <w:tcPr>
            <w:tcW w:w="948" w:type="dxa"/>
          </w:tcPr>
          <w:p w14:paraId="68627E7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438.5</w:t>
            </w:r>
          </w:p>
        </w:tc>
      </w:tr>
      <w:tr w:rsidR="00D43518" w:rsidRPr="00833C03" w14:paraId="7283D373" w14:textId="77777777" w:rsidTr="00D43518">
        <w:tc>
          <w:tcPr>
            <w:tcW w:w="6592" w:type="dxa"/>
          </w:tcPr>
          <w:p w14:paraId="3147E830"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Hypertension/high blood pressure/blood pressure (</w:t>
            </w:r>
            <w:proofErr w:type="spellStart"/>
            <w:r w:rsidRPr="00833C03">
              <w:rPr>
                <w:rFonts w:ascii="Calibri" w:hAnsi="Calibri" w:cs="Times"/>
                <w:sz w:val="20"/>
                <w:szCs w:val="20"/>
                <w:lang w:val="en-US"/>
              </w:rPr>
              <w:t>nes</w:t>
            </w:r>
            <w:proofErr w:type="spellEnd"/>
            <w:r w:rsidRPr="00833C03">
              <w:rPr>
                <w:rFonts w:ascii="Calibri" w:hAnsi="Calibri" w:cs="Times"/>
                <w:sz w:val="20"/>
                <w:szCs w:val="20"/>
                <w:lang w:val="en-US"/>
              </w:rPr>
              <w:t>) </w:t>
            </w:r>
          </w:p>
        </w:tc>
        <w:tc>
          <w:tcPr>
            <w:tcW w:w="865" w:type="dxa"/>
          </w:tcPr>
          <w:p w14:paraId="2EA33E8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6.6</w:t>
            </w:r>
          </w:p>
        </w:tc>
        <w:tc>
          <w:tcPr>
            <w:tcW w:w="920" w:type="dxa"/>
          </w:tcPr>
          <w:p w14:paraId="47A2604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2967.1</w:t>
            </w:r>
          </w:p>
        </w:tc>
        <w:tc>
          <w:tcPr>
            <w:tcW w:w="841" w:type="dxa"/>
          </w:tcPr>
          <w:p w14:paraId="3B54C6E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6.1</w:t>
            </w:r>
          </w:p>
        </w:tc>
        <w:tc>
          <w:tcPr>
            <w:tcW w:w="948" w:type="dxa"/>
          </w:tcPr>
          <w:p w14:paraId="3E5F8BD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1850.6</w:t>
            </w:r>
          </w:p>
        </w:tc>
      </w:tr>
      <w:tr w:rsidR="00D43518" w:rsidRPr="00833C03" w14:paraId="54E660A0" w14:textId="77777777" w:rsidTr="00D43518">
        <w:tc>
          <w:tcPr>
            <w:tcW w:w="6592" w:type="dxa"/>
          </w:tcPr>
          <w:p w14:paraId="4653CCA7"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heart problems </w:t>
            </w:r>
          </w:p>
        </w:tc>
        <w:tc>
          <w:tcPr>
            <w:tcW w:w="865" w:type="dxa"/>
          </w:tcPr>
          <w:p w14:paraId="17DEEF7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3.4</w:t>
            </w:r>
          </w:p>
        </w:tc>
        <w:tc>
          <w:tcPr>
            <w:tcW w:w="920" w:type="dxa"/>
          </w:tcPr>
          <w:p w14:paraId="5E95AF6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1518.0</w:t>
            </w:r>
          </w:p>
        </w:tc>
        <w:tc>
          <w:tcPr>
            <w:tcW w:w="841" w:type="dxa"/>
          </w:tcPr>
          <w:p w14:paraId="2F76CFF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3.1</w:t>
            </w:r>
          </w:p>
        </w:tc>
        <w:tc>
          <w:tcPr>
            <w:tcW w:w="948" w:type="dxa"/>
          </w:tcPr>
          <w:p w14:paraId="7C1536D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953.9</w:t>
            </w:r>
          </w:p>
        </w:tc>
      </w:tr>
      <w:tr w:rsidR="00D43518" w:rsidRPr="00833C03" w14:paraId="4F7805FE" w14:textId="77777777" w:rsidTr="00D43518">
        <w:tc>
          <w:tcPr>
            <w:tcW w:w="6592" w:type="dxa"/>
          </w:tcPr>
          <w:p w14:paraId="2515B7B6"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Piles/</w:t>
            </w:r>
            <w:proofErr w:type="spellStart"/>
            <w:r w:rsidRPr="00833C03">
              <w:rPr>
                <w:rFonts w:ascii="Calibri" w:hAnsi="Calibri" w:cs="Times"/>
                <w:sz w:val="20"/>
                <w:szCs w:val="20"/>
                <w:lang w:val="en-US"/>
              </w:rPr>
              <w:t>haemorrhoids</w:t>
            </w:r>
            <w:proofErr w:type="spellEnd"/>
            <w:r w:rsidRPr="00833C03">
              <w:rPr>
                <w:rFonts w:ascii="Calibri" w:hAnsi="Calibri" w:cs="Times"/>
                <w:sz w:val="20"/>
                <w:szCs w:val="20"/>
                <w:lang w:val="en-US"/>
              </w:rPr>
              <w:t xml:space="preserve"> including varicose veins in anus </w:t>
            </w:r>
          </w:p>
        </w:tc>
        <w:tc>
          <w:tcPr>
            <w:tcW w:w="865" w:type="dxa"/>
          </w:tcPr>
          <w:p w14:paraId="4D3595E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0.0</w:t>
            </w:r>
          </w:p>
        </w:tc>
        <w:tc>
          <w:tcPr>
            <w:tcW w:w="920" w:type="dxa"/>
          </w:tcPr>
          <w:p w14:paraId="1BC5E35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12.8</w:t>
            </w:r>
          </w:p>
        </w:tc>
        <w:tc>
          <w:tcPr>
            <w:tcW w:w="841" w:type="dxa"/>
          </w:tcPr>
          <w:p w14:paraId="11AF619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0.0</w:t>
            </w:r>
          </w:p>
        </w:tc>
        <w:tc>
          <w:tcPr>
            <w:tcW w:w="948" w:type="dxa"/>
          </w:tcPr>
          <w:p w14:paraId="103EACC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7.9</w:t>
            </w:r>
          </w:p>
        </w:tc>
      </w:tr>
      <w:tr w:rsidR="00D43518" w:rsidRPr="00833C03" w14:paraId="4BBE1CEA" w14:textId="77777777" w:rsidTr="00D43518">
        <w:tc>
          <w:tcPr>
            <w:tcW w:w="6592" w:type="dxa"/>
          </w:tcPr>
          <w:p w14:paraId="4A8AD317"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Varicose veins/phlebitis in lower extremities </w:t>
            </w:r>
          </w:p>
        </w:tc>
        <w:tc>
          <w:tcPr>
            <w:tcW w:w="865" w:type="dxa"/>
          </w:tcPr>
          <w:p w14:paraId="4AD0EFD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20" w:type="dxa"/>
          </w:tcPr>
          <w:p w14:paraId="4C8D3CA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49.4</w:t>
            </w:r>
          </w:p>
        </w:tc>
        <w:tc>
          <w:tcPr>
            <w:tcW w:w="841" w:type="dxa"/>
          </w:tcPr>
          <w:p w14:paraId="615CCC0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48" w:type="dxa"/>
          </w:tcPr>
          <w:p w14:paraId="400CF27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35.5</w:t>
            </w:r>
          </w:p>
        </w:tc>
      </w:tr>
      <w:tr w:rsidR="00D43518" w:rsidRPr="00833C03" w14:paraId="22D8DB12" w14:textId="77777777" w:rsidTr="00D43518">
        <w:tc>
          <w:tcPr>
            <w:tcW w:w="6592" w:type="dxa"/>
          </w:tcPr>
          <w:p w14:paraId="57680F81"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blood vessels/embolic </w:t>
            </w:r>
          </w:p>
        </w:tc>
        <w:tc>
          <w:tcPr>
            <w:tcW w:w="865" w:type="dxa"/>
          </w:tcPr>
          <w:p w14:paraId="4E27A12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0.9</w:t>
            </w:r>
          </w:p>
        </w:tc>
        <w:tc>
          <w:tcPr>
            <w:tcW w:w="920" w:type="dxa"/>
          </w:tcPr>
          <w:p w14:paraId="615F28F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387.1</w:t>
            </w:r>
          </w:p>
        </w:tc>
        <w:tc>
          <w:tcPr>
            <w:tcW w:w="841" w:type="dxa"/>
          </w:tcPr>
          <w:p w14:paraId="1AB381F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48" w:type="dxa"/>
          </w:tcPr>
          <w:p w14:paraId="738DD2B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233.3</w:t>
            </w:r>
          </w:p>
        </w:tc>
      </w:tr>
      <w:tr w:rsidR="00D43518" w:rsidRPr="00833C03" w14:paraId="2C73AB07" w14:textId="77777777" w:rsidTr="00D43518">
        <w:tc>
          <w:tcPr>
            <w:tcW w:w="6592" w:type="dxa"/>
          </w:tcPr>
          <w:p w14:paraId="7459044C"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Bronchitis/emphysema </w:t>
            </w:r>
          </w:p>
        </w:tc>
        <w:tc>
          <w:tcPr>
            <w:tcW w:w="865" w:type="dxa"/>
          </w:tcPr>
          <w:p w14:paraId="1606D1B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20" w:type="dxa"/>
          </w:tcPr>
          <w:p w14:paraId="1EA942D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345.0</w:t>
            </w:r>
          </w:p>
        </w:tc>
        <w:tc>
          <w:tcPr>
            <w:tcW w:w="841" w:type="dxa"/>
          </w:tcPr>
          <w:p w14:paraId="5E76CDC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0.7</w:t>
            </w:r>
          </w:p>
        </w:tc>
        <w:tc>
          <w:tcPr>
            <w:tcW w:w="948" w:type="dxa"/>
          </w:tcPr>
          <w:p w14:paraId="0EC1660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222.1</w:t>
            </w:r>
          </w:p>
        </w:tc>
      </w:tr>
      <w:tr w:rsidR="00D43518" w:rsidRPr="00833C03" w14:paraId="1EDD4F03" w14:textId="77777777" w:rsidTr="00D43518">
        <w:tc>
          <w:tcPr>
            <w:tcW w:w="6592" w:type="dxa"/>
          </w:tcPr>
          <w:p w14:paraId="6C7503E2"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Asthma </w:t>
            </w:r>
          </w:p>
        </w:tc>
        <w:tc>
          <w:tcPr>
            <w:tcW w:w="865" w:type="dxa"/>
          </w:tcPr>
          <w:p w14:paraId="6022D4D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5.7</w:t>
            </w:r>
          </w:p>
        </w:tc>
        <w:tc>
          <w:tcPr>
            <w:tcW w:w="920" w:type="dxa"/>
          </w:tcPr>
          <w:p w14:paraId="334CDB2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2594.0</w:t>
            </w:r>
          </w:p>
        </w:tc>
        <w:tc>
          <w:tcPr>
            <w:tcW w:w="841" w:type="dxa"/>
          </w:tcPr>
          <w:p w14:paraId="2680623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5.9</w:t>
            </w:r>
          </w:p>
        </w:tc>
        <w:tc>
          <w:tcPr>
            <w:tcW w:w="948" w:type="dxa"/>
          </w:tcPr>
          <w:p w14:paraId="2644221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1796.2</w:t>
            </w:r>
          </w:p>
        </w:tc>
      </w:tr>
      <w:tr w:rsidR="00D43518" w:rsidRPr="00833C03" w14:paraId="4A476903" w14:textId="77777777" w:rsidTr="00D43518">
        <w:tc>
          <w:tcPr>
            <w:tcW w:w="6592" w:type="dxa"/>
          </w:tcPr>
          <w:p w14:paraId="2B2CDA77"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Hay fever</w:t>
            </w:r>
          </w:p>
        </w:tc>
        <w:tc>
          <w:tcPr>
            <w:tcW w:w="865" w:type="dxa"/>
          </w:tcPr>
          <w:p w14:paraId="72C5DFC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0.7</w:t>
            </w:r>
          </w:p>
        </w:tc>
        <w:tc>
          <w:tcPr>
            <w:tcW w:w="920" w:type="dxa"/>
          </w:tcPr>
          <w:p w14:paraId="2C27636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339.3</w:t>
            </w:r>
          </w:p>
        </w:tc>
        <w:tc>
          <w:tcPr>
            <w:tcW w:w="841" w:type="dxa"/>
          </w:tcPr>
          <w:p w14:paraId="7E1D85F0"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48" w:type="dxa"/>
          </w:tcPr>
          <w:p w14:paraId="4DA83D60"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237.5</w:t>
            </w:r>
          </w:p>
        </w:tc>
      </w:tr>
      <w:tr w:rsidR="00D43518" w:rsidRPr="00833C03" w14:paraId="4314ADEA" w14:textId="77777777" w:rsidTr="00D43518">
        <w:tc>
          <w:tcPr>
            <w:tcW w:w="6592" w:type="dxa"/>
          </w:tcPr>
          <w:p w14:paraId="30946977"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 Other respiratory complaints </w:t>
            </w:r>
          </w:p>
        </w:tc>
        <w:tc>
          <w:tcPr>
            <w:tcW w:w="865" w:type="dxa"/>
          </w:tcPr>
          <w:p w14:paraId="489EB7B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w:t>
            </w:r>
          </w:p>
        </w:tc>
        <w:tc>
          <w:tcPr>
            <w:tcW w:w="920" w:type="dxa"/>
          </w:tcPr>
          <w:p w14:paraId="0BFBF91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760.8</w:t>
            </w:r>
          </w:p>
        </w:tc>
        <w:tc>
          <w:tcPr>
            <w:tcW w:w="841" w:type="dxa"/>
          </w:tcPr>
          <w:p w14:paraId="5C8FFE5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1.6</w:t>
            </w:r>
          </w:p>
        </w:tc>
        <w:tc>
          <w:tcPr>
            <w:tcW w:w="948" w:type="dxa"/>
          </w:tcPr>
          <w:p w14:paraId="1B1D034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481.6</w:t>
            </w:r>
          </w:p>
        </w:tc>
      </w:tr>
      <w:tr w:rsidR="00D43518" w:rsidRPr="00833C03" w14:paraId="4FF3EFE6" w14:textId="77777777" w:rsidTr="00D43518">
        <w:tc>
          <w:tcPr>
            <w:tcW w:w="6592" w:type="dxa"/>
          </w:tcPr>
          <w:p w14:paraId="0B60B70A"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Stomach ulcer/ulcer (</w:t>
            </w:r>
            <w:proofErr w:type="spellStart"/>
            <w:r w:rsidRPr="00833C03">
              <w:rPr>
                <w:rFonts w:ascii="Calibri" w:hAnsi="Calibri" w:cs="Times"/>
                <w:sz w:val="20"/>
                <w:szCs w:val="20"/>
                <w:lang w:val="en-US"/>
              </w:rPr>
              <w:t>nes</w:t>
            </w:r>
            <w:proofErr w:type="spellEnd"/>
            <w:r w:rsidRPr="00833C03">
              <w:rPr>
                <w:rFonts w:ascii="Calibri" w:hAnsi="Calibri" w:cs="Times"/>
                <w:sz w:val="20"/>
                <w:szCs w:val="20"/>
                <w:lang w:val="en-US"/>
              </w:rPr>
              <w:t>)/abdominal hernia/rupture</w:t>
            </w:r>
          </w:p>
        </w:tc>
        <w:tc>
          <w:tcPr>
            <w:tcW w:w="865" w:type="dxa"/>
          </w:tcPr>
          <w:p w14:paraId="185AA39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1.1</w:t>
            </w:r>
          </w:p>
        </w:tc>
        <w:tc>
          <w:tcPr>
            <w:tcW w:w="920" w:type="dxa"/>
          </w:tcPr>
          <w:p w14:paraId="6843CBF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499.4</w:t>
            </w:r>
          </w:p>
        </w:tc>
        <w:tc>
          <w:tcPr>
            <w:tcW w:w="841" w:type="dxa"/>
          </w:tcPr>
          <w:p w14:paraId="0BF4042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1.1</w:t>
            </w:r>
          </w:p>
        </w:tc>
        <w:tc>
          <w:tcPr>
            <w:tcW w:w="948" w:type="dxa"/>
          </w:tcPr>
          <w:p w14:paraId="2B50A5C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330.4</w:t>
            </w:r>
          </w:p>
        </w:tc>
      </w:tr>
      <w:tr w:rsidR="00D43518" w:rsidRPr="00833C03" w14:paraId="61A49B76" w14:textId="77777777" w:rsidTr="00D43518">
        <w:tc>
          <w:tcPr>
            <w:tcW w:w="6592" w:type="dxa"/>
          </w:tcPr>
          <w:p w14:paraId="5C471E06"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 Other digestive complaints </w:t>
            </w:r>
          </w:p>
        </w:tc>
        <w:tc>
          <w:tcPr>
            <w:tcW w:w="865" w:type="dxa"/>
          </w:tcPr>
          <w:p w14:paraId="2F57B35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w:t>
            </w:r>
          </w:p>
        </w:tc>
        <w:tc>
          <w:tcPr>
            <w:tcW w:w="920" w:type="dxa"/>
          </w:tcPr>
          <w:p w14:paraId="5288887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630.0</w:t>
            </w:r>
          </w:p>
        </w:tc>
        <w:tc>
          <w:tcPr>
            <w:tcW w:w="841" w:type="dxa"/>
          </w:tcPr>
          <w:p w14:paraId="5AE8385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w:t>
            </w:r>
          </w:p>
        </w:tc>
        <w:tc>
          <w:tcPr>
            <w:tcW w:w="948" w:type="dxa"/>
          </w:tcPr>
          <w:p w14:paraId="19C625C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445.6</w:t>
            </w:r>
          </w:p>
        </w:tc>
      </w:tr>
      <w:tr w:rsidR="00D43518" w:rsidRPr="00833C03" w14:paraId="204A017E" w14:textId="77777777" w:rsidTr="00D43518">
        <w:tc>
          <w:tcPr>
            <w:tcW w:w="6592" w:type="dxa"/>
          </w:tcPr>
          <w:p w14:paraId="02ECD8FC"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Complaints of bowel/colon</w:t>
            </w:r>
          </w:p>
        </w:tc>
        <w:tc>
          <w:tcPr>
            <w:tcW w:w="865" w:type="dxa"/>
          </w:tcPr>
          <w:p w14:paraId="534CEA3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w:t>
            </w:r>
          </w:p>
        </w:tc>
        <w:tc>
          <w:tcPr>
            <w:tcW w:w="920" w:type="dxa"/>
          </w:tcPr>
          <w:p w14:paraId="48C2932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941.5</w:t>
            </w:r>
          </w:p>
        </w:tc>
        <w:tc>
          <w:tcPr>
            <w:tcW w:w="841" w:type="dxa"/>
          </w:tcPr>
          <w:p w14:paraId="6B934495"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w:t>
            </w:r>
          </w:p>
        </w:tc>
        <w:tc>
          <w:tcPr>
            <w:tcW w:w="948" w:type="dxa"/>
          </w:tcPr>
          <w:p w14:paraId="0BBB020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645.5</w:t>
            </w:r>
          </w:p>
        </w:tc>
      </w:tr>
      <w:tr w:rsidR="00D43518" w:rsidRPr="00833C03" w14:paraId="294CF9DD" w14:textId="77777777" w:rsidTr="00D43518">
        <w:tc>
          <w:tcPr>
            <w:tcW w:w="6592" w:type="dxa"/>
          </w:tcPr>
          <w:p w14:paraId="5227F9AB"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 Complaints of teeth/mouth/tongue </w:t>
            </w:r>
          </w:p>
        </w:tc>
        <w:tc>
          <w:tcPr>
            <w:tcW w:w="865" w:type="dxa"/>
          </w:tcPr>
          <w:p w14:paraId="62A1E61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20" w:type="dxa"/>
          </w:tcPr>
          <w:p w14:paraId="7805F44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30.0</w:t>
            </w:r>
          </w:p>
        </w:tc>
        <w:tc>
          <w:tcPr>
            <w:tcW w:w="841" w:type="dxa"/>
          </w:tcPr>
          <w:p w14:paraId="1779FAE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48" w:type="dxa"/>
          </w:tcPr>
          <w:p w14:paraId="3D9C1E8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15.9</w:t>
            </w:r>
          </w:p>
        </w:tc>
      </w:tr>
      <w:tr w:rsidR="00D43518" w:rsidRPr="00833C03" w14:paraId="7C5675EF" w14:textId="77777777" w:rsidTr="00D43518">
        <w:tc>
          <w:tcPr>
            <w:tcW w:w="6592" w:type="dxa"/>
          </w:tcPr>
          <w:p w14:paraId="091A69AE"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Kidney complaints</w:t>
            </w:r>
          </w:p>
        </w:tc>
        <w:tc>
          <w:tcPr>
            <w:tcW w:w="865" w:type="dxa"/>
          </w:tcPr>
          <w:p w14:paraId="5554FC3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0.7</w:t>
            </w:r>
          </w:p>
        </w:tc>
        <w:tc>
          <w:tcPr>
            <w:tcW w:w="920" w:type="dxa"/>
          </w:tcPr>
          <w:p w14:paraId="385DD40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302.4</w:t>
            </w:r>
          </w:p>
        </w:tc>
        <w:tc>
          <w:tcPr>
            <w:tcW w:w="841" w:type="dxa"/>
          </w:tcPr>
          <w:p w14:paraId="029BF3E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0.6</w:t>
            </w:r>
          </w:p>
        </w:tc>
        <w:tc>
          <w:tcPr>
            <w:tcW w:w="948" w:type="dxa"/>
          </w:tcPr>
          <w:p w14:paraId="33E892D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177.6</w:t>
            </w:r>
          </w:p>
        </w:tc>
      </w:tr>
      <w:tr w:rsidR="00D43518" w:rsidRPr="00833C03" w14:paraId="4C749B2D" w14:textId="77777777" w:rsidTr="00D43518">
        <w:tc>
          <w:tcPr>
            <w:tcW w:w="6592" w:type="dxa"/>
          </w:tcPr>
          <w:p w14:paraId="1BF74045"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 Urinary tract infection </w:t>
            </w:r>
          </w:p>
        </w:tc>
        <w:tc>
          <w:tcPr>
            <w:tcW w:w="865" w:type="dxa"/>
          </w:tcPr>
          <w:p w14:paraId="7769670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20" w:type="dxa"/>
          </w:tcPr>
          <w:p w14:paraId="21A1D70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28.8</w:t>
            </w:r>
          </w:p>
        </w:tc>
        <w:tc>
          <w:tcPr>
            <w:tcW w:w="841" w:type="dxa"/>
          </w:tcPr>
          <w:p w14:paraId="58C2E19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0.1</w:t>
            </w:r>
          </w:p>
        </w:tc>
        <w:tc>
          <w:tcPr>
            <w:tcW w:w="948" w:type="dxa"/>
          </w:tcPr>
          <w:p w14:paraId="4756151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16.7</w:t>
            </w:r>
          </w:p>
        </w:tc>
      </w:tr>
      <w:tr w:rsidR="00D43518" w:rsidRPr="00833C03" w14:paraId="490EB8C7" w14:textId="77777777" w:rsidTr="00D43518">
        <w:tc>
          <w:tcPr>
            <w:tcW w:w="6592" w:type="dxa"/>
          </w:tcPr>
          <w:p w14:paraId="3071FC8B"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bladder problems/incontinence</w:t>
            </w:r>
          </w:p>
        </w:tc>
        <w:tc>
          <w:tcPr>
            <w:tcW w:w="865" w:type="dxa"/>
          </w:tcPr>
          <w:p w14:paraId="1FF22941"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0.3</w:t>
            </w:r>
          </w:p>
        </w:tc>
        <w:tc>
          <w:tcPr>
            <w:tcW w:w="920" w:type="dxa"/>
          </w:tcPr>
          <w:p w14:paraId="2825646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144.6</w:t>
            </w:r>
          </w:p>
        </w:tc>
        <w:tc>
          <w:tcPr>
            <w:tcW w:w="841" w:type="dxa"/>
          </w:tcPr>
          <w:p w14:paraId="3D89895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0.3</w:t>
            </w:r>
          </w:p>
        </w:tc>
        <w:tc>
          <w:tcPr>
            <w:tcW w:w="948" w:type="dxa"/>
          </w:tcPr>
          <w:p w14:paraId="6066210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91.4</w:t>
            </w:r>
          </w:p>
        </w:tc>
      </w:tr>
      <w:tr w:rsidR="00D43518" w:rsidRPr="00833C03" w14:paraId="17B194B6" w14:textId="77777777" w:rsidTr="00D43518">
        <w:tc>
          <w:tcPr>
            <w:tcW w:w="6592" w:type="dxa"/>
          </w:tcPr>
          <w:p w14:paraId="54D387F4"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 Reproductive system disorders </w:t>
            </w:r>
          </w:p>
        </w:tc>
        <w:tc>
          <w:tcPr>
            <w:tcW w:w="865" w:type="dxa"/>
          </w:tcPr>
          <w:p w14:paraId="5213776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0.9</w:t>
            </w:r>
          </w:p>
        </w:tc>
        <w:tc>
          <w:tcPr>
            <w:tcW w:w="920" w:type="dxa"/>
          </w:tcPr>
          <w:p w14:paraId="4FD97DF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418.1</w:t>
            </w:r>
          </w:p>
        </w:tc>
        <w:tc>
          <w:tcPr>
            <w:tcW w:w="841" w:type="dxa"/>
          </w:tcPr>
          <w:p w14:paraId="65C35A9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0.9</w:t>
            </w:r>
          </w:p>
        </w:tc>
        <w:tc>
          <w:tcPr>
            <w:tcW w:w="948" w:type="dxa"/>
          </w:tcPr>
          <w:p w14:paraId="1277C44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288.6</w:t>
            </w:r>
          </w:p>
        </w:tc>
      </w:tr>
      <w:tr w:rsidR="00D43518" w:rsidRPr="00833C03" w14:paraId="28614572" w14:textId="77777777" w:rsidTr="00D43518">
        <w:tc>
          <w:tcPr>
            <w:tcW w:w="6592" w:type="dxa"/>
          </w:tcPr>
          <w:p w14:paraId="12A2D772"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Arthritis/rheumatism/</w:t>
            </w:r>
            <w:proofErr w:type="spellStart"/>
            <w:r w:rsidRPr="00833C03">
              <w:rPr>
                <w:rFonts w:ascii="Calibri" w:hAnsi="Calibri" w:cs="Times"/>
                <w:sz w:val="20"/>
                <w:szCs w:val="20"/>
                <w:lang w:val="en-US"/>
              </w:rPr>
              <w:t>fibrositis</w:t>
            </w:r>
            <w:proofErr w:type="spellEnd"/>
            <w:r w:rsidRPr="00833C03">
              <w:rPr>
                <w:rFonts w:ascii="Calibri" w:hAnsi="Calibri" w:cs="Times"/>
                <w:sz w:val="20"/>
                <w:szCs w:val="20"/>
                <w:lang w:val="en-US"/>
              </w:rPr>
              <w:t> </w:t>
            </w:r>
          </w:p>
        </w:tc>
        <w:tc>
          <w:tcPr>
            <w:tcW w:w="865" w:type="dxa"/>
          </w:tcPr>
          <w:p w14:paraId="0C2FF54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8.1</w:t>
            </w:r>
          </w:p>
        </w:tc>
        <w:tc>
          <w:tcPr>
            <w:tcW w:w="920" w:type="dxa"/>
          </w:tcPr>
          <w:p w14:paraId="26E15580"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3652.9</w:t>
            </w:r>
          </w:p>
        </w:tc>
        <w:tc>
          <w:tcPr>
            <w:tcW w:w="841" w:type="dxa"/>
          </w:tcPr>
          <w:p w14:paraId="2D99C586"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7.6</w:t>
            </w:r>
          </w:p>
        </w:tc>
        <w:tc>
          <w:tcPr>
            <w:tcW w:w="948" w:type="dxa"/>
          </w:tcPr>
          <w:p w14:paraId="7F3B7E1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2319.1</w:t>
            </w:r>
          </w:p>
        </w:tc>
      </w:tr>
      <w:tr w:rsidR="00D43518" w:rsidRPr="00833C03" w14:paraId="6BE81BC2" w14:textId="77777777" w:rsidTr="00D43518">
        <w:tc>
          <w:tcPr>
            <w:tcW w:w="6592" w:type="dxa"/>
          </w:tcPr>
          <w:p w14:paraId="36B20174"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Back problems/slipped disc/spine/neck</w:t>
            </w:r>
          </w:p>
        </w:tc>
        <w:tc>
          <w:tcPr>
            <w:tcW w:w="865" w:type="dxa"/>
          </w:tcPr>
          <w:p w14:paraId="65EE8D3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4.8</w:t>
            </w:r>
          </w:p>
        </w:tc>
        <w:tc>
          <w:tcPr>
            <w:tcW w:w="920" w:type="dxa"/>
          </w:tcPr>
          <w:p w14:paraId="0BAC5B2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2176.9</w:t>
            </w:r>
          </w:p>
        </w:tc>
        <w:tc>
          <w:tcPr>
            <w:tcW w:w="841" w:type="dxa"/>
          </w:tcPr>
          <w:p w14:paraId="6E32081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4.8</w:t>
            </w:r>
          </w:p>
        </w:tc>
        <w:tc>
          <w:tcPr>
            <w:tcW w:w="948" w:type="dxa"/>
          </w:tcPr>
          <w:p w14:paraId="106E20A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1477.6</w:t>
            </w:r>
          </w:p>
        </w:tc>
      </w:tr>
      <w:tr w:rsidR="00D43518" w:rsidRPr="00833C03" w14:paraId="43240E80" w14:textId="77777777" w:rsidTr="00D43518">
        <w:tc>
          <w:tcPr>
            <w:tcW w:w="6592" w:type="dxa"/>
          </w:tcPr>
          <w:p w14:paraId="427DC0EF"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 Other problems of bones/joints/muscles </w:t>
            </w:r>
          </w:p>
        </w:tc>
        <w:tc>
          <w:tcPr>
            <w:tcW w:w="865" w:type="dxa"/>
          </w:tcPr>
          <w:p w14:paraId="6D5F7A8C"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5.6</w:t>
            </w:r>
          </w:p>
        </w:tc>
        <w:tc>
          <w:tcPr>
            <w:tcW w:w="920" w:type="dxa"/>
          </w:tcPr>
          <w:p w14:paraId="02ED320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2526.2</w:t>
            </w:r>
          </w:p>
        </w:tc>
        <w:tc>
          <w:tcPr>
            <w:tcW w:w="841" w:type="dxa"/>
          </w:tcPr>
          <w:p w14:paraId="60A47F5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5.1</w:t>
            </w:r>
          </w:p>
        </w:tc>
        <w:tc>
          <w:tcPr>
            <w:tcW w:w="948" w:type="dxa"/>
          </w:tcPr>
          <w:p w14:paraId="21B54BA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1567.9</w:t>
            </w:r>
          </w:p>
        </w:tc>
      </w:tr>
      <w:tr w:rsidR="00D43518" w:rsidRPr="00833C03" w14:paraId="555DD9D9" w14:textId="77777777" w:rsidTr="00D43518">
        <w:tc>
          <w:tcPr>
            <w:tcW w:w="6592" w:type="dxa"/>
          </w:tcPr>
          <w:p w14:paraId="594D0D41"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Infectious and parasitic disease </w:t>
            </w:r>
          </w:p>
        </w:tc>
        <w:tc>
          <w:tcPr>
            <w:tcW w:w="865" w:type="dxa"/>
          </w:tcPr>
          <w:p w14:paraId="7C025EC3"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0.2</w:t>
            </w:r>
          </w:p>
        </w:tc>
        <w:tc>
          <w:tcPr>
            <w:tcW w:w="920" w:type="dxa"/>
          </w:tcPr>
          <w:p w14:paraId="01FA4B1E"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81.6</w:t>
            </w:r>
          </w:p>
        </w:tc>
        <w:tc>
          <w:tcPr>
            <w:tcW w:w="841" w:type="dxa"/>
          </w:tcPr>
          <w:p w14:paraId="7A205D2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0.2</w:t>
            </w:r>
          </w:p>
        </w:tc>
        <w:tc>
          <w:tcPr>
            <w:tcW w:w="948" w:type="dxa"/>
          </w:tcPr>
          <w:p w14:paraId="46A2247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60.6</w:t>
            </w:r>
          </w:p>
        </w:tc>
      </w:tr>
      <w:tr w:rsidR="00D43518" w:rsidRPr="00833C03" w14:paraId="0977E3F6" w14:textId="77777777" w:rsidTr="00D43518">
        <w:tc>
          <w:tcPr>
            <w:tcW w:w="6592" w:type="dxa"/>
          </w:tcPr>
          <w:p w14:paraId="0C7B33E6"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xml:space="preserve">Disorders of blood and blood-forming organs and immunity disorders </w:t>
            </w:r>
          </w:p>
        </w:tc>
        <w:tc>
          <w:tcPr>
            <w:tcW w:w="865" w:type="dxa"/>
          </w:tcPr>
          <w:p w14:paraId="6D82BEC4"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20" w:type="dxa"/>
          </w:tcPr>
          <w:p w14:paraId="4BDD589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355.1</w:t>
            </w:r>
          </w:p>
        </w:tc>
        <w:tc>
          <w:tcPr>
            <w:tcW w:w="841" w:type="dxa"/>
          </w:tcPr>
          <w:p w14:paraId="059C8E9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48" w:type="dxa"/>
          </w:tcPr>
          <w:p w14:paraId="6216383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233.4</w:t>
            </w:r>
          </w:p>
        </w:tc>
      </w:tr>
      <w:tr w:rsidR="00D43518" w:rsidRPr="00833C03" w14:paraId="4B150329" w14:textId="77777777" w:rsidTr="00D43518">
        <w:tc>
          <w:tcPr>
            <w:tcW w:w="6592" w:type="dxa"/>
          </w:tcPr>
          <w:p w14:paraId="57711481"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Skin complaints </w:t>
            </w:r>
          </w:p>
        </w:tc>
        <w:tc>
          <w:tcPr>
            <w:tcW w:w="865" w:type="dxa"/>
          </w:tcPr>
          <w:p w14:paraId="282C8549"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w:t>
            </w:r>
          </w:p>
        </w:tc>
        <w:tc>
          <w:tcPr>
            <w:tcW w:w="920" w:type="dxa"/>
          </w:tcPr>
          <w:p w14:paraId="4F0214FD"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642.2</w:t>
            </w:r>
          </w:p>
        </w:tc>
        <w:tc>
          <w:tcPr>
            <w:tcW w:w="841" w:type="dxa"/>
          </w:tcPr>
          <w:p w14:paraId="1DEC151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w:t>
            </w:r>
          </w:p>
        </w:tc>
        <w:tc>
          <w:tcPr>
            <w:tcW w:w="948" w:type="dxa"/>
          </w:tcPr>
          <w:p w14:paraId="04F1CB68"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452.1</w:t>
            </w:r>
          </w:p>
        </w:tc>
      </w:tr>
      <w:tr w:rsidR="00D43518" w:rsidRPr="00833C03" w14:paraId="7D2CD757" w14:textId="77777777" w:rsidTr="00D43518">
        <w:tc>
          <w:tcPr>
            <w:tcW w:w="6592" w:type="dxa"/>
          </w:tcPr>
          <w:p w14:paraId="00272672"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 complaints </w:t>
            </w:r>
          </w:p>
        </w:tc>
        <w:tc>
          <w:tcPr>
            <w:tcW w:w="865" w:type="dxa"/>
          </w:tcPr>
          <w:p w14:paraId="78FAA220"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0.3</w:t>
            </w:r>
          </w:p>
        </w:tc>
        <w:tc>
          <w:tcPr>
            <w:tcW w:w="920" w:type="dxa"/>
          </w:tcPr>
          <w:p w14:paraId="422AA71A"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146.0</w:t>
            </w:r>
          </w:p>
        </w:tc>
        <w:tc>
          <w:tcPr>
            <w:tcW w:w="841" w:type="dxa"/>
          </w:tcPr>
          <w:p w14:paraId="795973D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0.3</w:t>
            </w:r>
          </w:p>
        </w:tc>
        <w:tc>
          <w:tcPr>
            <w:tcW w:w="948" w:type="dxa"/>
          </w:tcPr>
          <w:p w14:paraId="77BF33A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97.0</w:t>
            </w:r>
          </w:p>
        </w:tc>
      </w:tr>
      <w:tr w:rsidR="00D43518" w:rsidRPr="00833C03" w14:paraId="6EF8B50A" w14:textId="77777777" w:rsidTr="00D43518">
        <w:tc>
          <w:tcPr>
            <w:tcW w:w="6592" w:type="dxa"/>
            <w:tcBorders>
              <w:bottom w:val="single" w:sz="4" w:space="0" w:color="auto"/>
            </w:tcBorders>
          </w:tcPr>
          <w:p w14:paraId="3C4E30CC" w14:textId="77777777" w:rsidR="00D43518" w:rsidRPr="00833C03" w:rsidRDefault="00D43518" w:rsidP="00D43518">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xml:space="preserve">Unclassifiable (no other </w:t>
            </w:r>
            <w:proofErr w:type="spellStart"/>
            <w:r w:rsidRPr="00833C03">
              <w:rPr>
                <w:rFonts w:ascii="Calibri" w:hAnsi="Calibri" w:cs="Times"/>
                <w:sz w:val="20"/>
                <w:szCs w:val="20"/>
                <w:lang w:val="en-US"/>
              </w:rPr>
              <w:t>codable</w:t>
            </w:r>
            <w:proofErr w:type="spellEnd"/>
            <w:r w:rsidRPr="00833C03">
              <w:rPr>
                <w:rFonts w:ascii="Calibri" w:hAnsi="Calibri" w:cs="Times"/>
                <w:sz w:val="20"/>
                <w:szCs w:val="20"/>
                <w:lang w:val="en-US"/>
              </w:rPr>
              <w:t xml:space="preserve"> complaint)</w:t>
            </w:r>
          </w:p>
        </w:tc>
        <w:tc>
          <w:tcPr>
            <w:tcW w:w="865" w:type="dxa"/>
            <w:tcBorders>
              <w:bottom w:val="single" w:sz="4" w:space="0" w:color="auto"/>
            </w:tcBorders>
          </w:tcPr>
          <w:p w14:paraId="1EB2D642"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20" w:type="dxa"/>
            <w:tcBorders>
              <w:bottom w:val="single" w:sz="4" w:space="0" w:color="auto"/>
            </w:tcBorders>
          </w:tcPr>
          <w:p w14:paraId="4DD254C7"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384.3</w:t>
            </w:r>
          </w:p>
        </w:tc>
        <w:tc>
          <w:tcPr>
            <w:tcW w:w="841" w:type="dxa"/>
            <w:tcBorders>
              <w:bottom w:val="single" w:sz="4" w:space="0" w:color="auto"/>
            </w:tcBorders>
          </w:tcPr>
          <w:p w14:paraId="190B35FB"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0.8</w:t>
            </w:r>
          </w:p>
        </w:tc>
        <w:tc>
          <w:tcPr>
            <w:tcW w:w="948" w:type="dxa"/>
            <w:tcBorders>
              <w:bottom w:val="single" w:sz="4" w:space="0" w:color="auto"/>
            </w:tcBorders>
          </w:tcPr>
          <w:p w14:paraId="5E228FEF" w14:textId="77777777" w:rsidR="00D43518" w:rsidRPr="00833C03" w:rsidRDefault="00D43518" w:rsidP="00D43518">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245.8</w:t>
            </w:r>
          </w:p>
        </w:tc>
      </w:tr>
    </w:tbl>
    <w:p w14:paraId="1D0DF594" w14:textId="77777777" w:rsidR="00462F8E" w:rsidRDefault="00462F8E" w:rsidP="00BF16D3">
      <w:pPr>
        <w:widowControl w:val="0"/>
        <w:autoSpaceDE w:val="0"/>
        <w:autoSpaceDN w:val="0"/>
        <w:adjustRightInd w:val="0"/>
        <w:spacing w:after="240"/>
        <w:rPr>
          <w:rFonts w:asciiTheme="majorHAnsi" w:hAnsiTheme="majorHAnsi" w:cs="Times"/>
          <w:lang w:val="en-US"/>
        </w:rPr>
      </w:pPr>
    </w:p>
    <w:p w14:paraId="5AC1770C" w14:textId="6739309B" w:rsidR="00DF6C42" w:rsidRDefault="00DF6C42" w:rsidP="00833C03">
      <w:pPr>
        <w:widowControl w:val="0"/>
        <w:autoSpaceDE w:val="0"/>
        <w:autoSpaceDN w:val="0"/>
        <w:adjustRightInd w:val="0"/>
        <w:rPr>
          <w:rFonts w:ascii="Calibri" w:hAnsi="Calibri" w:cs="Times"/>
          <w:sz w:val="20"/>
          <w:szCs w:val="20"/>
          <w:lang w:val="en-US"/>
        </w:rPr>
      </w:pPr>
      <w:r>
        <w:rPr>
          <w:rFonts w:asciiTheme="majorHAnsi" w:hAnsiTheme="majorHAnsi"/>
          <w:b/>
          <w:sz w:val="20"/>
          <w:szCs w:val="20"/>
        </w:rPr>
        <w:br w:type="column"/>
      </w:r>
      <w:r w:rsidRPr="00833C03">
        <w:rPr>
          <w:rFonts w:ascii="Calibri" w:hAnsi="Calibri" w:cs="Times"/>
          <w:b/>
          <w:sz w:val="20"/>
          <w:szCs w:val="20"/>
          <w:lang w:val="en-US"/>
        </w:rPr>
        <w:t>Table 3</w:t>
      </w:r>
      <w:r w:rsidRPr="00833C03">
        <w:rPr>
          <w:rFonts w:ascii="Calibri" w:hAnsi="Calibri" w:cs="Times"/>
          <w:sz w:val="20"/>
          <w:szCs w:val="20"/>
          <w:lang w:val="en-US"/>
        </w:rPr>
        <w:t xml:space="preserve"> Characteristics of the 2008–2012 Health Survey for England (HSE) weighted sample before removing non-response (HSE</w:t>
      </w:r>
      <w:r w:rsidRPr="00833C03">
        <w:rPr>
          <w:rFonts w:ascii="Calibri" w:hAnsi="Calibri" w:cs="Times"/>
          <w:sz w:val="20"/>
          <w:szCs w:val="20"/>
          <w:vertAlign w:val="subscript"/>
          <w:lang w:val="en-US"/>
        </w:rPr>
        <w:t>0</w:t>
      </w:r>
      <w:r w:rsidRPr="00833C03">
        <w:rPr>
          <w:rFonts w:ascii="Calibri" w:hAnsi="Calibri" w:cs="Times"/>
          <w:sz w:val="20"/>
          <w:szCs w:val="20"/>
          <w:lang w:val="en-US"/>
        </w:rPr>
        <w:t xml:space="preserve"> sample) and after doing so (HSE sample)</w:t>
      </w:r>
    </w:p>
    <w:p w14:paraId="014CB6EB" w14:textId="77777777" w:rsidR="00833C03" w:rsidRPr="00833C03" w:rsidRDefault="00833C03" w:rsidP="00833C03">
      <w:pPr>
        <w:widowControl w:val="0"/>
        <w:autoSpaceDE w:val="0"/>
        <w:autoSpaceDN w:val="0"/>
        <w:adjustRightInd w:val="0"/>
        <w:rPr>
          <w:rFonts w:ascii="Calibri" w:hAnsi="Calibri" w:cs="Time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2056"/>
        <w:gridCol w:w="1230"/>
        <w:gridCol w:w="1372"/>
        <w:gridCol w:w="1372"/>
        <w:gridCol w:w="1372"/>
      </w:tblGrid>
      <w:tr w:rsidR="00DF6C42" w:rsidRPr="00833C03" w14:paraId="32093FAF" w14:textId="77777777" w:rsidTr="00833C03">
        <w:tc>
          <w:tcPr>
            <w:tcW w:w="1454" w:type="dxa"/>
            <w:tcBorders>
              <w:top w:val="single" w:sz="4" w:space="0" w:color="auto"/>
            </w:tcBorders>
          </w:tcPr>
          <w:p w14:paraId="7ABD3E3F" w14:textId="77777777" w:rsidR="00DF6C42" w:rsidRPr="00833C03" w:rsidRDefault="00DF6C42" w:rsidP="00833C03">
            <w:pPr>
              <w:widowControl w:val="0"/>
              <w:autoSpaceDE w:val="0"/>
              <w:autoSpaceDN w:val="0"/>
              <w:adjustRightInd w:val="0"/>
              <w:rPr>
                <w:rFonts w:ascii="Calibri" w:hAnsi="Calibri" w:cs="Times"/>
                <w:sz w:val="20"/>
                <w:szCs w:val="20"/>
                <w:lang w:val="en-US"/>
              </w:rPr>
            </w:pPr>
          </w:p>
        </w:tc>
        <w:tc>
          <w:tcPr>
            <w:tcW w:w="2056" w:type="dxa"/>
            <w:tcBorders>
              <w:top w:val="single" w:sz="4" w:space="0" w:color="auto"/>
            </w:tcBorders>
          </w:tcPr>
          <w:p w14:paraId="4909E628" w14:textId="77777777" w:rsidR="00DF6C42" w:rsidRPr="00833C03" w:rsidRDefault="00DF6C42" w:rsidP="00833C03">
            <w:pPr>
              <w:widowControl w:val="0"/>
              <w:autoSpaceDE w:val="0"/>
              <w:autoSpaceDN w:val="0"/>
              <w:adjustRightInd w:val="0"/>
              <w:rPr>
                <w:rFonts w:ascii="Calibri" w:hAnsi="Calibri" w:cs="Times"/>
                <w:sz w:val="20"/>
                <w:szCs w:val="20"/>
                <w:lang w:val="en-US"/>
              </w:rPr>
            </w:pPr>
          </w:p>
        </w:tc>
        <w:tc>
          <w:tcPr>
            <w:tcW w:w="1230" w:type="dxa"/>
            <w:tcBorders>
              <w:top w:val="single" w:sz="4" w:space="0" w:color="auto"/>
              <w:bottom w:val="single" w:sz="4" w:space="0" w:color="auto"/>
            </w:tcBorders>
          </w:tcPr>
          <w:p w14:paraId="1BCF5C55" w14:textId="7AD0DEF8"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HSE</w:t>
            </w:r>
            <w:r w:rsidRPr="00833C03">
              <w:rPr>
                <w:rFonts w:ascii="Calibri" w:hAnsi="Calibri" w:cs="Times"/>
                <w:sz w:val="20"/>
                <w:szCs w:val="20"/>
                <w:vertAlign w:val="subscript"/>
                <w:lang w:val="en-US"/>
              </w:rPr>
              <w:t>0</w:t>
            </w:r>
            <w:r w:rsidRPr="00833C03">
              <w:rPr>
                <w:rFonts w:ascii="Calibri" w:hAnsi="Calibri" w:cs="Times"/>
                <w:sz w:val="20"/>
                <w:szCs w:val="20"/>
                <w:lang w:val="en-US"/>
              </w:rPr>
              <w:t xml:space="preserve"> sample</w:t>
            </w:r>
          </w:p>
        </w:tc>
        <w:tc>
          <w:tcPr>
            <w:tcW w:w="1372" w:type="dxa"/>
            <w:tcBorders>
              <w:top w:val="single" w:sz="4" w:space="0" w:color="auto"/>
              <w:bottom w:val="single" w:sz="4" w:space="0" w:color="auto"/>
            </w:tcBorders>
          </w:tcPr>
          <w:p w14:paraId="7D15ED83" w14:textId="77777777" w:rsidR="00DF6C42" w:rsidRPr="00833C03" w:rsidRDefault="00DF6C42" w:rsidP="00833C03">
            <w:pPr>
              <w:widowControl w:val="0"/>
              <w:autoSpaceDE w:val="0"/>
              <w:autoSpaceDN w:val="0"/>
              <w:adjustRightInd w:val="0"/>
              <w:rPr>
                <w:rFonts w:ascii="Calibri" w:hAnsi="Calibri" w:cs="Times"/>
                <w:sz w:val="20"/>
                <w:szCs w:val="20"/>
                <w:lang w:val="en-US"/>
              </w:rPr>
            </w:pPr>
          </w:p>
        </w:tc>
        <w:tc>
          <w:tcPr>
            <w:tcW w:w="1372" w:type="dxa"/>
            <w:tcBorders>
              <w:top w:val="single" w:sz="4" w:space="0" w:color="auto"/>
              <w:bottom w:val="single" w:sz="4" w:space="0" w:color="auto"/>
            </w:tcBorders>
          </w:tcPr>
          <w:p w14:paraId="4D45A31D" w14:textId="3519DE12"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HSE sample</w:t>
            </w:r>
          </w:p>
        </w:tc>
        <w:tc>
          <w:tcPr>
            <w:tcW w:w="1372" w:type="dxa"/>
            <w:tcBorders>
              <w:top w:val="single" w:sz="4" w:space="0" w:color="auto"/>
            </w:tcBorders>
          </w:tcPr>
          <w:p w14:paraId="038F785D" w14:textId="77777777" w:rsidR="00DF6C42" w:rsidRPr="00833C03" w:rsidRDefault="00DF6C42" w:rsidP="00833C03">
            <w:pPr>
              <w:widowControl w:val="0"/>
              <w:autoSpaceDE w:val="0"/>
              <w:autoSpaceDN w:val="0"/>
              <w:adjustRightInd w:val="0"/>
              <w:rPr>
                <w:rFonts w:ascii="Calibri" w:hAnsi="Calibri" w:cs="Times"/>
                <w:sz w:val="20"/>
                <w:szCs w:val="20"/>
                <w:lang w:val="en-US"/>
              </w:rPr>
            </w:pPr>
          </w:p>
        </w:tc>
      </w:tr>
      <w:tr w:rsidR="00DF6C42" w:rsidRPr="00833C03" w14:paraId="67910AF7" w14:textId="77777777" w:rsidTr="00833C03">
        <w:tc>
          <w:tcPr>
            <w:tcW w:w="1454" w:type="dxa"/>
            <w:tcBorders>
              <w:bottom w:val="single" w:sz="4" w:space="0" w:color="auto"/>
            </w:tcBorders>
          </w:tcPr>
          <w:p w14:paraId="26C522F1" w14:textId="57EDEAAC"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Variables</w:t>
            </w:r>
          </w:p>
        </w:tc>
        <w:tc>
          <w:tcPr>
            <w:tcW w:w="2056" w:type="dxa"/>
            <w:tcBorders>
              <w:bottom w:val="single" w:sz="4" w:space="0" w:color="auto"/>
            </w:tcBorders>
          </w:tcPr>
          <w:p w14:paraId="73DA3C42" w14:textId="5D50A625"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Level</w:t>
            </w:r>
          </w:p>
        </w:tc>
        <w:tc>
          <w:tcPr>
            <w:tcW w:w="1230" w:type="dxa"/>
            <w:tcBorders>
              <w:top w:val="single" w:sz="4" w:space="0" w:color="auto"/>
              <w:bottom w:val="single" w:sz="4" w:space="0" w:color="auto"/>
            </w:tcBorders>
          </w:tcPr>
          <w:p w14:paraId="16469F79" w14:textId="540CB5D6"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Persons</w:t>
            </w:r>
          </w:p>
        </w:tc>
        <w:tc>
          <w:tcPr>
            <w:tcW w:w="1372" w:type="dxa"/>
            <w:tcBorders>
              <w:top w:val="single" w:sz="4" w:space="0" w:color="auto"/>
              <w:bottom w:val="single" w:sz="4" w:space="0" w:color="auto"/>
            </w:tcBorders>
          </w:tcPr>
          <w:p w14:paraId="2E60A339" w14:textId="06A8B0DB"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w:t>
            </w:r>
          </w:p>
        </w:tc>
        <w:tc>
          <w:tcPr>
            <w:tcW w:w="1372" w:type="dxa"/>
            <w:tcBorders>
              <w:top w:val="single" w:sz="4" w:space="0" w:color="auto"/>
              <w:bottom w:val="single" w:sz="4" w:space="0" w:color="auto"/>
            </w:tcBorders>
          </w:tcPr>
          <w:p w14:paraId="4C62995F" w14:textId="10957A6F"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Persons</w:t>
            </w:r>
          </w:p>
        </w:tc>
        <w:tc>
          <w:tcPr>
            <w:tcW w:w="1372" w:type="dxa"/>
            <w:tcBorders>
              <w:bottom w:val="single" w:sz="4" w:space="0" w:color="auto"/>
            </w:tcBorders>
          </w:tcPr>
          <w:p w14:paraId="7DA2BF47" w14:textId="5186A2A1" w:rsidR="00DF6C42" w:rsidRPr="00833C03" w:rsidRDefault="00DF6C42"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w:t>
            </w:r>
          </w:p>
        </w:tc>
      </w:tr>
      <w:tr w:rsidR="00833C03" w:rsidRPr="00833C03" w14:paraId="6376C101" w14:textId="77777777" w:rsidTr="00833C03">
        <w:tc>
          <w:tcPr>
            <w:tcW w:w="1454" w:type="dxa"/>
            <w:tcBorders>
              <w:top w:val="single" w:sz="4" w:space="0" w:color="auto"/>
            </w:tcBorders>
          </w:tcPr>
          <w:p w14:paraId="038440E3" w14:textId="27DCE362"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All persons</w:t>
            </w:r>
          </w:p>
        </w:tc>
        <w:tc>
          <w:tcPr>
            <w:tcW w:w="2056" w:type="dxa"/>
            <w:tcBorders>
              <w:top w:val="single" w:sz="4" w:space="0" w:color="auto"/>
            </w:tcBorders>
          </w:tcPr>
          <w:p w14:paraId="03B9F253"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1230" w:type="dxa"/>
            <w:tcBorders>
              <w:top w:val="single" w:sz="4" w:space="0" w:color="auto"/>
            </w:tcBorders>
          </w:tcPr>
          <w:p w14:paraId="0F9213ED" w14:textId="3A06B77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45,237.5</w:t>
            </w:r>
          </w:p>
        </w:tc>
        <w:tc>
          <w:tcPr>
            <w:tcW w:w="1372" w:type="dxa"/>
            <w:tcBorders>
              <w:top w:val="single" w:sz="4" w:space="0" w:color="auto"/>
            </w:tcBorders>
          </w:tcPr>
          <w:p w14:paraId="7213204B" w14:textId="3F1DA74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100.0</w:t>
            </w:r>
          </w:p>
        </w:tc>
        <w:tc>
          <w:tcPr>
            <w:tcW w:w="1372" w:type="dxa"/>
            <w:tcBorders>
              <w:top w:val="single" w:sz="4" w:space="0" w:color="auto"/>
            </w:tcBorders>
          </w:tcPr>
          <w:p w14:paraId="62CADC19" w14:textId="005022E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30,545.1</w:t>
            </w:r>
          </w:p>
        </w:tc>
        <w:tc>
          <w:tcPr>
            <w:tcW w:w="1372" w:type="dxa"/>
            <w:tcBorders>
              <w:top w:val="single" w:sz="4" w:space="0" w:color="auto"/>
            </w:tcBorders>
          </w:tcPr>
          <w:p w14:paraId="1B6A98DB" w14:textId="70544FA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100.0</w:t>
            </w:r>
          </w:p>
        </w:tc>
      </w:tr>
      <w:tr w:rsidR="00833C03" w:rsidRPr="00833C03" w14:paraId="2CB51493" w14:textId="77777777" w:rsidTr="00833C03">
        <w:tc>
          <w:tcPr>
            <w:tcW w:w="1454" w:type="dxa"/>
          </w:tcPr>
          <w:p w14:paraId="2338E528" w14:textId="600BF307"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1+ LSI</w:t>
            </w:r>
          </w:p>
        </w:tc>
        <w:tc>
          <w:tcPr>
            <w:tcW w:w="2056" w:type="dxa"/>
          </w:tcPr>
          <w:p w14:paraId="58BC0745"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1230" w:type="dxa"/>
          </w:tcPr>
          <w:p w14:paraId="406FD6CE" w14:textId="2EBA501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18,499.6</w:t>
            </w:r>
          </w:p>
        </w:tc>
        <w:tc>
          <w:tcPr>
            <w:tcW w:w="1372" w:type="dxa"/>
          </w:tcPr>
          <w:p w14:paraId="1D907687" w14:textId="6FA71EE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40.1</w:t>
            </w:r>
          </w:p>
        </w:tc>
        <w:tc>
          <w:tcPr>
            <w:tcW w:w="1372" w:type="dxa"/>
          </w:tcPr>
          <w:p w14:paraId="4A1FDCC7" w14:textId="1D58D21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12,238.8</w:t>
            </w:r>
          </w:p>
        </w:tc>
        <w:tc>
          <w:tcPr>
            <w:tcW w:w="1372" w:type="dxa"/>
          </w:tcPr>
          <w:p w14:paraId="43659FED" w14:textId="6D815A8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40.1</w:t>
            </w:r>
          </w:p>
        </w:tc>
      </w:tr>
      <w:tr w:rsidR="00833C03" w:rsidRPr="00833C03" w14:paraId="4D6850B6" w14:textId="77777777" w:rsidTr="00833C03">
        <w:tc>
          <w:tcPr>
            <w:tcW w:w="1454" w:type="dxa"/>
          </w:tcPr>
          <w:p w14:paraId="39E31E33" w14:textId="71887182"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Gender</w:t>
            </w:r>
          </w:p>
        </w:tc>
        <w:tc>
          <w:tcPr>
            <w:tcW w:w="2056" w:type="dxa"/>
          </w:tcPr>
          <w:p w14:paraId="590A595A" w14:textId="1DE587C7"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Male</w:t>
            </w:r>
          </w:p>
        </w:tc>
        <w:tc>
          <w:tcPr>
            <w:tcW w:w="1230" w:type="dxa"/>
          </w:tcPr>
          <w:p w14:paraId="7D12AED4" w14:textId="7B3C799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22,137.6</w:t>
            </w:r>
          </w:p>
        </w:tc>
        <w:tc>
          <w:tcPr>
            <w:tcW w:w="1372" w:type="dxa"/>
          </w:tcPr>
          <w:p w14:paraId="50C9F2C0" w14:textId="7959085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48.9</w:t>
            </w:r>
          </w:p>
        </w:tc>
        <w:tc>
          <w:tcPr>
            <w:tcW w:w="1372" w:type="dxa"/>
          </w:tcPr>
          <w:p w14:paraId="6E7293C7" w14:textId="738076B9"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15,233.1</w:t>
            </w:r>
          </w:p>
        </w:tc>
        <w:tc>
          <w:tcPr>
            <w:tcW w:w="1372" w:type="dxa"/>
          </w:tcPr>
          <w:p w14:paraId="3C9C25F1" w14:textId="167A5C7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49.9</w:t>
            </w:r>
          </w:p>
        </w:tc>
      </w:tr>
      <w:tr w:rsidR="00833C03" w:rsidRPr="00833C03" w14:paraId="7A5E25E8" w14:textId="77777777" w:rsidTr="00833C03">
        <w:tc>
          <w:tcPr>
            <w:tcW w:w="1454" w:type="dxa"/>
          </w:tcPr>
          <w:p w14:paraId="35ED3EDE"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6991A1F0" w14:textId="53BCC782"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Female </w:t>
            </w:r>
          </w:p>
        </w:tc>
        <w:tc>
          <w:tcPr>
            <w:tcW w:w="1230" w:type="dxa"/>
          </w:tcPr>
          <w:p w14:paraId="12FE657B" w14:textId="5A12195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23,100.0</w:t>
            </w:r>
          </w:p>
        </w:tc>
        <w:tc>
          <w:tcPr>
            <w:tcW w:w="1372" w:type="dxa"/>
          </w:tcPr>
          <w:p w14:paraId="4487EBBC" w14:textId="67A1C0A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51.1</w:t>
            </w:r>
          </w:p>
        </w:tc>
        <w:tc>
          <w:tcPr>
            <w:tcW w:w="1372" w:type="dxa"/>
          </w:tcPr>
          <w:p w14:paraId="2D6B7326" w14:textId="2257928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15,312.1</w:t>
            </w:r>
          </w:p>
        </w:tc>
        <w:tc>
          <w:tcPr>
            <w:tcW w:w="1372" w:type="dxa"/>
          </w:tcPr>
          <w:p w14:paraId="0E2D4935" w14:textId="6F3AD57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50.1</w:t>
            </w:r>
          </w:p>
        </w:tc>
      </w:tr>
      <w:tr w:rsidR="00833C03" w:rsidRPr="00833C03" w14:paraId="17511E94" w14:textId="77777777" w:rsidTr="00833C03">
        <w:tc>
          <w:tcPr>
            <w:tcW w:w="1454" w:type="dxa"/>
          </w:tcPr>
          <w:p w14:paraId="08E12334" w14:textId="1A778AE7"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Age</w:t>
            </w:r>
          </w:p>
        </w:tc>
        <w:tc>
          <w:tcPr>
            <w:tcW w:w="2056" w:type="dxa"/>
          </w:tcPr>
          <w:p w14:paraId="40104759" w14:textId="74BA738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16–54 </w:t>
            </w:r>
          </w:p>
        </w:tc>
        <w:tc>
          <w:tcPr>
            <w:tcW w:w="1230" w:type="dxa"/>
          </w:tcPr>
          <w:p w14:paraId="4B8E09C8" w14:textId="0362AC9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29,884,0</w:t>
            </w:r>
          </w:p>
        </w:tc>
        <w:tc>
          <w:tcPr>
            <w:tcW w:w="1372" w:type="dxa"/>
          </w:tcPr>
          <w:p w14:paraId="231A1F71" w14:textId="4368B8C9"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66.1</w:t>
            </w:r>
          </w:p>
        </w:tc>
        <w:tc>
          <w:tcPr>
            <w:tcW w:w="1372" w:type="dxa"/>
          </w:tcPr>
          <w:p w14:paraId="3C34E71A" w14:textId="149D916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20,712.2</w:t>
            </w:r>
          </w:p>
        </w:tc>
        <w:tc>
          <w:tcPr>
            <w:tcW w:w="1372" w:type="dxa"/>
          </w:tcPr>
          <w:p w14:paraId="54929AFF" w14:textId="3F1D117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67.8</w:t>
            </w:r>
          </w:p>
        </w:tc>
      </w:tr>
      <w:tr w:rsidR="00833C03" w:rsidRPr="00833C03" w14:paraId="7E523572" w14:textId="77777777" w:rsidTr="00833C03">
        <w:tc>
          <w:tcPr>
            <w:tcW w:w="1454" w:type="dxa"/>
          </w:tcPr>
          <w:p w14:paraId="1E0EC37F"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376EADAA" w14:textId="2FEE1CD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55–64</w:t>
            </w:r>
          </w:p>
        </w:tc>
        <w:tc>
          <w:tcPr>
            <w:tcW w:w="1230" w:type="dxa"/>
          </w:tcPr>
          <w:p w14:paraId="2C091406" w14:textId="4D7E18B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6,619.0</w:t>
            </w:r>
          </w:p>
        </w:tc>
        <w:tc>
          <w:tcPr>
            <w:tcW w:w="1372" w:type="dxa"/>
          </w:tcPr>
          <w:p w14:paraId="7351E5AC" w14:textId="2385C30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14.6</w:t>
            </w:r>
          </w:p>
        </w:tc>
        <w:tc>
          <w:tcPr>
            <w:tcW w:w="1372" w:type="dxa"/>
          </w:tcPr>
          <w:p w14:paraId="27E4D9DE" w14:textId="7BDED029"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4610.1</w:t>
            </w:r>
          </w:p>
        </w:tc>
        <w:tc>
          <w:tcPr>
            <w:tcW w:w="1372" w:type="dxa"/>
          </w:tcPr>
          <w:p w14:paraId="1186E029" w14:textId="5933382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15.1</w:t>
            </w:r>
          </w:p>
        </w:tc>
      </w:tr>
      <w:tr w:rsidR="00833C03" w:rsidRPr="00833C03" w14:paraId="43DD72FF" w14:textId="77777777" w:rsidTr="00833C03">
        <w:tc>
          <w:tcPr>
            <w:tcW w:w="1454" w:type="dxa"/>
          </w:tcPr>
          <w:p w14:paraId="32D94B3A"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5527D0CD" w14:textId="3C84F52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65–74</w:t>
            </w:r>
          </w:p>
        </w:tc>
        <w:tc>
          <w:tcPr>
            <w:tcW w:w="1230" w:type="dxa"/>
          </w:tcPr>
          <w:p w14:paraId="7382356A" w14:textId="7986803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4,718.3</w:t>
            </w:r>
          </w:p>
        </w:tc>
        <w:tc>
          <w:tcPr>
            <w:tcW w:w="1372" w:type="dxa"/>
          </w:tcPr>
          <w:p w14:paraId="654827C1" w14:textId="5D96918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10.4</w:t>
            </w:r>
          </w:p>
        </w:tc>
        <w:tc>
          <w:tcPr>
            <w:tcW w:w="1372" w:type="dxa"/>
          </w:tcPr>
          <w:p w14:paraId="1C2A07E2" w14:textId="2DE4AF4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3100.3</w:t>
            </w:r>
          </w:p>
        </w:tc>
        <w:tc>
          <w:tcPr>
            <w:tcW w:w="1372" w:type="dxa"/>
          </w:tcPr>
          <w:p w14:paraId="137D2ABE" w14:textId="1CFD0B2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10.2</w:t>
            </w:r>
          </w:p>
        </w:tc>
      </w:tr>
      <w:tr w:rsidR="00833C03" w:rsidRPr="00833C03" w14:paraId="19981182" w14:textId="77777777" w:rsidTr="00833C03">
        <w:tc>
          <w:tcPr>
            <w:tcW w:w="1454" w:type="dxa"/>
          </w:tcPr>
          <w:p w14:paraId="21916E6A"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6345A0D0" w14:textId="69C4C34B"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75+ </w:t>
            </w:r>
          </w:p>
        </w:tc>
        <w:tc>
          <w:tcPr>
            <w:tcW w:w="1230" w:type="dxa"/>
          </w:tcPr>
          <w:p w14:paraId="01373045" w14:textId="37F19B1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4,016.2</w:t>
            </w:r>
          </w:p>
        </w:tc>
        <w:tc>
          <w:tcPr>
            <w:tcW w:w="1372" w:type="dxa"/>
          </w:tcPr>
          <w:p w14:paraId="3D437F57" w14:textId="74596FD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8.9</w:t>
            </w:r>
          </w:p>
        </w:tc>
        <w:tc>
          <w:tcPr>
            <w:tcW w:w="1372" w:type="dxa"/>
          </w:tcPr>
          <w:p w14:paraId="6178EFE4" w14:textId="39241BE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2122.5</w:t>
            </w:r>
          </w:p>
        </w:tc>
        <w:tc>
          <w:tcPr>
            <w:tcW w:w="1372" w:type="dxa"/>
          </w:tcPr>
          <w:p w14:paraId="7797E779" w14:textId="32A2983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6.9</w:t>
            </w:r>
          </w:p>
        </w:tc>
      </w:tr>
      <w:tr w:rsidR="00833C03" w:rsidRPr="00833C03" w14:paraId="019AD678" w14:textId="77777777" w:rsidTr="00833C03">
        <w:tc>
          <w:tcPr>
            <w:tcW w:w="1454" w:type="dxa"/>
          </w:tcPr>
          <w:p w14:paraId="79E46823" w14:textId="7718915D"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Ethnicity</w:t>
            </w:r>
          </w:p>
        </w:tc>
        <w:tc>
          <w:tcPr>
            <w:tcW w:w="2056" w:type="dxa"/>
          </w:tcPr>
          <w:p w14:paraId="4A7C0498" w14:textId="49059BDA"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White</w:t>
            </w:r>
          </w:p>
        </w:tc>
        <w:tc>
          <w:tcPr>
            <w:tcW w:w="1230" w:type="dxa"/>
          </w:tcPr>
          <w:p w14:paraId="12C91B0E" w14:textId="4AD89F5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39,835.8</w:t>
            </w:r>
          </w:p>
        </w:tc>
        <w:tc>
          <w:tcPr>
            <w:tcW w:w="1372" w:type="dxa"/>
          </w:tcPr>
          <w:p w14:paraId="481FA7C6" w14:textId="26243A6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88.1</w:t>
            </w:r>
          </w:p>
        </w:tc>
        <w:tc>
          <w:tcPr>
            <w:tcW w:w="1372" w:type="dxa"/>
          </w:tcPr>
          <w:p w14:paraId="01743FE9" w14:textId="394FCEE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27,583.7</w:t>
            </w:r>
          </w:p>
        </w:tc>
        <w:tc>
          <w:tcPr>
            <w:tcW w:w="1372" w:type="dxa"/>
          </w:tcPr>
          <w:p w14:paraId="63C46D1D" w14:textId="22B71C4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90.3</w:t>
            </w:r>
          </w:p>
        </w:tc>
      </w:tr>
      <w:tr w:rsidR="00833C03" w:rsidRPr="00833C03" w14:paraId="7FF397C5" w14:textId="77777777" w:rsidTr="00833C03">
        <w:tc>
          <w:tcPr>
            <w:tcW w:w="1454" w:type="dxa"/>
          </w:tcPr>
          <w:p w14:paraId="2C226BDF"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3F911F48" w14:textId="47C19D85"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Black</w:t>
            </w:r>
          </w:p>
        </w:tc>
        <w:tc>
          <w:tcPr>
            <w:tcW w:w="1230" w:type="dxa"/>
          </w:tcPr>
          <w:p w14:paraId="3D69E742" w14:textId="7365DDD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1,257.9</w:t>
            </w:r>
          </w:p>
        </w:tc>
        <w:tc>
          <w:tcPr>
            <w:tcW w:w="1372" w:type="dxa"/>
          </w:tcPr>
          <w:p w14:paraId="22D9A5E5" w14:textId="56E0B31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2.8</w:t>
            </w:r>
          </w:p>
        </w:tc>
        <w:tc>
          <w:tcPr>
            <w:tcW w:w="1372" w:type="dxa"/>
          </w:tcPr>
          <w:p w14:paraId="12BE10A5" w14:textId="45C1472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745.0</w:t>
            </w:r>
          </w:p>
        </w:tc>
        <w:tc>
          <w:tcPr>
            <w:tcW w:w="1372" w:type="dxa"/>
          </w:tcPr>
          <w:p w14:paraId="2091443D" w14:textId="65C57C0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w:t>
            </w:r>
          </w:p>
        </w:tc>
      </w:tr>
      <w:tr w:rsidR="00833C03" w:rsidRPr="00833C03" w14:paraId="5BB3C635" w14:textId="77777777" w:rsidTr="00833C03">
        <w:tc>
          <w:tcPr>
            <w:tcW w:w="1454" w:type="dxa"/>
          </w:tcPr>
          <w:p w14:paraId="3F1268F0"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40508924" w14:textId="4B66F494"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Asian</w:t>
            </w:r>
          </w:p>
        </w:tc>
        <w:tc>
          <w:tcPr>
            <w:tcW w:w="1230" w:type="dxa"/>
          </w:tcPr>
          <w:p w14:paraId="6CAA0EA1" w14:textId="3AD813A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3,069.4</w:t>
            </w:r>
          </w:p>
        </w:tc>
        <w:tc>
          <w:tcPr>
            <w:tcW w:w="1372" w:type="dxa"/>
          </w:tcPr>
          <w:p w14:paraId="53002D8C" w14:textId="054466D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6.8</w:t>
            </w:r>
          </w:p>
        </w:tc>
        <w:tc>
          <w:tcPr>
            <w:tcW w:w="1372" w:type="dxa"/>
          </w:tcPr>
          <w:p w14:paraId="48E045D3" w14:textId="22D3E88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1660.7</w:t>
            </w:r>
          </w:p>
        </w:tc>
        <w:tc>
          <w:tcPr>
            <w:tcW w:w="1372" w:type="dxa"/>
          </w:tcPr>
          <w:p w14:paraId="5EE3940E" w14:textId="6434126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5.4</w:t>
            </w:r>
          </w:p>
        </w:tc>
      </w:tr>
      <w:tr w:rsidR="00833C03" w:rsidRPr="00833C03" w14:paraId="111F1E3D" w14:textId="77777777" w:rsidTr="00833C03">
        <w:tc>
          <w:tcPr>
            <w:tcW w:w="1454" w:type="dxa"/>
          </w:tcPr>
          <w:p w14:paraId="1AC7D964"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7FEB87A6" w14:textId="7C7C662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Other</w:t>
            </w:r>
          </w:p>
        </w:tc>
        <w:tc>
          <w:tcPr>
            <w:tcW w:w="1230" w:type="dxa"/>
          </w:tcPr>
          <w:p w14:paraId="09BFDF99" w14:textId="0E76F18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898.7</w:t>
            </w:r>
          </w:p>
        </w:tc>
        <w:tc>
          <w:tcPr>
            <w:tcW w:w="1372" w:type="dxa"/>
          </w:tcPr>
          <w:p w14:paraId="20F1A077" w14:textId="2C2ABB0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w:t>
            </w:r>
          </w:p>
        </w:tc>
        <w:tc>
          <w:tcPr>
            <w:tcW w:w="1372" w:type="dxa"/>
          </w:tcPr>
          <w:p w14:paraId="70A5AB53" w14:textId="368C6DD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555.8</w:t>
            </w:r>
          </w:p>
        </w:tc>
        <w:tc>
          <w:tcPr>
            <w:tcW w:w="1372" w:type="dxa"/>
          </w:tcPr>
          <w:p w14:paraId="1EAA94E7" w14:textId="3CB1D40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1.8</w:t>
            </w:r>
          </w:p>
        </w:tc>
      </w:tr>
      <w:tr w:rsidR="00833C03" w:rsidRPr="00833C03" w14:paraId="5BBE01B0" w14:textId="77777777" w:rsidTr="00833C03">
        <w:tc>
          <w:tcPr>
            <w:tcW w:w="1454" w:type="dxa"/>
          </w:tcPr>
          <w:p w14:paraId="71D7C61A" w14:textId="048D87A3"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Marital status</w:t>
            </w:r>
          </w:p>
        </w:tc>
        <w:tc>
          <w:tcPr>
            <w:tcW w:w="2056" w:type="dxa"/>
          </w:tcPr>
          <w:p w14:paraId="7DD7B945" w14:textId="593FB7D6"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Single</w:t>
            </w:r>
          </w:p>
        </w:tc>
        <w:tc>
          <w:tcPr>
            <w:tcW w:w="1230" w:type="dxa"/>
          </w:tcPr>
          <w:p w14:paraId="57EB8693" w14:textId="041D2F5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10,336.8</w:t>
            </w:r>
          </w:p>
        </w:tc>
        <w:tc>
          <w:tcPr>
            <w:tcW w:w="1372" w:type="dxa"/>
          </w:tcPr>
          <w:p w14:paraId="01968EA5" w14:textId="7E568CE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22.9</w:t>
            </w:r>
          </w:p>
        </w:tc>
        <w:tc>
          <w:tcPr>
            <w:tcW w:w="1372" w:type="dxa"/>
          </w:tcPr>
          <w:p w14:paraId="07EB103C" w14:textId="445DBE8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6392.4</w:t>
            </w:r>
          </w:p>
        </w:tc>
        <w:tc>
          <w:tcPr>
            <w:tcW w:w="1372" w:type="dxa"/>
          </w:tcPr>
          <w:p w14:paraId="5FDA7B6E" w14:textId="0D20D52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20.9</w:t>
            </w:r>
          </w:p>
        </w:tc>
      </w:tr>
      <w:tr w:rsidR="00833C03" w:rsidRPr="00833C03" w14:paraId="16ECECD7" w14:textId="77777777" w:rsidTr="00833C03">
        <w:tc>
          <w:tcPr>
            <w:tcW w:w="1454" w:type="dxa"/>
          </w:tcPr>
          <w:p w14:paraId="2353B37A"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5D19106E" w14:textId="6052883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Married/civil partners</w:t>
            </w:r>
          </w:p>
        </w:tc>
        <w:tc>
          <w:tcPr>
            <w:tcW w:w="1230" w:type="dxa"/>
          </w:tcPr>
          <w:p w14:paraId="2598463F" w14:textId="214A73E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22,697.4</w:t>
            </w:r>
          </w:p>
        </w:tc>
        <w:tc>
          <w:tcPr>
            <w:tcW w:w="1372" w:type="dxa"/>
          </w:tcPr>
          <w:p w14:paraId="5DCBA325" w14:textId="5967858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50.2</w:t>
            </w:r>
          </w:p>
        </w:tc>
        <w:tc>
          <w:tcPr>
            <w:tcW w:w="1372" w:type="dxa"/>
          </w:tcPr>
          <w:p w14:paraId="683EAE7C" w14:textId="5B63CF9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15,868</w:t>
            </w:r>
          </w:p>
        </w:tc>
        <w:tc>
          <w:tcPr>
            <w:tcW w:w="1372" w:type="dxa"/>
          </w:tcPr>
          <w:p w14:paraId="47B8C867" w14:textId="3F9D4E19"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51.9</w:t>
            </w:r>
          </w:p>
        </w:tc>
      </w:tr>
      <w:tr w:rsidR="00833C03" w:rsidRPr="00833C03" w14:paraId="40367B5B" w14:textId="77777777" w:rsidTr="00833C03">
        <w:tc>
          <w:tcPr>
            <w:tcW w:w="1454" w:type="dxa"/>
          </w:tcPr>
          <w:p w14:paraId="1A46AA48"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23FF4C26" w14:textId="02C653CF"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Cohabitees</w:t>
            </w:r>
          </w:p>
        </w:tc>
        <w:tc>
          <w:tcPr>
            <w:tcW w:w="1230" w:type="dxa"/>
          </w:tcPr>
          <w:p w14:paraId="141905EE" w14:textId="44E5EB22"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5,649.9</w:t>
            </w:r>
          </w:p>
        </w:tc>
        <w:tc>
          <w:tcPr>
            <w:tcW w:w="1372" w:type="dxa"/>
          </w:tcPr>
          <w:p w14:paraId="1F0530D0" w14:textId="737B6F2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12.5</w:t>
            </w:r>
          </w:p>
        </w:tc>
        <w:tc>
          <w:tcPr>
            <w:tcW w:w="1372" w:type="dxa"/>
          </w:tcPr>
          <w:p w14:paraId="252E5BA1" w14:textId="1F2069D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4159.6</w:t>
            </w:r>
          </w:p>
        </w:tc>
        <w:tc>
          <w:tcPr>
            <w:tcW w:w="1372" w:type="dxa"/>
          </w:tcPr>
          <w:p w14:paraId="7E7DEE93" w14:textId="10C9D94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13.6</w:t>
            </w:r>
          </w:p>
        </w:tc>
      </w:tr>
      <w:tr w:rsidR="00833C03" w:rsidRPr="00833C03" w14:paraId="1B76A05E" w14:textId="77777777" w:rsidTr="00833C03">
        <w:tc>
          <w:tcPr>
            <w:tcW w:w="1454" w:type="dxa"/>
          </w:tcPr>
          <w:p w14:paraId="052738F0"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4CC011B9" w14:textId="0D89EEAA"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Separated/divorced</w:t>
            </w:r>
          </w:p>
        </w:tc>
        <w:tc>
          <w:tcPr>
            <w:tcW w:w="1230" w:type="dxa"/>
          </w:tcPr>
          <w:p w14:paraId="7F74CB6E" w14:textId="437A594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3,629.4</w:t>
            </w:r>
          </w:p>
        </w:tc>
        <w:tc>
          <w:tcPr>
            <w:tcW w:w="1372" w:type="dxa"/>
          </w:tcPr>
          <w:p w14:paraId="3EAD4A60" w14:textId="616316F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8.0</w:t>
            </w:r>
          </w:p>
        </w:tc>
        <w:tc>
          <w:tcPr>
            <w:tcW w:w="1372" w:type="dxa"/>
          </w:tcPr>
          <w:p w14:paraId="190B11D4" w14:textId="39893299"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2505.5</w:t>
            </w:r>
          </w:p>
        </w:tc>
        <w:tc>
          <w:tcPr>
            <w:tcW w:w="1372" w:type="dxa"/>
          </w:tcPr>
          <w:p w14:paraId="58B7BA65" w14:textId="2AA0EAC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8.2</w:t>
            </w:r>
          </w:p>
        </w:tc>
      </w:tr>
      <w:tr w:rsidR="00833C03" w:rsidRPr="00833C03" w14:paraId="0BD13AAB" w14:textId="77777777" w:rsidTr="00833C03">
        <w:tc>
          <w:tcPr>
            <w:tcW w:w="1454" w:type="dxa"/>
          </w:tcPr>
          <w:p w14:paraId="30F2EA4D"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72134FA1" w14:textId="7F95A7A7"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Widowed</w:t>
            </w:r>
          </w:p>
        </w:tc>
        <w:tc>
          <w:tcPr>
            <w:tcW w:w="1230" w:type="dxa"/>
          </w:tcPr>
          <w:p w14:paraId="69E2D483" w14:textId="47C0088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2908.2</w:t>
            </w:r>
          </w:p>
        </w:tc>
        <w:tc>
          <w:tcPr>
            <w:tcW w:w="1372" w:type="dxa"/>
          </w:tcPr>
          <w:p w14:paraId="3DFF9DB3" w14:textId="3174AA6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6.4</w:t>
            </w:r>
          </w:p>
        </w:tc>
        <w:tc>
          <w:tcPr>
            <w:tcW w:w="1372" w:type="dxa"/>
          </w:tcPr>
          <w:p w14:paraId="1251BC63" w14:textId="5F66FB1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1619.6</w:t>
            </w:r>
          </w:p>
        </w:tc>
        <w:tc>
          <w:tcPr>
            <w:tcW w:w="1372" w:type="dxa"/>
          </w:tcPr>
          <w:p w14:paraId="64B4EC11" w14:textId="7A5BD5C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5.3</w:t>
            </w:r>
          </w:p>
        </w:tc>
      </w:tr>
      <w:tr w:rsidR="00833C03" w:rsidRPr="00833C03" w14:paraId="05FE1E2D" w14:textId="77777777" w:rsidTr="00833C03">
        <w:tc>
          <w:tcPr>
            <w:tcW w:w="1454" w:type="dxa"/>
            <w:vMerge w:val="restart"/>
          </w:tcPr>
          <w:p w14:paraId="74C47A93" w14:textId="44992C97"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Index of multiple deprivation quintile</w:t>
            </w:r>
          </w:p>
        </w:tc>
        <w:tc>
          <w:tcPr>
            <w:tcW w:w="2056" w:type="dxa"/>
          </w:tcPr>
          <w:p w14:paraId="309F4C0B" w14:textId="2B4DB5D8"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Least deprived</w:t>
            </w:r>
          </w:p>
        </w:tc>
        <w:tc>
          <w:tcPr>
            <w:tcW w:w="1230" w:type="dxa"/>
          </w:tcPr>
          <w:p w14:paraId="6A351889" w14:textId="2D13258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9,476.4</w:t>
            </w:r>
          </w:p>
        </w:tc>
        <w:tc>
          <w:tcPr>
            <w:tcW w:w="1372" w:type="dxa"/>
          </w:tcPr>
          <w:p w14:paraId="11FB381C" w14:textId="63BA968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20.9</w:t>
            </w:r>
          </w:p>
        </w:tc>
        <w:tc>
          <w:tcPr>
            <w:tcW w:w="1372" w:type="dxa"/>
          </w:tcPr>
          <w:p w14:paraId="6DA432B5" w14:textId="0CBB5D3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6735.1</w:t>
            </w:r>
          </w:p>
        </w:tc>
        <w:tc>
          <w:tcPr>
            <w:tcW w:w="1372" w:type="dxa"/>
          </w:tcPr>
          <w:p w14:paraId="4F3A2DDC" w14:textId="3024BB9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22.0</w:t>
            </w:r>
          </w:p>
        </w:tc>
      </w:tr>
      <w:tr w:rsidR="00833C03" w:rsidRPr="00833C03" w14:paraId="129D6D23" w14:textId="77777777" w:rsidTr="00833C03">
        <w:tc>
          <w:tcPr>
            <w:tcW w:w="1454" w:type="dxa"/>
            <w:vMerge/>
          </w:tcPr>
          <w:p w14:paraId="00D8623E"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083D995A" w14:textId="5F45E2D4"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Second</w:t>
            </w:r>
          </w:p>
        </w:tc>
        <w:tc>
          <w:tcPr>
            <w:tcW w:w="1230" w:type="dxa"/>
          </w:tcPr>
          <w:p w14:paraId="3E30C758" w14:textId="5293EF7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9,156.5</w:t>
            </w:r>
          </w:p>
        </w:tc>
        <w:tc>
          <w:tcPr>
            <w:tcW w:w="1372" w:type="dxa"/>
          </w:tcPr>
          <w:p w14:paraId="705C6268" w14:textId="082E643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20.2</w:t>
            </w:r>
          </w:p>
        </w:tc>
        <w:tc>
          <w:tcPr>
            <w:tcW w:w="1372" w:type="dxa"/>
          </w:tcPr>
          <w:p w14:paraId="23381370" w14:textId="0AF43292"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6447.0</w:t>
            </w:r>
          </w:p>
        </w:tc>
        <w:tc>
          <w:tcPr>
            <w:tcW w:w="1372" w:type="dxa"/>
          </w:tcPr>
          <w:p w14:paraId="394E79A4" w14:textId="0C3E2FC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21.1</w:t>
            </w:r>
          </w:p>
        </w:tc>
      </w:tr>
      <w:tr w:rsidR="00833C03" w:rsidRPr="00833C03" w14:paraId="3879DD30" w14:textId="77777777" w:rsidTr="00833C03">
        <w:tc>
          <w:tcPr>
            <w:tcW w:w="1454" w:type="dxa"/>
            <w:vMerge/>
          </w:tcPr>
          <w:p w14:paraId="3C70820D"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4339F840" w14:textId="322F6C17"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Third</w:t>
            </w:r>
          </w:p>
        </w:tc>
        <w:tc>
          <w:tcPr>
            <w:tcW w:w="1230" w:type="dxa"/>
          </w:tcPr>
          <w:p w14:paraId="21F58CB0" w14:textId="10562A8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9,257.5</w:t>
            </w:r>
          </w:p>
        </w:tc>
        <w:tc>
          <w:tcPr>
            <w:tcW w:w="1372" w:type="dxa"/>
          </w:tcPr>
          <w:p w14:paraId="642302D1" w14:textId="76C8106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20.5</w:t>
            </w:r>
          </w:p>
        </w:tc>
        <w:tc>
          <w:tcPr>
            <w:tcW w:w="1372" w:type="dxa"/>
          </w:tcPr>
          <w:p w14:paraId="2E3005B0" w14:textId="5544BCD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6241.8</w:t>
            </w:r>
          </w:p>
        </w:tc>
        <w:tc>
          <w:tcPr>
            <w:tcW w:w="1372" w:type="dxa"/>
          </w:tcPr>
          <w:p w14:paraId="0356EAC9" w14:textId="48BCCD6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20.4</w:t>
            </w:r>
          </w:p>
        </w:tc>
      </w:tr>
      <w:tr w:rsidR="00833C03" w:rsidRPr="00833C03" w14:paraId="2E21E7A6" w14:textId="77777777" w:rsidTr="00833C03">
        <w:tc>
          <w:tcPr>
            <w:tcW w:w="1454" w:type="dxa"/>
            <w:vMerge/>
          </w:tcPr>
          <w:p w14:paraId="36274ECF"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1D0722E8" w14:textId="3F72CD0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Fourth</w:t>
            </w:r>
          </w:p>
        </w:tc>
        <w:tc>
          <w:tcPr>
            <w:tcW w:w="1230" w:type="dxa"/>
          </w:tcPr>
          <w:p w14:paraId="35D2F19A" w14:textId="54AB554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8,918.3</w:t>
            </w:r>
          </w:p>
        </w:tc>
        <w:tc>
          <w:tcPr>
            <w:tcW w:w="1372" w:type="dxa"/>
          </w:tcPr>
          <w:p w14:paraId="788B7A2F" w14:textId="742B6CD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19.7</w:t>
            </w:r>
          </w:p>
        </w:tc>
        <w:tc>
          <w:tcPr>
            <w:tcW w:w="1372" w:type="dxa"/>
          </w:tcPr>
          <w:p w14:paraId="19DB43BB" w14:textId="490E627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5914.9</w:t>
            </w:r>
          </w:p>
        </w:tc>
        <w:tc>
          <w:tcPr>
            <w:tcW w:w="1372" w:type="dxa"/>
          </w:tcPr>
          <w:p w14:paraId="0BC20AB8" w14:textId="0E209A8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19.4</w:t>
            </w:r>
          </w:p>
        </w:tc>
      </w:tr>
      <w:tr w:rsidR="00833C03" w:rsidRPr="00833C03" w14:paraId="1D69499C" w14:textId="77777777" w:rsidTr="00833C03">
        <w:tc>
          <w:tcPr>
            <w:tcW w:w="1454" w:type="dxa"/>
            <w:vMerge/>
          </w:tcPr>
          <w:p w14:paraId="65C0849F"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25ACC63E" w14:textId="2FFFD55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xml:space="preserve">Most deprived </w:t>
            </w:r>
          </w:p>
        </w:tc>
        <w:tc>
          <w:tcPr>
            <w:tcW w:w="1230" w:type="dxa"/>
          </w:tcPr>
          <w:p w14:paraId="703E0360" w14:textId="4BF2D6B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8,428.8</w:t>
            </w:r>
          </w:p>
        </w:tc>
        <w:tc>
          <w:tcPr>
            <w:tcW w:w="1372" w:type="dxa"/>
          </w:tcPr>
          <w:p w14:paraId="16146553" w14:textId="40FB009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18.6</w:t>
            </w:r>
          </w:p>
        </w:tc>
        <w:tc>
          <w:tcPr>
            <w:tcW w:w="1372" w:type="dxa"/>
          </w:tcPr>
          <w:p w14:paraId="277FE6EA" w14:textId="47E47CE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5206.4</w:t>
            </w:r>
          </w:p>
        </w:tc>
        <w:tc>
          <w:tcPr>
            <w:tcW w:w="1372" w:type="dxa"/>
          </w:tcPr>
          <w:p w14:paraId="70CA569A" w14:textId="13D5B432"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17.0</w:t>
            </w:r>
          </w:p>
        </w:tc>
      </w:tr>
      <w:tr w:rsidR="00833C03" w:rsidRPr="00833C03" w14:paraId="7B0A4350" w14:textId="77777777" w:rsidTr="00833C03">
        <w:tc>
          <w:tcPr>
            <w:tcW w:w="1454" w:type="dxa"/>
          </w:tcPr>
          <w:p w14:paraId="6B399C4B" w14:textId="4350756C"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 xml:space="preserve">Income </w:t>
            </w:r>
            <w:proofErr w:type="spellStart"/>
            <w:r w:rsidRPr="00833C03">
              <w:rPr>
                <w:rFonts w:ascii="Calibri" w:hAnsi="Calibri" w:cs="Times"/>
                <w:sz w:val="20"/>
                <w:szCs w:val="20"/>
                <w:lang w:val="en-US"/>
              </w:rPr>
              <w:t>tertile</w:t>
            </w:r>
            <w:proofErr w:type="spellEnd"/>
          </w:p>
        </w:tc>
        <w:tc>
          <w:tcPr>
            <w:tcW w:w="2056" w:type="dxa"/>
          </w:tcPr>
          <w:p w14:paraId="1C2DD30C" w14:textId="04A73E80"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Lowest</w:t>
            </w:r>
          </w:p>
        </w:tc>
        <w:tc>
          <w:tcPr>
            <w:tcW w:w="1230" w:type="dxa"/>
          </w:tcPr>
          <w:p w14:paraId="2506391F" w14:textId="3E23E91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10,748.5</w:t>
            </w:r>
          </w:p>
        </w:tc>
        <w:tc>
          <w:tcPr>
            <w:tcW w:w="1372" w:type="dxa"/>
          </w:tcPr>
          <w:p w14:paraId="7ACA11DB" w14:textId="7853941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30.1</w:t>
            </w:r>
          </w:p>
        </w:tc>
        <w:tc>
          <w:tcPr>
            <w:tcW w:w="1372" w:type="dxa"/>
          </w:tcPr>
          <w:p w14:paraId="351BF638" w14:textId="23992FB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8895.9</w:t>
            </w:r>
          </w:p>
        </w:tc>
        <w:tc>
          <w:tcPr>
            <w:tcW w:w="1372" w:type="dxa"/>
          </w:tcPr>
          <w:p w14:paraId="0CC19F55" w14:textId="086E92A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29.1</w:t>
            </w:r>
          </w:p>
        </w:tc>
      </w:tr>
      <w:tr w:rsidR="00833C03" w:rsidRPr="00833C03" w14:paraId="14909C67" w14:textId="77777777" w:rsidTr="00833C03">
        <w:tc>
          <w:tcPr>
            <w:tcW w:w="1454" w:type="dxa"/>
          </w:tcPr>
          <w:p w14:paraId="53C5402F"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513C291C" w14:textId="1F155F36"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Medium</w:t>
            </w:r>
          </w:p>
        </w:tc>
        <w:tc>
          <w:tcPr>
            <w:tcW w:w="1230" w:type="dxa"/>
          </w:tcPr>
          <w:p w14:paraId="0C01EF71" w14:textId="02B31E69"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12,131.3</w:t>
            </w:r>
          </w:p>
        </w:tc>
        <w:tc>
          <w:tcPr>
            <w:tcW w:w="1372" w:type="dxa"/>
          </w:tcPr>
          <w:p w14:paraId="414B747A" w14:textId="39666A9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33.9</w:t>
            </w:r>
          </w:p>
        </w:tc>
        <w:tc>
          <w:tcPr>
            <w:tcW w:w="1372" w:type="dxa"/>
          </w:tcPr>
          <w:p w14:paraId="06C04F87" w14:textId="46C8725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10,424.9</w:t>
            </w:r>
          </w:p>
        </w:tc>
        <w:tc>
          <w:tcPr>
            <w:tcW w:w="1372" w:type="dxa"/>
          </w:tcPr>
          <w:p w14:paraId="1AB7B467" w14:textId="14FC8B6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34.1</w:t>
            </w:r>
          </w:p>
        </w:tc>
      </w:tr>
      <w:tr w:rsidR="00833C03" w:rsidRPr="00833C03" w14:paraId="6CCB1652" w14:textId="77777777" w:rsidTr="00833C03">
        <w:tc>
          <w:tcPr>
            <w:tcW w:w="1454" w:type="dxa"/>
          </w:tcPr>
          <w:p w14:paraId="0ACCCBC0"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6DB13E4B" w14:textId="11F262A0"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Highest</w:t>
            </w:r>
          </w:p>
        </w:tc>
        <w:tc>
          <w:tcPr>
            <w:tcW w:w="1230" w:type="dxa"/>
          </w:tcPr>
          <w:p w14:paraId="43AFB044" w14:textId="2CA254F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12,880.9</w:t>
            </w:r>
          </w:p>
        </w:tc>
        <w:tc>
          <w:tcPr>
            <w:tcW w:w="1372" w:type="dxa"/>
          </w:tcPr>
          <w:p w14:paraId="460A05A2" w14:textId="2913EA1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36.0</w:t>
            </w:r>
          </w:p>
        </w:tc>
        <w:tc>
          <w:tcPr>
            <w:tcW w:w="1372" w:type="dxa"/>
          </w:tcPr>
          <w:p w14:paraId="0986E508" w14:textId="12D7854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11,224.3</w:t>
            </w:r>
          </w:p>
        </w:tc>
        <w:tc>
          <w:tcPr>
            <w:tcW w:w="1372" w:type="dxa"/>
          </w:tcPr>
          <w:p w14:paraId="170D1AD5" w14:textId="377D930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36.7</w:t>
            </w:r>
          </w:p>
        </w:tc>
      </w:tr>
      <w:tr w:rsidR="00833C03" w:rsidRPr="00833C03" w14:paraId="27C35725" w14:textId="77777777" w:rsidTr="00833C03">
        <w:tc>
          <w:tcPr>
            <w:tcW w:w="1454" w:type="dxa"/>
          </w:tcPr>
          <w:p w14:paraId="462449CA" w14:textId="00B57E8A"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Work status</w:t>
            </w:r>
          </w:p>
        </w:tc>
        <w:tc>
          <w:tcPr>
            <w:tcW w:w="2056" w:type="dxa"/>
          </w:tcPr>
          <w:p w14:paraId="792FA9EA" w14:textId="1ABE5CF5"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In work</w:t>
            </w:r>
          </w:p>
        </w:tc>
        <w:tc>
          <w:tcPr>
            <w:tcW w:w="1230" w:type="dxa"/>
          </w:tcPr>
          <w:p w14:paraId="3496668D" w14:textId="740DC62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24,662.1</w:t>
            </w:r>
          </w:p>
        </w:tc>
        <w:tc>
          <w:tcPr>
            <w:tcW w:w="1372" w:type="dxa"/>
          </w:tcPr>
          <w:p w14:paraId="08E90279" w14:textId="7C092A68"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54.5</w:t>
            </w:r>
          </w:p>
        </w:tc>
        <w:tc>
          <w:tcPr>
            <w:tcW w:w="1372" w:type="dxa"/>
          </w:tcPr>
          <w:p w14:paraId="6E1087DD" w14:textId="71205FB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17,936.5</w:t>
            </w:r>
          </w:p>
        </w:tc>
        <w:tc>
          <w:tcPr>
            <w:tcW w:w="1372" w:type="dxa"/>
          </w:tcPr>
          <w:p w14:paraId="0B391410" w14:textId="677DBFB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58.7</w:t>
            </w:r>
          </w:p>
        </w:tc>
      </w:tr>
      <w:tr w:rsidR="00833C03" w:rsidRPr="00833C03" w14:paraId="5ABB46C8" w14:textId="77777777" w:rsidTr="00833C03">
        <w:tc>
          <w:tcPr>
            <w:tcW w:w="1454" w:type="dxa"/>
          </w:tcPr>
          <w:p w14:paraId="0BF2FC2A"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03C082F2" w14:textId="1D96DB96"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Not in work </w:t>
            </w:r>
          </w:p>
        </w:tc>
        <w:tc>
          <w:tcPr>
            <w:tcW w:w="1230" w:type="dxa"/>
          </w:tcPr>
          <w:p w14:paraId="0B6C2D6C" w14:textId="4F78989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20,377.6</w:t>
            </w:r>
          </w:p>
        </w:tc>
        <w:tc>
          <w:tcPr>
            <w:tcW w:w="1372" w:type="dxa"/>
          </w:tcPr>
          <w:p w14:paraId="501741DB" w14:textId="06ACC9C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45.0</w:t>
            </w:r>
          </w:p>
        </w:tc>
        <w:tc>
          <w:tcPr>
            <w:tcW w:w="1372" w:type="dxa"/>
          </w:tcPr>
          <w:p w14:paraId="27463C30" w14:textId="0205ADE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12,608.7</w:t>
            </w:r>
          </w:p>
        </w:tc>
        <w:tc>
          <w:tcPr>
            <w:tcW w:w="1372" w:type="dxa"/>
          </w:tcPr>
          <w:p w14:paraId="4C7FB7CE" w14:textId="5E2FCED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41.3</w:t>
            </w:r>
          </w:p>
        </w:tc>
      </w:tr>
      <w:tr w:rsidR="00833C03" w:rsidRPr="00833C03" w14:paraId="605B0CFD" w14:textId="77777777" w:rsidTr="00833C03">
        <w:tc>
          <w:tcPr>
            <w:tcW w:w="1454" w:type="dxa"/>
          </w:tcPr>
          <w:p w14:paraId="5D97448A" w14:textId="4DC4207D"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University</w:t>
            </w:r>
          </w:p>
        </w:tc>
        <w:tc>
          <w:tcPr>
            <w:tcW w:w="2056" w:type="dxa"/>
          </w:tcPr>
          <w:p w14:paraId="0F2D52D4" w14:textId="026159A2"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Yes</w:t>
            </w:r>
          </w:p>
        </w:tc>
        <w:tc>
          <w:tcPr>
            <w:tcW w:w="1230" w:type="dxa"/>
          </w:tcPr>
          <w:p w14:paraId="58CF49AF" w14:textId="7F88D64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10,188.0</w:t>
            </w:r>
          </w:p>
        </w:tc>
        <w:tc>
          <w:tcPr>
            <w:tcW w:w="1372" w:type="dxa"/>
          </w:tcPr>
          <w:p w14:paraId="234AA108" w14:textId="2DC488DE"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22.5</w:t>
            </w:r>
          </w:p>
        </w:tc>
        <w:tc>
          <w:tcPr>
            <w:tcW w:w="1372" w:type="dxa"/>
          </w:tcPr>
          <w:p w14:paraId="01107D50" w14:textId="2EEE360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7327.1</w:t>
            </w:r>
          </w:p>
        </w:tc>
        <w:tc>
          <w:tcPr>
            <w:tcW w:w="1372" w:type="dxa"/>
          </w:tcPr>
          <w:p w14:paraId="70A40B86" w14:textId="6B1E799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24.0</w:t>
            </w:r>
          </w:p>
        </w:tc>
      </w:tr>
      <w:tr w:rsidR="00833C03" w:rsidRPr="00833C03" w14:paraId="680693BD" w14:textId="77777777" w:rsidTr="00833C03">
        <w:tc>
          <w:tcPr>
            <w:tcW w:w="1454" w:type="dxa"/>
          </w:tcPr>
          <w:p w14:paraId="200E2E4A"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5B128155" w14:textId="6E53BD6C"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No</w:t>
            </w:r>
          </w:p>
        </w:tc>
        <w:tc>
          <w:tcPr>
            <w:tcW w:w="1230" w:type="dxa"/>
          </w:tcPr>
          <w:p w14:paraId="6FF87969" w14:textId="3F9270DD"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34,865.6</w:t>
            </w:r>
          </w:p>
        </w:tc>
        <w:tc>
          <w:tcPr>
            <w:tcW w:w="1372" w:type="dxa"/>
          </w:tcPr>
          <w:p w14:paraId="2A56A1B0" w14:textId="67C3766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77.1</w:t>
            </w:r>
          </w:p>
        </w:tc>
        <w:tc>
          <w:tcPr>
            <w:tcW w:w="1372" w:type="dxa"/>
          </w:tcPr>
          <w:p w14:paraId="5885B02F" w14:textId="039BE86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23,218.0</w:t>
            </w:r>
          </w:p>
        </w:tc>
        <w:tc>
          <w:tcPr>
            <w:tcW w:w="1372" w:type="dxa"/>
          </w:tcPr>
          <w:p w14:paraId="1BC4CD59" w14:textId="0B2ADF1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76.0</w:t>
            </w:r>
          </w:p>
        </w:tc>
      </w:tr>
      <w:tr w:rsidR="00833C03" w:rsidRPr="00833C03" w14:paraId="372D7202" w14:textId="77777777" w:rsidTr="00833C03">
        <w:tc>
          <w:tcPr>
            <w:tcW w:w="1454" w:type="dxa"/>
          </w:tcPr>
          <w:p w14:paraId="5F5EB3A4" w14:textId="781F49A1"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Tenure</w:t>
            </w:r>
          </w:p>
        </w:tc>
        <w:tc>
          <w:tcPr>
            <w:tcW w:w="2056" w:type="dxa"/>
          </w:tcPr>
          <w:p w14:paraId="4F1E8FB1" w14:textId="4BE36984"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Renting or free</w:t>
            </w:r>
          </w:p>
        </w:tc>
        <w:tc>
          <w:tcPr>
            <w:tcW w:w="1230" w:type="dxa"/>
          </w:tcPr>
          <w:p w14:paraId="627B4F77" w14:textId="50EDBE8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14,168.4</w:t>
            </w:r>
          </w:p>
        </w:tc>
        <w:tc>
          <w:tcPr>
            <w:tcW w:w="1372" w:type="dxa"/>
          </w:tcPr>
          <w:p w14:paraId="2FA48417" w14:textId="50A136E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31.3</w:t>
            </w:r>
          </w:p>
        </w:tc>
        <w:tc>
          <w:tcPr>
            <w:tcW w:w="1372" w:type="dxa"/>
          </w:tcPr>
          <w:p w14:paraId="556C237F" w14:textId="0F2FFFA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9020.0</w:t>
            </w:r>
          </w:p>
        </w:tc>
        <w:tc>
          <w:tcPr>
            <w:tcW w:w="1372" w:type="dxa"/>
          </w:tcPr>
          <w:p w14:paraId="309AA15E" w14:textId="06BD0B0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29.5</w:t>
            </w:r>
          </w:p>
        </w:tc>
      </w:tr>
      <w:tr w:rsidR="00833C03" w:rsidRPr="00833C03" w14:paraId="6A7346C9" w14:textId="77777777" w:rsidTr="00833C03">
        <w:tc>
          <w:tcPr>
            <w:tcW w:w="1454" w:type="dxa"/>
          </w:tcPr>
          <w:p w14:paraId="657B8EEA"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50269F31" w14:textId="3A9DE9FD"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Owning</w:t>
            </w:r>
          </w:p>
        </w:tc>
        <w:tc>
          <w:tcPr>
            <w:tcW w:w="1230" w:type="dxa"/>
          </w:tcPr>
          <w:p w14:paraId="74B60220" w14:textId="4BB287F2"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13,412.5</w:t>
            </w:r>
          </w:p>
        </w:tc>
        <w:tc>
          <w:tcPr>
            <w:tcW w:w="1372" w:type="dxa"/>
          </w:tcPr>
          <w:p w14:paraId="057C71FA" w14:textId="53C37F8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29.6</w:t>
            </w:r>
          </w:p>
        </w:tc>
        <w:tc>
          <w:tcPr>
            <w:tcW w:w="1372" w:type="dxa"/>
          </w:tcPr>
          <w:p w14:paraId="122D2A1D" w14:textId="3F6E842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8520.8</w:t>
            </w:r>
          </w:p>
        </w:tc>
        <w:tc>
          <w:tcPr>
            <w:tcW w:w="1372" w:type="dxa"/>
          </w:tcPr>
          <w:p w14:paraId="69B5470A" w14:textId="1D5C3886"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27.9</w:t>
            </w:r>
          </w:p>
        </w:tc>
      </w:tr>
      <w:tr w:rsidR="00833C03" w:rsidRPr="00833C03" w14:paraId="06E6AD55" w14:textId="77777777" w:rsidTr="00833C03">
        <w:tc>
          <w:tcPr>
            <w:tcW w:w="1454" w:type="dxa"/>
          </w:tcPr>
          <w:p w14:paraId="636F8C65"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4969F6CD" w14:textId="22CDCAA2"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Buying or shared</w:t>
            </w:r>
          </w:p>
        </w:tc>
        <w:tc>
          <w:tcPr>
            <w:tcW w:w="1230" w:type="dxa"/>
          </w:tcPr>
          <w:p w14:paraId="012DF6D6" w14:textId="1B163F62"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17,527.9</w:t>
            </w:r>
          </w:p>
        </w:tc>
        <w:tc>
          <w:tcPr>
            <w:tcW w:w="1372" w:type="dxa"/>
          </w:tcPr>
          <w:p w14:paraId="5B63137B" w14:textId="0E002873"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38.7</w:t>
            </w:r>
          </w:p>
        </w:tc>
        <w:tc>
          <w:tcPr>
            <w:tcW w:w="1372" w:type="dxa"/>
          </w:tcPr>
          <w:p w14:paraId="02EF482E" w14:textId="0DD09CA5"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13,004.4</w:t>
            </w:r>
          </w:p>
        </w:tc>
        <w:tc>
          <w:tcPr>
            <w:tcW w:w="1372" w:type="dxa"/>
          </w:tcPr>
          <w:p w14:paraId="30B0BA45" w14:textId="75F13CA0"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42.6</w:t>
            </w:r>
          </w:p>
        </w:tc>
      </w:tr>
      <w:tr w:rsidR="00833C03" w:rsidRPr="00833C03" w14:paraId="6543A800" w14:textId="77777777" w:rsidTr="00833C03">
        <w:tc>
          <w:tcPr>
            <w:tcW w:w="1454" w:type="dxa"/>
          </w:tcPr>
          <w:p w14:paraId="5A944C33" w14:textId="63589235"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Smoking</w:t>
            </w:r>
          </w:p>
        </w:tc>
        <w:tc>
          <w:tcPr>
            <w:tcW w:w="2056" w:type="dxa"/>
          </w:tcPr>
          <w:p w14:paraId="063C34D2" w14:textId="77CF7C72"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Never regular</w:t>
            </w:r>
          </w:p>
        </w:tc>
        <w:tc>
          <w:tcPr>
            <w:tcW w:w="1230" w:type="dxa"/>
          </w:tcPr>
          <w:p w14:paraId="4EC30C2B" w14:textId="3F8A5EB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24,339.3</w:t>
            </w:r>
          </w:p>
        </w:tc>
        <w:tc>
          <w:tcPr>
            <w:tcW w:w="1372" w:type="dxa"/>
          </w:tcPr>
          <w:p w14:paraId="2BB6AA16" w14:textId="371C856A"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53.8</w:t>
            </w:r>
          </w:p>
        </w:tc>
        <w:tc>
          <w:tcPr>
            <w:tcW w:w="1372" w:type="dxa"/>
          </w:tcPr>
          <w:p w14:paraId="19A7C704" w14:textId="17161C9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16,443.3</w:t>
            </w:r>
          </w:p>
        </w:tc>
        <w:tc>
          <w:tcPr>
            <w:tcW w:w="1372" w:type="dxa"/>
          </w:tcPr>
          <w:p w14:paraId="548AA0B2" w14:textId="42AFBF0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53.8</w:t>
            </w:r>
          </w:p>
        </w:tc>
      </w:tr>
      <w:tr w:rsidR="00833C03" w:rsidRPr="00833C03" w14:paraId="5638FED1" w14:textId="77777777" w:rsidTr="00833C03">
        <w:tc>
          <w:tcPr>
            <w:tcW w:w="1454" w:type="dxa"/>
          </w:tcPr>
          <w:p w14:paraId="6F90F1F2"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Pr>
          <w:p w14:paraId="269ECAF9" w14:textId="6DE60F1B"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Currently</w:t>
            </w:r>
          </w:p>
        </w:tc>
        <w:tc>
          <w:tcPr>
            <w:tcW w:w="1230" w:type="dxa"/>
          </w:tcPr>
          <w:p w14:paraId="34DD8840" w14:textId="3A60F464"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9,372.6</w:t>
            </w:r>
          </w:p>
        </w:tc>
        <w:tc>
          <w:tcPr>
            <w:tcW w:w="1372" w:type="dxa"/>
          </w:tcPr>
          <w:p w14:paraId="31C0D844" w14:textId="5C3711D7"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20.7</w:t>
            </w:r>
          </w:p>
        </w:tc>
        <w:tc>
          <w:tcPr>
            <w:tcW w:w="1372" w:type="dxa"/>
          </w:tcPr>
          <w:p w14:paraId="4E357A73" w14:textId="4652AA1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6446.2</w:t>
            </w:r>
          </w:p>
        </w:tc>
        <w:tc>
          <w:tcPr>
            <w:tcW w:w="1372" w:type="dxa"/>
          </w:tcPr>
          <w:p w14:paraId="74A76E22" w14:textId="6B4182E1"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21.1</w:t>
            </w:r>
          </w:p>
        </w:tc>
      </w:tr>
      <w:tr w:rsidR="00833C03" w:rsidRPr="00833C03" w14:paraId="51E4CB02" w14:textId="77777777" w:rsidTr="00833C03">
        <w:tc>
          <w:tcPr>
            <w:tcW w:w="1454" w:type="dxa"/>
            <w:tcBorders>
              <w:bottom w:val="single" w:sz="4" w:space="0" w:color="auto"/>
            </w:tcBorders>
          </w:tcPr>
          <w:p w14:paraId="63948A7D" w14:textId="77777777" w:rsidR="00833C03" w:rsidRPr="00833C03" w:rsidRDefault="00833C03" w:rsidP="00833C03">
            <w:pPr>
              <w:widowControl w:val="0"/>
              <w:autoSpaceDE w:val="0"/>
              <w:autoSpaceDN w:val="0"/>
              <w:adjustRightInd w:val="0"/>
              <w:rPr>
                <w:rFonts w:ascii="Calibri" w:hAnsi="Calibri" w:cs="Times"/>
                <w:sz w:val="20"/>
                <w:szCs w:val="20"/>
                <w:lang w:val="en-US"/>
              </w:rPr>
            </w:pPr>
          </w:p>
        </w:tc>
        <w:tc>
          <w:tcPr>
            <w:tcW w:w="2056" w:type="dxa"/>
            <w:tcBorders>
              <w:bottom w:val="single" w:sz="4" w:space="0" w:color="auto"/>
            </w:tcBorders>
          </w:tcPr>
          <w:p w14:paraId="5491D332" w14:textId="7A6C2B80" w:rsidR="00833C03" w:rsidRPr="00833C03" w:rsidRDefault="00833C03" w:rsidP="00833C03">
            <w:pPr>
              <w:widowControl w:val="0"/>
              <w:autoSpaceDE w:val="0"/>
              <w:autoSpaceDN w:val="0"/>
              <w:adjustRightInd w:val="0"/>
              <w:rPr>
                <w:rFonts w:ascii="Calibri" w:hAnsi="Calibri" w:cs="Times"/>
                <w:sz w:val="20"/>
                <w:szCs w:val="20"/>
                <w:lang w:val="en-US"/>
              </w:rPr>
            </w:pPr>
            <w:r w:rsidRPr="00833C03">
              <w:rPr>
                <w:rFonts w:ascii="Calibri" w:hAnsi="Calibri" w:cs="Times"/>
                <w:sz w:val="20"/>
                <w:szCs w:val="20"/>
                <w:lang w:val="en-US"/>
              </w:rPr>
              <w:t>Former regular</w:t>
            </w:r>
          </w:p>
        </w:tc>
        <w:tc>
          <w:tcPr>
            <w:tcW w:w="1230" w:type="dxa"/>
            <w:tcBorders>
              <w:bottom w:val="single" w:sz="4" w:space="0" w:color="auto"/>
            </w:tcBorders>
          </w:tcPr>
          <w:p w14:paraId="796013AE" w14:textId="348C6C9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11,071.6</w:t>
            </w:r>
          </w:p>
        </w:tc>
        <w:tc>
          <w:tcPr>
            <w:tcW w:w="1372" w:type="dxa"/>
            <w:tcBorders>
              <w:bottom w:val="single" w:sz="4" w:space="0" w:color="auto"/>
            </w:tcBorders>
          </w:tcPr>
          <w:p w14:paraId="75DFF757" w14:textId="47B4593F"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24.5</w:t>
            </w:r>
          </w:p>
        </w:tc>
        <w:tc>
          <w:tcPr>
            <w:tcW w:w="1372" w:type="dxa"/>
            <w:tcBorders>
              <w:bottom w:val="single" w:sz="4" w:space="0" w:color="auto"/>
            </w:tcBorders>
          </w:tcPr>
          <w:p w14:paraId="2C20ABA2" w14:textId="6C54E04B"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7655.6</w:t>
            </w:r>
          </w:p>
        </w:tc>
        <w:tc>
          <w:tcPr>
            <w:tcW w:w="1372" w:type="dxa"/>
            <w:tcBorders>
              <w:bottom w:val="single" w:sz="4" w:space="0" w:color="auto"/>
            </w:tcBorders>
          </w:tcPr>
          <w:p w14:paraId="7C653665" w14:textId="4B46E92C" w:rsidR="00833C03" w:rsidRPr="00833C03" w:rsidRDefault="00833C03" w:rsidP="00833C03">
            <w:pPr>
              <w:widowControl w:val="0"/>
              <w:autoSpaceDE w:val="0"/>
              <w:autoSpaceDN w:val="0"/>
              <w:adjustRightInd w:val="0"/>
              <w:jc w:val="right"/>
              <w:rPr>
                <w:rFonts w:ascii="Calibri" w:hAnsi="Calibri" w:cs="Times"/>
                <w:sz w:val="20"/>
                <w:szCs w:val="20"/>
                <w:lang w:val="en-US"/>
              </w:rPr>
            </w:pPr>
            <w:r w:rsidRPr="00833C03">
              <w:rPr>
                <w:rFonts w:ascii="Calibri" w:hAnsi="Calibri" w:cs="Times"/>
                <w:sz w:val="20"/>
                <w:szCs w:val="20"/>
                <w:lang w:val="en-US"/>
              </w:rPr>
              <w:t>25.1</w:t>
            </w:r>
          </w:p>
        </w:tc>
      </w:tr>
    </w:tbl>
    <w:p w14:paraId="4AD4C2A8" w14:textId="77777777" w:rsidR="00DF6C42" w:rsidRDefault="00DF6C42" w:rsidP="00833C03">
      <w:pPr>
        <w:widowControl w:val="0"/>
        <w:autoSpaceDE w:val="0"/>
        <w:autoSpaceDN w:val="0"/>
        <w:adjustRightInd w:val="0"/>
        <w:rPr>
          <w:rFonts w:ascii="Calibri" w:hAnsi="Calibri" w:cs="Times"/>
          <w:sz w:val="20"/>
          <w:szCs w:val="20"/>
          <w:lang w:val="en-US"/>
        </w:rPr>
      </w:pPr>
    </w:p>
    <w:p w14:paraId="17D019C4" w14:textId="18E64403" w:rsidR="00FC0EE9" w:rsidRPr="00FC0EE9" w:rsidRDefault="00FC0EE9" w:rsidP="00407C2D">
      <w:pPr>
        <w:rPr>
          <w:rFonts w:asciiTheme="majorHAnsi" w:hAnsiTheme="majorHAnsi"/>
          <w:sz w:val="20"/>
          <w:szCs w:val="20"/>
        </w:rPr>
        <w:sectPr w:rsidR="00FC0EE9" w:rsidRPr="00FC0EE9" w:rsidSect="009B1A49">
          <w:pgSz w:w="12240" w:h="15840"/>
          <w:pgMar w:top="1440" w:right="1800" w:bottom="1440" w:left="1800" w:header="720" w:footer="720" w:gutter="0"/>
          <w:cols w:space="720"/>
          <w:noEndnote/>
        </w:sectPr>
      </w:pPr>
      <w:r w:rsidRPr="00FC0EE9">
        <w:rPr>
          <w:rFonts w:asciiTheme="majorHAnsi" w:hAnsiTheme="majorHAnsi"/>
          <w:i/>
          <w:sz w:val="20"/>
          <w:szCs w:val="20"/>
        </w:rPr>
        <w:t>Note</w:t>
      </w:r>
      <w:r>
        <w:rPr>
          <w:rFonts w:asciiTheme="majorHAnsi" w:hAnsiTheme="majorHAnsi"/>
          <w:sz w:val="20"/>
          <w:szCs w:val="20"/>
        </w:rPr>
        <w:t xml:space="preserve">: </w:t>
      </w:r>
      <w:r w:rsidRPr="00FC0EE9">
        <w:rPr>
          <w:rFonts w:asciiTheme="majorHAnsi" w:hAnsiTheme="majorHAnsi"/>
          <w:sz w:val="20"/>
          <w:szCs w:val="20"/>
        </w:rPr>
        <w:t>Percentages do not add up to 100 due to rounding effects</w:t>
      </w:r>
    </w:p>
    <w:p w14:paraId="4AAD7627" w14:textId="24725C4F" w:rsidR="00D43518" w:rsidRDefault="00D43518" w:rsidP="00407C2D">
      <w:pPr>
        <w:rPr>
          <w:rFonts w:asciiTheme="majorHAnsi" w:hAnsiTheme="majorHAnsi"/>
          <w:sz w:val="20"/>
          <w:szCs w:val="20"/>
        </w:rPr>
      </w:pPr>
      <w:r w:rsidRPr="00407C2D">
        <w:rPr>
          <w:rFonts w:asciiTheme="majorHAnsi" w:hAnsiTheme="majorHAnsi"/>
          <w:b/>
          <w:sz w:val="20"/>
          <w:szCs w:val="20"/>
        </w:rPr>
        <w:t xml:space="preserve">Table 4 </w:t>
      </w:r>
      <w:r w:rsidRPr="00407C2D">
        <w:rPr>
          <w:rFonts w:asciiTheme="majorHAnsi" w:hAnsiTheme="majorHAnsi"/>
          <w:sz w:val="20"/>
          <w:szCs w:val="20"/>
        </w:rPr>
        <w:t>Prevalence (%) of obesity, cardiovascular disease (CVD), and diabetes morbidities and comorbidities by age and by age/gender group among the pooled (weighted) HSE 2008-2012 sample of England’s private household population</w:t>
      </w:r>
    </w:p>
    <w:p w14:paraId="2B91FFE9" w14:textId="77777777" w:rsidR="00407C2D" w:rsidRPr="00407C2D" w:rsidRDefault="00407C2D" w:rsidP="00407C2D">
      <w:pPr>
        <w:rPr>
          <w:rFonts w:asciiTheme="majorHAnsi" w:hAnsiTheme="majorHAnsi"/>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2"/>
        <w:gridCol w:w="577"/>
        <w:gridCol w:w="1128"/>
        <w:gridCol w:w="790"/>
        <w:gridCol w:w="701"/>
        <w:gridCol w:w="1016"/>
        <w:gridCol w:w="817"/>
        <w:gridCol w:w="941"/>
        <w:gridCol w:w="958"/>
        <w:gridCol w:w="800"/>
      </w:tblGrid>
      <w:tr w:rsidR="00407C2D" w:rsidRPr="00407C2D" w14:paraId="504A6587" w14:textId="77777777" w:rsidTr="00407C2D">
        <w:trPr>
          <w:tblCellSpacing w:w="0" w:type="dxa"/>
        </w:trPr>
        <w:tc>
          <w:tcPr>
            <w:tcW w:w="944" w:type="dxa"/>
            <w:tcBorders>
              <w:top w:val="single" w:sz="4" w:space="0" w:color="auto"/>
              <w:bottom w:val="single" w:sz="4" w:space="0" w:color="auto"/>
            </w:tcBorders>
            <w:vAlign w:val="bottom"/>
          </w:tcPr>
          <w:p w14:paraId="7B9A8058" w14:textId="66FDAA87"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Sex</w:t>
            </w:r>
          </w:p>
        </w:tc>
        <w:tc>
          <w:tcPr>
            <w:tcW w:w="579" w:type="dxa"/>
            <w:tcBorders>
              <w:top w:val="single" w:sz="4" w:space="0" w:color="auto"/>
              <w:bottom w:val="single" w:sz="4" w:space="0" w:color="auto"/>
            </w:tcBorders>
            <w:vAlign w:val="bottom"/>
          </w:tcPr>
          <w:p w14:paraId="713AA96D" w14:textId="2C83FB00"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Age</w:t>
            </w:r>
          </w:p>
        </w:tc>
        <w:tc>
          <w:tcPr>
            <w:tcW w:w="1130" w:type="dxa"/>
            <w:tcBorders>
              <w:top w:val="single" w:sz="4" w:space="0" w:color="auto"/>
              <w:bottom w:val="single" w:sz="4" w:space="0" w:color="auto"/>
            </w:tcBorders>
            <w:vAlign w:val="bottom"/>
          </w:tcPr>
          <w:p w14:paraId="058CC5C9" w14:textId="3F5CB9FB" w:rsidR="00407C2D" w:rsidRPr="00407C2D" w:rsidRDefault="00407C2D" w:rsidP="00407C2D">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Total (persons)</w:t>
            </w:r>
          </w:p>
        </w:tc>
        <w:tc>
          <w:tcPr>
            <w:tcW w:w="792" w:type="dxa"/>
            <w:tcBorders>
              <w:top w:val="single" w:sz="4" w:space="0" w:color="auto"/>
              <w:bottom w:val="single" w:sz="4" w:space="0" w:color="auto"/>
            </w:tcBorders>
            <w:vAlign w:val="bottom"/>
            <w:hideMark/>
          </w:tcPr>
          <w:p w14:paraId="190F0136" w14:textId="69B07A8E" w:rsidR="00407C2D" w:rsidRPr="00407C2D" w:rsidRDefault="00407C2D" w:rsidP="00407C2D">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Obese only (%)</w:t>
            </w:r>
          </w:p>
        </w:tc>
        <w:tc>
          <w:tcPr>
            <w:tcW w:w="703" w:type="dxa"/>
            <w:tcBorders>
              <w:top w:val="single" w:sz="4" w:space="0" w:color="auto"/>
              <w:bottom w:val="single" w:sz="4" w:space="0" w:color="auto"/>
            </w:tcBorders>
            <w:vAlign w:val="bottom"/>
            <w:hideMark/>
          </w:tcPr>
          <w:p w14:paraId="6FAE240B" w14:textId="35C2901A" w:rsidR="00407C2D" w:rsidRPr="00407C2D" w:rsidRDefault="00407C2D" w:rsidP="00407C2D">
            <w:pPr>
              <w:rPr>
                <w:rFonts w:asciiTheme="majorHAnsi" w:eastAsia="Times New Roman" w:hAnsiTheme="majorHAnsi"/>
                <w:sz w:val="20"/>
                <w:szCs w:val="20"/>
                <w:lang w:eastAsia="ca-ES"/>
              </w:rPr>
            </w:pPr>
            <w:proofErr w:type="gramStart"/>
            <w:r w:rsidRPr="00407C2D">
              <w:rPr>
                <w:rFonts w:asciiTheme="majorHAnsi" w:eastAsia="Times New Roman" w:hAnsiTheme="majorHAnsi"/>
                <w:bCs/>
                <w:sz w:val="20"/>
                <w:szCs w:val="20"/>
                <w:lang w:eastAsia="ca-ES"/>
              </w:rPr>
              <w:t>CVD  only</w:t>
            </w:r>
            <w:proofErr w:type="gramEnd"/>
            <w:r w:rsidRPr="00407C2D">
              <w:rPr>
                <w:rFonts w:asciiTheme="majorHAnsi" w:eastAsia="Times New Roman" w:hAnsiTheme="majorHAnsi"/>
                <w:bCs/>
                <w:sz w:val="20"/>
                <w:szCs w:val="20"/>
                <w:lang w:eastAsia="ca-ES"/>
              </w:rPr>
              <w:t xml:space="preserve"> (%)</w:t>
            </w:r>
          </w:p>
        </w:tc>
        <w:tc>
          <w:tcPr>
            <w:tcW w:w="1018" w:type="dxa"/>
            <w:tcBorders>
              <w:top w:val="single" w:sz="4" w:space="0" w:color="auto"/>
              <w:bottom w:val="single" w:sz="4" w:space="0" w:color="auto"/>
            </w:tcBorders>
            <w:vAlign w:val="bottom"/>
            <w:hideMark/>
          </w:tcPr>
          <w:p w14:paraId="06A9B961" w14:textId="484712FE"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Diabetes only (%)</w:t>
            </w:r>
          </w:p>
        </w:tc>
        <w:tc>
          <w:tcPr>
            <w:tcW w:w="818" w:type="dxa"/>
            <w:tcBorders>
              <w:top w:val="single" w:sz="4" w:space="0" w:color="auto"/>
              <w:bottom w:val="single" w:sz="4" w:space="0" w:color="auto"/>
            </w:tcBorders>
            <w:vAlign w:val="bottom"/>
            <w:hideMark/>
          </w:tcPr>
          <w:p w14:paraId="3839699F" w14:textId="35DF5D99"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Obese, CVD (%)</w:t>
            </w:r>
          </w:p>
        </w:tc>
        <w:tc>
          <w:tcPr>
            <w:tcW w:w="943" w:type="dxa"/>
            <w:tcBorders>
              <w:top w:val="single" w:sz="4" w:space="0" w:color="auto"/>
              <w:bottom w:val="single" w:sz="4" w:space="0" w:color="auto"/>
            </w:tcBorders>
            <w:vAlign w:val="bottom"/>
            <w:hideMark/>
          </w:tcPr>
          <w:p w14:paraId="48B7445E" w14:textId="3548E35C" w:rsidR="00407C2D" w:rsidRPr="00407C2D" w:rsidRDefault="00407C2D" w:rsidP="00407C2D">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Obese, diabetic (%)</w:t>
            </w:r>
          </w:p>
        </w:tc>
        <w:tc>
          <w:tcPr>
            <w:tcW w:w="960" w:type="dxa"/>
            <w:tcBorders>
              <w:top w:val="single" w:sz="4" w:space="0" w:color="auto"/>
              <w:bottom w:val="single" w:sz="4" w:space="0" w:color="auto"/>
            </w:tcBorders>
            <w:vAlign w:val="bottom"/>
            <w:hideMark/>
          </w:tcPr>
          <w:p w14:paraId="39C69647" w14:textId="07FDBAAC"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CVD, diabetic (%)</w:t>
            </w:r>
          </w:p>
        </w:tc>
        <w:tc>
          <w:tcPr>
            <w:tcW w:w="803" w:type="dxa"/>
            <w:tcBorders>
              <w:top w:val="single" w:sz="4" w:space="0" w:color="auto"/>
              <w:bottom w:val="single" w:sz="4" w:space="0" w:color="auto"/>
            </w:tcBorders>
            <w:vAlign w:val="bottom"/>
            <w:hideMark/>
          </w:tcPr>
          <w:p w14:paraId="127FEA40" w14:textId="0CB90D65"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All 3 (%)</w:t>
            </w:r>
          </w:p>
        </w:tc>
      </w:tr>
      <w:tr w:rsidR="00407C2D" w:rsidRPr="00407C2D" w14:paraId="0D865F89" w14:textId="77777777" w:rsidTr="00407C2D">
        <w:trPr>
          <w:trHeight w:val="315"/>
          <w:tblCellSpacing w:w="0" w:type="dxa"/>
        </w:trPr>
        <w:tc>
          <w:tcPr>
            <w:tcW w:w="944" w:type="dxa"/>
            <w:vAlign w:val="center"/>
          </w:tcPr>
          <w:p w14:paraId="454AAB7D" w14:textId="77777777"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All</w:t>
            </w:r>
          </w:p>
        </w:tc>
        <w:tc>
          <w:tcPr>
            <w:tcW w:w="579" w:type="dxa"/>
            <w:vAlign w:val="center"/>
          </w:tcPr>
          <w:p w14:paraId="5DC2ED57" w14:textId="3243A07A"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16-54</w:t>
            </w:r>
          </w:p>
        </w:tc>
        <w:tc>
          <w:tcPr>
            <w:tcW w:w="1130" w:type="dxa"/>
          </w:tcPr>
          <w:p w14:paraId="16848B53" w14:textId="4A12FC3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20,712.2</w:t>
            </w:r>
          </w:p>
        </w:tc>
        <w:tc>
          <w:tcPr>
            <w:tcW w:w="792" w:type="dxa"/>
            <w:vAlign w:val="center"/>
          </w:tcPr>
          <w:p w14:paraId="1A180D3B" w14:textId="01D4211E"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19.7</w:t>
            </w:r>
          </w:p>
        </w:tc>
        <w:tc>
          <w:tcPr>
            <w:tcW w:w="703" w:type="dxa"/>
            <w:vAlign w:val="center"/>
          </w:tcPr>
          <w:p w14:paraId="27C0561E" w14:textId="33EFC7A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1.7</w:t>
            </w:r>
          </w:p>
        </w:tc>
        <w:tc>
          <w:tcPr>
            <w:tcW w:w="1018" w:type="dxa"/>
            <w:vAlign w:val="center"/>
          </w:tcPr>
          <w:p w14:paraId="18B493E5" w14:textId="10CA46C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0.8</w:t>
            </w:r>
          </w:p>
        </w:tc>
        <w:tc>
          <w:tcPr>
            <w:tcW w:w="818" w:type="dxa"/>
            <w:vAlign w:val="center"/>
          </w:tcPr>
          <w:p w14:paraId="629A673F" w14:textId="3B0916BB"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1.4</w:t>
            </w:r>
          </w:p>
        </w:tc>
        <w:tc>
          <w:tcPr>
            <w:tcW w:w="943" w:type="dxa"/>
            <w:vAlign w:val="center"/>
          </w:tcPr>
          <w:p w14:paraId="5877B86C" w14:textId="66B9DBBF"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0.7</w:t>
            </w:r>
          </w:p>
        </w:tc>
        <w:tc>
          <w:tcPr>
            <w:tcW w:w="960" w:type="dxa"/>
            <w:vAlign w:val="center"/>
          </w:tcPr>
          <w:p w14:paraId="03EAED97" w14:textId="03302A1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0.1</w:t>
            </w:r>
          </w:p>
        </w:tc>
        <w:tc>
          <w:tcPr>
            <w:tcW w:w="803" w:type="dxa"/>
            <w:vAlign w:val="center"/>
          </w:tcPr>
          <w:p w14:paraId="66A971FA" w14:textId="69CBB04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0.3</w:t>
            </w:r>
          </w:p>
        </w:tc>
      </w:tr>
      <w:tr w:rsidR="00407C2D" w:rsidRPr="00407C2D" w14:paraId="6CF9E063" w14:textId="77777777" w:rsidTr="00407C2D">
        <w:trPr>
          <w:trHeight w:val="315"/>
          <w:tblCellSpacing w:w="0" w:type="dxa"/>
        </w:trPr>
        <w:tc>
          <w:tcPr>
            <w:tcW w:w="944" w:type="dxa"/>
            <w:vAlign w:val="center"/>
          </w:tcPr>
          <w:p w14:paraId="7B5ECC72" w14:textId="77777777" w:rsidR="00407C2D" w:rsidRPr="00407C2D" w:rsidRDefault="00407C2D" w:rsidP="00D43518">
            <w:pPr>
              <w:rPr>
                <w:rFonts w:asciiTheme="majorHAnsi" w:eastAsia="Times New Roman" w:hAnsiTheme="majorHAnsi"/>
                <w:bCs/>
                <w:sz w:val="20"/>
                <w:szCs w:val="20"/>
                <w:lang w:eastAsia="ca-ES"/>
              </w:rPr>
            </w:pPr>
          </w:p>
        </w:tc>
        <w:tc>
          <w:tcPr>
            <w:tcW w:w="579" w:type="dxa"/>
            <w:vAlign w:val="center"/>
          </w:tcPr>
          <w:p w14:paraId="770BCAD5" w14:textId="6770386B"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55-64</w:t>
            </w:r>
          </w:p>
        </w:tc>
        <w:tc>
          <w:tcPr>
            <w:tcW w:w="1130" w:type="dxa"/>
          </w:tcPr>
          <w:p w14:paraId="6C372B83" w14:textId="55627344"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4,610.1</w:t>
            </w:r>
          </w:p>
        </w:tc>
        <w:tc>
          <w:tcPr>
            <w:tcW w:w="792" w:type="dxa"/>
            <w:vAlign w:val="center"/>
          </w:tcPr>
          <w:p w14:paraId="1A7132D6" w14:textId="42072615"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21.1</w:t>
            </w:r>
          </w:p>
        </w:tc>
        <w:tc>
          <w:tcPr>
            <w:tcW w:w="703" w:type="dxa"/>
            <w:vAlign w:val="center"/>
          </w:tcPr>
          <w:p w14:paraId="03B7ED20" w14:textId="4636CAFF"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8.2</w:t>
            </w:r>
          </w:p>
        </w:tc>
        <w:tc>
          <w:tcPr>
            <w:tcW w:w="1018" w:type="dxa"/>
            <w:vAlign w:val="center"/>
          </w:tcPr>
          <w:p w14:paraId="42108CA3" w14:textId="3F166763"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1.6</w:t>
            </w:r>
          </w:p>
        </w:tc>
        <w:tc>
          <w:tcPr>
            <w:tcW w:w="818" w:type="dxa"/>
            <w:vAlign w:val="center"/>
          </w:tcPr>
          <w:p w14:paraId="0FF022E8" w14:textId="59891722"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6.6</w:t>
            </w:r>
          </w:p>
        </w:tc>
        <w:tc>
          <w:tcPr>
            <w:tcW w:w="943" w:type="dxa"/>
            <w:vAlign w:val="center"/>
          </w:tcPr>
          <w:p w14:paraId="0A77E205" w14:textId="7B4948D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2.6</w:t>
            </w:r>
          </w:p>
        </w:tc>
        <w:tc>
          <w:tcPr>
            <w:tcW w:w="960" w:type="dxa"/>
            <w:vAlign w:val="center"/>
          </w:tcPr>
          <w:p w14:paraId="34269516" w14:textId="457C69F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0.9</w:t>
            </w:r>
          </w:p>
        </w:tc>
        <w:tc>
          <w:tcPr>
            <w:tcW w:w="803" w:type="dxa"/>
            <w:vAlign w:val="center"/>
          </w:tcPr>
          <w:p w14:paraId="47323A78" w14:textId="50FA57B0"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2.0</w:t>
            </w:r>
          </w:p>
        </w:tc>
      </w:tr>
      <w:tr w:rsidR="00407C2D" w:rsidRPr="00407C2D" w14:paraId="5D7F008E" w14:textId="77777777" w:rsidTr="00407C2D">
        <w:trPr>
          <w:trHeight w:val="315"/>
          <w:tblCellSpacing w:w="0" w:type="dxa"/>
        </w:trPr>
        <w:tc>
          <w:tcPr>
            <w:tcW w:w="944" w:type="dxa"/>
            <w:vAlign w:val="center"/>
          </w:tcPr>
          <w:p w14:paraId="2DA1A063" w14:textId="77777777" w:rsidR="00407C2D" w:rsidRPr="00407C2D" w:rsidRDefault="00407C2D" w:rsidP="00D43518">
            <w:pPr>
              <w:rPr>
                <w:rFonts w:asciiTheme="majorHAnsi" w:eastAsia="Times New Roman" w:hAnsiTheme="majorHAnsi"/>
                <w:bCs/>
                <w:sz w:val="20"/>
                <w:szCs w:val="20"/>
                <w:lang w:eastAsia="ca-ES"/>
              </w:rPr>
            </w:pPr>
          </w:p>
        </w:tc>
        <w:tc>
          <w:tcPr>
            <w:tcW w:w="579" w:type="dxa"/>
            <w:vAlign w:val="center"/>
          </w:tcPr>
          <w:p w14:paraId="49222B27" w14:textId="5618D40A"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65-74</w:t>
            </w:r>
          </w:p>
        </w:tc>
        <w:tc>
          <w:tcPr>
            <w:tcW w:w="1130" w:type="dxa"/>
          </w:tcPr>
          <w:p w14:paraId="11D6A1B5" w14:textId="3CECD4C4"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3,100.3</w:t>
            </w:r>
          </w:p>
        </w:tc>
        <w:tc>
          <w:tcPr>
            <w:tcW w:w="792" w:type="dxa"/>
            <w:vAlign w:val="center"/>
          </w:tcPr>
          <w:p w14:paraId="3EDE544E" w14:textId="274CD79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18.1</w:t>
            </w:r>
          </w:p>
        </w:tc>
        <w:tc>
          <w:tcPr>
            <w:tcW w:w="703" w:type="dxa"/>
            <w:vAlign w:val="center"/>
          </w:tcPr>
          <w:p w14:paraId="725505B5" w14:textId="2F02D9CC"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12.1</w:t>
            </w:r>
          </w:p>
        </w:tc>
        <w:tc>
          <w:tcPr>
            <w:tcW w:w="1018" w:type="dxa"/>
            <w:vAlign w:val="center"/>
          </w:tcPr>
          <w:p w14:paraId="42C8D4A2" w14:textId="1B6A3F4D"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2.7</w:t>
            </w:r>
          </w:p>
        </w:tc>
        <w:tc>
          <w:tcPr>
            <w:tcW w:w="818" w:type="dxa"/>
            <w:vAlign w:val="center"/>
          </w:tcPr>
          <w:p w14:paraId="2D9229A3" w14:textId="560B3ECB"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8.4</w:t>
            </w:r>
          </w:p>
        </w:tc>
        <w:tc>
          <w:tcPr>
            <w:tcW w:w="943" w:type="dxa"/>
            <w:vAlign w:val="center"/>
          </w:tcPr>
          <w:p w14:paraId="5B542370" w14:textId="0874D913"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2.6</w:t>
            </w:r>
          </w:p>
        </w:tc>
        <w:tc>
          <w:tcPr>
            <w:tcW w:w="960" w:type="dxa"/>
            <w:vAlign w:val="center"/>
          </w:tcPr>
          <w:p w14:paraId="45E055A1" w14:textId="05B873E4"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2.2</w:t>
            </w:r>
          </w:p>
        </w:tc>
        <w:tc>
          <w:tcPr>
            <w:tcW w:w="803" w:type="dxa"/>
            <w:vAlign w:val="center"/>
          </w:tcPr>
          <w:p w14:paraId="4A41E870" w14:textId="104297F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3.3</w:t>
            </w:r>
          </w:p>
        </w:tc>
      </w:tr>
      <w:tr w:rsidR="00407C2D" w:rsidRPr="00407C2D" w14:paraId="61E59484" w14:textId="77777777" w:rsidTr="00407C2D">
        <w:trPr>
          <w:trHeight w:val="315"/>
          <w:tblCellSpacing w:w="0" w:type="dxa"/>
        </w:trPr>
        <w:tc>
          <w:tcPr>
            <w:tcW w:w="944" w:type="dxa"/>
            <w:vAlign w:val="center"/>
          </w:tcPr>
          <w:p w14:paraId="74D9A831" w14:textId="77777777" w:rsidR="00407C2D" w:rsidRPr="00407C2D" w:rsidRDefault="00407C2D" w:rsidP="00D43518">
            <w:pPr>
              <w:rPr>
                <w:rFonts w:asciiTheme="majorHAnsi" w:eastAsia="Times New Roman" w:hAnsiTheme="majorHAnsi"/>
                <w:bCs/>
                <w:sz w:val="20"/>
                <w:szCs w:val="20"/>
                <w:lang w:eastAsia="ca-ES"/>
              </w:rPr>
            </w:pPr>
          </w:p>
        </w:tc>
        <w:tc>
          <w:tcPr>
            <w:tcW w:w="579" w:type="dxa"/>
            <w:vAlign w:val="center"/>
          </w:tcPr>
          <w:p w14:paraId="6C4528B1" w14:textId="118B7334"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75+</w:t>
            </w:r>
          </w:p>
        </w:tc>
        <w:tc>
          <w:tcPr>
            <w:tcW w:w="1130" w:type="dxa"/>
          </w:tcPr>
          <w:p w14:paraId="78ADC8AE" w14:textId="64AB2D9B"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2,122.5</w:t>
            </w:r>
          </w:p>
        </w:tc>
        <w:tc>
          <w:tcPr>
            <w:tcW w:w="792" w:type="dxa"/>
            <w:vAlign w:val="center"/>
          </w:tcPr>
          <w:p w14:paraId="3436F7BA" w14:textId="49F76BCF"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13.3</w:t>
            </w:r>
          </w:p>
        </w:tc>
        <w:tc>
          <w:tcPr>
            <w:tcW w:w="703" w:type="dxa"/>
            <w:vAlign w:val="center"/>
          </w:tcPr>
          <w:p w14:paraId="3BCA63ED" w14:textId="65CCCA0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19.8</w:t>
            </w:r>
          </w:p>
        </w:tc>
        <w:tc>
          <w:tcPr>
            <w:tcW w:w="1018" w:type="dxa"/>
            <w:vAlign w:val="center"/>
          </w:tcPr>
          <w:p w14:paraId="5E684E44" w14:textId="7C6F4C93"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3.5</w:t>
            </w:r>
          </w:p>
        </w:tc>
        <w:tc>
          <w:tcPr>
            <w:tcW w:w="818" w:type="dxa"/>
            <w:vAlign w:val="center"/>
          </w:tcPr>
          <w:p w14:paraId="628F785E" w14:textId="54D9A20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10.0</w:t>
            </w:r>
          </w:p>
        </w:tc>
        <w:tc>
          <w:tcPr>
            <w:tcW w:w="943" w:type="dxa"/>
            <w:vAlign w:val="center"/>
          </w:tcPr>
          <w:p w14:paraId="35099D0B" w14:textId="3C29E5D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w:t>
            </w:r>
          </w:p>
        </w:tc>
        <w:tc>
          <w:tcPr>
            <w:tcW w:w="960" w:type="dxa"/>
            <w:vAlign w:val="center"/>
          </w:tcPr>
          <w:p w14:paraId="4CDA823E" w14:textId="2E63809D"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3.5</w:t>
            </w:r>
          </w:p>
        </w:tc>
        <w:tc>
          <w:tcPr>
            <w:tcW w:w="803" w:type="dxa"/>
            <w:vAlign w:val="center"/>
          </w:tcPr>
          <w:p w14:paraId="75C356CB" w14:textId="3A49C52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1.8</w:t>
            </w:r>
          </w:p>
        </w:tc>
      </w:tr>
      <w:tr w:rsidR="00407C2D" w:rsidRPr="00407C2D" w14:paraId="1EA39CDC" w14:textId="77777777" w:rsidTr="00407C2D">
        <w:trPr>
          <w:trHeight w:val="315"/>
          <w:tblCellSpacing w:w="0" w:type="dxa"/>
        </w:trPr>
        <w:tc>
          <w:tcPr>
            <w:tcW w:w="944" w:type="dxa"/>
            <w:vAlign w:val="center"/>
            <w:hideMark/>
          </w:tcPr>
          <w:p w14:paraId="6075BB9C" w14:textId="2DCF5720"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 xml:space="preserve">Male </w:t>
            </w:r>
          </w:p>
        </w:tc>
        <w:tc>
          <w:tcPr>
            <w:tcW w:w="579" w:type="dxa"/>
            <w:vAlign w:val="center"/>
          </w:tcPr>
          <w:p w14:paraId="5125C26F" w14:textId="05539B6A" w:rsidR="00407C2D" w:rsidRPr="00407C2D" w:rsidRDefault="00407C2D" w:rsidP="00D43518">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16-54</w:t>
            </w:r>
          </w:p>
        </w:tc>
        <w:tc>
          <w:tcPr>
            <w:tcW w:w="1130" w:type="dxa"/>
          </w:tcPr>
          <w:p w14:paraId="067A8E74" w14:textId="16017B50"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10,461.3</w:t>
            </w:r>
          </w:p>
        </w:tc>
        <w:tc>
          <w:tcPr>
            <w:tcW w:w="792" w:type="dxa"/>
            <w:vAlign w:val="center"/>
          </w:tcPr>
          <w:p w14:paraId="30A106B9" w14:textId="12AFED63"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18.8</w:t>
            </w:r>
          </w:p>
        </w:tc>
        <w:tc>
          <w:tcPr>
            <w:tcW w:w="703" w:type="dxa"/>
            <w:vAlign w:val="center"/>
          </w:tcPr>
          <w:p w14:paraId="2C8BBE5A" w14:textId="3A9F1500"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1.8</w:t>
            </w:r>
          </w:p>
        </w:tc>
        <w:tc>
          <w:tcPr>
            <w:tcW w:w="1018" w:type="dxa"/>
            <w:vAlign w:val="center"/>
          </w:tcPr>
          <w:p w14:paraId="08123FB1" w14:textId="19977CB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0.9</w:t>
            </w:r>
          </w:p>
        </w:tc>
        <w:tc>
          <w:tcPr>
            <w:tcW w:w="818" w:type="dxa"/>
            <w:vAlign w:val="center"/>
          </w:tcPr>
          <w:p w14:paraId="3F22173B" w14:textId="07C48E8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1.5</w:t>
            </w:r>
          </w:p>
        </w:tc>
        <w:tc>
          <w:tcPr>
            <w:tcW w:w="943" w:type="dxa"/>
            <w:vAlign w:val="center"/>
          </w:tcPr>
          <w:p w14:paraId="19E2198A" w14:textId="11B3D3F3"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0.8</w:t>
            </w:r>
          </w:p>
        </w:tc>
        <w:tc>
          <w:tcPr>
            <w:tcW w:w="960" w:type="dxa"/>
            <w:vAlign w:val="center"/>
          </w:tcPr>
          <w:p w14:paraId="11FA7437" w14:textId="70626F0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0.2</w:t>
            </w:r>
          </w:p>
        </w:tc>
        <w:tc>
          <w:tcPr>
            <w:tcW w:w="803" w:type="dxa"/>
            <w:vAlign w:val="center"/>
          </w:tcPr>
          <w:p w14:paraId="5049147B" w14:textId="2791743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0.4</w:t>
            </w:r>
          </w:p>
        </w:tc>
      </w:tr>
      <w:tr w:rsidR="00407C2D" w:rsidRPr="00407C2D" w14:paraId="47EEECFD" w14:textId="77777777" w:rsidTr="00407C2D">
        <w:trPr>
          <w:trHeight w:val="300"/>
          <w:tblCellSpacing w:w="0" w:type="dxa"/>
        </w:trPr>
        <w:tc>
          <w:tcPr>
            <w:tcW w:w="944" w:type="dxa"/>
            <w:vAlign w:val="center"/>
          </w:tcPr>
          <w:p w14:paraId="7C5024DA" w14:textId="064E3A2D" w:rsidR="00407C2D" w:rsidRPr="00407C2D" w:rsidRDefault="00407C2D" w:rsidP="00D43518">
            <w:pPr>
              <w:rPr>
                <w:rFonts w:asciiTheme="majorHAnsi" w:eastAsia="Times New Roman" w:hAnsiTheme="majorHAnsi"/>
                <w:bCs/>
                <w:sz w:val="20"/>
                <w:szCs w:val="20"/>
                <w:lang w:eastAsia="ca-ES"/>
              </w:rPr>
            </w:pPr>
          </w:p>
        </w:tc>
        <w:tc>
          <w:tcPr>
            <w:tcW w:w="579" w:type="dxa"/>
            <w:vAlign w:val="center"/>
          </w:tcPr>
          <w:p w14:paraId="05C5662A" w14:textId="737DE31C"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55-64</w:t>
            </w:r>
          </w:p>
        </w:tc>
        <w:tc>
          <w:tcPr>
            <w:tcW w:w="1130" w:type="dxa"/>
          </w:tcPr>
          <w:p w14:paraId="6F877AD6" w14:textId="51E4640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2,299.0</w:t>
            </w:r>
          </w:p>
        </w:tc>
        <w:tc>
          <w:tcPr>
            <w:tcW w:w="792" w:type="dxa"/>
            <w:vAlign w:val="center"/>
          </w:tcPr>
          <w:p w14:paraId="00ECFC41" w14:textId="3A0C554D"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21.1</w:t>
            </w:r>
          </w:p>
        </w:tc>
        <w:tc>
          <w:tcPr>
            <w:tcW w:w="703" w:type="dxa"/>
            <w:vAlign w:val="center"/>
          </w:tcPr>
          <w:p w14:paraId="1E95F66C" w14:textId="03F5700E"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9.7</w:t>
            </w:r>
          </w:p>
        </w:tc>
        <w:tc>
          <w:tcPr>
            <w:tcW w:w="1018" w:type="dxa"/>
            <w:vAlign w:val="center"/>
          </w:tcPr>
          <w:p w14:paraId="7A1B5889" w14:textId="6397450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w:t>
            </w:r>
          </w:p>
        </w:tc>
        <w:tc>
          <w:tcPr>
            <w:tcW w:w="818" w:type="dxa"/>
            <w:vAlign w:val="center"/>
          </w:tcPr>
          <w:p w14:paraId="06207A2B" w14:textId="1A9B949A"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7.7</w:t>
            </w:r>
          </w:p>
        </w:tc>
        <w:tc>
          <w:tcPr>
            <w:tcW w:w="943" w:type="dxa"/>
            <w:vAlign w:val="center"/>
          </w:tcPr>
          <w:p w14:paraId="26FB7F31" w14:textId="3AD6BE2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2.6</w:t>
            </w:r>
          </w:p>
        </w:tc>
        <w:tc>
          <w:tcPr>
            <w:tcW w:w="960" w:type="dxa"/>
            <w:vAlign w:val="center"/>
          </w:tcPr>
          <w:p w14:paraId="194B3DCA" w14:textId="0B495B9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1.3</w:t>
            </w:r>
          </w:p>
        </w:tc>
        <w:tc>
          <w:tcPr>
            <w:tcW w:w="803" w:type="dxa"/>
            <w:vAlign w:val="center"/>
          </w:tcPr>
          <w:p w14:paraId="768E30B1" w14:textId="12242E6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2.3</w:t>
            </w:r>
          </w:p>
        </w:tc>
      </w:tr>
      <w:tr w:rsidR="00407C2D" w:rsidRPr="00407C2D" w14:paraId="5FD01C31" w14:textId="77777777" w:rsidTr="00407C2D">
        <w:trPr>
          <w:trHeight w:val="300"/>
          <w:tblCellSpacing w:w="0" w:type="dxa"/>
        </w:trPr>
        <w:tc>
          <w:tcPr>
            <w:tcW w:w="944" w:type="dxa"/>
            <w:vAlign w:val="center"/>
          </w:tcPr>
          <w:p w14:paraId="1950A88A" w14:textId="6E041E66" w:rsidR="00407C2D" w:rsidRPr="00407C2D" w:rsidRDefault="00407C2D" w:rsidP="00D43518">
            <w:pPr>
              <w:rPr>
                <w:rFonts w:asciiTheme="majorHAnsi" w:eastAsia="Times New Roman" w:hAnsiTheme="majorHAnsi"/>
                <w:sz w:val="20"/>
                <w:szCs w:val="20"/>
                <w:lang w:eastAsia="ca-ES"/>
              </w:rPr>
            </w:pPr>
          </w:p>
        </w:tc>
        <w:tc>
          <w:tcPr>
            <w:tcW w:w="579" w:type="dxa"/>
            <w:vAlign w:val="center"/>
          </w:tcPr>
          <w:p w14:paraId="340674F6" w14:textId="3F7E8C74" w:rsidR="00407C2D" w:rsidRPr="00407C2D" w:rsidRDefault="00407C2D" w:rsidP="00D43518">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65-74</w:t>
            </w:r>
          </w:p>
        </w:tc>
        <w:tc>
          <w:tcPr>
            <w:tcW w:w="1130" w:type="dxa"/>
          </w:tcPr>
          <w:p w14:paraId="4384DAE8" w14:textId="41DE7B0C"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1,524.3</w:t>
            </w:r>
          </w:p>
        </w:tc>
        <w:tc>
          <w:tcPr>
            <w:tcW w:w="792" w:type="dxa"/>
            <w:vAlign w:val="center"/>
          </w:tcPr>
          <w:p w14:paraId="76C1CD0B" w14:textId="06313F45"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15.7</w:t>
            </w:r>
          </w:p>
        </w:tc>
        <w:tc>
          <w:tcPr>
            <w:tcW w:w="703" w:type="dxa"/>
            <w:vAlign w:val="center"/>
          </w:tcPr>
          <w:p w14:paraId="03E40A5F" w14:textId="79D86E6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14.0</w:t>
            </w:r>
          </w:p>
        </w:tc>
        <w:tc>
          <w:tcPr>
            <w:tcW w:w="1018" w:type="dxa"/>
            <w:vAlign w:val="center"/>
          </w:tcPr>
          <w:p w14:paraId="5E6E9D3A" w14:textId="3D3FF642"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3.9</w:t>
            </w:r>
          </w:p>
        </w:tc>
        <w:tc>
          <w:tcPr>
            <w:tcW w:w="818" w:type="dxa"/>
            <w:vAlign w:val="center"/>
          </w:tcPr>
          <w:p w14:paraId="5492952F" w14:textId="5DA0921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8.1</w:t>
            </w:r>
          </w:p>
        </w:tc>
        <w:tc>
          <w:tcPr>
            <w:tcW w:w="943" w:type="dxa"/>
            <w:vAlign w:val="center"/>
          </w:tcPr>
          <w:p w14:paraId="1672011F" w14:textId="5B49FD2A"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2.9</w:t>
            </w:r>
          </w:p>
        </w:tc>
        <w:tc>
          <w:tcPr>
            <w:tcW w:w="960" w:type="dxa"/>
            <w:vAlign w:val="center"/>
          </w:tcPr>
          <w:p w14:paraId="2EA1BBF5" w14:textId="184BB52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2.4</w:t>
            </w:r>
          </w:p>
        </w:tc>
        <w:tc>
          <w:tcPr>
            <w:tcW w:w="803" w:type="dxa"/>
            <w:vAlign w:val="center"/>
          </w:tcPr>
          <w:p w14:paraId="0DB47A9A" w14:textId="1115301D"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4.0</w:t>
            </w:r>
          </w:p>
        </w:tc>
      </w:tr>
      <w:tr w:rsidR="00407C2D" w:rsidRPr="00407C2D" w14:paraId="693B6C00" w14:textId="77777777" w:rsidTr="00407C2D">
        <w:trPr>
          <w:trHeight w:val="300"/>
          <w:tblCellSpacing w:w="0" w:type="dxa"/>
        </w:trPr>
        <w:tc>
          <w:tcPr>
            <w:tcW w:w="944" w:type="dxa"/>
            <w:vAlign w:val="center"/>
          </w:tcPr>
          <w:p w14:paraId="191D1BB1" w14:textId="4B8B467E" w:rsidR="00407C2D" w:rsidRPr="00407C2D" w:rsidRDefault="00407C2D" w:rsidP="00D43518">
            <w:pPr>
              <w:rPr>
                <w:rFonts w:asciiTheme="majorHAnsi" w:eastAsia="Times New Roman" w:hAnsiTheme="majorHAnsi"/>
                <w:bCs/>
                <w:sz w:val="20"/>
                <w:szCs w:val="20"/>
                <w:lang w:eastAsia="ca-ES"/>
              </w:rPr>
            </w:pPr>
          </w:p>
        </w:tc>
        <w:tc>
          <w:tcPr>
            <w:tcW w:w="579" w:type="dxa"/>
            <w:vAlign w:val="center"/>
          </w:tcPr>
          <w:p w14:paraId="4DD6711F" w14:textId="74DF0B8A" w:rsidR="00407C2D" w:rsidRPr="00407C2D" w:rsidRDefault="00407C2D" w:rsidP="00D43518">
            <w:pPr>
              <w:rPr>
                <w:rFonts w:asciiTheme="majorHAnsi" w:eastAsia="Times New Roman" w:hAnsiTheme="majorHAnsi"/>
                <w:bCs/>
                <w:sz w:val="20"/>
                <w:szCs w:val="20"/>
                <w:lang w:eastAsia="ca-ES"/>
              </w:rPr>
            </w:pPr>
            <w:r w:rsidRPr="00407C2D">
              <w:rPr>
                <w:rFonts w:asciiTheme="majorHAnsi" w:eastAsia="Times New Roman" w:hAnsiTheme="majorHAnsi"/>
                <w:bCs/>
                <w:sz w:val="20"/>
                <w:szCs w:val="20"/>
                <w:lang w:eastAsia="ca-ES"/>
              </w:rPr>
              <w:t>75+</w:t>
            </w:r>
          </w:p>
        </w:tc>
        <w:tc>
          <w:tcPr>
            <w:tcW w:w="1130" w:type="dxa"/>
          </w:tcPr>
          <w:p w14:paraId="495B3AB8" w14:textId="0F2343AB"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948.5</w:t>
            </w:r>
          </w:p>
        </w:tc>
        <w:tc>
          <w:tcPr>
            <w:tcW w:w="792" w:type="dxa"/>
            <w:vAlign w:val="center"/>
          </w:tcPr>
          <w:p w14:paraId="36BE8CA0" w14:textId="2A54FACE"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11.8</w:t>
            </w:r>
          </w:p>
        </w:tc>
        <w:tc>
          <w:tcPr>
            <w:tcW w:w="703" w:type="dxa"/>
            <w:vAlign w:val="center"/>
          </w:tcPr>
          <w:p w14:paraId="4725B236" w14:textId="7F102A6C"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20.7</w:t>
            </w:r>
          </w:p>
        </w:tc>
        <w:tc>
          <w:tcPr>
            <w:tcW w:w="1018" w:type="dxa"/>
            <w:vAlign w:val="center"/>
          </w:tcPr>
          <w:p w14:paraId="0C32A487" w14:textId="59D71E3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4.3</w:t>
            </w:r>
          </w:p>
        </w:tc>
        <w:tc>
          <w:tcPr>
            <w:tcW w:w="818" w:type="dxa"/>
            <w:vAlign w:val="center"/>
          </w:tcPr>
          <w:p w14:paraId="0DDE7988" w14:textId="74115465"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9.5</w:t>
            </w:r>
          </w:p>
        </w:tc>
        <w:tc>
          <w:tcPr>
            <w:tcW w:w="943" w:type="dxa"/>
            <w:vAlign w:val="center"/>
          </w:tcPr>
          <w:p w14:paraId="2AE90982" w14:textId="40821F0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2.2</w:t>
            </w:r>
          </w:p>
        </w:tc>
        <w:tc>
          <w:tcPr>
            <w:tcW w:w="960" w:type="dxa"/>
            <w:vAlign w:val="center"/>
          </w:tcPr>
          <w:p w14:paraId="491E956B" w14:textId="2B717854"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4.3</w:t>
            </w:r>
          </w:p>
        </w:tc>
        <w:tc>
          <w:tcPr>
            <w:tcW w:w="803" w:type="dxa"/>
            <w:vAlign w:val="center"/>
          </w:tcPr>
          <w:p w14:paraId="355717DE" w14:textId="74E38453"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2.0</w:t>
            </w:r>
          </w:p>
        </w:tc>
      </w:tr>
      <w:tr w:rsidR="00407C2D" w:rsidRPr="00407C2D" w14:paraId="5B7C7948" w14:textId="77777777" w:rsidTr="00407C2D">
        <w:trPr>
          <w:trHeight w:val="315"/>
          <w:tblCellSpacing w:w="0" w:type="dxa"/>
        </w:trPr>
        <w:tc>
          <w:tcPr>
            <w:tcW w:w="944" w:type="dxa"/>
            <w:vAlign w:val="center"/>
            <w:hideMark/>
          </w:tcPr>
          <w:p w14:paraId="7B25C9BD" w14:textId="391C24E5" w:rsidR="00407C2D" w:rsidRPr="00407C2D" w:rsidRDefault="00407C2D" w:rsidP="00407C2D">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 xml:space="preserve">Female </w:t>
            </w:r>
          </w:p>
        </w:tc>
        <w:tc>
          <w:tcPr>
            <w:tcW w:w="579" w:type="dxa"/>
            <w:vAlign w:val="center"/>
          </w:tcPr>
          <w:p w14:paraId="27AB195D" w14:textId="7ACC19E7" w:rsidR="00407C2D" w:rsidRPr="00407C2D" w:rsidRDefault="00407C2D" w:rsidP="00D43518">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16-54</w:t>
            </w:r>
          </w:p>
        </w:tc>
        <w:tc>
          <w:tcPr>
            <w:tcW w:w="1130" w:type="dxa"/>
          </w:tcPr>
          <w:p w14:paraId="33C0952F" w14:textId="56E7B57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10,250.9</w:t>
            </w:r>
          </w:p>
        </w:tc>
        <w:tc>
          <w:tcPr>
            <w:tcW w:w="792" w:type="dxa"/>
            <w:vAlign w:val="center"/>
          </w:tcPr>
          <w:p w14:paraId="69F8C4B2" w14:textId="1926884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20.6</w:t>
            </w:r>
          </w:p>
        </w:tc>
        <w:tc>
          <w:tcPr>
            <w:tcW w:w="703" w:type="dxa"/>
            <w:vAlign w:val="center"/>
          </w:tcPr>
          <w:p w14:paraId="079EDE8C" w14:textId="2A387CAD"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1.5</w:t>
            </w:r>
          </w:p>
        </w:tc>
        <w:tc>
          <w:tcPr>
            <w:tcW w:w="1018" w:type="dxa"/>
            <w:vAlign w:val="center"/>
          </w:tcPr>
          <w:p w14:paraId="74CC5A54" w14:textId="2CAEEE7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0.6</w:t>
            </w:r>
          </w:p>
        </w:tc>
        <w:tc>
          <w:tcPr>
            <w:tcW w:w="818" w:type="dxa"/>
            <w:vAlign w:val="center"/>
          </w:tcPr>
          <w:p w14:paraId="5EB22E91" w14:textId="57DF90F0"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1.4</w:t>
            </w:r>
          </w:p>
        </w:tc>
        <w:tc>
          <w:tcPr>
            <w:tcW w:w="943" w:type="dxa"/>
            <w:vAlign w:val="center"/>
          </w:tcPr>
          <w:p w14:paraId="74B159CC" w14:textId="5AED498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0.6</w:t>
            </w:r>
          </w:p>
        </w:tc>
        <w:tc>
          <w:tcPr>
            <w:tcW w:w="960" w:type="dxa"/>
            <w:vAlign w:val="center"/>
          </w:tcPr>
          <w:p w14:paraId="52CEE13E" w14:textId="3B21FC3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0.1</w:t>
            </w:r>
          </w:p>
        </w:tc>
        <w:tc>
          <w:tcPr>
            <w:tcW w:w="803" w:type="dxa"/>
            <w:vAlign w:val="center"/>
          </w:tcPr>
          <w:p w14:paraId="65A3E45C" w14:textId="5758626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0.3</w:t>
            </w:r>
          </w:p>
        </w:tc>
      </w:tr>
      <w:tr w:rsidR="00407C2D" w:rsidRPr="00407C2D" w14:paraId="4E6A2C22" w14:textId="77777777" w:rsidTr="00407C2D">
        <w:trPr>
          <w:trHeight w:val="300"/>
          <w:tblCellSpacing w:w="0" w:type="dxa"/>
        </w:trPr>
        <w:tc>
          <w:tcPr>
            <w:tcW w:w="944" w:type="dxa"/>
            <w:vAlign w:val="center"/>
          </w:tcPr>
          <w:p w14:paraId="56E6CC44" w14:textId="07C03CDC" w:rsidR="00407C2D" w:rsidRPr="00407C2D" w:rsidRDefault="00407C2D" w:rsidP="00D43518">
            <w:pPr>
              <w:rPr>
                <w:rFonts w:asciiTheme="majorHAnsi" w:eastAsia="Times New Roman" w:hAnsiTheme="majorHAnsi"/>
                <w:sz w:val="20"/>
                <w:szCs w:val="20"/>
                <w:lang w:eastAsia="ca-ES"/>
              </w:rPr>
            </w:pPr>
          </w:p>
        </w:tc>
        <w:tc>
          <w:tcPr>
            <w:tcW w:w="579" w:type="dxa"/>
            <w:vAlign w:val="center"/>
          </w:tcPr>
          <w:p w14:paraId="5145B385" w14:textId="030AB61F" w:rsidR="00407C2D" w:rsidRPr="00407C2D" w:rsidRDefault="00407C2D" w:rsidP="00D43518">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55-64</w:t>
            </w:r>
          </w:p>
        </w:tc>
        <w:tc>
          <w:tcPr>
            <w:tcW w:w="1130" w:type="dxa"/>
          </w:tcPr>
          <w:p w14:paraId="5E9D6904" w14:textId="12294E8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2,311.1</w:t>
            </w:r>
          </w:p>
        </w:tc>
        <w:tc>
          <w:tcPr>
            <w:tcW w:w="792" w:type="dxa"/>
            <w:vAlign w:val="center"/>
          </w:tcPr>
          <w:p w14:paraId="7A04D286" w14:textId="7646E4A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21.2</w:t>
            </w:r>
          </w:p>
        </w:tc>
        <w:tc>
          <w:tcPr>
            <w:tcW w:w="703" w:type="dxa"/>
            <w:vAlign w:val="center"/>
          </w:tcPr>
          <w:p w14:paraId="260D5D63" w14:textId="5413D40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6.7</w:t>
            </w:r>
          </w:p>
        </w:tc>
        <w:tc>
          <w:tcPr>
            <w:tcW w:w="1018" w:type="dxa"/>
            <w:vAlign w:val="center"/>
          </w:tcPr>
          <w:p w14:paraId="69C4586F" w14:textId="4DFEED7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1.1</w:t>
            </w:r>
          </w:p>
        </w:tc>
        <w:tc>
          <w:tcPr>
            <w:tcW w:w="818" w:type="dxa"/>
            <w:vAlign w:val="center"/>
          </w:tcPr>
          <w:p w14:paraId="2C818061" w14:textId="36C836E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5.6</w:t>
            </w:r>
          </w:p>
        </w:tc>
        <w:tc>
          <w:tcPr>
            <w:tcW w:w="943" w:type="dxa"/>
            <w:vAlign w:val="center"/>
          </w:tcPr>
          <w:p w14:paraId="7F26CBD9" w14:textId="5C2A8ECB"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2.5</w:t>
            </w:r>
          </w:p>
        </w:tc>
        <w:tc>
          <w:tcPr>
            <w:tcW w:w="960" w:type="dxa"/>
            <w:vAlign w:val="center"/>
          </w:tcPr>
          <w:p w14:paraId="0E673008" w14:textId="21D5B1AF"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0.6</w:t>
            </w:r>
          </w:p>
        </w:tc>
        <w:tc>
          <w:tcPr>
            <w:tcW w:w="803" w:type="dxa"/>
            <w:vAlign w:val="center"/>
          </w:tcPr>
          <w:p w14:paraId="27AA6179" w14:textId="74C40C2A"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1.7</w:t>
            </w:r>
          </w:p>
        </w:tc>
      </w:tr>
      <w:tr w:rsidR="00407C2D" w:rsidRPr="00407C2D" w14:paraId="536213D0" w14:textId="77777777" w:rsidTr="00407C2D">
        <w:trPr>
          <w:trHeight w:val="300"/>
          <w:tblCellSpacing w:w="0" w:type="dxa"/>
        </w:trPr>
        <w:tc>
          <w:tcPr>
            <w:tcW w:w="944" w:type="dxa"/>
            <w:vAlign w:val="center"/>
          </w:tcPr>
          <w:p w14:paraId="77C0409B" w14:textId="74EB8B53" w:rsidR="00407C2D" w:rsidRPr="00407C2D" w:rsidRDefault="00407C2D" w:rsidP="00D43518">
            <w:pPr>
              <w:rPr>
                <w:rFonts w:asciiTheme="majorHAnsi" w:eastAsia="Times New Roman" w:hAnsiTheme="majorHAnsi"/>
                <w:sz w:val="20"/>
                <w:szCs w:val="20"/>
                <w:lang w:eastAsia="ca-ES"/>
              </w:rPr>
            </w:pPr>
          </w:p>
        </w:tc>
        <w:tc>
          <w:tcPr>
            <w:tcW w:w="579" w:type="dxa"/>
            <w:vAlign w:val="center"/>
          </w:tcPr>
          <w:p w14:paraId="5A2BF1A3" w14:textId="4CF978D6" w:rsidR="00407C2D" w:rsidRPr="00407C2D" w:rsidRDefault="00407C2D" w:rsidP="00D43518">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65-74</w:t>
            </w:r>
          </w:p>
        </w:tc>
        <w:tc>
          <w:tcPr>
            <w:tcW w:w="1130" w:type="dxa"/>
          </w:tcPr>
          <w:p w14:paraId="49455796" w14:textId="55B56E26"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1,576.0</w:t>
            </w:r>
          </w:p>
        </w:tc>
        <w:tc>
          <w:tcPr>
            <w:tcW w:w="792" w:type="dxa"/>
            <w:vAlign w:val="center"/>
          </w:tcPr>
          <w:p w14:paraId="62E1D986" w14:textId="18BEEB35"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20.4</w:t>
            </w:r>
          </w:p>
        </w:tc>
        <w:tc>
          <w:tcPr>
            <w:tcW w:w="703" w:type="dxa"/>
            <w:vAlign w:val="center"/>
          </w:tcPr>
          <w:p w14:paraId="0D62C552" w14:textId="17BA394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10.2</w:t>
            </w:r>
          </w:p>
        </w:tc>
        <w:tc>
          <w:tcPr>
            <w:tcW w:w="1018" w:type="dxa"/>
            <w:vAlign w:val="center"/>
          </w:tcPr>
          <w:p w14:paraId="213893E3" w14:textId="47E9152C"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1.5</w:t>
            </w:r>
          </w:p>
        </w:tc>
        <w:tc>
          <w:tcPr>
            <w:tcW w:w="818" w:type="dxa"/>
            <w:vAlign w:val="center"/>
          </w:tcPr>
          <w:p w14:paraId="128E2EAE" w14:textId="39EF3574"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8.6</w:t>
            </w:r>
          </w:p>
        </w:tc>
        <w:tc>
          <w:tcPr>
            <w:tcW w:w="943" w:type="dxa"/>
            <w:vAlign w:val="center"/>
          </w:tcPr>
          <w:p w14:paraId="73A17A10" w14:textId="67B4D7E9"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2.3</w:t>
            </w:r>
          </w:p>
        </w:tc>
        <w:tc>
          <w:tcPr>
            <w:tcW w:w="960" w:type="dxa"/>
            <w:vAlign w:val="center"/>
          </w:tcPr>
          <w:p w14:paraId="14D4A224" w14:textId="1E0E490A"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1.9</w:t>
            </w:r>
          </w:p>
        </w:tc>
        <w:tc>
          <w:tcPr>
            <w:tcW w:w="803" w:type="dxa"/>
            <w:vAlign w:val="center"/>
          </w:tcPr>
          <w:p w14:paraId="3C5CE8F7" w14:textId="2013A60A"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2.6</w:t>
            </w:r>
          </w:p>
        </w:tc>
      </w:tr>
      <w:tr w:rsidR="00407C2D" w:rsidRPr="00407C2D" w14:paraId="45A5F02A" w14:textId="77777777" w:rsidTr="00407C2D">
        <w:trPr>
          <w:trHeight w:val="300"/>
          <w:tblCellSpacing w:w="0" w:type="dxa"/>
        </w:trPr>
        <w:tc>
          <w:tcPr>
            <w:tcW w:w="944" w:type="dxa"/>
            <w:tcBorders>
              <w:bottom w:val="single" w:sz="4" w:space="0" w:color="auto"/>
            </w:tcBorders>
            <w:vAlign w:val="center"/>
          </w:tcPr>
          <w:p w14:paraId="3A22E024" w14:textId="0B4CF354" w:rsidR="00407C2D" w:rsidRPr="00407C2D" w:rsidRDefault="00407C2D" w:rsidP="00D43518">
            <w:pPr>
              <w:rPr>
                <w:rFonts w:asciiTheme="majorHAnsi" w:eastAsia="Times New Roman" w:hAnsiTheme="majorHAnsi"/>
                <w:sz w:val="20"/>
                <w:szCs w:val="20"/>
                <w:lang w:eastAsia="ca-ES"/>
              </w:rPr>
            </w:pPr>
          </w:p>
        </w:tc>
        <w:tc>
          <w:tcPr>
            <w:tcW w:w="579" w:type="dxa"/>
            <w:tcBorders>
              <w:bottom w:val="single" w:sz="4" w:space="0" w:color="auto"/>
            </w:tcBorders>
            <w:vAlign w:val="center"/>
          </w:tcPr>
          <w:p w14:paraId="749EE25C" w14:textId="199D7EB7" w:rsidR="00407C2D" w:rsidRPr="00407C2D" w:rsidRDefault="00407C2D" w:rsidP="00D43518">
            <w:pPr>
              <w:rPr>
                <w:rFonts w:asciiTheme="majorHAnsi" w:eastAsia="Times New Roman" w:hAnsiTheme="majorHAnsi"/>
                <w:sz w:val="20"/>
                <w:szCs w:val="20"/>
                <w:lang w:eastAsia="ca-ES"/>
              </w:rPr>
            </w:pPr>
            <w:r w:rsidRPr="00407C2D">
              <w:rPr>
                <w:rFonts w:asciiTheme="majorHAnsi" w:eastAsia="Times New Roman" w:hAnsiTheme="majorHAnsi"/>
                <w:bCs/>
                <w:sz w:val="20"/>
                <w:szCs w:val="20"/>
                <w:lang w:eastAsia="ca-ES"/>
              </w:rPr>
              <w:t>75+</w:t>
            </w:r>
          </w:p>
        </w:tc>
        <w:tc>
          <w:tcPr>
            <w:tcW w:w="1130" w:type="dxa"/>
            <w:tcBorders>
              <w:bottom w:val="single" w:sz="4" w:space="0" w:color="auto"/>
            </w:tcBorders>
          </w:tcPr>
          <w:p w14:paraId="55307747" w14:textId="2C4F85FE"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1,174.1</w:t>
            </w:r>
          </w:p>
        </w:tc>
        <w:tc>
          <w:tcPr>
            <w:tcW w:w="792" w:type="dxa"/>
            <w:tcBorders>
              <w:bottom w:val="single" w:sz="4" w:space="0" w:color="auto"/>
            </w:tcBorders>
            <w:vAlign w:val="center"/>
          </w:tcPr>
          <w:p w14:paraId="0E5ECE6C" w14:textId="6F521290"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14.5</w:t>
            </w:r>
          </w:p>
        </w:tc>
        <w:tc>
          <w:tcPr>
            <w:tcW w:w="703" w:type="dxa"/>
            <w:tcBorders>
              <w:bottom w:val="single" w:sz="4" w:space="0" w:color="auto"/>
            </w:tcBorders>
            <w:vAlign w:val="center"/>
          </w:tcPr>
          <w:p w14:paraId="6621C765" w14:textId="5E345B17"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19.0</w:t>
            </w:r>
          </w:p>
        </w:tc>
        <w:tc>
          <w:tcPr>
            <w:tcW w:w="1018" w:type="dxa"/>
            <w:tcBorders>
              <w:bottom w:val="single" w:sz="4" w:space="0" w:color="auto"/>
            </w:tcBorders>
            <w:vAlign w:val="center"/>
          </w:tcPr>
          <w:p w14:paraId="38EB5671" w14:textId="53DE0722"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2.9</w:t>
            </w:r>
          </w:p>
        </w:tc>
        <w:tc>
          <w:tcPr>
            <w:tcW w:w="818" w:type="dxa"/>
            <w:tcBorders>
              <w:bottom w:val="single" w:sz="4" w:space="0" w:color="auto"/>
            </w:tcBorders>
            <w:vAlign w:val="center"/>
          </w:tcPr>
          <w:p w14:paraId="37600458" w14:textId="28E26E72"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10.4</w:t>
            </w:r>
          </w:p>
        </w:tc>
        <w:tc>
          <w:tcPr>
            <w:tcW w:w="943" w:type="dxa"/>
            <w:tcBorders>
              <w:bottom w:val="single" w:sz="4" w:space="0" w:color="auto"/>
            </w:tcBorders>
            <w:vAlign w:val="center"/>
          </w:tcPr>
          <w:p w14:paraId="79936EE5" w14:textId="1FCC0181"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2.1</w:t>
            </w:r>
          </w:p>
        </w:tc>
        <w:tc>
          <w:tcPr>
            <w:tcW w:w="960" w:type="dxa"/>
            <w:tcBorders>
              <w:bottom w:val="single" w:sz="4" w:space="0" w:color="auto"/>
            </w:tcBorders>
            <w:vAlign w:val="center"/>
          </w:tcPr>
          <w:p w14:paraId="2812399C" w14:textId="2514BC88"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2.9</w:t>
            </w:r>
          </w:p>
        </w:tc>
        <w:tc>
          <w:tcPr>
            <w:tcW w:w="803" w:type="dxa"/>
            <w:tcBorders>
              <w:bottom w:val="single" w:sz="4" w:space="0" w:color="auto"/>
            </w:tcBorders>
            <w:vAlign w:val="center"/>
          </w:tcPr>
          <w:p w14:paraId="5E38D73C" w14:textId="2CD58DFF" w:rsidR="00407C2D" w:rsidRPr="00407C2D" w:rsidRDefault="00407C2D" w:rsidP="00407C2D">
            <w:pPr>
              <w:jc w:val="right"/>
              <w:rPr>
                <w:rFonts w:asciiTheme="majorHAnsi" w:eastAsia="Times New Roman" w:hAnsiTheme="majorHAnsi"/>
                <w:sz w:val="20"/>
                <w:szCs w:val="20"/>
                <w:lang w:eastAsia="ca-ES"/>
              </w:rPr>
            </w:pPr>
            <w:r w:rsidRPr="00407C2D">
              <w:rPr>
                <w:rFonts w:asciiTheme="majorHAnsi" w:eastAsia="Times New Roman" w:hAnsiTheme="majorHAnsi"/>
                <w:sz w:val="20"/>
                <w:szCs w:val="20"/>
                <w:lang w:eastAsia="ca-ES"/>
              </w:rPr>
              <w:t>1.7</w:t>
            </w:r>
          </w:p>
        </w:tc>
      </w:tr>
    </w:tbl>
    <w:p w14:paraId="09FB4D28" w14:textId="77777777" w:rsidR="00D43518" w:rsidRPr="00407C2D" w:rsidRDefault="00D43518" w:rsidP="00D43518">
      <w:pPr>
        <w:spacing w:line="360" w:lineRule="auto"/>
        <w:rPr>
          <w:rFonts w:asciiTheme="majorHAnsi" w:hAnsiTheme="majorHAnsi"/>
          <w:sz w:val="20"/>
          <w:szCs w:val="20"/>
        </w:rPr>
      </w:pPr>
    </w:p>
    <w:p w14:paraId="16A4E79A" w14:textId="469BAE2F" w:rsidR="00951415" w:rsidRPr="00FD0F48" w:rsidRDefault="00FC0EE9" w:rsidP="00FC0EE9">
      <w:pPr>
        <w:widowControl w:val="0"/>
        <w:autoSpaceDE w:val="0"/>
        <w:autoSpaceDN w:val="0"/>
        <w:adjustRightInd w:val="0"/>
        <w:spacing w:after="240"/>
        <w:rPr>
          <w:rFonts w:ascii="Calibri" w:hAnsi="Calibri" w:cs="Times"/>
          <w:sz w:val="20"/>
          <w:szCs w:val="20"/>
          <w:lang w:val="en-US"/>
        </w:rPr>
      </w:pPr>
      <w:r>
        <w:rPr>
          <w:rFonts w:asciiTheme="majorHAnsi" w:hAnsiTheme="majorHAnsi" w:cs="Times"/>
          <w:sz w:val="20"/>
          <w:szCs w:val="20"/>
          <w:lang w:val="en-US"/>
        </w:rPr>
        <w:br w:type="column"/>
      </w:r>
      <w:r w:rsidRPr="00FD0F48">
        <w:rPr>
          <w:rFonts w:ascii="Calibri" w:hAnsi="Calibri" w:cs="Times"/>
          <w:b/>
          <w:sz w:val="20"/>
          <w:szCs w:val="20"/>
          <w:lang w:val="en-US"/>
        </w:rPr>
        <w:t>Table 5</w:t>
      </w:r>
      <w:r w:rsidRPr="00FD0F48">
        <w:rPr>
          <w:rFonts w:ascii="Calibri" w:hAnsi="Calibri" w:cs="Times"/>
          <w:sz w:val="20"/>
          <w:szCs w:val="20"/>
          <w:lang w:val="en-US"/>
        </w:rPr>
        <w:t xml:space="preserve"> Multinomial logistic model of comorbidity of obesity, cardiovascular disease (CVD) and diabetes among the pooled (weighted) 2008–2012 Health Survey for England sample</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821"/>
        <w:gridCol w:w="931"/>
        <w:gridCol w:w="962"/>
        <w:gridCol w:w="821"/>
        <w:gridCol w:w="986"/>
        <w:gridCol w:w="977"/>
        <w:gridCol w:w="821"/>
      </w:tblGrid>
      <w:tr w:rsidR="00951415" w:rsidRPr="00FD0F48" w14:paraId="360C5F72" w14:textId="77777777" w:rsidTr="00FD0F48">
        <w:tc>
          <w:tcPr>
            <w:tcW w:w="2578" w:type="dxa"/>
            <w:tcBorders>
              <w:top w:val="single" w:sz="4" w:space="0" w:color="auto"/>
              <w:bottom w:val="single" w:sz="4" w:space="0" w:color="auto"/>
            </w:tcBorders>
          </w:tcPr>
          <w:p w14:paraId="657CC360" w14:textId="77777777" w:rsidR="00951415" w:rsidRPr="00FD0F48" w:rsidRDefault="00951415" w:rsidP="00FD0F48">
            <w:pPr>
              <w:widowControl w:val="0"/>
              <w:autoSpaceDE w:val="0"/>
              <w:autoSpaceDN w:val="0"/>
              <w:adjustRightInd w:val="0"/>
              <w:rPr>
                <w:rFonts w:ascii="Calibri" w:hAnsi="Calibri" w:cs="Times"/>
                <w:sz w:val="20"/>
                <w:szCs w:val="20"/>
                <w:lang w:val="en-US"/>
              </w:rPr>
            </w:pPr>
          </w:p>
        </w:tc>
        <w:tc>
          <w:tcPr>
            <w:tcW w:w="821" w:type="dxa"/>
            <w:tcBorders>
              <w:top w:val="single" w:sz="4" w:space="0" w:color="auto"/>
              <w:bottom w:val="single" w:sz="4" w:space="0" w:color="auto"/>
            </w:tcBorders>
          </w:tcPr>
          <w:p w14:paraId="7E6020E6" w14:textId="02FED43F"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Obese</w:t>
            </w:r>
          </w:p>
        </w:tc>
        <w:tc>
          <w:tcPr>
            <w:tcW w:w="931" w:type="dxa"/>
            <w:tcBorders>
              <w:top w:val="single" w:sz="4" w:space="0" w:color="auto"/>
              <w:bottom w:val="single" w:sz="4" w:space="0" w:color="auto"/>
            </w:tcBorders>
          </w:tcPr>
          <w:p w14:paraId="48DB0E64" w14:textId="05212F7C"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CVD</w:t>
            </w:r>
          </w:p>
        </w:tc>
        <w:tc>
          <w:tcPr>
            <w:tcW w:w="962" w:type="dxa"/>
            <w:tcBorders>
              <w:top w:val="single" w:sz="4" w:space="0" w:color="auto"/>
              <w:bottom w:val="single" w:sz="4" w:space="0" w:color="auto"/>
            </w:tcBorders>
          </w:tcPr>
          <w:p w14:paraId="16C3EF78" w14:textId="65275D2C"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Diabetic</w:t>
            </w:r>
          </w:p>
        </w:tc>
        <w:tc>
          <w:tcPr>
            <w:tcW w:w="821" w:type="dxa"/>
            <w:tcBorders>
              <w:top w:val="single" w:sz="4" w:space="0" w:color="auto"/>
              <w:bottom w:val="single" w:sz="4" w:space="0" w:color="auto"/>
            </w:tcBorders>
          </w:tcPr>
          <w:p w14:paraId="75C6799A" w14:textId="322E4980"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Obese, CVD</w:t>
            </w:r>
          </w:p>
        </w:tc>
        <w:tc>
          <w:tcPr>
            <w:tcW w:w="986" w:type="dxa"/>
            <w:tcBorders>
              <w:top w:val="single" w:sz="4" w:space="0" w:color="auto"/>
              <w:bottom w:val="single" w:sz="4" w:space="0" w:color="auto"/>
            </w:tcBorders>
          </w:tcPr>
          <w:p w14:paraId="5A33ECD3" w14:textId="34C68CF7"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Obese, Diabetes</w:t>
            </w:r>
          </w:p>
        </w:tc>
        <w:tc>
          <w:tcPr>
            <w:tcW w:w="977" w:type="dxa"/>
            <w:tcBorders>
              <w:top w:val="single" w:sz="4" w:space="0" w:color="auto"/>
              <w:bottom w:val="single" w:sz="4" w:space="0" w:color="auto"/>
            </w:tcBorders>
          </w:tcPr>
          <w:p w14:paraId="15113971" w14:textId="401AB4ED"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CVD, diabetes</w:t>
            </w:r>
          </w:p>
        </w:tc>
        <w:tc>
          <w:tcPr>
            <w:tcW w:w="821" w:type="dxa"/>
            <w:tcBorders>
              <w:top w:val="single" w:sz="4" w:space="0" w:color="auto"/>
              <w:bottom w:val="single" w:sz="4" w:space="0" w:color="auto"/>
            </w:tcBorders>
          </w:tcPr>
          <w:p w14:paraId="50D54EE9" w14:textId="5B9BAFBA" w:rsidR="00951415" w:rsidRPr="00FD0F48" w:rsidRDefault="00951415"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All 3</w:t>
            </w:r>
          </w:p>
        </w:tc>
      </w:tr>
      <w:tr w:rsidR="00FD0F48" w:rsidRPr="00FD0F48" w14:paraId="2B6996C7" w14:textId="77777777" w:rsidTr="00FD0F48">
        <w:tc>
          <w:tcPr>
            <w:tcW w:w="2578" w:type="dxa"/>
            <w:tcBorders>
              <w:top w:val="single" w:sz="4" w:space="0" w:color="auto"/>
            </w:tcBorders>
          </w:tcPr>
          <w:p w14:paraId="13B661EC" w14:textId="7CFE508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Reference </w:t>
            </w:r>
          </w:p>
        </w:tc>
        <w:tc>
          <w:tcPr>
            <w:tcW w:w="821" w:type="dxa"/>
            <w:tcBorders>
              <w:top w:val="single" w:sz="4" w:space="0" w:color="auto"/>
            </w:tcBorders>
          </w:tcPr>
          <w:p w14:paraId="56D7557A" w14:textId="0D2E7F0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0.07**</w:t>
            </w:r>
          </w:p>
        </w:tc>
        <w:tc>
          <w:tcPr>
            <w:tcW w:w="931" w:type="dxa"/>
            <w:tcBorders>
              <w:top w:val="single" w:sz="4" w:space="0" w:color="auto"/>
            </w:tcBorders>
          </w:tcPr>
          <w:p w14:paraId="1DF712BF" w14:textId="1A5AB5F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0.01**</w:t>
            </w:r>
          </w:p>
        </w:tc>
        <w:tc>
          <w:tcPr>
            <w:tcW w:w="962" w:type="dxa"/>
            <w:tcBorders>
              <w:top w:val="single" w:sz="4" w:space="0" w:color="auto"/>
            </w:tcBorders>
          </w:tcPr>
          <w:p w14:paraId="2A96F2AB" w14:textId="101D331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0.00**</w:t>
            </w:r>
          </w:p>
        </w:tc>
        <w:tc>
          <w:tcPr>
            <w:tcW w:w="821" w:type="dxa"/>
            <w:tcBorders>
              <w:top w:val="single" w:sz="4" w:space="0" w:color="auto"/>
            </w:tcBorders>
          </w:tcPr>
          <w:p w14:paraId="7BE85652" w14:textId="4B3E54E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0.00**</w:t>
            </w:r>
          </w:p>
        </w:tc>
        <w:tc>
          <w:tcPr>
            <w:tcW w:w="986" w:type="dxa"/>
            <w:tcBorders>
              <w:top w:val="single" w:sz="4" w:space="0" w:color="auto"/>
            </w:tcBorders>
          </w:tcPr>
          <w:p w14:paraId="1B447D94" w14:textId="53910CC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0.00**</w:t>
            </w:r>
          </w:p>
        </w:tc>
        <w:tc>
          <w:tcPr>
            <w:tcW w:w="977" w:type="dxa"/>
            <w:tcBorders>
              <w:top w:val="single" w:sz="4" w:space="0" w:color="auto"/>
            </w:tcBorders>
          </w:tcPr>
          <w:p w14:paraId="2D925EEC" w14:textId="7EA4F52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0.00**</w:t>
            </w:r>
          </w:p>
        </w:tc>
        <w:tc>
          <w:tcPr>
            <w:tcW w:w="821" w:type="dxa"/>
            <w:tcBorders>
              <w:top w:val="single" w:sz="4" w:space="0" w:color="auto"/>
            </w:tcBorders>
          </w:tcPr>
          <w:p w14:paraId="63505A80" w14:textId="42AFDFA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0.00**</w:t>
            </w:r>
          </w:p>
        </w:tc>
      </w:tr>
      <w:tr w:rsidR="00FD0F48" w:rsidRPr="00FD0F48" w14:paraId="03B78C22" w14:textId="77777777" w:rsidTr="00FD0F48">
        <w:tc>
          <w:tcPr>
            <w:tcW w:w="2578" w:type="dxa"/>
          </w:tcPr>
          <w:p w14:paraId="0CCA0F29" w14:textId="4363D08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Male</w:t>
            </w:r>
          </w:p>
        </w:tc>
        <w:tc>
          <w:tcPr>
            <w:tcW w:w="821" w:type="dxa"/>
          </w:tcPr>
          <w:p w14:paraId="3EB45A95" w14:textId="4BCCA8A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0.94</w:t>
            </w:r>
          </w:p>
        </w:tc>
        <w:tc>
          <w:tcPr>
            <w:tcW w:w="931" w:type="dxa"/>
          </w:tcPr>
          <w:p w14:paraId="2803D2EF" w14:textId="25035A3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1.46**</w:t>
            </w:r>
          </w:p>
        </w:tc>
        <w:tc>
          <w:tcPr>
            <w:tcW w:w="962" w:type="dxa"/>
          </w:tcPr>
          <w:p w14:paraId="35BFD545" w14:textId="314BB6F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1.93**</w:t>
            </w:r>
          </w:p>
        </w:tc>
        <w:tc>
          <w:tcPr>
            <w:tcW w:w="821" w:type="dxa"/>
          </w:tcPr>
          <w:p w14:paraId="1B65859F" w14:textId="40B749D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1.22**</w:t>
            </w:r>
          </w:p>
        </w:tc>
        <w:tc>
          <w:tcPr>
            <w:tcW w:w="986" w:type="dxa"/>
          </w:tcPr>
          <w:p w14:paraId="20C3D82A" w14:textId="195CD8F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1.46**</w:t>
            </w:r>
          </w:p>
        </w:tc>
        <w:tc>
          <w:tcPr>
            <w:tcW w:w="977" w:type="dxa"/>
          </w:tcPr>
          <w:p w14:paraId="14488DF7" w14:textId="19FC5DD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1.75**</w:t>
            </w:r>
          </w:p>
        </w:tc>
        <w:tc>
          <w:tcPr>
            <w:tcW w:w="821" w:type="dxa"/>
          </w:tcPr>
          <w:p w14:paraId="3E7AF3E1" w14:textId="7024797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1.80**</w:t>
            </w:r>
          </w:p>
        </w:tc>
      </w:tr>
      <w:tr w:rsidR="00FD0F48" w:rsidRPr="00FD0F48" w14:paraId="4277CA22" w14:textId="77777777" w:rsidTr="00FD0F48">
        <w:tc>
          <w:tcPr>
            <w:tcW w:w="2578" w:type="dxa"/>
          </w:tcPr>
          <w:p w14:paraId="3387AE92" w14:textId="6743157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 Age 55–64 </w:t>
            </w:r>
          </w:p>
        </w:tc>
        <w:tc>
          <w:tcPr>
            <w:tcW w:w="821" w:type="dxa"/>
          </w:tcPr>
          <w:p w14:paraId="7740F60C" w14:textId="056FF35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1.29**</w:t>
            </w:r>
          </w:p>
        </w:tc>
        <w:tc>
          <w:tcPr>
            <w:tcW w:w="931" w:type="dxa"/>
          </w:tcPr>
          <w:p w14:paraId="122C107D" w14:textId="0CA98EA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5.41**</w:t>
            </w:r>
          </w:p>
        </w:tc>
        <w:tc>
          <w:tcPr>
            <w:tcW w:w="962" w:type="dxa"/>
          </w:tcPr>
          <w:p w14:paraId="3F815511" w14:textId="5299BA9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2.68**</w:t>
            </w:r>
          </w:p>
        </w:tc>
        <w:tc>
          <w:tcPr>
            <w:tcW w:w="821" w:type="dxa"/>
          </w:tcPr>
          <w:p w14:paraId="5FA935DB" w14:textId="6E971C3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5.13**</w:t>
            </w:r>
          </w:p>
        </w:tc>
        <w:tc>
          <w:tcPr>
            <w:tcW w:w="986" w:type="dxa"/>
          </w:tcPr>
          <w:p w14:paraId="7983F3BD" w14:textId="01A7C57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4.19**</w:t>
            </w:r>
          </w:p>
        </w:tc>
        <w:tc>
          <w:tcPr>
            <w:tcW w:w="977" w:type="dxa"/>
          </w:tcPr>
          <w:p w14:paraId="562A8A0D" w14:textId="1C50067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4.36**</w:t>
            </w:r>
          </w:p>
        </w:tc>
        <w:tc>
          <w:tcPr>
            <w:tcW w:w="821" w:type="dxa"/>
          </w:tcPr>
          <w:p w14:paraId="38FF003F" w14:textId="4253A11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5.84**</w:t>
            </w:r>
          </w:p>
        </w:tc>
      </w:tr>
      <w:tr w:rsidR="00FD0F48" w:rsidRPr="00FD0F48" w14:paraId="056ED58A" w14:textId="77777777" w:rsidTr="00FD0F48">
        <w:tc>
          <w:tcPr>
            <w:tcW w:w="2578" w:type="dxa"/>
          </w:tcPr>
          <w:p w14:paraId="08925445" w14:textId="139B7B4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Age 65–74</w:t>
            </w:r>
          </w:p>
        </w:tc>
        <w:tc>
          <w:tcPr>
            <w:tcW w:w="821" w:type="dxa"/>
          </w:tcPr>
          <w:p w14:paraId="70B78D57" w14:textId="32D6A85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1.21**</w:t>
            </w:r>
          </w:p>
        </w:tc>
        <w:tc>
          <w:tcPr>
            <w:tcW w:w="931" w:type="dxa"/>
          </w:tcPr>
          <w:p w14:paraId="4CB63E3D" w14:textId="5FD29B3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7.06**</w:t>
            </w:r>
          </w:p>
        </w:tc>
        <w:tc>
          <w:tcPr>
            <w:tcW w:w="962" w:type="dxa"/>
          </w:tcPr>
          <w:p w14:paraId="067E78EA" w14:textId="3623995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4.30**</w:t>
            </w:r>
          </w:p>
        </w:tc>
        <w:tc>
          <w:tcPr>
            <w:tcW w:w="821" w:type="dxa"/>
          </w:tcPr>
          <w:p w14:paraId="3CF158D0" w14:textId="0EBE939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6.46**</w:t>
            </w:r>
          </w:p>
        </w:tc>
        <w:tc>
          <w:tcPr>
            <w:tcW w:w="986" w:type="dxa"/>
          </w:tcPr>
          <w:p w14:paraId="11E8F90F" w14:textId="45156DC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4.01**</w:t>
            </w:r>
          </w:p>
        </w:tc>
        <w:tc>
          <w:tcPr>
            <w:tcW w:w="977" w:type="dxa"/>
          </w:tcPr>
          <w:p w14:paraId="31A77198" w14:textId="62207EF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8.48**</w:t>
            </w:r>
          </w:p>
        </w:tc>
        <w:tc>
          <w:tcPr>
            <w:tcW w:w="821" w:type="dxa"/>
          </w:tcPr>
          <w:p w14:paraId="7FBD9015" w14:textId="1D58D73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7.33**</w:t>
            </w:r>
          </w:p>
        </w:tc>
      </w:tr>
      <w:tr w:rsidR="00FD0F48" w:rsidRPr="00FD0F48" w14:paraId="21F25750" w14:textId="77777777" w:rsidTr="00FD0F48">
        <w:tc>
          <w:tcPr>
            <w:tcW w:w="2578" w:type="dxa"/>
          </w:tcPr>
          <w:p w14:paraId="0802C888" w14:textId="4ED6299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 Age 75+ </w:t>
            </w:r>
          </w:p>
        </w:tc>
        <w:tc>
          <w:tcPr>
            <w:tcW w:w="821" w:type="dxa"/>
          </w:tcPr>
          <w:p w14:paraId="6DD3C220" w14:textId="7006099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0.85</w:t>
            </w:r>
          </w:p>
        </w:tc>
        <w:tc>
          <w:tcPr>
            <w:tcW w:w="931" w:type="dxa"/>
          </w:tcPr>
          <w:p w14:paraId="6FCB32B8" w14:textId="2D99AB8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11.22**</w:t>
            </w:r>
          </w:p>
        </w:tc>
        <w:tc>
          <w:tcPr>
            <w:tcW w:w="962" w:type="dxa"/>
          </w:tcPr>
          <w:p w14:paraId="6165A8AA" w14:textId="4030104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5.76**</w:t>
            </w:r>
          </w:p>
        </w:tc>
        <w:tc>
          <w:tcPr>
            <w:tcW w:w="821" w:type="dxa"/>
          </w:tcPr>
          <w:p w14:paraId="14046A49" w14:textId="0EED04C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7.05**</w:t>
            </w:r>
          </w:p>
        </w:tc>
        <w:tc>
          <w:tcPr>
            <w:tcW w:w="986" w:type="dxa"/>
          </w:tcPr>
          <w:p w14:paraId="086E34E9" w14:textId="13B4611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3.18**</w:t>
            </w:r>
          </w:p>
        </w:tc>
        <w:tc>
          <w:tcPr>
            <w:tcW w:w="977" w:type="dxa"/>
          </w:tcPr>
          <w:p w14:paraId="06F07F94" w14:textId="09FC82A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15.32**</w:t>
            </w:r>
          </w:p>
        </w:tc>
        <w:tc>
          <w:tcPr>
            <w:tcW w:w="821" w:type="dxa"/>
          </w:tcPr>
          <w:p w14:paraId="535AF554" w14:textId="744602B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3.64**</w:t>
            </w:r>
          </w:p>
        </w:tc>
      </w:tr>
      <w:tr w:rsidR="00FD0F48" w:rsidRPr="00FD0F48" w14:paraId="77D17690" w14:textId="77777777" w:rsidTr="00FD0F48">
        <w:tc>
          <w:tcPr>
            <w:tcW w:w="2578" w:type="dxa"/>
          </w:tcPr>
          <w:p w14:paraId="690C6875" w14:textId="09065FE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Ethnicity: Black</w:t>
            </w:r>
          </w:p>
        </w:tc>
        <w:tc>
          <w:tcPr>
            <w:tcW w:w="821" w:type="dxa"/>
          </w:tcPr>
          <w:p w14:paraId="1C104CE3" w14:textId="32AAF83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1.22*</w:t>
            </w:r>
          </w:p>
        </w:tc>
        <w:tc>
          <w:tcPr>
            <w:tcW w:w="931" w:type="dxa"/>
          </w:tcPr>
          <w:p w14:paraId="38626806" w14:textId="7B56415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1.02</w:t>
            </w:r>
          </w:p>
        </w:tc>
        <w:tc>
          <w:tcPr>
            <w:tcW w:w="962" w:type="dxa"/>
          </w:tcPr>
          <w:p w14:paraId="323D7391" w14:textId="35DE0F3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2.85**</w:t>
            </w:r>
          </w:p>
        </w:tc>
        <w:tc>
          <w:tcPr>
            <w:tcW w:w="821" w:type="dxa"/>
          </w:tcPr>
          <w:p w14:paraId="7A873CCA" w14:textId="22FB0D5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1.29</w:t>
            </w:r>
          </w:p>
        </w:tc>
        <w:tc>
          <w:tcPr>
            <w:tcW w:w="986" w:type="dxa"/>
          </w:tcPr>
          <w:p w14:paraId="31341DA6" w14:textId="372CD9F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1.55</w:t>
            </w:r>
          </w:p>
        </w:tc>
        <w:tc>
          <w:tcPr>
            <w:tcW w:w="977" w:type="dxa"/>
          </w:tcPr>
          <w:p w14:paraId="37624458" w14:textId="4EB3CE3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4.53**</w:t>
            </w:r>
          </w:p>
        </w:tc>
        <w:tc>
          <w:tcPr>
            <w:tcW w:w="821" w:type="dxa"/>
          </w:tcPr>
          <w:p w14:paraId="4FE4B20B" w14:textId="3CE42D1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1.79</w:t>
            </w:r>
          </w:p>
        </w:tc>
      </w:tr>
      <w:tr w:rsidR="00FD0F48" w:rsidRPr="00FD0F48" w14:paraId="4BA8DFC4" w14:textId="77777777" w:rsidTr="00FD0F48">
        <w:tc>
          <w:tcPr>
            <w:tcW w:w="2578" w:type="dxa"/>
          </w:tcPr>
          <w:p w14:paraId="39BE78CF" w14:textId="549AA0F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Ethnicity: Asian</w:t>
            </w:r>
          </w:p>
        </w:tc>
        <w:tc>
          <w:tcPr>
            <w:tcW w:w="821" w:type="dxa"/>
          </w:tcPr>
          <w:p w14:paraId="5B2D78D6" w14:textId="64003FE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0.61**</w:t>
            </w:r>
          </w:p>
        </w:tc>
        <w:tc>
          <w:tcPr>
            <w:tcW w:w="931" w:type="dxa"/>
          </w:tcPr>
          <w:p w14:paraId="7A818933" w14:textId="37169F7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1.09</w:t>
            </w:r>
          </w:p>
        </w:tc>
        <w:tc>
          <w:tcPr>
            <w:tcW w:w="962" w:type="dxa"/>
          </w:tcPr>
          <w:p w14:paraId="5679531A" w14:textId="143BCAA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3.33**</w:t>
            </w:r>
          </w:p>
        </w:tc>
        <w:tc>
          <w:tcPr>
            <w:tcW w:w="821" w:type="dxa"/>
          </w:tcPr>
          <w:p w14:paraId="0775E3BE" w14:textId="54DB234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0.47**</w:t>
            </w:r>
          </w:p>
        </w:tc>
        <w:tc>
          <w:tcPr>
            <w:tcW w:w="986" w:type="dxa"/>
          </w:tcPr>
          <w:p w14:paraId="50AE9496" w14:textId="62FC331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1.11</w:t>
            </w:r>
          </w:p>
        </w:tc>
        <w:tc>
          <w:tcPr>
            <w:tcW w:w="977" w:type="dxa"/>
          </w:tcPr>
          <w:p w14:paraId="548730E8" w14:textId="0040919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4.24**</w:t>
            </w:r>
          </w:p>
        </w:tc>
        <w:tc>
          <w:tcPr>
            <w:tcW w:w="821" w:type="dxa"/>
          </w:tcPr>
          <w:p w14:paraId="616C1C21" w14:textId="18A2546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1.02</w:t>
            </w:r>
          </w:p>
        </w:tc>
      </w:tr>
      <w:tr w:rsidR="00FD0F48" w:rsidRPr="00FD0F48" w14:paraId="7EFF14D3" w14:textId="77777777" w:rsidTr="00FD0F48">
        <w:tc>
          <w:tcPr>
            <w:tcW w:w="2578" w:type="dxa"/>
          </w:tcPr>
          <w:p w14:paraId="289D5020" w14:textId="4B1D574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Ethnicity: other</w:t>
            </w:r>
          </w:p>
        </w:tc>
        <w:tc>
          <w:tcPr>
            <w:tcW w:w="821" w:type="dxa"/>
          </w:tcPr>
          <w:p w14:paraId="3617A102" w14:textId="78A03B0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0.88</w:t>
            </w:r>
          </w:p>
        </w:tc>
        <w:tc>
          <w:tcPr>
            <w:tcW w:w="931" w:type="dxa"/>
          </w:tcPr>
          <w:p w14:paraId="4388AB35" w14:textId="79F197C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0.80</w:t>
            </w:r>
          </w:p>
        </w:tc>
        <w:tc>
          <w:tcPr>
            <w:tcW w:w="962" w:type="dxa"/>
          </w:tcPr>
          <w:p w14:paraId="6D1CF627" w14:textId="75E5C2E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1.65</w:t>
            </w:r>
          </w:p>
        </w:tc>
        <w:tc>
          <w:tcPr>
            <w:tcW w:w="821" w:type="dxa"/>
          </w:tcPr>
          <w:p w14:paraId="0B1C3793" w14:textId="0A73A6F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0.65</w:t>
            </w:r>
          </w:p>
        </w:tc>
        <w:tc>
          <w:tcPr>
            <w:tcW w:w="986" w:type="dxa"/>
          </w:tcPr>
          <w:p w14:paraId="548CAA30" w14:textId="481CE82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0.43</w:t>
            </w:r>
          </w:p>
        </w:tc>
        <w:tc>
          <w:tcPr>
            <w:tcW w:w="977" w:type="dxa"/>
          </w:tcPr>
          <w:p w14:paraId="3369DE96" w14:textId="1801F0E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0.09</w:t>
            </w:r>
          </w:p>
        </w:tc>
        <w:tc>
          <w:tcPr>
            <w:tcW w:w="821" w:type="dxa"/>
          </w:tcPr>
          <w:p w14:paraId="7F8CF096" w14:textId="268D8C4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2.49*</w:t>
            </w:r>
          </w:p>
        </w:tc>
      </w:tr>
      <w:tr w:rsidR="00FD0F48" w:rsidRPr="00FD0F48" w14:paraId="6F7E253F" w14:textId="77777777" w:rsidTr="00FD0F48">
        <w:tc>
          <w:tcPr>
            <w:tcW w:w="2578" w:type="dxa"/>
          </w:tcPr>
          <w:p w14:paraId="1ACECCE7" w14:textId="3FAB1AA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Married/civil partnership</w:t>
            </w:r>
          </w:p>
        </w:tc>
        <w:tc>
          <w:tcPr>
            <w:tcW w:w="821" w:type="dxa"/>
          </w:tcPr>
          <w:p w14:paraId="0A978347" w14:textId="3606ACD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1.88**</w:t>
            </w:r>
          </w:p>
        </w:tc>
        <w:tc>
          <w:tcPr>
            <w:tcW w:w="931" w:type="dxa"/>
          </w:tcPr>
          <w:p w14:paraId="7193E799" w14:textId="4458F34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1.93**</w:t>
            </w:r>
          </w:p>
        </w:tc>
        <w:tc>
          <w:tcPr>
            <w:tcW w:w="962" w:type="dxa"/>
          </w:tcPr>
          <w:p w14:paraId="5228CA3F" w14:textId="11D7F88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1.50*</w:t>
            </w:r>
          </w:p>
        </w:tc>
        <w:tc>
          <w:tcPr>
            <w:tcW w:w="821" w:type="dxa"/>
          </w:tcPr>
          <w:p w14:paraId="01E3C1DC" w14:textId="2565A3B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2.84**</w:t>
            </w:r>
          </w:p>
        </w:tc>
        <w:tc>
          <w:tcPr>
            <w:tcW w:w="986" w:type="dxa"/>
          </w:tcPr>
          <w:p w14:paraId="1990C8C6" w14:textId="1D84085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2.05**</w:t>
            </w:r>
          </w:p>
        </w:tc>
        <w:tc>
          <w:tcPr>
            <w:tcW w:w="977" w:type="dxa"/>
          </w:tcPr>
          <w:p w14:paraId="62732215" w14:textId="6D40C87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1.75*</w:t>
            </w:r>
          </w:p>
        </w:tc>
        <w:tc>
          <w:tcPr>
            <w:tcW w:w="821" w:type="dxa"/>
          </w:tcPr>
          <w:p w14:paraId="75EF5B6A" w14:textId="1F4A450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3.22**</w:t>
            </w:r>
          </w:p>
        </w:tc>
      </w:tr>
      <w:tr w:rsidR="00FD0F48" w:rsidRPr="00FD0F48" w14:paraId="0972AF55" w14:textId="77777777" w:rsidTr="00FD0F48">
        <w:tc>
          <w:tcPr>
            <w:tcW w:w="2578" w:type="dxa"/>
          </w:tcPr>
          <w:p w14:paraId="5567E04A" w14:textId="222B932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Cohabitees</w:t>
            </w:r>
          </w:p>
        </w:tc>
        <w:tc>
          <w:tcPr>
            <w:tcW w:w="821" w:type="dxa"/>
          </w:tcPr>
          <w:p w14:paraId="0D146136" w14:textId="3922118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1.56**</w:t>
            </w:r>
          </w:p>
        </w:tc>
        <w:tc>
          <w:tcPr>
            <w:tcW w:w="931" w:type="dxa"/>
          </w:tcPr>
          <w:p w14:paraId="61E1FE6D" w14:textId="2378DA8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1.35</w:t>
            </w:r>
          </w:p>
        </w:tc>
        <w:tc>
          <w:tcPr>
            <w:tcW w:w="962" w:type="dxa"/>
          </w:tcPr>
          <w:p w14:paraId="35EA8313" w14:textId="4745789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1.16</w:t>
            </w:r>
          </w:p>
        </w:tc>
        <w:tc>
          <w:tcPr>
            <w:tcW w:w="821" w:type="dxa"/>
          </w:tcPr>
          <w:p w14:paraId="00B343D4" w14:textId="4F2F468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1.36</w:t>
            </w:r>
          </w:p>
        </w:tc>
        <w:tc>
          <w:tcPr>
            <w:tcW w:w="986" w:type="dxa"/>
          </w:tcPr>
          <w:p w14:paraId="783DB9E9" w14:textId="6956AB4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1.69*</w:t>
            </w:r>
          </w:p>
        </w:tc>
        <w:tc>
          <w:tcPr>
            <w:tcW w:w="977" w:type="dxa"/>
          </w:tcPr>
          <w:p w14:paraId="73120BB1" w14:textId="3CF4E7E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1.31</w:t>
            </w:r>
          </w:p>
        </w:tc>
        <w:tc>
          <w:tcPr>
            <w:tcW w:w="821" w:type="dxa"/>
          </w:tcPr>
          <w:p w14:paraId="165767D6" w14:textId="7F45CAF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1.88</w:t>
            </w:r>
          </w:p>
        </w:tc>
      </w:tr>
      <w:tr w:rsidR="00FD0F48" w:rsidRPr="00FD0F48" w14:paraId="05BB7CF3" w14:textId="77777777" w:rsidTr="00FD0F48">
        <w:tc>
          <w:tcPr>
            <w:tcW w:w="2578" w:type="dxa"/>
          </w:tcPr>
          <w:p w14:paraId="0FBCF8B8" w14:textId="7CB80D8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Separated/divorced</w:t>
            </w:r>
          </w:p>
        </w:tc>
        <w:tc>
          <w:tcPr>
            <w:tcW w:w="821" w:type="dxa"/>
          </w:tcPr>
          <w:p w14:paraId="5F9E5E18" w14:textId="6B06EB7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1.65**</w:t>
            </w:r>
          </w:p>
        </w:tc>
        <w:tc>
          <w:tcPr>
            <w:tcW w:w="931" w:type="dxa"/>
          </w:tcPr>
          <w:p w14:paraId="598CA1D9" w14:textId="6E65608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1.74**</w:t>
            </w:r>
          </w:p>
        </w:tc>
        <w:tc>
          <w:tcPr>
            <w:tcW w:w="962" w:type="dxa"/>
          </w:tcPr>
          <w:p w14:paraId="0329E797" w14:textId="63B108B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1.37</w:t>
            </w:r>
          </w:p>
        </w:tc>
        <w:tc>
          <w:tcPr>
            <w:tcW w:w="821" w:type="dxa"/>
          </w:tcPr>
          <w:p w14:paraId="79A63297" w14:textId="19A97C9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2.61**</w:t>
            </w:r>
          </w:p>
        </w:tc>
        <w:tc>
          <w:tcPr>
            <w:tcW w:w="986" w:type="dxa"/>
          </w:tcPr>
          <w:p w14:paraId="77EFC789" w14:textId="1A717C7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2.78**</w:t>
            </w:r>
          </w:p>
        </w:tc>
        <w:tc>
          <w:tcPr>
            <w:tcW w:w="977" w:type="dxa"/>
          </w:tcPr>
          <w:p w14:paraId="44C6CD47" w14:textId="0EC071C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1.62</w:t>
            </w:r>
          </w:p>
        </w:tc>
        <w:tc>
          <w:tcPr>
            <w:tcW w:w="821" w:type="dxa"/>
          </w:tcPr>
          <w:p w14:paraId="19BDF609" w14:textId="338962B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3.10**</w:t>
            </w:r>
          </w:p>
        </w:tc>
      </w:tr>
      <w:tr w:rsidR="00FD0F48" w:rsidRPr="00FD0F48" w14:paraId="729923CD" w14:textId="77777777" w:rsidTr="00FD0F48">
        <w:tc>
          <w:tcPr>
            <w:tcW w:w="2578" w:type="dxa"/>
          </w:tcPr>
          <w:p w14:paraId="04B51B25" w14:textId="3BEB411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Widowed</w:t>
            </w:r>
          </w:p>
        </w:tc>
        <w:tc>
          <w:tcPr>
            <w:tcW w:w="821" w:type="dxa"/>
          </w:tcPr>
          <w:p w14:paraId="32DF1C01" w14:textId="038501E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1.90**</w:t>
            </w:r>
          </w:p>
        </w:tc>
        <w:tc>
          <w:tcPr>
            <w:tcW w:w="931" w:type="dxa"/>
          </w:tcPr>
          <w:p w14:paraId="344229BB" w14:textId="423557A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2.42**</w:t>
            </w:r>
          </w:p>
        </w:tc>
        <w:tc>
          <w:tcPr>
            <w:tcW w:w="962" w:type="dxa"/>
          </w:tcPr>
          <w:p w14:paraId="6947BCD4" w14:textId="161CF08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1.36</w:t>
            </w:r>
          </w:p>
        </w:tc>
        <w:tc>
          <w:tcPr>
            <w:tcW w:w="821" w:type="dxa"/>
          </w:tcPr>
          <w:p w14:paraId="0023FF50" w14:textId="6F44AF8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3.23**</w:t>
            </w:r>
          </w:p>
        </w:tc>
        <w:tc>
          <w:tcPr>
            <w:tcW w:w="986" w:type="dxa"/>
          </w:tcPr>
          <w:p w14:paraId="000661EE" w14:textId="07DA31B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2.31**</w:t>
            </w:r>
          </w:p>
        </w:tc>
        <w:tc>
          <w:tcPr>
            <w:tcW w:w="977" w:type="dxa"/>
          </w:tcPr>
          <w:p w14:paraId="0FE78DFB" w14:textId="58B12EF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1.86*</w:t>
            </w:r>
          </w:p>
        </w:tc>
        <w:tc>
          <w:tcPr>
            <w:tcW w:w="821" w:type="dxa"/>
          </w:tcPr>
          <w:p w14:paraId="413E7F9B" w14:textId="389DDF3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3.99**</w:t>
            </w:r>
          </w:p>
        </w:tc>
      </w:tr>
      <w:tr w:rsidR="00FD0F48" w:rsidRPr="00FD0F48" w14:paraId="41CF5CC0" w14:textId="77777777" w:rsidTr="00FD0F48">
        <w:tc>
          <w:tcPr>
            <w:tcW w:w="2578" w:type="dxa"/>
          </w:tcPr>
          <w:p w14:paraId="77FF5A78" w14:textId="667758D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Index of multiple deprivation quintile 2</w:t>
            </w:r>
          </w:p>
        </w:tc>
        <w:tc>
          <w:tcPr>
            <w:tcW w:w="821" w:type="dxa"/>
          </w:tcPr>
          <w:p w14:paraId="1A3E961F" w14:textId="20A6357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1.16**</w:t>
            </w:r>
          </w:p>
        </w:tc>
        <w:tc>
          <w:tcPr>
            <w:tcW w:w="931" w:type="dxa"/>
          </w:tcPr>
          <w:p w14:paraId="6E11E5B8" w14:textId="136FE96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1.00</w:t>
            </w:r>
          </w:p>
        </w:tc>
        <w:tc>
          <w:tcPr>
            <w:tcW w:w="962" w:type="dxa"/>
          </w:tcPr>
          <w:p w14:paraId="3FA6C878" w14:textId="390DCBB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1.32</w:t>
            </w:r>
          </w:p>
        </w:tc>
        <w:tc>
          <w:tcPr>
            <w:tcW w:w="821" w:type="dxa"/>
          </w:tcPr>
          <w:p w14:paraId="7C656A8C" w14:textId="614E16C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0.99</w:t>
            </w:r>
          </w:p>
        </w:tc>
        <w:tc>
          <w:tcPr>
            <w:tcW w:w="986" w:type="dxa"/>
          </w:tcPr>
          <w:p w14:paraId="59B57D96" w14:textId="20628CA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1.20</w:t>
            </w:r>
          </w:p>
        </w:tc>
        <w:tc>
          <w:tcPr>
            <w:tcW w:w="977" w:type="dxa"/>
          </w:tcPr>
          <w:p w14:paraId="229FBFBB" w14:textId="7FBA7F8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1.01</w:t>
            </w:r>
          </w:p>
        </w:tc>
        <w:tc>
          <w:tcPr>
            <w:tcW w:w="821" w:type="dxa"/>
          </w:tcPr>
          <w:p w14:paraId="658B3369" w14:textId="1B89837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1.35</w:t>
            </w:r>
          </w:p>
        </w:tc>
      </w:tr>
      <w:tr w:rsidR="00FD0F48" w:rsidRPr="00FD0F48" w14:paraId="5AA67522" w14:textId="77777777" w:rsidTr="00FD0F48">
        <w:tc>
          <w:tcPr>
            <w:tcW w:w="2578" w:type="dxa"/>
          </w:tcPr>
          <w:p w14:paraId="4B25FFE6" w14:textId="0B97C7A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 xml:space="preserve">Index of multiple deprivation quintile 3 </w:t>
            </w:r>
          </w:p>
        </w:tc>
        <w:tc>
          <w:tcPr>
            <w:tcW w:w="821" w:type="dxa"/>
          </w:tcPr>
          <w:p w14:paraId="0BD705B5" w14:textId="235DBB1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1.20**</w:t>
            </w:r>
          </w:p>
        </w:tc>
        <w:tc>
          <w:tcPr>
            <w:tcW w:w="931" w:type="dxa"/>
          </w:tcPr>
          <w:p w14:paraId="53029A7D" w14:textId="4759B81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1.28**</w:t>
            </w:r>
          </w:p>
        </w:tc>
        <w:tc>
          <w:tcPr>
            <w:tcW w:w="962" w:type="dxa"/>
          </w:tcPr>
          <w:p w14:paraId="25ED8DEB" w14:textId="0BCDD46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1.68**</w:t>
            </w:r>
          </w:p>
        </w:tc>
        <w:tc>
          <w:tcPr>
            <w:tcW w:w="821" w:type="dxa"/>
          </w:tcPr>
          <w:p w14:paraId="256A486A" w14:textId="725B092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1.37**</w:t>
            </w:r>
          </w:p>
        </w:tc>
        <w:tc>
          <w:tcPr>
            <w:tcW w:w="986" w:type="dxa"/>
          </w:tcPr>
          <w:p w14:paraId="7968CE64" w14:textId="30BAC22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1.05</w:t>
            </w:r>
          </w:p>
        </w:tc>
        <w:tc>
          <w:tcPr>
            <w:tcW w:w="977" w:type="dxa"/>
          </w:tcPr>
          <w:p w14:paraId="44C2C1E5" w14:textId="07B7D5F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1.61*</w:t>
            </w:r>
          </w:p>
        </w:tc>
        <w:tc>
          <w:tcPr>
            <w:tcW w:w="821" w:type="dxa"/>
          </w:tcPr>
          <w:p w14:paraId="7E9559DC" w14:textId="0586674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1.58*</w:t>
            </w:r>
          </w:p>
        </w:tc>
      </w:tr>
      <w:tr w:rsidR="00FD0F48" w:rsidRPr="00FD0F48" w14:paraId="7DB6B7CF" w14:textId="77777777" w:rsidTr="00FD0F48">
        <w:tc>
          <w:tcPr>
            <w:tcW w:w="2578" w:type="dxa"/>
          </w:tcPr>
          <w:p w14:paraId="3EE87404" w14:textId="58D26D0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Index of multiple deprivation quintile 4</w:t>
            </w:r>
          </w:p>
        </w:tc>
        <w:tc>
          <w:tcPr>
            <w:tcW w:w="821" w:type="dxa"/>
          </w:tcPr>
          <w:p w14:paraId="76B78F0C" w14:textId="5DDF6FA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1.31**</w:t>
            </w:r>
          </w:p>
        </w:tc>
        <w:tc>
          <w:tcPr>
            <w:tcW w:w="931" w:type="dxa"/>
          </w:tcPr>
          <w:p w14:paraId="7AF7B824" w14:textId="57F7E92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1.28**</w:t>
            </w:r>
          </w:p>
        </w:tc>
        <w:tc>
          <w:tcPr>
            <w:tcW w:w="962" w:type="dxa"/>
          </w:tcPr>
          <w:p w14:paraId="0C6035CB" w14:textId="297BEA4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1.63**</w:t>
            </w:r>
          </w:p>
        </w:tc>
        <w:tc>
          <w:tcPr>
            <w:tcW w:w="821" w:type="dxa"/>
          </w:tcPr>
          <w:p w14:paraId="61FC51D5" w14:textId="11D855A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1.99**</w:t>
            </w:r>
          </w:p>
        </w:tc>
        <w:tc>
          <w:tcPr>
            <w:tcW w:w="986" w:type="dxa"/>
          </w:tcPr>
          <w:p w14:paraId="27DC5536" w14:textId="3297751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1.54*</w:t>
            </w:r>
          </w:p>
        </w:tc>
        <w:tc>
          <w:tcPr>
            <w:tcW w:w="977" w:type="dxa"/>
          </w:tcPr>
          <w:p w14:paraId="4ABDC39F" w14:textId="7773B47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1.58*</w:t>
            </w:r>
          </w:p>
        </w:tc>
        <w:tc>
          <w:tcPr>
            <w:tcW w:w="821" w:type="dxa"/>
          </w:tcPr>
          <w:p w14:paraId="6D067DC8" w14:textId="10357F0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1.96**</w:t>
            </w:r>
          </w:p>
        </w:tc>
      </w:tr>
      <w:tr w:rsidR="00FD0F48" w:rsidRPr="00FD0F48" w14:paraId="7293FC2F" w14:textId="77777777" w:rsidTr="00FD0F48">
        <w:tc>
          <w:tcPr>
            <w:tcW w:w="2578" w:type="dxa"/>
          </w:tcPr>
          <w:p w14:paraId="65B68006" w14:textId="1BADF4A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Index of multiple deprivation quintile 5 (most deprived) </w:t>
            </w:r>
          </w:p>
        </w:tc>
        <w:tc>
          <w:tcPr>
            <w:tcW w:w="821" w:type="dxa"/>
          </w:tcPr>
          <w:p w14:paraId="255A61E3" w14:textId="5FCAE44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1.56**</w:t>
            </w:r>
          </w:p>
        </w:tc>
        <w:tc>
          <w:tcPr>
            <w:tcW w:w="931" w:type="dxa"/>
          </w:tcPr>
          <w:p w14:paraId="176A1709" w14:textId="5CB849B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1.36**</w:t>
            </w:r>
          </w:p>
        </w:tc>
        <w:tc>
          <w:tcPr>
            <w:tcW w:w="962" w:type="dxa"/>
          </w:tcPr>
          <w:p w14:paraId="5C027861" w14:textId="3359CA2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1.62*</w:t>
            </w:r>
          </w:p>
        </w:tc>
        <w:tc>
          <w:tcPr>
            <w:tcW w:w="821" w:type="dxa"/>
          </w:tcPr>
          <w:p w14:paraId="65D0FF59" w14:textId="16ADB4C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2.04**</w:t>
            </w:r>
          </w:p>
        </w:tc>
        <w:tc>
          <w:tcPr>
            <w:tcW w:w="986" w:type="dxa"/>
          </w:tcPr>
          <w:p w14:paraId="1DE0D891" w14:textId="2CDF338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2.08**</w:t>
            </w:r>
          </w:p>
        </w:tc>
        <w:tc>
          <w:tcPr>
            <w:tcW w:w="977" w:type="dxa"/>
          </w:tcPr>
          <w:p w14:paraId="55E10758" w14:textId="09C8133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821" w:type="dxa"/>
          </w:tcPr>
          <w:p w14:paraId="34E39E8D" w14:textId="6F567CF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3.21**</w:t>
            </w:r>
          </w:p>
        </w:tc>
      </w:tr>
      <w:tr w:rsidR="00FD0F48" w:rsidRPr="00FD0F48" w14:paraId="2A9E1E87" w14:textId="77777777" w:rsidTr="00FD0F48">
        <w:tc>
          <w:tcPr>
            <w:tcW w:w="2578" w:type="dxa"/>
          </w:tcPr>
          <w:p w14:paraId="323E9601" w14:textId="7B8F39E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Income: low </w:t>
            </w:r>
          </w:p>
        </w:tc>
        <w:tc>
          <w:tcPr>
            <w:tcW w:w="821" w:type="dxa"/>
          </w:tcPr>
          <w:p w14:paraId="260D72D1" w14:textId="05A57C9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1.33**</w:t>
            </w:r>
          </w:p>
        </w:tc>
        <w:tc>
          <w:tcPr>
            <w:tcW w:w="931" w:type="dxa"/>
          </w:tcPr>
          <w:p w14:paraId="6CFA7638" w14:textId="7CE7469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962" w:type="dxa"/>
          </w:tcPr>
          <w:p w14:paraId="5F962852" w14:textId="7F7FE31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1.32</w:t>
            </w:r>
          </w:p>
        </w:tc>
        <w:tc>
          <w:tcPr>
            <w:tcW w:w="821" w:type="dxa"/>
          </w:tcPr>
          <w:p w14:paraId="1E95B3DF" w14:textId="02B4B5D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1.16</w:t>
            </w:r>
          </w:p>
        </w:tc>
        <w:tc>
          <w:tcPr>
            <w:tcW w:w="986" w:type="dxa"/>
          </w:tcPr>
          <w:p w14:paraId="702242EF" w14:textId="277E292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1.49*</w:t>
            </w:r>
          </w:p>
        </w:tc>
        <w:tc>
          <w:tcPr>
            <w:tcW w:w="977" w:type="dxa"/>
          </w:tcPr>
          <w:p w14:paraId="6D6EAB41" w14:textId="5F62208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1.44</w:t>
            </w:r>
          </w:p>
        </w:tc>
        <w:tc>
          <w:tcPr>
            <w:tcW w:w="821" w:type="dxa"/>
          </w:tcPr>
          <w:p w14:paraId="49ACD420" w14:textId="6404F8A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1.85**</w:t>
            </w:r>
          </w:p>
        </w:tc>
      </w:tr>
      <w:tr w:rsidR="00FD0F48" w:rsidRPr="00FD0F48" w14:paraId="5E9AB904" w14:textId="77777777" w:rsidTr="00FD0F48">
        <w:tc>
          <w:tcPr>
            <w:tcW w:w="2578" w:type="dxa"/>
          </w:tcPr>
          <w:p w14:paraId="0F05E60E" w14:textId="40AC41B5"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Income: medium </w:t>
            </w:r>
          </w:p>
        </w:tc>
        <w:tc>
          <w:tcPr>
            <w:tcW w:w="821" w:type="dxa"/>
          </w:tcPr>
          <w:p w14:paraId="705765B9" w14:textId="38A9C18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1.11**</w:t>
            </w:r>
          </w:p>
        </w:tc>
        <w:tc>
          <w:tcPr>
            <w:tcW w:w="931" w:type="dxa"/>
          </w:tcPr>
          <w:p w14:paraId="63E664B7" w14:textId="4F8C9C8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962" w:type="dxa"/>
          </w:tcPr>
          <w:p w14:paraId="18B299B9" w14:textId="6838098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1.12</w:t>
            </w:r>
          </w:p>
        </w:tc>
        <w:tc>
          <w:tcPr>
            <w:tcW w:w="821" w:type="dxa"/>
          </w:tcPr>
          <w:p w14:paraId="16C00E80" w14:textId="69AFCC3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0.96</w:t>
            </w:r>
          </w:p>
        </w:tc>
        <w:tc>
          <w:tcPr>
            <w:tcW w:w="986" w:type="dxa"/>
          </w:tcPr>
          <w:p w14:paraId="60F8F221" w14:textId="2DFCE6D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977" w:type="dxa"/>
          </w:tcPr>
          <w:p w14:paraId="496DCD94" w14:textId="5285CDC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821" w:type="dxa"/>
          </w:tcPr>
          <w:p w14:paraId="14748EB2" w14:textId="2DC31DB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1.47*</w:t>
            </w:r>
          </w:p>
        </w:tc>
      </w:tr>
      <w:tr w:rsidR="00FD0F48" w:rsidRPr="00FD0F48" w14:paraId="0637842A" w14:textId="77777777" w:rsidTr="00FD0F48">
        <w:tc>
          <w:tcPr>
            <w:tcW w:w="2578" w:type="dxa"/>
          </w:tcPr>
          <w:p w14:paraId="70B8BCBF" w14:textId="2B6195F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Not in work </w:t>
            </w:r>
          </w:p>
        </w:tc>
        <w:tc>
          <w:tcPr>
            <w:tcW w:w="821" w:type="dxa"/>
          </w:tcPr>
          <w:p w14:paraId="7A2DD39C" w14:textId="6371A6D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0.94</w:t>
            </w:r>
          </w:p>
        </w:tc>
        <w:tc>
          <w:tcPr>
            <w:tcW w:w="931" w:type="dxa"/>
          </w:tcPr>
          <w:p w14:paraId="4B1BFAFC" w14:textId="605D900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1.44**</w:t>
            </w:r>
          </w:p>
        </w:tc>
        <w:tc>
          <w:tcPr>
            <w:tcW w:w="962" w:type="dxa"/>
          </w:tcPr>
          <w:p w14:paraId="0B78845F" w14:textId="48D34D8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1.45**</w:t>
            </w:r>
          </w:p>
        </w:tc>
        <w:tc>
          <w:tcPr>
            <w:tcW w:w="821" w:type="dxa"/>
          </w:tcPr>
          <w:p w14:paraId="297AD66D" w14:textId="183B650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1.33**</w:t>
            </w:r>
          </w:p>
        </w:tc>
        <w:tc>
          <w:tcPr>
            <w:tcW w:w="986" w:type="dxa"/>
          </w:tcPr>
          <w:p w14:paraId="6880E9FD" w14:textId="5A31097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1.40*</w:t>
            </w:r>
          </w:p>
        </w:tc>
        <w:tc>
          <w:tcPr>
            <w:tcW w:w="977" w:type="dxa"/>
          </w:tcPr>
          <w:p w14:paraId="349D794F" w14:textId="7235229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1.68**</w:t>
            </w:r>
          </w:p>
        </w:tc>
        <w:tc>
          <w:tcPr>
            <w:tcW w:w="821" w:type="dxa"/>
          </w:tcPr>
          <w:p w14:paraId="1843A2D8" w14:textId="3157DE8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1.87**</w:t>
            </w:r>
          </w:p>
        </w:tc>
      </w:tr>
      <w:tr w:rsidR="00FD0F48" w:rsidRPr="00FD0F48" w14:paraId="169DA719" w14:textId="77777777" w:rsidTr="00FD0F48">
        <w:tc>
          <w:tcPr>
            <w:tcW w:w="2578" w:type="dxa"/>
          </w:tcPr>
          <w:p w14:paraId="1AD60013" w14:textId="59C417E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Education: no degree</w:t>
            </w:r>
          </w:p>
        </w:tc>
        <w:tc>
          <w:tcPr>
            <w:tcW w:w="821" w:type="dxa"/>
          </w:tcPr>
          <w:p w14:paraId="1ECD90F3" w14:textId="1A196CC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1.40**</w:t>
            </w:r>
          </w:p>
        </w:tc>
        <w:tc>
          <w:tcPr>
            <w:tcW w:w="931" w:type="dxa"/>
          </w:tcPr>
          <w:p w14:paraId="4F3E8F05" w14:textId="006B441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1.21*</w:t>
            </w:r>
          </w:p>
        </w:tc>
        <w:tc>
          <w:tcPr>
            <w:tcW w:w="962" w:type="dxa"/>
          </w:tcPr>
          <w:p w14:paraId="2E019D5E" w14:textId="6D52E034"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1.10</w:t>
            </w:r>
          </w:p>
        </w:tc>
        <w:tc>
          <w:tcPr>
            <w:tcW w:w="821" w:type="dxa"/>
          </w:tcPr>
          <w:p w14:paraId="0EFEDDDE" w14:textId="399EB93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1.80**</w:t>
            </w:r>
          </w:p>
        </w:tc>
        <w:tc>
          <w:tcPr>
            <w:tcW w:w="986" w:type="dxa"/>
          </w:tcPr>
          <w:p w14:paraId="62924265" w14:textId="2644227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1.19</w:t>
            </w:r>
          </w:p>
        </w:tc>
        <w:tc>
          <w:tcPr>
            <w:tcW w:w="977" w:type="dxa"/>
          </w:tcPr>
          <w:p w14:paraId="200A181A" w14:textId="7B7DC58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1.54*</w:t>
            </w:r>
          </w:p>
        </w:tc>
        <w:tc>
          <w:tcPr>
            <w:tcW w:w="821" w:type="dxa"/>
          </w:tcPr>
          <w:p w14:paraId="3E4B5724" w14:textId="1300D43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2.03**</w:t>
            </w:r>
          </w:p>
        </w:tc>
      </w:tr>
      <w:tr w:rsidR="00FD0F48" w:rsidRPr="00FD0F48" w14:paraId="5D9B2E79" w14:textId="77777777" w:rsidTr="00FD0F48">
        <w:tc>
          <w:tcPr>
            <w:tcW w:w="2578" w:type="dxa"/>
          </w:tcPr>
          <w:p w14:paraId="3920310A" w14:textId="52D6B317"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Renting or free ownership</w:t>
            </w:r>
          </w:p>
        </w:tc>
        <w:tc>
          <w:tcPr>
            <w:tcW w:w="821" w:type="dxa"/>
          </w:tcPr>
          <w:p w14:paraId="23062700" w14:textId="5C6FDC3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931" w:type="dxa"/>
          </w:tcPr>
          <w:p w14:paraId="3E12E0B9" w14:textId="2E20279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0.95</w:t>
            </w:r>
          </w:p>
        </w:tc>
        <w:tc>
          <w:tcPr>
            <w:tcW w:w="962" w:type="dxa"/>
          </w:tcPr>
          <w:p w14:paraId="7543FC1C" w14:textId="1F701DC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0.81</w:t>
            </w:r>
          </w:p>
        </w:tc>
        <w:tc>
          <w:tcPr>
            <w:tcW w:w="821" w:type="dxa"/>
          </w:tcPr>
          <w:p w14:paraId="4C2BB562" w14:textId="19347BB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1.13</w:t>
            </w:r>
          </w:p>
        </w:tc>
        <w:tc>
          <w:tcPr>
            <w:tcW w:w="986" w:type="dxa"/>
          </w:tcPr>
          <w:p w14:paraId="43DA4A24" w14:textId="1EEC31F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1.33</w:t>
            </w:r>
          </w:p>
        </w:tc>
        <w:tc>
          <w:tcPr>
            <w:tcW w:w="977" w:type="dxa"/>
          </w:tcPr>
          <w:p w14:paraId="285B233E" w14:textId="230F22C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1.09</w:t>
            </w:r>
          </w:p>
        </w:tc>
        <w:tc>
          <w:tcPr>
            <w:tcW w:w="821" w:type="dxa"/>
          </w:tcPr>
          <w:p w14:paraId="4B63C509" w14:textId="21D9D61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1.87**</w:t>
            </w:r>
          </w:p>
        </w:tc>
      </w:tr>
      <w:tr w:rsidR="00FD0F48" w:rsidRPr="00FD0F48" w14:paraId="2BDE4327" w14:textId="77777777" w:rsidTr="00FD0F48">
        <w:tc>
          <w:tcPr>
            <w:tcW w:w="2578" w:type="dxa"/>
          </w:tcPr>
          <w:p w14:paraId="2552CFFE" w14:textId="11A16AF3"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Buying or 1⁄2 rent/mortgage</w:t>
            </w:r>
          </w:p>
        </w:tc>
        <w:tc>
          <w:tcPr>
            <w:tcW w:w="821" w:type="dxa"/>
          </w:tcPr>
          <w:p w14:paraId="75021CA9" w14:textId="4A614CA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1.24**</w:t>
            </w:r>
          </w:p>
        </w:tc>
        <w:tc>
          <w:tcPr>
            <w:tcW w:w="931" w:type="dxa"/>
          </w:tcPr>
          <w:p w14:paraId="6D1273FB" w14:textId="229C4BD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0.93</w:t>
            </w:r>
          </w:p>
        </w:tc>
        <w:tc>
          <w:tcPr>
            <w:tcW w:w="962" w:type="dxa"/>
          </w:tcPr>
          <w:p w14:paraId="77F8564C" w14:textId="2B32607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0.94</w:t>
            </w:r>
          </w:p>
        </w:tc>
        <w:tc>
          <w:tcPr>
            <w:tcW w:w="821" w:type="dxa"/>
          </w:tcPr>
          <w:p w14:paraId="0D139407" w14:textId="0D7B550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1.38**</w:t>
            </w:r>
          </w:p>
        </w:tc>
        <w:tc>
          <w:tcPr>
            <w:tcW w:w="986" w:type="dxa"/>
          </w:tcPr>
          <w:p w14:paraId="4322921B" w14:textId="664488D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1.17</w:t>
            </w:r>
          </w:p>
        </w:tc>
        <w:tc>
          <w:tcPr>
            <w:tcW w:w="977" w:type="dxa"/>
          </w:tcPr>
          <w:p w14:paraId="204BED2D" w14:textId="16B5432C"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1.02</w:t>
            </w:r>
          </w:p>
        </w:tc>
        <w:tc>
          <w:tcPr>
            <w:tcW w:w="821" w:type="dxa"/>
          </w:tcPr>
          <w:p w14:paraId="1BD6A93F" w14:textId="3CF5F15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1.40</w:t>
            </w:r>
          </w:p>
        </w:tc>
      </w:tr>
      <w:tr w:rsidR="00FD0F48" w:rsidRPr="00FD0F48" w14:paraId="6625FF50" w14:textId="77777777" w:rsidTr="00FD0F48">
        <w:tc>
          <w:tcPr>
            <w:tcW w:w="2578" w:type="dxa"/>
          </w:tcPr>
          <w:p w14:paraId="08C2FC0C" w14:textId="7890ADD6"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Never regular smoker</w:t>
            </w:r>
          </w:p>
        </w:tc>
        <w:tc>
          <w:tcPr>
            <w:tcW w:w="821" w:type="dxa"/>
          </w:tcPr>
          <w:p w14:paraId="3B4C19C6" w14:textId="11C7895A"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1.31**</w:t>
            </w:r>
          </w:p>
        </w:tc>
        <w:tc>
          <w:tcPr>
            <w:tcW w:w="931" w:type="dxa"/>
          </w:tcPr>
          <w:p w14:paraId="71858A5B" w14:textId="61153C1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0.93</w:t>
            </w:r>
          </w:p>
        </w:tc>
        <w:tc>
          <w:tcPr>
            <w:tcW w:w="962" w:type="dxa"/>
          </w:tcPr>
          <w:p w14:paraId="2B19C590" w14:textId="46AC5A0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0.82</w:t>
            </w:r>
          </w:p>
        </w:tc>
        <w:tc>
          <w:tcPr>
            <w:tcW w:w="821" w:type="dxa"/>
          </w:tcPr>
          <w:p w14:paraId="16BCEC92" w14:textId="4F78D75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1.48**</w:t>
            </w:r>
          </w:p>
        </w:tc>
        <w:tc>
          <w:tcPr>
            <w:tcW w:w="986" w:type="dxa"/>
          </w:tcPr>
          <w:p w14:paraId="68CC6CE9" w14:textId="6E41C8D0"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1.19</w:t>
            </w:r>
          </w:p>
        </w:tc>
        <w:tc>
          <w:tcPr>
            <w:tcW w:w="977" w:type="dxa"/>
          </w:tcPr>
          <w:p w14:paraId="057B189D" w14:textId="42DEA88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1.16</w:t>
            </w:r>
          </w:p>
        </w:tc>
        <w:tc>
          <w:tcPr>
            <w:tcW w:w="821" w:type="dxa"/>
          </w:tcPr>
          <w:p w14:paraId="5E6BFD13" w14:textId="4239568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1.85**</w:t>
            </w:r>
          </w:p>
        </w:tc>
      </w:tr>
      <w:tr w:rsidR="00FD0F48" w:rsidRPr="00FD0F48" w14:paraId="79FFF57B" w14:textId="77777777" w:rsidTr="00FD0F48">
        <w:tc>
          <w:tcPr>
            <w:tcW w:w="2578" w:type="dxa"/>
            <w:tcBorders>
              <w:bottom w:val="single" w:sz="4" w:space="0" w:color="auto"/>
            </w:tcBorders>
          </w:tcPr>
          <w:p w14:paraId="5AC07CE6" w14:textId="6169E878"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Former regular smoke</w:t>
            </w:r>
          </w:p>
        </w:tc>
        <w:tc>
          <w:tcPr>
            <w:tcW w:w="821" w:type="dxa"/>
            <w:tcBorders>
              <w:bottom w:val="single" w:sz="4" w:space="0" w:color="auto"/>
            </w:tcBorders>
          </w:tcPr>
          <w:p w14:paraId="25845F6B" w14:textId="2EED08E1"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1.61**</w:t>
            </w:r>
          </w:p>
        </w:tc>
        <w:tc>
          <w:tcPr>
            <w:tcW w:w="931" w:type="dxa"/>
            <w:tcBorders>
              <w:bottom w:val="single" w:sz="4" w:space="0" w:color="auto"/>
            </w:tcBorders>
          </w:tcPr>
          <w:p w14:paraId="624D59DF" w14:textId="06B0536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1.12</w:t>
            </w:r>
          </w:p>
        </w:tc>
        <w:tc>
          <w:tcPr>
            <w:tcW w:w="962" w:type="dxa"/>
            <w:tcBorders>
              <w:bottom w:val="single" w:sz="4" w:space="0" w:color="auto"/>
            </w:tcBorders>
          </w:tcPr>
          <w:p w14:paraId="4C7D9D39" w14:textId="5D0778DE"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1.33</w:t>
            </w:r>
          </w:p>
        </w:tc>
        <w:tc>
          <w:tcPr>
            <w:tcW w:w="821" w:type="dxa"/>
            <w:tcBorders>
              <w:bottom w:val="single" w:sz="4" w:space="0" w:color="auto"/>
            </w:tcBorders>
          </w:tcPr>
          <w:p w14:paraId="0A056C0D" w14:textId="69E8EAA2"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2.10**</w:t>
            </w:r>
          </w:p>
        </w:tc>
        <w:tc>
          <w:tcPr>
            <w:tcW w:w="986" w:type="dxa"/>
            <w:tcBorders>
              <w:bottom w:val="single" w:sz="4" w:space="0" w:color="auto"/>
            </w:tcBorders>
          </w:tcPr>
          <w:p w14:paraId="0D0EE81F" w14:textId="6CC1BC4F"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1.75**</w:t>
            </w:r>
          </w:p>
        </w:tc>
        <w:tc>
          <w:tcPr>
            <w:tcW w:w="977" w:type="dxa"/>
            <w:tcBorders>
              <w:bottom w:val="single" w:sz="4" w:space="0" w:color="auto"/>
            </w:tcBorders>
          </w:tcPr>
          <w:p w14:paraId="0FEBA5FC" w14:textId="1CE4BAAB"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1.29</w:t>
            </w:r>
          </w:p>
        </w:tc>
        <w:tc>
          <w:tcPr>
            <w:tcW w:w="821" w:type="dxa"/>
            <w:tcBorders>
              <w:bottom w:val="single" w:sz="4" w:space="0" w:color="auto"/>
            </w:tcBorders>
          </w:tcPr>
          <w:p w14:paraId="5E4B7B47" w14:textId="2CBA29ED"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3.37**</w:t>
            </w:r>
          </w:p>
        </w:tc>
      </w:tr>
    </w:tbl>
    <w:p w14:paraId="63CEE3E9" w14:textId="77777777" w:rsidR="00FD0F48" w:rsidRPr="00FD0F48" w:rsidRDefault="00FD0F48" w:rsidP="00FD0F48">
      <w:pPr>
        <w:widowControl w:val="0"/>
        <w:autoSpaceDE w:val="0"/>
        <w:autoSpaceDN w:val="0"/>
        <w:adjustRightInd w:val="0"/>
        <w:rPr>
          <w:rFonts w:ascii="Calibri" w:hAnsi="Calibri" w:cs="Times"/>
          <w:sz w:val="20"/>
          <w:szCs w:val="20"/>
          <w:lang w:val="en-US"/>
        </w:rPr>
      </w:pPr>
    </w:p>
    <w:p w14:paraId="0DD9F87B" w14:textId="7E1E4FA9" w:rsidR="00FD0F48" w:rsidRPr="00FD0F48" w:rsidRDefault="00FD0F48" w:rsidP="00FD0F48">
      <w:pPr>
        <w:widowControl w:val="0"/>
        <w:autoSpaceDE w:val="0"/>
        <w:autoSpaceDN w:val="0"/>
        <w:adjustRightInd w:val="0"/>
        <w:rPr>
          <w:rFonts w:ascii="Calibri" w:hAnsi="Calibri" w:cs="Times"/>
          <w:sz w:val="20"/>
          <w:szCs w:val="20"/>
          <w:lang w:val="en-US"/>
        </w:rPr>
      </w:pPr>
      <w:r w:rsidRPr="00FD0F48">
        <w:rPr>
          <w:rFonts w:ascii="Calibri" w:hAnsi="Calibri" w:cs="Times"/>
          <w:sz w:val="20"/>
          <w:szCs w:val="20"/>
          <w:lang w:val="en-US"/>
        </w:rPr>
        <w:t>* Significant at the 0.05 level; ** significant at the 0.01 level</w:t>
      </w:r>
    </w:p>
    <w:p w14:paraId="63CE5723" w14:textId="77777777" w:rsidR="00FD0F48" w:rsidRPr="00FD0F48" w:rsidRDefault="00FD0F48" w:rsidP="009B1A49">
      <w:pPr>
        <w:jc w:val="both"/>
        <w:rPr>
          <w:rFonts w:ascii="Calibri" w:hAnsi="Calibri" w:cs="Times"/>
          <w:sz w:val="20"/>
          <w:szCs w:val="20"/>
          <w:lang w:val="en-US"/>
        </w:rPr>
      </w:pPr>
    </w:p>
    <w:p w14:paraId="614112FD" w14:textId="28E49254" w:rsidR="00D93B33" w:rsidRPr="00FD0F48" w:rsidRDefault="00FD0F48" w:rsidP="009B1A49">
      <w:pPr>
        <w:jc w:val="both"/>
        <w:rPr>
          <w:rFonts w:ascii="Calibri" w:hAnsi="Calibri" w:cs="Times"/>
          <w:sz w:val="20"/>
          <w:szCs w:val="20"/>
          <w:lang w:val="en-US"/>
        </w:rPr>
      </w:pPr>
      <w:r w:rsidRPr="00FD0F48">
        <w:rPr>
          <w:rFonts w:ascii="Calibri" w:hAnsi="Calibri" w:cs="Times"/>
          <w:sz w:val="20"/>
          <w:szCs w:val="20"/>
          <w:lang w:val="en-US"/>
        </w:rPr>
        <w:t>The reference group is: female, age 16–54, white, single, high income, in work, degree, home-owning, living in the most deprived area and currently smoking.</w:t>
      </w:r>
    </w:p>
    <w:p w14:paraId="069DDD96" w14:textId="77777777" w:rsidR="00FD0F48" w:rsidRPr="00FD0F48" w:rsidRDefault="00FD0F48" w:rsidP="009B1A49">
      <w:pPr>
        <w:jc w:val="both"/>
        <w:rPr>
          <w:rFonts w:ascii="Calibri" w:hAnsi="Calibri" w:cs="Times"/>
          <w:sz w:val="20"/>
          <w:szCs w:val="20"/>
          <w:lang w:val="en-US"/>
        </w:rPr>
      </w:pPr>
    </w:p>
    <w:p w14:paraId="714A73D1" w14:textId="504A1F32" w:rsidR="00FD0F48" w:rsidRPr="00FD0F48" w:rsidRDefault="00FD0F48" w:rsidP="009B1A49">
      <w:pPr>
        <w:jc w:val="both"/>
        <w:rPr>
          <w:rFonts w:ascii="Calibri" w:hAnsi="Calibri"/>
          <w:sz w:val="20"/>
          <w:szCs w:val="20"/>
        </w:rPr>
      </w:pPr>
      <w:r w:rsidRPr="00FD0F48">
        <w:rPr>
          <w:rFonts w:ascii="Calibri" w:hAnsi="Calibri" w:cs="Times"/>
          <w:sz w:val="20"/>
          <w:szCs w:val="20"/>
          <w:lang w:val="en-US"/>
        </w:rPr>
        <w:t>The odds ratio coefficients of the model and their significance levels are shown</w:t>
      </w:r>
    </w:p>
    <w:sectPr w:rsidR="00FD0F48" w:rsidRPr="00FD0F48" w:rsidSect="009B1A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49"/>
    <w:rsid w:val="00171961"/>
    <w:rsid w:val="00226805"/>
    <w:rsid w:val="00245055"/>
    <w:rsid w:val="00407C2D"/>
    <w:rsid w:val="00462F8E"/>
    <w:rsid w:val="00566674"/>
    <w:rsid w:val="006312B8"/>
    <w:rsid w:val="00833C03"/>
    <w:rsid w:val="00951415"/>
    <w:rsid w:val="009B1A49"/>
    <w:rsid w:val="00BF16D3"/>
    <w:rsid w:val="00D43518"/>
    <w:rsid w:val="00D93B33"/>
    <w:rsid w:val="00DF6C42"/>
    <w:rsid w:val="00FC0EE9"/>
    <w:rsid w:val="00FD0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D5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A4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A4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7133</Words>
  <Characters>40663</Characters>
  <Application>Microsoft Macintosh Word</Application>
  <DocSecurity>0</DocSecurity>
  <Lines>338</Lines>
  <Paragraphs>95</Paragraphs>
  <ScaleCrop>false</ScaleCrop>
  <Company>University of Liverpool</Company>
  <LinksUpToDate>false</LinksUpToDate>
  <CharactersWithSpaces>47701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Williamson</dc:creator>
  <cp:keywords/>
  <dc:description/>
  <cp:lastModifiedBy>Paul Williamson</cp:lastModifiedBy>
  <cp:revision>6</cp:revision>
  <dcterms:created xsi:type="dcterms:W3CDTF">2017-03-17T10:12:00Z</dcterms:created>
  <dcterms:modified xsi:type="dcterms:W3CDTF">2017-03-17T11:54:00Z</dcterms:modified>
</cp:coreProperties>
</file>