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8EF3" w14:textId="64454AA2" w:rsidR="004267C9" w:rsidRPr="005C2F74" w:rsidRDefault="004267C9" w:rsidP="004267C9">
      <w:pPr>
        <w:pStyle w:val="Title"/>
      </w:pPr>
      <w:r w:rsidRPr="005C2F74">
        <w:t>Power, poli</w:t>
      </w:r>
      <w:r w:rsidR="00F57950">
        <w:t xml:space="preserve">cy ideas and paternalism in non-communicable disease prevention. </w:t>
      </w:r>
      <w:r w:rsidRPr="005C2F74">
        <w:t xml:space="preserve"> </w:t>
      </w:r>
    </w:p>
    <w:p w14:paraId="4184D698" w14:textId="77777777" w:rsidR="004267C9" w:rsidRPr="005C2F74" w:rsidRDefault="004267C9" w:rsidP="004267C9">
      <w:pPr>
        <w:pStyle w:val="Subtitle"/>
        <w:rPr>
          <w:color w:val="auto"/>
        </w:rPr>
      </w:pPr>
    </w:p>
    <w:p w14:paraId="202968A7" w14:textId="276EDB31" w:rsidR="004267C9" w:rsidRPr="00851178" w:rsidRDefault="003E25CA" w:rsidP="004267C9">
      <w:pPr>
        <w:pStyle w:val="Subtitle"/>
        <w:rPr>
          <w:i/>
          <w:color w:val="auto"/>
        </w:rPr>
      </w:pPr>
      <w:r w:rsidRPr="00851178">
        <w:rPr>
          <w:i/>
          <w:color w:val="auto"/>
        </w:rPr>
        <w:t>Oliver Bartlett, Lecturer in Law, Liverpool S</w:t>
      </w:r>
      <w:r w:rsidR="00851178">
        <w:rPr>
          <w:i/>
          <w:color w:val="auto"/>
        </w:rPr>
        <w:t>chool of Law and Social Justice</w:t>
      </w:r>
    </w:p>
    <w:p w14:paraId="6FA08391" w14:textId="77777777" w:rsidR="004267C9" w:rsidRPr="005C2F74" w:rsidRDefault="004267C9" w:rsidP="004267C9"/>
    <w:p w14:paraId="7CC4E8EB" w14:textId="5E955335" w:rsidR="004267C9" w:rsidRPr="001D5710" w:rsidRDefault="00C1183D" w:rsidP="001D5710">
      <w:pPr>
        <w:autoSpaceDE w:val="0"/>
        <w:autoSpaceDN w:val="0"/>
        <w:adjustRightInd w:val="0"/>
        <w:spacing w:after="200" w:line="276" w:lineRule="auto"/>
        <w:rPr>
          <w:rFonts w:ascii="Cambria" w:hAnsi="Cambria"/>
          <w:b/>
          <w:sz w:val="28"/>
          <w:szCs w:val="28"/>
        </w:rPr>
      </w:pPr>
      <w:r>
        <w:rPr>
          <w:rFonts w:ascii="Cambria" w:hAnsi="Cambria"/>
          <w:b/>
          <w:sz w:val="28"/>
          <w:szCs w:val="28"/>
        </w:rPr>
        <w:t xml:space="preserve">I </w:t>
      </w:r>
      <w:r w:rsidR="00D81D67">
        <w:rPr>
          <w:rFonts w:ascii="Cambria" w:hAnsi="Cambria"/>
          <w:b/>
          <w:sz w:val="28"/>
          <w:szCs w:val="28"/>
        </w:rPr>
        <w:t>Introduction</w:t>
      </w:r>
    </w:p>
    <w:p w14:paraId="2928821F" w14:textId="7134C292" w:rsidR="004267C9" w:rsidRPr="005C2F74" w:rsidRDefault="0081081A" w:rsidP="004267C9">
      <w:pPr>
        <w:autoSpaceDE w:val="0"/>
        <w:autoSpaceDN w:val="0"/>
        <w:adjustRightInd w:val="0"/>
        <w:spacing w:after="200" w:line="276" w:lineRule="auto"/>
        <w:rPr>
          <w:rFonts w:ascii="Cambria" w:hAnsi="Cambria"/>
        </w:rPr>
      </w:pPr>
      <w:r>
        <w:rPr>
          <w:rFonts w:ascii="Cambria" w:hAnsi="Cambria"/>
          <w:szCs w:val="24"/>
        </w:rPr>
        <w:t>Policy-</w:t>
      </w:r>
      <w:r w:rsidR="004267C9" w:rsidRPr="005C2F74">
        <w:rPr>
          <w:rFonts w:ascii="Cambria" w:hAnsi="Cambria"/>
          <w:szCs w:val="24"/>
        </w:rPr>
        <w:t xml:space="preserve">making is guided by the interaction of ideas and interests. In the field of non-communicable disease prevention this mixing of ideas and interests is especially complex, and policy outcomes are often heavily influenced by </w:t>
      </w:r>
      <w:r>
        <w:rPr>
          <w:rFonts w:ascii="Cambria" w:hAnsi="Cambria"/>
          <w:szCs w:val="24"/>
        </w:rPr>
        <w:t>the</w:t>
      </w:r>
      <w:r w:rsidR="004267C9" w:rsidRPr="005C2F74">
        <w:rPr>
          <w:rFonts w:ascii="Cambria" w:hAnsi="Cambria"/>
          <w:szCs w:val="24"/>
        </w:rPr>
        <w:t xml:space="preserve"> balance of power within the process. </w:t>
      </w:r>
    </w:p>
    <w:p w14:paraId="1214B7C1" w14:textId="56323451" w:rsidR="004267C9" w:rsidRPr="0081081A" w:rsidRDefault="006E4D0B" w:rsidP="0081081A">
      <w:pPr>
        <w:autoSpaceDE w:val="0"/>
        <w:autoSpaceDN w:val="0"/>
        <w:adjustRightInd w:val="0"/>
        <w:spacing w:after="200" w:line="276" w:lineRule="auto"/>
        <w:rPr>
          <w:rFonts w:ascii="Cambria" w:hAnsi="Cambria"/>
          <w:szCs w:val="24"/>
        </w:rPr>
      </w:pPr>
      <w:r>
        <w:rPr>
          <w:rFonts w:ascii="Cambria" w:hAnsi="Cambria"/>
          <w:szCs w:val="24"/>
        </w:rPr>
        <w:t xml:space="preserve">The concept of power in </w:t>
      </w:r>
      <w:r w:rsidR="004267C9" w:rsidRPr="005C2F74">
        <w:rPr>
          <w:rFonts w:ascii="Cambria" w:hAnsi="Cambria"/>
          <w:szCs w:val="24"/>
        </w:rPr>
        <w:t xml:space="preserve">policy making </w:t>
      </w:r>
      <w:r w:rsidRPr="005C2F74">
        <w:rPr>
          <w:rFonts w:ascii="Cambria" w:hAnsi="Cambria"/>
          <w:szCs w:val="24"/>
        </w:rPr>
        <w:t>process</w:t>
      </w:r>
      <w:r>
        <w:rPr>
          <w:rFonts w:ascii="Cambria" w:hAnsi="Cambria"/>
          <w:szCs w:val="24"/>
        </w:rPr>
        <w:t>es</w:t>
      </w:r>
      <w:r w:rsidR="004267C9" w:rsidRPr="005C2F74">
        <w:rPr>
          <w:rFonts w:ascii="Cambria" w:hAnsi="Cambria"/>
          <w:szCs w:val="24"/>
        </w:rPr>
        <w:t xml:space="preserve"> </w:t>
      </w:r>
      <w:r>
        <w:rPr>
          <w:rFonts w:ascii="Cambria" w:hAnsi="Cambria"/>
          <w:szCs w:val="24"/>
        </w:rPr>
        <w:t>has been studied extensively</w:t>
      </w:r>
      <w:r w:rsidR="004267C9" w:rsidRPr="005C2F74">
        <w:rPr>
          <w:rFonts w:ascii="Cambria" w:hAnsi="Cambria"/>
          <w:szCs w:val="24"/>
        </w:rPr>
        <w:t xml:space="preserve">. Power can be understood as </w:t>
      </w:r>
      <w:r w:rsidR="0081081A" w:rsidRPr="005C2F74">
        <w:rPr>
          <w:rFonts w:ascii="Cambria" w:hAnsi="Cambria"/>
        </w:rPr>
        <w:t>the ‘ability of a political actor to influence the behaviour of others in such a way as to gain a preferred</w:t>
      </w:r>
      <w:r w:rsidR="00FF28CD">
        <w:rPr>
          <w:rFonts w:ascii="Cambria" w:hAnsi="Cambria"/>
        </w:rPr>
        <w:t xml:space="preserve"> outcome.’</w:t>
      </w:r>
      <w:r w:rsidR="0081081A" w:rsidRPr="005C2F74">
        <w:rPr>
          <w:rStyle w:val="FootnoteReference"/>
          <w:rFonts w:ascii="Cambria" w:hAnsi="Cambria"/>
        </w:rPr>
        <w:footnoteReference w:id="1"/>
      </w:r>
      <w:r w:rsidR="0081081A">
        <w:rPr>
          <w:rFonts w:ascii="Cambria" w:hAnsi="Cambria"/>
          <w:szCs w:val="24"/>
        </w:rPr>
        <w:t xml:space="preserve"> </w:t>
      </w:r>
      <w:r w:rsidR="00776CC4">
        <w:rPr>
          <w:rFonts w:ascii="Cambria" w:hAnsi="Cambria"/>
          <w:szCs w:val="24"/>
        </w:rPr>
        <w:t xml:space="preserve">It is also recognised that </w:t>
      </w:r>
      <w:r w:rsidR="0081081A">
        <w:rPr>
          <w:rFonts w:ascii="Cambria" w:hAnsi="Cambria"/>
          <w:szCs w:val="24"/>
        </w:rPr>
        <w:t>‘</w:t>
      </w:r>
      <w:r w:rsidR="00CC2E71">
        <w:rPr>
          <w:rFonts w:ascii="Cambria" w:hAnsi="Cambria"/>
          <w:szCs w:val="24"/>
        </w:rPr>
        <w:t>w</w:t>
      </w:r>
      <w:r w:rsidR="0081081A" w:rsidRPr="0081081A">
        <w:rPr>
          <w:rFonts w:ascii="Cambria" w:hAnsi="Cambria"/>
          <w:szCs w:val="24"/>
        </w:rPr>
        <w:t>hen several persons or organisations are involved in</w:t>
      </w:r>
      <w:r w:rsidR="0081081A">
        <w:rPr>
          <w:rFonts w:ascii="Cambria" w:hAnsi="Cambria"/>
          <w:szCs w:val="24"/>
        </w:rPr>
        <w:t xml:space="preserve"> decision-making, mutual </w:t>
      </w:r>
      <w:r w:rsidR="0081081A" w:rsidRPr="0081081A">
        <w:rPr>
          <w:rFonts w:ascii="Cambria" w:hAnsi="Cambria"/>
          <w:szCs w:val="24"/>
        </w:rPr>
        <w:t>dependencies and the distribution</w:t>
      </w:r>
      <w:r w:rsidR="0081081A">
        <w:rPr>
          <w:rFonts w:ascii="Cambria" w:hAnsi="Cambria"/>
          <w:szCs w:val="24"/>
        </w:rPr>
        <w:t xml:space="preserve"> </w:t>
      </w:r>
      <w:r w:rsidR="0081081A" w:rsidRPr="0081081A">
        <w:rPr>
          <w:rFonts w:ascii="Cambria" w:hAnsi="Cambria"/>
          <w:szCs w:val="24"/>
        </w:rPr>
        <w:t>of power or authority among the participants</w:t>
      </w:r>
      <w:r w:rsidR="0081081A">
        <w:rPr>
          <w:rFonts w:ascii="Cambria" w:hAnsi="Cambria"/>
          <w:szCs w:val="24"/>
        </w:rPr>
        <w:t xml:space="preserve"> become </w:t>
      </w:r>
      <w:r w:rsidR="0081081A" w:rsidRPr="0081081A">
        <w:rPr>
          <w:rFonts w:ascii="Cambria" w:hAnsi="Cambria"/>
          <w:szCs w:val="24"/>
        </w:rPr>
        <w:t>important dimensions that characterise the</w:t>
      </w:r>
      <w:r w:rsidR="0081081A">
        <w:rPr>
          <w:rFonts w:ascii="Cambria" w:hAnsi="Cambria"/>
          <w:szCs w:val="24"/>
        </w:rPr>
        <w:t xml:space="preserve"> </w:t>
      </w:r>
      <w:r w:rsidR="0081081A" w:rsidRPr="0081081A">
        <w:rPr>
          <w:rFonts w:ascii="Cambria" w:hAnsi="Cambria"/>
          <w:szCs w:val="24"/>
        </w:rPr>
        <w:t>process</w:t>
      </w:r>
      <w:r w:rsidR="00FF28CD">
        <w:rPr>
          <w:rFonts w:ascii="Cambria" w:hAnsi="Cambria"/>
          <w:szCs w:val="24"/>
        </w:rPr>
        <w:t>.’</w:t>
      </w:r>
      <w:r w:rsidR="0081081A">
        <w:rPr>
          <w:rStyle w:val="FootnoteReference"/>
          <w:rFonts w:ascii="Cambria" w:hAnsi="Cambria"/>
          <w:szCs w:val="24"/>
        </w:rPr>
        <w:footnoteReference w:id="2"/>
      </w:r>
      <w:r w:rsidR="004267C9" w:rsidRPr="005C2F74">
        <w:rPr>
          <w:rFonts w:ascii="Cambria" w:hAnsi="Cambria"/>
          <w:szCs w:val="24"/>
        </w:rPr>
        <w:t xml:space="preserve"> </w:t>
      </w:r>
    </w:p>
    <w:p w14:paraId="3FDA2E72" w14:textId="52727EB5" w:rsidR="004267C9" w:rsidRPr="005C2F74" w:rsidRDefault="004267C9" w:rsidP="004267C9">
      <w:pPr>
        <w:autoSpaceDE w:val="0"/>
        <w:autoSpaceDN w:val="0"/>
        <w:adjustRightInd w:val="0"/>
        <w:spacing w:after="200" w:line="276" w:lineRule="auto"/>
        <w:rPr>
          <w:rFonts w:ascii="Cambria" w:hAnsi="Cambria"/>
        </w:rPr>
      </w:pPr>
      <w:r w:rsidRPr="005C2F74">
        <w:rPr>
          <w:rFonts w:ascii="Cambria" w:hAnsi="Cambria"/>
          <w:szCs w:val="24"/>
        </w:rPr>
        <w:t xml:space="preserve">In this paper I </w:t>
      </w:r>
      <w:r w:rsidR="00EE5D7E">
        <w:rPr>
          <w:rFonts w:ascii="Cambria" w:hAnsi="Cambria"/>
          <w:szCs w:val="24"/>
        </w:rPr>
        <w:t>will</w:t>
      </w:r>
      <w:r w:rsidR="006E4D0B">
        <w:rPr>
          <w:rFonts w:ascii="Cambria" w:hAnsi="Cambria"/>
          <w:szCs w:val="24"/>
        </w:rPr>
        <w:t xml:space="preserve"> investigate </w:t>
      </w:r>
      <w:r w:rsidRPr="005C2F74">
        <w:rPr>
          <w:rFonts w:ascii="Cambria" w:hAnsi="Cambria"/>
          <w:szCs w:val="24"/>
        </w:rPr>
        <w:t xml:space="preserve">the </w:t>
      </w:r>
      <w:r w:rsidR="00DE1A08">
        <w:rPr>
          <w:rFonts w:ascii="Cambria" w:hAnsi="Cambria"/>
          <w:szCs w:val="24"/>
        </w:rPr>
        <w:t>acquisition</w:t>
      </w:r>
      <w:r w:rsidRPr="005C2F74">
        <w:rPr>
          <w:rFonts w:ascii="Cambria" w:hAnsi="Cambria"/>
          <w:szCs w:val="24"/>
        </w:rPr>
        <w:t xml:space="preserve"> of power in</w:t>
      </w:r>
      <w:r w:rsidR="006E4D0B">
        <w:rPr>
          <w:rFonts w:ascii="Cambria" w:hAnsi="Cambria"/>
          <w:szCs w:val="24"/>
        </w:rPr>
        <w:t xml:space="preserve"> non-communicable disease (NCD</w:t>
      </w:r>
      <w:r w:rsidR="00776CC4">
        <w:rPr>
          <w:rFonts w:ascii="Cambria" w:hAnsi="Cambria"/>
          <w:szCs w:val="24"/>
        </w:rPr>
        <w:t>)</w:t>
      </w:r>
      <w:r w:rsidR="003E0F27">
        <w:rPr>
          <w:rFonts w:ascii="Cambria" w:hAnsi="Cambria"/>
          <w:szCs w:val="24"/>
        </w:rPr>
        <w:t xml:space="preserve"> </w:t>
      </w:r>
      <w:r w:rsidR="006E4D0B">
        <w:rPr>
          <w:rFonts w:ascii="Cambria" w:hAnsi="Cambria"/>
          <w:szCs w:val="24"/>
        </w:rPr>
        <w:t>prevention policymaking</w:t>
      </w:r>
      <w:r w:rsidR="003E0F27">
        <w:rPr>
          <w:rFonts w:ascii="Cambria" w:hAnsi="Cambria"/>
          <w:szCs w:val="24"/>
        </w:rPr>
        <w:t>. I will argue that</w:t>
      </w:r>
      <w:r w:rsidRPr="005C2F74">
        <w:rPr>
          <w:rFonts w:ascii="Cambria" w:hAnsi="Cambria"/>
          <w:szCs w:val="24"/>
        </w:rPr>
        <w:t xml:space="preserve"> private interests </w:t>
      </w:r>
      <w:r w:rsidR="003E0F27">
        <w:rPr>
          <w:rFonts w:ascii="Cambria" w:hAnsi="Cambria"/>
          <w:szCs w:val="24"/>
        </w:rPr>
        <w:t xml:space="preserve">have been able to gain policy power through building perceptions of social legitimacy, and have used this power to promote the dominance </w:t>
      </w:r>
      <w:r w:rsidRPr="005C2F74">
        <w:rPr>
          <w:rFonts w:ascii="Cambria" w:hAnsi="Cambria"/>
          <w:szCs w:val="24"/>
        </w:rPr>
        <w:t xml:space="preserve">of policy ideas that </w:t>
      </w:r>
      <w:r w:rsidR="003E0F27">
        <w:rPr>
          <w:rFonts w:ascii="Cambria" w:hAnsi="Cambria"/>
          <w:szCs w:val="24"/>
        </w:rPr>
        <w:t xml:space="preserve">have </w:t>
      </w:r>
      <w:r w:rsidR="001D5710">
        <w:rPr>
          <w:rFonts w:ascii="Cambria" w:hAnsi="Cambria"/>
          <w:szCs w:val="24"/>
        </w:rPr>
        <w:t>led</w:t>
      </w:r>
      <w:r w:rsidR="003E0F27">
        <w:rPr>
          <w:rFonts w:ascii="Cambria" w:hAnsi="Cambria"/>
          <w:szCs w:val="24"/>
        </w:rPr>
        <w:t xml:space="preserve"> </w:t>
      </w:r>
      <w:r w:rsidR="001D5710">
        <w:rPr>
          <w:rFonts w:ascii="Cambria" w:hAnsi="Cambria"/>
          <w:szCs w:val="24"/>
        </w:rPr>
        <w:t>to the creation of several weak</w:t>
      </w:r>
      <w:r w:rsidR="003E0F27">
        <w:rPr>
          <w:rFonts w:ascii="Cambria" w:hAnsi="Cambria"/>
          <w:szCs w:val="24"/>
        </w:rPr>
        <w:t xml:space="preserve"> </w:t>
      </w:r>
      <w:r w:rsidR="00776CC4">
        <w:rPr>
          <w:rFonts w:ascii="Cambria" w:hAnsi="Cambria"/>
          <w:szCs w:val="24"/>
        </w:rPr>
        <w:t>NCD prevention</w:t>
      </w:r>
      <w:r w:rsidR="006E4D0B">
        <w:rPr>
          <w:rFonts w:ascii="Cambria" w:hAnsi="Cambria"/>
          <w:szCs w:val="24"/>
        </w:rPr>
        <w:t xml:space="preserve"> interventions</w:t>
      </w:r>
      <w:r w:rsidR="003E0F27">
        <w:rPr>
          <w:rFonts w:ascii="Cambria" w:hAnsi="Cambria"/>
          <w:szCs w:val="24"/>
        </w:rPr>
        <w:t>. I argue that to restore</w:t>
      </w:r>
      <w:r w:rsidR="006E4D0B">
        <w:rPr>
          <w:rFonts w:ascii="Cambria" w:hAnsi="Cambria"/>
          <w:szCs w:val="24"/>
        </w:rPr>
        <w:t xml:space="preserve"> full</w:t>
      </w:r>
      <w:r w:rsidR="003E0F27">
        <w:rPr>
          <w:rFonts w:ascii="Cambria" w:hAnsi="Cambria"/>
          <w:szCs w:val="24"/>
        </w:rPr>
        <w:t xml:space="preserve"> effectiveness to the policymaking process, different policy ideas must gain traction, and for this to be possible the policy power of private interests must be weakened</w:t>
      </w:r>
      <w:r w:rsidRPr="005C2F74">
        <w:rPr>
          <w:rFonts w:ascii="Cambria" w:hAnsi="Cambria"/>
          <w:szCs w:val="24"/>
        </w:rPr>
        <w:t>.</w:t>
      </w:r>
      <w:r w:rsidR="003E0F27">
        <w:rPr>
          <w:rFonts w:ascii="Cambria" w:hAnsi="Cambria"/>
          <w:szCs w:val="24"/>
        </w:rPr>
        <w:t xml:space="preserve"> I </w:t>
      </w:r>
      <w:r w:rsidR="006E4D0B">
        <w:rPr>
          <w:rFonts w:ascii="Cambria" w:hAnsi="Cambria"/>
          <w:szCs w:val="24"/>
        </w:rPr>
        <w:t>further</w:t>
      </w:r>
      <w:r w:rsidR="003E0F27">
        <w:rPr>
          <w:rFonts w:ascii="Cambria" w:hAnsi="Cambria"/>
          <w:szCs w:val="24"/>
        </w:rPr>
        <w:t xml:space="preserve"> argue that</w:t>
      </w:r>
      <w:r w:rsidR="006E4D0B">
        <w:rPr>
          <w:rFonts w:ascii="Cambria" w:hAnsi="Cambria"/>
          <w:szCs w:val="24"/>
        </w:rPr>
        <w:t xml:space="preserve">, should this be achieved, the result is likely to be </w:t>
      </w:r>
      <w:r w:rsidR="003E0F27">
        <w:rPr>
          <w:rFonts w:ascii="Cambria" w:hAnsi="Cambria"/>
          <w:szCs w:val="24"/>
        </w:rPr>
        <w:t xml:space="preserve">more regulation that could be </w:t>
      </w:r>
      <w:r w:rsidR="006E4D0B">
        <w:rPr>
          <w:rFonts w:ascii="Cambria" w:hAnsi="Cambria"/>
          <w:szCs w:val="24"/>
        </w:rPr>
        <w:t xml:space="preserve">considered </w:t>
      </w:r>
      <w:r w:rsidR="003E0F27">
        <w:rPr>
          <w:rFonts w:ascii="Cambria" w:hAnsi="Cambria"/>
          <w:szCs w:val="24"/>
        </w:rPr>
        <w:t xml:space="preserve">paternalistic, </w:t>
      </w:r>
      <w:r w:rsidR="006E4D0B">
        <w:rPr>
          <w:rFonts w:ascii="Cambria" w:hAnsi="Cambria"/>
          <w:szCs w:val="24"/>
        </w:rPr>
        <w:t>yet</w:t>
      </w:r>
      <w:r w:rsidR="003E0F27">
        <w:rPr>
          <w:rFonts w:ascii="Cambria" w:hAnsi="Cambria"/>
          <w:szCs w:val="24"/>
        </w:rPr>
        <w:t xml:space="preserve"> that such a development is </w:t>
      </w:r>
      <w:r w:rsidR="006E4D0B">
        <w:rPr>
          <w:rFonts w:ascii="Cambria" w:hAnsi="Cambria"/>
          <w:szCs w:val="24"/>
        </w:rPr>
        <w:t xml:space="preserve">justifiable. </w:t>
      </w:r>
    </w:p>
    <w:p w14:paraId="62EEA8AF" w14:textId="77777777" w:rsidR="004267C9" w:rsidRPr="005C2F74" w:rsidRDefault="004267C9" w:rsidP="004267C9">
      <w:pPr>
        <w:autoSpaceDE w:val="0"/>
        <w:autoSpaceDN w:val="0"/>
        <w:adjustRightInd w:val="0"/>
        <w:spacing w:after="200" w:line="276" w:lineRule="auto"/>
        <w:rPr>
          <w:rFonts w:ascii="Cambria" w:hAnsi="Cambria"/>
        </w:rPr>
      </w:pPr>
    </w:p>
    <w:p w14:paraId="78CA2171" w14:textId="5AFD1ED0" w:rsidR="004267C9" w:rsidRPr="005C2F74" w:rsidRDefault="00C1183D" w:rsidP="004267C9">
      <w:pPr>
        <w:autoSpaceDE w:val="0"/>
        <w:autoSpaceDN w:val="0"/>
        <w:adjustRightInd w:val="0"/>
        <w:spacing w:after="200" w:line="276" w:lineRule="auto"/>
        <w:rPr>
          <w:rFonts w:ascii="Cambria" w:hAnsi="Cambria"/>
          <w:b/>
          <w:sz w:val="28"/>
          <w:szCs w:val="28"/>
        </w:rPr>
      </w:pPr>
      <w:r>
        <w:rPr>
          <w:rFonts w:ascii="Cambria" w:hAnsi="Cambria"/>
          <w:b/>
          <w:sz w:val="28"/>
          <w:szCs w:val="28"/>
        </w:rPr>
        <w:t xml:space="preserve">II </w:t>
      </w:r>
      <w:r w:rsidR="004267C9" w:rsidRPr="005C2F74">
        <w:rPr>
          <w:rFonts w:ascii="Cambria" w:hAnsi="Cambria"/>
          <w:b/>
          <w:sz w:val="28"/>
          <w:szCs w:val="28"/>
        </w:rPr>
        <w:t xml:space="preserve">How does the current </w:t>
      </w:r>
      <w:r w:rsidR="0062212D">
        <w:rPr>
          <w:rFonts w:ascii="Cambria" w:hAnsi="Cambria"/>
          <w:b/>
          <w:sz w:val="28"/>
          <w:szCs w:val="28"/>
        </w:rPr>
        <w:t>allocation</w:t>
      </w:r>
      <w:r w:rsidR="004267C9" w:rsidRPr="005C2F74">
        <w:rPr>
          <w:rFonts w:ascii="Cambria" w:hAnsi="Cambria"/>
          <w:b/>
          <w:sz w:val="28"/>
          <w:szCs w:val="28"/>
        </w:rPr>
        <w:t xml:space="preserve"> of policy power lead to ineffective policy outputs?</w:t>
      </w:r>
    </w:p>
    <w:p w14:paraId="15FA315E" w14:textId="416D20EC" w:rsidR="004267C9" w:rsidRPr="005C2F74" w:rsidRDefault="004267C9" w:rsidP="004267C9">
      <w:pPr>
        <w:autoSpaceDE w:val="0"/>
        <w:autoSpaceDN w:val="0"/>
        <w:adjustRightInd w:val="0"/>
        <w:spacing w:after="200" w:line="276" w:lineRule="auto"/>
        <w:rPr>
          <w:rFonts w:ascii="Cambria" w:hAnsi="Cambria"/>
        </w:rPr>
      </w:pPr>
      <w:r w:rsidRPr="005C2F74">
        <w:rPr>
          <w:rFonts w:ascii="Cambria" w:hAnsi="Cambria"/>
        </w:rPr>
        <w:t>In this first section I argue that</w:t>
      </w:r>
      <w:r w:rsidR="00CC2E71">
        <w:rPr>
          <w:rFonts w:ascii="Cambria" w:hAnsi="Cambria"/>
        </w:rPr>
        <w:t xml:space="preserve"> private interests </w:t>
      </w:r>
      <w:r w:rsidRPr="005C2F74">
        <w:rPr>
          <w:rFonts w:ascii="Cambria" w:hAnsi="Cambria"/>
        </w:rPr>
        <w:t>have</w:t>
      </w:r>
      <w:r w:rsidR="00CC2E71">
        <w:rPr>
          <w:rFonts w:ascii="Cambria" w:hAnsi="Cambria"/>
        </w:rPr>
        <w:t xml:space="preserve"> </w:t>
      </w:r>
      <w:r w:rsidRPr="005C2F74">
        <w:rPr>
          <w:rFonts w:ascii="Cambria" w:hAnsi="Cambria"/>
        </w:rPr>
        <w:t xml:space="preserve">been able to seize power in </w:t>
      </w:r>
      <w:r w:rsidR="007E2D33">
        <w:rPr>
          <w:rFonts w:ascii="Cambria" w:hAnsi="Cambria"/>
        </w:rPr>
        <w:t>NCD</w:t>
      </w:r>
      <w:r w:rsidRPr="005C2F74">
        <w:rPr>
          <w:rFonts w:ascii="Cambria" w:hAnsi="Cambria"/>
        </w:rPr>
        <w:t xml:space="preserve"> policymaking, and have use</w:t>
      </w:r>
      <w:r w:rsidR="00CC2E71">
        <w:rPr>
          <w:rFonts w:ascii="Cambria" w:hAnsi="Cambria"/>
        </w:rPr>
        <w:t>d</w:t>
      </w:r>
      <w:r w:rsidRPr="005C2F74">
        <w:rPr>
          <w:rFonts w:ascii="Cambria" w:hAnsi="Cambria"/>
        </w:rPr>
        <w:t xml:space="preserve"> this power to bring about the dominance of ideas in the </w:t>
      </w:r>
      <w:r w:rsidRPr="005C2F74">
        <w:rPr>
          <w:rFonts w:ascii="Cambria" w:hAnsi="Cambria"/>
        </w:rPr>
        <w:lastRenderedPageBreak/>
        <w:t>policymaking process that have prompted</w:t>
      </w:r>
      <w:r w:rsidR="00CC2E71">
        <w:rPr>
          <w:rFonts w:ascii="Cambria" w:hAnsi="Cambria"/>
        </w:rPr>
        <w:t xml:space="preserve"> </w:t>
      </w:r>
      <w:r w:rsidR="00AB36C3">
        <w:rPr>
          <w:rFonts w:ascii="Cambria" w:hAnsi="Cambria"/>
        </w:rPr>
        <w:t>weak</w:t>
      </w:r>
      <w:r w:rsidRPr="005C2F74">
        <w:rPr>
          <w:rFonts w:ascii="Cambria" w:hAnsi="Cambria"/>
        </w:rPr>
        <w:t xml:space="preserve"> policy outputs. </w:t>
      </w:r>
      <w:r w:rsidR="00935514">
        <w:rPr>
          <w:rFonts w:ascii="Cambria" w:hAnsi="Cambria"/>
        </w:rPr>
        <w:t xml:space="preserve">These interests are primarily </w:t>
      </w:r>
      <w:r w:rsidR="00935514" w:rsidRPr="005C2F74">
        <w:rPr>
          <w:rFonts w:ascii="Cambria" w:hAnsi="Cambria"/>
        </w:rPr>
        <w:t xml:space="preserve">multinational corporations </w:t>
      </w:r>
      <w:r w:rsidR="00935514">
        <w:rPr>
          <w:rFonts w:ascii="Cambria" w:hAnsi="Cambria"/>
        </w:rPr>
        <w:t xml:space="preserve">that market alcohol, tobacco and unhealthy foods, the consumption of which are risk factors for NCD development. </w:t>
      </w:r>
      <w:r w:rsidRPr="005C2F74">
        <w:rPr>
          <w:rFonts w:ascii="Cambria" w:hAnsi="Cambria"/>
        </w:rPr>
        <w:t>I will first</w:t>
      </w:r>
      <w:r w:rsidR="00935514">
        <w:rPr>
          <w:rFonts w:ascii="Cambria" w:hAnsi="Cambria"/>
        </w:rPr>
        <w:t xml:space="preserve"> outline what it means to have </w:t>
      </w:r>
      <w:r w:rsidR="00FF28CD">
        <w:rPr>
          <w:rFonts w:ascii="Cambria" w:hAnsi="Cambria"/>
        </w:rPr>
        <w:t>power</w:t>
      </w:r>
      <w:r w:rsidR="00B03A9F">
        <w:rPr>
          <w:rFonts w:ascii="Cambria" w:hAnsi="Cambria"/>
        </w:rPr>
        <w:t xml:space="preserve"> in the policymaking process and how power is generated</w:t>
      </w:r>
      <w:r w:rsidRPr="005C2F74">
        <w:rPr>
          <w:rFonts w:ascii="Cambria" w:hAnsi="Cambria"/>
        </w:rPr>
        <w:t xml:space="preserve">. I will then analyse how the exercise of power by private interests has </w:t>
      </w:r>
      <w:r w:rsidR="00AB36C3">
        <w:rPr>
          <w:rFonts w:ascii="Cambria" w:hAnsi="Cambria"/>
        </w:rPr>
        <w:t xml:space="preserve">led to the </w:t>
      </w:r>
      <w:r w:rsidR="00B03A9F">
        <w:rPr>
          <w:rFonts w:ascii="Cambria" w:hAnsi="Cambria"/>
        </w:rPr>
        <w:t>rise</w:t>
      </w:r>
      <w:r w:rsidR="00AB36C3">
        <w:rPr>
          <w:rFonts w:ascii="Cambria" w:hAnsi="Cambria"/>
        </w:rPr>
        <w:t xml:space="preserve"> of </w:t>
      </w:r>
      <w:r w:rsidRPr="005C2F74">
        <w:rPr>
          <w:rFonts w:ascii="Cambria" w:hAnsi="Cambria"/>
        </w:rPr>
        <w:t xml:space="preserve">policy ideas </w:t>
      </w:r>
      <w:r w:rsidR="00AB36C3">
        <w:rPr>
          <w:rFonts w:ascii="Cambria" w:hAnsi="Cambria"/>
        </w:rPr>
        <w:t xml:space="preserve">that direct </w:t>
      </w:r>
      <w:r w:rsidR="00935514">
        <w:rPr>
          <w:rFonts w:ascii="Cambria" w:hAnsi="Cambria"/>
        </w:rPr>
        <w:t>policymakers</w:t>
      </w:r>
      <w:r w:rsidR="00AB36C3">
        <w:rPr>
          <w:rFonts w:ascii="Cambria" w:hAnsi="Cambria"/>
        </w:rPr>
        <w:t xml:space="preserve"> towards</w:t>
      </w:r>
      <w:r w:rsidR="00935514">
        <w:rPr>
          <w:rFonts w:ascii="Cambria" w:hAnsi="Cambria"/>
        </w:rPr>
        <w:t xml:space="preserve"> ineffective</w:t>
      </w:r>
      <w:r w:rsidR="00AB36C3">
        <w:rPr>
          <w:rFonts w:ascii="Cambria" w:hAnsi="Cambria"/>
        </w:rPr>
        <w:t xml:space="preserve"> </w:t>
      </w:r>
      <w:r w:rsidR="00935514">
        <w:rPr>
          <w:rFonts w:ascii="Cambria" w:hAnsi="Cambria"/>
        </w:rPr>
        <w:t xml:space="preserve">NCD prevention actions. </w:t>
      </w:r>
      <w:r w:rsidRPr="005C2F74">
        <w:rPr>
          <w:rFonts w:ascii="Cambria" w:hAnsi="Cambria"/>
        </w:rPr>
        <w:t xml:space="preserve"> </w:t>
      </w:r>
    </w:p>
    <w:p w14:paraId="3A449820" w14:textId="77777777" w:rsidR="004267C9" w:rsidRPr="005C2F74" w:rsidRDefault="004267C9" w:rsidP="004267C9">
      <w:pPr>
        <w:autoSpaceDE w:val="0"/>
        <w:autoSpaceDN w:val="0"/>
        <w:adjustRightInd w:val="0"/>
        <w:spacing w:after="200" w:line="276" w:lineRule="auto"/>
        <w:rPr>
          <w:rFonts w:ascii="Cambria" w:hAnsi="Cambria"/>
        </w:rPr>
      </w:pPr>
    </w:p>
    <w:p w14:paraId="748CC735" w14:textId="7368A8B0" w:rsidR="004267C9" w:rsidRPr="005C2F74" w:rsidRDefault="00935514" w:rsidP="004267C9">
      <w:pPr>
        <w:autoSpaceDE w:val="0"/>
        <w:autoSpaceDN w:val="0"/>
        <w:adjustRightInd w:val="0"/>
        <w:spacing w:after="200" w:line="276" w:lineRule="auto"/>
        <w:rPr>
          <w:rFonts w:ascii="Cambria" w:hAnsi="Cambria"/>
          <w:b/>
          <w:sz w:val="24"/>
        </w:rPr>
      </w:pPr>
      <w:r>
        <w:rPr>
          <w:rFonts w:ascii="Cambria" w:hAnsi="Cambria"/>
          <w:b/>
          <w:sz w:val="24"/>
        </w:rPr>
        <w:t>A</w:t>
      </w:r>
      <w:r>
        <w:rPr>
          <w:rFonts w:ascii="Cambria" w:hAnsi="Cambria"/>
          <w:b/>
          <w:sz w:val="24"/>
        </w:rPr>
        <w:tab/>
      </w:r>
      <w:r w:rsidR="004267C9" w:rsidRPr="005C2F74">
        <w:rPr>
          <w:rFonts w:ascii="Cambria" w:hAnsi="Cambria"/>
          <w:b/>
          <w:sz w:val="24"/>
        </w:rPr>
        <w:t>Policy Interests and Acquiring of Policymaking Power</w:t>
      </w:r>
    </w:p>
    <w:p w14:paraId="1FE9223C" w14:textId="1AF7FF36" w:rsidR="004267C9" w:rsidRPr="005C2F74" w:rsidRDefault="00935514" w:rsidP="004267C9">
      <w:pPr>
        <w:autoSpaceDE w:val="0"/>
        <w:autoSpaceDN w:val="0"/>
        <w:adjustRightInd w:val="0"/>
        <w:spacing w:after="200" w:line="276" w:lineRule="auto"/>
        <w:rPr>
          <w:rFonts w:ascii="Cambria" w:hAnsi="Cambria"/>
        </w:rPr>
      </w:pPr>
      <w:r>
        <w:rPr>
          <w:rFonts w:ascii="Cambria" w:hAnsi="Cambria"/>
        </w:rPr>
        <w:t xml:space="preserve">The </w:t>
      </w:r>
      <w:proofErr w:type="spellStart"/>
      <w:r w:rsidR="00E26744">
        <w:rPr>
          <w:rFonts w:ascii="Cambria" w:hAnsi="Cambria"/>
        </w:rPr>
        <w:t>neo-pluralist</w:t>
      </w:r>
      <w:proofErr w:type="spellEnd"/>
      <w:r w:rsidR="00E26744">
        <w:rPr>
          <w:rFonts w:ascii="Cambria" w:hAnsi="Cambria"/>
        </w:rPr>
        <w:t xml:space="preserve"> theory</w:t>
      </w:r>
      <w:r>
        <w:rPr>
          <w:rFonts w:ascii="Cambria" w:hAnsi="Cambria"/>
        </w:rPr>
        <w:t xml:space="preserve"> of power best describes how power is distributed in NCD policymaking. This theory recognises</w:t>
      </w:r>
      <w:r w:rsidR="00E26744">
        <w:rPr>
          <w:rFonts w:ascii="Cambria" w:hAnsi="Cambria"/>
        </w:rPr>
        <w:t xml:space="preserve"> that </w:t>
      </w:r>
      <w:r w:rsidR="004267C9" w:rsidRPr="005C2F74">
        <w:rPr>
          <w:rFonts w:ascii="Cambria" w:hAnsi="Cambria"/>
        </w:rPr>
        <w:t>‘multiple pressure groups operate within society</w:t>
      </w:r>
      <w:r>
        <w:rPr>
          <w:rFonts w:ascii="Cambria" w:hAnsi="Cambria"/>
        </w:rPr>
        <w:t xml:space="preserve"> … [yet]</w:t>
      </w:r>
      <w:r w:rsidR="004267C9" w:rsidRPr="005C2F74">
        <w:rPr>
          <w:rFonts w:ascii="Cambria" w:hAnsi="Cambria"/>
        </w:rPr>
        <w:t xml:space="preserve"> the agenda is, or is in danger of becoming, biased towards s</w:t>
      </w:r>
      <w:r w:rsidR="00FF28CD">
        <w:rPr>
          <w:rFonts w:ascii="Cambria" w:hAnsi="Cambria"/>
        </w:rPr>
        <w:t>pecific individuals and groups.’</w:t>
      </w:r>
      <w:r w:rsidR="004267C9" w:rsidRPr="005C2F74">
        <w:rPr>
          <w:rStyle w:val="FootnoteReference"/>
          <w:rFonts w:ascii="Cambria" w:hAnsi="Cambria"/>
        </w:rPr>
        <w:footnoteReference w:id="3"/>
      </w:r>
      <w:r w:rsidR="004267C9" w:rsidRPr="005C2F74">
        <w:rPr>
          <w:rFonts w:ascii="Cambria" w:hAnsi="Cambria"/>
        </w:rPr>
        <w:t xml:space="preserve"> </w:t>
      </w:r>
      <w:r w:rsidR="003F44BA">
        <w:rPr>
          <w:rFonts w:ascii="Cambria" w:hAnsi="Cambria"/>
        </w:rPr>
        <w:t xml:space="preserve">Drawing on network theories of governance, which suggest that decisions on how to manage issues can be taken by a variety of different stakeholders with a common interest, rather than simply by governments, </w:t>
      </w:r>
      <w:proofErr w:type="spellStart"/>
      <w:r w:rsidR="003F44BA">
        <w:rPr>
          <w:rFonts w:ascii="Cambria" w:hAnsi="Cambria"/>
        </w:rPr>
        <w:t>neo-pluralism</w:t>
      </w:r>
      <w:proofErr w:type="spellEnd"/>
      <w:r w:rsidR="00FA4B0E">
        <w:rPr>
          <w:rFonts w:ascii="Cambria" w:hAnsi="Cambria"/>
        </w:rPr>
        <w:t xml:space="preserve"> </w:t>
      </w:r>
      <w:r w:rsidR="003F44BA">
        <w:rPr>
          <w:rFonts w:ascii="Cambria" w:hAnsi="Cambria"/>
        </w:rPr>
        <w:t>posits</w:t>
      </w:r>
      <w:r>
        <w:rPr>
          <w:rFonts w:ascii="Cambria" w:hAnsi="Cambria"/>
        </w:rPr>
        <w:t xml:space="preserve"> that </w:t>
      </w:r>
      <w:r w:rsidR="00FA4B0E">
        <w:rPr>
          <w:rFonts w:ascii="Cambria" w:hAnsi="Cambria"/>
        </w:rPr>
        <w:t>the irreversible process of globalisation</w:t>
      </w:r>
      <w:r>
        <w:rPr>
          <w:rFonts w:ascii="Cambria" w:hAnsi="Cambria"/>
        </w:rPr>
        <w:t xml:space="preserve"> means</w:t>
      </w:r>
      <w:r w:rsidR="00FA4B0E">
        <w:rPr>
          <w:rFonts w:ascii="Cambria" w:hAnsi="Cambria"/>
        </w:rPr>
        <w:t xml:space="preserve"> </w:t>
      </w:r>
      <w:r w:rsidR="00875B40">
        <w:rPr>
          <w:rFonts w:ascii="Cambria" w:hAnsi="Cambria"/>
        </w:rPr>
        <w:t>‘</w:t>
      </w:r>
      <w:r w:rsidR="00875B40" w:rsidRPr="00875B40">
        <w:rPr>
          <w:rFonts w:ascii="Cambria" w:hAnsi="Cambria"/>
        </w:rPr>
        <w:t>important decisions for societies are</w:t>
      </w:r>
      <w:r w:rsidR="00875B40">
        <w:rPr>
          <w:rFonts w:ascii="Cambria" w:hAnsi="Cambria"/>
        </w:rPr>
        <w:t xml:space="preserve"> </w:t>
      </w:r>
      <w:r w:rsidR="00875B40" w:rsidRPr="00875B40">
        <w:rPr>
          <w:rFonts w:ascii="Cambria" w:hAnsi="Cambria"/>
        </w:rPr>
        <w:t>taken within transnational economic and political networks rather than by national or</w:t>
      </w:r>
      <w:r w:rsidR="00875B40">
        <w:rPr>
          <w:rFonts w:ascii="Cambria" w:hAnsi="Cambria"/>
        </w:rPr>
        <w:t xml:space="preserve"> </w:t>
      </w:r>
      <w:r w:rsidR="00875B40" w:rsidRPr="00875B40">
        <w:rPr>
          <w:rFonts w:ascii="Cambria" w:hAnsi="Cambria"/>
        </w:rPr>
        <w:t>local institutions of representation</w:t>
      </w:r>
      <w:r w:rsidR="003F44BA">
        <w:rPr>
          <w:rFonts w:ascii="Cambria" w:hAnsi="Cambria"/>
        </w:rPr>
        <w:t>.</w:t>
      </w:r>
      <w:r w:rsidR="00875B40">
        <w:rPr>
          <w:rFonts w:ascii="Cambria" w:hAnsi="Cambria"/>
        </w:rPr>
        <w:t>’</w:t>
      </w:r>
      <w:r w:rsidR="00875B40">
        <w:rPr>
          <w:rStyle w:val="FootnoteReference"/>
          <w:rFonts w:ascii="Cambria" w:hAnsi="Cambria"/>
        </w:rPr>
        <w:footnoteReference w:id="4"/>
      </w:r>
      <w:r w:rsidR="00E74C27">
        <w:rPr>
          <w:rFonts w:ascii="Cambria" w:hAnsi="Cambria"/>
        </w:rPr>
        <w:t xml:space="preserve"> </w:t>
      </w:r>
      <w:r w:rsidR="003F44BA">
        <w:rPr>
          <w:rFonts w:ascii="Cambria" w:hAnsi="Cambria"/>
        </w:rPr>
        <w:t>A</w:t>
      </w:r>
      <w:r w:rsidR="00E74C27">
        <w:rPr>
          <w:rFonts w:ascii="Cambria" w:hAnsi="Cambria"/>
        </w:rPr>
        <w:t>ctors</w:t>
      </w:r>
      <w:r>
        <w:rPr>
          <w:rFonts w:ascii="Cambria" w:hAnsi="Cambria"/>
        </w:rPr>
        <w:t xml:space="preserve"> with sufficient</w:t>
      </w:r>
      <w:r w:rsidR="003F44BA">
        <w:rPr>
          <w:rFonts w:ascii="Cambria" w:hAnsi="Cambria"/>
        </w:rPr>
        <w:t xml:space="preserve">ly high levels of resources (financial or otherwise) who </w:t>
      </w:r>
      <w:r>
        <w:rPr>
          <w:rFonts w:ascii="Cambria" w:hAnsi="Cambria"/>
        </w:rPr>
        <w:t>operate</w:t>
      </w:r>
      <w:r w:rsidR="00E74C27">
        <w:rPr>
          <w:rFonts w:ascii="Cambria" w:hAnsi="Cambria"/>
        </w:rPr>
        <w:t xml:space="preserve"> within those networks are able</w:t>
      </w:r>
      <w:r w:rsidR="004267C9" w:rsidRPr="005C2F74">
        <w:rPr>
          <w:rFonts w:ascii="Cambria" w:hAnsi="Cambria"/>
        </w:rPr>
        <w:t xml:space="preserve"> to</w:t>
      </w:r>
      <w:r w:rsidR="00E74C27">
        <w:rPr>
          <w:rFonts w:ascii="Cambria" w:hAnsi="Cambria"/>
        </w:rPr>
        <w:t xml:space="preserve"> command great influence over</w:t>
      </w:r>
      <w:r w:rsidR="004267C9" w:rsidRPr="005C2F74">
        <w:rPr>
          <w:rFonts w:ascii="Cambria" w:hAnsi="Cambria"/>
        </w:rPr>
        <w:t xml:space="preserve"> crucial pressure p</w:t>
      </w:r>
      <w:r>
        <w:rPr>
          <w:rFonts w:ascii="Cambria" w:hAnsi="Cambria"/>
        </w:rPr>
        <w:t>oints within globalised society -</w:t>
      </w:r>
      <w:r w:rsidR="004267C9" w:rsidRPr="005C2F74">
        <w:rPr>
          <w:rFonts w:ascii="Cambria" w:hAnsi="Cambria"/>
        </w:rPr>
        <w:t xml:space="preserve"> for </w:t>
      </w:r>
      <w:r w:rsidR="003F44BA">
        <w:rPr>
          <w:rFonts w:ascii="Cambria" w:hAnsi="Cambria"/>
        </w:rPr>
        <w:t>instance, multinational corporations of sufficient size to have dominance in t</w:t>
      </w:r>
      <w:r>
        <w:rPr>
          <w:rFonts w:ascii="Cambria" w:hAnsi="Cambria"/>
        </w:rPr>
        <w:t>he global</w:t>
      </w:r>
      <w:r w:rsidR="004267C9" w:rsidRPr="005C2F74">
        <w:rPr>
          <w:rFonts w:ascii="Cambria" w:hAnsi="Cambria"/>
        </w:rPr>
        <w:t xml:space="preserve"> consumer products</w:t>
      </w:r>
      <w:r>
        <w:rPr>
          <w:rFonts w:ascii="Cambria" w:hAnsi="Cambria"/>
        </w:rPr>
        <w:t xml:space="preserve"> market</w:t>
      </w:r>
      <w:r w:rsidR="003F44BA">
        <w:rPr>
          <w:rFonts w:ascii="Cambria" w:hAnsi="Cambria"/>
        </w:rPr>
        <w:t xml:space="preserve"> – thereby </w:t>
      </w:r>
      <w:r w:rsidR="00E74C27">
        <w:rPr>
          <w:rFonts w:ascii="Cambria" w:hAnsi="Cambria"/>
        </w:rPr>
        <w:t>accru</w:t>
      </w:r>
      <w:r w:rsidR="003F44BA">
        <w:rPr>
          <w:rFonts w:ascii="Cambria" w:hAnsi="Cambria"/>
        </w:rPr>
        <w:t xml:space="preserve">ing </w:t>
      </w:r>
      <w:r w:rsidR="0079050C">
        <w:rPr>
          <w:rFonts w:ascii="Cambria" w:hAnsi="Cambria"/>
        </w:rPr>
        <w:t xml:space="preserve">power </w:t>
      </w:r>
      <w:r w:rsidR="00E74C27">
        <w:rPr>
          <w:rFonts w:ascii="Cambria" w:hAnsi="Cambria"/>
        </w:rPr>
        <w:t>within the transnational policymaking space</w:t>
      </w:r>
      <w:r w:rsidR="003F44BA">
        <w:rPr>
          <w:rFonts w:ascii="Cambria" w:hAnsi="Cambria"/>
        </w:rPr>
        <w:t xml:space="preserve">. </w:t>
      </w:r>
    </w:p>
    <w:p w14:paraId="5231D604" w14:textId="77777777" w:rsidR="00720BD6" w:rsidRDefault="004267C9" w:rsidP="004267C9">
      <w:pPr>
        <w:autoSpaceDE w:val="0"/>
        <w:autoSpaceDN w:val="0"/>
        <w:adjustRightInd w:val="0"/>
        <w:spacing w:after="200" w:line="276" w:lineRule="auto"/>
        <w:rPr>
          <w:rFonts w:ascii="Cambria" w:hAnsi="Cambria"/>
        </w:rPr>
      </w:pPr>
      <w:r w:rsidRPr="005C2F74">
        <w:rPr>
          <w:rFonts w:ascii="Cambria" w:hAnsi="Cambria"/>
        </w:rPr>
        <w:t xml:space="preserve">As </w:t>
      </w:r>
      <w:r w:rsidR="00565DFF">
        <w:rPr>
          <w:rFonts w:ascii="Cambria" w:hAnsi="Cambria"/>
        </w:rPr>
        <w:t>noted</w:t>
      </w:r>
      <w:r w:rsidRPr="005C2F74">
        <w:rPr>
          <w:rFonts w:ascii="Cambria" w:hAnsi="Cambria"/>
        </w:rPr>
        <w:t xml:space="preserve"> above, power can be </w:t>
      </w:r>
      <w:r w:rsidR="00565DFF">
        <w:rPr>
          <w:rFonts w:ascii="Cambria" w:hAnsi="Cambria"/>
        </w:rPr>
        <w:t>understood</w:t>
      </w:r>
      <w:r w:rsidRPr="005C2F74">
        <w:rPr>
          <w:rFonts w:ascii="Cambria" w:hAnsi="Cambria"/>
        </w:rPr>
        <w:t xml:space="preserve"> as the ‘ability of a political actor to influence the behaviour of others in such a way </w:t>
      </w:r>
      <w:r w:rsidR="00FF28CD">
        <w:rPr>
          <w:rFonts w:ascii="Cambria" w:hAnsi="Cambria"/>
        </w:rPr>
        <w:t>as to gain a preferred outcome.’</w:t>
      </w:r>
      <w:r w:rsidRPr="005C2F74">
        <w:rPr>
          <w:rStyle w:val="FootnoteReference"/>
          <w:rFonts w:ascii="Cambria" w:hAnsi="Cambria"/>
        </w:rPr>
        <w:footnoteReference w:id="5"/>
      </w:r>
      <w:r w:rsidRPr="005C2F74">
        <w:rPr>
          <w:rFonts w:ascii="Cambria" w:hAnsi="Cambria"/>
        </w:rPr>
        <w:t xml:space="preserve"> The fact that the exercise of power is an </w:t>
      </w:r>
      <w:r w:rsidRPr="005C2F74">
        <w:rPr>
          <w:rFonts w:ascii="Cambria" w:hAnsi="Cambria"/>
          <w:i/>
        </w:rPr>
        <w:t>ability</w:t>
      </w:r>
      <w:r w:rsidRPr="005C2F74">
        <w:rPr>
          <w:rFonts w:ascii="Cambria" w:hAnsi="Cambria"/>
        </w:rPr>
        <w:t xml:space="preserve"> means it must be possible to </w:t>
      </w:r>
      <w:r w:rsidRPr="005C2F74">
        <w:rPr>
          <w:rFonts w:ascii="Cambria" w:hAnsi="Cambria"/>
          <w:i/>
        </w:rPr>
        <w:t>acquire</w:t>
      </w:r>
      <w:r w:rsidR="00565DFF">
        <w:rPr>
          <w:rFonts w:ascii="Cambria" w:hAnsi="Cambria"/>
        </w:rPr>
        <w:t xml:space="preserve"> power.</w:t>
      </w:r>
      <w:r w:rsidRPr="005C2F74">
        <w:rPr>
          <w:rStyle w:val="FootnoteReference"/>
          <w:rFonts w:ascii="Cambria" w:hAnsi="Cambria"/>
        </w:rPr>
        <w:footnoteReference w:id="6"/>
      </w:r>
      <w:r w:rsidR="00565DFF">
        <w:rPr>
          <w:rFonts w:ascii="Cambria" w:hAnsi="Cambria"/>
        </w:rPr>
        <w:t xml:space="preserve"> I</w:t>
      </w:r>
      <w:r w:rsidRPr="005C2F74">
        <w:rPr>
          <w:rFonts w:ascii="Cambria" w:hAnsi="Cambria"/>
        </w:rPr>
        <w:t>f it is poss</w:t>
      </w:r>
      <w:r w:rsidR="000C5609">
        <w:rPr>
          <w:rFonts w:ascii="Cambria" w:hAnsi="Cambria"/>
        </w:rPr>
        <w:t xml:space="preserve">ible to acquire power, there is therefore a </w:t>
      </w:r>
      <w:r w:rsidRPr="005C2F74">
        <w:rPr>
          <w:rFonts w:ascii="Cambria" w:hAnsi="Cambria"/>
        </w:rPr>
        <w:t xml:space="preserve">process through which </w:t>
      </w:r>
      <w:r w:rsidR="000C5609">
        <w:rPr>
          <w:rFonts w:ascii="Cambria" w:hAnsi="Cambria"/>
        </w:rPr>
        <w:t>this is accomplished</w:t>
      </w:r>
      <w:r w:rsidRPr="005C2F74">
        <w:rPr>
          <w:rFonts w:ascii="Cambria" w:hAnsi="Cambria"/>
        </w:rPr>
        <w:t xml:space="preserve">. </w:t>
      </w:r>
    </w:p>
    <w:p w14:paraId="377DAA69" w14:textId="3697DF49" w:rsidR="004267C9" w:rsidRPr="005C2F74" w:rsidRDefault="000C47E9" w:rsidP="004267C9">
      <w:pPr>
        <w:autoSpaceDE w:val="0"/>
        <w:autoSpaceDN w:val="0"/>
        <w:adjustRightInd w:val="0"/>
        <w:spacing w:after="200" w:line="276" w:lineRule="auto"/>
        <w:rPr>
          <w:rFonts w:ascii="Cambria" w:hAnsi="Cambria"/>
        </w:rPr>
      </w:pPr>
      <w:r>
        <w:rPr>
          <w:rFonts w:ascii="Cambria" w:hAnsi="Cambria"/>
        </w:rPr>
        <w:t xml:space="preserve">One candidate for such a process could be the </w:t>
      </w:r>
      <w:r w:rsidR="00720BD6">
        <w:rPr>
          <w:rFonts w:ascii="Cambria" w:hAnsi="Cambria"/>
        </w:rPr>
        <w:t xml:space="preserve">practice of </w:t>
      </w:r>
      <w:r w:rsidR="004267C9" w:rsidRPr="005C2F74">
        <w:rPr>
          <w:rFonts w:ascii="Cambria" w:hAnsi="Cambria"/>
        </w:rPr>
        <w:t xml:space="preserve">building perceptions </w:t>
      </w:r>
      <w:r w:rsidR="00720BD6">
        <w:rPr>
          <w:rFonts w:ascii="Cambria" w:hAnsi="Cambria"/>
        </w:rPr>
        <w:t xml:space="preserve">of </w:t>
      </w:r>
      <w:r w:rsidR="004267C9" w:rsidRPr="005C2F74">
        <w:rPr>
          <w:rFonts w:ascii="Cambria" w:hAnsi="Cambria"/>
        </w:rPr>
        <w:t>social legitimacy.</w:t>
      </w:r>
      <w:r w:rsidR="004267C9" w:rsidRPr="005C2F74">
        <w:rPr>
          <w:rStyle w:val="FootnoteReference"/>
          <w:rFonts w:ascii="Cambria" w:hAnsi="Cambria"/>
        </w:rPr>
        <w:footnoteReference w:id="7"/>
      </w:r>
      <w:r w:rsidR="004267C9" w:rsidRPr="005C2F74">
        <w:rPr>
          <w:rFonts w:ascii="Cambria" w:hAnsi="Cambria"/>
        </w:rPr>
        <w:t xml:space="preserve"> As </w:t>
      </w:r>
      <w:proofErr w:type="spellStart"/>
      <w:r w:rsidR="004267C9" w:rsidRPr="005C2F74">
        <w:rPr>
          <w:rFonts w:ascii="Cambria" w:hAnsi="Cambria"/>
        </w:rPr>
        <w:t>Buse</w:t>
      </w:r>
      <w:proofErr w:type="spellEnd"/>
      <w:r w:rsidR="004267C9" w:rsidRPr="005C2F74">
        <w:rPr>
          <w:rFonts w:ascii="Cambria" w:hAnsi="Cambria"/>
        </w:rPr>
        <w:t xml:space="preserve"> and Harmer point out, the possession of innate authority and the strength to act upon it </w:t>
      </w:r>
      <w:r>
        <w:rPr>
          <w:rFonts w:ascii="Cambria" w:hAnsi="Cambria"/>
        </w:rPr>
        <w:t>–</w:t>
      </w:r>
      <w:r w:rsidR="004267C9" w:rsidRPr="005C2F74">
        <w:rPr>
          <w:rFonts w:ascii="Cambria" w:hAnsi="Cambria"/>
        </w:rPr>
        <w:t xml:space="preserve"> such as that afforded to governments by their citizens through democratic </w:t>
      </w:r>
      <w:r w:rsidR="002967DD">
        <w:rPr>
          <w:rFonts w:ascii="Cambria" w:hAnsi="Cambria"/>
        </w:rPr>
        <w:t>elections – do</w:t>
      </w:r>
      <w:r>
        <w:rPr>
          <w:rFonts w:ascii="Cambria" w:hAnsi="Cambria"/>
        </w:rPr>
        <w:t>es</w:t>
      </w:r>
      <w:r w:rsidR="004267C9" w:rsidRPr="005C2F74">
        <w:rPr>
          <w:rFonts w:ascii="Cambria" w:hAnsi="Cambria"/>
        </w:rPr>
        <w:t xml:space="preserve"> not automatically generate </w:t>
      </w:r>
      <w:r w:rsidR="002967DD">
        <w:rPr>
          <w:rFonts w:ascii="Cambria" w:hAnsi="Cambria"/>
        </w:rPr>
        <w:t xml:space="preserve">true </w:t>
      </w:r>
      <w:r>
        <w:rPr>
          <w:rFonts w:ascii="Cambria" w:hAnsi="Cambria"/>
        </w:rPr>
        <w:t>power for</w:t>
      </w:r>
      <w:r w:rsidR="004267C9" w:rsidRPr="005C2F74">
        <w:rPr>
          <w:rFonts w:ascii="Cambria" w:hAnsi="Cambria"/>
        </w:rPr>
        <w:t xml:space="preserve"> actor</w:t>
      </w:r>
      <w:r>
        <w:rPr>
          <w:rFonts w:ascii="Cambria" w:hAnsi="Cambria"/>
        </w:rPr>
        <w:t>s.</w:t>
      </w:r>
      <w:r w:rsidR="004267C9" w:rsidRPr="005C2F74">
        <w:rPr>
          <w:rFonts w:ascii="Cambria" w:hAnsi="Cambria"/>
        </w:rPr>
        <w:t xml:space="preserve"> Instead, </w:t>
      </w:r>
      <w:r>
        <w:rPr>
          <w:rFonts w:ascii="Cambria" w:hAnsi="Cambria"/>
        </w:rPr>
        <w:t xml:space="preserve">it is the </w:t>
      </w:r>
      <w:r w:rsidR="003B7DA3">
        <w:rPr>
          <w:rFonts w:ascii="Cambria" w:hAnsi="Cambria"/>
        </w:rPr>
        <w:t>existence</w:t>
      </w:r>
      <w:r>
        <w:rPr>
          <w:rFonts w:ascii="Cambria" w:hAnsi="Cambria"/>
        </w:rPr>
        <w:t xml:space="preserve"> of a perception </w:t>
      </w:r>
      <w:r w:rsidR="003B7DA3">
        <w:rPr>
          <w:rFonts w:ascii="Cambria" w:hAnsi="Cambria"/>
        </w:rPr>
        <w:t xml:space="preserve">that strength has been used in line with authority </w:t>
      </w:r>
      <w:r w:rsidR="003B7DA3" w:rsidRPr="003B7DA3">
        <w:rPr>
          <w:rFonts w:ascii="Cambria" w:hAnsi="Cambria"/>
          <w:i/>
        </w:rPr>
        <w:t>an</w:t>
      </w:r>
      <w:r w:rsidR="003B7DA3">
        <w:rPr>
          <w:rFonts w:ascii="Cambria" w:hAnsi="Cambria"/>
          <w:i/>
        </w:rPr>
        <w:t>d</w:t>
      </w:r>
      <w:r w:rsidR="003B7DA3" w:rsidRPr="003B7DA3">
        <w:rPr>
          <w:rFonts w:ascii="Cambria" w:hAnsi="Cambria"/>
          <w:i/>
        </w:rPr>
        <w:t xml:space="preserve"> in a socially legitimate way</w:t>
      </w:r>
      <w:r w:rsidR="003B7DA3">
        <w:rPr>
          <w:rFonts w:ascii="Cambria" w:hAnsi="Cambria"/>
        </w:rPr>
        <w:t xml:space="preserve"> that gives an actor power.</w:t>
      </w:r>
      <w:r w:rsidR="004267C9" w:rsidRPr="005C2F74">
        <w:rPr>
          <w:rStyle w:val="FootnoteReference"/>
          <w:rFonts w:ascii="Cambria" w:hAnsi="Cambria"/>
        </w:rPr>
        <w:footnoteReference w:id="8"/>
      </w:r>
      <w:r w:rsidR="004267C9" w:rsidRPr="005C2F74">
        <w:rPr>
          <w:rFonts w:ascii="Cambria" w:hAnsi="Cambria"/>
        </w:rPr>
        <w:t xml:space="preserve"> Thus, as Barnett and </w:t>
      </w:r>
      <w:proofErr w:type="spellStart"/>
      <w:r w:rsidR="004267C9" w:rsidRPr="005C2F74">
        <w:rPr>
          <w:rFonts w:ascii="Cambria" w:hAnsi="Cambria"/>
        </w:rPr>
        <w:t>Finnemore</w:t>
      </w:r>
      <w:proofErr w:type="spellEnd"/>
      <w:r w:rsidR="004267C9" w:rsidRPr="005C2F74">
        <w:rPr>
          <w:rFonts w:ascii="Cambria" w:hAnsi="Cambria"/>
        </w:rPr>
        <w:t xml:space="preserve"> note, a government ‘is powerful and commands deference, not in its own right, but </w:t>
      </w:r>
      <w:r w:rsidR="004267C9" w:rsidRPr="005C2F74">
        <w:rPr>
          <w:rFonts w:ascii="Cambria" w:hAnsi="Cambria"/>
        </w:rPr>
        <w:lastRenderedPageBreak/>
        <w:t>because of the values it claims to embody and</w:t>
      </w:r>
      <w:r w:rsidR="00FF28CD">
        <w:rPr>
          <w:rFonts w:ascii="Cambria" w:hAnsi="Cambria"/>
        </w:rPr>
        <w:t xml:space="preserve"> the people it claims to serve.’</w:t>
      </w:r>
      <w:r w:rsidR="004267C9" w:rsidRPr="005C2F74">
        <w:rPr>
          <w:rStyle w:val="FootnoteReference"/>
          <w:rFonts w:ascii="Cambria" w:hAnsi="Cambria"/>
        </w:rPr>
        <w:footnoteReference w:id="9"/>
      </w:r>
      <w:r w:rsidR="004267C9" w:rsidRPr="005C2F74">
        <w:rPr>
          <w:rFonts w:ascii="Cambria" w:hAnsi="Cambria"/>
        </w:rPr>
        <w:t xml:space="preserve">  Thus, legitimacy is </w:t>
      </w:r>
      <w:r w:rsidR="003B7DA3">
        <w:rPr>
          <w:rFonts w:ascii="Cambria" w:hAnsi="Cambria"/>
        </w:rPr>
        <w:t>the crucial link</w:t>
      </w:r>
      <w:r w:rsidR="004267C9" w:rsidRPr="005C2F74">
        <w:rPr>
          <w:rFonts w:ascii="Cambria" w:hAnsi="Cambria"/>
        </w:rPr>
        <w:t xml:space="preserve"> </w:t>
      </w:r>
      <w:r w:rsidR="002967DD">
        <w:rPr>
          <w:rFonts w:ascii="Cambria" w:hAnsi="Cambria"/>
        </w:rPr>
        <w:t>‘</w:t>
      </w:r>
      <w:r w:rsidR="004267C9" w:rsidRPr="005C2F74">
        <w:rPr>
          <w:rFonts w:ascii="Cambria" w:hAnsi="Cambria"/>
        </w:rPr>
        <w:t>position</w:t>
      </w:r>
      <w:r w:rsidR="00FF28CD">
        <w:rPr>
          <w:rFonts w:ascii="Cambria" w:hAnsi="Cambria"/>
        </w:rPr>
        <w:t>ed between power and authority.’</w:t>
      </w:r>
      <w:r w:rsidR="004267C9" w:rsidRPr="005C2F74">
        <w:rPr>
          <w:rStyle w:val="FootnoteReference"/>
          <w:rFonts w:ascii="Cambria" w:hAnsi="Cambria"/>
        </w:rPr>
        <w:footnoteReference w:id="10"/>
      </w:r>
      <w:r w:rsidR="004267C9" w:rsidRPr="005C2F74">
        <w:rPr>
          <w:rFonts w:ascii="Cambria" w:hAnsi="Cambria"/>
        </w:rPr>
        <w:t xml:space="preserve"> </w:t>
      </w:r>
    </w:p>
    <w:p w14:paraId="6AFF3EA8" w14:textId="5C65BFB1" w:rsidR="004267C9" w:rsidRPr="005C2F74" w:rsidRDefault="002967DD" w:rsidP="004267C9">
      <w:pPr>
        <w:autoSpaceDE w:val="0"/>
        <w:autoSpaceDN w:val="0"/>
        <w:adjustRightInd w:val="0"/>
        <w:spacing w:after="200" w:line="276" w:lineRule="auto"/>
        <w:rPr>
          <w:rFonts w:ascii="Cambria" w:hAnsi="Cambria"/>
        </w:rPr>
      </w:pPr>
      <w:r>
        <w:rPr>
          <w:rFonts w:ascii="Cambria" w:hAnsi="Cambria"/>
        </w:rPr>
        <w:t xml:space="preserve">If </w:t>
      </w:r>
      <w:r w:rsidR="003B7DA3">
        <w:rPr>
          <w:rFonts w:ascii="Cambria" w:hAnsi="Cambria"/>
        </w:rPr>
        <w:t>acquiring power is process of building social legitimacy, then it follows that</w:t>
      </w:r>
      <w:r w:rsidR="004267C9" w:rsidRPr="005C2F74">
        <w:rPr>
          <w:rFonts w:ascii="Cambria" w:hAnsi="Cambria"/>
        </w:rPr>
        <w:t xml:space="preserve"> </w:t>
      </w:r>
      <w:r>
        <w:rPr>
          <w:rFonts w:ascii="Cambria" w:hAnsi="Cambria"/>
        </w:rPr>
        <w:t>more t</w:t>
      </w:r>
      <w:r w:rsidR="003B7DA3">
        <w:rPr>
          <w:rFonts w:ascii="Cambria" w:hAnsi="Cambria"/>
        </w:rPr>
        <w:t>han one political actor could achieve this</w:t>
      </w:r>
      <w:r w:rsidR="00FA2A5D">
        <w:rPr>
          <w:rFonts w:ascii="Cambria" w:hAnsi="Cambria"/>
        </w:rPr>
        <w:t>, whether governmental or non-governmental</w:t>
      </w:r>
      <w:r w:rsidR="004267C9" w:rsidRPr="005C2F74">
        <w:rPr>
          <w:rFonts w:ascii="Cambria" w:hAnsi="Cambria"/>
        </w:rPr>
        <w:t>. The</w:t>
      </w:r>
      <w:r w:rsidR="003B7DA3">
        <w:rPr>
          <w:rFonts w:ascii="Cambria" w:hAnsi="Cambria"/>
        </w:rPr>
        <w:t xml:space="preserve"> interconnectedness of strength, authority, legitimacy and power</w:t>
      </w:r>
      <w:r w:rsidR="004267C9" w:rsidRPr="005C2F74">
        <w:rPr>
          <w:rFonts w:ascii="Cambria" w:hAnsi="Cambria"/>
        </w:rPr>
        <w:t xml:space="preserve"> means that if an actor has to translate its authority into power by legitimising its strength, it </w:t>
      </w:r>
      <w:r w:rsidR="003B7DA3">
        <w:rPr>
          <w:rFonts w:ascii="Cambria" w:hAnsi="Cambria"/>
        </w:rPr>
        <w:t>is logical to suggest that</w:t>
      </w:r>
      <w:r w:rsidR="004267C9" w:rsidRPr="005C2F74">
        <w:rPr>
          <w:rFonts w:ascii="Cambria" w:hAnsi="Cambria"/>
        </w:rPr>
        <w:t xml:space="preserve"> an actor who possesses strength can </w:t>
      </w:r>
      <w:r w:rsidR="003B7DA3">
        <w:rPr>
          <w:rFonts w:ascii="Cambria" w:hAnsi="Cambria"/>
        </w:rPr>
        <w:t>work to build an image of social legitimacy, from this build a base of authority</w:t>
      </w:r>
      <w:r w:rsidR="00A951DA">
        <w:rPr>
          <w:rFonts w:ascii="Cambria" w:hAnsi="Cambria"/>
        </w:rPr>
        <w:t xml:space="preserve"> (instead of being given it by the democratic process), and consequently gain</w:t>
      </w:r>
      <w:r w:rsidR="004267C9" w:rsidRPr="005C2F74">
        <w:rPr>
          <w:rFonts w:ascii="Cambria" w:hAnsi="Cambria"/>
        </w:rPr>
        <w:t xml:space="preserve"> power. </w:t>
      </w:r>
    </w:p>
    <w:p w14:paraId="5451DEB0" w14:textId="4677CE01" w:rsidR="004267C9" w:rsidRPr="00E35727" w:rsidRDefault="00942EBA" w:rsidP="004267C9">
      <w:pPr>
        <w:autoSpaceDE w:val="0"/>
        <w:autoSpaceDN w:val="0"/>
        <w:adjustRightInd w:val="0"/>
        <w:spacing w:after="200" w:line="276" w:lineRule="auto"/>
        <w:rPr>
          <w:rFonts w:ascii="Cambria" w:hAnsi="Cambria"/>
        </w:rPr>
      </w:pPr>
      <w:r>
        <w:rPr>
          <w:rFonts w:ascii="Cambria" w:hAnsi="Cambria"/>
        </w:rPr>
        <w:t>In</w:t>
      </w:r>
      <w:r w:rsidR="004267C9" w:rsidRPr="005C2F74">
        <w:rPr>
          <w:rFonts w:ascii="Cambria" w:hAnsi="Cambria"/>
        </w:rPr>
        <w:t xml:space="preserve"> the field of </w:t>
      </w:r>
      <w:r w:rsidR="007E2D33">
        <w:rPr>
          <w:rFonts w:ascii="Cambria" w:hAnsi="Cambria"/>
        </w:rPr>
        <w:t xml:space="preserve">NCD </w:t>
      </w:r>
      <w:r>
        <w:rPr>
          <w:rFonts w:ascii="Cambria" w:hAnsi="Cambria"/>
        </w:rPr>
        <w:t>policy, multinational corporations</w:t>
      </w:r>
      <w:r w:rsidR="00B61371">
        <w:rPr>
          <w:rFonts w:ascii="Cambria" w:hAnsi="Cambria"/>
        </w:rPr>
        <w:t xml:space="preserve"> (MNCs) that produce alcohol, tobacco and unhealthy foods</w:t>
      </w:r>
      <w:r w:rsidR="007E2D33">
        <w:rPr>
          <w:rFonts w:ascii="Cambria" w:hAnsi="Cambria"/>
        </w:rPr>
        <w:t xml:space="preserve"> </w:t>
      </w:r>
      <w:r w:rsidR="004267C9" w:rsidRPr="005C2F74">
        <w:rPr>
          <w:rFonts w:ascii="Cambria" w:hAnsi="Cambria"/>
        </w:rPr>
        <w:t xml:space="preserve">have </w:t>
      </w:r>
      <w:r>
        <w:rPr>
          <w:rFonts w:ascii="Cambria" w:hAnsi="Cambria"/>
        </w:rPr>
        <w:t xml:space="preserve">managed to acquire power </w:t>
      </w:r>
      <w:r w:rsidR="004267C9" w:rsidRPr="005C2F74">
        <w:rPr>
          <w:rFonts w:ascii="Cambria" w:hAnsi="Cambria"/>
        </w:rPr>
        <w:t xml:space="preserve">in exactly </w:t>
      </w:r>
      <w:r w:rsidR="00B61371">
        <w:rPr>
          <w:rFonts w:ascii="Cambria" w:hAnsi="Cambria"/>
        </w:rPr>
        <w:t>the above</w:t>
      </w:r>
      <w:r w:rsidR="004267C9" w:rsidRPr="005C2F74">
        <w:rPr>
          <w:rFonts w:ascii="Cambria" w:hAnsi="Cambria"/>
        </w:rPr>
        <w:t xml:space="preserve"> manner</w:t>
      </w:r>
      <w:r>
        <w:rPr>
          <w:rFonts w:ascii="Cambria" w:hAnsi="Cambria"/>
        </w:rPr>
        <w:t>.</w:t>
      </w:r>
      <w:r w:rsidR="004267C9" w:rsidRPr="005C2F74">
        <w:rPr>
          <w:rFonts w:ascii="Cambria" w:hAnsi="Cambria"/>
        </w:rPr>
        <w:t xml:space="preserve"> </w:t>
      </w:r>
      <w:r w:rsidR="0025588D">
        <w:rPr>
          <w:rFonts w:ascii="Cambria" w:hAnsi="Cambria"/>
        </w:rPr>
        <w:t>MNCs are in a position of strength due to their command of the market,</w:t>
      </w:r>
      <w:r w:rsidR="0025588D">
        <w:rPr>
          <w:rStyle w:val="FootnoteReference"/>
          <w:rFonts w:ascii="Cambria" w:hAnsi="Cambria"/>
        </w:rPr>
        <w:footnoteReference w:id="11"/>
      </w:r>
      <w:r w:rsidR="0025588D">
        <w:rPr>
          <w:rFonts w:ascii="Cambria" w:hAnsi="Cambria"/>
        </w:rPr>
        <w:t xml:space="preserve"> and by</w:t>
      </w:r>
      <w:r w:rsidR="0023369B">
        <w:rPr>
          <w:rFonts w:ascii="Cambria" w:hAnsi="Cambria"/>
        </w:rPr>
        <w:t xml:space="preserve"> portraying themselves as ‘</w:t>
      </w:r>
      <w:proofErr w:type="spellStart"/>
      <w:r w:rsidR="0023369B">
        <w:rPr>
          <w:rFonts w:ascii="Cambria" w:hAnsi="Cambria"/>
        </w:rPr>
        <w:t>serv</w:t>
      </w:r>
      <w:proofErr w:type="spellEnd"/>
      <w:r w:rsidR="0023369B">
        <w:rPr>
          <w:rFonts w:ascii="Cambria" w:hAnsi="Cambria"/>
        </w:rPr>
        <w:t>[ing]</w:t>
      </w:r>
      <w:r w:rsidR="004267C9" w:rsidRPr="005C2F74">
        <w:rPr>
          <w:rFonts w:ascii="Cambria" w:hAnsi="Cambria"/>
        </w:rPr>
        <w:t xml:space="preserve"> some valued and legitimate social purpose’</w:t>
      </w:r>
      <w:r w:rsidR="004267C9" w:rsidRPr="005C2F74">
        <w:rPr>
          <w:rStyle w:val="FootnoteReference"/>
          <w:rFonts w:ascii="Cambria" w:hAnsi="Cambria"/>
        </w:rPr>
        <w:footnoteReference w:id="12"/>
      </w:r>
      <w:r w:rsidR="0023369B">
        <w:rPr>
          <w:rFonts w:ascii="Cambria" w:hAnsi="Cambria"/>
        </w:rPr>
        <w:t xml:space="preserve"> they have </w:t>
      </w:r>
      <w:r w:rsidR="004267C9" w:rsidRPr="005C2F74">
        <w:rPr>
          <w:rFonts w:ascii="Cambria" w:hAnsi="Cambria"/>
        </w:rPr>
        <w:t>managed to</w:t>
      </w:r>
      <w:r w:rsidR="0023369B">
        <w:rPr>
          <w:rFonts w:ascii="Cambria" w:hAnsi="Cambria"/>
        </w:rPr>
        <w:t xml:space="preserve"> </w:t>
      </w:r>
      <w:r w:rsidR="00E35727">
        <w:rPr>
          <w:rFonts w:ascii="Cambria" w:hAnsi="Cambria"/>
        </w:rPr>
        <w:t>secure a platform as authoritative stakeholders o</w:t>
      </w:r>
      <w:r w:rsidR="00B61371">
        <w:rPr>
          <w:rFonts w:ascii="Cambria" w:hAnsi="Cambria"/>
        </w:rPr>
        <w:t xml:space="preserve">n NCD issues, which they have </w:t>
      </w:r>
      <w:r w:rsidR="00E35727">
        <w:rPr>
          <w:rFonts w:ascii="Cambria" w:hAnsi="Cambria"/>
        </w:rPr>
        <w:t>exploited</w:t>
      </w:r>
      <w:r w:rsidR="00B61371">
        <w:rPr>
          <w:rFonts w:ascii="Cambria" w:hAnsi="Cambria"/>
        </w:rPr>
        <w:t xml:space="preserve"> to accrue and exert power on the policy process in</w:t>
      </w:r>
      <w:r w:rsidR="004267C9" w:rsidRPr="005C2F74">
        <w:rPr>
          <w:rFonts w:ascii="Cambria" w:hAnsi="Cambria"/>
        </w:rPr>
        <w:t xml:space="preserve"> order to influence its direction.</w:t>
      </w:r>
      <w:r w:rsidR="00E35727">
        <w:rPr>
          <w:rFonts w:ascii="Cambria" w:hAnsi="Cambria"/>
        </w:rPr>
        <w:t xml:space="preserve"> The more they influence the policy process, the more power becomes concentrated in their hands.    </w:t>
      </w:r>
    </w:p>
    <w:p w14:paraId="14552CB7" w14:textId="6CA1FBC4" w:rsidR="004267C9" w:rsidRPr="005C2F74" w:rsidRDefault="0002252B" w:rsidP="004267C9">
      <w:pPr>
        <w:autoSpaceDE w:val="0"/>
        <w:autoSpaceDN w:val="0"/>
        <w:adjustRightInd w:val="0"/>
        <w:spacing w:after="200" w:line="276" w:lineRule="auto"/>
        <w:rPr>
          <w:rFonts w:ascii="Cambria" w:hAnsi="Cambria"/>
        </w:rPr>
      </w:pPr>
      <w:r>
        <w:rPr>
          <w:rFonts w:ascii="Cambria" w:hAnsi="Cambria"/>
        </w:rPr>
        <w:t>MNCs</w:t>
      </w:r>
      <w:r w:rsidR="009A6819">
        <w:rPr>
          <w:rFonts w:ascii="Cambria" w:hAnsi="Cambria"/>
        </w:rPr>
        <w:t xml:space="preserve"> have</w:t>
      </w:r>
      <w:r w:rsidR="004267C9" w:rsidRPr="005C2F74">
        <w:rPr>
          <w:rFonts w:ascii="Cambria" w:hAnsi="Cambria"/>
        </w:rPr>
        <w:t xml:space="preserve"> acquire</w:t>
      </w:r>
      <w:r w:rsidR="009A6819">
        <w:rPr>
          <w:rFonts w:ascii="Cambria" w:hAnsi="Cambria"/>
        </w:rPr>
        <w:t>d</w:t>
      </w:r>
      <w:r w:rsidR="004267C9" w:rsidRPr="005C2F74">
        <w:rPr>
          <w:rFonts w:ascii="Cambria" w:hAnsi="Cambria"/>
        </w:rPr>
        <w:t xml:space="preserve"> the legitimacy and authority needed to exercise policymaking power by manipulating the political landscape of </w:t>
      </w:r>
      <w:r w:rsidR="000B2459">
        <w:rPr>
          <w:rFonts w:ascii="Cambria" w:hAnsi="Cambria"/>
        </w:rPr>
        <w:t>NCD</w:t>
      </w:r>
      <w:r w:rsidR="004267C9" w:rsidRPr="005C2F74">
        <w:rPr>
          <w:rFonts w:ascii="Cambria" w:hAnsi="Cambria"/>
        </w:rPr>
        <w:t xml:space="preserve"> policy, including the actors that operate within it. </w:t>
      </w:r>
    </w:p>
    <w:p w14:paraId="22A122ED" w14:textId="2730A4FB" w:rsidR="004267C9" w:rsidRPr="005C2F74" w:rsidRDefault="00026768" w:rsidP="004267C9">
      <w:pPr>
        <w:autoSpaceDE w:val="0"/>
        <w:autoSpaceDN w:val="0"/>
        <w:adjustRightInd w:val="0"/>
        <w:spacing w:after="200" w:line="276" w:lineRule="auto"/>
        <w:rPr>
          <w:rFonts w:ascii="Cambria" w:hAnsi="Cambria"/>
        </w:rPr>
      </w:pPr>
      <w:r>
        <w:rPr>
          <w:rFonts w:ascii="Cambria" w:hAnsi="Cambria"/>
        </w:rPr>
        <w:t>P</w:t>
      </w:r>
      <w:r w:rsidR="004267C9" w:rsidRPr="005C2F74">
        <w:rPr>
          <w:rFonts w:ascii="Cambria" w:hAnsi="Cambria"/>
        </w:rPr>
        <w:t>olitics and policymaking are ver</w:t>
      </w:r>
      <w:r w:rsidR="00C62BC8">
        <w:rPr>
          <w:rFonts w:ascii="Cambria" w:hAnsi="Cambria"/>
        </w:rPr>
        <w:t xml:space="preserve">y different spheres of action. </w:t>
      </w:r>
      <w:r w:rsidR="00C62BC8" w:rsidRPr="00C62BC8">
        <w:rPr>
          <w:rFonts w:ascii="Cambria" w:hAnsi="Cambria"/>
          <w:i/>
        </w:rPr>
        <w:t>Politics</w:t>
      </w:r>
      <w:r w:rsidR="004267C9" w:rsidRPr="005C2F74">
        <w:rPr>
          <w:rFonts w:ascii="Cambria" w:hAnsi="Cambria"/>
        </w:rPr>
        <w:t xml:space="preserve"> describes ‘the participation of citizens in public activities aimed at dialogue, critique, and deliberati</w:t>
      </w:r>
      <w:r w:rsidR="00FF28CD">
        <w:rPr>
          <w:rFonts w:ascii="Cambria" w:hAnsi="Cambria"/>
        </w:rPr>
        <w:t>on on existing or new policies.’</w:t>
      </w:r>
      <w:r w:rsidR="004267C9" w:rsidRPr="005C2F74">
        <w:rPr>
          <w:rStyle w:val="FootnoteReference"/>
          <w:rFonts w:ascii="Cambria" w:hAnsi="Cambria"/>
        </w:rPr>
        <w:footnoteReference w:id="13"/>
      </w:r>
      <w:r w:rsidR="004267C9" w:rsidRPr="005C2F74">
        <w:rPr>
          <w:rFonts w:ascii="Cambria" w:hAnsi="Cambria"/>
        </w:rPr>
        <w:t xml:space="preserve"> </w:t>
      </w:r>
      <w:r>
        <w:rPr>
          <w:rFonts w:ascii="Cambria" w:hAnsi="Cambria"/>
        </w:rPr>
        <w:t xml:space="preserve">It identifies </w:t>
      </w:r>
      <w:r w:rsidR="004267C9" w:rsidRPr="005C2F74">
        <w:rPr>
          <w:rFonts w:ascii="Cambria" w:hAnsi="Cambria"/>
        </w:rPr>
        <w:t xml:space="preserve">the process of deciding who has the authority to </w:t>
      </w:r>
      <w:r w:rsidR="00C62BC8">
        <w:rPr>
          <w:rFonts w:ascii="Cambria" w:hAnsi="Cambria"/>
        </w:rPr>
        <w:t>govern</w:t>
      </w:r>
      <w:r w:rsidR="004267C9" w:rsidRPr="005C2F74">
        <w:rPr>
          <w:rFonts w:ascii="Cambria" w:hAnsi="Cambria"/>
        </w:rPr>
        <w:t xml:space="preserve"> and the discussion that take</w:t>
      </w:r>
      <w:r>
        <w:rPr>
          <w:rFonts w:ascii="Cambria" w:hAnsi="Cambria"/>
        </w:rPr>
        <w:t>s</w:t>
      </w:r>
      <w:r w:rsidR="004267C9" w:rsidRPr="005C2F74">
        <w:rPr>
          <w:rFonts w:ascii="Cambria" w:hAnsi="Cambria"/>
        </w:rPr>
        <w:t xml:space="preserve"> place within government or between government and citizens. </w:t>
      </w:r>
      <w:r>
        <w:rPr>
          <w:rFonts w:ascii="Cambria" w:hAnsi="Cambria"/>
        </w:rPr>
        <w:t>Conversely,</w:t>
      </w:r>
      <w:r w:rsidR="004267C9" w:rsidRPr="005C2F74">
        <w:rPr>
          <w:rFonts w:ascii="Cambria" w:hAnsi="Cambria"/>
        </w:rPr>
        <w:t xml:space="preserve"> </w:t>
      </w:r>
      <w:r w:rsidR="004267C9" w:rsidRPr="00C62BC8">
        <w:rPr>
          <w:rFonts w:ascii="Cambria" w:hAnsi="Cambria"/>
          <w:i/>
        </w:rPr>
        <w:t>policymaking</w:t>
      </w:r>
      <w:r w:rsidR="004267C9" w:rsidRPr="005C2F74">
        <w:rPr>
          <w:rFonts w:ascii="Cambria" w:hAnsi="Cambria"/>
        </w:rPr>
        <w:t xml:space="preserve"> refers to ‘the sum total of government action, from signals of intent to the final outcomes</w:t>
      </w:r>
      <w:r w:rsidR="00FF28CD">
        <w:rPr>
          <w:rFonts w:ascii="Cambria" w:hAnsi="Cambria"/>
        </w:rPr>
        <w:t>.</w:t>
      </w:r>
      <w:r w:rsidR="004267C9" w:rsidRPr="005C2F74">
        <w:rPr>
          <w:rFonts w:ascii="Cambria" w:hAnsi="Cambria"/>
        </w:rPr>
        <w:t>’</w:t>
      </w:r>
      <w:r w:rsidR="004267C9" w:rsidRPr="005C2F74">
        <w:rPr>
          <w:rStyle w:val="FootnoteReference"/>
          <w:rFonts w:ascii="Cambria" w:hAnsi="Cambria"/>
        </w:rPr>
        <w:footnoteReference w:id="14"/>
      </w:r>
      <w:r w:rsidR="004267C9" w:rsidRPr="005C2F74">
        <w:rPr>
          <w:rFonts w:ascii="Cambria" w:hAnsi="Cambria"/>
        </w:rPr>
        <w:t xml:space="preserve"> It is conducted by ‘authorised decision-makers and specialised expertise [and] is thus a hierarchical and instrumental process … [which] sets an agenda, determines goals, uses data, choses courses of implementation, evaluates resu</w:t>
      </w:r>
      <w:r w:rsidR="00FF28CD">
        <w:rPr>
          <w:rFonts w:ascii="Cambria" w:hAnsi="Cambria"/>
        </w:rPr>
        <w:t>lts and modified initial goals.’</w:t>
      </w:r>
      <w:r w:rsidR="004267C9" w:rsidRPr="005C2F74">
        <w:rPr>
          <w:rStyle w:val="FootnoteReference"/>
          <w:rFonts w:ascii="Cambria" w:hAnsi="Cambria"/>
        </w:rPr>
        <w:footnoteReference w:id="15"/>
      </w:r>
      <w:r w:rsidR="004267C9" w:rsidRPr="005C2F74">
        <w:rPr>
          <w:rFonts w:ascii="Cambria" w:hAnsi="Cambria"/>
        </w:rPr>
        <w:t xml:space="preserve"> Therefore the difference between politics and policymaking is that politics is the channel through</w:t>
      </w:r>
      <w:r>
        <w:rPr>
          <w:rFonts w:ascii="Cambria" w:hAnsi="Cambria"/>
        </w:rPr>
        <w:t xml:space="preserve"> which problems such as </w:t>
      </w:r>
      <w:r w:rsidR="000B2459">
        <w:rPr>
          <w:rFonts w:ascii="Cambria" w:hAnsi="Cambria"/>
        </w:rPr>
        <w:t>NCDs</w:t>
      </w:r>
      <w:r>
        <w:rPr>
          <w:rFonts w:ascii="Cambria" w:hAnsi="Cambria"/>
        </w:rPr>
        <w:t xml:space="preserve"> are discussed and </w:t>
      </w:r>
      <w:r w:rsidR="00C62BC8">
        <w:rPr>
          <w:rFonts w:ascii="Cambria" w:hAnsi="Cambria"/>
        </w:rPr>
        <w:t>the</w:t>
      </w:r>
      <w:r>
        <w:rPr>
          <w:rFonts w:ascii="Cambria" w:hAnsi="Cambria"/>
        </w:rPr>
        <w:t xml:space="preserve"> </w:t>
      </w:r>
      <w:r w:rsidR="00C62BC8">
        <w:rPr>
          <w:rFonts w:ascii="Cambria" w:hAnsi="Cambria"/>
        </w:rPr>
        <w:t xml:space="preserve">authority to deal with these problems is </w:t>
      </w:r>
      <w:r>
        <w:rPr>
          <w:rFonts w:ascii="Cambria" w:hAnsi="Cambria"/>
        </w:rPr>
        <w:t xml:space="preserve">apportioned, and policymaking is the process through which these problems are acted upon. </w:t>
      </w:r>
      <w:r w:rsidR="004267C9" w:rsidRPr="005C2F74">
        <w:rPr>
          <w:rFonts w:ascii="Cambria" w:hAnsi="Cambria"/>
        </w:rPr>
        <w:t xml:space="preserve">Consequently, it </w:t>
      </w:r>
      <w:r>
        <w:rPr>
          <w:rFonts w:ascii="Cambria" w:hAnsi="Cambria"/>
        </w:rPr>
        <w:t>if a</w:t>
      </w:r>
      <w:r w:rsidR="00C62BC8">
        <w:rPr>
          <w:rFonts w:ascii="Cambria" w:hAnsi="Cambria"/>
        </w:rPr>
        <w:t>n</w:t>
      </w:r>
      <w:r>
        <w:rPr>
          <w:rFonts w:ascii="Cambria" w:hAnsi="Cambria"/>
        </w:rPr>
        <w:t xml:space="preserve"> actor wishes to exert control in a particular policymaking field, they must first control the politics of that field.</w:t>
      </w:r>
      <w:r w:rsidR="004267C9" w:rsidRPr="005C2F74">
        <w:rPr>
          <w:rFonts w:ascii="Cambria" w:hAnsi="Cambria"/>
        </w:rPr>
        <w:t xml:space="preserve">  </w:t>
      </w:r>
    </w:p>
    <w:p w14:paraId="1AC5ABA7" w14:textId="7C733A1C" w:rsidR="004267C9" w:rsidRPr="005C2F74" w:rsidRDefault="00026768" w:rsidP="004267C9">
      <w:pPr>
        <w:autoSpaceDE w:val="0"/>
        <w:autoSpaceDN w:val="0"/>
        <w:adjustRightInd w:val="0"/>
        <w:spacing w:after="200" w:line="276" w:lineRule="auto"/>
        <w:rPr>
          <w:rFonts w:ascii="Cambria" w:hAnsi="Cambria"/>
        </w:rPr>
      </w:pPr>
      <w:r>
        <w:rPr>
          <w:rFonts w:ascii="Cambria" w:hAnsi="Cambria"/>
        </w:rPr>
        <w:t xml:space="preserve">MNCs in positions of market </w:t>
      </w:r>
      <w:r w:rsidR="00C62BC8">
        <w:rPr>
          <w:rFonts w:ascii="Cambria" w:hAnsi="Cambria"/>
        </w:rPr>
        <w:t>dominance (and therefore strength)</w:t>
      </w:r>
      <w:r>
        <w:rPr>
          <w:rFonts w:ascii="Cambria" w:hAnsi="Cambria"/>
        </w:rPr>
        <w:t xml:space="preserve"> have</w:t>
      </w:r>
      <w:r w:rsidR="004267C9" w:rsidRPr="005C2F74">
        <w:rPr>
          <w:rFonts w:ascii="Cambria" w:hAnsi="Cambria"/>
        </w:rPr>
        <w:t xml:space="preserve"> </w:t>
      </w:r>
      <w:r>
        <w:rPr>
          <w:rFonts w:ascii="Cambria" w:hAnsi="Cambria"/>
        </w:rPr>
        <w:t>used a number of tactics</w:t>
      </w:r>
      <w:r w:rsidR="004267C9" w:rsidRPr="005C2F74">
        <w:rPr>
          <w:rFonts w:ascii="Cambria" w:hAnsi="Cambria"/>
        </w:rPr>
        <w:t xml:space="preserve"> to manipulate the politics </w:t>
      </w:r>
      <w:r>
        <w:rPr>
          <w:rFonts w:ascii="Cambria" w:hAnsi="Cambria"/>
        </w:rPr>
        <w:t xml:space="preserve">of </w:t>
      </w:r>
      <w:r w:rsidR="000B2459">
        <w:rPr>
          <w:rFonts w:ascii="Cambria" w:hAnsi="Cambria"/>
        </w:rPr>
        <w:t>NCD prevention</w:t>
      </w:r>
      <w:r w:rsidR="004267C9" w:rsidRPr="005C2F74">
        <w:rPr>
          <w:rFonts w:ascii="Cambria" w:hAnsi="Cambria"/>
        </w:rPr>
        <w:t xml:space="preserve"> so as to portray themselves and </w:t>
      </w:r>
      <w:r w:rsidR="004267C9" w:rsidRPr="005C2F74">
        <w:rPr>
          <w:rFonts w:ascii="Cambria" w:hAnsi="Cambria"/>
        </w:rPr>
        <w:lastRenderedPageBreak/>
        <w:t>their views as a socially legitimate</w:t>
      </w:r>
      <w:r>
        <w:rPr>
          <w:rFonts w:ascii="Cambria" w:hAnsi="Cambria"/>
        </w:rPr>
        <w:t>, in order to gain authority and therefore power in the policymaking process</w:t>
      </w:r>
      <w:r w:rsidR="004267C9" w:rsidRPr="005C2F74">
        <w:rPr>
          <w:rFonts w:ascii="Cambria" w:hAnsi="Cambria"/>
        </w:rPr>
        <w:t xml:space="preserve">. First, </w:t>
      </w:r>
      <w:r>
        <w:rPr>
          <w:rFonts w:ascii="Cambria" w:hAnsi="Cambria"/>
        </w:rPr>
        <w:t xml:space="preserve">MNCs have exploited the extremely </w:t>
      </w:r>
      <w:r w:rsidR="004267C9" w:rsidRPr="005C2F74">
        <w:rPr>
          <w:rFonts w:ascii="Cambria" w:hAnsi="Cambria"/>
        </w:rPr>
        <w:t>sensitive</w:t>
      </w:r>
      <w:r>
        <w:rPr>
          <w:rFonts w:ascii="Cambria" w:hAnsi="Cambria"/>
        </w:rPr>
        <w:t xml:space="preserve"> nature of </w:t>
      </w:r>
      <w:r w:rsidR="000B2459">
        <w:rPr>
          <w:rFonts w:ascii="Cambria" w:hAnsi="Cambria"/>
        </w:rPr>
        <w:t>NCD prevention</w:t>
      </w:r>
      <w:r>
        <w:rPr>
          <w:rFonts w:ascii="Cambria" w:hAnsi="Cambria"/>
        </w:rPr>
        <w:t xml:space="preserve"> </w:t>
      </w:r>
      <w:r w:rsidR="00A83B70">
        <w:rPr>
          <w:rFonts w:ascii="Cambria" w:hAnsi="Cambria"/>
        </w:rPr>
        <w:t>in order to put across populist views in a far more forceful way than any other group</w:t>
      </w:r>
      <w:r w:rsidR="00F64BCC">
        <w:rPr>
          <w:rFonts w:ascii="Cambria" w:hAnsi="Cambria"/>
        </w:rPr>
        <w:t xml:space="preserve">, to ensure that information which mostly supports their own position tends to circulate with the greatest prominence </w:t>
      </w:r>
      <w:r w:rsidR="00273D75">
        <w:rPr>
          <w:rFonts w:ascii="Cambria" w:hAnsi="Cambria"/>
        </w:rPr>
        <w:t>whenever NCDs are discussed.</w:t>
      </w:r>
      <w:r w:rsidR="004267C9" w:rsidRPr="005C2F74">
        <w:rPr>
          <w:rStyle w:val="FootnoteReference"/>
          <w:rFonts w:ascii="Cambria" w:hAnsi="Cambria"/>
        </w:rPr>
        <w:footnoteReference w:id="16"/>
      </w:r>
      <w:r w:rsidR="004267C9" w:rsidRPr="005C2F74">
        <w:rPr>
          <w:rFonts w:ascii="Cambria" w:hAnsi="Cambria"/>
        </w:rPr>
        <w:t xml:space="preserve"> Second, </w:t>
      </w:r>
      <w:r w:rsidR="0002252B">
        <w:rPr>
          <w:rFonts w:ascii="Cambria" w:hAnsi="Cambria"/>
        </w:rPr>
        <w:t>MNCs</w:t>
      </w:r>
      <w:r w:rsidR="004267C9" w:rsidRPr="005C2F74">
        <w:rPr>
          <w:rFonts w:ascii="Cambria" w:hAnsi="Cambria"/>
        </w:rPr>
        <w:t xml:space="preserve"> have managed to portray themselves </w:t>
      </w:r>
      <w:r w:rsidR="0002252B">
        <w:rPr>
          <w:rFonts w:ascii="Cambria" w:hAnsi="Cambria"/>
        </w:rPr>
        <w:t>as an acceptable and normal part of society</w:t>
      </w:r>
      <w:r w:rsidR="004267C9" w:rsidRPr="005C2F74">
        <w:rPr>
          <w:rFonts w:ascii="Cambria" w:hAnsi="Cambria"/>
        </w:rPr>
        <w:t xml:space="preserve">. Using marketing, </w:t>
      </w:r>
      <w:r w:rsidR="0002252B">
        <w:rPr>
          <w:rFonts w:ascii="Cambria" w:hAnsi="Cambria"/>
        </w:rPr>
        <w:t>MNCs</w:t>
      </w:r>
      <w:r w:rsidR="004267C9" w:rsidRPr="005C2F74">
        <w:rPr>
          <w:rFonts w:ascii="Cambria" w:hAnsi="Cambria"/>
        </w:rPr>
        <w:t xml:space="preserve"> have managed to ‘mask [the] uncomfortable truths [about themselves and their products] by disguising inanimate corporate monoliths as benign frien</w:t>
      </w:r>
      <w:r w:rsidR="00FF28CD">
        <w:rPr>
          <w:rFonts w:ascii="Cambria" w:hAnsi="Cambria"/>
        </w:rPr>
        <w:t>ds under the guise of branding,’</w:t>
      </w:r>
      <w:r w:rsidR="0002252B" w:rsidRPr="005C2F74">
        <w:rPr>
          <w:rStyle w:val="FootnoteReference"/>
          <w:rFonts w:ascii="Cambria" w:hAnsi="Cambria"/>
        </w:rPr>
        <w:footnoteReference w:id="17"/>
      </w:r>
      <w:r w:rsidR="0002252B" w:rsidRPr="005C2F74">
        <w:rPr>
          <w:rFonts w:ascii="Cambria" w:hAnsi="Cambria"/>
        </w:rPr>
        <w:t xml:space="preserve"> </w:t>
      </w:r>
      <w:r w:rsidR="0002252B">
        <w:rPr>
          <w:rFonts w:ascii="Cambria" w:hAnsi="Cambria"/>
        </w:rPr>
        <w:t xml:space="preserve"> creating an environment where they and the products they sell are perfectly ordinary and commonplace, and even a valued part of many people’s lives.</w:t>
      </w:r>
      <w:r w:rsidR="004267C9" w:rsidRPr="005C2F74">
        <w:rPr>
          <w:rFonts w:ascii="Cambria" w:hAnsi="Cambria"/>
        </w:rPr>
        <w:t xml:space="preserve"> Third, </w:t>
      </w:r>
      <w:r w:rsidR="0002252B">
        <w:rPr>
          <w:rFonts w:ascii="Cambria" w:hAnsi="Cambria"/>
        </w:rPr>
        <w:t>MNCs</w:t>
      </w:r>
      <w:r w:rsidR="004267C9" w:rsidRPr="005C2F74">
        <w:rPr>
          <w:rFonts w:ascii="Cambria" w:hAnsi="Cambria"/>
        </w:rPr>
        <w:t xml:space="preserve"> have managed to turn </w:t>
      </w:r>
      <w:r w:rsidR="0002252B">
        <w:rPr>
          <w:rFonts w:ascii="Cambria" w:hAnsi="Cambria"/>
        </w:rPr>
        <w:t>attention</w:t>
      </w:r>
      <w:r w:rsidR="004267C9" w:rsidRPr="005C2F74">
        <w:rPr>
          <w:rFonts w:ascii="Cambria" w:hAnsi="Cambria"/>
        </w:rPr>
        <w:t xml:space="preserve"> away from their own </w:t>
      </w:r>
      <w:r w:rsidR="0002252B">
        <w:rPr>
          <w:rFonts w:ascii="Cambria" w:hAnsi="Cambria"/>
        </w:rPr>
        <w:t>activities</w:t>
      </w:r>
      <w:r w:rsidR="004267C9" w:rsidRPr="005C2F74">
        <w:rPr>
          <w:rFonts w:ascii="Cambria" w:hAnsi="Cambria"/>
        </w:rPr>
        <w:t xml:space="preserve"> and towards those of the individual. By </w:t>
      </w:r>
      <w:r w:rsidR="00F64BCC">
        <w:rPr>
          <w:rFonts w:ascii="Cambria" w:hAnsi="Cambria"/>
        </w:rPr>
        <w:t>focussing on delivering</w:t>
      </w:r>
      <w:r w:rsidR="004267C9" w:rsidRPr="005C2F74">
        <w:rPr>
          <w:rFonts w:ascii="Cambria" w:hAnsi="Cambria"/>
        </w:rPr>
        <w:t xml:space="preserve"> a rhetoric of personal responsibility</w:t>
      </w:r>
      <w:r w:rsidR="0002252B">
        <w:rPr>
          <w:rFonts w:ascii="Cambria" w:hAnsi="Cambria"/>
        </w:rPr>
        <w:t xml:space="preserve"> to portray</w:t>
      </w:r>
      <w:r w:rsidR="00F64BCC">
        <w:rPr>
          <w:rFonts w:ascii="Cambria" w:hAnsi="Cambria"/>
        </w:rPr>
        <w:t xml:space="preserve"> the burden as being firmly upon</w:t>
      </w:r>
      <w:r w:rsidR="0002252B">
        <w:rPr>
          <w:rFonts w:ascii="Cambria" w:hAnsi="Cambria"/>
        </w:rPr>
        <w:t xml:space="preserve"> individuals </w:t>
      </w:r>
      <w:r w:rsidR="00F64BCC">
        <w:rPr>
          <w:rFonts w:ascii="Cambria" w:hAnsi="Cambria"/>
        </w:rPr>
        <w:t>to look after their own health,</w:t>
      </w:r>
      <w:r w:rsidR="004267C9" w:rsidRPr="005C2F74">
        <w:rPr>
          <w:rStyle w:val="FootnoteReference"/>
          <w:rFonts w:ascii="Cambria" w:hAnsi="Cambria"/>
        </w:rPr>
        <w:footnoteReference w:id="18"/>
      </w:r>
      <w:r w:rsidR="0002252B">
        <w:rPr>
          <w:rFonts w:ascii="Cambria" w:hAnsi="Cambria"/>
        </w:rPr>
        <w:t xml:space="preserve"> </w:t>
      </w:r>
      <w:r w:rsidR="004267C9" w:rsidRPr="005C2F74">
        <w:rPr>
          <w:rFonts w:ascii="Cambria" w:hAnsi="Cambria"/>
        </w:rPr>
        <w:t>and by conducting numerous corporate social responsibility exercises</w:t>
      </w:r>
      <w:r w:rsidR="0002252B">
        <w:rPr>
          <w:rFonts w:ascii="Cambria" w:hAnsi="Cambria"/>
        </w:rPr>
        <w:t xml:space="preserve"> to portray </w:t>
      </w:r>
      <w:r w:rsidR="00F64BCC">
        <w:rPr>
          <w:rFonts w:ascii="Cambria" w:hAnsi="Cambria"/>
        </w:rPr>
        <w:t>industry operators</w:t>
      </w:r>
      <w:r w:rsidR="0002252B">
        <w:rPr>
          <w:rFonts w:ascii="Cambria" w:hAnsi="Cambria"/>
        </w:rPr>
        <w:t xml:space="preserve"> as helpful partners to governments and individuals</w:t>
      </w:r>
      <w:r w:rsidR="004267C9" w:rsidRPr="005C2F74">
        <w:rPr>
          <w:rFonts w:ascii="Cambria" w:hAnsi="Cambria"/>
        </w:rPr>
        <w:t>,</w:t>
      </w:r>
      <w:r w:rsidR="004267C9" w:rsidRPr="005C2F74">
        <w:rPr>
          <w:rStyle w:val="FootnoteReference"/>
          <w:rFonts w:ascii="Cambria" w:hAnsi="Cambria"/>
        </w:rPr>
        <w:footnoteReference w:id="19"/>
      </w:r>
      <w:r w:rsidR="004267C9" w:rsidRPr="005C2F74">
        <w:rPr>
          <w:rFonts w:ascii="Cambria" w:hAnsi="Cambria"/>
        </w:rPr>
        <w:t xml:space="preserve"> </w:t>
      </w:r>
      <w:r w:rsidR="0002252B">
        <w:rPr>
          <w:rFonts w:ascii="Cambria" w:hAnsi="Cambria"/>
        </w:rPr>
        <w:t>MNCs</w:t>
      </w:r>
      <w:r w:rsidR="004267C9" w:rsidRPr="005C2F74">
        <w:rPr>
          <w:rFonts w:ascii="Cambria" w:hAnsi="Cambria"/>
        </w:rPr>
        <w:t xml:space="preserve"> present themselves as ‘part of the so</w:t>
      </w:r>
      <w:r w:rsidR="00FF28CD">
        <w:rPr>
          <w:rFonts w:ascii="Cambria" w:hAnsi="Cambria"/>
        </w:rPr>
        <w:t>lution rather than the problem.’</w:t>
      </w:r>
      <w:r w:rsidR="004267C9" w:rsidRPr="005C2F74">
        <w:rPr>
          <w:rStyle w:val="FootnoteReference"/>
          <w:rFonts w:ascii="Cambria" w:hAnsi="Cambria"/>
        </w:rPr>
        <w:footnoteReference w:id="20"/>
      </w:r>
      <w:r w:rsidR="004267C9" w:rsidRPr="005C2F74">
        <w:rPr>
          <w:rFonts w:ascii="Cambria" w:hAnsi="Cambria"/>
        </w:rPr>
        <w:t xml:space="preserve">     </w:t>
      </w:r>
    </w:p>
    <w:p w14:paraId="2C56D912" w14:textId="589D152D" w:rsidR="004267C9" w:rsidRPr="005C2F74" w:rsidRDefault="00F64BCC" w:rsidP="004267C9">
      <w:pPr>
        <w:autoSpaceDE w:val="0"/>
        <w:autoSpaceDN w:val="0"/>
        <w:adjustRightInd w:val="0"/>
        <w:spacing w:after="200" w:line="276" w:lineRule="auto"/>
        <w:rPr>
          <w:rFonts w:ascii="Cambria" w:hAnsi="Cambria"/>
        </w:rPr>
      </w:pPr>
      <w:r>
        <w:rPr>
          <w:rFonts w:ascii="Cambria" w:hAnsi="Cambria"/>
        </w:rPr>
        <w:t xml:space="preserve">These tactics to manipulate the political landscape of NCD prevention have been successful to the extent that </w:t>
      </w:r>
      <w:r w:rsidR="00635F28">
        <w:rPr>
          <w:rFonts w:ascii="Cambria" w:hAnsi="Cambria"/>
        </w:rPr>
        <w:t>governments</w:t>
      </w:r>
      <w:r w:rsidR="001F20DD">
        <w:rPr>
          <w:rFonts w:ascii="Cambria" w:hAnsi="Cambria"/>
        </w:rPr>
        <w:t xml:space="preserve"> often</w:t>
      </w:r>
      <w:r w:rsidR="004267C9" w:rsidRPr="005C2F74">
        <w:rPr>
          <w:rFonts w:ascii="Cambria" w:hAnsi="Cambria"/>
        </w:rPr>
        <w:t xml:space="preserve"> recognise </w:t>
      </w:r>
      <w:r w:rsidR="0002252B">
        <w:rPr>
          <w:rFonts w:ascii="Cambria" w:hAnsi="Cambria"/>
        </w:rPr>
        <w:t>MNCs</w:t>
      </w:r>
      <w:r w:rsidR="00635F28">
        <w:rPr>
          <w:rFonts w:ascii="Cambria" w:hAnsi="Cambria"/>
        </w:rPr>
        <w:t xml:space="preserve"> as</w:t>
      </w:r>
      <w:r w:rsidR="004267C9" w:rsidRPr="005C2F74">
        <w:rPr>
          <w:rFonts w:ascii="Cambria" w:hAnsi="Cambria"/>
        </w:rPr>
        <w:t xml:space="preserve"> legitimate</w:t>
      </w:r>
      <w:r w:rsidR="00635F28">
        <w:rPr>
          <w:rFonts w:ascii="Cambria" w:hAnsi="Cambria"/>
        </w:rPr>
        <w:t xml:space="preserve"> voices in the debate</w:t>
      </w:r>
      <w:r w:rsidR="001F20DD">
        <w:rPr>
          <w:rFonts w:ascii="Cambria" w:hAnsi="Cambria"/>
        </w:rPr>
        <w:t>, and have conferred</w:t>
      </w:r>
      <w:r w:rsidR="00635F28">
        <w:rPr>
          <w:rFonts w:ascii="Cambria" w:hAnsi="Cambria"/>
        </w:rPr>
        <w:t xml:space="preserve"> a certain </w:t>
      </w:r>
      <w:r w:rsidR="004267C9" w:rsidRPr="005C2F74">
        <w:rPr>
          <w:rFonts w:ascii="Cambria" w:hAnsi="Cambria"/>
        </w:rPr>
        <w:t>amount of</w:t>
      </w:r>
      <w:r w:rsidR="00BE2507">
        <w:rPr>
          <w:rFonts w:ascii="Cambria" w:hAnsi="Cambria"/>
        </w:rPr>
        <w:t xml:space="preserve"> extra</w:t>
      </w:r>
      <w:r w:rsidR="004267C9" w:rsidRPr="005C2F74">
        <w:rPr>
          <w:rFonts w:ascii="Cambria" w:hAnsi="Cambria"/>
        </w:rPr>
        <w:t xml:space="preserve"> authority</w:t>
      </w:r>
      <w:r w:rsidR="00635F28">
        <w:rPr>
          <w:rFonts w:ascii="Cambria" w:hAnsi="Cambria"/>
        </w:rPr>
        <w:t xml:space="preserve"> upon them</w:t>
      </w:r>
      <w:r w:rsidR="00BE2507">
        <w:rPr>
          <w:rFonts w:ascii="Cambria" w:hAnsi="Cambria"/>
        </w:rPr>
        <w:t xml:space="preserve"> (in addition to the social authority they have built)</w:t>
      </w:r>
      <w:r w:rsidR="004267C9" w:rsidRPr="005C2F74">
        <w:rPr>
          <w:rFonts w:ascii="Cambria" w:hAnsi="Cambria"/>
        </w:rPr>
        <w:t>. This</w:t>
      </w:r>
      <w:r w:rsidR="00635F28">
        <w:rPr>
          <w:rFonts w:ascii="Cambria" w:hAnsi="Cambria"/>
        </w:rPr>
        <w:t xml:space="preserve"> </w:t>
      </w:r>
      <w:r w:rsidR="009D2DEE">
        <w:rPr>
          <w:rFonts w:ascii="Cambria" w:hAnsi="Cambria"/>
        </w:rPr>
        <w:t>has</w:t>
      </w:r>
      <w:r w:rsidR="00635F28">
        <w:rPr>
          <w:rFonts w:ascii="Cambria" w:hAnsi="Cambria"/>
        </w:rPr>
        <w:t xml:space="preserve"> been </w:t>
      </w:r>
      <w:r w:rsidR="009D2DEE">
        <w:rPr>
          <w:rFonts w:ascii="Cambria" w:hAnsi="Cambria"/>
        </w:rPr>
        <w:t>both informal and formal: informally through the</w:t>
      </w:r>
      <w:r w:rsidR="00635F28">
        <w:rPr>
          <w:rFonts w:ascii="Cambria" w:hAnsi="Cambria"/>
        </w:rPr>
        <w:t xml:space="preserve"> </w:t>
      </w:r>
      <w:r w:rsidR="009D2DEE">
        <w:rPr>
          <w:rFonts w:ascii="Cambria" w:hAnsi="Cambria"/>
        </w:rPr>
        <w:t>formation of links</w:t>
      </w:r>
      <w:r w:rsidR="00635F28">
        <w:rPr>
          <w:rFonts w:ascii="Cambria" w:hAnsi="Cambria"/>
        </w:rPr>
        <w:t xml:space="preserve"> between MNCs and politicians which then </w:t>
      </w:r>
      <w:r w:rsidR="009D2DEE">
        <w:rPr>
          <w:rFonts w:ascii="Cambria" w:hAnsi="Cambria"/>
        </w:rPr>
        <w:t>constitute</w:t>
      </w:r>
      <w:r w:rsidR="00635F28">
        <w:rPr>
          <w:rFonts w:ascii="Cambria" w:hAnsi="Cambria"/>
        </w:rPr>
        <w:t xml:space="preserve"> subtle pressure points through which </w:t>
      </w:r>
      <w:r w:rsidR="009D2DEE">
        <w:rPr>
          <w:rFonts w:ascii="Cambria" w:hAnsi="Cambria"/>
        </w:rPr>
        <w:t xml:space="preserve">MNCs </w:t>
      </w:r>
      <w:r w:rsidR="00635F28">
        <w:rPr>
          <w:rFonts w:ascii="Cambria" w:hAnsi="Cambria"/>
        </w:rPr>
        <w:t xml:space="preserve">can </w:t>
      </w:r>
      <w:r w:rsidR="009D2DEE">
        <w:rPr>
          <w:rFonts w:ascii="Cambria" w:hAnsi="Cambria"/>
        </w:rPr>
        <w:t>exert their influence;</w:t>
      </w:r>
      <w:r w:rsidR="00635F28">
        <w:rPr>
          <w:rStyle w:val="FootnoteReference"/>
          <w:rFonts w:ascii="Cambria" w:hAnsi="Cambria"/>
        </w:rPr>
        <w:footnoteReference w:id="21"/>
      </w:r>
      <w:r w:rsidR="009D2DEE">
        <w:rPr>
          <w:rFonts w:ascii="Cambria" w:hAnsi="Cambria"/>
        </w:rPr>
        <w:t xml:space="preserve"> and formally through giving MNCs a place at the </w:t>
      </w:r>
      <w:r w:rsidR="00635F28">
        <w:rPr>
          <w:rFonts w:ascii="Cambria" w:hAnsi="Cambria"/>
        </w:rPr>
        <w:t>policymaking table</w:t>
      </w:r>
      <w:r w:rsidR="009D2DEE">
        <w:rPr>
          <w:rFonts w:ascii="Cambria" w:hAnsi="Cambria"/>
        </w:rPr>
        <w:t xml:space="preserve"> itself</w:t>
      </w:r>
      <w:r w:rsidR="00635F28">
        <w:rPr>
          <w:rFonts w:ascii="Cambria" w:hAnsi="Cambria"/>
        </w:rPr>
        <w:t xml:space="preserve">, as has occurred </w:t>
      </w:r>
      <w:r w:rsidR="009D2DEE">
        <w:rPr>
          <w:rFonts w:ascii="Cambria" w:hAnsi="Cambria"/>
        </w:rPr>
        <w:t>in</w:t>
      </w:r>
      <w:r w:rsidR="00635F28">
        <w:rPr>
          <w:rFonts w:ascii="Cambria" w:hAnsi="Cambria"/>
        </w:rPr>
        <w:t xml:space="preserve"> the UK’s Responsibility Deal,</w:t>
      </w:r>
      <w:r w:rsidR="00635F28">
        <w:rPr>
          <w:rStyle w:val="FootnoteReference"/>
          <w:rFonts w:ascii="Cambria" w:hAnsi="Cambria"/>
        </w:rPr>
        <w:footnoteReference w:id="22"/>
      </w:r>
      <w:r w:rsidR="009D2DEE">
        <w:rPr>
          <w:rFonts w:ascii="Cambria" w:hAnsi="Cambria"/>
        </w:rPr>
        <w:t xml:space="preserve"> and in </w:t>
      </w:r>
      <w:r w:rsidR="004267C9" w:rsidRPr="005C2F74">
        <w:rPr>
          <w:rFonts w:ascii="Cambria" w:hAnsi="Cambria"/>
        </w:rPr>
        <w:t>the EU</w:t>
      </w:r>
      <w:r w:rsidR="009D2DEE">
        <w:rPr>
          <w:rFonts w:ascii="Cambria" w:hAnsi="Cambria"/>
        </w:rPr>
        <w:t>’s</w:t>
      </w:r>
      <w:r w:rsidR="004267C9" w:rsidRPr="005C2F74">
        <w:rPr>
          <w:rFonts w:ascii="Cambria" w:hAnsi="Cambria"/>
        </w:rPr>
        <w:t xml:space="preserve"> Alcohol and Health Forum </w:t>
      </w:r>
      <w:r w:rsidR="00635F28">
        <w:rPr>
          <w:rFonts w:ascii="Cambria" w:hAnsi="Cambria"/>
        </w:rPr>
        <w:t>and</w:t>
      </w:r>
      <w:r w:rsidR="004267C9" w:rsidRPr="005C2F74">
        <w:rPr>
          <w:rFonts w:ascii="Cambria" w:hAnsi="Cambria"/>
        </w:rPr>
        <w:t xml:space="preserve"> Platform on Diet, Physical Activity and Health</w:t>
      </w:r>
      <w:r w:rsidR="009D2DEE">
        <w:rPr>
          <w:rFonts w:ascii="Cambria" w:hAnsi="Cambria"/>
        </w:rPr>
        <w:t>.</w:t>
      </w:r>
      <w:r w:rsidR="004267C9" w:rsidRPr="005C2F74">
        <w:rPr>
          <w:rStyle w:val="FootnoteReference"/>
          <w:rFonts w:ascii="Cambria" w:hAnsi="Cambria"/>
        </w:rPr>
        <w:footnoteReference w:id="23"/>
      </w:r>
      <w:r w:rsidR="00635F28">
        <w:rPr>
          <w:rFonts w:ascii="Cambria" w:hAnsi="Cambria"/>
        </w:rPr>
        <w:t xml:space="preserve"> </w:t>
      </w:r>
    </w:p>
    <w:p w14:paraId="3FB7111F" w14:textId="55C29C50" w:rsidR="004267C9" w:rsidRDefault="004267C9" w:rsidP="004267C9">
      <w:pPr>
        <w:autoSpaceDE w:val="0"/>
        <w:autoSpaceDN w:val="0"/>
        <w:adjustRightInd w:val="0"/>
        <w:spacing w:after="200" w:line="276" w:lineRule="auto"/>
        <w:rPr>
          <w:rFonts w:ascii="Cambria" w:hAnsi="Cambria"/>
        </w:rPr>
      </w:pPr>
      <w:r w:rsidRPr="005C2F74">
        <w:rPr>
          <w:rFonts w:ascii="Cambria" w:hAnsi="Cambria"/>
        </w:rPr>
        <w:t xml:space="preserve">Consequently, </w:t>
      </w:r>
      <w:r w:rsidR="00ED1E29">
        <w:rPr>
          <w:rFonts w:ascii="Cambria" w:hAnsi="Cambria"/>
        </w:rPr>
        <w:t xml:space="preserve">through the building of legitimacy, MNCs have managed to </w:t>
      </w:r>
      <w:r w:rsidR="00FA56E4">
        <w:rPr>
          <w:rFonts w:ascii="Cambria" w:hAnsi="Cambria"/>
        </w:rPr>
        <w:t xml:space="preserve">manipulate the political process such that politicians have </w:t>
      </w:r>
      <w:r w:rsidR="00ED1E29">
        <w:rPr>
          <w:rFonts w:ascii="Cambria" w:hAnsi="Cambria"/>
        </w:rPr>
        <w:t>confe</w:t>
      </w:r>
      <w:r w:rsidR="00FA56E4">
        <w:rPr>
          <w:rFonts w:ascii="Cambria" w:hAnsi="Cambria"/>
        </w:rPr>
        <w:t>r</w:t>
      </w:r>
      <w:r w:rsidR="00ED1E29">
        <w:rPr>
          <w:rFonts w:ascii="Cambria" w:hAnsi="Cambria"/>
        </w:rPr>
        <w:t>r</w:t>
      </w:r>
      <w:r w:rsidR="00FA56E4">
        <w:rPr>
          <w:rFonts w:ascii="Cambria" w:hAnsi="Cambria"/>
        </w:rPr>
        <w:t>ed</w:t>
      </w:r>
      <w:r w:rsidR="00ED1E29">
        <w:rPr>
          <w:rFonts w:ascii="Cambria" w:hAnsi="Cambria"/>
        </w:rPr>
        <w:t xml:space="preserve"> authority </w:t>
      </w:r>
      <w:r w:rsidR="00FA56E4">
        <w:rPr>
          <w:rFonts w:ascii="Cambria" w:hAnsi="Cambria"/>
        </w:rPr>
        <w:t>upon</w:t>
      </w:r>
      <w:r w:rsidR="00ED1E29">
        <w:rPr>
          <w:rFonts w:ascii="Cambria" w:hAnsi="Cambria"/>
        </w:rPr>
        <w:t xml:space="preserve"> them, and this authority, combined with their </w:t>
      </w:r>
      <w:r w:rsidR="009D2DEE">
        <w:rPr>
          <w:rFonts w:ascii="Cambria" w:hAnsi="Cambria"/>
        </w:rPr>
        <w:t xml:space="preserve">perceived </w:t>
      </w:r>
      <w:r w:rsidR="00ED1E29">
        <w:rPr>
          <w:rFonts w:ascii="Cambria" w:hAnsi="Cambria"/>
        </w:rPr>
        <w:t xml:space="preserve">legitimacy and existing strength, gives them </w:t>
      </w:r>
      <w:r w:rsidR="009D2DEE">
        <w:rPr>
          <w:rFonts w:ascii="Cambria" w:hAnsi="Cambria"/>
        </w:rPr>
        <w:lastRenderedPageBreak/>
        <w:t xml:space="preserve">the ability to exert real </w:t>
      </w:r>
      <w:r w:rsidRPr="005C2F74">
        <w:rPr>
          <w:rFonts w:ascii="Cambria" w:hAnsi="Cambria"/>
        </w:rPr>
        <w:t>power</w:t>
      </w:r>
      <w:r w:rsidR="009D2DEE">
        <w:rPr>
          <w:rFonts w:ascii="Cambria" w:hAnsi="Cambria"/>
        </w:rPr>
        <w:t xml:space="preserve"> in the policymaking process</w:t>
      </w:r>
      <w:r w:rsidRPr="005C2F74">
        <w:rPr>
          <w:rFonts w:ascii="Cambria" w:hAnsi="Cambria"/>
        </w:rPr>
        <w:t xml:space="preserve">. </w:t>
      </w:r>
      <w:r w:rsidR="00FA56E4">
        <w:rPr>
          <w:rFonts w:ascii="Cambria" w:hAnsi="Cambria"/>
        </w:rPr>
        <w:t>MNCs</w:t>
      </w:r>
      <w:r w:rsidRPr="005C2F74">
        <w:rPr>
          <w:rFonts w:ascii="Cambria" w:hAnsi="Cambria"/>
        </w:rPr>
        <w:t xml:space="preserve"> have exercise this power unhesitatingly</w:t>
      </w:r>
      <w:r w:rsidR="009D2DEE">
        <w:rPr>
          <w:rFonts w:ascii="Cambria" w:hAnsi="Cambria"/>
        </w:rPr>
        <w:t xml:space="preserve"> through direct and indirect channels</w:t>
      </w:r>
      <w:r w:rsidRPr="005C2F74">
        <w:rPr>
          <w:rFonts w:ascii="Cambria" w:hAnsi="Cambria"/>
        </w:rPr>
        <w:t xml:space="preserve"> to </w:t>
      </w:r>
      <w:r w:rsidR="00FA56E4">
        <w:rPr>
          <w:rFonts w:ascii="Cambria" w:hAnsi="Cambria"/>
        </w:rPr>
        <w:t>further manipulate</w:t>
      </w:r>
      <w:r w:rsidRPr="005C2F74">
        <w:rPr>
          <w:rFonts w:ascii="Cambria" w:hAnsi="Cambria"/>
        </w:rPr>
        <w:t xml:space="preserve"> </w:t>
      </w:r>
      <w:r w:rsidR="009D2DEE">
        <w:rPr>
          <w:rFonts w:ascii="Cambria" w:hAnsi="Cambria"/>
        </w:rPr>
        <w:t>policymaking</w:t>
      </w:r>
      <w:r w:rsidR="00FA56E4">
        <w:rPr>
          <w:rFonts w:ascii="Cambria" w:hAnsi="Cambria"/>
        </w:rPr>
        <w:t xml:space="preserve"> in order to promote the</w:t>
      </w:r>
      <w:r w:rsidR="009D2DEE">
        <w:rPr>
          <w:rFonts w:ascii="Cambria" w:hAnsi="Cambria"/>
        </w:rPr>
        <w:t xml:space="preserve">ir preferred policy outcomes. </w:t>
      </w:r>
      <w:r w:rsidRPr="005C2F74">
        <w:rPr>
          <w:rFonts w:ascii="Cambria" w:hAnsi="Cambria"/>
        </w:rPr>
        <w:t xml:space="preserve">It is to </w:t>
      </w:r>
      <w:r w:rsidR="00FA56E4">
        <w:rPr>
          <w:rFonts w:ascii="Cambria" w:hAnsi="Cambria"/>
        </w:rPr>
        <w:t xml:space="preserve">the manipulation of the policymaking process that the next section of this paper turns. </w:t>
      </w:r>
      <w:r w:rsidRPr="005C2F74">
        <w:rPr>
          <w:rFonts w:ascii="Cambria" w:hAnsi="Cambria"/>
        </w:rPr>
        <w:t xml:space="preserve">  </w:t>
      </w:r>
    </w:p>
    <w:p w14:paraId="6A68F502" w14:textId="77777777" w:rsidR="005C2F74" w:rsidRPr="005C2F74" w:rsidRDefault="005C2F74" w:rsidP="004267C9">
      <w:pPr>
        <w:autoSpaceDE w:val="0"/>
        <w:autoSpaceDN w:val="0"/>
        <w:adjustRightInd w:val="0"/>
        <w:spacing w:after="200" w:line="276" w:lineRule="auto"/>
        <w:rPr>
          <w:rFonts w:ascii="Cambria" w:hAnsi="Cambria"/>
        </w:rPr>
      </w:pPr>
    </w:p>
    <w:p w14:paraId="6D18A189" w14:textId="242E93BA" w:rsidR="004267C9" w:rsidRPr="005C2F74" w:rsidRDefault="009D2DEE" w:rsidP="004F469C">
      <w:pPr>
        <w:autoSpaceDE w:val="0"/>
        <w:autoSpaceDN w:val="0"/>
        <w:adjustRightInd w:val="0"/>
        <w:spacing w:after="200" w:line="276" w:lineRule="auto"/>
        <w:ind w:left="720" w:hanging="720"/>
        <w:rPr>
          <w:rFonts w:ascii="Cambria" w:hAnsi="Cambria"/>
          <w:b/>
          <w:sz w:val="24"/>
        </w:rPr>
      </w:pPr>
      <w:r>
        <w:rPr>
          <w:rFonts w:ascii="Cambria" w:hAnsi="Cambria"/>
          <w:b/>
          <w:sz w:val="24"/>
        </w:rPr>
        <w:t>B</w:t>
      </w:r>
      <w:r>
        <w:rPr>
          <w:rFonts w:ascii="Cambria" w:hAnsi="Cambria"/>
          <w:b/>
          <w:sz w:val="24"/>
        </w:rPr>
        <w:tab/>
      </w:r>
      <w:r w:rsidR="004267C9" w:rsidRPr="005C2F74">
        <w:rPr>
          <w:rFonts w:ascii="Cambria" w:hAnsi="Cambria"/>
          <w:b/>
          <w:sz w:val="24"/>
        </w:rPr>
        <w:t xml:space="preserve">Policy Ideas and the Exercise of Policy Power to promote Ineffective Interventions </w:t>
      </w:r>
    </w:p>
    <w:p w14:paraId="61E08CC7" w14:textId="5B0B788D" w:rsidR="004267C9" w:rsidRPr="005C2F74" w:rsidRDefault="004F469C" w:rsidP="004267C9">
      <w:pPr>
        <w:autoSpaceDE w:val="0"/>
        <w:autoSpaceDN w:val="0"/>
        <w:adjustRightInd w:val="0"/>
        <w:spacing w:after="200" w:line="276" w:lineRule="auto"/>
        <w:rPr>
          <w:rFonts w:ascii="Cambria" w:hAnsi="Cambria"/>
        </w:rPr>
      </w:pPr>
      <w:r>
        <w:rPr>
          <w:rFonts w:ascii="Cambria" w:hAnsi="Cambria"/>
        </w:rPr>
        <w:t>MNCs would of course prefer for no regulatory interference at all to be made with their practices. However, most MNCs would also prefer to avoid open warfare in the policymaking process and potentially endanger their aura of legitimacy by becoming labelled as a ‘demon industry’ – as has already happened to some extent with tobacco producers.</w:t>
      </w:r>
      <w:r w:rsidRPr="005C2F74">
        <w:rPr>
          <w:rStyle w:val="FootnoteReference"/>
          <w:rFonts w:ascii="Cambria" w:hAnsi="Cambria"/>
        </w:rPr>
        <w:footnoteReference w:id="24"/>
      </w:r>
      <w:r>
        <w:rPr>
          <w:rFonts w:ascii="Cambria" w:hAnsi="Cambria"/>
        </w:rPr>
        <w:t xml:space="preserve"> Therefore in most circumstances, the wider interests</w:t>
      </w:r>
      <w:r w:rsidR="00CC166B">
        <w:rPr>
          <w:rFonts w:ascii="Cambria" w:hAnsi="Cambria"/>
        </w:rPr>
        <w:t xml:space="preserve"> of MNCs, and fiduciary duties to shareholders,</w:t>
      </w:r>
      <w:r w:rsidR="00CC166B" w:rsidRPr="005C2F74">
        <w:rPr>
          <w:rStyle w:val="FootnoteReference"/>
          <w:rFonts w:ascii="Cambria" w:hAnsi="Cambria"/>
        </w:rPr>
        <w:footnoteReference w:id="25"/>
      </w:r>
      <w:r w:rsidR="00CC166B">
        <w:rPr>
          <w:rFonts w:ascii="Cambria" w:hAnsi="Cambria"/>
        </w:rPr>
        <w:t xml:space="preserve"> are best served</w:t>
      </w:r>
      <w:r>
        <w:rPr>
          <w:rFonts w:ascii="Cambria" w:hAnsi="Cambria"/>
        </w:rPr>
        <w:t xml:space="preserve"> through pursuit of </w:t>
      </w:r>
      <w:r w:rsidRPr="005C2F74">
        <w:rPr>
          <w:rFonts w:ascii="Cambria" w:hAnsi="Cambria"/>
        </w:rPr>
        <w:t>the ‘goal of influencing policy options in an industry-friendl</w:t>
      </w:r>
      <w:r>
        <w:rPr>
          <w:rFonts w:ascii="Cambria" w:hAnsi="Cambria"/>
        </w:rPr>
        <w:t>y but less effective direction.’</w:t>
      </w:r>
      <w:r w:rsidRPr="005C2F74">
        <w:rPr>
          <w:rStyle w:val="FootnoteReference"/>
          <w:rFonts w:ascii="Cambria" w:hAnsi="Cambria"/>
        </w:rPr>
        <w:footnoteReference w:id="26"/>
      </w:r>
      <w:r w:rsidRPr="005C2F74">
        <w:rPr>
          <w:rFonts w:ascii="Cambria" w:hAnsi="Cambria"/>
        </w:rPr>
        <w:t xml:space="preserve"> </w:t>
      </w:r>
      <w:r w:rsidR="0035753C">
        <w:rPr>
          <w:rFonts w:ascii="Cambria" w:hAnsi="Cambria"/>
        </w:rPr>
        <w:t xml:space="preserve">MNCs </w:t>
      </w:r>
      <w:r w:rsidR="00CC166B">
        <w:rPr>
          <w:rFonts w:ascii="Cambria" w:hAnsi="Cambria"/>
        </w:rPr>
        <w:t xml:space="preserve">will </w:t>
      </w:r>
      <w:r w:rsidR="0035753C">
        <w:rPr>
          <w:rFonts w:ascii="Cambria" w:hAnsi="Cambria"/>
        </w:rPr>
        <w:t xml:space="preserve">participate </w:t>
      </w:r>
      <w:r w:rsidR="00CC166B">
        <w:rPr>
          <w:rFonts w:ascii="Cambria" w:hAnsi="Cambria"/>
        </w:rPr>
        <w:t xml:space="preserve">in an </w:t>
      </w:r>
      <w:r w:rsidR="0035753C">
        <w:rPr>
          <w:rFonts w:ascii="Cambria" w:hAnsi="Cambria"/>
        </w:rPr>
        <w:t xml:space="preserve">apparently </w:t>
      </w:r>
      <w:r w:rsidR="00CC166B">
        <w:rPr>
          <w:rFonts w:ascii="Cambria" w:hAnsi="Cambria"/>
        </w:rPr>
        <w:t>cooperative manner</w:t>
      </w:r>
      <w:r w:rsidR="0035753C">
        <w:rPr>
          <w:rFonts w:ascii="Cambria" w:hAnsi="Cambria"/>
        </w:rPr>
        <w:t xml:space="preserve"> in policymaking</w:t>
      </w:r>
      <w:r w:rsidR="00CC166B">
        <w:rPr>
          <w:rFonts w:ascii="Cambria" w:hAnsi="Cambria"/>
        </w:rPr>
        <w:t xml:space="preserve">, yet seek to </w:t>
      </w:r>
      <w:r w:rsidR="004267C9" w:rsidRPr="005C2F74">
        <w:rPr>
          <w:rFonts w:ascii="Cambria" w:hAnsi="Cambria"/>
        </w:rPr>
        <w:t xml:space="preserve">influence policy development towards ‘smokescreen’ policies – those </w:t>
      </w:r>
      <w:r w:rsidR="0035753C">
        <w:rPr>
          <w:rFonts w:ascii="Cambria" w:hAnsi="Cambria"/>
        </w:rPr>
        <w:t>with high visibility but low evidential impact upon consumption levels</w:t>
      </w:r>
      <w:r w:rsidR="004267C9" w:rsidRPr="005C2F74">
        <w:rPr>
          <w:rFonts w:ascii="Cambria" w:hAnsi="Cambria"/>
        </w:rPr>
        <w:t>.</w:t>
      </w:r>
      <w:r w:rsidR="004267C9" w:rsidRPr="005C2F74">
        <w:rPr>
          <w:rStyle w:val="FootnoteReference"/>
          <w:rFonts w:ascii="Cambria" w:hAnsi="Cambria"/>
        </w:rPr>
        <w:footnoteReference w:id="27"/>
      </w:r>
      <w:r w:rsidR="004267C9" w:rsidRPr="005C2F74">
        <w:rPr>
          <w:rFonts w:ascii="Cambria" w:hAnsi="Cambria"/>
        </w:rPr>
        <w:t xml:space="preserve"> </w:t>
      </w:r>
    </w:p>
    <w:p w14:paraId="7E859B63" w14:textId="1E63F912" w:rsidR="004267C9" w:rsidRPr="005C2F74" w:rsidRDefault="004267C9" w:rsidP="004267C9">
      <w:pPr>
        <w:autoSpaceDE w:val="0"/>
        <w:autoSpaceDN w:val="0"/>
        <w:adjustRightInd w:val="0"/>
        <w:spacing w:after="200" w:line="276" w:lineRule="auto"/>
        <w:rPr>
          <w:rFonts w:ascii="Cambria" w:hAnsi="Cambria"/>
        </w:rPr>
      </w:pPr>
      <w:r w:rsidRPr="005C2F74">
        <w:rPr>
          <w:rFonts w:ascii="Cambria" w:hAnsi="Cambria"/>
        </w:rPr>
        <w:t xml:space="preserve">The most obvious candidates </w:t>
      </w:r>
      <w:r w:rsidR="0035753C">
        <w:rPr>
          <w:rFonts w:ascii="Cambria" w:hAnsi="Cambria"/>
        </w:rPr>
        <w:t xml:space="preserve">for smokescreen interventions </w:t>
      </w:r>
      <w:r w:rsidRPr="005C2F74">
        <w:rPr>
          <w:rFonts w:ascii="Cambria" w:hAnsi="Cambria"/>
        </w:rPr>
        <w:t xml:space="preserve">are </w:t>
      </w:r>
      <w:r w:rsidR="00CC166B">
        <w:rPr>
          <w:rFonts w:ascii="Cambria" w:hAnsi="Cambria"/>
        </w:rPr>
        <w:t xml:space="preserve">measures based on information provision. These are </w:t>
      </w:r>
      <w:r w:rsidRPr="005C2F74">
        <w:rPr>
          <w:rFonts w:ascii="Cambria" w:hAnsi="Cambria"/>
        </w:rPr>
        <w:t>highly visible</w:t>
      </w:r>
      <w:r w:rsidR="00CC166B">
        <w:rPr>
          <w:rFonts w:ascii="Cambria" w:hAnsi="Cambria"/>
        </w:rPr>
        <w:t xml:space="preserve"> – mostly comprising</w:t>
      </w:r>
      <w:r w:rsidRPr="005C2F74">
        <w:rPr>
          <w:rFonts w:ascii="Cambria" w:hAnsi="Cambria"/>
        </w:rPr>
        <w:t xml:space="preserve"> public awareness </w:t>
      </w:r>
      <w:r w:rsidR="0035753C">
        <w:rPr>
          <w:rFonts w:ascii="Cambria" w:hAnsi="Cambria"/>
        </w:rPr>
        <w:t>campaig</w:t>
      </w:r>
      <w:r w:rsidR="00CC166B">
        <w:rPr>
          <w:rFonts w:ascii="Cambria" w:hAnsi="Cambria"/>
        </w:rPr>
        <w:t>ns and labelling that is designed to be noticed – h</w:t>
      </w:r>
      <w:r w:rsidRPr="005C2F74">
        <w:rPr>
          <w:rFonts w:ascii="Cambria" w:hAnsi="Cambria"/>
        </w:rPr>
        <w:t>owever</w:t>
      </w:r>
      <w:r w:rsidR="00CC166B">
        <w:rPr>
          <w:rFonts w:ascii="Cambria" w:hAnsi="Cambria"/>
        </w:rPr>
        <w:t xml:space="preserve"> </w:t>
      </w:r>
      <w:r w:rsidRPr="005C2F74">
        <w:rPr>
          <w:rFonts w:ascii="Cambria" w:hAnsi="Cambria"/>
        </w:rPr>
        <w:t xml:space="preserve">there is little evidence that these strategies actually </w:t>
      </w:r>
      <w:r w:rsidR="0035753C">
        <w:rPr>
          <w:rFonts w:ascii="Cambria" w:hAnsi="Cambria"/>
        </w:rPr>
        <w:t>work</w:t>
      </w:r>
      <w:r w:rsidRPr="005C2F74">
        <w:rPr>
          <w:rFonts w:ascii="Cambria" w:hAnsi="Cambria"/>
        </w:rPr>
        <w:t>.</w:t>
      </w:r>
      <w:r w:rsidRPr="005C2F74">
        <w:rPr>
          <w:rStyle w:val="FootnoteReference"/>
          <w:rFonts w:ascii="Cambria" w:hAnsi="Cambria"/>
        </w:rPr>
        <w:footnoteReference w:id="28"/>
      </w:r>
      <w:r w:rsidRPr="005C2F74">
        <w:rPr>
          <w:rFonts w:ascii="Cambria" w:hAnsi="Cambria"/>
        </w:rPr>
        <w:t xml:space="preserve"> This is </w:t>
      </w:r>
      <w:r w:rsidR="00CC166B">
        <w:rPr>
          <w:rFonts w:ascii="Cambria" w:hAnsi="Cambria"/>
        </w:rPr>
        <w:t xml:space="preserve">usually attributed to </w:t>
      </w:r>
      <w:r w:rsidRPr="005C2F74">
        <w:rPr>
          <w:rFonts w:ascii="Cambria" w:hAnsi="Cambria"/>
        </w:rPr>
        <w:t>the</w:t>
      </w:r>
      <w:r w:rsidR="00CC166B">
        <w:rPr>
          <w:rFonts w:ascii="Cambria" w:hAnsi="Cambria"/>
        </w:rPr>
        <w:t xml:space="preserve"> fact that consumers are presumed to be economically rational information processors by policy makers</w:t>
      </w:r>
      <w:r w:rsidRPr="005C2F74">
        <w:rPr>
          <w:rFonts w:ascii="Cambria" w:hAnsi="Cambria"/>
        </w:rPr>
        <w:t>,</w:t>
      </w:r>
      <w:r w:rsidRPr="005C2F74">
        <w:rPr>
          <w:rStyle w:val="FootnoteReference"/>
          <w:rFonts w:ascii="Cambria" w:hAnsi="Cambria"/>
        </w:rPr>
        <w:footnoteReference w:id="29"/>
      </w:r>
      <w:r w:rsidRPr="005C2F74">
        <w:rPr>
          <w:rFonts w:ascii="Cambria" w:hAnsi="Cambria"/>
        </w:rPr>
        <w:t xml:space="preserve"> </w:t>
      </w:r>
      <w:r w:rsidR="00CC166B">
        <w:rPr>
          <w:rFonts w:ascii="Cambria" w:hAnsi="Cambria"/>
        </w:rPr>
        <w:t xml:space="preserve">yet </w:t>
      </w:r>
      <w:r w:rsidR="000C782C">
        <w:rPr>
          <w:rFonts w:ascii="Cambria" w:hAnsi="Cambria"/>
        </w:rPr>
        <w:t>in fact</w:t>
      </w:r>
      <w:r w:rsidRPr="005C2F74">
        <w:rPr>
          <w:rFonts w:ascii="Cambria" w:hAnsi="Cambria"/>
        </w:rPr>
        <w:t xml:space="preserve"> </w:t>
      </w:r>
      <w:r w:rsidRPr="005C2F74">
        <w:rPr>
          <w:rFonts w:ascii="Cambria" w:hAnsi="Cambria"/>
          <w:szCs w:val="24"/>
        </w:rPr>
        <w:t>possess ‘finite limits to absorb and process information during any given unit of time’</w:t>
      </w:r>
      <w:r w:rsidR="00CC166B">
        <w:rPr>
          <w:rFonts w:ascii="Cambria" w:hAnsi="Cambria"/>
          <w:szCs w:val="24"/>
        </w:rPr>
        <w:t>,</w:t>
      </w:r>
      <w:r w:rsidRPr="005C2F74">
        <w:rPr>
          <w:rFonts w:ascii="Cambria" w:hAnsi="Cambria"/>
          <w:szCs w:val="24"/>
          <w:vertAlign w:val="superscript"/>
        </w:rPr>
        <w:footnoteReference w:id="30"/>
      </w:r>
      <w:r w:rsidRPr="005C2F74">
        <w:rPr>
          <w:rFonts w:ascii="Cambria" w:hAnsi="Cambria"/>
          <w:szCs w:val="24"/>
        </w:rPr>
        <w:t xml:space="preserve"> </w:t>
      </w:r>
      <w:r w:rsidR="000C782C">
        <w:rPr>
          <w:rFonts w:ascii="Cambria" w:hAnsi="Cambria"/>
          <w:szCs w:val="24"/>
        </w:rPr>
        <w:t xml:space="preserve">operate within </w:t>
      </w:r>
      <w:r w:rsidR="000C782C" w:rsidRPr="005C2F74">
        <w:rPr>
          <w:rFonts w:ascii="Cambria" w:hAnsi="Cambria"/>
          <w:szCs w:val="24"/>
        </w:rPr>
        <w:t>bounded rationality</w:t>
      </w:r>
      <w:r w:rsidR="00CC166B">
        <w:rPr>
          <w:rFonts w:ascii="Cambria" w:hAnsi="Cambria"/>
          <w:szCs w:val="24"/>
        </w:rPr>
        <w:t>,</w:t>
      </w:r>
      <w:r w:rsidR="000C782C" w:rsidRPr="005C2F74">
        <w:rPr>
          <w:rStyle w:val="FootnoteReference"/>
          <w:rFonts w:ascii="Cambria" w:hAnsi="Cambria"/>
          <w:szCs w:val="24"/>
        </w:rPr>
        <w:footnoteReference w:id="31"/>
      </w:r>
      <w:r w:rsidR="00CC166B">
        <w:rPr>
          <w:rFonts w:ascii="Cambria" w:hAnsi="Cambria"/>
          <w:szCs w:val="24"/>
        </w:rPr>
        <w:t xml:space="preserve"> and</w:t>
      </w:r>
      <w:r w:rsidR="00CC166B" w:rsidRPr="005C2F74">
        <w:rPr>
          <w:rFonts w:ascii="Cambria" w:hAnsi="Cambria"/>
          <w:szCs w:val="24"/>
        </w:rPr>
        <w:t xml:space="preserve"> use of decision-making </w:t>
      </w:r>
      <w:r w:rsidR="00CC166B">
        <w:rPr>
          <w:rFonts w:ascii="Cambria" w:hAnsi="Cambria"/>
          <w:szCs w:val="24"/>
        </w:rPr>
        <w:t xml:space="preserve">short-cuts, known as heuristics – these involves </w:t>
      </w:r>
      <w:r w:rsidR="00CC166B" w:rsidRPr="005C2F74">
        <w:rPr>
          <w:rFonts w:ascii="Cambria" w:hAnsi="Cambria"/>
          <w:szCs w:val="24"/>
        </w:rPr>
        <w:t>‘a strategy that ignores part of the information, with the goal of making decisions more quickly</w:t>
      </w:r>
      <w:r w:rsidR="00C61EC5">
        <w:rPr>
          <w:rFonts w:ascii="Cambria" w:hAnsi="Cambria"/>
          <w:szCs w:val="24"/>
        </w:rPr>
        <w:t>,</w:t>
      </w:r>
      <w:r w:rsidR="00CC166B">
        <w:rPr>
          <w:rFonts w:ascii="Cambria" w:hAnsi="Cambria"/>
          <w:szCs w:val="24"/>
        </w:rPr>
        <w:t>’</w:t>
      </w:r>
      <w:r w:rsidR="00CC166B" w:rsidRPr="005C2F74">
        <w:rPr>
          <w:rFonts w:ascii="Cambria" w:hAnsi="Cambria"/>
          <w:szCs w:val="24"/>
          <w:vertAlign w:val="superscript"/>
        </w:rPr>
        <w:footnoteReference w:id="32"/>
      </w:r>
      <w:r w:rsidR="00C61EC5">
        <w:rPr>
          <w:rFonts w:ascii="Cambria" w:hAnsi="Cambria"/>
          <w:szCs w:val="24"/>
        </w:rPr>
        <w:t xml:space="preserve"> and includes </w:t>
      </w:r>
      <w:r w:rsidR="00CC166B" w:rsidRPr="005C2F74">
        <w:rPr>
          <w:rFonts w:ascii="Cambria" w:hAnsi="Cambria"/>
          <w:szCs w:val="24"/>
        </w:rPr>
        <w:t xml:space="preserve">‘develop[ing] rules of thumb and rely[ing] on ad hoc perceptions, emotions, </w:t>
      </w:r>
      <w:r w:rsidR="00CC166B" w:rsidRPr="005C2F74">
        <w:rPr>
          <w:rFonts w:ascii="Cambria" w:hAnsi="Cambria"/>
          <w:szCs w:val="24"/>
        </w:rPr>
        <w:lastRenderedPageBreak/>
        <w:t xml:space="preserve">accumulated </w:t>
      </w:r>
      <w:r w:rsidR="00CC166B">
        <w:rPr>
          <w:rFonts w:ascii="Cambria" w:hAnsi="Cambria"/>
          <w:szCs w:val="24"/>
        </w:rPr>
        <w:t>memory, and loose associations.’</w:t>
      </w:r>
      <w:r w:rsidR="00CC166B" w:rsidRPr="005C2F74">
        <w:rPr>
          <w:rFonts w:ascii="Cambria" w:hAnsi="Cambria"/>
          <w:szCs w:val="24"/>
          <w:vertAlign w:val="superscript"/>
        </w:rPr>
        <w:footnoteReference w:id="33"/>
      </w:r>
      <w:r w:rsidR="00C61EC5">
        <w:rPr>
          <w:rFonts w:ascii="Cambria" w:hAnsi="Cambria"/>
          <w:szCs w:val="24"/>
        </w:rPr>
        <w:t xml:space="preserve"> As a result, </w:t>
      </w:r>
      <w:r w:rsidR="000C782C">
        <w:rPr>
          <w:rFonts w:ascii="Cambria" w:hAnsi="Cambria"/>
          <w:szCs w:val="24"/>
        </w:rPr>
        <w:t xml:space="preserve">strategies </w:t>
      </w:r>
      <w:r w:rsidR="00C61EC5">
        <w:rPr>
          <w:rFonts w:ascii="Cambria" w:hAnsi="Cambria"/>
          <w:szCs w:val="24"/>
        </w:rPr>
        <w:t xml:space="preserve">that try to </w:t>
      </w:r>
      <w:r w:rsidR="000C782C" w:rsidRPr="005C2F74">
        <w:rPr>
          <w:rFonts w:ascii="Cambria" w:hAnsi="Cambria"/>
          <w:szCs w:val="24"/>
        </w:rPr>
        <w:t xml:space="preserve">give </w:t>
      </w:r>
      <w:r w:rsidR="000C782C">
        <w:rPr>
          <w:rFonts w:ascii="Cambria" w:hAnsi="Cambria"/>
          <w:szCs w:val="24"/>
        </w:rPr>
        <w:t xml:space="preserve">consumers </w:t>
      </w:r>
      <w:r w:rsidR="000C782C" w:rsidRPr="005C2F74">
        <w:rPr>
          <w:rFonts w:ascii="Cambria" w:hAnsi="Cambria"/>
          <w:szCs w:val="24"/>
        </w:rPr>
        <w:t xml:space="preserve">all the information they need to protect themselves </w:t>
      </w:r>
      <w:r w:rsidR="00C61EC5">
        <w:rPr>
          <w:rFonts w:ascii="Cambria" w:hAnsi="Cambria"/>
          <w:szCs w:val="24"/>
        </w:rPr>
        <w:t>mostly</w:t>
      </w:r>
      <w:r w:rsidR="000C782C" w:rsidRPr="005C2F74">
        <w:rPr>
          <w:rFonts w:ascii="Cambria" w:hAnsi="Cambria"/>
          <w:szCs w:val="24"/>
        </w:rPr>
        <w:t xml:space="preserve"> end up </w:t>
      </w:r>
      <w:r w:rsidR="000C782C">
        <w:rPr>
          <w:rFonts w:ascii="Cambria" w:hAnsi="Cambria"/>
          <w:szCs w:val="24"/>
        </w:rPr>
        <w:t>p</w:t>
      </w:r>
      <w:r w:rsidR="000C782C" w:rsidRPr="005C2F74">
        <w:rPr>
          <w:rFonts w:ascii="Cambria" w:hAnsi="Cambria"/>
          <w:szCs w:val="24"/>
        </w:rPr>
        <w:t>roviding more data than ‘the “normal consumer” can bear’</w:t>
      </w:r>
      <w:r w:rsidR="00CC166B">
        <w:rPr>
          <w:rFonts w:ascii="Cambria" w:hAnsi="Cambria"/>
          <w:szCs w:val="24"/>
        </w:rPr>
        <w:t>.</w:t>
      </w:r>
      <w:r w:rsidR="000C782C" w:rsidRPr="005C2F74">
        <w:rPr>
          <w:rFonts w:ascii="Cambria" w:hAnsi="Cambria"/>
          <w:szCs w:val="24"/>
          <w:vertAlign w:val="superscript"/>
        </w:rPr>
        <w:footnoteReference w:id="34"/>
      </w:r>
      <w:r w:rsidR="000C782C">
        <w:rPr>
          <w:rFonts w:ascii="Cambria" w:hAnsi="Cambria"/>
          <w:szCs w:val="24"/>
        </w:rPr>
        <w:t xml:space="preserve"> </w:t>
      </w:r>
      <w:r w:rsidR="00CC166B">
        <w:rPr>
          <w:rFonts w:ascii="Cambria" w:hAnsi="Cambria"/>
          <w:szCs w:val="24"/>
        </w:rPr>
        <w:t xml:space="preserve">Consequently, </w:t>
      </w:r>
      <w:r w:rsidRPr="005C2F74">
        <w:rPr>
          <w:rFonts w:ascii="Cambria" w:hAnsi="Cambria"/>
          <w:szCs w:val="24"/>
        </w:rPr>
        <w:t>‘few consumers take notice of</w:t>
      </w:r>
      <w:r w:rsidR="000C782C">
        <w:rPr>
          <w:rFonts w:ascii="Cambria" w:hAnsi="Cambria"/>
          <w:szCs w:val="24"/>
        </w:rPr>
        <w:t xml:space="preserve"> [all the]</w:t>
      </w:r>
      <w:r w:rsidR="00C61EC5">
        <w:rPr>
          <w:rFonts w:ascii="Cambria" w:hAnsi="Cambria"/>
          <w:szCs w:val="24"/>
        </w:rPr>
        <w:t xml:space="preserve"> information provided,</w:t>
      </w:r>
      <w:r w:rsidR="00FF28CD">
        <w:rPr>
          <w:rFonts w:ascii="Cambria" w:hAnsi="Cambria"/>
          <w:szCs w:val="24"/>
        </w:rPr>
        <w:t>’</w:t>
      </w:r>
      <w:r w:rsidRPr="005C2F74">
        <w:rPr>
          <w:rFonts w:ascii="Cambria" w:hAnsi="Cambria"/>
          <w:szCs w:val="24"/>
          <w:vertAlign w:val="superscript"/>
        </w:rPr>
        <w:footnoteReference w:id="35"/>
      </w:r>
      <w:r w:rsidR="00C61EC5">
        <w:rPr>
          <w:rFonts w:ascii="Cambria" w:hAnsi="Cambria"/>
          <w:szCs w:val="24"/>
        </w:rPr>
        <w:t xml:space="preserve"> and are therefore no better protected than if the information had not been provided in the first place. </w:t>
      </w:r>
      <w:r w:rsidRPr="005C2F74">
        <w:rPr>
          <w:rFonts w:ascii="Cambria" w:hAnsi="Cambria"/>
          <w:szCs w:val="24"/>
        </w:rPr>
        <w:t xml:space="preserve">  </w:t>
      </w:r>
    </w:p>
    <w:p w14:paraId="323BD78C" w14:textId="18D39B52" w:rsidR="004267C9" w:rsidRPr="005C2F74" w:rsidRDefault="00C61EC5" w:rsidP="004267C9">
      <w:pPr>
        <w:autoSpaceDE w:val="0"/>
        <w:autoSpaceDN w:val="0"/>
        <w:adjustRightInd w:val="0"/>
        <w:spacing w:after="200" w:line="276" w:lineRule="auto"/>
        <w:rPr>
          <w:rFonts w:ascii="Cambria" w:hAnsi="Cambria"/>
        </w:rPr>
      </w:pPr>
      <w:r>
        <w:rPr>
          <w:rFonts w:ascii="Cambria" w:hAnsi="Cambria"/>
        </w:rPr>
        <w:t>Let us be clear</w:t>
      </w:r>
      <w:r w:rsidR="00AA74E7">
        <w:rPr>
          <w:rFonts w:ascii="Cambria" w:hAnsi="Cambria"/>
        </w:rPr>
        <w:t xml:space="preserve"> though</w:t>
      </w:r>
      <w:r>
        <w:rPr>
          <w:rFonts w:ascii="Cambria" w:hAnsi="Cambria"/>
        </w:rPr>
        <w:t xml:space="preserve"> – the act of informing consum</w:t>
      </w:r>
      <w:r w:rsidR="00AA74E7">
        <w:rPr>
          <w:rFonts w:ascii="Cambria" w:hAnsi="Cambria"/>
        </w:rPr>
        <w:t>ers about health risks is not</w:t>
      </w:r>
      <w:r>
        <w:rPr>
          <w:rFonts w:ascii="Cambria" w:hAnsi="Cambria"/>
        </w:rPr>
        <w:t xml:space="preserve"> inherently ineffective. Telling consumers the facts relating to the consequences of overconsumption of products such as alcohol, tobacco or unhealthy foods is an important part of NCD prevention strategy, which must be </w:t>
      </w:r>
      <w:r w:rsidR="00345046">
        <w:rPr>
          <w:rFonts w:ascii="Cambria" w:hAnsi="Cambria"/>
        </w:rPr>
        <w:t xml:space="preserve">multi-sectoral </w:t>
      </w:r>
      <w:r>
        <w:rPr>
          <w:rFonts w:ascii="Cambria" w:hAnsi="Cambria"/>
        </w:rPr>
        <w:t>in order to be effective.</w:t>
      </w:r>
      <w:r w:rsidRPr="0025758E">
        <w:rPr>
          <w:rStyle w:val="FootnoteReference"/>
          <w:rFonts w:ascii="Cambria" w:hAnsi="Cambria"/>
          <w:color w:val="000000" w:themeColor="text1"/>
        </w:rPr>
        <w:footnoteReference w:id="36"/>
      </w:r>
      <w:r>
        <w:rPr>
          <w:rFonts w:ascii="Cambria" w:hAnsi="Cambria"/>
        </w:rPr>
        <w:t xml:space="preserve"> However relying on information provision to the extent that consumer processing ability is overwhelmed, as described above, is the point at which </w:t>
      </w:r>
      <w:r w:rsidR="00AA74E7">
        <w:rPr>
          <w:rFonts w:ascii="Cambria" w:hAnsi="Cambria"/>
        </w:rPr>
        <w:t>a</w:t>
      </w:r>
      <w:r w:rsidR="00A57946">
        <w:rPr>
          <w:rFonts w:ascii="Cambria" w:hAnsi="Cambria"/>
        </w:rPr>
        <w:t>n initially useful</w:t>
      </w:r>
      <w:r w:rsidR="00AA74E7">
        <w:rPr>
          <w:rFonts w:ascii="Cambria" w:hAnsi="Cambria"/>
        </w:rPr>
        <w:t xml:space="preserve"> </w:t>
      </w:r>
      <w:r w:rsidR="00A57946">
        <w:rPr>
          <w:rFonts w:ascii="Cambria" w:hAnsi="Cambria"/>
        </w:rPr>
        <w:t xml:space="preserve">NCD prevention </w:t>
      </w:r>
      <w:r w:rsidR="00AA74E7">
        <w:rPr>
          <w:rFonts w:ascii="Cambria" w:hAnsi="Cambria"/>
        </w:rPr>
        <w:t xml:space="preserve">strategy such as </w:t>
      </w:r>
      <w:r w:rsidR="00A57946">
        <w:rPr>
          <w:rFonts w:ascii="Cambria" w:hAnsi="Cambria"/>
        </w:rPr>
        <w:t xml:space="preserve">information provision becomes a smokescreen intervention. I will now examine how MNCs have managed to, in effect, </w:t>
      </w:r>
      <w:r w:rsidR="00C6237C">
        <w:rPr>
          <w:rFonts w:ascii="Cambria" w:hAnsi="Cambria"/>
        </w:rPr>
        <w:t>co-opt information provision strategies in order to turn them into smokescreens</w:t>
      </w:r>
      <w:r w:rsidR="000C782C">
        <w:rPr>
          <w:rFonts w:ascii="Cambria" w:hAnsi="Cambria"/>
        </w:rPr>
        <w:t xml:space="preserve"> </w:t>
      </w:r>
      <w:r w:rsidR="00FC1D40">
        <w:rPr>
          <w:rFonts w:ascii="Cambria" w:hAnsi="Cambria"/>
        </w:rPr>
        <w:t>through an analysis of the manipulation of ideas in policymaking</w:t>
      </w:r>
      <w:r w:rsidR="000C782C">
        <w:rPr>
          <w:rFonts w:ascii="Cambria" w:hAnsi="Cambria"/>
        </w:rPr>
        <w:t xml:space="preserve">. </w:t>
      </w:r>
      <w:r w:rsidR="004267C9" w:rsidRPr="005C2F74">
        <w:rPr>
          <w:rFonts w:ascii="Cambria" w:hAnsi="Cambria"/>
        </w:rPr>
        <w:t xml:space="preserve">   </w:t>
      </w:r>
    </w:p>
    <w:p w14:paraId="3CC8D83F" w14:textId="46C37FB1" w:rsidR="004267C9" w:rsidRPr="005C2F74" w:rsidRDefault="000C782C" w:rsidP="004267C9">
      <w:pPr>
        <w:autoSpaceDE w:val="0"/>
        <w:autoSpaceDN w:val="0"/>
        <w:adjustRightInd w:val="0"/>
        <w:spacing w:after="200" w:line="276" w:lineRule="auto"/>
        <w:rPr>
          <w:rFonts w:ascii="Cambria" w:hAnsi="Cambria"/>
        </w:rPr>
      </w:pPr>
      <w:r>
        <w:rPr>
          <w:rFonts w:ascii="Cambria" w:hAnsi="Cambria"/>
        </w:rPr>
        <w:t>The</w:t>
      </w:r>
      <w:r w:rsidR="004267C9" w:rsidRPr="005C2F74">
        <w:rPr>
          <w:rFonts w:ascii="Cambria" w:hAnsi="Cambria"/>
        </w:rPr>
        <w:t xml:space="preserve"> outcome of any public policymaking process </w:t>
      </w:r>
      <w:r>
        <w:rPr>
          <w:rFonts w:ascii="Cambria" w:hAnsi="Cambria"/>
        </w:rPr>
        <w:t>is</w:t>
      </w:r>
      <w:r w:rsidR="004267C9" w:rsidRPr="005C2F74">
        <w:rPr>
          <w:rFonts w:ascii="Cambria" w:hAnsi="Cambria"/>
        </w:rPr>
        <w:t xml:space="preserve"> determined by the interaction between policy interests and policy ideas. Interest groups </w:t>
      </w:r>
      <w:r w:rsidR="005F6615">
        <w:rPr>
          <w:rFonts w:ascii="Cambria" w:hAnsi="Cambria"/>
        </w:rPr>
        <w:t>–</w:t>
      </w:r>
      <w:r w:rsidR="004267C9" w:rsidRPr="005C2F74">
        <w:rPr>
          <w:rFonts w:ascii="Cambria" w:hAnsi="Cambria"/>
        </w:rPr>
        <w:t xml:space="preserve"> ‘collection[s] of individuals with intensely held preferences who attempt to influence government policies to benefit [their] own members’</w:t>
      </w:r>
      <w:r w:rsidR="004267C9" w:rsidRPr="005C2F74">
        <w:rPr>
          <w:rStyle w:val="FootnoteReference"/>
          <w:rFonts w:ascii="Cambria" w:hAnsi="Cambria"/>
        </w:rPr>
        <w:footnoteReference w:id="37"/>
      </w:r>
      <w:r w:rsidR="004267C9" w:rsidRPr="005C2F74">
        <w:rPr>
          <w:rFonts w:ascii="Cambria" w:hAnsi="Cambria"/>
        </w:rPr>
        <w:t xml:space="preserve"> – cannot simply drive policy by ‘operating according to a self-in</w:t>
      </w:r>
      <w:r w:rsidR="00FF28CD">
        <w:rPr>
          <w:rFonts w:ascii="Cambria" w:hAnsi="Cambria"/>
        </w:rPr>
        <w:t>terested cost-benefit calculus.’</w:t>
      </w:r>
      <w:r w:rsidR="004267C9" w:rsidRPr="005C2F74">
        <w:rPr>
          <w:rStyle w:val="FootnoteReference"/>
          <w:rFonts w:ascii="Cambria" w:hAnsi="Cambria"/>
        </w:rPr>
        <w:footnoteReference w:id="38"/>
      </w:r>
      <w:r w:rsidR="004267C9" w:rsidRPr="005C2F74">
        <w:rPr>
          <w:rFonts w:ascii="Cambria" w:hAnsi="Cambria"/>
        </w:rPr>
        <w:t xml:space="preserve"> Ideas or concepts are needed for </w:t>
      </w:r>
      <w:r w:rsidR="005F659A">
        <w:rPr>
          <w:rFonts w:ascii="Cambria" w:hAnsi="Cambria"/>
        </w:rPr>
        <w:t>policy</w:t>
      </w:r>
      <w:r w:rsidR="004267C9" w:rsidRPr="005C2F74">
        <w:rPr>
          <w:rFonts w:ascii="Cambria" w:hAnsi="Cambria"/>
        </w:rPr>
        <w:t xml:space="preserve"> interests to be able to articulate </w:t>
      </w:r>
      <w:r>
        <w:rPr>
          <w:rFonts w:ascii="Cambria" w:hAnsi="Cambria"/>
        </w:rPr>
        <w:t xml:space="preserve">why their </w:t>
      </w:r>
      <w:r w:rsidR="004267C9" w:rsidRPr="005C2F74">
        <w:rPr>
          <w:rFonts w:ascii="Cambria" w:hAnsi="Cambria"/>
        </w:rPr>
        <w:t xml:space="preserve">preferences </w:t>
      </w:r>
      <w:r w:rsidR="005F659A">
        <w:rPr>
          <w:rFonts w:ascii="Cambria" w:hAnsi="Cambria"/>
        </w:rPr>
        <w:t>should be prioritised</w:t>
      </w:r>
      <w:r w:rsidR="004267C9" w:rsidRPr="005C2F74">
        <w:rPr>
          <w:rFonts w:ascii="Cambria" w:hAnsi="Cambria"/>
        </w:rPr>
        <w:t xml:space="preserve">. </w:t>
      </w:r>
      <w:r w:rsidR="004267C9" w:rsidRPr="005C2F74">
        <w:rPr>
          <w:rFonts w:ascii="Cambria" w:hAnsi="Cambria"/>
          <w:szCs w:val="24"/>
        </w:rPr>
        <w:t xml:space="preserve">Hall </w:t>
      </w:r>
      <w:r w:rsidR="005F659A">
        <w:rPr>
          <w:rFonts w:ascii="Cambria" w:hAnsi="Cambria"/>
          <w:szCs w:val="24"/>
        </w:rPr>
        <w:t>notes</w:t>
      </w:r>
      <w:r w:rsidR="004267C9" w:rsidRPr="005C2F74">
        <w:rPr>
          <w:rFonts w:ascii="Cambria" w:hAnsi="Cambria"/>
          <w:szCs w:val="24"/>
        </w:rPr>
        <w:t xml:space="preserve"> </w:t>
      </w:r>
      <w:r w:rsidR="005F659A">
        <w:rPr>
          <w:rFonts w:ascii="Cambria" w:hAnsi="Cambria"/>
          <w:szCs w:val="24"/>
        </w:rPr>
        <w:t>that policymakers require a</w:t>
      </w:r>
      <w:r w:rsidR="004267C9" w:rsidRPr="005C2F74">
        <w:rPr>
          <w:rFonts w:ascii="Cambria" w:hAnsi="Cambria"/>
          <w:szCs w:val="24"/>
        </w:rPr>
        <w:t xml:space="preserve"> ‘framework </w:t>
      </w:r>
      <w:r w:rsidR="005F659A">
        <w:rPr>
          <w:rFonts w:ascii="Cambria" w:hAnsi="Cambria"/>
          <w:szCs w:val="24"/>
        </w:rPr>
        <w:t>of</w:t>
      </w:r>
      <w:r w:rsidR="004267C9" w:rsidRPr="005C2F74">
        <w:rPr>
          <w:rFonts w:ascii="Cambria" w:hAnsi="Cambria"/>
          <w:szCs w:val="24"/>
        </w:rPr>
        <w:t xml:space="preserve"> ideas and standards that specifies not only the goals of policy and the kind of instruments that can be used to attain them, but also the very nature of the problems t</w:t>
      </w:r>
      <w:r w:rsidR="00FF28CD">
        <w:rPr>
          <w:rFonts w:ascii="Cambria" w:hAnsi="Cambria"/>
          <w:szCs w:val="24"/>
        </w:rPr>
        <w:t>hey are meant to be addressing.’</w:t>
      </w:r>
      <w:r w:rsidR="004267C9" w:rsidRPr="005C2F74">
        <w:rPr>
          <w:rStyle w:val="FootnoteReference"/>
          <w:rFonts w:ascii="Cambria" w:hAnsi="Cambria"/>
          <w:szCs w:val="24"/>
        </w:rPr>
        <w:footnoteReference w:id="39"/>
      </w:r>
      <w:r w:rsidR="004267C9" w:rsidRPr="005C2F74">
        <w:rPr>
          <w:rFonts w:ascii="Cambria" w:hAnsi="Cambria"/>
          <w:szCs w:val="24"/>
        </w:rPr>
        <w:t xml:space="preserve"> </w:t>
      </w:r>
      <w:r w:rsidR="004267C9" w:rsidRPr="005C2F74">
        <w:rPr>
          <w:rFonts w:ascii="Cambria" w:hAnsi="Cambria"/>
        </w:rPr>
        <w:t xml:space="preserve">Thus ideas are essential to the outcome of policymaking, as even ‘the most cynical bureaucrats and politicians must still </w:t>
      </w:r>
      <w:proofErr w:type="spellStart"/>
      <w:r w:rsidR="004267C9" w:rsidRPr="005C2F74">
        <w:rPr>
          <w:rFonts w:ascii="Cambria" w:hAnsi="Cambria"/>
        </w:rPr>
        <w:t>rationalize</w:t>
      </w:r>
      <w:proofErr w:type="spellEnd"/>
      <w:r w:rsidR="004267C9" w:rsidRPr="005C2F74">
        <w:rPr>
          <w:rFonts w:ascii="Cambria" w:hAnsi="Cambria"/>
        </w:rPr>
        <w:t xml:space="preserve"> their actions in terms </w:t>
      </w:r>
      <w:r w:rsidR="00FF28CD">
        <w:rPr>
          <w:rFonts w:ascii="Cambria" w:hAnsi="Cambria"/>
        </w:rPr>
        <w:t>that will draw popular support.’</w:t>
      </w:r>
      <w:r w:rsidR="004267C9" w:rsidRPr="005C2F74">
        <w:rPr>
          <w:rStyle w:val="FootnoteReference"/>
          <w:rFonts w:ascii="Cambria" w:hAnsi="Cambria"/>
        </w:rPr>
        <w:footnoteReference w:id="40"/>
      </w:r>
    </w:p>
    <w:p w14:paraId="6A056FA3" w14:textId="55067FFE" w:rsidR="004267C9" w:rsidRPr="005C2F74" w:rsidRDefault="005F659A" w:rsidP="004267C9">
      <w:pPr>
        <w:autoSpaceDE w:val="0"/>
        <w:autoSpaceDN w:val="0"/>
        <w:adjustRightInd w:val="0"/>
        <w:spacing w:after="200" w:line="276" w:lineRule="auto"/>
        <w:rPr>
          <w:rFonts w:ascii="Cambria" w:hAnsi="Cambria"/>
        </w:rPr>
      </w:pPr>
      <w:r>
        <w:rPr>
          <w:rFonts w:ascii="Cambria" w:hAnsi="Cambria"/>
        </w:rPr>
        <w:t>Campbell identified four characteristics of policymaking ideas. Ideas can be either</w:t>
      </w:r>
      <w:r w:rsidR="004267C9" w:rsidRPr="005C2F74">
        <w:rPr>
          <w:rFonts w:ascii="Cambria" w:hAnsi="Cambria"/>
        </w:rPr>
        <w:t xml:space="preserve"> ‘underlying and sometimes taken-for-granted assumptions residing in the background of policy debates’</w:t>
      </w:r>
      <w:r w:rsidR="004267C9" w:rsidRPr="005C2F74">
        <w:rPr>
          <w:rStyle w:val="FootnoteReference"/>
          <w:rFonts w:ascii="Cambria" w:hAnsi="Cambria"/>
        </w:rPr>
        <w:footnoteReference w:id="41"/>
      </w:r>
      <w:r w:rsidR="004267C9" w:rsidRPr="005C2F74">
        <w:rPr>
          <w:rFonts w:ascii="Cambria" w:hAnsi="Cambria"/>
        </w:rPr>
        <w:t xml:space="preserve"> or ‘concepts and theories located in the foreground of these debates where they are explicitly artic</w:t>
      </w:r>
      <w:r w:rsidR="00FF28CD">
        <w:rPr>
          <w:rFonts w:ascii="Cambria" w:hAnsi="Cambria"/>
        </w:rPr>
        <w:t>ulated.’</w:t>
      </w:r>
      <w:r w:rsidR="004267C9" w:rsidRPr="005C2F74">
        <w:rPr>
          <w:rStyle w:val="FootnoteReference"/>
          <w:rFonts w:ascii="Cambria" w:hAnsi="Cambria"/>
        </w:rPr>
        <w:footnoteReference w:id="42"/>
      </w:r>
      <w:r w:rsidR="004267C9" w:rsidRPr="005C2F74">
        <w:rPr>
          <w:rFonts w:ascii="Cambria" w:hAnsi="Cambria"/>
        </w:rPr>
        <w:t xml:space="preserve"> </w:t>
      </w:r>
      <w:r>
        <w:rPr>
          <w:rFonts w:ascii="Cambria" w:hAnsi="Cambria"/>
        </w:rPr>
        <w:t>They can also be cognitive or normative</w:t>
      </w:r>
      <w:r w:rsidR="004267C9" w:rsidRPr="005C2F74">
        <w:rPr>
          <w:rFonts w:ascii="Cambria" w:hAnsi="Cambria"/>
        </w:rPr>
        <w:t xml:space="preserve"> – ‘at the </w:t>
      </w:r>
      <w:r w:rsidR="004267C9" w:rsidRPr="005C2F74">
        <w:rPr>
          <w:rFonts w:ascii="Cambria" w:hAnsi="Cambria"/>
        </w:rPr>
        <w:lastRenderedPageBreak/>
        <w:t>cognitive level ideas are descriptions and theoretical analyses that specify cause-and-effect relationships whereas at the normative level ideas co</w:t>
      </w:r>
      <w:r w:rsidR="00FF28CD">
        <w:rPr>
          <w:rFonts w:ascii="Cambria" w:hAnsi="Cambria"/>
        </w:rPr>
        <w:t>nsists of values and attitudes.’</w:t>
      </w:r>
      <w:r w:rsidR="004267C9" w:rsidRPr="005C2F74">
        <w:rPr>
          <w:rStyle w:val="FootnoteReference"/>
          <w:rFonts w:ascii="Cambria" w:hAnsi="Cambria"/>
        </w:rPr>
        <w:footnoteReference w:id="43"/>
      </w:r>
      <w:r w:rsidR="004267C9" w:rsidRPr="005C2F74">
        <w:rPr>
          <w:rFonts w:ascii="Cambria" w:hAnsi="Cambria"/>
        </w:rPr>
        <w:t xml:space="preserve"> He organises these types of ideas into a typology as follows, ranging from the highly visible and debated to the largely invisible and unquestioned: programmes (prescriptions that identify precise courses of action); frames (symbolic ideas that legitimise solutions); paradigms (operational assumptions identifying the range of useful solutions available); and public sentiments (normative assumptions constraining the range of legitimate solutions available).</w:t>
      </w:r>
      <w:r w:rsidR="004267C9" w:rsidRPr="005C2F74">
        <w:rPr>
          <w:rStyle w:val="FootnoteReference"/>
          <w:rFonts w:ascii="Cambria" w:hAnsi="Cambria"/>
        </w:rPr>
        <w:footnoteReference w:id="44"/>
      </w:r>
    </w:p>
    <w:p w14:paraId="6D98B2A1" w14:textId="1AD04995" w:rsidR="004267C9" w:rsidRPr="005C2F74" w:rsidRDefault="005F6615" w:rsidP="004267C9">
      <w:pPr>
        <w:autoSpaceDE w:val="0"/>
        <w:autoSpaceDN w:val="0"/>
        <w:adjustRightInd w:val="0"/>
        <w:spacing w:after="200" w:line="276" w:lineRule="auto"/>
        <w:rPr>
          <w:rFonts w:ascii="Cambria" w:hAnsi="Cambria"/>
        </w:rPr>
      </w:pPr>
      <w:r>
        <w:rPr>
          <w:rFonts w:ascii="Cambria" w:hAnsi="Cambria"/>
        </w:rPr>
        <w:t>Actors with particular p</w:t>
      </w:r>
      <w:r w:rsidR="005F659A">
        <w:rPr>
          <w:rFonts w:ascii="Cambria" w:hAnsi="Cambria"/>
        </w:rPr>
        <w:t>olicy</w:t>
      </w:r>
      <w:r w:rsidR="004267C9" w:rsidRPr="005C2F74">
        <w:rPr>
          <w:rFonts w:ascii="Cambria" w:hAnsi="Cambria"/>
        </w:rPr>
        <w:t xml:space="preserve"> interests must </w:t>
      </w:r>
      <w:r>
        <w:rPr>
          <w:rFonts w:ascii="Cambria" w:hAnsi="Cambria"/>
        </w:rPr>
        <w:t>utilise these ideas</w:t>
      </w:r>
      <w:r w:rsidR="005F659A">
        <w:rPr>
          <w:rFonts w:ascii="Cambria" w:hAnsi="Cambria"/>
        </w:rPr>
        <w:t xml:space="preserve"> to</w:t>
      </w:r>
      <w:r>
        <w:rPr>
          <w:rFonts w:ascii="Cambria" w:hAnsi="Cambria"/>
        </w:rPr>
        <w:t xml:space="preserve"> make a persuasive case that </w:t>
      </w:r>
      <w:r w:rsidR="005F659A">
        <w:rPr>
          <w:rFonts w:ascii="Cambria" w:hAnsi="Cambria"/>
        </w:rPr>
        <w:t xml:space="preserve">their </w:t>
      </w:r>
      <w:r w:rsidR="00A80724">
        <w:rPr>
          <w:rFonts w:ascii="Cambria" w:hAnsi="Cambria"/>
        </w:rPr>
        <w:t>preferences for policy outcomes should be realised</w:t>
      </w:r>
      <w:r w:rsidR="005F659A">
        <w:rPr>
          <w:rFonts w:ascii="Cambria" w:hAnsi="Cambria"/>
        </w:rPr>
        <w:t xml:space="preserve">. This is usually achieved </w:t>
      </w:r>
      <w:r>
        <w:rPr>
          <w:rFonts w:ascii="Cambria" w:hAnsi="Cambria"/>
        </w:rPr>
        <w:t xml:space="preserve">through </w:t>
      </w:r>
      <w:r w:rsidR="004267C9" w:rsidRPr="005C2F74">
        <w:rPr>
          <w:rFonts w:ascii="Cambria" w:hAnsi="Cambria"/>
        </w:rPr>
        <w:t>the presentation of evidence</w:t>
      </w:r>
      <w:r w:rsidR="00A80724">
        <w:rPr>
          <w:rFonts w:ascii="Cambria" w:hAnsi="Cambria"/>
        </w:rPr>
        <w:t xml:space="preserve"> that links an idea to an outcome in a sufficiently compelling way</w:t>
      </w:r>
      <w:r w:rsidR="004267C9" w:rsidRPr="005C2F74">
        <w:rPr>
          <w:rFonts w:ascii="Cambria" w:hAnsi="Cambria"/>
        </w:rPr>
        <w:t>.</w:t>
      </w:r>
      <w:r w:rsidR="005F659A">
        <w:rPr>
          <w:rFonts w:ascii="Cambria" w:hAnsi="Cambria"/>
        </w:rPr>
        <w:t xml:space="preserve"> </w:t>
      </w:r>
      <w:r w:rsidR="00A80724">
        <w:rPr>
          <w:rFonts w:ascii="Cambria" w:hAnsi="Cambria"/>
        </w:rPr>
        <w:t xml:space="preserve">Unfortunately, </w:t>
      </w:r>
      <w:r w:rsidR="00C05FEC">
        <w:rPr>
          <w:rFonts w:ascii="Cambria" w:hAnsi="Cambria"/>
        </w:rPr>
        <w:t>due to the complexity and breadth of the evidence that has been produced on NCDs and their causes, evidence is never entirely conclusive on most NCD issues, and as a result</w:t>
      </w:r>
      <w:r w:rsidR="00873BFA">
        <w:rPr>
          <w:rFonts w:ascii="Cambria" w:hAnsi="Cambria"/>
        </w:rPr>
        <w:t xml:space="preserve"> </w:t>
      </w:r>
      <w:r w:rsidR="00A75030">
        <w:rPr>
          <w:rFonts w:ascii="Cambria" w:hAnsi="Cambria"/>
        </w:rPr>
        <w:t>‘</w:t>
      </w:r>
      <w:r w:rsidR="00873BFA">
        <w:rPr>
          <w:rFonts w:ascii="Cambria" w:hAnsi="Cambria"/>
        </w:rPr>
        <w:t xml:space="preserve">problem definition, data collection, and evaluation criteria </w:t>
      </w:r>
      <w:r w:rsidR="00C05FEC">
        <w:rPr>
          <w:rFonts w:ascii="Cambria" w:hAnsi="Cambria"/>
        </w:rPr>
        <w:t>[become]</w:t>
      </w:r>
      <w:r w:rsidR="00873BFA">
        <w:rPr>
          <w:rFonts w:ascii="Cambria" w:hAnsi="Cambria"/>
        </w:rPr>
        <w:t xml:space="preserve"> weapons used to manipulate decision </w:t>
      </w:r>
      <w:r w:rsidR="00C05FEC">
        <w:rPr>
          <w:rFonts w:ascii="Cambria" w:hAnsi="Cambria"/>
        </w:rPr>
        <w:t>outcomes towards personal ends.</w:t>
      </w:r>
      <w:r w:rsidR="00FF28CD">
        <w:rPr>
          <w:rFonts w:ascii="Cambria" w:hAnsi="Cambria"/>
        </w:rPr>
        <w:t>’</w:t>
      </w:r>
      <w:r w:rsidR="00873BFA">
        <w:rPr>
          <w:rStyle w:val="FootnoteReference"/>
          <w:rFonts w:ascii="Cambria" w:hAnsi="Cambria"/>
        </w:rPr>
        <w:footnoteReference w:id="45"/>
      </w:r>
      <w:r w:rsidR="00873BFA">
        <w:rPr>
          <w:rFonts w:ascii="Cambria" w:hAnsi="Cambria"/>
        </w:rPr>
        <w:t xml:space="preserve"> </w:t>
      </w:r>
      <w:r w:rsidR="00C05FEC">
        <w:rPr>
          <w:rFonts w:ascii="Cambria" w:hAnsi="Cambria"/>
        </w:rPr>
        <w:t>MNCs have become highly proficient at</w:t>
      </w:r>
      <w:r w:rsidR="00CD2196">
        <w:rPr>
          <w:rFonts w:ascii="Cambria" w:hAnsi="Cambria"/>
        </w:rPr>
        <w:t xml:space="preserve"> using their power to</w:t>
      </w:r>
      <w:r w:rsidR="00C05FEC">
        <w:rPr>
          <w:rFonts w:ascii="Cambria" w:hAnsi="Cambria"/>
        </w:rPr>
        <w:t xml:space="preserve"> manipulating</w:t>
      </w:r>
      <w:r w:rsidR="004267C9" w:rsidRPr="005C2F74">
        <w:rPr>
          <w:rFonts w:ascii="Cambria" w:hAnsi="Cambria"/>
        </w:rPr>
        <w:t xml:space="preserve"> </w:t>
      </w:r>
      <w:r w:rsidR="00C05FEC">
        <w:rPr>
          <w:rFonts w:ascii="Cambria" w:hAnsi="Cambria"/>
        </w:rPr>
        <w:t xml:space="preserve">the </w:t>
      </w:r>
      <w:r w:rsidR="004267C9" w:rsidRPr="005C2F74">
        <w:rPr>
          <w:rFonts w:ascii="Cambria" w:hAnsi="Cambria"/>
        </w:rPr>
        <w:t xml:space="preserve">evidence </w:t>
      </w:r>
      <w:r w:rsidR="00C05FEC">
        <w:rPr>
          <w:rFonts w:ascii="Cambria" w:hAnsi="Cambria"/>
        </w:rPr>
        <w:t>surrounding the consumption of products such as alcohol,</w:t>
      </w:r>
      <w:r w:rsidR="00C067C4">
        <w:rPr>
          <w:rFonts w:ascii="Cambria" w:hAnsi="Cambria"/>
        </w:rPr>
        <w:t xml:space="preserve"> tobacco</w:t>
      </w:r>
      <w:r w:rsidR="00C05FEC">
        <w:rPr>
          <w:rFonts w:ascii="Cambria" w:hAnsi="Cambria"/>
        </w:rPr>
        <w:t xml:space="preserve"> and unhealthy foods</w:t>
      </w:r>
      <w:r w:rsidR="004267C9" w:rsidRPr="005C2F74">
        <w:rPr>
          <w:rFonts w:ascii="Cambria" w:hAnsi="Cambria"/>
        </w:rPr>
        <w:t xml:space="preserve"> in order to create sufficiently believable links between their preferred policy outcomes and </w:t>
      </w:r>
      <w:r w:rsidR="00C05FEC">
        <w:rPr>
          <w:rFonts w:ascii="Cambria" w:hAnsi="Cambria"/>
        </w:rPr>
        <w:t xml:space="preserve">legitimising </w:t>
      </w:r>
      <w:r w:rsidR="004267C9" w:rsidRPr="005C2F74">
        <w:rPr>
          <w:rFonts w:ascii="Cambria" w:hAnsi="Cambria"/>
        </w:rPr>
        <w:t>ideas</w:t>
      </w:r>
      <w:r w:rsidR="005C7313">
        <w:rPr>
          <w:rFonts w:ascii="Cambria" w:hAnsi="Cambria"/>
        </w:rPr>
        <w:t>, such that their preferences</w:t>
      </w:r>
      <w:r w:rsidR="003A69E8">
        <w:rPr>
          <w:rFonts w:ascii="Cambria" w:hAnsi="Cambria"/>
          <w:lang w:val="en-US"/>
        </w:rPr>
        <w:t xml:space="preserve"> – usually for information based interventions –</w:t>
      </w:r>
      <w:r w:rsidR="005C7313">
        <w:rPr>
          <w:rFonts w:ascii="Cambria" w:hAnsi="Cambria"/>
        </w:rPr>
        <w:t xml:space="preserve"> appear</w:t>
      </w:r>
      <w:r w:rsidR="003A69E8">
        <w:rPr>
          <w:rFonts w:ascii="Cambria" w:hAnsi="Cambria"/>
          <w:lang w:val="en-US"/>
        </w:rPr>
        <w:t xml:space="preserve"> </w:t>
      </w:r>
      <w:r w:rsidR="005C7313">
        <w:rPr>
          <w:rFonts w:ascii="Cambria" w:hAnsi="Cambria"/>
        </w:rPr>
        <w:t>to be valid solutions</w:t>
      </w:r>
      <w:r w:rsidR="00C05FEC">
        <w:rPr>
          <w:rFonts w:ascii="Cambria" w:hAnsi="Cambria"/>
        </w:rPr>
        <w:t xml:space="preserve"> to policy problems</w:t>
      </w:r>
      <w:r w:rsidR="005C7313">
        <w:rPr>
          <w:rFonts w:ascii="Cambria" w:hAnsi="Cambria"/>
        </w:rPr>
        <w:t>.</w:t>
      </w:r>
      <w:r w:rsidR="008A6501">
        <w:rPr>
          <w:rStyle w:val="FootnoteReference"/>
          <w:rFonts w:ascii="Cambria" w:hAnsi="Cambria"/>
        </w:rPr>
        <w:footnoteReference w:id="46"/>
      </w:r>
    </w:p>
    <w:p w14:paraId="42A91B21" w14:textId="55488C54" w:rsidR="004267C9" w:rsidRPr="005C2F74" w:rsidRDefault="00CD2196" w:rsidP="004267C9">
      <w:pPr>
        <w:autoSpaceDE w:val="0"/>
        <w:autoSpaceDN w:val="0"/>
        <w:adjustRightInd w:val="0"/>
        <w:spacing w:after="200" w:line="276" w:lineRule="auto"/>
        <w:rPr>
          <w:rFonts w:ascii="Cambria" w:hAnsi="Cambria"/>
        </w:rPr>
      </w:pPr>
      <w:r>
        <w:rPr>
          <w:rFonts w:ascii="Cambria" w:hAnsi="Cambria"/>
        </w:rPr>
        <w:t>One of the</w:t>
      </w:r>
      <w:r w:rsidR="004267C9" w:rsidRPr="005C2F74">
        <w:rPr>
          <w:rFonts w:ascii="Cambria" w:hAnsi="Cambria"/>
        </w:rPr>
        <w:t xml:space="preserve"> reason</w:t>
      </w:r>
      <w:r>
        <w:rPr>
          <w:rFonts w:ascii="Cambria" w:hAnsi="Cambria"/>
        </w:rPr>
        <w:t>s</w:t>
      </w:r>
      <w:r w:rsidR="004267C9" w:rsidRPr="005C2F74">
        <w:rPr>
          <w:rFonts w:ascii="Cambria" w:hAnsi="Cambria"/>
        </w:rPr>
        <w:t xml:space="preserve"> why </w:t>
      </w:r>
      <w:r w:rsidR="0002252B">
        <w:rPr>
          <w:rFonts w:ascii="Cambria" w:hAnsi="Cambria"/>
        </w:rPr>
        <w:t>MNCs</w:t>
      </w:r>
      <w:r w:rsidR="004267C9" w:rsidRPr="005C2F74">
        <w:rPr>
          <w:rFonts w:ascii="Cambria" w:hAnsi="Cambria"/>
        </w:rPr>
        <w:t xml:space="preserve"> have been so succes</w:t>
      </w:r>
      <w:r w:rsidR="00433AE0">
        <w:rPr>
          <w:rFonts w:ascii="Cambria" w:hAnsi="Cambria"/>
        </w:rPr>
        <w:t>sful in manipulating ideas and evidence in order to secure their policy preferences i</w:t>
      </w:r>
      <w:r w:rsidR="001D0E6D">
        <w:rPr>
          <w:rFonts w:ascii="Cambria" w:hAnsi="Cambria"/>
        </w:rPr>
        <w:t xml:space="preserve">s that they </w:t>
      </w:r>
      <w:r w:rsidR="002A5412">
        <w:rPr>
          <w:rFonts w:ascii="Cambria" w:hAnsi="Cambria"/>
        </w:rPr>
        <w:t xml:space="preserve">increase the susceptibility of policymakers to such manipulation by playing on </w:t>
      </w:r>
      <w:r w:rsidR="004267C9" w:rsidRPr="005C2F74">
        <w:rPr>
          <w:rFonts w:ascii="Cambria" w:hAnsi="Cambria"/>
        </w:rPr>
        <w:t>a host of identifiable behavioural flaws e</w:t>
      </w:r>
      <w:r w:rsidR="001D0E6D">
        <w:rPr>
          <w:rFonts w:ascii="Cambria" w:hAnsi="Cambria"/>
        </w:rPr>
        <w:t>xperienced by all policy</w:t>
      </w:r>
      <w:r w:rsidR="00433AE0">
        <w:rPr>
          <w:rFonts w:ascii="Cambria" w:hAnsi="Cambria"/>
        </w:rPr>
        <w:t>makers</w:t>
      </w:r>
      <w:r w:rsidR="002A5412">
        <w:rPr>
          <w:rFonts w:ascii="Cambria" w:hAnsi="Cambria"/>
        </w:rPr>
        <w:t xml:space="preserve">. </w:t>
      </w:r>
      <w:r w:rsidR="004267C9" w:rsidRPr="005C2F74">
        <w:rPr>
          <w:rFonts w:ascii="Cambria" w:hAnsi="Cambria"/>
        </w:rPr>
        <w:t>The behavioural li</w:t>
      </w:r>
      <w:r w:rsidR="00433AE0">
        <w:rPr>
          <w:rFonts w:ascii="Cambria" w:hAnsi="Cambria"/>
        </w:rPr>
        <w:t xml:space="preserve">terature </w:t>
      </w:r>
      <w:r w:rsidR="009C1C28">
        <w:rPr>
          <w:rFonts w:ascii="Cambria" w:hAnsi="Cambria"/>
        </w:rPr>
        <w:t>on</w:t>
      </w:r>
      <w:r w:rsidR="00433AE0">
        <w:rPr>
          <w:rFonts w:ascii="Cambria" w:hAnsi="Cambria"/>
        </w:rPr>
        <w:t xml:space="preserve"> policy decision-</w:t>
      </w:r>
      <w:r w:rsidR="002A5412">
        <w:rPr>
          <w:rFonts w:ascii="Cambria" w:hAnsi="Cambria"/>
        </w:rPr>
        <w:t xml:space="preserve">making highlights that </w:t>
      </w:r>
      <w:r w:rsidR="004267C9" w:rsidRPr="005C2F74">
        <w:rPr>
          <w:rFonts w:ascii="Cambria" w:hAnsi="Cambria"/>
        </w:rPr>
        <w:t>‘decision-makers – like all other people – have a natural limited mental capacity and are therefore only able to cope within these limits and with a</w:t>
      </w:r>
      <w:r w:rsidR="00FF28CD">
        <w:rPr>
          <w:rFonts w:ascii="Cambria" w:hAnsi="Cambria"/>
        </w:rPr>
        <w:t xml:space="preserve"> limited volume of information.’</w:t>
      </w:r>
      <w:r w:rsidR="004267C9" w:rsidRPr="005C2F74">
        <w:rPr>
          <w:rStyle w:val="FootnoteReference"/>
          <w:rFonts w:ascii="Cambria" w:hAnsi="Cambria"/>
        </w:rPr>
        <w:footnoteReference w:id="47"/>
      </w:r>
      <w:r w:rsidR="004267C9" w:rsidRPr="005C2F74">
        <w:rPr>
          <w:rFonts w:ascii="Cambria" w:hAnsi="Cambria"/>
        </w:rPr>
        <w:t xml:space="preserve"> Furthermore, policy decision-makers ‘do not have perfect information about resulting consequences upon which to determine the best alternative [and] [a]s a consequence, there will always be uncertainty and risk about the eventual impacts of decisions taken, which means that a fully rational decision may eventual</w:t>
      </w:r>
      <w:r w:rsidR="00FF28CD">
        <w:rPr>
          <w:rFonts w:ascii="Cambria" w:hAnsi="Cambria"/>
        </w:rPr>
        <w:t>ly lead to an undesired effect.’</w:t>
      </w:r>
      <w:r w:rsidR="004267C9" w:rsidRPr="005C2F74">
        <w:rPr>
          <w:rStyle w:val="FootnoteReference"/>
          <w:rFonts w:ascii="Cambria" w:hAnsi="Cambria"/>
        </w:rPr>
        <w:footnoteReference w:id="48"/>
      </w:r>
      <w:r w:rsidR="004267C9" w:rsidRPr="005C2F74">
        <w:rPr>
          <w:rFonts w:ascii="Cambria" w:hAnsi="Cambria"/>
        </w:rPr>
        <w:t xml:space="preserve"> Therefore</w:t>
      </w:r>
      <w:r w:rsidR="002A5412">
        <w:rPr>
          <w:rFonts w:ascii="Cambria" w:hAnsi="Cambria"/>
        </w:rPr>
        <w:t xml:space="preserve">, a subtle exercise of power or influence by MNCs in the right place </w:t>
      </w:r>
      <w:r>
        <w:rPr>
          <w:rFonts w:ascii="Cambria" w:hAnsi="Cambria"/>
        </w:rPr>
        <w:t xml:space="preserve">may prompt the engagement of such strategies in a way that makes policymakers more susceptible to the suggestions of MNCs – a further manipulation tactic at which MNCs have unsurprisingly also become adept at. </w:t>
      </w:r>
    </w:p>
    <w:p w14:paraId="1AB5830D" w14:textId="0D6733B9" w:rsidR="004267C9" w:rsidRPr="005C2F74" w:rsidRDefault="004267C9" w:rsidP="004267C9">
      <w:pPr>
        <w:autoSpaceDE w:val="0"/>
        <w:autoSpaceDN w:val="0"/>
        <w:adjustRightInd w:val="0"/>
        <w:spacing w:after="200" w:line="276" w:lineRule="auto"/>
        <w:rPr>
          <w:rFonts w:ascii="Cambria" w:hAnsi="Cambria"/>
        </w:rPr>
      </w:pPr>
      <w:r w:rsidRPr="005C2F74">
        <w:rPr>
          <w:rFonts w:ascii="Cambria" w:hAnsi="Cambria"/>
        </w:rPr>
        <w:t xml:space="preserve">Thus, if </w:t>
      </w:r>
      <w:r w:rsidR="0002252B">
        <w:rPr>
          <w:rFonts w:ascii="Cambria" w:hAnsi="Cambria"/>
        </w:rPr>
        <w:t>MNCs</w:t>
      </w:r>
      <w:r w:rsidRPr="005C2F74">
        <w:rPr>
          <w:rFonts w:ascii="Cambria" w:hAnsi="Cambria"/>
        </w:rPr>
        <w:t xml:space="preserve"> wish to promote programmatic ideas of information provision as the most efficient method of protecting consumers, they </w:t>
      </w:r>
      <w:r w:rsidR="00433AE0">
        <w:rPr>
          <w:rFonts w:ascii="Cambria" w:hAnsi="Cambria"/>
        </w:rPr>
        <w:t>will</w:t>
      </w:r>
      <w:r w:rsidRPr="005C2F74">
        <w:rPr>
          <w:rFonts w:ascii="Cambria" w:hAnsi="Cambria"/>
        </w:rPr>
        <w:t xml:space="preserve"> point out to policymakers that </w:t>
      </w:r>
      <w:r w:rsidRPr="005C2F74">
        <w:rPr>
          <w:rFonts w:ascii="Cambria" w:hAnsi="Cambria"/>
        </w:rPr>
        <w:lastRenderedPageBreak/>
        <w:t>‘information [provision] seems to offer a win-win solution. Consumers are given the means to protect themselves and drive up standards, whilst business is allowed flexibility to provide the goods a</w:t>
      </w:r>
      <w:r w:rsidR="00FF28CD">
        <w:rPr>
          <w:rFonts w:ascii="Cambria" w:hAnsi="Cambria"/>
        </w:rPr>
        <w:t>nd services the market demands.’</w:t>
      </w:r>
      <w:r w:rsidRPr="005C2F74">
        <w:rPr>
          <w:rStyle w:val="FootnoteReference"/>
          <w:rFonts w:ascii="Cambria" w:hAnsi="Cambria"/>
        </w:rPr>
        <w:footnoteReference w:id="49"/>
      </w:r>
      <w:r w:rsidRPr="005C2F74">
        <w:rPr>
          <w:rFonts w:ascii="Cambria" w:hAnsi="Cambria"/>
        </w:rPr>
        <w:t xml:space="preserve"> This plays on the fact that often</w:t>
      </w:r>
      <w:r w:rsidR="00433AE0">
        <w:rPr>
          <w:rFonts w:ascii="Cambria" w:hAnsi="Cambria"/>
        </w:rPr>
        <w:t xml:space="preserve"> the policymaking process is</w:t>
      </w:r>
      <w:r w:rsidRPr="005C2F74">
        <w:rPr>
          <w:rFonts w:ascii="Cambria" w:hAnsi="Cambria"/>
        </w:rPr>
        <w:t xml:space="preserve"> ‘perceived </w:t>
      </w:r>
      <w:r w:rsidR="00FF28CD">
        <w:rPr>
          <w:rFonts w:ascii="Cambria" w:hAnsi="Cambria"/>
        </w:rPr>
        <w:t>in terms of winners and losers.’</w:t>
      </w:r>
      <w:r w:rsidRPr="005C2F74">
        <w:rPr>
          <w:rStyle w:val="FootnoteReference"/>
          <w:rFonts w:ascii="Cambria" w:hAnsi="Cambria"/>
        </w:rPr>
        <w:footnoteReference w:id="50"/>
      </w:r>
      <w:r w:rsidRPr="005C2F74">
        <w:rPr>
          <w:rFonts w:ascii="Cambria" w:hAnsi="Cambria"/>
        </w:rPr>
        <w:t xml:space="preserve"> </w:t>
      </w:r>
      <w:r w:rsidR="00433AE0">
        <w:rPr>
          <w:rFonts w:ascii="Cambria" w:hAnsi="Cambria"/>
        </w:rPr>
        <w:t>ideas for policy action that appear to lead to only winners</w:t>
      </w:r>
      <w:r w:rsidRPr="005C2F74">
        <w:rPr>
          <w:rFonts w:ascii="Cambria" w:hAnsi="Cambria"/>
        </w:rPr>
        <w:t xml:space="preserve"> will be seen as </w:t>
      </w:r>
      <w:r w:rsidR="00554263">
        <w:rPr>
          <w:rFonts w:ascii="Cambria" w:hAnsi="Cambria"/>
        </w:rPr>
        <w:t xml:space="preserve">superior </w:t>
      </w:r>
      <w:r w:rsidRPr="005C2F74">
        <w:rPr>
          <w:rFonts w:ascii="Cambria" w:hAnsi="Cambria"/>
        </w:rPr>
        <w:t xml:space="preserve">to policy makers who </w:t>
      </w:r>
      <w:r w:rsidR="003F1F50">
        <w:rPr>
          <w:rFonts w:ascii="Cambria" w:hAnsi="Cambria"/>
        </w:rPr>
        <w:t>will</w:t>
      </w:r>
      <w:r w:rsidRPr="005C2F74">
        <w:rPr>
          <w:rFonts w:ascii="Cambria" w:hAnsi="Cambria"/>
        </w:rPr>
        <w:t xml:space="preserve"> </w:t>
      </w:r>
      <w:r w:rsidR="003F1F50">
        <w:rPr>
          <w:rFonts w:ascii="Cambria" w:hAnsi="Cambria"/>
        </w:rPr>
        <w:t>‘deny that there are trade-offs and that there are some values which many not be served by their favoured alternative’</w:t>
      </w:r>
      <w:r w:rsidR="00E178F9">
        <w:rPr>
          <w:rStyle w:val="FootnoteReference"/>
          <w:rFonts w:ascii="Cambria" w:hAnsi="Cambria"/>
        </w:rPr>
        <w:footnoteReference w:id="51"/>
      </w:r>
      <w:r w:rsidR="003F1F50">
        <w:rPr>
          <w:rFonts w:ascii="Cambria" w:hAnsi="Cambria"/>
        </w:rPr>
        <w:t xml:space="preserve"> – in other words, the natural desire to find a solution that pleases everyone. </w:t>
      </w:r>
      <w:r w:rsidRPr="005C2F74">
        <w:rPr>
          <w:rFonts w:ascii="Cambria" w:hAnsi="Cambria"/>
        </w:rPr>
        <w:t xml:space="preserve">To exploit this, </w:t>
      </w:r>
      <w:r w:rsidR="0002252B">
        <w:rPr>
          <w:rFonts w:ascii="Cambria" w:hAnsi="Cambria"/>
        </w:rPr>
        <w:t>MNCs</w:t>
      </w:r>
      <w:r w:rsidRPr="005C2F74">
        <w:rPr>
          <w:rFonts w:ascii="Cambria" w:hAnsi="Cambria"/>
        </w:rPr>
        <w:t xml:space="preserve"> </w:t>
      </w:r>
      <w:r w:rsidR="00554263">
        <w:rPr>
          <w:rFonts w:ascii="Cambria" w:hAnsi="Cambria"/>
        </w:rPr>
        <w:t xml:space="preserve">focus on highlighting </w:t>
      </w:r>
      <w:r w:rsidRPr="005C2F74">
        <w:rPr>
          <w:rFonts w:ascii="Cambria" w:hAnsi="Cambria"/>
        </w:rPr>
        <w:t xml:space="preserve">neo-classical economic </w:t>
      </w:r>
      <w:r w:rsidR="00554263">
        <w:rPr>
          <w:rFonts w:ascii="Cambria" w:hAnsi="Cambria"/>
        </w:rPr>
        <w:t>view</w:t>
      </w:r>
      <w:r w:rsidR="00843786">
        <w:rPr>
          <w:rFonts w:ascii="Cambria" w:hAnsi="Cambria"/>
        </w:rPr>
        <w:t>s</w:t>
      </w:r>
      <w:r w:rsidR="00554263">
        <w:rPr>
          <w:rFonts w:ascii="Cambria" w:hAnsi="Cambria"/>
        </w:rPr>
        <w:t xml:space="preserve"> of </w:t>
      </w:r>
      <w:r w:rsidR="00843786">
        <w:rPr>
          <w:rFonts w:ascii="Cambria" w:hAnsi="Cambria"/>
        </w:rPr>
        <w:t xml:space="preserve">information provision that suggest that </w:t>
      </w:r>
      <w:r w:rsidRPr="005C2F74">
        <w:rPr>
          <w:rFonts w:ascii="Cambria" w:hAnsi="Cambria"/>
        </w:rPr>
        <w:t>that</w:t>
      </w:r>
      <w:r w:rsidR="00843786">
        <w:rPr>
          <w:rFonts w:ascii="Cambria" w:hAnsi="Cambria"/>
        </w:rPr>
        <w:t xml:space="preserve"> mere provision of information</w:t>
      </w:r>
      <w:r w:rsidRPr="005C2F74">
        <w:rPr>
          <w:rFonts w:ascii="Cambria" w:hAnsi="Cambria"/>
        </w:rPr>
        <w:t xml:space="preserve"> allows consumers to protect themselves and preserve their preferences, while allowing traders to innovate and drive economic growth.</w:t>
      </w:r>
      <w:r w:rsidRPr="005C2F74">
        <w:rPr>
          <w:rStyle w:val="FootnoteReference"/>
          <w:rFonts w:ascii="Cambria" w:hAnsi="Cambria"/>
        </w:rPr>
        <w:footnoteReference w:id="52"/>
      </w:r>
      <w:r w:rsidRPr="005C2F74">
        <w:rPr>
          <w:rFonts w:ascii="Cambria" w:hAnsi="Cambria"/>
        </w:rPr>
        <w:t xml:space="preserve"> This cements the link between information provision as a guiding idea and information p</w:t>
      </w:r>
      <w:r w:rsidR="0073542B">
        <w:rPr>
          <w:rFonts w:ascii="Cambria" w:hAnsi="Cambria"/>
        </w:rPr>
        <w:t xml:space="preserve">rovision as a serious strategy, and overpowers </w:t>
      </w:r>
      <w:r w:rsidRPr="005C2F74">
        <w:rPr>
          <w:rFonts w:ascii="Cambria" w:hAnsi="Cambria"/>
        </w:rPr>
        <w:t xml:space="preserve">the </w:t>
      </w:r>
      <w:r w:rsidR="00C0276B">
        <w:rPr>
          <w:rFonts w:ascii="Cambria" w:hAnsi="Cambria"/>
        </w:rPr>
        <w:t xml:space="preserve">conclusions of more </w:t>
      </w:r>
      <w:r w:rsidRPr="005C2F74">
        <w:rPr>
          <w:rFonts w:ascii="Cambria" w:hAnsi="Cambria"/>
        </w:rPr>
        <w:t xml:space="preserve">modern </w:t>
      </w:r>
      <w:r w:rsidR="003F1F50">
        <w:rPr>
          <w:rFonts w:ascii="Cambria" w:hAnsi="Cambria"/>
        </w:rPr>
        <w:t>studies</w:t>
      </w:r>
      <w:r w:rsidR="00C0276B">
        <w:rPr>
          <w:rFonts w:ascii="Cambria" w:hAnsi="Cambria"/>
        </w:rPr>
        <w:t xml:space="preserve"> which demonstrate the ineffectiveness of </w:t>
      </w:r>
      <w:bookmarkStart w:id="0" w:name="_GoBack"/>
      <w:r w:rsidR="00C0276B">
        <w:rPr>
          <w:rFonts w:ascii="Cambria" w:hAnsi="Cambria"/>
        </w:rPr>
        <w:t>information</w:t>
      </w:r>
      <w:bookmarkEnd w:id="0"/>
      <w:r w:rsidR="00C0276B">
        <w:rPr>
          <w:rFonts w:ascii="Cambria" w:hAnsi="Cambria"/>
        </w:rPr>
        <w:t xml:space="preserve"> provision in NCD prevention</w:t>
      </w:r>
      <w:r w:rsidRPr="005C2F74">
        <w:rPr>
          <w:rFonts w:ascii="Cambria" w:hAnsi="Cambria"/>
        </w:rPr>
        <w:t>.</w:t>
      </w:r>
      <w:r w:rsidRPr="005C2F74">
        <w:rPr>
          <w:rStyle w:val="FootnoteReference"/>
          <w:rFonts w:ascii="Cambria" w:hAnsi="Cambria"/>
        </w:rPr>
        <w:footnoteReference w:id="53"/>
      </w:r>
    </w:p>
    <w:p w14:paraId="407154CD" w14:textId="19959278" w:rsidR="004267C9" w:rsidRPr="005C2F74" w:rsidRDefault="0002252B" w:rsidP="004267C9">
      <w:pPr>
        <w:autoSpaceDE w:val="0"/>
        <w:autoSpaceDN w:val="0"/>
        <w:adjustRightInd w:val="0"/>
        <w:spacing w:after="200" w:line="276" w:lineRule="auto"/>
        <w:rPr>
          <w:rFonts w:ascii="Cambria" w:hAnsi="Cambria"/>
        </w:rPr>
      </w:pPr>
      <w:r>
        <w:rPr>
          <w:rFonts w:ascii="Cambria" w:hAnsi="Cambria"/>
        </w:rPr>
        <w:t>MNCs</w:t>
      </w:r>
      <w:r w:rsidR="00F22ECD">
        <w:rPr>
          <w:rFonts w:ascii="Cambria" w:hAnsi="Cambria"/>
        </w:rPr>
        <w:t xml:space="preserve"> may</w:t>
      </w:r>
      <w:r w:rsidR="00135FEA">
        <w:rPr>
          <w:rFonts w:ascii="Cambria" w:hAnsi="Cambria"/>
        </w:rPr>
        <w:t xml:space="preserve"> wish to promote </w:t>
      </w:r>
      <w:r w:rsidR="008C430D">
        <w:rPr>
          <w:rFonts w:ascii="Cambria" w:hAnsi="Cambria"/>
        </w:rPr>
        <w:t>the idea that consumer autonomy should be preserved, in order to steer</w:t>
      </w:r>
      <w:r w:rsidR="004267C9" w:rsidRPr="005C2F74">
        <w:rPr>
          <w:rFonts w:ascii="Cambria" w:hAnsi="Cambria"/>
        </w:rPr>
        <w:t xml:space="preserve"> </w:t>
      </w:r>
      <w:r w:rsidR="003F1F50">
        <w:rPr>
          <w:rFonts w:ascii="Cambria" w:hAnsi="Cambria"/>
        </w:rPr>
        <w:t>policymaking debates</w:t>
      </w:r>
      <w:r w:rsidR="004267C9" w:rsidRPr="005C2F74">
        <w:rPr>
          <w:rFonts w:ascii="Cambria" w:hAnsi="Cambria"/>
        </w:rPr>
        <w:t xml:space="preserve"> towards </w:t>
      </w:r>
      <w:r w:rsidR="008C430D">
        <w:rPr>
          <w:rFonts w:ascii="Cambria" w:hAnsi="Cambria"/>
        </w:rPr>
        <w:t xml:space="preserve">autonomy preserving </w:t>
      </w:r>
      <w:r w:rsidR="004267C9" w:rsidRPr="005C2F74">
        <w:rPr>
          <w:rFonts w:ascii="Cambria" w:hAnsi="Cambria"/>
        </w:rPr>
        <w:t>interventions</w:t>
      </w:r>
      <w:r w:rsidR="00F22ECD">
        <w:rPr>
          <w:rFonts w:ascii="Cambria" w:hAnsi="Cambria"/>
        </w:rPr>
        <w:t xml:space="preserve"> such as information provision. To do this,</w:t>
      </w:r>
      <w:r w:rsidR="004267C9" w:rsidRPr="005C2F74">
        <w:rPr>
          <w:rFonts w:ascii="Cambria" w:hAnsi="Cambria"/>
        </w:rPr>
        <w:t xml:space="preserve"> they will remind government policy makers of the fact that voters are ‘swayed by rhetoric, framing, and advertising, and hold incumbents accountable for events that are clearly beyond the incumbent’s contr</w:t>
      </w:r>
      <w:r w:rsidR="00FF28CD">
        <w:rPr>
          <w:rFonts w:ascii="Cambria" w:hAnsi="Cambria"/>
        </w:rPr>
        <w:t>ol,’</w:t>
      </w:r>
      <w:r w:rsidR="004267C9" w:rsidRPr="005C2F74">
        <w:rPr>
          <w:rStyle w:val="FootnoteReference"/>
          <w:rFonts w:ascii="Cambria" w:hAnsi="Cambria"/>
        </w:rPr>
        <w:footnoteReference w:id="54"/>
      </w:r>
      <w:r w:rsidR="004267C9" w:rsidRPr="005C2F74">
        <w:rPr>
          <w:rFonts w:ascii="Cambria" w:hAnsi="Cambria"/>
        </w:rPr>
        <w:t xml:space="preserve"> and therefore if a government is seen to be implementing policies that restrict individual autonomy, this will be perceived unfavourably by voters. </w:t>
      </w:r>
      <w:r w:rsidR="00D46C5E">
        <w:rPr>
          <w:rFonts w:ascii="Cambria" w:hAnsi="Cambria"/>
        </w:rPr>
        <w:t>A key factor in any policy decision is that</w:t>
      </w:r>
      <w:r w:rsidR="003F1F50">
        <w:rPr>
          <w:rFonts w:ascii="Cambria" w:hAnsi="Cambria"/>
        </w:rPr>
        <w:t>, rather than the public good, much of the time</w:t>
      </w:r>
      <w:r w:rsidR="00D46C5E">
        <w:rPr>
          <w:rFonts w:ascii="Cambria" w:hAnsi="Cambria"/>
        </w:rPr>
        <w:t xml:space="preserve"> ‘politicians are motivated by their concern for re-election, office and power’</w:t>
      </w:r>
      <w:r w:rsidR="00D46C5E">
        <w:rPr>
          <w:rStyle w:val="FootnoteReference"/>
          <w:rFonts w:ascii="Cambria" w:hAnsi="Cambria"/>
        </w:rPr>
        <w:footnoteReference w:id="55"/>
      </w:r>
      <w:r w:rsidR="00D46C5E">
        <w:rPr>
          <w:rFonts w:ascii="Cambria" w:hAnsi="Cambria"/>
        </w:rPr>
        <w:t xml:space="preserve"> and therefore ‘politicians who face frequent re-election often pursue short term outcomes’</w:t>
      </w:r>
      <w:r w:rsidR="00D46C5E">
        <w:rPr>
          <w:rStyle w:val="FootnoteReference"/>
          <w:rFonts w:ascii="Cambria" w:hAnsi="Cambria"/>
        </w:rPr>
        <w:footnoteReference w:id="56"/>
      </w:r>
      <w:r w:rsidR="00D46C5E">
        <w:rPr>
          <w:rFonts w:ascii="Cambria" w:hAnsi="Cambria"/>
        </w:rPr>
        <w:t xml:space="preserve"> </w:t>
      </w:r>
      <w:r w:rsidR="004267C9" w:rsidRPr="005C2F74">
        <w:rPr>
          <w:rFonts w:ascii="Cambria" w:hAnsi="Cambria"/>
        </w:rPr>
        <w:t xml:space="preserve">that are </w:t>
      </w:r>
      <w:r w:rsidR="00D46C5E">
        <w:rPr>
          <w:rFonts w:ascii="Cambria" w:hAnsi="Cambria"/>
        </w:rPr>
        <w:t xml:space="preserve">likely to be popular and </w:t>
      </w:r>
      <w:r w:rsidR="004267C9" w:rsidRPr="005C2F74">
        <w:rPr>
          <w:rFonts w:ascii="Cambria" w:hAnsi="Cambria"/>
        </w:rPr>
        <w:t>return them to office. T</w:t>
      </w:r>
      <w:r w:rsidR="003F1F50">
        <w:rPr>
          <w:rFonts w:ascii="Cambria" w:hAnsi="Cambria"/>
        </w:rPr>
        <w:t xml:space="preserve">hus, </w:t>
      </w:r>
      <w:r>
        <w:rPr>
          <w:rFonts w:ascii="Cambria" w:hAnsi="Cambria"/>
        </w:rPr>
        <w:t>MNCs</w:t>
      </w:r>
      <w:r w:rsidR="00137004">
        <w:rPr>
          <w:rFonts w:ascii="Cambria" w:hAnsi="Cambria"/>
        </w:rPr>
        <w:t xml:space="preserve"> </w:t>
      </w:r>
      <w:r w:rsidR="00F22ECD">
        <w:rPr>
          <w:rFonts w:ascii="Cambria" w:hAnsi="Cambria"/>
        </w:rPr>
        <w:t xml:space="preserve">might </w:t>
      </w:r>
      <w:r w:rsidR="00B40B7C">
        <w:rPr>
          <w:rFonts w:ascii="Cambria" w:hAnsi="Cambria"/>
        </w:rPr>
        <w:t>highlight</w:t>
      </w:r>
      <w:r w:rsidR="00137004">
        <w:rPr>
          <w:rFonts w:ascii="Cambria" w:hAnsi="Cambria"/>
        </w:rPr>
        <w:t xml:space="preserve"> statistics that </w:t>
      </w:r>
      <w:r w:rsidR="00B40B7C">
        <w:rPr>
          <w:rFonts w:ascii="Cambria" w:hAnsi="Cambria"/>
        </w:rPr>
        <w:t>reinforce</w:t>
      </w:r>
      <w:r w:rsidR="004267C9" w:rsidRPr="005C2F74">
        <w:rPr>
          <w:rFonts w:ascii="Cambria" w:hAnsi="Cambria"/>
        </w:rPr>
        <w:t xml:space="preserve"> </w:t>
      </w:r>
      <w:r w:rsidR="008F6900">
        <w:rPr>
          <w:rFonts w:ascii="Cambria" w:hAnsi="Cambria"/>
        </w:rPr>
        <w:t xml:space="preserve">public approval </w:t>
      </w:r>
      <w:r w:rsidR="00137004">
        <w:rPr>
          <w:rFonts w:ascii="Cambria" w:hAnsi="Cambria"/>
        </w:rPr>
        <w:t xml:space="preserve">of autonomy-preserving </w:t>
      </w:r>
      <w:r w:rsidR="004267C9" w:rsidRPr="005C2F74">
        <w:rPr>
          <w:rFonts w:ascii="Cambria" w:hAnsi="Cambria"/>
        </w:rPr>
        <w:t>interventions</w:t>
      </w:r>
      <w:r w:rsidR="00137004">
        <w:rPr>
          <w:rFonts w:ascii="Cambria" w:hAnsi="Cambria"/>
        </w:rPr>
        <w:t xml:space="preserve"> and focus attention on philosophical discourses of </w:t>
      </w:r>
      <w:r w:rsidR="00B40B7C">
        <w:rPr>
          <w:rFonts w:ascii="Cambria" w:hAnsi="Cambria"/>
        </w:rPr>
        <w:t>autonomy.</w:t>
      </w:r>
      <w:r w:rsidR="00137004">
        <w:rPr>
          <w:rStyle w:val="FootnoteReference"/>
          <w:rFonts w:ascii="Cambria" w:hAnsi="Cambria"/>
        </w:rPr>
        <w:footnoteReference w:id="57"/>
      </w:r>
      <w:r w:rsidR="004267C9" w:rsidRPr="005C2F74">
        <w:rPr>
          <w:rFonts w:ascii="Cambria" w:hAnsi="Cambria"/>
        </w:rPr>
        <w:t xml:space="preserve"> </w:t>
      </w:r>
      <w:r w:rsidR="003F1F50">
        <w:rPr>
          <w:rFonts w:ascii="Cambria" w:hAnsi="Cambria"/>
        </w:rPr>
        <w:t xml:space="preserve">Policy makers will accept this evidence far more easily than </w:t>
      </w:r>
      <w:r w:rsidR="00B40B7C">
        <w:rPr>
          <w:rFonts w:ascii="Cambria" w:hAnsi="Cambria"/>
        </w:rPr>
        <w:t>statistics that show support for</w:t>
      </w:r>
      <w:r w:rsidR="003F1F50">
        <w:rPr>
          <w:rFonts w:ascii="Cambria" w:hAnsi="Cambria"/>
        </w:rPr>
        <w:t xml:space="preserve"> potentially unpopular interventions such as restrictive marketing regulations, even if such evidence is genuine</w:t>
      </w:r>
      <w:r w:rsidR="004267C9" w:rsidRPr="005C2F74">
        <w:rPr>
          <w:rFonts w:ascii="Cambria" w:hAnsi="Cambria"/>
        </w:rPr>
        <w:t>.</w:t>
      </w:r>
      <w:r w:rsidR="004267C9" w:rsidRPr="005C2F74">
        <w:rPr>
          <w:rStyle w:val="FootnoteReference"/>
          <w:rFonts w:ascii="Cambria" w:hAnsi="Cambria"/>
        </w:rPr>
        <w:footnoteReference w:id="58"/>
      </w:r>
      <w:r w:rsidR="004267C9" w:rsidRPr="005C2F74">
        <w:rPr>
          <w:rFonts w:ascii="Cambria" w:hAnsi="Cambria"/>
        </w:rPr>
        <w:t xml:space="preserve"> </w:t>
      </w:r>
    </w:p>
    <w:p w14:paraId="56CF1676" w14:textId="25A60444" w:rsidR="004267C9" w:rsidRDefault="00433AE0" w:rsidP="004267C9">
      <w:pPr>
        <w:autoSpaceDE w:val="0"/>
        <w:autoSpaceDN w:val="0"/>
        <w:adjustRightInd w:val="0"/>
        <w:spacing w:after="200" w:line="276" w:lineRule="auto"/>
        <w:rPr>
          <w:rFonts w:ascii="Cambria" w:hAnsi="Cambria"/>
        </w:rPr>
      </w:pPr>
      <w:r>
        <w:rPr>
          <w:rFonts w:ascii="Cambria" w:hAnsi="Cambria"/>
        </w:rPr>
        <w:t xml:space="preserve">Finally, </w:t>
      </w:r>
      <w:r w:rsidR="006358DB">
        <w:rPr>
          <w:rFonts w:ascii="Cambria" w:hAnsi="Cambria"/>
        </w:rPr>
        <w:t xml:space="preserve">MNCs may wish to promote the idea </w:t>
      </w:r>
      <w:r w:rsidR="00F06496">
        <w:rPr>
          <w:rFonts w:ascii="Cambria" w:hAnsi="Cambria"/>
        </w:rPr>
        <w:t xml:space="preserve">that personal </w:t>
      </w:r>
      <w:r>
        <w:rPr>
          <w:rFonts w:ascii="Cambria" w:hAnsi="Cambria"/>
        </w:rPr>
        <w:t>responsibility</w:t>
      </w:r>
      <w:r w:rsidR="006358DB">
        <w:rPr>
          <w:rFonts w:ascii="Cambria" w:hAnsi="Cambria"/>
        </w:rPr>
        <w:t xml:space="preserve"> is at the heart of why people develop NCDs, </w:t>
      </w:r>
      <w:r w:rsidR="00F06496">
        <w:rPr>
          <w:rFonts w:ascii="Cambria" w:hAnsi="Cambria"/>
        </w:rPr>
        <w:t>and that interventions</w:t>
      </w:r>
      <w:r w:rsidR="00AE0AD9">
        <w:rPr>
          <w:rFonts w:ascii="Cambria" w:hAnsi="Cambria"/>
        </w:rPr>
        <w:t xml:space="preserve"> should be targeted accordingly. To </w:t>
      </w:r>
      <w:r w:rsidR="00AE0AD9">
        <w:rPr>
          <w:rFonts w:ascii="Cambria" w:hAnsi="Cambria"/>
        </w:rPr>
        <w:lastRenderedPageBreak/>
        <w:t>do do,</w:t>
      </w:r>
      <w:r w:rsidR="00F06496">
        <w:rPr>
          <w:rFonts w:ascii="Cambria" w:hAnsi="Cambria"/>
        </w:rPr>
        <w:t xml:space="preserve"> MNCs will play on the fact that policymakers ‘</w:t>
      </w:r>
      <w:r w:rsidR="003048C4">
        <w:rPr>
          <w:rFonts w:ascii="Cambria" w:hAnsi="Cambria"/>
        </w:rPr>
        <w:t>often</w:t>
      </w:r>
      <w:r w:rsidR="00F06496">
        <w:rPr>
          <w:rFonts w:ascii="Cambria" w:hAnsi="Cambria"/>
        </w:rPr>
        <w:t xml:space="preserve"> do not really know what the problem is, what to aim for,</w:t>
      </w:r>
      <w:r w:rsidR="003048C4">
        <w:rPr>
          <w:rFonts w:ascii="Cambria" w:hAnsi="Cambria"/>
        </w:rPr>
        <w:t xml:space="preserve"> [or]</w:t>
      </w:r>
      <w:r w:rsidR="00F06496">
        <w:rPr>
          <w:rFonts w:ascii="Cambria" w:hAnsi="Cambria"/>
        </w:rPr>
        <w:t xml:space="preserve"> how to achieve it, even less what the best way is to achieve it’,</w:t>
      </w:r>
      <w:r w:rsidR="00A40F6B">
        <w:rPr>
          <w:rStyle w:val="FootnoteReference"/>
          <w:rFonts w:ascii="Cambria" w:hAnsi="Cambria"/>
        </w:rPr>
        <w:footnoteReference w:id="59"/>
      </w:r>
      <w:r w:rsidR="00F06496">
        <w:rPr>
          <w:rFonts w:ascii="Cambria" w:hAnsi="Cambria"/>
        </w:rPr>
        <w:t xml:space="preserve"> and </w:t>
      </w:r>
      <w:r w:rsidR="003048C4">
        <w:rPr>
          <w:rFonts w:ascii="Cambria" w:hAnsi="Cambria"/>
        </w:rPr>
        <w:t>therefore their ‘judgement of a situation is af</w:t>
      </w:r>
      <w:r w:rsidR="00FF28CD">
        <w:rPr>
          <w:rFonts w:ascii="Cambria" w:hAnsi="Cambria"/>
        </w:rPr>
        <w:t>fected by the way it is framed.’</w:t>
      </w:r>
      <w:r w:rsidR="003048C4">
        <w:rPr>
          <w:rStyle w:val="FootnoteReference"/>
          <w:rFonts w:ascii="Cambria" w:hAnsi="Cambria"/>
        </w:rPr>
        <w:footnoteReference w:id="60"/>
      </w:r>
      <w:r w:rsidR="003048C4">
        <w:rPr>
          <w:rFonts w:ascii="Cambria" w:hAnsi="Cambria"/>
        </w:rPr>
        <w:t xml:space="preserve"> MNCs therefore put an immense amount of effort into framing </w:t>
      </w:r>
      <w:r w:rsidR="00A2783F">
        <w:rPr>
          <w:rFonts w:ascii="Cambria" w:hAnsi="Cambria"/>
        </w:rPr>
        <w:t>NCD prevention</w:t>
      </w:r>
      <w:r w:rsidR="003048C4">
        <w:rPr>
          <w:rFonts w:ascii="Cambria" w:hAnsi="Cambria"/>
        </w:rPr>
        <w:t xml:space="preserve"> in terms of personal responsibility, making sure that ‘those afflicted by chronic disease are generally represented as the agents of their own misfortune, typically because they have freely chosen particu</w:t>
      </w:r>
      <w:r w:rsidR="00FF28CD">
        <w:rPr>
          <w:rFonts w:ascii="Cambria" w:hAnsi="Cambria"/>
        </w:rPr>
        <w:t>lar health-damaging behaviours.’</w:t>
      </w:r>
      <w:r w:rsidR="003048C4">
        <w:rPr>
          <w:rStyle w:val="FootnoteReference"/>
          <w:rFonts w:ascii="Cambria" w:hAnsi="Cambria"/>
        </w:rPr>
        <w:footnoteReference w:id="61"/>
      </w:r>
      <w:r w:rsidR="007C7BEE">
        <w:rPr>
          <w:rFonts w:ascii="Cambria" w:hAnsi="Cambria"/>
        </w:rPr>
        <w:t xml:space="preserve"> </w:t>
      </w:r>
      <w:r w:rsidR="003048C4">
        <w:rPr>
          <w:rFonts w:ascii="Cambria" w:hAnsi="Cambria"/>
        </w:rPr>
        <w:t>This representation of the ‘problem’ has been easier for policymakers to understand</w:t>
      </w:r>
      <w:r w:rsidR="007C7BEE">
        <w:rPr>
          <w:rFonts w:ascii="Cambria" w:hAnsi="Cambria"/>
        </w:rPr>
        <w:t xml:space="preserve"> and </w:t>
      </w:r>
      <w:r w:rsidR="002C0EA8">
        <w:rPr>
          <w:rFonts w:ascii="Cambria" w:hAnsi="Cambria"/>
        </w:rPr>
        <w:t xml:space="preserve">focus their attention on </w:t>
      </w:r>
      <w:r w:rsidR="003048C4">
        <w:rPr>
          <w:rFonts w:ascii="Cambria" w:hAnsi="Cambria"/>
        </w:rPr>
        <w:t xml:space="preserve">than </w:t>
      </w:r>
      <w:r w:rsidR="007C7BEE">
        <w:rPr>
          <w:rFonts w:ascii="Cambria" w:hAnsi="Cambria"/>
        </w:rPr>
        <w:t>evidence</w:t>
      </w:r>
      <w:r w:rsidR="003048C4">
        <w:rPr>
          <w:rFonts w:ascii="Cambria" w:hAnsi="Cambria"/>
        </w:rPr>
        <w:t xml:space="preserve"> reveal</w:t>
      </w:r>
      <w:r w:rsidR="007C7BEE">
        <w:rPr>
          <w:rFonts w:ascii="Cambria" w:hAnsi="Cambria"/>
        </w:rPr>
        <w:t>ing</w:t>
      </w:r>
      <w:r w:rsidR="003048C4">
        <w:rPr>
          <w:rFonts w:ascii="Cambria" w:hAnsi="Cambria"/>
        </w:rPr>
        <w:t xml:space="preserve"> that the </w:t>
      </w:r>
      <w:r w:rsidR="007C7BEE">
        <w:rPr>
          <w:rFonts w:ascii="Cambria" w:hAnsi="Cambria"/>
        </w:rPr>
        <w:t>real</w:t>
      </w:r>
      <w:r w:rsidR="003048C4">
        <w:rPr>
          <w:rFonts w:ascii="Cambria" w:hAnsi="Cambria"/>
        </w:rPr>
        <w:t xml:space="preserve"> problem is </w:t>
      </w:r>
      <w:r w:rsidR="00F57B3F">
        <w:rPr>
          <w:rFonts w:ascii="Cambria" w:hAnsi="Cambria"/>
        </w:rPr>
        <w:t xml:space="preserve">a complex web of factors the sum of which is </w:t>
      </w:r>
      <w:r w:rsidR="007C7BEE">
        <w:rPr>
          <w:rFonts w:ascii="Cambria" w:hAnsi="Cambria"/>
        </w:rPr>
        <w:t xml:space="preserve">an environment </w:t>
      </w:r>
      <w:r w:rsidR="00F57B3F">
        <w:rPr>
          <w:rFonts w:ascii="Cambria" w:hAnsi="Cambria"/>
        </w:rPr>
        <w:t>that</w:t>
      </w:r>
      <w:r w:rsidR="007C7BEE">
        <w:rPr>
          <w:rFonts w:ascii="Cambria" w:hAnsi="Cambria"/>
        </w:rPr>
        <w:t xml:space="preserve"> facilitates and encourages the excessive use of </w:t>
      </w:r>
      <w:r w:rsidR="00494A81">
        <w:rPr>
          <w:rFonts w:ascii="Cambria" w:hAnsi="Cambria"/>
        </w:rPr>
        <w:t xml:space="preserve">products linked to NCD causation. </w:t>
      </w:r>
    </w:p>
    <w:p w14:paraId="63CE161C" w14:textId="33440307" w:rsidR="004267C9" w:rsidRDefault="004F02A9" w:rsidP="004267C9">
      <w:pPr>
        <w:autoSpaceDE w:val="0"/>
        <w:autoSpaceDN w:val="0"/>
        <w:adjustRightInd w:val="0"/>
        <w:spacing w:after="200" w:line="276" w:lineRule="auto"/>
        <w:rPr>
          <w:rFonts w:ascii="Cambria" w:hAnsi="Cambria"/>
        </w:rPr>
      </w:pPr>
      <w:r>
        <w:rPr>
          <w:rFonts w:ascii="Cambria" w:hAnsi="Cambria"/>
        </w:rPr>
        <w:t>To summarise the above</w:t>
      </w:r>
      <w:r w:rsidR="00454C56">
        <w:rPr>
          <w:rFonts w:ascii="Cambria" w:hAnsi="Cambria"/>
        </w:rPr>
        <w:t xml:space="preserve"> discussion</w:t>
      </w:r>
      <w:r>
        <w:rPr>
          <w:rFonts w:ascii="Cambria" w:hAnsi="Cambria"/>
        </w:rPr>
        <w:t>,</w:t>
      </w:r>
      <w:r w:rsidR="00454C56">
        <w:rPr>
          <w:rFonts w:ascii="Cambria" w:hAnsi="Cambria"/>
        </w:rPr>
        <w:t xml:space="preserve"> MNCs need policymakers to accept and rely on ideas that support </w:t>
      </w:r>
      <w:r w:rsidR="00A4519C">
        <w:rPr>
          <w:rFonts w:ascii="Cambria" w:hAnsi="Cambria"/>
        </w:rPr>
        <w:t>their preferred policy outcomes</w:t>
      </w:r>
      <w:r w:rsidR="00454C56">
        <w:rPr>
          <w:rFonts w:ascii="Cambria" w:hAnsi="Cambria"/>
        </w:rPr>
        <w:t xml:space="preserve">. To make this happen, </w:t>
      </w:r>
      <w:r w:rsidR="00CD2196">
        <w:rPr>
          <w:rFonts w:ascii="Cambria" w:hAnsi="Cambria"/>
        </w:rPr>
        <w:t xml:space="preserve">MNCs have </w:t>
      </w:r>
      <w:r>
        <w:rPr>
          <w:rFonts w:ascii="Cambria" w:hAnsi="Cambria"/>
        </w:rPr>
        <w:t>manipulated evidence</w:t>
      </w:r>
      <w:r w:rsidR="00CD2196">
        <w:rPr>
          <w:rFonts w:ascii="Cambria" w:hAnsi="Cambria"/>
        </w:rPr>
        <w:t xml:space="preserve"> and human nature</w:t>
      </w:r>
      <w:r>
        <w:rPr>
          <w:rFonts w:ascii="Cambria" w:hAnsi="Cambria"/>
        </w:rPr>
        <w:t xml:space="preserve"> using the power</w:t>
      </w:r>
      <w:r w:rsidR="00A94219">
        <w:rPr>
          <w:rFonts w:ascii="Cambria" w:hAnsi="Cambria"/>
        </w:rPr>
        <w:t>ful position</w:t>
      </w:r>
      <w:r>
        <w:rPr>
          <w:rFonts w:ascii="Cambria" w:hAnsi="Cambria"/>
        </w:rPr>
        <w:t xml:space="preserve"> they have acquired in order to successfully promote the </w:t>
      </w:r>
      <w:r w:rsidR="00A94219">
        <w:rPr>
          <w:rFonts w:ascii="Cambria" w:hAnsi="Cambria"/>
        </w:rPr>
        <w:t>proliferation</w:t>
      </w:r>
      <w:r>
        <w:rPr>
          <w:rFonts w:ascii="Cambria" w:hAnsi="Cambria"/>
        </w:rPr>
        <w:t xml:space="preserve"> of ideas </w:t>
      </w:r>
      <w:r w:rsidR="00454C56">
        <w:rPr>
          <w:rFonts w:ascii="Cambria" w:hAnsi="Cambria"/>
        </w:rPr>
        <w:t xml:space="preserve">that lead to the adoption of their preferred outcomes. </w:t>
      </w:r>
      <w:r w:rsidR="004267C9" w:rsidRPr="005C2F74">
        <w:rPr>
          <w:rFonts w:ascii="Cambria" w:hAnsi="Cambria"/>
        </w:rPr>
        <w:t>The result is that</w:t>
      </w:r>
      <w:r w:rsidR="005C2F74">
        <w:rPr>
          <w:rFonts w:ascii="Cambria" w:hAnsi="Cambria"/>
        </w:rPr>
        <w:t xml:space="preserve"> ideas relating to information provision, consumer autonomy</w:t>
      </w:r>
      <w:r w:rsidR="005607E3">
        <w:rPr>
          <w:rFonts w:ascii="Cambria" w:hAnsi="Cambria"/>
        </w:rPr>
        <w:t xml:space="preserve"> and personal responsibility currently hold </w:t>
      </w:r>
      <w:r w:rsidR="00A43BBB">
        <w:rPr>
          <w:rFonts w:ascii="Cambria" w:hAnsi="Cambria"/>
        </w:rPr>
        <w:t>significant</w:t>
      </w:r>
      <w:r w:rsidR="005607E3">
        <w:rPr>
          <w:rFonts w:ascii="Cambria" w:hAnsi="Cambria"/>
        </w:rPr>
        <w:t xml:space="preserve"> sway in the</w:t>
      </w:r>
      <w:r w:rsidR="00A43BBB">
        <w:rPr>
          <w:rFonts w:ascii="Cambria" w:hAnsi="Cambria"/>
        </w:rPr>
        <w:t xml:space="preserve"> NCD</w:t>
      </w:r>
      <w:r>
        <w:rPr>
          <w:rFonts w:ascii="Cambria" w:hAnsi="Cambria"/>
        </w:rPr>
        <w:t xml:space="preserve"> policymaking process. Clearly</w:t>
      </w:r>
      <w:r w:rsidR="00F06496">
        <w:rPr>
          <w:rFonts w:ascii="Cambria" w:hAnsi="Cambria"/>
        </w:rPr>
        <w:t xml:space="preserve"> ‘political power play an compromise-making are often more important than scientific evidence in determining the outcomes’</w:t>
      </w:r>
      <w:r w:rsidR="003048C4">
        <w:rPr>
          <w:rStyle w:val="FootnoteReference"/>
          <w:rFonts w:ascii="Cambria" w:hAnsi="Cambria"/>
        </w:rPr>
        <w:footnoteReference w:id="62"/>
      </w:r>
      <w:r w:rsidR="004267C9" w:rsidRPr="005C2F74">
        <w:rPr>
          <w:rFonts w:ascii="Cambria" w:hAnsi="Cambria"/>
        </w:rPr>
        <w:t xml:space="preserve"> </w:t>
      </w:r>
      <w:r w:rsidR="00F06496">
        <w:rPr>
          <w:rFonts w:ascii="Cambria" w:hAnsi="Cambria"/>
        </w:rPr>
        <w:t xml:space="preserve">– a game which MNCs are currently winning, and in so doing </w:t>
      </w:r>
      <w:r w:rsidR="00A43BBB">
        <w:rPr>
          <w:rFonts w:ascii="Cambria" w:hAnsi="Cambria"/>
        </w:rPr>
        <w:t>promoting the use of</w:t>
      </w:r>
      <w:r w:rsidR="004267C9" w:rsidRPr="005C2F74">
        <w:rPr>
          <w:rFonts w:ascii="Cambria" w:hAnsi="Cambria"/>
        </w:rPr>
        <w:t xml:space="preserve"> ineffective information provision and personal responsi</w:t>
      </w:r>
      <w:r w:rsidR="00A43BBB">
        <w:rPr>
          <w:rFonts w:ascii="Cambria" w:hAnsi="Cambria"/>
        </w:rPr>
        <w:t>bility interventions</w:t>
      </w:r>
      <w:r w:rsidR="004267C9" w:rsidRPr="005C2F74">
        <w:rPr>
          <w:rFonts w:ascii="Cambria" w:hAnsi="Cambria"/>
        </w:rPr>
        <w:t>.</w:t>
      </w:r>
      <w:r w:rsidR="00F06496">
        <w:rPr>
          <w:rFonts w:ascii="Cambria" w:hAnsi="Cambria"/>
        </w:rPr>
        <w:t xml:space="preserve"> If </w:t>
      </w:r>
      <w:r w:rsidR="00A2783F">
        <w:rPr>
          <w:rFonts w:ascii="Cambria" w:hAnsi="Cambria"/>
        </w:rPr>
        <w:t>more effective interventions on NCD prevention</w:t>
      </w:r>
      <w:r w:rsidR="00F06496">
        <w:rPr>
          <w:rFonts w:ascii="Cambria" w:hAnsi="Cambria"/>
        </w:rPr>
        <w:t xml:space="preserve"> are to </w:t>
      </w:r>
      <w:r w:rsidR="00A43BBB">
        <w:rPr>
          <w:rFonts w:ascii="Cambria" w:hAnsi="Cambria"/>
        </w:rPr>
        <w:t>be encouraged</w:t>
      </w:r>
      <w:r w:rsidR="00F06496">
        <w:rPr>
          <w:rFonts w:ascii="Cambria" w:hAnsi="Cambria"/>
        </w:rPr>
        <w:t xml:space="preserve">, this situation must change. </w:t>
      </w:r>
      <w:r w:rsidR="004267C9" w:rsidRPr="005C2F74">
        <w:rPr>
          <w:rFonts w:ascii="Cambria" w:hAnsi="Cambria"/>
        </w:rPr>
        <w:t xml:space="preserve">The next section will </w:t>
      </w:r>
      <w:r w:rsidR="00F06496">
        <w:rPr>
          <w:rFonts w:ascii="Cambria" w:hAnsi="Cambria"/>
        </w:rPr>
        <w:t xml:space="preserve">therefore </w:t>
      </w:r>
      <w:r w:rsidR="004267C9" w:rsidRPr="005C2F74">
        <w:rPr>
          <w:rFonts w:ascii="Cambria" w:hAnsi="Cambria"/>
        </w:rPr>
        <w:t xml:space="preserve">discuss </w:t>
      </w:r>
      <w:r w:rsidR="0080028A">
        <w:rPr>
          <w:rFonts w:ascii="Cambria" w:hAnsi="Cambria"/>
        </w:rPr>
        <w:t xml:space="preserve">how </w:t>
      </w:r>
      <w:r w:rsidR="00F06496">
        <w:rPr>
          <w:rFonts w:ascii="Cambria" w:hAnsi="Cambria"/>
        </w:rPr>
        <w:t xml:space="preserve">power might be wrested back from MNCs.  </w:t>
      </w:r>
    </w:p>
    <w:p w14:paraId="5C616749" w14:textId="77777777" w:rsidR="00F06496" w:rsidRPr="005C2F74" w:rsidRDefault="00F06496" w:rsidP="004267C9">
      <w:pPr>
        <w:autoSpaceDE w:val="0"/>
        <w:autoSpaceDN w:val="0"/>
        <w:adjustRightInd w:val="0"/>
        <w:spacing w:after="200" w:line="276" w:lineRule="auto"/>
        <w:rPr>
          <w:rFonts w:ascii="Cambria" w:hAnsi="Cambria"/>
        </w:rPr>
      </w:pPr>
    </w:p>
    <w:p w14:paraId="74331745" w14:textId="3ED584A0" w:rsidR="004267C9" w:rsidRPr="005C2F74" w:rsidRDefault="00FF28CD" w:rsidP="002E710B">
      <w:pPr>
        <w:autoSpaceDE w:val="0"/>
        <w:autoSpaceDN w:val="0"/>
        <w:adjustRightInd w:val="0"/>
        <w:spacing w:after="200" w:line="276" w:lineRule="auto"/>
        <w:ind w:left="720" w:hanging="720"/>
        <w:rPr>
          <w:rFonts w:ascii="Cambria" w:hAnsi="Cambria"/>
          <w:b/>
          <w:sz w:val="28"/>
        </w:rPr>
      </w:pPr>
      <w:r>
        <w:rPr>
          <w:rFonts w:ascii="Cambria" w:hAnsi="Cambria"/>
          <w:b/>
          <w:sz w:val="28"/>
        </w:rPr>
        <w:t>III</w:t>
      </w:r>
      <w:r w:rsidR="002E79EE">
        <w:rPr>
          <w:rFonts w:ascii="Cambria" w:hAnsi="Cambria"/>
          <w:b/>
          <w:sz w:val="28"/>
        </w:rPr>
        <w:tab/>
      </w:r>
      <w:r w:rsidR="004267C9" w:rsidRPr="005C2F74">
        <w:rPr>
          <w:rFonts w:ascii="Cambria" w:hAnsi="Cambria"/>
          <w:b/>
          <w:sz w:val="28"/>
        </w:rPr>
        <w:t>How can the balance of policy power be shifted to produce effective policy outputs?</w:t>
      </w:r>
    </w:p>
    <w:p w14:paraId="6710AFDE" w14:textId="0FF585FB" w:rsidR="004267C9" w:rsidRPr="007C7BEE" w:rsidRDefault="004267C9" w:rsidP="004267C9">
      <w:pPr>
        <w:autoSpaceDE w:val="0"/>
        <w:autoSpaceDN w:val="0"/>
        <w:adjustRightInd w:val="0"/>
        <w:spacing w:after="200" w:line="276" w:lineRule="auto"/>
        <w:rPr>
          <w:rFonts w:ascii="Cambria" w:hAnsi="Cambria"/>
        </w:rPr>
      </w:pPr>
      <w:r w:rsidRPr="007C7BEE">
        <w:rPr>
          <w:rFonts w:ascii="Cambria" w:hAnsi="Cambria"/>
        </w:rPr>
        <w:t xml:space="preserve">In the previous section I showed that, by applying the power that they have acquired through building perceptions of legitimacy, </w:t>
      </w:r>
      <w:r w:rsidR="0002252B" w:rsidRPr="007C7BEE">
        <w:rPr>
          <w:rFonts w:ascii="Cambria" w:hAnsi="Cambria"/>
        </w:rPr>
        <w:t>MNCs</w:t>
      </w:r>
      <w:r w:rsidRPr="007C7BEE">
        <w:rPr>
          <w:rFonts w:ascii="Cambria" w:hAnsi="Cambria"/>
        </w:rPr>
        <w:t xml:space="preserve"> have managed to manipulate the policy making process so that ideas centred around information provision, consumer autonomy and personal responsibility have dominated,</w:t>
      </w:r>
      <w:r w:rsidR="001F30A8">
        <w:rPr>
          <w:rFonts w:ascii="Cambria" w:hAnsi="Cambria"/>
        </w:rPr>
        <w:t xml:space="preserve"> leading to several instances of policy being made that is </w:t>
      </w:r>
      <w:r w:rsidR="007C7BEE">
        <w:rPr>
          <w:rFonts w:ascii="Cambria" w:hAnsi="Cambria"/>
        </w:rPr>
        <w:t xml:space="preserve">ineffective in addressing </w:t>
      </w:r>
      <w:r w:rsidR="00612957">
        <w:rPr>
          <w:rFonts w:ascii="Cambria" w:hAnsi="Cambria"/>
        </w:rPr>
        <w:t>NCD</w:t>
      </w:r>
      <w:r w:rsidR="007C7BEE">
        <w:rPr>
          <w:rFonts w:ascii="Cambria" w:hAnsi="Cambria"/>
        </w:rPr>
        <w:t xml:space="preserve"> issues. </w:t>
      </w:r>
      <w:r w:rsidRPr="007C7BEE">
        <w:rPr>
          <w:rFonts w:ascii="Cambria" w:hAnsi="Cambria"/>
        </w:rPr>
        <w:t xml:space="preserve"> </w:t>
      </w:r>
    </w:p>
    <w:p w14:paraId="0637D6F5" w14:textId="5CAC223C" w:rsidR="004267C9" w:rsidRPr="007C7BEE" w:rsidRDefault="004267C9" w:rsidP="004267C9">
      <w:pPr>
        <w:autoSpaceDE w:val="0"/>
        <w:autoSpaceDN w:val="0"/>
        <w:adjustRightInd w:val="0"/>
        <w:spacing w:after="200" w:line="276" w:lineRule="auto"/>
        <w:rPr>
          <w:rFonts w:ascii="Cambria" w:hAnsi="Cambria"/>
        </w:rPr>
      </w:pPr>
      <w:r w:rsidRPr="007C7BEE">
        <w:rPr>
          <w:rFonts w:ascii="Cambria" w:hAnsi="Cambria"/>
        </w:rPr>
        <w:t>In this section,</w:t>
      </w:r>
      <w:r w:rsidR="007C7BEE">
        <w:rPr>
          <w:rFonts w:ascii="Cambria" w:hAnsi="Cambria"/>
        </w:rPr>
        <w:t xml:space="preserve"> I</w:t>
      </w:r>
      <w:r w:rsidRPr="007C7BEE">
        <w:rPr>
          <w:rFonts w:ascii="Cambria" w:hAnsi="Cambria"/>
        </w:rPr>
        <w:t xml:space="preserve"> will argue that</w:t>
      </w:r>
      <w:r w:rsidR="001F30A8">
        <w:rPr>
          <w:rFonts w:ascii="Cambria" w:hAnsi="Cambria"/>
          <w:lang w:val="en-US"/>
        </w:rPr>
        <w:t xml:space="preserve"> in order to </w:t>
      </w:r>
      <w:r w:rsidR="00C720E2">
        <w:rPr>
          <w:rFonts w:ascii="Cambria" w:hAnsi="Cambria"/>
          <w:lang w:val="en-US"/>
        </w:rPr>
        <w:t>avoid making policy that only serves private interes</w:t>
      </w:r>
      <w:r w:rsidR="002F03B1">
        <w:rPr>
          <w:rFonts w:ascii="Cambria" w:hAnsi="Cambria"/>
          <w:lang w:val="en-US"/>
        </w:rPr>
        <w:t xml:space="preserve">ts, different ideas are needed, and that </w:t>
      </w:r>
      <w:r w:rsidRPr="007C7BEE">
        <w:rPr>
          <w:rFonts w:ascii="Cambria" w:hAnsi="Cambria"/>
        </w:rPr>
        <w:t xml:space="preserve">for this to happen the power acquired by </w:t>
      </w:r>
      <w:r w:rsidR="0002252B" w:rsidRPr="007C7BEE">
        <w:rPr>
          <w:rFonts w:ascii="Cambria" w:hAnsi="Cambria"/>
        </w:rPr>
        <w:t>MNCs</w:t>
      </w:r>
      <w:r w:rsidR="002F03B1">
        <w:rPr>
          <w:rFonts w:ascii="Cambria" w:hAnsi="Cambria"/>
        </w:rPr>
        <w:t xml:space="preserve"> must be weakened. This argument will be made </w:t>
      </w:r>
      <w:r w:rsidRPr="007C7BEE">
        <w:rPr>
          <w:rFonts w:ascii="Cambria" w:hAnsi="Cambria"/>
        </w:rPr>
        <w:t>in tw</w:t>
      </w:r>
      <w:r w:rsidR="007C7BEE">
        <w:rPr>
          <w:rFonts w:ascii="Cambria" w:hAnsi="Cambria"/>
        </w:rPr>
        <w:t>o parts – first</w:t>
      </w:r>
      <w:r w:rsidRPr="007C7BEE">
        <w:rPr>
          <w:rFonts w:ascii="Cambria" w:hAnsi="Cambria"/>
        </w:rPr>
        <w:t xml:space="preserve"> by identifying </w:t>
      </w:r>
      <w:r w:rsidR="007C7BEE">
        <w:rPr>
          <w:rFonts w:ascii="Cambria" w:hAnsi="Cambria"/>
        </w:rPr>
        <w:t>suitable ideas and the evidence that supports them, and second b</w:t>
      </w:r>
      <w:r w:rsidR="002E79EE">
        <w:rPr>
          <w:rFonts w:ascii="Cambria" w:hAnsi="Cambria"/>
        </w:rPr>
        <w:t>y discussing how MNC legitimacy-</w:t>
      </w:r>
      <w:r w:rsidR="007C7BEE">
        <w:rPr>
          <w:rFonts w:ascii="Cambria" w:hAnsi="Cambria"/>
        </w:rPr>
        <w:t xml:space="preserve">building practices might be countered. </w:t>
      </w:r>
      <w:r w:rsidRPr="007C7BEE">
        <w:rPr>
          <w:rFonts w:ascii="Cambria" w:hAnsi="Cambria"/>
        </w:rPr>
        <w:t xml:space="preserve"> </w:t>
      </w:r>
    </w:p>
    <w:p w14:paraId="273E196C" w14:textId="77777777" w:rsidR="004267C9" w:rsidRPr="005C2F74" w:rsidRDefault="004267C9" w:rsidP="004267C9">
      <w:pPr>
        <w:autoSpaceDE w:val="0"/>
        <w:autoSpaceDN w:val="0"/>
        <w:adjustRightInd w:val="0"/>
        <w:spacing w:after="200" w:line="276" w:lineRule="auto"/>
        <w:rPr>
          <w:rFonts w:ascii="Cambria" w:hAnsi="Cambria"/>
          <w:b/>
          <w:sz w:val="24"/>
        </w:rPr>
      </w:pPr>
    </w:p>
    <w:p w14:paraId="1462025A" w14:textId="247A91F8" w:rsidR="004267C9" w:rsidRPr="005C2F74" w:rsidRDefault="00FF28CD" w:rsidP="002E710B">
      <w:pPr>
        <w:autoSpaceDE w:val="0"/>
        <w:autoSpaceDN w:val="0"/>
        <w:adjustRightInd w:val="0"/>
        <w:spacing w:after="200" w:line="276" w:lineRule="auto"/>
        <w:ind w:left="720" w:hanging="720"/>
        <w:rPr>
          <w:rFonts w:ascii="Cambria" w:hAnsi="Cambria"/>
          <w:b/>
          <w:sz w:val="24"/>
        </w:rPr>
      </w:pPr>
      <w:r>
        <w:rPr>
          <w:rFonts w:ascii="Cambria" w:hAnsi="Cambria"/>
          <w:b/>
          <w:sz w:val="24"/>
        </w:rPr>
        <w:t>A</w:t>
      </w:r>
      <w:r w:rsidR="002E710B">
        <w:rPr>
          <w:rFonts w:ascii="Cambria" w:hAnsi="Cambria"/>
          <w:b/>
          <w:sz w:val="24"/>
        </w:rPr>
        <w:tab/>
      </w:r>
      <w:r w:rsidR="004267C9" w:rsidRPr="005C2F74">
        <w:rPr>
          <w:rFonts w:ascii="Cambria" w:hAnsi="Cambria"/>
          <w:b/>
          <w:sz w:val="24"/>
        </w:rPr>
        <w:t xml:space="preserve">Ideas </w:t>
      </w:r>
      <w:r w:rsidR="00CE6F1B">
        <w:rPr>
          <w:rFonts w:ascii="Cambria" w:hAnsi="Cambria"/>
          <w:b/>
          <w:sz w:val="24"/>
        </w:rPr>
        <w:t xml:space="preserve">that will lead to effective policy outcomes that must be promoted </w:t>
      </w:r>
    </w:p>
    <w:p w14:paraId="4CF3BEF2" w14:textId="6CCA986C" w:rsidR="004267C9" w:rsidRPr="0060705D" w:rsidRDefault="002E710B" w:rsidP="004267C9">
      <w:pPr>
        <w:autoSpaceDE w:val="0"/>
        <w:autoSpaceDN w:val="0"/>
        <w:adjustRightInd w:val="0"/>
        <w:spacing w:after="200" w:line="276" w:lineRule="auto"/>
        <w:rPr>
          <w:rFonts w:ascii="Cambria" w:hAnsi="Cambria"/>
        </w:rPr>
      </w:pPr>
      <w:r>
        <w:rPr>
          <w:rFonts w:ascii="Cambria" w:hAnsi="Cambria"/>
        </w:rPr>
        <w:t>It has long been recognised that</w:t>
      </w:r>
      <w:r>
        <w:rPr>
          <w:rFonts w:ascii="Cambria" w:hAnsi="Cambria"/>
          <w:lang w:val="en-US"/>
        </w:rPr>
        <w:t xml:space="preserve"> </w:t>
      </w:r>
      <w:r w:rsidR="004267C9" w:rsidRPr="0060705D">
        <w:rPr>
          <w:rFonts w:ascii="Cambria" w:hAnsi="Cambria"/>
        </w:rPr>
        <w:t xml:space="preserve"> environmental and social determinants of health, on both global and local levels, lie at the heart of why people become unhealthy,</w:t>
      </w:r>
      <w:r w:rsidR="004267C9" w:rsidRPr="0060705D">
        <w:rPr>
          <w:rStyle w:val="FootnoteReference"/>
          <w:rFonts w:ascii="Cambria" w:hAnsi="Cambria"/>
        </w:rPr>
        <w:footnoteReference w:id="63"/>
      </w:r>
      <w:r w:rsidR="004267C9" w:rsidRPr="0060705D">
        <w:rPr>
          <w:rFonts w:ascii="Cambria" w:hAnsi="Cambria"/>
        </w:rPr>
        <w:t xml:space="preserve"> and there have been numerous </w:t>
      </w:r>
      <w:r w:rsidR="00B918BD">
        <w:rPr>
          <w:rFonts w:ascii="Cambria" w:hAnsi="Cambria"/>
        </w:rPr>
        <w:t>calls in the literature for these determinants</w:t>
      </w:r>
      <w:r w:rsidR="004267C9" w:rsidRPr="0060705D">
        <w:rPr>
          <w:rFonts w:ascii="Cambria" w:hAnsi="Cambria"/>
        </w:rPr>
        <w:t xml:space="preserve"> to be the focus of NCD policy.</w:t>
      </w:r>
      <w:r w:rsidR="004267C9" w:rsidRPr="0060705D">
        <w:rPr>
          <w:rStyle w:val="FootnoteReference"/>
          <w:rFonts w:ascii="Cambria" w:hAnsi="Cambria"/>
        </w:rPr>
        <w:footnoteReference w:id="64"/>
      </w:r>
      <w:r w:rsidR="004267C9" w:rsidRPr="0060705D">
        <w:rPr>
          <w:rFonts w:ascii="Cambria" w:hAnsi="Cambria"/>
        </w:rPr>
        <w:t xml:space="preserve"> </w:t>
      </w:r>
      <w:r w:rsidR="00990C1A">
        <w:rPr>
          <w:rFonts w:ascii="Cambria" w:hAnsi="Cambria"/>
          <w:lang w:val="en-US"/>
        </w:rPr>
        <w:t>A particular</w:t>
      </w:r>
      <w:r w:rsidR="000802C1">
        <w:rPr>
          <w:rFonts w:ascii="Cambria" w:hAnsi="Cambria"/>
          <w:lang w:val="en-US"/>
        </w:rPr>
        <w:t xml:space="preserve"> part of that environment that is especially relevant for our purposes </w:t>
      </w:r>
      <w:r w:rsidR="004267C9" w:rsidRPr="0060705D">
        <w:rPr>
          <w:rFonts w:ascii="Cambria" w:hAnsi="Cambria"/>
        </w:rPr>
        <w:t xml:space="preserve">is </w:t>
      </w:r>
      <w:r w:rsidR="000802C1">
        <w:rPr>
          <w:rFonts w:ascii="Cambria" w:hAnsi="Cambria"/>
          <w:lang w:val="en-US"/>
        </w:rPr>
        <w:t xml:space="preserve">the manipulation of consumer behaviors and expectations by producers and </w:t>
      </w:r>
      <w:r w:rsidR="00CF29D0">
        <w:rPr>
          <w:rFonts w:ascii="Cambria" w:hAnsi="Cambria"/>
          <w:lang w:val="en-US"/>
        </w:rPr>
        <w:t>retailers</w:t>
      </w:r>
      <w:r w:rsidR="000802C1">
        <w:rPr>
          <w:rFonts w:ascii="Cambria" w:hAnsi="Cambria"/>
          <w:lang w:val="en-US"/>
        </w:rPr>
        <w:t xml:space="preserve">. </w:t>
      </w:r>
      <w:r w:rsidR="004267C9" w:rsidRPr="0060705D">
        <w:rPr>
          <w:rFonts w:ascii="Cambria" w:hAnsi="Cambria"/>
        </w:rPr>
        <w:t xml:space="preserve">Hanson and </w:t>
      </w:r>
      <w:proofErr w:type="spellStart"/>
      <w:r w:rsidR="004267C9" w:rsidRPr="0060705D">
        <w:rPr>
          <w:rFonts w:ascii="Cambria" w:hAnsi="Cambria"/>
        </w:rPr>
        <w:t>Kysar</w:t>
      </w:r>
      <w:proofErr w:type="spellEnd"/>
      <w:r w:rsidR="004267C9" w:rsidRPr="0060705D">
        <w:rPr>
          <w:rFonts w:ascii="Cambria" w:hAnsi="Cambria"/>
        </w:rPr>
        <w:t xml:space="preserve"> argue that ‘the presence of unyielding cognitive biases makes individual decision makers susceptible to manipulation by those able to influence the conte</w:t>
      </w:r>
      <w:r w:rsidR="00FF28CD">
        <w:rPr>
          <w:rFonts w:ascii="Cambria" w:hAnsi="Cambria"/>
        </w:rPr>
        <w:t>xt in which decisions are made.’</w:t>
      </w:r>
      <w:r w:rsidR="004267C9" w:rsidRPr="0060705D">
        <w:rPr>
          <w:rFonts w:ascii="Cambria" w:hAnsi="Cambria"/>
          <w:vertAlign w:val="superscript"/>
        </w:rPr>
        <w:footnoteReference w:id="65"/>
      </w:r>
      <w:r w:rsidR="00CF29D0">
        <w:rPr>
          <w:rFonts w:ascii="Cambria" w:hAnsi="Cambria"/>
        </w:rPr>
        <w:t xml:space="preserve"> They present evidence that </w:t>
      </w:r>
      <w:r w:rsidR="004267C9" w:rsidRPr="0060705D">
        <w:rPr>
          <w:rFonts w:ascii="Cambria" w:hAnsi="Cambria"/>
        </w:rPr>
        <w:t>‘market outcomes frequently will be heavily influenced, if not determined, by the ability of one actor to co</w:t>
      </w:r>
      <w:r w:rsidR="002965E2">
        <w:rPr>
          <w:rFonts w:ascii="Cambria" w:hAnsi="Cambria"/>
        </w:rPr>
        <w:t>ntrol the format of information.</w:t>
      </w:r>
      <w:r w:rsidR="00FF28CD">
        <w:rPr>
          <w:rFonts w:ascii="Cambria" w:hAnsi="Cambria"/>
        </w:rPr>
        <w:t>’</w:t>
      </w:r>
      <w:r w:rsidR="004267C9" w:rsidRPr="0060705D">
        <w:rPr>
          <w:rFonts w:ascii="Cambria" w:hAnsi="Cambria"/>
          <w:vertAlign w:val="superscript"/>
        </w:rPr>
        <w:footnoteReference w:id="66"/>
      </w:r>
      <w:r w:rsidR="0060705D">
        <w:rPr>
          <w:rFonts w:ascii="Cambria" w:hAnsi="Cambria"/>
        </w:rPr>
        <w:t xml:space="preserve"> </w:t>
      </w:r>
      <w:r w:rsidR="004267C9" w:rsidRPr="0060705D">
        <w:rPr>
          <w:rFonts w:ascii="Cambria" w:hAnsi="Cambria"/>
        </w:rPr>
        <w:t xml:space="preserve">The interests that conduct this manipulation have </w:t>
      </w:r>
      <w:r w:rsidR="0060705D">
        <w:rPr>
          <w:rFonts w:ascii="Cambria" w:hAnsi="Cambria"/>
        </w:rPr>
        <w:t xml:space="preserve">furthermore </w:t>
      </w:r>
      <w:r w:rsidR="004267C9" w:rsidRPr="0060705D">
        <w:rPr>
          <w:rFonts w:ascii="Cambria" w:hAnsi="Cambria"/>
        </w:rPr>
        <w:t>been identified as ‘vectors of disease’</w:t>
      </w:r>
      <w:r w:rsidR="004267C9" w:rsidRPr="0060705D">
        <w:rPr>
          <w:rFonts w:ascii="Cambria" w:hAnsi="Cambria"/>
          <w:vertAlign w:val="superscript"/>
        </w:rPr>
        <w:footnoteReference w:id="67"/>
      </w:r>
      <w:r w:rsidR="004267C9" w:rsidRPr="0060705D">
        <w:rPr>
          <w:rFonts w:ascii="Cambria" w:hAnsi="Cambria"/>
        </w:rPr>
        <w:t xml:space="preserve"> </w:t>
      </w:r>
      <w:r w:rsidR="00FF28CD" w:rsidRPr="0060705D">
        <w:rPr>
          <w:rFonts w:ascii="Cambria" w:hAnsi="Cambria"/>
        </w:rPr>
        <w:t>– agents</w:t>
      </w:r>
      <w:r w:rsidR="004267C9" w:rsidRPr="0060705D">
        <w:rPr>
          <w:rFonts w:ascii="Cambria" w:hAnsi="Cambria"/>
        </w:rPr>
        <w:t xml:space="preserve"> who promote or facilitate the development </w:t>
      </w:r>
      <w:r w:rsidR="00FF28CD" w:rsidRPr="0060705D">
        <w:rPr>
          <w:rFonts w:ascii="Cambria" w:hAnsi="Cambria"/>
        </w:rPr>
        <w:t>of NCDs</w:t>
      </w:r>
      <w:r w:rsidR="004267C9" w:rsidRPr="0060705D">
        <w:rPr>
          <w:rFonts w:ascii="Cambria" w:hAnsi="Cambria"/>
        </w:rPr>
        <w:t xml:space="preserve"> through activities such as those described above.</w:t>
      </w:r>
    </w:p>
    <w:p w14:paraId="3DF13AAE" w14:textId="16537269" w:rsidR="004267C9" w:rsidRPr="0060705D" w:rsidRDefault="002965E2" w:rsidP="004267C9">
      <w:pPr>
        <w:autoSpaceDE w:val="0"/>
        <w:autoSpaceDN w:val="0"/>
        <w:adjustRightInd w:val="0"/>
        <w:spacing w:after="200" w:line="276" w:lineRule="auto"/>
        <w:rPr>
          <w:rFonts w:ascii="Cambria" w:hAnsi="Cambria"/>
        </w:rPr>
      </w:pPr>
      <w:r>
        <w:rPr>
          <w:rFonts w:ascii="Cambria" w:hAnsi="Cambria"/>
          <w:lang w:val="en-US"/>
        </w:rPr>
        <w:t xml:space="preserve">Clearly, the ability to solve environmental and social determinants of health, especially ones that involve </w:t>
      </w:r>
      <w:r w:rsidR="00812D1D">
        <w:rPr>
          <w:rFonts w:ascii="Cambria" w:hAnsi="Cambria"/>
          <w:lang w:val="en-US"/>
        </w:rPr>
        <w:t xml:space="preserve">purposeful manipulation, is beyond the reach of </w:t>
      </w:r>
      <w:r w:rsidR="004267C9" w:rsidRPr="0060705D">
        <w:rPr>
          <w:rFonts w:ascii="Cambria" w:hAnsi="Cambria"/>
        </w:rPr>
        <w:t xml:space="preserve">individuals. </w:t>
      </w:r>
      <w:r w:rsidR="00E072BA">
        <w:rPr>
          <w:rFonts w:ascii="Cambria" w:hAnsi="Cambria"/>
          <w:lang w:val="en-US"/>
        </w:rPr>
        <w:t>Equally clearly then, we cannot e</w:t>
      </w:r>
      <w:r w:rsidR="0058424D">
        <w:rPr>
          <w:rFonts w:ascii="Cambria" w:hAnsi="Cambria"/>
          <w:lang w:val="en-US"/>
        </w:rPr>
        <w:t xml:space="preserve">xpect </w:t>
      </w:r>
      <w:r w:rsidR="00E072BA">
        <w:rPr>
          <w:rFonts w:ascii="Cambria" w:hAnsi="Cambria"/>
          <w:lang w:val="en-US"/>
        </w:rPr>
        <w:t xml:space="preserve"> </w:t>
      </w:r>
      <w:r w:rsidR="00E072BA">
        <w:rPr>
          <w:rFonts w:ascii="Cambria" w:hAnsi="Cambria"/>
        </w:rPr>
        <w:t>p</w:t>
      </w:r>
      <w:r w:rsidR="004267C9" w:rsidRPr="0060705D">
        <w:rPr>
          <w:rFonts w:ascii="Cambria" w:hAnsi="Cambria"/>
        </w:rPr>
        <w:t xml:space="preserve">olicy options that focus on </w:t>
      </w:r>
      <w:r w:rsidR="003524FF">
        <w:rPr>
          <w:rFonts w:ascii="Cambria" w:hAnsi="Cambria"/>
          <w:lang w:val="en-US"/>
        </w:rPr>
        <w:t xml:space="preserve">informing the individual, that emphasise individual autonomy, </w:t>
      </w:r>
      <w:r w:rsidR="004267C9" w:rsidRPr="0060705D">
        <w:rPr>
          <w:rFonts w:ascii="Cambria" w:hAnsi="Cambria"/>
        </w:rPr>
        <w:t xml:space="preserve">and which ask the individual to act responsibility to </w:t>
      </w:r>
      <w:r w:rsidR="003524FF">
        <w:rPr>
          <w:rFonts w:ascii="Cambria" w:hAnsi="Cambria"/>
          <w:lang w:val="en-US"/>
        </w:rPr>
        <w:t>protect their own health</w:t>
      </w:r>
      <w:r w:rsidR="004267C9" w:rsidRPr="0060705D">
        <w:rPr>
          <w:rFonts w:ascii="Cambria" w:hAnsi="Cambria"/>
        </w:rPr>
        <w:t xml:space="preserve"> </w:t>
      </w:r>
      <w:r w:rsidR="0058424D">
        <w:rPr>
          <w:rFonts w:ascii="Cambria" w:hAnsi="Cambria"/>
          <w:lang w:val="en-US"/>
        </w:rPr>
        <w:t xml:space="preserve">to make any vey significant contribution towards reducing the current burden on NCDs. </w:t>
      </w:r>
    </w:p>
    <w:p w14:paraId="6A650D36" w14:textId="22AD8762" w:rsidR="004267C9" w:rsidRPr="0060705D" w:rsidRDefault="005449DE" w:rsidP="004267C9">
      <w:pPr>
        <w:autoSpaceDE w:val="0"/>
        <w:autoSpaceDN w:val="0"/>
        <w:adjustRightInd w:val="0"/>
        <w:spacing w:after="200" w:line="276" w:lineRule="auto"/>
        <w:rPr>
          <w:rFonts w:ascii="Cambria" w:hAnsi="Cambria"/>
        </w:rPr>
      </w:pPr>
      <w:r>
        <w:rPr>
          <w:rFonts w:ascii="Cambria" w:hAnsi="Cambria"/>
          <w:lang w:val="en-US"/>
        </w:rPr>
        <w:t xml:space="preserve">Therefore, greater focus is needed on environmental and social determinants of health. </w:t>
      </w:r>
      <w:r w:rsidR="007E3F2E">
        <w:rPr>
          <w:rFonts w:ascii="Cambria" w:hAnsi="Cambria"/>
          <w:lang w:val="en-US"/>
        </w:rPr>
        <w:t xml:space="preserve">To achieve this, policymakers must </w:t>
      </w:r>
      <w:r w:rsidR="0091347E">
        <w:rPr>
          <w:rFonts w:ascii="Cambria" w:hAnsi="Cambria"/>
        </w:rPr>
        <w:t xml:space="preserve">revise the ideas they </w:t>
      </w:r>
      <w:r w:rsidR="00AE21BB">
        <w:rPr>
          <w:rFonts w:ascii="Cambria" w:hAnsi="Cambria"/>
          <w:lang w:val="en-US"/>
        </w:rPr>
        <w:t xml:space="preserve">rely on to guide them in policymaking. </w:t>
      </w:r>
      <w:r w:rsidR="0091347E">
        <w:rPr>
          <w:rFonts w:ascii="Cambria" w:hAnsi="Cambria"/>
        </w:rPr>
        <w:t>I</w:t>
      </w:r>
      <w:r w:rsidR="004267C9" w:rsidRPr="0060705D">
        <w:rPr>
          <w:rFonts w:ascii="Cambria" w:hAnsi="Cambria"/>
        </w:rPr>
        <w:t xml:space="preserve">n the </w:t>
      </w:r>
      <w:r w:rsidR="0091347E">
        <w:rPr>
          <w:rFonts w:ascii="Cambria" w:hAnsi="Cambria"/>
        </w:rPr>
        <w:t>paragraphs</w:t>
      </w:r>
      <w:r w:rsidR="004267C9" w:rsidRPr="0060705D">
        <w:rPr>
          <w:rFonts w:ascii="Cambria" w:hAnsi="Cambria"/>
        </w:rPr>
        <w:t xml:space="preserve"> that follow, I will identify in greater detail why </w:t>
      </w:r>
      <w:r w:rsidR="0091347E">
        <w:rPr>
          <w:rFonts w:ascii="Cambria" w:hAnsi="Cambria"/>
        </w:rPr>
        <w:t>the currently dominant ideas</w:t>
      </w:r>
      <w:r w:rsidR="004267C9" w:rsidRPr="0060705D">
        <w:rPr>
          <w:rFonts w:ascii="Cambria" w:hAnsi="Cambria"/>
        </w:rPr>
        <w:t xml:space="preserve"> identified above are failing to produce effective policy, and suggest alternative ideas that should be promoted and employed.</w:t>
      </w:r>
    </w:p>
    <w:p w14:paraId="2445C40E" w14:textId="402635C9" w:rsidR="004267C9" w:rsidRPr="0060705D" w:rsidRDefault="005527DC" w:rsidP="004267C9">
      <w:pPr>
        <w:autoSpaceDE w:val="0"/>
        <w:autoSpaceDN w:val="0"/>
        <w:adjustRightInd w:val="0"/>
        <w:spacing w:after="200" w:line="276" w:lineRule="auto"/>
        <w:rPr>
          <w:rFonts w:ascii="Cambria" w:hAnsi="Cambria"/>
        </w:rPr>
      </w:pPr>
      <w:r>
        <w:rPr>
          <w:rFonts w:ascii="Cambria" w:hAnsi="Cambria"/>
        </w:rPr>
        <w:t>First, t</w:t>
      </w:r>
      <w:r w:rsidR="00A03B6F">
        <w:rPr>
          <w:rFonts w:ascii="Cambria" w:hAnsi="Cambria"/>
        </w:rPr>
        <w:t xml:space="preserve">he </w:t>
      </w:r>
      <w:r w:rsidR="001F2854">
        <w:rPr>
          <w:rFonts w:ascii="Cambria" w:hAnsi="Cambria"/>
          <w:lang w:val="en-US"/>
        </w:rPr>
        <w:t xml:space="preserve">programmatic </w:t>
      </w:r>
      <w:r w:rsidR="00A03B6F">
        <w:rPr>
          <w:rFonts w:ascii="Cambria" w:hAnsi="Cambria"/>
        </w:rPr>
        <w:t>idea that</w:t>
      </w:r>
      <w:r w:rsidR="0091347E">
        <w:rPr>
          <w:rFonts w:ascii="Cambria" w:hAnsi="Cambria"/>
        </w:rPr>
        <w:t xml:space="preserve"> providing individuals </w:t>
      </w:r>
      <w:r w:rsidR="00A03B6F">
        <w:rPr>
          <w:rFonts w:ascii="Cambria" w:hAnsi="Cambria"/>
        </w:rPr>
        <w:t xml:space="preserve">with information is an effective way to allow them to protect themselves </w:t>
      </w:r>
      <w:r w:rsidR="004267C9" w:rsidRPr="0060705D">
        <w:rPr>
          <w:rFonts w:ascii="Cambria" w:hAnsi="Cambria"/>
        </w:rPr>
        <w:t>is based on a p</w:t>
      </w:r>
      <w:r w:rsidR="0091347E">
        <w:rPr>
          <w:rFonts w:ascii="Cambria" w:hAnsi="Cambria"/>
        </w:rPr>
        <w:t xml:space="preserve">aradigm </w:t>
      </w:r>
      <w:r w:rsidR="00F20297">
        <w:rPr>
          <w:rFonts w:ascii="Cambria" w:hAnsi="Cambria"/>
          <w:lang w:val="en-US"/>
        </w:rPr>
        <w:t xml:space="preserve">of </w:t>
      </w:r>
      <w:r w:rsidR="004267C9" w:rsidRPr="0060705D">
        <w:rPr>
          <w:rFonts w:ascii="Cambria" w:hAnsi="Cambria"/>
        </w:rPr>
        <w:t xml:space="preserve"> ‘a “deficit model” that suggests that people lack “adequate” informat</w:t>
      </w:r>
      <w:r w:rsidR="00FF28CD">
        <w:rPr>
          <w:rFonts w:ascii="Cambria" w:hAnsi="Cambria"/>
        </w:rPr>
        <w:t>ion to make reasoned decisions</w:t>
      </w:r>
      <w:r w:rsidR="00E9037C">
        <w:rPr>
          <w:rFonts w:ascii="Cambria" w:hAnsi="Cambria"/>
        </w:rPr>
        <w:t>.</w:t>
      </w:r>
      <w:r w:rsidR="00FF28CD">
        <w:rPr>
          <w:rFonts w:ascii="Cambria" w:hAnsi="Cambria"/>
        </w:rPr>
        <w:t>’</w:t>
      </w:r>
      <w:r w:rsidR="004267C9" w:rsidRPr="0060705D">
        <w:rPr>
          <w:rFonts w:ascii="Cambria" w:hAnsi="Cambria"/>
          <w:vertAlign w:val="superscript"/>
        </w:rPr>
        <w:footnoteReference w:id="68"/>
      </w:r>
      <w:r w:rsidR="004267C9" w:rsidRPr="0060705D">
        <w:rPr>
          <w:rFonts w:ascii="Cambria" w:hAnsi="Cambria"/>
        </w:rPr>
        <w:t xml:space="preserve"> </w:t>
      </w:r>
      <w:r w:rsidR="00E9037C">
        <w:rPr>
          <w:rFonts w:ascii="Cambria" w:hAnsi="Cambria"/>
          <w:lang w:val="en-US"/>
        </w:rPr>
        <w:t xml:space="preserve">This is not accurate – modern </w:t>
      </w:r>
      <w:r w:rsidR="004267C9" w:rsidRPr="0060705D">
        <w:rPr>
          <w:rFonts w:ascii="Cambria" w:hAnsi="Cambria"/>
        </w:rPr>
        <w:t>evidence shows that consumer ignorance is</w:t>
      </w:r>
      <w:r w:rsidR="00FF28CD">
        <w:rPr>
          <w:rFonts w:ascii="Cambria" w:hAnsi="Cambria"/>
        </w:rPr>
        <w:t xml:space="preserve"> not a ‘deficit </w:t>
      </w:r>
      <w:r w:rsidR="00FF28CD">
        <w:rPr>
          <w:rFonts w:ascii="Cambria" w:hAnsi="Cambria"/>
        </w:rPr>
        <w:lastRenderedPageBreak/>
        <w:t>to be remedied,’</w:t>
      </w:r>
      <w:r w:rsidR="004267C9" w:rsidRPr="0060705D">
        <w:rPr>
          <w:rFonts w:ascii="Cambria" w:hAnsi="Cambria"/>
          <w:vertAlign w:val="superscript"/>
        </w:rPr>
        <w:footnoteReference w:id="69"/>
      </w:r>
      <w:r w:rsidR="004267C9" w:rsidRPr="0060705D">
        <w:rPr>
          <w:rFonts w:ascii="Cambria" w:hAnsi="Cambria"/>
        </w:rPr>
        <w:t xml:space="preserve"> </w:t>
      </w:r>
      <w:r w:rsidR="00E9037C">
        <w:rPr>
          <w:rFonts w:ascii="Cambria" w:hAnsi="Cambria"/>
        </w:rPr>
        <w:t xml:space="preserve">but subsists </w:t>
      </w:r>
      <w:r w:rsidR="0091347E">
        <w:rPr>
          <w:rFonts w:ascii="Cambria" w:hAnsi="Cambria"/>
        </w:rPr>
        <w:t>because consumers</w:t>
      </w:r>
      <w:r w:rsidR="004267C9" w:rsidRPr="0060705D">
        <w:rPr>
          <w:rFonts w:ascii="Cambria" w:hAnsi="Cambria"/>
        </w:rPr>
        <w:t xml:space="preserve"> ‘deliberately choose to remain i</w:t>
      </w:r>
      <w:r w:rsidR="00FF28CD">
        <w:rPr>
          <w:rFonts w:ascii="Cambria" w:hAnsi="Cambria"/>
        </w:rPr>
        <w:t>gnorant of certain information,’</w:t>
      </w:r>
      <w:r w:rsidR="004267C9" w:rsidRPr="0060705D">
        <w:rPr>
          <w:rFonts w:ascii="Cambria" w:hAnsi="Cambria"/>
          <w:vertAlign w:val="superscript"/>
        </w:rPr>
        <w:footnoteReference w:id="70"/>
      </w:r>
      <w:r w:rsidR="004267C9" w:rsidRPr="0060705D">
        <w:rPr>
          <w:rFonts w:ascii="Cambria" w:hAnsi="Cambria"/>
        </w:rPr>
        <w:t xml:space="preserve"> and are not in full control of how the rest of it is made available. </w:t>
      </w:r>
    </w:p>
    <w:p w14:paraId="237F055C" w14:textId="6E07038B" w:rsidR="004267C9" w:rsidRPr="005C2F74" w:rsidRDefault="00500379" w:rsidP="004267C9">
      <w:pPr>
        <w:autoSpaceDE w:val="0"/>
        <w:autoSpaceDN w:val="0"/>
        <w:adjustRightInd w:val="0"/>
        <w:spacing w:after="200" w:line="276" w:lineRule="auto"/>
        <w:rPr>
          <w:rFonts w:ascii="Cambria" w:hAnsi="Cambria"/>
          <w:szCs w:val="24"/>
        </w:rPr>
      </w:pPr>
      <w:r>
        <w:rPr>
          <w:rFonts w:ascii="Cambria" w:hAnsi="Cambria"/>
          <w:szCs w:val="24"/>
          <w:lang w:val="en-US"/>
        </w:rPr>
        <w:t xml:space="preserve">Intervention beyond </w:t>
      </w:r>
      <w:r w:rsidR="00A45C1D">
        <w:rPr>
          <w:rFonts w:ascii="Cambria" w:hAnsi="Cambria"/>
          <w:szCs w:val="24"/>
        </w:rPr>
        <w:t>an overload of</w:t>
      </w:r>
      <w:r>
        <w:rPr>
          <w:rFonts w:ascii="Cambria" w:hAnsi="Cambria"/>
          <w:szCs w:val="24"/>
          <w:lang w:val="en-US"/>
        </w:rPr>
        <w:t xml:space="preserve"> information </w:t>
      </w:r>
      <w:r w:rsidR="004267C9" w:rsidRPr="005C2F74">
        <w:rPr>
          <w:rFonts w:ascii="Cambria" w:hAnsi="Cambria"/>
          <w:szCs w:val="24"/>
        </w:rPr>
        <w:t>is needed to</w:t>
      </w:r>
      <w:r w:rsidR="006244EF">
        <w:rPr>
          <w:rFonts w:ascii="Cambria" w:hAnsi="Cambria"/>
          <w:szCs w:val="24"/>
        </w:rPr>
        <w:t xml:space="preserve"> give consumers </w:t>
      </w:r>
      <w:r>
        <w:rPr>
          <w:rFonts w:ascii="Cambria" w:hAnsi="Cambria"/>
          <w:szCs w:val="24"/>
          <w:lang w:val="en-US"/>
        </w:rPr>
        <w:t xml:space="preserve">true </w:t>
      </w:r>
      <w:r w:rsidR="006244EF">
        <w:rPr>
          <w:rFonts w:ascii="Cambria" w:hAnsi="Cambria"/>
          <w:szCs w:val="24"/>
        </w:rPr>
        <w:t xml:space="preserve">protection in the marketplace. </w:t>
      </w:r>
      <w:r w:rsidR="005335EF">
        <w:rPr>
          <w:rFonts w:ascii="Cambria" w:hAnsi="Cambria"/>
          <w:szCs w:val="24"/>
          <w:lang w:val="en-US"/>
        </w:rPr>
        <w:t xml:space="preserve">For this, </w:t>
      </w:r>
      <w:r w:rsidR="005335EF">
        <w:rPr>
          <w:rFonts w:ascii="Cambria" w:hAnsi="Cambria"/>
          <w:szCs w:val="24"/>
        </w:rPr>
        <w:t>p</w:t>
      </w:r>
      <w:r>
        <w:rPr>
          <w:rFonts w:ascii="Cambria" w:hAnsi="Cambria"/>
          <w:szCs w:val="24"/>
        </w:rPr>
        <w:t>olicymakers should</w:t>
      </w:r>
      <w:r>
        <w:rPr>
          <w:rFonts w:ascii="Cambria" w:hAnsi="Cambria"/>
          <w:szCs w:val="24"/>
          <w:lang w:val="en-US"/>
        </w:rPr>
        <w:t xml:space="preserve"> look to more</w:t>
      </w:r>
      <w:r w:rsidR="004267C9" w:rsidRPr="005C2F74">
        <w:rPr>
          <w:rFonts w:ascii="Cambria" w:hAnsi="Cambria"/>
          <w:szCs w:val="24"/>
        </w:rPr>
        <w:t xml:space="preserve"> interventionist programme ideas</w:t>
      </w:r>
      <w:r w:rsidR="005335EF">
        <w:rPr>
          <w:rFonts w:ascii="Cambria" w:hAnsi="Cambria"/>
          <w:szCs w:val="24"/>
        </w:rPr>
        <w:t xml:space="preserve"> that concentrate</w:t>
      </w:r>
      <w:r w:rsidR="005335EF">
        <w:rPr>
          <w:rFonts w:ascii="Cambria" w:hAnsi="Cambria"/>
          <w:szCs w:val="24"/>
          <w:lang w:val="en-US"/>
        </w:rPr>
        <w:t xml:space="preserve"> </w:t>
      </w:r>
      <w:r w:rsidR="004267C9" w:rsidRPr="005C2F74">
        <w:rPr>
          <w:rFonts w:ascii="Cambria" w:hAnsi="Cambria"/>
          <w:szCs w:val="24"/>
        </w:rPr>
        <w:t>on the wider information environment</w:t>
      </w:r>
      <w:r w:rsidR="00344DF4">
        <w:rPr>
          <w:rFonts w:ascii="Cambria" w:hAnsi="Cambria"/>
          <w:szCs w:val="24"/>
          <w:lang w:val="en-US"/>
        </w:rPr>
        <w:t xml:space="preserve"> surrounding NCDs</w:t>
      </w:r>
      <w:r w:rsidR="004267C9" w:rsidRPr="005C2F74">
        <w:rPr>
          <w:rFonts w:ascii="Cambria" w:hAnsi="Cambria"/>
          <w:szCs w:val="24"/>
        </w:rPr>
        <w:t xml:space="preserve"> and who controls </w:t>
      </w:r>
      <w:r w:rsidR="005335EF">
        <w:rPr>
          <w:rFonts w:ascii="Cambria" w:hAnsi="Cambria"/>
          <w:szCs w:val="24"/>
          <w:lang w:val="en-US"/>
        </w:rPr>
        <w:t>it</w:t>
      </w:r>
      <w:r w:rsidR="004267C9" w:rsidRPr="005C2F74">
        <w:rPr>
          <w:rFonts w:ascii="Cambria" w:hAnsi="Cambria"/>
          <w:szCs w:val="24"/>
        </w:rPr>
        <w:t>, rather than on how consumers should receive information</w:t>
      </w:r>
      <w:r w:rsidR="00E55F3E">
        <w:rPr>
          <w:rFonts w:ascii="Cambria" w:hAnsi="Cambria"/>
          <w:szCs w:val="24"/>
        </w:rPr>
        <w:t>.</w:t>
      </w:r>
      <w:r w:rsidR="004267C9" w:rsidRPr="005C2F74">
        <w:rPr>
          <w:rFonts w:ascii="Cambria" w:hAnsi="Cambria"/>
          <w:szCs w:val="24"/>
        </w:rPr>
        <w:t xml:space="preserve"> </w:t>
      </w:r>
    </w:p>
    <w:p w14:paraId="5AFD5DB5" w14:textId="3A06001C" w:rsidR="004267C9" w:rsidRPr="005C2F74" w:rsidRDefault="006244EF" w:rsidP="004267C9">
      <w:pPr>
        <w:autoSpaceDE w:val="0"/>
        <w:autoSpaceDN w:val="0"/>
        <w:adjustRightInd w:val="0"/>
        <w:spacing w:after="200" w:line="276" w:lineRule="auto"/>
        <w:rPr>
          <w:rFonts w:ascii="Cambria" w:hAnsi="Cambria"/>
        </w:rPr>
      </w:pPr>
      <w:r>
        <w:rPr>
          <w:rFonts w:ascii="Cambria" w:hAnsi="Cambria"/>
          <w:szCs w:val="24"/>
        </w:rPr>
        <w:t>C</w:t>
      </w:r>
      <w:r w:rsidR="004267C9" w:rsidRPr="005C2F74">
        <w:rPr>
          <w:rFonts w:ascii="Cambria" w:hAnsi="Cambria"/>
          <w:szCs w:val="24"/>
        </w:rPr>
        <w:t>orporate marketing efforts</w:t>
      </w:r>
      <w:r w:rsidR="008A22B6">
        <w:rPr>
          <w:rFonts w:ascii="Cambria" w:hAnsi="Cambria"/>
          <w:szCs w:val="24"/>
        </w:rPr>
        <w:t xml:space="preserve"> heavily condition the </w:t>
      </w:r>
      <w:r w:rsidR="00EA0500">
        <w:rPr>
          <w:rFonts w:ascii="Cambria" w:hAnsi="Cambria"/>
          <w:szCs w:val="24"/>
          <w:lang w:val="en-US"/>
        </w:rPr>
        <w:t xml:space="preserve">information backdrop against which consumers engage with their products, </w:t>
      </w:r>
      <w:r>
        <w:rPr>
          <w:rFonts w:ascii="Cambria" w:hAnsi="Cambria"/>
          <w:szCs w:val="24"/>
        </w:rPr>
        <w:t>creating not only the</w:t>
      </w:r>
      <w:r w:rsidR="004267C9" w:rsidRPr="005C2F74">
        <w:rPr>
          <w:rFonts w:ascii="Cambria" w:hAnsi="Cambria"/>
          <w:szCs w:val="24"/>
        </w:rPr>
        <w:t xml:space="preserve"> need for many products </w:t>
      </w:r>
      <w:r w:rsidR="00EA0500">
        <w:rPr>
          <w:rFonts w:ascii="Cambria" w:hAnsi="Cambria"/>
          <w:szCs w:val="24"/>
          <w:lang w:val="en-US"/>
        </w:rPr>
        <w:t xml:space="preserve">in the first place </w:t>
      </w:r>
      <w:r w:rsidR="004267C9" w:rsidRPr="005C2F74">
        <w:rPr>
          <w:rFonts w:ascii="Cambria" w:hAnsi="Cambria"/>
          <w:szCs w:val="24"/>
        </w:rPr>
        <w:t xml:space="preserve">but also the information about </w:t>
      </w:r>
      <w:r>
        <w:rPr>
          <w:rFonts w:ascii="Cambria" w:hAnsi="Cambria"/>
          <w:szCs w:val="24"/>
        </w:rPr>
        <w:t>how to satisfy that need</w:t>
      </w:r>
      <w:r w:rsidR="00EA0500">
        <w:rPr>
          <w:rFonts w:ascii="Cambria" w:hAnsi="Cambria"/>
          <w:szCs w:val="24"/>
          <w:lang w:val="en-US"/>
        </w:rPr>
        <w:t xml:space="preserve">. </w:t>
      </w:r>
      <w:r w:rsidR="008E089B">
        <w:rPr>
          <w:rFonts w:ascii="Cambria" w:hAnsi="Cambria"/>
          <w:szCs w:val="24"/>
        </w:rPr>
        <w:t>Multiple studies have shown the link between increased marketing and increased consumption.</w:t>
      </w:r>
      <w:r w:rsidR="008E089B">
        <w:rPr>
          <w:rStyle w:val="FootnoteReference"/>
          <w:rFonts w:ascii="Cambria" w:hAnsi="Cambria"/>
          <w:szCs w:val="24"/>
        </w:rPr>
        <w:footnoteReference w:id="71"/>
      </w:r>
      <w:r w:rsidR="00E72FCB">
        <w:rPr>
          <w:rFonts w:ascii="Cambria" w:hAnsi="Cambria"/>
          <w:szCs w:val="24"/>
          <w:lang w:val="en-US"/>
        </w:rPr>
        <w:t xml:space="preserve"> Given the contribution of corporate marketing efforts to wider environmental and social determinants of health, policymaking fo</w:t>
      </w:r>
      <w:r w:rsidR="00CE7C17">
        <w:rPr>
          <w:rFonts w:ascii="Cambria" w:hAnsi="Cambria"/>
          <w:szCs w:val="24"/>
          <w:lang w:val="en-US"/>
        </w:rPr>
        <w:t>cus should be on who is</w:t>
      </w:r>
      <w:r w:rsidR="00E72FCB" w:rsidRPr="005C2F74">
        <w:rPr>
          <w:rFonts w:ascii="Cambria" w:hAnsi="Cambria"/>
          <w:szCs w:val="24"/>
        </w:rPr>
        <w:t xml:space="preserve"> entitled to control the information backdrop against which indi</w:t>
      </w:r>
      <w:r w:rsidR="00E72FCB">
        <w:rPr>
          <w:rFonts w:ascii="Cambria" w:hAnsi="Cambria"/>
          <w:szCs w:val="24"/>
        </w:rPr>
        <w:t>v</w:t>
      </w:r>
      <w:r w:rsidR="00CE7C17">
        <w:rPr>
          <w:rFonts w:ascii="Cambria" w:hAnsi="Cambria"/>
          <w:szCs w:val="24"/>
        </w:rPr>
        <w:t xml:space="preserve">iduals make lifestyle decisions. </w:t>
      </w:r>
      <w:r w:rsidR="001734A6">
        <w:rPr>
          <w:rFonts w:ascii="Cambria" w:hAnsi="Cambria"/>
          <w:szCs w:val="24"/>
          <w:lang w:val="en-US"/>
        </w:rPr>
        <w:t>Policymakers should therefore subscribe</w:t>
      </w:r>
      <w:r w:rsidR="00BB70CD">
        <w:rPr>
          <w:rFonts w:ascii="Cambria" w:hAnsi="Cambria"/>
          <w:szCs w:val="24"/>
          <w:lang w:val="en-US"/>
        </w:rPr>
        <w:t xml:space="preserve"> to </w:t>
      </w:r>
      <w:proofErr w:type="spellStart"/>
      <w:r w:rsidR="00BB70CD">
        <w:rPr>
          <w:rFonts w:ascii="Cambria" w:hAnsi="Cambria"/>
          <w:szCs w:val="24"/>
          <w:lang w:val="en-US"/>
        </w:rPr>
        <w:t>programme</w:t>
      </w:r>
      <w:proofErr w:type="spellEnd"/>
      <w:r w:rsidR="00BB70CD">
        <w:rPr>
          <w:rFonts w:ascii="Cambria" w:hAnsi="Cambria"/>
          <w:szCs w:val="24"/>
          <w:lang w:val="en-US"/>
        </w:rPr>
        <w:t xml:space="preserve"> ideas that suggest how to </w:t>
      </w:r>
      <w:r w:rsidR="00BB70CD">
        <w:rPr>
          <w:rFonts w:ascii="Cambria" w:hAnsi="Cambria"/>
          <w:szCs w:val="24"/>
        </w:rPr>
        <w:t xml:space="preserve">critically and </w:t>
      </w:r>
      <w:r w:rsidR="00BB70CD" w:rsidRPr="005C2F74">
        <w:rPr>
          <w:rFonts w:ascii="Cambria" w:hAnsi="Cambria"/>
          <w:szCs w:val="24"/>
        </w:rPr>
        <w:t xml:space="preserve">objectively control what information </w:t>
      </w:r>
      <w:r w:rsidR="001734A6">
        <w:rPr>
          <w:rFonts w:ascii="Cambria" w:hAnsi="Cambria"/>
          <w:szCs w:val="24"/>
        </w:rPr>
        <w:t>MNCs</w:t>
      </w:r>
      <w:r w:rsidR="00BB70CD" w:rsidRPr="005C2F74">
        <w:rPr>
          <w:rFonts w:ascii="Cambria" w:hAnsi="Cambria"/>
          <w:szCs w:val="24"/>
        </w:rPr>
        <w:t xml:space="preserve"> should be permitted </w:t>
      </w:r>
      <w:r w:rsidR="003871F3">
        <w:rPr>
          <w:rFonts w:ascii="Cambria" w:hAnsi="Cambria"/>
          <w:szCs w:val="24"/>
        </w:rPr>
        <w:t>to release into the environment</w:t>
      </w:r>
      <w:r>
        <w:rPr>
          <w:rFonts w:ascii="Cambria" w:hAnsi="Cambria"/>
          <w:szCs w:val="24"/>
        </w:rPr>
        <w:t xml:space="preserve">. </w:t>
      </w:r>
      <w:r w:rsidR="001F2854">
        <w:rPr>
          <w:rFonts w:ascii="Cambria" w:hAnsi="Cambria"/>
          <w:szCs w:val="24"/>
        </w:rPr>
        <w:t>Such ideas would</w:t>
      </w:r>
      <w:r>
        <w:rPr>
          <w:rFonts w:ascii="Cambria" w:hAnsi="Cambria"/>
          <w:szCs w:val="24"/>
        </w:rPr>
        <w:t xml:space="preserve"> return control of the information</w:t>
      </w:r>
      <w:r w:rsidR="00A5471A">
        <w:rPr>
          <w:rFonts w:ascii="Cambria" w:hAnsi="Cambria"/>
          <w:szCs w:val="24"/>
          <w:lang w:val="en-US"/>
        </w:rPr>
        <w:t xml:space="preserve"> backdrop</w:t>
      </w:r>
      <w:r>
        <w:rPr>
          <w:rFonts w:ascii="Cambria" w:hAnsi="Cambria"/>
          <w:szCs w:val="24"/>
        </w:rPr>
        <w:t xml:space="preserve"> to government authorities,</w:t>
      </w:r>
      <w:r w:rsidR="00A5471A">
        <w:rPr>
          <w:rFonts w:ascii="Cambria" w:hAnsi="Cambria"/>
          <w:szCs w:val="24"/>
          <w:lang w:val="en-US"/>
        </w:rPr>
        <w:t xml:space="preserve"> and prevent corporations from flooding it with messages that encourage and glorify unhealthy lifestyles. </w:t>
      </w:r>
    </w:p>
    <w:p w14:paraId="36738BE0" w14:textId="5DC4A585" w:rsidR="004267C9" w:rsidRPr="006244EF" w:rsidRDefault="005527DC" w:rsidP="004267C9">
      <w:pPr>
        <w:autoSpaceDE w:val="0"/>
        <w:autoSpaceDN w:val="0"/>
        <w:adjustRightInd w:val="0"/>
        <w:spacing w:after="200" w:line="276" w:lineRule="auto"/>
        <w:rPr>
          <w:rFonts w:ascii="Cambria" w:hAnsi="Cambria"/>
        </w:rPr>
      </w:pPr>
      <w:r>
        <w:rPr>
          <w:rFonts w:ascii="Cambria" w:hAnsi="Cambria"/>
        </w:rPr>
        <w:t>Second, t</w:t>
      </w:r>
      <w:r w:rsidR="004267C9" w:rsidRPr="006244EF">
        <w:rPr>
          <w:rFonts w:ascii="Cambria" w:hAnsi="Cambria"/>
        </w:rPr>
        <w:t>he</w:t>
      </w:r>
      <w:r w:rsidR="006244EF">
        <w:rPr>
          <w:rFonts w:ascii="Cambria" w:hAnsi="Cambria"/>
        </w:rPr>
        <w:t xml:space="preserve"> largely unquestioned background</w:t>
      </w:r>
      <w:r w:rsidR="004267C9" w:rsidRPr="006244EF">
        <w:rPr>
          <w:rFonts w:ascii="Cambria" w:hAnsi="Cambria"/>
        </w:rPr>
        <w:t xml:space="preserve"> idea that consumer</w:t>
      </w:r>
      <w:r w:rsidR="006244EF">
        <w:rPr>
          <w:rFonts w:ascii="Cambria" w:hAnsi="Cambria"/>
        </w:rPr>
        <w:t>s</w:t>
      </w:r>
      <w:r w:rsidR="004267C9" w:rsidRPr="006244EF">
        <w:rPr>
          <w:rFonts w:ascii="Cambria" w:hAnsi="Cambria"/>
        </w:rPr>
        <w:t xml:space="preserve"> are inherently autonom</w:t>
      </w:r>
      <w:r w:rsidR="006244EF">
        <w:rPr>
          <w:rFonts w:ascii="Cambria" w:hAnsi="Cambria"/>
        </w:rPr>
        <w:t>ous decision makers</w:t>
      </w:r>
      <w:r w:rsidR="004267C9" w:rsidRPr="006244EF">
        <w:rPr>
          <w:rFonts w:ascii="Cambria" w:hAnsi="Cambria"/>
        </w:rPr>
        <w:t xml:space="preserve"> is completely unsupported by evidence</w:t>
      </w:r>
      <w:r w:rsidR="008D7650">
        <w:rPr>
          <w:rFonts w:ascii="Cambria" w:hAnsi="Cambria"/>
        </w:rPr>
        <w:t xml:space="preserve">. </w:t>
      </w:r>
      <w:r w:rsidR="008D7650">
        <w:rPr>
          <w:rFonts w:ascii="Cambria" w:hAnsi="Cambria"/>
          <w:lang w:val="en-US"/>
        </w:rPr>
        <w:t>It has consequently</w:t>
      </w:r>
      <w:r w:rsidR="004267C9" w:rsidRPr="006244EF">
        <w:rPr>
          <w:rFonts w:ascii="Cambria" w:hAnsi="Cambria"/>
        </w:rPr>
        <w:t xml:space="preserve"> </w:t>
      </w:r>
      <w:r>
        <w:rPr>
          <w:rFonts w:ascii="Cambria" w:hAnsi="Cambria"/>
        </w:rPr>
        <w:t>provided false direction to policy debates by s</w:t>
      </w:r>
      <w:r w:rsidR="00C068F8">
        <w:rPr>
          <w:rFonts w:ascii="Cambria" w:hAnsi="Cambria"/>
        </w:rPr>
        <w:t xml:space="preserve">uggesting that protecting autonomy – perhaps with </w:t>
      </w:r>
      <w:r w:rsidR="004267C9" w:rsidRPr="006244EF">
        <w:rPr>
          <w:rFonts w:ascii="Cambria" w:hAnsi="Cambria"/>
        </w:rPr>
        <w:t>infor</w:t>
      </w:r>
      <w:r w:rsidR="00C068F8">
        <w:rPr>
          <w:rFonts w:ascii="Cambria" w:hAnsi="Cambria"/>
        </w:rPr>
        <w:t>mation provision - is</w:t>
      </w:r>
      <w:r w:rsidR="008D7650">
        <w:rPr>
          <w:rFonts w:ascii="Cambria" w:hAnsi="Cambria"/>
        </w:rPr>
        <w:t xml:space="preserve"> helpful</w:t>
      </w:r>
      <w:r w:rsidR="004267C9" w:rsidRPr="006244EF">
        <w:rPr>
          <w:rFonts w:ascii="Cambria" w:hAnsi="Cambria"/>
        </w:rPr>
        <w:t xml:space="preserve">. </w:t>
      </w:r>
      <w:r w:rsidR="00F70B36">
        <w:rPr>
          <w:rFonts w:ascii="Cambria" w:hAnsi="Cambria"/>
        </w:rPr>
        <w:t xml:space="preserve">It does not account for the </w:t>
      </w:r>
      <w:r w:rsidR="004267C9" w:rsidRPr="006244EF">
        <w:rPr>
          <w:rFonts w:ascii="Cambria" w:hAnsi="Cambria"/>
        </w:rPr>
        <w:t>fact that ‘people face constraints (both internal and external) on the capacity to pursue their own interests … [and] personal behaviour is heavily influence</w:t>
      </w:r>
      <w:r w:rsidR="00F70B36">
        <w:rPr>
          <w:rFonts w:ascii="Cambria" w:hAnsi="Cambria"/>
        </w:rPr>
        <w:t>d</w:t>
      </w:r>
      <w:r w:rsidR="004267C9" w:rsidRPr="006244EF">
        <w:rPr>
          <w:rFonts w:ascii="Cambria" w:hAnsi="Cambria"/>
        </w:rPr>
        <w:t xml:space="preserve"> and not simply a matter of free will,</w:t>
      </w:r>
      <w:r w:rsidR="004267C9" w:rsidRPr="006244EF">
        <w:rPr>
          <w:rStyle w:val="FootnoteReference"/>
          <w:rFonts w:ascii="Cambria" w:hAnsi="Cambria"/>
        </w:rPr>
        <w:footnoteReference w:id="72"/>
      </w:r>
      <w:r w:rsidR="004267C9" w:rsidRPr="006244EF">
        <w:rPr>
          <w:rFonts w:ascii="Cambria" w:hAnsi="Cambria"/>
        </w:rPr>
        <w:t xml:space="preserve"> and </w:t>
      </w:r>
      <w:r w:rsidR="00F70B36">
        <w:rPr>
          <w:rFonts w:ascii="Cambria" w:hAnsi="Cambria"/>
        </w:rPr>
        <w:t>thus has</w:t>
      </w:r>
      <w:r w:rsidR="004267C9" w:rsidRPr="006244EF">
        <w:rPr>
          <w:rFonts w:ascii="Cambria" w:hAnsi="Cambria"/>
        </w:rPr>
        <w:t xml:space="preserve"> tried to protect something that either does not exist or, as </w:t>
      </w:r>
      <w:proofErr w:type="spellStart"/>
      <w:r w:rsidR="004267C9" w:rsidRPr="006244EF">
        <w:rPr>
          <w:rFonts w:ascii="Cambria" w:hAnsi="Cambria"/>
        </w:rPr>
        <w:t>Conly</w:t>
      </w:r>
      <w:proofErr w:type="spellEnd"/>
      <w:r w:rsidR="004267C9" w:rsidRPr="006244EF">
        <w:rPr>
          <w:rFonts w:ascii="Cambria" w:hAnsi="Cambria"/>
        </w:rPr>
        <w:t xml:space="preserve"> has argued, ‘is some</w:t>
      </w:r>
      <w:r w:rsidR="00FF28CD">
        <w:rPr>
          <w:rFonts w:ascii="Cambria" w:hAnsi="Cambria"/>
        </w:rPr>
        <w:t>thing that has been overvalued.’</w:t>
      </w:r>
      <w:r w:rsidR="004267C9" w:rsidRPr="006244EF">
        <w:rPr>
          <w:rStyle w:val="FootnoteReference"/>
          <w:rFonts w:ascii="Cambria" w:hAnsi="Cambria"/>
        </w:rPr>
        <w:footnoteReference w:id="73"/>
      </w:r>
      <w:r w:rsidR="004267C9" w:rsidRPr="006244EF">
        <w:rPr>
          <w:rFonts w:ascii="Cambria" w:hAnsi="Cambria"/>
        </w:rPr>
        <w:t xml:space="preserve"> This means that many </w:t>
      </w:r>
      <w:r w:rsidR="00326109">
        <w:rPr>
          <w:rFonts w:ascii="Cambria" w:hAnsi="Cambria"/>
        </w:rPr>
        <w:t>NCD</w:t>
      </w:r>
      <w:r w:rsidR="00F70B36">
        <w:rPr>
          <w:rFonts w:ascii="Cambria" w:hAnsi="Cambria"/>
        </w:rPr>
        <w:t xml:space="preserve"> policies are not concentrating on the problems that really matter – the lack of </w:t>
      </w:r>
      <w:r w:rsidR="00DA4565">
        <w:rPr>
          <w:rFonts w:ascii="Cambria" w:hAnsi="Cambria"/>
        </w:rPr>
        <w:t xml:space="preserve">individual </w:t>
      </w:r>
      <w:r w:rsidR="00F70B36">
        <w:rPr>
          <w:rFonts w:ascii="Cambria" w:hAnsi="Cambria"/>
        </w:rPr>
        <w:t>autonomy and manipulation of the consumer.</w:t>
      </w:r>
    </w:p>
    <w:p w14:paraId="1072E44D" w14:textId="38850D44" w:rsidR="004267C9" w:rsidRPr="008B3FB8" w:rsidRDefault="00F70B36" w:rsidP="004267C9">
      <w:pPr>
        <w:autoSpaceDE w:val="0"/>
        <w:autoSpaceDN w:val="0"/>
        <w:adjustRightInd w:val="0"/>
        <w:spacing w:after="200" w:line="276" w:lineRule="auto"/>
        <w:rPr>
          <w:rFonts w:ascii="Cambria" w:hAnsi="Cambria"/>
        </w:rPr>
      </w:pPr>
      <w:r>
        <w:rPr>
          <w:rFonts w:ascii="Cambria" w:hAnsi="Cambria"/>
        </w:rPr>
        <w:t>A</w:t>
      </w:r>
      <w:r w:rsidR="004267C9" w:rsidRPr="006244EF">
        <w:rPr>
          <w:rFonts w:ascii="Cambria" w:hAnsi="Cambria"/>
        </w:rPr>
        <w:t xml:space="preserve">lternative </w:t>
      </w:r>
      <w:r w:rsidR="00802708">
        <w:rPr>
          <w:rFonts w:ascii="Cambria" w:hAnsi="Cambria"/>
          <w:lang w:val="en-US"/>
        </w:rPr>
        <w:t>ideas on how to protect individual choice are required</w:t>
      </w:r>
      <w:r w:rsidR="00A50EC2">
        <w:rPr>
          <w:rFonts w:ascii="Cambria" w:hAnsi="Cambria"/>
          <w:lang w:val="en-US"/>
        </w:rPr>
        <w:t xml:space="preserve">. </w:t>
      </w:r>
      <w:r w:rsidR="004267C9" w:rsidRPr="006244EF">
        <w:rPr>
          <w:rFonts w:ascii="Cambria" w:hAnsi="Cambria"/>
        </w:rPr>
        <w:t xml:space="preserve">Assuming that consumers </w:t>
      </w:r>
      <w:r w:rsidR="004267C9" w:rsidRPr="00A50EC2">
        <w:rPr>
          <w:rFonts w:ascii="Cambria" w:hAnsi="Cambria"/>
          <w:i/>
        </w:rPr>
        <w:t>are</w:t>
      </w:r>
      <w:r w:rsidR="00A50EC2">
        <w:rPr>
          <w:rFonts w:ascii="Cambria" w:hAnsi="Cambria"/>
        </w:rPr>
        <w:t xml:space="preserve"> vulnerable to</w:t>
      </w:r>
      <w:r w:rsidR="004267C9" w:rsidRPr="006244EF">
        <w:rPr>
          <w:rFonts w:ascii="Cambria" w:hAnsi="Cambria"/>
        </w:rPr>
        <w:t xml:space="preserve"> environment</w:t>
      </w:r>
      <w:r w:rsidR="00A50EC2">
        <w:rPr>
          <w:rFonts w:ascii="Cambria" w:hAnsi="Cambria"/>
          <w:lang w:val="en-US"/>
        </w:rPr>
        <w:t>al manipulation, as evidence demonstrates,</w:t>
      </w:r>
      <w:r w:rsidR="004267C9" w:rsidRPr="006244EF">
        <w:rPr>
          <w:rFonts w:ascii="Cambria" w:hAnsi="Cambria"/>
        </w:rPr>
        <w:t xml:space="preserve"> would </w:t>
      </w:r>
      <w:r w:rsidR="005F343D">
        <w:rPr>
          <w:rFonts w:ascii="Cambria" w:hAnsi="Cambria"/>
          <w:lang w:val="en-US"/>
        </w:rPr>
        <w:t xml:space="preserve">lead policymakers to </w:t>
      </w:r>
      <w:r w:rsidR="004267C9" w:rsidRPr="006244EF">
        <w:rPr>
          <w:rFonts w:ascii="Cambria" w:hAnsi="Cambria"/>
        </w:rPr>
        <w:t xml:space="preserve">far more accurately </w:t>
      </w:r>
      <w:r w:rsidR="005F343D">
        <w:rPr>
          <w:rFonts w:ascii="Cambria" w:hAnsi="Cambria"/>
          <w:lang w:val="en-US"/>
        </w:rPr>
        <w:t xml:space="preserve">target </w:t>
      </w:r>
      <w:r w:rsidR="001879D7">
        <w:rPr>
          <w:rFonts w:ascii="Cambria" w:hAnsi="Cambria"/>
        </w:rPr>
        <w:t xml:space="preserve"> the </w:t>
      </w:r>
      <w:r w:rsidR="005F343D">
        <w:rPr>
          <w:rFonts w:ascii="Cambria" w:hAnsi="Cambria"/>
          <w:lang w:val="en-US"/>
        </w:rPr>
        <w:t xml:space="preserve">true problem when it comes to individual autonomy – </w:t>
      </w:r>
      <w:r w:rsidR="00017691">
        <w:rPr>
          <w:rFonts w:ascii="Cambria" w:hAnsi="Cambria"/>
          <w:lang w:val="en-US"/>
        </w:rPr>
        <w:t>the decision over whether to exercise choice</w:t>
      </w:r>
      <w:r w:rsidR="0043125E">
        <w:rPr>
          <w:rFonts w:ascii="Cambria" w:hAnsi="Cambria"/>
          <w:lang w:val="en-US"/>
        </w:rPr>
        <w:t xml:space="preserve"> is often made for consumers by commercial interests long before they get to the actual exercise of choice. </w:t>
      </w:r>
      <w:r w:rsidR="00AC7E51">
        <w:rPr>
          <w:rFonts w:ascii="Cambria" w:hAnsi="Cambria"/>
        </w:rPr>
        <w:lastRenderedPageBreak/>
        <w:t xml:space="preserve">As </w:t>
      </w:r>
      <w:proofErr w:type="spellStart"/>
      <w:r w:rsidR="00AC7E51">
        <w:rPr>
          <w:rFonts w:ascii="Cambria" w:hAnsi="Cambria"/>
        </w:rPr>
        <w:t>Waddington</w:t>
      </w:r>
      <w:proofErr w:type="spellEnd"/>
      <w:r w:rsidR="00AC7E51">
        <w:rPr>
          <w:rFonts w:ascii="Cambria" w:hAnsi="Cambria"/>
        </w:rPr>
        <w:t xml:space="preserve"> notes, </w:t>
      </w:r>
      <w:r w:rsidR="00AC7E51">
        <w:t xml:space="preserve">‘all consumers can potentially find themselves in a “vulnerable” position at times, </w:t>
      </w:r>
      <w:r w:rsidR="00FF28CD">
        <w:t>depen</w:t>
      </w:r>
      <w:r w:rsidR="00586028">
        <w:t>ding on the circumstances.</w:t>
      </w:r>
      <w:r w:rsidR="00FF28CD">
        <w:t>’</w:t>
      </w:r>
      <w:r w:rsidR="00AC7E51">
        <w:rPr>
          <w:rStyle w:val="FootnoteReference"/>
        </w:rPr>
        <w:footnoteReference w:id="74"/>
      </w:r>
      <w:r w:rsidR="00AC7E51">
        <w:t xml:space="preserve"> </w:t>
      </w:r>
      <w:r w:rsidR="001879D7">
        <w:rPr>
          <w:rFonts w:ascii="Cambria" w:hAnsi="Cambria"/>
        </w:rPr>
        <w:t>Shifting our assumptions abo</w:t>
      </w:r>
      <w:r w:rsidR="009E4FD0">
        <w:rPr>
          <w:rFonts w:ascii="Cambria" w:hAnsi="Cambria"/>
        </w:rPr>
        <w:t xml:space="preserve">ut the nature of </w:t>
      </w:r>
      <w:r w:rsidR="00586028">
        <w:rPr>
          <w:rFonts w:ascii="Cambria" w:hAnsi="Cambria"/>
          <w:lang w:val="en-US"/>
        </w:rPr>
        <w:t>consumer autonomy</w:t>
      </w:r>
      <w:r w:rsidR="009E4FD0">
        <w:rPr>
          <w:rFonts w:ascii="Cambria" w:hAnsi="Cambria"/>
        </w:rPr>
        <w:t xml:space="preserve"> accordingly </w:t>
      </w:r>
      <w:r w:rsidR="001879D7">
        <w:rPr>
          <w:rFonts w:ascii="Cambria" w:hAnsi="Cambria"/>
        </w:rPr>
        <w:t xml:space="preserve">would </w:t>
      </w:r>
      <w:r w:rsidR="004267C9" w:rsidRPr="006244EF">
        <w:rPr>
          <w:rFonts w:ascii="Cambria" w:hAnsi="Cambria"/>
        </w:rPr>
        <w:t xml:space="preserve">refocus </w:t>
      </w:r>
      <w:r w:rsidR="001879D7">
        <w:rPr>
          <w:rFonts w:ascii="Cambria" w:hAnsi="Cambria"/>
        </w:rPr>
        <w:t>policy efforts to</w:t>
      </w:r>
      <w:r w:rsidR="009E4FD0">
        <w:rPr>
          <w:rFonts w:ascii="Cambria" w:hAnsi="Cambria"/>
        </w:rPr>
        <w:t>wards</w:t>
      </w:r>
      <w:r w:rsidR="001879D7">
        <w:rPr>
          <w:rFonts w:ascii="Cambria" w:hAnsi="Cambria"/>
        </w:rPr>
        <w:t xml:space="preserve"> consideration of how external</w:t>
      </w:r>
      <w:r w:rsidR="004267C9" w:rsidRPr="006244EF">
        <w:rPr>
          <w:rFonts w:ascii="Cambria" w:hAnsi="Cambria"/>
        </w:rPr>
        <w:t xml:space="preserve"> powers are </w:t>
      </w:r>
      <w:r w:rsidR="001879D7">
        <w:rPr>
          <w:rFonts w:ascii="Cambria" w:hAnsi="Cambria"/>
        </w:rPr>
        <w:t>shaping</w:t>
      </w:r>
      <w:r w:rsidR="004267C9" w:rsidRPr="006244EF">
        <w:rPr>
          <w:rFonts w:ascii="Cambria" w:hAnsi="Cambria"/>
        </w:rPr>
        <w:t xml:space="preserve"> individuals’ </w:t>
      </w:r>
      <w:r w:rsidR="00586028">
        <w:rPr>
          <w:rFonts w:ascii="Cambria" w:hAnsi="Cambria"/>
          <w:lang w:val="en-US"/>
        </w:rPr>
        <w:t xml:space="preserve">ability to exercise choice </w:t>
      </w:r>
      <w:r w:rsidR="001F2854">
        <w:rPr>
          <w:rFonts w:ascii="Cambria" w:hAnsi="Cambria"/>
          <w:lang w:val="en-US"/>
        </w:rPr>
        <w:t xml:space="preserve">in the first place. </w:t>
      </w:r>
      <w:r w:rsidR="004267C9" w:rsidRPr="006244EF">
        <w:rPr>
          <w:rFonts w:ascii="Cambria" w:hAnsi="Cambria"/>
        </w:rPr>
        <w:t>I therefore argue that ideas relating to consumer vulnerability should gain greater prominence in polic</w:t>
      </w:r>
      <w:r w:rsidR="008B3FB8">
        <w:rPr>
          <w:rFonts w:ascii="Cambria" w:hAnsi="Cambria"/>
        </w:rPr>
        <w:t xml:space="preserve">y debates.  </w:t>
      </w:r>
    </w:p>
    <w:p w14:paraId="3FC16F8B" w14:textId="7E37994D" w:rsidR="00BE2EDF" w:rsidRDefault="00DA4565" w:rsidP="004267C9">
      <w:pPr>
        <w:autoSpaceDE w:val="0"/>
        <w:autoSpaceDN w:val="0"/>
        <w:adjustRightInd w:val="0"/>
        <w:spacing w:after="200" w:line="276" w:lineRule="auto"/>
        <w:rPr>
          <w:rFonts w:ascii="Cambria" w:hAnsi="Cambria"/>
        </w:rPr>
      </w:pPr>
      <w:r>
        <w:rPr>
          <w:rFonts w:ascii="Cambria" w:hAnsi="Cambria"/>
        </w:rPr>
        <w:t>Third, t</w:t>
      </w:r>
      <w:r w:rsidR="004267C9" w:rsidRPr="0012573A">
        <w:rPr>
          <w:rFonts w:ascii="Cambria" w:hAnsi="Cambria"/>
        </w:rPr>
        <w:t>he paradigmatic idea t</w:t>
      </w:r>
      <w:r w:rsidR="008D6651">
        <w:rPr>
          <w:rFonts w:ascii="Cambria" w:hAnsi="Cambria"/>
        </w:rPr>
        <w:t xml:space="preserve">hat public health intervention should start from individuals taking greater </w:t>
      </w:r>
      <w:r w:rsidR="00D847F4">
        <w:rPr>
          <w:rFonts w:ascii="Cambria" w:hAnsi="Cambria"/>
          <w:lang w:val="en-US"/>
        </w:rPr>
        <w:t xml:space="preserve">responsibility for their </w:t>
      </w:r>
      <w:r w:rsidR="004267C9" w:rsidRPr="0012573A">
        <w:rPr>
          <w:rFonts w:ascii="Cambria" w:hAnsi="Cambria"/>
        </w:rPr>
        <w:t>own well-being</w:t>
      </w:r>
      <w:r w:rsidR="00BE2EDF">
        <w:rPr>
          <w:rFonts w:ascii="Cambria" w:hAnsi="Cambria"/>
        </w:rPr>
        <w:t xml:space="preserve"> has </w:t>
      </w:r>
      <w:r w:rsidR="004267C9" w:rsidRPr="0012573A">
        <w:rPr>
          <w:rFonts w:ascii="Cambria" w:hAnsi="Cambria"/>
        </w:rPr>
        <w:t>limited utility.</w:t>
      </w:r>
      <w:r w:rsidR="00BE2EDF">
        <w:rPr>
          <w:rFonts w:ascii="Cambria" w:hAnsi="Cambria"/>
        </w:rPr>
        <w:t xml:space="preserve"> While it is true that </w:t>
      </w:r>
      <w:r w:rsidR="00D847F4">
        <w:rPr>
          <w:rFonts w:ascii="Cambria" w:hAnsi="Cambria"/>
          <w:lang w:val="en-US"/>
        </w:rPr>
        <w:t xml:space="preserve">individuals </w:t>
      </w:r>
      <w:r w:rsidR="00BE2EDF">
        <w:rPr>
          <w:rFonts w:ascii="Cambria" w:hAnsi="Cambria"/>
        </w:rPr>
        <w:t xml:space="preserve"> can take </w:t>
      </w:r>
      <w:r w:rsidR="00D847F4">
        <w:rPr>
          <w:rFonts w:ascii="Cambria" w:hAnsi="Cambria"/>
          <w:lang w:val="en-US"/>
        </w:rPr>
        <w:t xml:space="preserve">some useful </w:t>
      </w:r>
      <w:r w:rsidR="00D847F4">
        <w:rPr>
          <w:rFonts w:ascii="Cambria" w:hAnsi="Cambria"/>
        </w:rPr>
        <w:t xml:space="preserve">actions </w:t>
      </w:r>
      <w:r w:rsidR="00BE2EDF">
        <w:rPr>
          <w:rFonts w:ascii="Cambria" w:hAnsi="Cambria"/>
        </w:rPr>
        <w:t xml:space="preserve">in order to improve their lifestyles, the idea that encouraging individual responsibility can resolve fundamental problems at the root of </w:t>
      </w:r>
      <w:r w:rsidR="00326109">
        <w:rPr>
          <w:rFonts w:ascii="Cambria" w:hAnsi="Cambria"/>
        </w:rPr>
        <w:t>NCD</w:t>
      </w:r>
      <w:r w:rsidR="00BE2EDF">
        <w:rPr>
          <w:rFonts w:ascii="Cambria" w:hAnsi="Cambria"/>
        </w:rPr>
        <w:t xml:space="preserve"> </w:t>
      </w:r>
      <w:r w:rsidR="00326109">
        <w:rPr>
          <w:rFonts w:ascii="Cambria" w:hAnsi="Cambria"/>
        </w:rPr>
        <w:t>issues</w:t>
      </w:r>
      <w:r w:rsidR="00BE2EDF">
        <w:rPr>
          <w:rFonts w:ascii="Cambria" w:hAnsi="Cambria"/>
        </w:rPr>
        <w:t xml:space="preserve"> </w:t>
      </w:r>
      <w:r w:rsidR="004267C9" w:rsidRPr="0012573A">
        <w:rPr>
          <w:rFonts w:ascii="Cambria" w:hAnsi="Cambria"/>
        </w:rPr>
        <w:t xml:space="preserve">is a creation of corporations </w:t>
      </w:r>
      <w:r w:rsidR="00C54CA9">
        <w:rPr>
          <w:rFonts w:ascii="Cambria" w:hAnsi="Cambria"/>
          <w:lang w:val="en-US"/>
        </w:rPr>
        <w:t xml:space="preserve">that are </w:t>
      </w:r>
      <w:r w:rsidR="004267C9" w:rsidRPr="0012573A">
        <w:rPr>
          <w:rFonts w:ascii="Cambria" w:hAnsi="Cambria"/>
        </w:rPr>
        <w:t xml:space="preserve">desperate to shift the spotlight away from </w:t>
      </w:r>
      <w:r w:rsidR="00C54CA9">
        <w:rPr>
          <w:rFonts w:ascii="Cambria" w:hAnsi="Cambria"/>
          <w:lang w:val="en-US"/>
        </w:rPr>
        <w:t xml:space="preserve">the fact that it is they who actually make a more significant contribution to these fundamental root </w:t>
      </w:r>
      <w:r w:rsidR="00C8213D">
        <w:rPr>
          <w:rFonts w:ascii="Cambria" w:hAnsi="Cambria"/>
          <w:lang w:val="en-US"/>
        </w:rPr>
        <w:t>problems</w:t>
      </w:r>
      <w:r w:rsidR="00BE2EDF">
        <w:rPr>
          <w:rFonts w:ascii="Cambria" w:hAnsi="Cambria"/>
        </w:rPr>
        <w:t xml:space="preserve">. Paradigmatic ideas </w:t>
      </w:r>
      <w:r w:rsidR="004267C9" w:rsidRPr="0012573A">
        <w:rPr>
          <w:rFonts w:ascii="Cambria" w:hAnsi="Cambria"/>
        </w:rPr>
        <w:t>‘guide what problems are deeme</w:t>
      </w:r>
      <w:r w:rsidR="00C8213D">
        <w:rPr>
          <w:rFonts w:ascii="Cambria" w:hAnsi="Cambria"/>
        </w:rPr>
        <w:t>d acceptable for investigation</w:t>
      </w:r>
      <w:r w:rsidR="00FF28CD">
        <w:rPr>
          <w:rFonts w:ascii="Cambria" w:hAnsi="Cambria"/>
        </w:rPr>
        <w:t>’</w:t>
      </w:r>
      <w:r w:rsidR="004267C9" w:rsidRPr="0012573A">
        <w:rPr>
          <w:rFonts w:ascii="Cambria" w:hAnsi="Cambria"/>
          <w:vertAlign w:val="superscript"/>
        </w:rPr>
        <w:footnoteReference w:id="75"/>
      </w:r>
      <w:r w:rsidR="00C8213D">
        <w:rPr>
          <w:rFonts w:ascii="Cambria" w:hAnsi="Cambria"/>
          <w:lang w:val="en-US"/>
        </w:rPr>
        <w:t xml:space="preserve"> – this particular paradigm is </w:t>
      </w:r>
      <w:r w:rsidR="006943E5">
        <w:rPr>
          <w:rFonts w:ascii="Cambria" w:hAnsi="Cambria"/>
          <w:lang w:val="en-US"/>
        </w:rPr>
        <w:t xml:space="preserve">falsely </w:t>
      </w:r>
      <w:r w:rsidR="00C8213D">
        <w:rPr>
          <w:rFonts w:ascii="Cambria" w:hAnsi="Cambria"/>
          <w:lang w:val="en-US"/>
        </w:rPr>
        <w:t>leadin</w:t>
      </w:r>
      <w:r w:rsidR="006943E5">
        <w:rPr>
          <w:rFonts w:ascii="Cambria" w:hAnsi="Cambria"/>
          <w:lang w:val="en-US"/>
        </w:rPr>
        <w:t>g policym</w:t>
      </w:r>
      <w:r w:rsidR="00E340C0">
        <w:rPr>
          <w:rFonts w:ascii="Cambria" w:hAnsi="Cambria"/>
          <w:lang w:val="en-US"/>
        </w:rPr>
        <w:t xml:space="preserve">akers to assume that the consumption habits of individuals are the problem, not the </w:t>
      </w:r>
      <w:r w:rsidR="006943E5">
        <w:rPr>
          <w:rFonts w:ascii="Cambria" w:hAnsi="Cambria"/>
          <w:lang w:val="en-US"/>
        </w:rPr>
        <w:t xml:space="preserve">corporations that sell </w:t>
      </w:r>
      <w:r w:rsidR="00484CEC">
        <w:rPr>
          <w:rFonts w:ascii="Cambria" w:hAnsi="Cambria"/>
          <w:lang w:val="en-US"/>
        </w:rPr>
        <w:t>them the products they consume.</w:t>
      </w:r>
    </w:p>
    <w:p w14:paraId="0B99764C" w14:textId="65CE0F47" w:rsidR="004267C9" w:rsidRPr="0014150B" w:rsidRDefault="00484CEC" w:rsidP="004267C9">
      <w:pPr>
        <w:autoSpaceDE w:val="0"/>
        <w:autoSpaceDN w:val="0"/>
        <w:adjustRightInd w:val="0"/>
        <w:spacing w:after="200" w:line="276" w:lineRule="auto"/>
        <w:rPr>
          <w:rFonts w:ascii="Cambria" w:hAnsi="Cambria"/>
          <w:lang w:val="en-US"/>
        </w:rPr>
      </w:pPr>
      <w:r>
        <w:rPr>
          <w:rFonts w:ascii="Cambria" w:hAnsi="Cambria"/>
          <w:lang w:val="en-US"/>
        </w:rPr>
        <w:t>I</w:t>
      </w:r>
      <w:proofErr w:type="spellStart"/>
      <w:r w:rsidR="00BE2EDF">
        <w:rPr>
          <w:rFonts w:ascii="Cambria" w:hAnsi="Cambria"/>
        </w:rPr>
        <w:t>ndividuals</w:t>
      </w:r>
      <w:proofErr w:type="spellEnd"/>
      <w:r w:rsidR="008A48E2">
        <w:rPr>
          <w:rFonts w:ascii="Cambria" w:hAnsi="Cambria"/>
          <w:lang w:val="en-US"/>
        </w:rPr>
        <w:t xml:space="preserve"> actually possess very little power to chan</w:t>
      </w:r>
      <w:r w:rsidR="00654A13">
        <w:rPr>
          <w:rFonts w:ascii="Cambria" w:hAnsi="Cambria"/>
          <w:lang w:val="en-US"/>
        </w:rPr>
        <w:t xml:space="preserve">ge the context in which they interact with products that are linked to NCD causation. This power largely lies with MNCs themselves. However the real problem is that MNCs do not on the whole exercise this power for the benefit of </w:t>
      </w:r>
      <w:r w:rsidR="00782000">
        <w:rPr>
          <w:rFonts w:ascii="Cambria" w:hAnsi="Cambria"/>
          <w:lang w:val="en-US"/>
        </w:rPr>
        <w:t xml:space="preserve">population health. From a corporate perspective,  </w:t>
      </w:r>
      <w:r w:rsidR="004267C9" w:rsidRPr="0012573A">
        <w:rPr>
          <w:rFonts w:ascii="Cambria" w:hAnsi="Cambria"/>
        </w:rPr>
        <w:t xml:space="preserve">‘once one accepts that individuals systematically behave in </w:t>
      </w:r>
      <w:proofErr w:type="spellStart"/>
      <w:r w:rsidR="004267C9" w:rsidRPr="0012573A">
        <w:rPr>
          <w:rFonts w:ascii="Cambria" w:hAnsi="Cambria"/>
        </w:rPr>
        <w:t>nonrational</w:t>
      </w:r>
      <w:proofErr w:type="spellEnd"/>
      <w:r w:rsidR="004267C9" w:rsidRPr="0012573A">
        <w:rPr>
          <w:rFonts w:ascii="Cambria" w:hAnsi="Cambria"/>
        </w:rPr>
        <w:t xml:space="preserve"> ways, it follows from an economic perspective that others will exp</w:t>
      </w:r>
      <w:r w:rsidR="00FF28CD">
        <w:rPr>
          <w:rFonts w:ascii="Cambria" w:hAnsi="Cambria"/>
        </w:rPr>
        <w:t>loit those tendencies for gain.’</w:t>
      </w:r>
      <w:r w:rsidR="004267C9" w:rsidRPr="0012573A">
        <w:rPr>
          <w:rFonts w:ascii="Cambria" w:hAnsi="Cambria"/>
          <w:vertAlign w:val="superscript"/>
        </w:rPr>
        <w:footnoteReference w:id="76"/>
      </w:r>
      <w:r w:rsidR="004267C9" w:rsidRPr="0012573A">
        <w:rPr>
          <w:rFonts w:ascii="Cambria" w:hAnsi="Cambria"/>
        </w:rPr>
        <w:t xml:space="preserve">  </w:t>
      </w:r>
      <w:r w:rsidR="00782000">
        <w:rPr>
          <w:rFonts w:ascii="Cambria" w:hAnsi="Cambria"/>
          <w:lang w:val="en-US"/>
        </w:rPr>
        <w:t xml:space="preserve">Policy ideas revolving around </w:t>
      </w:r>
      <w:r w:rsidR="00DD63EF">
        <w:rPr>
          <w:rFonts w:ascii="Cambria" w:hAnsi="Cambria"/>
        </w:rPr>
        <w:t xml:space="preserve">personal responsibility </w:t>
      </w:r>
      <w:r w:rsidR="00782000">
        <w:rPr>
          <w:rFonts w:ascii="Cambria" w:hAnsi="Cambria"/>
          <w:lang w:val="en-US"/>
        </w:rPr>
        <w:t>have been a clever way of disguising this u</w:t>
      </w:r>
      <w:r w:rsidR="0014150B">
        <w:rPr>
          <w:rFonts w:ascii="Cambria" w:hAnsi="Cambria"/>
          <w:lang w:val="en-US"/>
        </w:rPr>
        <w:t>ncomfortable truth.</w:t>
      </w:r>
    </w:p>
    <w:p w14:paraId="195BEC79" w14:textId="0DBCA78D" w:rsidR="004267C9" w:rsidRPr="0012573A" w:rsidRDefault="004267C9" w:rsidP="004267C9">
      <w:pPr>
        <w:autoSpaceDE w:val="0"/>
        <w:autoSpaceDN w:val="0"/>
        <w:adjustRightInd w:val="0"/>
        <w:spacing w:after="200" w:line="276" w:lineRule="auto"/>
        <w:rPr>
          <w:rFonts w:ascii="Cambria" w:hAnsi="Cambria"/>
        </w:rPr>
      </w:pPr>
      <w:r w:rsidRPr="0012573A">
        <w:rPr>
          <w:rFonts w:ascii="Cambria" w:hAnsi="Cambria"/>
        </w:rPr>
        <w:t>Adop</w:t>
      </w:r>
      <w:r w:rsidR="00DD63EF">
        <w:rPr>
          <w:rFonts w:ascii="Cambria" w:hAnsi="Cambria"/>
        </w:rPr>
        <w:t>ting an approach that identifies</w:t>
      </w:r>
      <w:r w:rsidRPr="0012573A">
        <w:rPr>
          <w:rFonts w:ascii="Cambria" w:hAnsi="Cambria"/>
        </w:rPr>
        <w:t xml:space="preserve"> </w:t>
      </w:r>
      <w:r w:rsidR="006734C7">
        <w:rPr>
          <w:rFonts w:ascii="Cambria" w:hAnsi="Cambria"/>
        </w:rPr>
        <w:t xml:space="preserve">government and corporations </w:t>
      </w:r>
      <w:r w:rsidRPr="0012573A">
        <w:rPr>
          <w:rFonts w:ascii="Cambria" w:hAnsi="Cambria"/>
        </w:rPr>
        <w:t xml:space="preserve">as </w:t>
      </w:r>
      <w:r w:rsidR="00DD63EF">
        <w:rPr>
          <w:rFonts w:ascii="Cambria" w:hAnsi="Cambria"/>
        </w:rPr>
        <w:t xml:space="preserve">those </w:t>
      </w:r>
      <w:r w:rsidRPr="0012573A">
        <w:rPr>
          <w:rFonts w:ascii="Cambria" w:hAnsi="Cambria"/>
        </w:rPr>
        <w:t xml:space="preserve">with the greatest power and ability to </w:t>
      </w:r>
      <w:r w:rsidR="00DD63EF">
        <w:rPr>
          <w:rFonts w:ascii="Cambria" w:hAnsi="Cambria"/>
        </w:rPr>
        <w:t xml:space="preserve">reduce the risk of individuals being harmed by </w:t>
      </w:r>
      <w:r w:rsidR="00163BA4">
        <w:rPr>
          <w:rFonts w:ascii="Cambria" w:hAnsi="Cambria"/>
        </w:rPr>
        <w:t xml:space="preserve">excessive consumption of products linked to NCD development </w:t>
      </w:r>
      <w:r w:rsidRPr="0012573A">
        <w:rPr>
          <w:rFonts w:ascii="Cambria" w:hAnsi="Cambria"/>
        </w:rPr>
        <w:t>would</w:t>
      </w:r>
      <w:r w:rsidR="00DD63EF">
        <w:rPr>
          <w:rFonts w:ascii="Cambria" w:hAnsi="Cambria"/>
        </w:rPr>
        <w:t xml:space="preserve"> be far more likely to </w:t>
      </w:r>
      <w:r w:rsidRPr="0012573A">
        <w:rPr>
          <w:rFonts w:ascii="Cambria" w:hAnsi="Cambria"/>
        </w:rPr>
        <w:t xml:space="preserve">lead to effective </w:t>
      </w:r>
      <w:r w:rsidR="00326109">
        <w:rPr>
          <w:rFonts w:ascii="Cambria" w:hAnsi="Cambria"/>
        </w:rPr>
        <w:t>NCD</w:t>
      </w:r>
      <w:r w:rsidR="00DD63EF">
        <w:rPr>
          <w:rFonts w:ascii="Cambria" w:hAnsi="Cambria"/>
        </w:rPr>
        <w:t xml:space="preserve"> </w:t>
      </w:r>
      <w:r w:rsidRPr="0012573A">
        <w:rPr>
          <w:rFonts w:ascii="Cambria" w:hAnsi="Cambria"/>
        </w:rPr>
        <w:t xml:space="preserve">policy outputs. </w:t>
      </w:r>
      <w:r w:rsidR="00163BA4">
        <w:rPr>
          <w:rFonts w:ascii="Cambria" w:hAnsi="Cambria"/>
        </w:rPr>
        <w:t>A</w:t>
      </w:r>
      <w:r w:rsidR="00DD63EF">
        <w:rPr>
          <w:rFonts w:ascii="Cambria" w:hAnsi="Cambria"/>
        </w:rPr>
        <w:t xml:space="preserve"> </w:t>
      </w:r>
      <w:r w:rsidR="00163BA4">
        <w:rPr>
          <w:rFonts w:ascii="Cambria" w:hAnsi="Cambria"/>
        </w:rPr>
        <w:t xml:space="preserve">basic rationale for why the state holds </w:t>
      </w:r>
      <w:r w:rsidR="00DD63EF">
        <w:rPr>
          <w:rFonts w:ascii="Cambria" w:hAnsi="Cambria"/>
        </w:rPr>
        <w:t>authority</w:t>
      </w:r>
      <w:r w:rsidR="00163BA4">
        <w:rPr>
          <w:rFonts w:ascii="Cambria" w:hAnsi="Cambria"/>
        </w:rPr>
        <w:t xml:space="preserve"> to make public health law is that </w:t>
      </w:r>
      <w:r w:rsidRPr="0012573A">
        <w:rPr>
          <w:rFonts w:ascii="Cambria" w:hAnsi="Cambria"/>
        </w:rPr>
        <w:t>‘no single individual, or group of individuals, can ensu</w:t>
      </w:r>
      <w:r w:rsidR="00FF28CD">
        <w:rPr>
          <w:rFonts w:ascii="Cambria" w:hAnsi="Cambria"/>
        </w:rPr>
        <w:t>re the health of the community.’</w:t>
      </w:r>
      <w:r w:rsidRPr="0012573A">
        <w:rPr>
          <w:rFonts w:ascii="Cambria" w:hAnsi="Cambria"/>
          <w:vertAlign w:val="superscript"/>
        </w:rPr>
        <w:footnoteReference w:id="77"/>
      </w:r>
      <w:r w:rsidRPr="0012573A">
        <w:rPr>
          <w:rFonts w:ascii="Cambria" w:hAnsi="Cambria"/>
        </w:rPr>
        <w:t xml:space="preserve"> By allowing themselves to be drawn in by the personal responsibility rhetoric of multinational corpo</w:t>
      </w:r>
      <w:r w:rsidR="00DD63EF">
        <w:rPr>
          <w:rFonts w:ascii="Cambria" w:hAnsi="Cambria"/>
        </w:rPr>
        <w:t>rations, government</w:t>
      </w:r>
      <w:r w:rsidR="00125E79">
        <w:rPr>
          <w:rFonts w:ascii="Cambria" w:hAnsi="Cambria"/>
        </w:rPr>
        <w:t xml:space="preserve"> policymakers</w:t>
      </w:r>
      <w:r w:rsidR="00DD63EF">
        <w:rPr>
          <w:rFonts w:ascii="Cambria" w:hAnsi="Cambria"/>
        </w:rPr>
        <w:t xml:space="preserve"> have to a great extent</w:t>
      </w:r>
      <w:r w:rsidRPr="0012573A">
        <w:rPr>
          <w:rFonts w:ascii="Cambria" w:hAnsi="Cambria"/>
        </w:rPr>
        <w:t xml:space="preserve"> ‘abdicat</w:t>
      </w:r>
      <w:r w:rsidR="00125E79">
        <w:rPr>
          <w:rFonts w:ascii="Cambria" w:hAnsi="Cambria"/>
        </w:rPr>
        <w:t xml:space="preserve">e[d] </w:t>
      </w:r>
      <w:r w:rsidRPr="0012573A">
        <w:rPr>
          <w:rFonts w:ascii="Cambria" w:hAnsi="Cambria"/>
        </w:rPr>
        <w:t xml:space="preserve">their responsibilities for the promotion and protection of their citizens’ </w:t>
      </w:r>
      <w:r w:rsidR="00DD63EF">
        <w:rPr>
          <w:rFonts w:ascii="Cambria" w:hAnsi="Cambria"/>
        </w:rPr>
        <w:t>health</w:t>
      </w:r>
      <w:r w:rsidR="00FF28CD">
        <w:rPr>
          <w:rFonts w:ascii="Cambria" w:hAnsi="Cambria"/>
        </w:rPr>
        <w:t>.</w:t>
      </w:r>
      <w:r w:rsidR="00DD63EF">
        <w:rPr>
          <w:rFonts w:ascii="Cambria" w:hAnsi="Cambria"/>
        </w:rPr>
        <w:t>’</w:t>
      </w:r>
      <w:r w:rsidRPr="0012573A">
        <w:rPr>
          <w:rFonts w:ascii="Cambria" w:hAnsi="Cambria"/>
          <w:vertAlign w:val="superscript"/>
        </w:rPr>
        <w:footnoteReference w:id="78"/>
      </w:r>
      <w:r w:rsidR="00125E79">
        <w:rPr>
          <w:rFonts w:ascii="Cambria" w:hAnsi="Cambria"/>
        </w:rPr>
        <w:t xml:space="preserve"> </w:t>
      </w:r>
      <w:r w:rsidR="00343B54">
        <w:rPr>
          <w:rFonts w:ascii="Cambria" w:hAnsi="Cambria"/>
        </w:rPr>
        <w:t>Governments</w:t>
      </w:r>
      <w:r w:rsidR="00125E79">
        <w:rPr>
          <w:rFonts w:ascii="Cambria" w:hAnsi="Cambria"/>
        </w:rPr>
        <w:t xml:space="preserve"> must instead </w:t>
      </w:r>
      <w:r w:rsidR="0014150B">
        <w:rPr>
          <w:rFonts w:ascii="Cambria" w:hAnsi="Cambria"/>
          <w:lang w:val="en-US"/>
        </w:rPr>
        <w:t xml:space="preserve">come to terms with the fact that </w:t>
      </w:r>
      <w:r w:rsidR="00DD63EF">
        <w:rPr>
          <w:rFonts w:ascii="Cambria" w:hAnsi="Cambria"/>
        </w:rPr>
        <w:t xml:space="preserve">corporations are responsible for creating a consumer environment in which it is easy to </w:t>
      </w:r>
      <w:r w:rsidR="00DD63EF">
        <w:rPr>
          <w:rFonts w:ascii="Cambria" w:hAnsi="Cambria"/>
        </w:rPr>
        <w:lastRenderedPageBreak/>
        <w:t>make unhealthy decisions</w:t>
      </w:r>
      <w:r w:rsidRPr="0012573A">
        <w:rPr>
          <w:rFonts w:ascii="Cambria" w:hAnsi="Cambria"/>
        </w:rPr>
        <w:t xml:space="preserve">. I therefore argue that ideas relating to government and corporate responsibility should gain far greater standing in policy debates. </w:t>
      </w:r>
    </w:p>
    <w:p w14:paraId="768B8D89" w14:textId="784A64CF" w:rsidR="004267C9" w:rsidRPr="0012573A" w:rsidRDefault="004267C9" w:rsidP="004267C9">
      <w:pPr>
        <w:autoSpaceDE w:val="0"/>
        <w:autoSpaceDN w:val="0"/>
        <w:adjustRightInd w:val="0"/>
        <w:spacing w:after="200" w:line="276" w:lineRule="auto"/>
        <w:rPr>
          <w:rFonts w:ascii="Cambria" w:hAnsi="Cambria"/>
        </w:rPr>
      </w:pPr>
      <w:r w:rsidRPr="0012573A">
        <w:rPr>
          <w:rFonts w:ascii="Cambria" w:hAnsi="Cambria"/>
        </w:rPr>
        <w:t xml:space="preserve">Having </w:t>
      </w:r>
      <w:r w:rsidR="00F106AA">
        <w:rPr>
          <w:rFonts w:ascii="Cambria" w:hAnsi="Cambria"/>
          <w:lang w:val="en-US"/>
        </w:rPr>
        <w:t xml:space="preserve">offered </w:t>
      </w:r>
      <w:r w:rsidR="00F106AA">
        <w:rPr>
          <w:rFonts w:ascii="Cambria" w:hAnsi="Cambria"/>
        </w:rPr>
        <w:t xml:space="preserve">suggestions for </w:t>
      </w:r>
      <w:r w:rsidRPr="0012573A">
        <w:rPr>
          <w:rFonts w:ascii="Cambria" w:hAnsi="Cambria"/>
        </w:rPr>
        <w:t>ideas that should replace those that are currently dominant in policy making, I will move on to discuss how the rise of these ideas coul</w:t>
      </w:r>
      <w:r w:rsidR="00125E79">
        <w:rPr>
          <w:rFonts w:ascii="Cambria" w:hAnsi="Cambria"/>
        </w:rPr>
        <w:t xml:space="preserve">d be promoted through targeted </w:t>
      </w:r>
      <w:r w:rsidRPr="0012573A">
        <w:rPr>
          <w:rFonts w:ascii="Cambria" w:hAnsi="Cambria"/>
        </w:rPr>
        <w:t xml:space="preserve">action to reduce the power of the </w:t>
      </w:r>
      <w:r w:rsidR="0002252B" w:rsidRPr="0012573A">
        <w:rPr>
          <w:rFonts w:ascii="Cambria" w:hAnsi="Cambria"/>
        </w:rPr>
        <w:t>MNCs</w:t>
      </w:r>
      <w:r w:rsidR="00852559">
        <w:rPr>
          <w:rFonts w:ascii="Cambria" w:hAnsi="Cambria"/>
        </w:rPr>
        <w:t xml:space="preserve"> in policymaking.</w:t>
      </w:r>
      <w:r w:rsidRPr="0012573A">
        <w:rPr>
          <w:rFonts w:ascii="Cambria" w:hAnsi="Cambria"/>
        </w:rPr>
        <w:t xml:space="preserve"> </w:t>
      </w:r>
    </w:p>
    <w:p w14:paraId="3A4C2DDD" w14:textId="77777777" w:rsidR="004267C9" w:rsidRPr="005C2F74" w:rsidRDefault="004267C9" w:rsidP="004267C9">
      <w:pPr>
        <w:autoSpaceDE w:val="0"/>
        <w:autoSpaceDN w:val="0"/>
        <w:adjustRightInd w:val="0"/>
        <w:spacing w:after="200" w:line="276" w:lineRule="auto"/>
        <w:rPr>
          <w:rFonts w:ascii="Cambria" w:hAnsi="Cambria"/>
          <w:sz w:val="24"/>
        </w:rPr>
      </w:pPr>
    </w:p>
    <w:p w14:paraId="17883FF8" w14:textId="7C11E1CD" w:rsidR="004267C9" w:rsidRPr="005C2F74" w:rsidRDefault="00FF28CD" w:rsidP="00852559">
      <w:pPr>
        <w:autoSpaceDE w:val="0"/>
        <w:autoSpaceDN w:val="0"/>
        <w:adjustRightInd w:val="0"/>
        <w:spacing w:after="200" w:line="276" w:lineRule="auto"/>
        <w:ind w:left="720" w:hanging="720"/>
        <w:rPr>
          <w:rFonts w:ascii="Cambria" w:hAnsi="Cambria"/>
          <w:b/>
          <w:sz w:val="24"/>
        </w:rPr>
      </w:pPr>
      <w:r>
        <w:rPr>
          <w:rFonts w:ascii="Cambria" w:hAnsi="Cambria"/>
          <w:b/>
          <w:sz w:val="24"/>
        </w:rPr>
        <w:t>B</w:t>
      </w:r>
      <w:r w:rsidR="00852559">
        <w:rPr>
          <w:rFonts w:ascii="Cambria" w:hAnsi="Cambria"/>
          <w:b/>
          <w:sz w:val="24"/>
        </w:rPr>
        <w:tab/>
      </w:r>
      <w:r w:rsidR="004267C9" w:rsidRPr="005C2F74">
        <w:rPr>
          <w:rFonts w:ascii="Cambria" w:hAnsi="Cambria"/>
          <w:b/>
          <w:sz w:val="24"/>
        </w:rPr>
        <w:t>Practices to target that will shift the balance of power and how to make this process transparent and acceptable</w:t>
      </w:r>
    </w:p>
    <w:p w14:paraId="7561C265" w14:textId="19748C97" w:rsidR="004267C9" w:rsidRPr="007F0B9F" w:rsidRDefault="00DC3BBD" w:rsidP="004267C9">
      <w:pPr>
        <w:autoSpaceDE w:val="0"/>
        <w:autoSpaceDN w:val="0"/>
        <w:adjustRightInd w:val="0"/>
        <w:spacing w:after="200" w:line="276" w:lineRule="auto"/>
        <w:rPr>
          <w:rFonts w:ascii="Cambria" w:hAnsi="Cambria"/>
        </w:rPr>
      </w:pPr>
      <w:r>
        <w:rPr>
          <w:rFonts w:ascii="Cambria" w:hAnsi="Cambria"/>
          <w:lang w:val="en-US"/>
        </w:rPr>
        <w:t>T</w:t>
      </w:r>
      <w:r w:rsidR="004267C9" w:rsidRPr="007F0B9F">
        <w:rPr>
          <w:rFonts w:ascii="Cambria" w:hAnsi="Cambria"/>
        </w:rPr>
        <w:t xml:space="preserve">he root of the industry’s ability to influence the outcome of </w:t>
      </w:r>
      <w:r w:rsidR="00326109">
        <w:rPr>
          <w:rFonts w:ascii="Cambria" w:hAnsi="Cambria"/>
        </w:rPr>
        <w:t>NCD</w:t>
      </w:r>
      <w:r>
        <w:rPr>
          <w:rFonts w:ascii="Cambria" w:hAnsi="Cambria"/>
        </w:rPr>
        <w:t xml:space="preserve"> policymaking is </w:t>
      </w:r>
      <w:r w:rsidR="004267C9" w:rsidRPr="007F0B9F">
        <w:rPr>
          <w:rFonts w:ascii="Cambria" w:hAnsi="Cambria"/>
        </w:rPr>
        <w:t xml:space="preserve">the aura of social legitimacy it </w:t>
      </w:r>
      <w:r>
        <w:rPr>
          <w:rFonts w:ascii="Cambria" w:hAnsi="Cambria"/>
          <w:lang w:val="en-US"/>
        </w:rPr>
        <w:t xml:space="preserve">has been </w:t>
      </w:r>
      <w:r w:rsidR="004267C9" w:rsidRPr="007F0B9F">
        <w:rPr>
          <w:rFonts w:ascii="Cambria" w:hAnsi="Cambria"/>
        </w:rPr>
        <w:t>able to create for itself.</w:t>
      </w:r>
      <w:r>
        <w:rPr>
          <w:rFonts w:ascii="Cambria" w:hAnsi="Cambria"/>
          <w:lang w:val="en-US"/>
        </w:rPr>
        <w:t xml:space="preserve"> If MNCs lose this social legitimacy, their policy power will be weakened, and </w:t>
      </w:r>
      <w:r w:rsidR="00E703AA">
        <w:rPr>
          <w:rFonts w:ascii="Cambria" w:hAnsi="Cambria"/>
          <w:lang w:val="en-US"/>
        </w:rPr>
        <w:t xml:space="preserve">policy ideas that better reflect the public health interest can come to the fore. </w:t>
      </w:r>
      <w:r w:rsidR="003F2EAD">
        <w:rPr>
          <w:rFonts w:ascii="Cambria" w:hAnsi="Cambria"/>
          <w:lang w:val="en-US"/>
        </w:rPr>
        <w:t>I propose that concerned</w:t>
      </w:r>
      <w:r w:rsidR="004267C9" w:rsidRPr="007F0B9F">
        <w:rPr>
          <w:rFonts w:ascii="Cambria" w:hAnsi="Cambria"/>
        </w:rPr>
        <w:t xml:space="preserve"> policymakers and public health activists </w:t>
      </w:r>
      <w:r w:rsidR="003F2EAD">
        <w:rPr>
          <w:rFonts w:ascii="Cambria" w:hAnsi="Cambria"/>
          <w:lang w:val="en-US"/>
        </w:rPr>
        <w:t xml:space="preserve">can take a two stage approach to </w:t>
      </w:r>
      <w:r w:rsidR="009A36A4">
        <w:rPr>
          <w:rFonts w:ascii="Cambria" w:hAnsi="Cambria"/>
          <w:lang w:val="en-US"/>
        </w:rPr>
        <w:t>countering the tactics used by MNCs to build social legitimacy – which, briefly, were adopting a unified front</w:t>
      </w:r>
      <w:r w:rsidR="00FD400A">
        <w:rPr>
          <w:rFonts w:ascii="Cambria" w:hAnsi="Cambria"/>
          <w:lang w:val="en-US"/>
        </w:rPr>
        <w:t>,</w:t>
      </w:r>
      <w:r w:rsidR="009A36A4">
        <w:rPr>
          <w:rFonts w:ascii="Cambria" w:hAnsi="Cambria"/>
          <w:lang w:val="en-US"/>
        </w:rPr>
        <w:t xml:space="preserve"> </w:t>
      </w:r>
      <w:r w:rsidR="009A36A4" w:rsidRPr="007F0B9F">
        <w:rPr>
          <w:rFonts w:ascii="Cambria" w:hAnsi="Cambria"/>
        </w:rPr>
        <w:t>portraying themselves as socially acceptable</w:t>
      </w:r>
      <w:r w:rsidR="009A36A4">
        <w:rPr>
          <w:rFonts w:ascii="Cambria" w:hAnsi="Cambria"/>
        </w:rPr>
        <w:t>;</w:t>
      </w:r>
      <w:r w:rsidR="009A36A4" w:rsidRPr="007F0B9F">
        <w:rPr>
          <w:rFonts w:ascii="Cambria" w:hAnsi="Cambria"/>
        </w:rPr>
        <w:t xml:space="preserve"> and </w:t>
      </w:r>
      <w:r w:rsidR="00FD400A">
        <w:rPr>
          <w:rFonts w:ascii="Cambria" w:hAnsi="Cambria"/>
          <w:lang w:val="en-US"/>
        </w:rPr>
        <w:t xml:space="preserve">re-framing </w:t>
      </w:r>
      <w:r w:rsidR="009A36A4" w:rsidRPr="007F0B9F">
        <w:rPr>
          <w:rFonts w:ascii="Cambria" w:hAnsi="Cambria"/>
        </w:rPr>
        <w:t>the political debate</w:t>
      </w:r>
      <w:r w:rsidR="00FD400A">
        <w:rPr>
          <w:rFonts w:ascii="Cambria" w:hAnsi="Cambria"/>
          <w:lang w:val="en-US"/>
        </w:rPr>
        <w:t xml:space="preserve">. </w:t>
      </w:r>
      <w:r w:rsidR="00374959">
        <w:rPr>
          <w:rFonts w:ascii="Cambria" w:hAnsi="Cambria"/>
        </w:rPr>
        <w:t xml:space="preserve">First, </w:t>
      </w:r>
      <w:r w:rsidR="00326109">
        <w:rPr>
          <w:rFonts w:ascii="Cambria" w:hAnsi="Cambria"/>
        </w:rPr>
        <w:t>NCD prevention</w:t>
      </w:r>
      <w:r w:rsidR="00374959">
        <w:rPr>
          <w:rFonts w:ascii="Cambria" w:hAnsi="Cambria"/>
        </w:rPr>
        <w:t xml:space="preserve"> advocates must </w:t>
      </w:r>
      <w:r w:rsidR="00FD400A">
        <w:rPr>
          <w:rFonts w:ascii="Cambria" w:hAnsi="Cambria"/>
          <w:lang w:val="en-US"/>
        </w:rPr>
        <w:t xml:space="preserve">also </w:t>
      </w:r>
      <w:r w:rsidR="00374959">
        <w:rPr>
          <w:rFonts w:ascii="Cambria" w:hAnsi="Cambria"/>
        </w:rPr>
        <w:t>organise around</w:t>
      </w:r>
      <w:r w:rsidR="004267C9" w:rsidRPr="007F0B9F">
        <w:rPr>
          <w:rFonts w:ascii="Cambria" w:hAnsi="Cambria"/>
        </w:rPr>
        <w:t xml:space="preserve"> a stronger and more united front</w:t>
      </w:r>
      <w:r w:rsidR="002A19FA">
        <w:rPr>
          <w:rFonts w:ascii="Cambria" w:hAnsi="Cambria"/>
        </w:rPr>
        <w:t xml:space="preserve"> that is able to challenge that put forward by the industry. </w:t>
      </w:r>
      <w:r w:rsidR="002A19FA">
        <w:rPr>
          <w:rFonts w:ascii="Cambria" w:hAnsi="Cambria"/>
          <w:lang w:val="en-US"/>
        </w:rPr>
        <w:t xml:space="preserve">Second, </w:t>
      </w:r>
      <w:r w:rsidR="00374959">
        <w:rPr>
          <w:rFonts w:ascii="Cambria" w:hAnsi="Cambria"/>
        </w:rPr>
        <w:t xml:space="preserve">this front must </w:t>
      </w:r>
      <w:r w:rsidR="004267C9" w:rsidRPr="007F0B9F">
        <w:rPr>
          <w:rFonts w:ascii="Cambria" w:hAnsi="Cambria"/>
        </w:rPr>
        <w:t>publicis</w:t>
      </w:r>
      <w:r w:rsidR="00374959">
        <w:rPr>
          <w:rFonts w:ascii="Cambria" w:hAnsi="Cambria"/>
        </w:rPr>
        <w:t>e</w:t>
      </w:r>
      <w:r w:rsidR="004267C9" w:rsidRPr="007F0B9F">
        <w:rPr>
          <w:rFonts w:ascii="Cambria" w:hAnsi="Cambria"/>
        </w:rPr>
        <w:t xml:space="preserve"> and expos</w:t>
      </w:r>
      <w:r w:rsidR="00374959">
        <w:rPr>
          <w:rFonts w:ascii="Cambria" w:hAnsi="Cambria"/>
        </w:rPr>
        <w:t>e</w:t>
      </w:r>
      <w:r w:rsidR="004267C9" w:rsidRPr="007F0B9F">
        <w:rPr>
          <w:rFonts w:ascii="Cambria" w:hAnsi="Cambria"/>
        </w:rPr>
        <w:t xml:space="preserve"> the true cor</w:t>
      </w:r>
      <w:r w:rsidR="00374959">
        <w:rPr>
          <w:rFonts w:ascii="Cambria" w:hAnsi="Cambria"/>
        </w:rPr>
        <w:t>porate motives that lie behind MNC</w:t>
      </w:r>
      <w:r w:rsidR="004267C9" w:rsidRPr="007F0B9F">
        <w:rPr>
          <w:rFonts w:ascii="Cambria" w:hAnsi="Cambria"/>
        </w:rPr>
        <w:t xml:space="preserve"> marketing</w:t>
      </w:r>
      <w:r w:rsidR="00374959">
        <w:rPr>
          <w:rFonts w:ascii="Cambria" w:hAnsi="Cambria"/>
        </w:rPr>
        <w:t xml:space="preserve"> and partnership building strategies.</w:t>
      </w:r>
    </w:p>
    <w:p w14:paraId="426B95ED" w14:textId="7D384F80" w:rsidR="004267C9" w:rsidRPr="007F0B9F" w:rsidRDefault="00D86AD4" w:rsidP="004267C9">
      <w:pPr>
        <w:autoSpaceDE w:val="0"/>
        <w:autoSpaceDN w:val="0"/>
        <w:adjustRightInd w:val="0"/>
        <w:spacing w:after="200" w:line="276" w:lineRule="auto"/>
        <w:rPr>
          <w:rFonts w:ascii="Cambria" w:hAnsi="Cambria"/>
        </w:rPr>
      </w:pPr>
      <w:r>
        <w:rPr>
          <w:rFonts w:ascii="Cambria" w:hAnsi="Cambria"/>
        </w:rPr>
        <w:t xml:space="preserve">To challenge MNC power </w:t>
      </w:r>
      <w:r w:rsidR="004267C9" w:rsidRPr="007F0B9F">
        <w:rPr>
          <w:rFonts w:ascii="Cambria" w:hAnsi="Cambria"/>
        </w:rPr>
        <w:t xml:space="preserve">the public health community </w:t>
      </w:r>
      <w:r>
        <w:rPr>
          <w:rFonts w:ascii="Cambria" w:hAnsi="Cambria"/>
        </w:rPr>
        <w:t xml:space="preserve">must first </w:t>
      </w:r>
      <w:r w:rsidR="004267C9" w:rsidRPr="007F0B9F">
        <w:rPr>
          <w:rFonts w:ascii="Cambria" w:hAnsi="Cambria"/>
        </w:rPr>
        <w:t>re-examine itself, and how it engages with policy debates. Public health</w:t>
      </w:r>
      <w:r>
        <w:rPr>
          <w:rFonts w:ascii="Cambria" w:hAnsi="Cambria"/>
        </w:rPr>
        <w:t xml:space="preserve"> currently</w:t>
      </w:r>
      <w:r w:rsidR="004267C9" w:rsidRPr="007F0B9F">
        <w:rPr>
          <w:rFonts w:ascii="Cambria" w:hAnsi="Cambria"/>
        </w:rPr>
        <w:t xml:space="preserve"> ‘suffers from poor articula</w:t>
      </w:r>
      <w:r>
        <w:rPr>
          <w:rFonts w:ascii="Cambria" w:hAnsi="Cambria"/>
        </w:rPr>
        <w:t>tion, image, and understanding’</w:t>
      </w:r>
      <w:r w:rsidR="004267C9" w:rsidRPr="007F0B9F">
        <w:rPr>
          <w:rStyle w:val="FootnoteReference"/>
          <w:rFonts w:ascii="Cambria" w:hAnsi="Cambria"/>
        </w:rPr>
        <w:footnoteReference w:id="79"/>
      </w:r>
      <w:r>
        <w:rPr>
          <w:rFonts w:ascii="Cambria" w:hAnsi="Cambria"/>
        </w:rPr>
        <w:t xml:space="preserve"> – those </w:t>
      </w:r>
      <w:r w:rsidR="004267C9" w:rsidRPr="007F0B9F">
        <w:rPr>
          <w:rFonts w:ascii="Cambria" w:hAnsi="Cambria"/>
        </w:rPr>
        <w:t xml:space="preserve">who advocate for more effective action on </w:t>
      </w:r>
      <w:r w:rsidR="00326109">
        <w:rPr>
          <w:rFonts w:ascii="Cambria" w:hAnsi="Cambria"/>
        </w:rPr>
        <w:t>NCDs</w:t>
      </w:r>
      <w:r w:rsidR="00AB43A2">
        <w:rPr>
          <w:rFonts w:ascii="Cambria" w:hAnsi="Cambria"/>
        </w:rPr>
        <w:t xml:space="preserve"> are no exception. Public health </w:t>
      </w:r>
      <w:r w:rsidR="00C420C4">
        <w:rPr>
          <w:rFonts w:ascii="Cambria" w:hAnsi="Cambria"/>
        </w:rPr>
        <w:t>advocate</w:t>
      </w:r>
      <w:r w:rsidR="00C420C4">
        <w:rPr>
          <w:rFonts w:ascii="Cambria" w:hAnsi="Cambria"/>
          <w:lang w:val="en-US"/>
        </w:rPr>
        <w:t xml:space="preserve">s must begin to better understand popular concerns, and engage with these </w:t>
      </w:r>
      <w:r w:rsidR="00C653DE">
        <w:rPr>
          <w:rFonts w:ascii="Cambria" w:hAnsi="Cambria"/>
          <w:lang w:val="en-US"/>
        </w:rPr>
        <w:t>concerns through a united front</w:t>
      </w:r>
      <w:r w:rsidR="004267C9" w:rsidRPr="007F0B9F">
        <w:rPr>
          <w:rFonts w:ascii="Cambria" w:hAnsi="Cambria"/>
        </w:rPr>
        <w:t>, if the</w:t>
      </w:r>
      <w:r>
        <w:rPr>
          <w:rFonts w:ascii="Cambria" w:hAnsi="Cambria"/>
        </w:rPr>
        <w:t xml:space="preserve">y are to prevent MNCs from winning the political debate. </w:t>
      </w:r>
      <w:r w:rsidR="004267C9" w:rsidRPr="007F0B9F">
        <w:rPr>
          <w:rFonts w:ascii="Cambria" w:hAnsi="Cambria"/>
        </w:rPr>
        <w:t>As Hastings notes</w:t>
      </w:r>
      <w:r w:rsidR="00374959">
        <w:rPr>
          <w:rFonts w:ascii="Cambria" w:hAnsi="Cambria"/>
        </w:rPr>
        <w:t>,</w:t>
      </w:r>
      <w:r w:rsidR="004267C9" w:rsidRPr="007F0B9F">
        <w:rPr>
          <w:rFonts w:ascii="Cambria" w:hAnsi="Cambria"/>
        </w:rPr>
        <w:t xml:space="preserve"> public health has ‘become increasingly frag</w:t>
      </w:r>
      <w:r w:rsidR="009417B9">
        <w:rPr>
          <w:rFonts w:ascii="Cambria" w:hAnsi="Cambria"/>
        </w:rPr>
        <w:t>mented into disciplinary silos,’</w:t>
      </w:r>
      <w:r w:rsidR="004267C9" w:rsidRPr="007F0B9F">
        <w:rPr>
          <w:rStyle w:val="FootnoteReference"/>
          <w:rFonts w:ascii="Cambria" w:hAnsi="Cambria"/>
        </w:rPr>
        <w:footnoteReference w:id="80"/>
      </w:r>
      <w:r w:rsidR="004267C9" w:rsidRPr="007F0B9F">
        <w:rPr>
          <w:rFonts w:ascii="Cambria" w:hAnsi="Cambria"/>
        </w:rPr>
        <w:t xml:space="preserve"> with experts </w:t>
      </w:r>
      <w:r w:rsidR="00CB0683">
        <w:rPr>
          <w:rFonts w:ascii="Cambria" w:hAnsi="Cambria"/>
          <w:lang w:val="en-US"/>
        </w:rPr>
        <w:t>in various fields of</w:t>
      </w:r>
      <w:r w:rsidR="00374959">
        <w:rPr>
          <w:rFonts w:ascii="Cambria" w:hAnsi="Cambria"/>
        </w:rPr>
        <w:t xml:space="preserve"> </w:t>
      </w:r>
      <w:r w:rsidR="005C7C3E">
        <w:rPr>
          <w:rFonts w:ascii="Cambria" w:hAnsi="Cambria"/>
        </w:rPr>
        <w:t>NCD prevention</w:t>
      </w:r>
      <w:r w:rsidR="00374959">
        <w:rPr>
          <w:rFonts w:ascii="Cambria" w:hAnsi="Cambria"/>
        </w:rPr>
        <w:t xml:space="preserve"> </w:t>
      </w:r>
      <w:r w:rsidR="008F377D">
        <w:rPr>
          <w:rFonts w:ascii="Cambria" w:hAnsi="Cambria"/>
          <w:lang w:val="en-US"/>
        </w:rPr>
        <w:t xml:space="preserve">approaching the same problem </w:t>
      </w:r>
      <w:r w:rsidR="00374959">
        <w:rPr>
          <w:rFonts w:ascii="Cambria" w:hAnsi="Cambria"/>
        </w:rPr>
        <w:t>from various perspectives</w:t>
      </w:r>
      <w:r w:rsidR="008F377D">
        <w:rPr>
          <w:rFonts w:ascii="Cambria" w:hAnsi="Cambria"/>
          <w:lang w:val="en-US"/>
        </w:rPr>
        <w:t xml:space="preserve"> and</w:t>
      </w:r>
      <w:r w:rsidR="00374959">
        <w:rPr>
          <w:rFonts w:ascii="Cambria" w:hAnsi="Cambria"/>
        </w:rPr>
        <w:t xml:space="preserve"> hardly talking to </w:t>
      </w:r>
      <w:r w:rsidR="004267C9" w:rsidRPr="007F0B9F">
        <w:rPr>
          <w:rFonts w:ascii="Cambria" w:hAnsi="Cambria"/>
        </w:rPr>
        <w:t xml:space="preserve">talking to each other. </w:t>
      </w:r>
      <w:r w:rsidR="004267C9" w:rsidRPr="007F0B9F">
        <w:rPr>
          <w:rFonts w:ascii="Cambria" w:hAnsi="Cambria"/>
          <w:i/>
        </w:rPr>
        <w:t>All</w:t>
      </w:r>
      <w:r w:rsidR="004267C9" w:rsidRPr="007F0B9F">
        <w:rPr>
          <w:rFonts w:ascii="Cambria" w:hAnsi="Cambria"/>
        </w:rPr>
        <w:t xml:space="preserve"> those who advocate for m</w:t>
      </w:r>
      <w:r w:rsidR="005C7C3E">
        <w:rPr>
          <w:rFonts w:ascii="Cambria" w:hAnsi="Cambria"/>
        </w:rPr>
        <w:t>ore effective action on NCD prevention</w:t>
      </w:r>
      <w:r w:rsidR="00374959">
        <w:rPr>
          <w:rFonts w:ascii="Cambria" w:hAnsi="Cambria"/>
        </w:rPr>
        <w:t>,</w:t>
      </w:r>
      <w:r w:rsidR="004267C9" w:rsidRPr="007F0B9F">
        <w:rPr>
          <w:rFonts w:ascii="Cambria" w:hAnsi="Cambria"/>
        </w:rPr>
        <w:t xml:space="preserve"> whatever their specialisation</w:t>
      </w:r>
      <w:r w:rsidR="00374959">
        <w:rPr>
          <w:rFonts w:ascii="Cambria" w:hAnsi="Cambria"/>
        </w:rPr>
        <w:t xml:space="preserve">, must organise </w:t>
      </w:r>
      <w:r w:rsidR="004267C9" w:rsidRPr="007F0B9F">
        <w:rPr>
          <w:rFonts w:ascii="Cambria" w:hAnsi="Cambria"/>
        </w:rPr>
        <w:t>under effective leadership to communicate as one voice. As Lang and Rayner put it, ‘specialists need to b</w:t>
      </w:r>
      <w:r w:rsidR="009417B9">
        <w:rPr>
          <w:rFonts w:ascii="Cambria" w:hAnsi="Cambria"/>
        </w:rPr>
        <w:t>e noisy and to build alliances.’</w:t>
      </w:r>
      <w:r w:rsidR="004267C9" w:rsidRPr="007F0B9F">
        <w:rPr>
          <w:rStyle w:val="FootnoteReference"/>
          <w:rFonts w:ascii="Cambria" w:hAnsi="Cambria"/>
        </w:rPr>
        <w:footnoteReference w:id="81"/>
      </w:r>
      <w:r w:rsidR="00A939D5">
        <w:rPr>
          <w:rFonts w:ascii="Cambria" w:hAnsi="Cambria"/>
        </w:rPr>
        <w:t xml:space="preserve"> </w:t>
      </w:r>
      <w:r w:rsidR="004267C9" w:rsidRPr="007F0B9F">
        <w:rPr>
          <w:rFonts w:ascii="Cambria" w:hAnsi="Cambria"/>
        </w:rPr>
        <w:t xml:space="preserve">If </w:t>
      </w:r>
      <w:r w:rsidR="005C7C3E">
        <w:rPr>
          <w:rFonts w:ascii="Cambria" w:hAnsi="Cambria"/>
        </w:rPr>
        <w:t xml:space="preserve">NCD prevention </w:t>
      </w:r>
      <w:r w:rsidR="004267C9" w:rsidRPr="007F0B9F">
        <w:rPr>
          <w:rFonts w:ascii="Cambria" w:hAnsi="Cambria"/>
        </w:rPr>
        <w:t xml:space="preserve">advocates </w:t>
      </w:r>
      <w:r w:rsidR="00374959">
        <w:rPr>
          <w:rFonts w:ascii="Cambria" w:hAnsi="Cambria"/>
        </w:rPr>
        <w:t>can establish the same</w:t>
      </w:r>
      <w:r w:rsidR="003A4150" w:rsidRPr="007F0B9F">
        <w:rPr>
          <w:rFonts w:ascii="Cambria" w:hAnsi="Cambria"/>
        </w:rPr>
        <w:t xml:space="preserve"> ‘boldness of purpose’</w:t>
      </w:r>
      <w:r w:rsidR="003A4150" w:rsidRPr="007F0B9F">
        <w:rPr>
          <w:rStyle w:val="FootnoteReference"/>
          <w:rFonts w:ascii="Cambria" w:hAnsi="Cambria"/>
        </w:rPr>
        <w:footnoteReference w:id="82"/>
      </w:r>
      <w:r w:rsidR="003A4150" w:rsidRPr="007F0B9F">
        <w:rPr>
          <w:rFonts w:ascii="Cambria" w:hAnsi="Cambria"/>
        </w:rPr>
        <w:t xml:space="preserve"> that drives </w:t>
      </w:r>
      <w:r w:rsidR="0002252B" w:rsidRPr="007F0B9F">
        <w:rPr>
          <w:rFonts w:ascii="Cambria" w:hAnsi="Cambria"/>
        </w:rPr>
        <w:t>MNCs</w:t>
      </w:r>
      <w:r w:rsidR="003A4150" w:rsidRPr="007F0B9F">
        <w:rPr>
          <w:rFonts w:ascii="Cambria" w:hAnsi="Cambria"/>
        </w:rPr>
        <w:t xml:space="preserve">, </w:t>
      </w:r>
      <w:r w:rsidR="00374959">
        <w:rPr>
          <w:rFonts w:ascii="Cambria" w:hAnsi="Cambria"/>
        </w:rPr>
        <w:t xml:space="preserve">the domination of private interests in a debate on the health of the public can </w:t>
      </w:r>
      <w:r w:rsidR="008F377D">
        <w:rPr>
          <w:rFonts w:ascii="Cambria" w:hAnsi="Cambria"/>
          <w:lang w:val="en-US"/>
        </w:rPr>
        <w:t>be weakened</w:t>
      </w:r>
      <w:r w:rsidR="004267C9" w:rsidRPr="007F0B9F">
        <w:rPr>
          <w:rFonts w:ascii="Cambria" w:hAnsi="Cambria"/>
        </w:rPr>
        <w:t xml:space="preserve">. Consequently, the first task in weakening the policymaking power of the </w:t>
      </w:r>
      <w:r w:rsidR="0002252B" w:rsidRPr="007F0B9F">
        <w:rPr>
          <w:rFonts w:ascii="Cambria" w:hAnsi="Cambria"/>
        </w:rPr>
        <w:t>MNCs</w:t>
      </w:r>
      <w:r w:rsidR="004267C9" w:rsidRPr="007F0B9F">
        <w:rPr>
          <w:rFonts w:ascii="Cambria" w:hAnsi="Cambria"/>
        </w:rPr>
        <w:t xml:space="preserve"> is for the public health community to ‘regain the capacity and will to address complex</w:t>
      </w:r>
      <w:r w:rsidR="009417B9">
        <w:rPr>
          <w:rFonts w:ascii="Cambria" w:hAnsi="Cambria"/>
        </w:rPr>
        <w:t>ity and dare to confront power.’</w:t>
      </w:r>
      <w:r w:rsidR="004267C9" w:rsidRPr="007F0B9F">
        <w:rPr>
          <w:rStyle w:val="FootnoteReference"/>
          <w:rFonts w:ascii="Cambria" w:hAnsi="Cambria"/>
        </w:rPr>
        <w:footnoteReference w:id="83"/>
      </w:r>
      <w:r w:rsidR="004267C9" w:rsidRPr="007F0B9F">
        <w:rPr>
          <w:rFonts w:ascii="Cambria" w:hAnsi="Cambria"/>
        </w:rPr>
        <w:t xml:space="preserve">       </w:t>
      </w:r>
    </w:p>
    <w:p w14:paraId="34637B0B" w14:textId="1B1114A3" w:rsidR="004267C9" w:rsidRPr="007F0B9F" w:rsidRDefault="00374959" w:rsidP="004267C9">
      <w:pPr>
        <w:autoSpaceDE w:val="0"/>
        <w:autoSpaceDN w:val="0"/>
        <w:adjustRightInd w:val="0"/>
        <w:spacing w:after="200" w:line="276" w:lineRule="auto"/>
        <w:rPr>
          <w:rFonts w:ascii="Cambria" w:hAnsi="Cambria"/>
        </w:rPr>
      </w:pPr>
      <w:r>
        <w:rPr>
          <w:rFonts w:ascii="Cambria" w:hAnsi="Cambria"/>
        </w:rPr>
        <w:t xml:space="preserve">Once </w:t>
      </w:r>
      <w:r w:rsidR="005C7C3E">
        <w:rPr>
          <w:rFonts w:ascii="Cambria" w:hAnsi="Cambria"/>
        </w:rPr>
        <w:t>NCD prevention</w:t>
      </w:r>
      <w:r>
        <w:rPr>
          <w:rFonts w:ascii="Cambria" w:hAnsi="Cambria"/>
        </w:rPr>
        <w:t xml:space="preserve"> advocates have established a strong common purpose and se</w:t>
      </w:r>
      <w:r w:rsidR="004A3C93">
        <w:rPr>
          <w:rFonts w:ascii="Cambria" w:hAnsi="Cambria"/>
        </w:rPr>
        <w:t xml:space="preserve">nse of identity, they must </w:t>
      </w:r>
      <w:r>
        <w:rPr>
          <w:rFonts w:ascii="Cambria" w:hAnsi="Cambria"/>
        </w:rPr>
        <w:t xml:space="preserve">take action </w:t>
      </w:r>
      <w:r w:rsidR="004267C9" w:rsidRPr="007F0B9F">
        <w:rPr>
          <w:rFonts w:ascii="Cambria" w:hAnsi="Cambria"/>
        </w:rPr>
        <w:t xml:space="preserve">to expose the true motivations behind industry </w:t>
      </w:r>
      <w:r w:rsidR="004267C9" w:rsidRPr="007F0B9F">
        <w:rPr>
          <w:rFonts w:ascii="Cambria" w:hAnsi="Cambria"/>
        </w:rPr>
        <w:lastRenderedPageBreak/>
        <w:t>marketing</w:t>
      </w:r>
      <w:r>
        <w:rPr>
          <w:rFonts w:ascii="Cambria" w:hAnsi="Cambria"/>
        </w:rPr>
        <w:t xml:space="preserve"> and partnership efforts</w:t>
      </w:r>
      <w:r w:rsidR="004267C9" w:rsidRPr="007F0B9F">
        <w:rPr>
          <w:rFonts w:ascii="Cambria" w:hAnsi="Cambria"/>
        </w:rPr>
        <w:t xml:space="preserve">. </w:t>
      </w:r>
      <w:r w:rsidR="004A3C93">
        <w:rPr>
          <w:rFonts w:ascii="Cambria" w:hAnsi="Cambria"/>
          <w:lang w:val="en-US"/>
        </w:rPr>
        <w:t>Such work</w:t>
      </w:r>
      <w:r w:rsidR="004267C9" w:rsidRPr="007F0B9F">
        <w:rPr>
          <w:rFonts w:ascii="Cambria" w:hAnsi="Cambria"/>
        </w:rPr>
        <w:t xml:space="preserve"> has already been taking place</w:t>
      </w:r>
      <w:r w:rsidR="005C12E6">
        <w:rPr>
          <w:rFonts w:ascii="Cambria" w:hAnsi="Cambria"/>
        </w:rPr>
        <w:t xml:space="preserve"> in academic forums</w:t>
      </w:r>
      <w:r w:rsidR="004267C9" w:rsidRPr="007F0B9F">
        <w:rPr>
          <w:rFonts w:ascii="Cambria" w:hAnsi="Cambria"/>
        </w:rPr>
        <w:t xml:space="preserve">, </w:t>
      </w:r>
      <w:r w:rsidR="005C12E6">
        <w:rPr>
          <w:rFonts w:ascii="Cambria" w:hAnsi="Cambria"/>
        </w:rPr>
        <w:t xml:space="preserve">using </w:t>
      </w:r>
      <w:r w:rsidR="004267C9" w:rsidRPr="007F0B9F">
        <w:rPr>
          <w:rFonts w:ascii="Cambria" w:hAnsi="Cambria"/>
        </w:rPr>
        <w:t>internal industry documentation to show that underlying the desirable image projected by marketing campaigns is a far more sinister intention to recruit consumers early, exploit them, and keep them consuming.</w:t>
      </w:r>
      <w:r w:rsidR="004267C9" w:rsidRPr="007F0B9F">
        <w:rPr>
          <w:rStyle w:val="FootnoteReference"/>
          <w:rFonts w:ascii="Cambria" w:hAnsi="Cambria"/>
        </w:rPr>
        <w:footnoteReference w:id="84"/>
      </w:r>
      <w:r w:rsidR="004267C9" w:rsidRPr="007F0B9F">
        <w:rPr>
          <w:rFonts w:ascii="Cambria" w:hAnsi="Cambria"/>
        </w:rPr>
        <w:t xml:space="preserve"> These efforts need to be replicated on a far larger scale and in more widely distribute</w:t>
      </w:r>
      <w:r w:rsidR="005C12E6">
        <w:rPr>
          <w:rFonts w:ascii="Cambria" w:hAnsi="Cambria"/>
        </w:rPr>
        <w:t>d media than academic journals. The</w:t>
      </w:r>
      <w:r w:rsidR="004267C9" w:rsidRPr="007F0B9F">
        <w:rPr>
          <w:rFonts w:ascii="Cambria" w:hAnsi="Cambria"/>
        </w:rPr>
        <w:t xml:space="preserve"> message must be communicated that </w:t>
      </w:r>
      <w:r w:rsidR="0002252B" w:rsidRPr="007F0B9F">
        <w:rPr>
          <w:rFonts w:ascii="Cambria" w:hAnsi="Cambria"/>
        </w:rPr>
        <w:t>MNCs</w:t>
      </w:r>
      <w:r w:rsidR="004267C9" w:rsidRPr="007F0B9F">
        <w:rPr>
          <w:rFonts w:ascii="Cambria" w:hAnsi="Cambria"/>
        </w:rPr>
        <w:t xml:space="preserve"> </w:t>
      </w:r>
      <w:r w:rsidR="004267C9" w:rsidRPr="007F0B9F">
        <w:rPr>
          <w:rFonts w:ascii="Cambria" w:hAnsi="Cambria"/>
          <w:i/>
        </w:rPr>
        <w:t xml:space="preserve">intentionally </w:t>
      </w:r>
      <w:r w:rsidR="004267C9" w:rsidRPr="007F0B9F">
        <w:rPr>
          <w:rFonts w:ascii="Cambria" w:hAnsi="Cambria"/>
        </w:rPr>
        <w:t>disguise their motives and exploit consumers to place profit generation above people’s long term health. As Oliver remarks, narratives of the sort advocated here ‘are most potent in triggering policy initiatives when harmful consequences are view</w:t>
      </w:r>
      <w:r w:rsidR="005C12E6">
        <w:rPr>
          <w:rFonts w:ascii="Cambria" w:hAnsi="Cambria"/>
        </w:rPr>
        <w:t>ed</w:t>
      </w:r>
      <w:r w:rsidR="004267C9" w:rsidRPr="007F0B9F">
        <w:rPr>
          <w:rFonts w:ascii="Cambria" w:hAnsi="Cambria"/>
        </w:rPr>
        <w:t xml:space="preserve"> as inte</w:t>
      </w:r>
      <w:r w:rsidR="009417B9">
        <w:rPr>
          <w:rFonts w:ascii="Cambria" w:hAnsi="Cambria"/>
        </w:rPr>
        <w:t>ntional rather than accidental.’</w:t>
      </w:r>
      <w:r w:rsidR="004267C9" w:rsidRPr="007F0B9F">
        <w:rPr>
          <w:rStyle w:val="FootnoteReference"/>
          <w:rFonts w:ascii="Cambria" w:hAnsi="Cambria"/>
        </w:rPr>
        <w:footnoteReference w:id="85"/>
      </w:r>
      <w:r w:rsidR="004267C9" w:rsidRPr="007F0B9F">
        <w:rPr>
          <w:rFonts w:ascii="Cambria" w:hAnsi="Cambria"/>
        </w:rPr>
        <w:t xml:space="preserve"> </w:t>
      </w:r>
      <w:r w:rsidR="0002252B" w:rsidRPr="007F0B9F">
        <w:rPr>
          <w:rFonts w:ascii="Cambria" w:hAnsi="Cambria"/>
        </w:rPr>
        <w:t>MNCs</w:t>
      </w:r>
      <w:r w:rsidR="004267C9" w:rsidRPr="007F0B9F">
        <w:rPr>
          <w:rFonts w:ascii="Cambria" w:hAnsi="Cambria"/>
        </w:rPr>
        <w:t xml:space="preserve"> </w:t>
      </w:r>
      <w:r w:rsidR="00C825EA">
        <w:rPr>
          <w:rFonts w:ascii="Cambria" w:hAnsi="Cambria"/>
          <w:lang w:val="en-US"/>
        </w:rPr>
        <w:t xml:space="preserve">currently assert </w:t>
      </w:r>
      <w:r w:rsidR="004267C9" w:rsidRPr="007F0B9F">
        <w:rPr>
          <w:rFonts w:ascii="Cambria" w:hAnsi="Cambria"/>
        </w:rPr>
        <w:t>that irresponsible use of their products by a minority of individuals</w:t>
      </w:r>
      <w:r w:rsidR="005C12E6">
        <w:rPr>
          <w:rFonts w:ascii="Cambria" w:hAnsi="Cambria"/>
        </w:rPr>
        <w:t xml:space="preserve"> cause</w:t>
      </w:r>
      <w:r w:rsidR="005C7C3E">
        <w:rPr>
          <w:rFonts w:ascii="Cambria" w:hAnsi="Cambria"/>
        </w:rPr>
        <w:t>s</w:t>
      </w:r>
      <w:r w:rsidR="005C12E6">
        <w:rPr>
          <w:rFonts w:ascii="Cambria" w:hAnsi="Cambria"/>
        </w:rPr>
        <w:t xml:space="preserve"> </w:t>
      </w:r>
      <w:r w:rsidR="005C7C3E">
        <w:rPr>
          <w:rFonts w:ascii="Cambria" w:hAnsi="Cambria"/>
        </w:rPr>
        <w:t>NCDs</w:t>
      </w:r>
      <w:r w:rsidR="00F05AAE">
        <w:rPr>
          <w:rFonts w:ascii="Cambria" w:hAnsi="Cambria"/>
          <w:lang w:val="en-US"/>
        </w:rPr>
        <w:t>, and portray themselves as responsible partners in preventing this</w:t>
      </w:r>
      <w:r w:rsidR="005C12E6">
        <w:rPr>
          <w:rFonts w:ascii="Cambria" w:hAnsi="Cambria"/>
        </w:rPr>
        <w:t xml:space="preserve"> </w:t>
      </w:r>
      <w:r w:rsidR="00C825EA">
        <w:rPr>
          <w:rFonts w:ascii="Cambria" w:hAnsi="Cambria"/>
          <w:lang w:val="en-US"/>
        </w:rPr>
        <w:t>– the public health community must respond with public,</w:t>
      </w:r>
      <w:r w:rsidR="004267C9" w:rsidRPr="007F0B9F">
        <w:rPr>
          <w:rFonts w:ascii="Cambria" w:hAnsi="Cambria"/>
        </w:rPr>
        <w:t xml:space="preserve"> evidentially supported </w:t>
      </w:r>
      <w:r w:rsidR="00134181">
        <w:rPr>
          <w:rFonts w:ascii="Cambria" w:hAnsi="Cambria"/>
          <w:lang w:val="en-US"/>
        </w:rPr>
        <w:t xml:space="preserve">discourse that </w:t>
      </w:r>
      <w:r w:rsidR="00EA7528">
        <w:rPr>
          <w:rFonts w:ascii="Cambria" w:hAnsi="Cambria"/>
          <w:lang w:val="en-US"/>
        </w:rPr>
        <w:t>reveals the extent to which consumers are manipulated to excessively consume pro</w:t>
      </w:r>
      <w:r w:rsidR="00F05AAE">
        <w:rPr>
          <w:rFonts w:ascii="Cambria" w:hAnsi="Cambria"/>
          <w:lang w:val="en-US"/>
        </w:rPr>
        <w:t>ducts linked to NCD development, and the lengths to which MNCs g</w:t>
      </w:r>
      <w:r w:rsidR="00050FC2">
        <w:rPr>
          <w:rFonts w:ascii="Cambria" w:hAnsi="Cambria"/>
          <w:lang w:val="en-US"/>
        </w:rPr>
        <w:t>o to promote the partnership façade.</w:t>
      </w:r>
      <w:r w:rsidR="004267C9" w:rsidRPr="007F0B9F">
        <w:rPr>
          <w:rFonts w:ascii="Cambria" w:hAnsi="Cambria"/>
        </w:rPr>
        <w:t xml:space="preserve"> </w:t>
      </w:r>
      <w:r w:rsidR="00050FC2">
        <w:rPr>
          <w:rFonts w:ascii="Cambria" w:hAnsi="Cambria"/>
          <w:lang w:val="en-US"/>
        </w:rPr>
        <w:t xml:space="preserve">Major advances have been made in tobacco control largely due to </w:t>
      </w:r>
      <w:r w:rsidR="004267C9" w:rsidRPr="007F0B9F">
        <w:rPr>
          <w:rFonts w:ascii="Cambria" w:hAnsi="Cambria"/>
        </w:rPr>
        <w:t>‘perceptions of a demon industry’</w:t>
      </w:r>
      <w:r w:rsidR="005C12E6">
        <w:rPr>
          <w:rStyle w:val="FootnoteReference"/>
          <w:rFonts w:ascii="Cambria" w:hAnsi="Cambria"/>
        </w:rPr>
        <w:footnoteReference w:id="86"/>
      </w:r>
      <w:r w:rsidR="004267C9" w:rsidRPr="007F0B9F">
        <w:rPr>
          <w:rFonts w:ascii="Cambria" w:hAnsi="Cambria"/>
        </w:rPr>
        <w:t xml:space="preserve"> that purposefully manipulated youngsters and concealed evidence on tobacco harm from the public. Although </w:t>
      </w:r>
      <w:r w:rsidR="00EF334A">
        <w:rPr>
          <w:rFonts w:ascii="Cambria" w:hAnsi="Cambria"/>
        </w:rPr>
        <w:t xml:space="preserve">this </w:t>
      </w:r>
      <w:r w:rsidR="009C09F5">
        <w:rPr>
          <w:rFonts w:ascii="Cambria" w:hAnsi="Cambria"/>
        </w:rPr>
        <w:t>imagery is perhaps</w:t>
      </w:r>
      <w:r w:rsidR="005C12E6">
        <w:rPr>
          <w:rFonts w:ascii="Cambria" w:hAnsi="Cambria"/>
        </w:rPr>
        <w:t xml:space="preserve"> too strong for less homogenous industries such as alcohol and food, within which there are smaller entities with less irresponsible motives, </w:t>
      </w:r>
      <w:r w:rsidR="004267C9" w:rsidRPr="007F0B9F">
        <w:rPr>
          <w:rFonts w:ascii="Cambria" w:hAnsi="Cambria"/>
        </w:rPr>
        <w:t>a mo</w:t>
      </w:r>
      <w:r w:rsidR="005C12E6">
        <w:rPr>
          <w:rFonts w:ascii="Cambria" w:hAnsi="Cambria"/>
        </w:rPr>
        <w:t xml:space="preserve">re widespread perception of </w:t>
      </w:r>
      <w:r w:rsidR="005C12E6" w:rsidRPr="005C12E6">
        <w:rPr>
          <w:rFonts w:ascii="Cambria" w:hAnsi="Cambria"/>
          <w:i/>
        </w:rPr>
        <w:t>multinational</w:t>
      </w:r>
      <w:r w:rsidR="005C12E6">
        <w:rPr>
          <w:rFonts w:ascii="Cambria" w:hAnsi="Cambria"/>
        </w:rPr>
        <w:t xml:space="preserve"> </w:t>
      </w:r>
      <w:r w:rsidR="00B97A77">
        <w:rPr>
          <w:rFonts w:ascii="Cambria" w:hAnsi="Cambria"/>
          <w:lang w:val="en-US"/>
        </w:rPr>
        <w:t xml:space="preserve">alcohol and food </w:t>
      </w:r>
      <w:r w:rsidR="005C12E6">
        <w:rPr>
          <w:rFonts w:ascii="Cambria" w:hAnsi="Cambria"/>
        </w:rPr>
        <w:t>corporations as unf</w:t>
      </w:r>
      <w:r w:rsidR="004267C9" w:rsidRPr="007F0B9F">
        <w:rPr>
          <w:rFonts w:ascii="Cambria" w:hAnsi="Cambria"/>
        </w:rPr>
        <w:t xml:space="preserve">riendly to population health interests </w:t>
      </w:r>
      <w:r w:rsidR="00B97A77">
        <w:rPr>
          <w:rFonts w:ascii="Cambria" w:hAnsi="Cambria"/>
          <w:lang w:val="en-US"/>
        </w:rPr>
        <w:t>should be promoted</w:t>
      </w:r>
      <w:r w:rsidR="004267C9" w:rsidRPr="007F0B9F">
        <w:rPr>
          <w:rFonts w:ascii="Cambria" w:hAnsi="Cambria"/>
        </w:rPr>
        <w:t xml:space="preserve">. This will </w:t>
      </w:r>
      <w:r w:rsidR="005C12E6">
        <w:rPr>
          <w:rFonts w:ascii="Cambria" w:hAnsi="Cambria"/>
        </w:rPr>
        <w:t>begin</w:t>
      </w:r>
      <w:r w:rsidR="004267C9" w:rsidRPr="007F0B9F">
        <w:rPr>
          <w:rFonts w:ascii="Cambria" w:hAnsi="Cambria"/>
        </w:rPr>
        <w:t xml:space="preserve"> to undermine the perception of </w:t>
      </w:r>
      <w:r w:rsidR="005C12E6">
        <w:rPr>
          <w:rFonts w:ascii="Cambria" w:hAnsi="Cambria"/>
        </w:rPr>
        <w:t xml:space="preserve">such corporations as </w:t>
      </w:r>
      <w:r w:rsidR="00FF6B36">
        <w:rPr>
          <w:rFonts w:ascii="Cambria" w:hAnsi="Cambria"/>
          <w:lang w:val="en-US"/>
        </w:rPr>
        <w:t xml:space="preserve">benign </w:t>
      </w:r>
      <w:r w:rsidR="005C12E6">
        <w:rPr>
          <w:rFonts w:ascii="Cambria" w:hAnsi="Cambria"/>
        </w:rPr>
        <w:t xml:space="preserve">entities </w:t>
      </w:r>
      <w:r w:rsidR="004267C9" w:rsidRPr="007F0B9F">
        <w:rPr>
          <w:rFonts w:ascii="Cambria" w:hAnsi="Cambria"/>
        </w:rPr>
        <w:t xml:space="preserve">that simply provide products that are a desirable and normal part of modern life. </w:t>
      </w:r>
    </w:p>
    <w:p w14:paraId="031C46EA" w14:textId="77777777" w:rsidR="004267C9" w:rsidRPr="005C2F74" w:rsidRDefault="004267C9" w:rsidP="004267C9">
      <w:pPr>
        <w:autoSpaceDE w:val="0"/>
        <w:autoSpaceDN w:val="0"/>
        <w:adjustRightInd w:val="0"/>
        <w:spacing w:after="200" w:line="276" w:lineRule="auto"/>
        <w:rPr>
          <w:rFonts w:ascii="Cambria" w:hAnsi="Cambria"/>
          <w:b/>
          <w:sz w:val="28"/>
        </w:rPr>
      </w:pPr>
    </w:p>
    <w:p w14:paraId="6ED91F86" w14:textId="1A9CDF24" w:rsidR="004267C9" w:rsidRPr="005C2F74" w:rsidRDefault="00FF28CD" w:rsidP="00AD3DD7">
      <w:pPr>
        <w:autoSpaceDE w:val="0"/>
        <w:autoSpaceDN w:val="0"/>
        <w:adjustRightInd w:val="0"/>
        <w:spacing w:after="200" w:line="276" w:lineRule="auto"/>
        <w:ind w:left="720" w:hanging="720"/>
        <w:rPr>
          <w:rFonts w:ascii="Cambria" w:hAnsi="Cambria"/>
          <w:b/>
          <w:sz w:val="28"/>
        </w:rPr>
      </w:pPr>
      <w:r>
        <w:rPr>
          <w:rFonts w:ascii="Cambria" w:hAnsi="Cambria"/>
          <w:b/>
          <w:sz w:val="28"/>
        </w:rPr>
        <w:t>IV</w:t>
      </w:r>
      <w:r w:rsidR="00AD3DD7">
        <w:rPr>
          <w:rFonts w:ascii="Cambria" w:hAnsi="Cambria"/>
          <w:b/>
          <w:sz w:val="28"/>
        </w:rPr>
        <w:tab/>
      </w:r>
      <w:r w:rsidR="004267C9" w:rsidRPr="005C2F74">
        <w:rPr>
          <w:rFonts w:ascii="Cambria" w:hAnsi="Cambria"/>
          <w:b/>
          <w:sz w:val="28"/>
        </w:rPr>
        <w:t>How can policy outputs arising from the new balance of power be justified?</w:t>
      </w:r>
    </w:p>
    <w:p w14:paraId="1A9B5171" w14:textId="24AD7393" w:rsidR="004267C9" w:rsidRPr="007F0B9F" w:rsidRDefault="00511D79" w:rsidP="004267C9">
      <w:pPr>
        <w:autoSpaceDE w:val="0"/>
        <w:autoSpaceDN w:val="0"/>
        <w:adjustRightInd w:val="0"/>
        <w:spacing w:after="200" w:line="276" w:lineRule="auto"/>
        <w:rPr>
          <w:rFonts w:ascii="Cambria" w:hAnsi="Cambria"/>
        </w:rPr>
      </w:pPr>
      <w:r>
        <w:rPr>
          <w:rFonts w:ascii="Cambria" w:hAnsi="Cambria"/>
        </w:rPr>
        <w:t xml:space="preserve">So far in this paper I have </w:t>
      </w:r>
      <w:r w:rsidR="004267C9" w:rsidRPr="007F0B9F">
        <w:rPr>
          <w:rFonts w:ascii="Cambria" w:hAnsi="Cambria"/>
        </w:rPr>
        <w:t xml:space="preserve">analysed how </w:t>
      </w:r>
      <w:r w:rsidR="0002252B" w:rsidRPr="007F0B9F">
        <w:rPr>
          <w:rFonts w:ascii="Cambria" w:hAnsi="Cambria"/>
        </w:rPr>
        <w:t>MNCs</w:t>
      </w:r>
      <w:r w:rsidR="004267C9" w:rsidRPr="007F0B9F">
        <w:rPr>
          <w:rFonts w:ascii="Cambria" w:hAnsi="Cambria"/>
        </w:rPr>
        <w:t xml:space="preserve"> acquire and exercise power in order to promote policy ideas that support their policy preferences, </w:t>
      </w:r>
      <w:r w:rsidR="000B41FF">
        <w:rPr>
          <w:rFonts w:ascii="Cambria" w:hAnsi="Cambria"/>
          <w:lang w:val="en-US"/>
        </w:rPr>
        <w:t xml:space="preserve">and </w:t>
      </w:r>
      <w:r w:rsidR="00FD064F">
        <w:rPr>
          <w:rFonts w:ascii="Cambria" w:hAnsi="Cambria"/>
          <w:lang w:val="en-US"/>
        </w:rPr>
        <w:t xml:space="preserve">in so doing </w:t>
      </w:r>
      <w:r w:rsidR="000B41FF">
        <w:rPr>
          <w:rFonts w:ascii="Cambria" w:hAnsi="Cambria"/>
          <w:lang w:val="en-US"/>
        </w:rPr>
        <w:t xml:space="preserve">weaken the </w:t>
      </w:r>
      <w:r w:rsidR="00FD064F">
        <w:rPr>
          <w:rFonts w:ascii="Cambria" w:hAnsi="Cambria"/>
          <w:lang w:val="en-US"/>
        </w:rPr>
        <w:t xml:space="preserve">effectiveness of many subsequent NCD policies. </w:t>
      </w:r>
      <w:r w:rsidR="004267C9" w:rsidRPr="007F0B9F">
        <w:rPr>
          <w:rFonts w:ascii="Cambria" w:hAnsi="Cambria"/>
        </w:rPr>
        <w:t>I</w:t>
      </w:r>
      <w:r>
        <w:rPr>
          <w:rFonts w:ascii="Cambria" w:hAnsi="Cambria"/>
        </w:rPr>
        <w:t xml:space="preserve"> also </w:t>
      </w:r>
      <w:r w:rsidR="00FD064F">
        <w:rPr>
          <w:rFonts w:ascii="Cambria" w:hAnsi="Cambria"/>
          <w:lang w:val="en-US"/>
        </w:rPr>
        <w:t xml:space="preserve">suggested the types </w:t>
      </w:r>
      <w:r w:rsidR="00FD064F">
        <w:rPr>
          <w:rFonts w:ascii="Cambria" w:hAnsi="Cambria"/>
        </w:rPr>
        <w:t>of policy idea</w:t>
      </w:r>
      <w:r w:rsidR="001C25C9">
        <w:rPr>
          <w:rFonts w:ascii="Cambria" w:hAnsi="Cambria"/>
        </w:rPr>
        <w:t xml:space="preserve"> that might</w:t>
      </w:r>
      <w:r w:rsidR="004267C9" w:rsidRPr="007F0B9F">
        <w:rPr>
          <w:rFonts w:ascii="Cambria" w:hAnsi="Cambria"/>
        </w:rPr>
        <w:t xml:space="preserve"> lead to more effective outputs, and </w:t>
      </w:r>
      <w:r w:rsidR="001C25C9">
        <w:rPr>
          <w:rFonts w:ascii="Cambria" w:hAnsi="Cambria"/>
          <w:lang w:val="en-US"/>
        </w:rPr>
        <w:t>ways in which public health advocates could target the social legitimacy generated by MNCs to promote the rise of these</w:t>
      </w:r>
      <w:r w:rsidR="00BF047D">
        <w:rPr>
          <w:rFonts w:ascii="Cambria" w:hAnsi="Cambria"/>
          <w:lang w:val="en-US"/>
        </w:rPr>
        <w:t xml:space="preserve"> ideas</w:t>
      </w:r>
      <w:r w:rsidR="001C25C9">
        <w:rPr>
          <w:rFonts w:ascii="Cambria" w:hAnsi="Cambria"/>
          <w:lang w:val="en-US"/>
        </w:rPr>
        <w:t xml:space="preserve"> in policymaking.</w:t>
      </w:r>
      <w:r w:rsidR="004267C9" w:rsidRPr="007F0B9F">
        <w:rPr>
          <w:rFonts w:ascii="Cambria" w:hAnsi="Cambria"/>
        </w:rPr>
        <w:t xml:space="preserve"> </w:t>
      </w:r>
    </w:p>
    <w:p w14:paraId="410A9E85" w14:textId="38B654EE" w:rsidR="00511D79" w:rsidRDefault="004267C9" w:rsidP="004267C9">
      <w:pPr>
        <w:autoSpaceDE w:val="0"/>
        <w:autoSpaceDN w:val="0"/>
        <w:adjustRightInd w:val="0"/>
        <w:spacing w:after="200" w:line="276" w:lineRule="auto"/>
        <w:rPr>
          <w:rFonts w:ascii="Cambria" w:hAnsi="Cambria"/>
        </w:rPr>
      </w:pPr>
      <w:r w:rsidRPr="007F0B9F">
        <w:rPr>
          <w:rFonts w:ascii="Cambria" w:hAnsi="Cambria"/>
        </w:rPr>
        <w:t>The</w:t>
      </w:r>
      <w:r w:rsidR="00EC2A07">
        <w:rPr>
          <w:rFonts w:ascii="Cambria" w:hAnsi="Cambria"/>
          <w:lang w:val="en-US"/>
        </w:rPr>
        <w:t xml:space="preserve"> </w:t>
      </w:r>
      <w:r w:rsidR="002E7674">
        <w:rPr>
          <w:rFonts w:ascii="Cambria" w:hAnsi="Cambria"/>
          <w:lang w:val="en-US"/>
        </w:rPr>
        <w:t>underlying</w:t>
      </w:r>
      <w:r w:rsidRPr="007F0B9F">
        <w:rPr>
          <w:rFonts w:ascii="Cambria" w:hAnsi="Cambria"/>
        </w:rPr>
        <w:t xml:space="preserve"> argument </w:t>
      </w:r>
      <w:r w:rsidR="00C34159">
        <w:rPr>
          <w:rFonts w:ascii="Cambria" w:hAnsi="Cambria"/>
          <w:lang w:val="en-US"/>
        </w:rPr>
        <w:t>h</w:t>
      </w:r>
      <w:r w:rsidRPr="007F0B9F">
        <w:rPr>
          <w:rFonts w:ascii="Cambria" w:hAnsi="Cambria"/>
        </w:rPr>
        <w:t xml:space="preserve">as </w:t>
      </w:r>
      <w:r w:rsidR="003514C7">
        <w:rPr>
          <w:rFonts w:ascii="Cambria" w:hAnsi="Cambria"/>
          <w:lang w:val="en-US"/>
        </w:rPr>
        <w:t xml:space="preserve">been that </w:t>
      </w:r>
      <w:r w:rsidR="00BC6A9C">
        <w:rPr>
          <w:rFonts w:ascii="Cambria" w:hAnsi="Cambria"/>
          <w:lang w:val="en-US"/>
        </w:rPr>
        <w:t>an increase in the</w:t>
      </w:r>
      <w:r w:rsidR="00C34159">
        <w:rPr>
          <w:rFonts w:ascii="Cambria" w:hAnsi="Cambria"/>
          <w:lang w:val="en-US"/>
        </w:rPr>
        <w:t xml:space="preserve"> effectiveness o</w:t>
      </w:r>
      <w:r w:rsidR="002E7674">
        <w:rPr>
          <w:rFonts w:ascii="Cambria" w:hAnsi="Cambria"/>
          <w:lang w:val="en-US"/>
        </w:rPr>
        <w:t>f NCD policy outputs requires power to be taken away</w:t>
      </w:r>
      <w:r w:rsidR="002E7674">
        <w:rPr>
          <w:rFonts w:ascii="Cambria" w:hAnsi="Cambria"/>
        </w:rPr>
        <w:t xml:space="preserve"> from </w:t>
      </w:r>
      <w:r w:rsidR="00C34159">
        <w:rPr>
          <w:rFonts w:ascii="Cambria" w:hAnsi="Cambria"/>
          <w:lang w:val="en-US"/>
        </w:rPr>
        <w:t xml:space="preserve">private interests </w:t>
      </w:r>
      <w:r w:rsidR="002E7674">
        <w:rPr>
          <w:rFonts w:ascii="Cambria" w:hAnsi="Cambria"/>
        </w:rPr>
        <w:t xml:space="preserve">so that public interests can exercise theirs to greater effect. </w:t>
      </w:r>
      <w:r w:rsidR="007B3E2F">
        <w:rPr>
          <w:rFonts w:ascii="Cambria" w:hAnsi="Cambria"/>
        </w:rPr>
        <w:t>This is not an argument however for an increase</w:t>
      </w:r>
      <w:r w:rsidR="00EA7913">
        <w:rPr>
          <w:rFonts w:ascii="Cambria" w:hAnsi="Cambria"/>
          <w:lang w:val="en-US"/>
        </w:rPr>
        <w:t xml:space="preserve"> in control. As has hopefully been demonstrated by the discussion above, </w:t>
      </w:r>
      <w:r w:rsidR="00864DD2">
        <w:rPr>
          <w:rFonts w:ascii="Cambria" w:hAnsi="Cambria"/>
          <w:lang w:val="en-US"/>
        </w:rPr>
        <w:t xml:space="preserve">in the case of </w:t>
      </w:r>
      <w:r w:rsidR="00864DD2">
        <w:rPr>
          <w:rFonts w:ascii="Cambria" w:hAnsi="Cambria"/>
          <w:lang w:val="en-US"/>
        </w:rPr>
        <w:lastRenderedPageBreak/>
        <w:t xml:space="preserve">information provision </w:t>
      </w:r>
      <w:r w:rsidR="00EA7913">
        <w:rPr>
          <w:rFonts w:ascii="Cambria" w:hAnsi="Cambria"/>
          <w:lang w:val="en-US"/>
        </w:rPr>
        <w:t>control is already exercised over the consumer</w:t>
      </w:r>
      <w:r w:rsidR="00864DD2">
        <w:rPr>
          <w:rFonts w:ascii="Cambria" w:hAnsi="Cambria"/>
          <w:lang w:val="en-US"/>
        </w:rPr>
        <w:t>, as the terms upon which they receive information are not controlled by them, but largely by private int</w:t>
      </w:r>
      <w:r w:rsidR="00854D97">
        <w:rPr>
          <w:rFonts w:ascii="Cambria" w:hAnsi="Cambria"/>
          <w:lang w:val="en-US"/>
        </w:rPr>
        <w:t>erests. Thus, I argue for a change in who holds control, not the fact that control is exerted.</w:t>
      </w:r>
    </w:p>
    <w:p w14:paraId="53902CE6" w14:textId="635CBA41" w:rsidR="004267C9" w:rsidRPr="007F0B9F" w:rsidRDefault="00593119" w:rsidP="004267C9">
      <w:pPr>
        <w:autoSpaceDE w:val="0"/>
        <w:autoSpaceDN w:val="0"/>
        <w:adjustRightInd w:val="0"/>
        <w:spacing w:after="200" w:line="276" w:lineRule="auto"/>
        <w:rPr>
          <w:rFonts w:ascii="Cambria" w:hAnsi="Cambria"/>
        </w:rPr>
      </w:pPr>
      <w:r>
        <w:rPr>
          <w:rFonts w:ascii="Cambria" w:hAnsi="Cambria"/>
        </w:rPr>
        <w:t>Should public health advocates</w:t>
      </w:r>
      <w:r w:rsidR="00B758C7">
        <w:rPr>
          <w:rFonts w:ascii="Cambria" w:hAnsi="Cambria"/>
        </w:rPr>
        <w:t xml:space="preserve"> be successful in weakening</w:t>
      </w:r>
      <w:r w:rsidR="00B758C7">
        <w:rPr>
          <w:rFonts w:ascii="Cambria" w:hAnsi="Cambria"/>
          <w:lang w:val="en-US"/>
        </w:rPr>
        <w:t xml:space="preserve"> the social legitimacy of MNCs and thus their power to control, </w:t>
      </w:r>
      <w:r w:rsidR="004267C9" w:rsidRPr="007F0B9F">
        <w:rPr>
          <w:rFonts w:ascii="Cambria" w:hAnsi="Cambria"/>
        </w:rPr>
        <w:t>the</w:t>
      </w:r>
      <w:r w:rsidR="00BD1345">
        <w:rPr>
          <w:rFonts w:ascii="Cambria" w:hAnsi="Cambria"/>
          <w:lang w:val="en-US"/>
        </w:rPr>
        <w:t xml:space="preserve"> </w:t>
      </w:r>
      <w:r>
        <w:rPr>
          <w:rFonts w:ascii="Cambria" w:hAnsi="Cambria"/>
        </w:rPr>
        <w:t xml:space="preserve">result will be </w:t>
      </w:r>
      <w:r w:rsidR="00F84218">
        <w:rPr>
          <w:rFonts w:ascii="Cambria" w:hAnsi="Cambria"/>
          <w:lang w:val="en-US"/>
        </w:rPr>
        <w:t>greater control being exe</w:t>
      </w:r>
      <w:r w:rsidR="00461452">
        <w:rPr>
          <w:rFonts w:ascii="Cambria" w:hAnsi="Cambria"/>
          <w:lang w:val="en-US"/>
        </w:rPr>
        <w:t xml:space="preserve">rted by governments on decisions made by individuals regarding the </w:t>
      </w:r>
      <w:r w:rsidR="005E1FA2">
        <w:rPr>
          <w:rFonts w:ascii="Cambria" w:hAnsi="Cambria"/>
          <w:lang w:val="en-US"/>
        </w:rPr>
        <w:t>consumption of products linked to NCD development</w:t>
      </w:r>
      <w:r w:rsidR="00836F9F">
        <w:rPr>
          <w:rFonts w:ascii="Cambria" w:hAnsi="Cambria"/>
        </w:rPr>
        <w:t xml:space="preserve">. </w:t>
      </w:r>
      <w:r w:rsidR="00461452">
        <w:rPr>
          <w:rFonts w:ascii="Cambria" w:hAnsi="Cambria"/>
        </w:rPr>
        <w:t>This will increase the amount of</w:t>
      </w:r>
      <w:r w:rsidR="00836F9F">
        <w:rPr>
          <w:rFonts w:ascii="Cambria" w:hAnsi="Cambria"/>
        </w:rPr>
        <w:t xml:space="preserve"> </w:t>
      </w:r>
      <w:r w:rsidR="004267C9" w:rsidRPr="007F0B9F">
        <w:rPr>
          <w:rFonts w:ascii="Cambria" w:hAnsi="Cambria"/>
          <w:i/>
        </w:rPr>
        <w:t>paternalist</w:t>
      </w:r>
      <w:r w:rsidR="004267C9" w:rsidRPr="007F0B9F">
        <w:rPr>
          <w:rFonts w:ascii="Cambria" w:hAnsi="Cambria"/>
        </w:rPr>
        <w:t xml:space="preserve"> </w:t>
      </w:r>
      <w:r w:rsidR="00836F9F">
        <w:rPr>
          <w:rFonts w:ascii="Cambria" w:hAnsi="Cambria"/>
        </w:rPr>
        <w:t>regulation being employed – regulation which I characterise as</w:t>
      </w:r>
      <w:r w:rsidR="004267C9" w:rsidRPr="007F0B9F">
        <w:rPr>
          <w:rFonts w:ascii="Cambria" w:hAnsi="Cambria"/>
        </w:rPr>
        <w:t xml:space="preserve"> an exercise of </w:t>
      </w:r>
      <w:r w:rsidR="00E56163">
        <w:rPr>
          <w:rFonts w:ascii="Cambria" w:hAnsi="Cambria"/>
        </w:rPr>
        <w:t>government</w:t>
      </w:r>
      <w:r w:rsidR="004267C9" w:rsidRPr="007F0B9F">
        <w:rPr>
          <w:rFonts w:ascii="Cambria" w:hAnsi="Cambria"/>
        </w:rPr>
        <w:t xml:space="preserve"> power over individuals in order to substitute the preferences of indi</w:t>
      </w:r>
      <w:r w:rsidR="00232181">
        <w:rPr>
          <w:rFonts w:ascii="Cambria" w:hAnsi="Cambria"/>
        </w:rPr>
        <w:t xml:space="preserve">viduals for those of the </w:t>
      </w:r>
      <w:r w:rsidR="00E56163">
        <w:rPr>
          <w:rFonts w:ascii="Cambria" w:hAnsi="Cambria"/>
        </w:rPr>
        <w:t>government</w:t>
      </w:r>
      <w:r w:rsidR="00232181">
        <w:rPr>
          <w:rFonts w:ascii="Cambria" w:hAnsi="Cambria"/>
        </w:rPr>
        <w:t>. I</w:t>
      </w:r>
      <w:r w:rsidR="004267C9" w:rsidRPr="007F0B9F">
        <w:rPr>
          <w:rFonts w:ascii="Cambria" w:hAnsi="Cambria"/>
        </w:rPr>
        <w:t xml:space="preserve">n the sections that follow I will substantiate this conception of paternalist regulation, and offer arguments as to why </w:t>
      </w:r>
      <w:r w:rsidR="00232181">
        <w:rPr>
          <w:rFonts w:ascii="Cambria" w:hAnsi="Cambria"/>
        </w:rPr>
        <w:t xml:space="preserve">increased </w:t>
      </w:r>
      <w:r w:rsidR="00EB7FBD">
        <w:rPr>
          <w:rFonts w:ascii="Cambria" w:hAnsi="Cambria"/>
          <w:lang w:val="en-US"/>
        </w:rPr>
        <w:t xml:space="preserve">paternalism is ethically justifiable. </w:t>
      </w:r>
    </w:p>
    <w:p w14:paraId="5D174D05" w14:textId="77777777" w:rsidR="004267C9" w:rsidRPr="007F0B9F" w:rsidRDefault="004267C9" w:rsidP="004267C9">
      <w:pPr>
        <w:autoSpaceDE w:val="0"/>
        <w:autoSpaceDN w:val="0"/>
        <w:adjustRightInd w:val="0"/>
        <w:spacing w:after="200" w:line="276" w:lineRule="auto"/>
        <w:rPr>
          <w:rFonts w:ascii="Cambria" w:hAnsi="Cambria"/>
          <w:b/>
        </w:rPr>
      </w:pPr>
    </w:p>
    <w:p w14:paraId="61F28E02" w14:textId="37DBE37C" w:rsidR="004267C9" w:rsidRPr="007F0B9F" w:rsidRDefault="00FF28CD" w:rsidP="004267C9">
      <w:pPr>
        <w:autoSpaceDE w:val="0"/>
        <w:autoSpaceDN w:val="0"/>
        <w:adjustRightInd w:val="0"/>
        <w:spacing w:after="200" w:line="276" w:lineRule="auto"/>
        <w:rPr>
          <w:rFonts w:ascii="Cambria" w:hAnsi="Cambria"/>
          <w:b/>
        </w:rPr>
      </w:pPr>
      <w:r>
        <w:rPr>
          <w:rFonts w:ascii="Cambria" w:hAnsi="Cambria"/>
          <w:b/>
        </w:rPr>
        <w:t>A</w:t>
      </w:r>
      <w:r w:rsidR="00EB7FBD">
        <w:rPr>
          <w:rFonts w:ascii="Cambria" w:hAnsi="Cambria"/>
          <w:b/>
        </w:rPr>
        <w:tab/>
      </w:r>
      <w:r w:rsidR="004267C9" w:rsidRPr="007F0B9F">
        <w:rPr>
          <w:rFonts w:ascii="Cambria" w:hAnsi="Cambria"/>
          <w:b/>
        </w:rPr>
        <w:t>What are paternalist policies and what are the objections to them?</w:t>
      </w:r>
    </w:p>
    <w:p w14:paraId="313ED0B9" w14:textId="7D6FB239" w:rsidR="004267C9" w:rsidRPr="007F0B9F" w:rsidRDefault="004267C9" w:rsidP="004267C9">
      <w:pPr>
        <w:autoSpaceDE w:val="0"/>
        <w:autoSpaceDN w:val="0"/>
        <w:adjustRightInd w:val="0"/>
        <w:spacing w:after="200" w:line="276" w:lineRule="auto"/>
        <w:rPr>
          <w:rFonts w:ascii="Cambria" w:hAnsi="Cambria"/>
        </w:rPr>
      </w:pPr>
      <w:r w:rsidRPr="007F0B9F">
        <w:rPr>
          <w:rFonts w:ascii="Cambria" w:hAnsi="Cambria"/>
        </w:rPr>
        <w:t xml:space="preserve">Paternalism has traditionally been </w:t>
      </w:r>
      <w:r w:rsidRPr="00B968AC">
        <w:rPr>
          <w:rFonts w:ascii="Cambria" w:hAnsi="Cambria"/>
        </w:rPr>
        <w:t>defined as</w:t>
      </w:r>
      <w:r w:rsidR="00CE6F1B" w:rsidRPr="00B968AC">
        <w:rPr>
          <w:rFonts w:ascii="Cambria" w:hAnsi="Cambria"/>
        </w:rPr>
        <w:t xml:space="preserve"> ‘interference with the liberty of another for the purposes of promoting some good or preventing some harm, for the sake of the other person</w:t>
      </w:r>
      <w:r w:rsidR="00E56163">
        <w:rPr>
          <w:rFonts w:ascii="Cambria" w:hAnsi="Cambria"/>
        </w:rPr>
        <w:t>,</w:t>
      </w:r>
      <w:r w:rsidR="00CE6F1B" w:rsidRPr="00B968AC">
        <w:rPr>
          <w:rFonts w:ascii="Cambria" w:hAnsi="Cambria"/>
        </w:rPr>
        <w:t>’</w:t>
      </w:r>
      <w:r w:rsidR="00CE6F1B" w:rsidRPr="00B968AC">
        <w:rPr>
          <w:rFonts w:ascii="Cambria" w:hAnsi="Cambria"/>
          <w:vertAlign w:val="superscript"/>
        </w:rPr>
        <w:footnoteReference w:id="87"/>
      </w:r>
      <w:r w:rsidR="00CE6F1B" w:rsidRPr="00B968AC">
        <w:rPr>
          <w:rFonts w:ascii="Cambria" w:hAnsi="Cambria"/>
        </w:rPr>
        <w:t xml:space="preserve"> however</w:t>
      </w:r>
      <w:r w:rsidRPr="00B968AC">
        <w:rPr>
          <w:rFonts w:ascii="Cambria" w:hAnsi="Cambria"/>
        </w:rPr>
        <w:t xml:space="preserve"> </w:t>
      </w:r>
      <w:r w:rsidRPr="007F0B9F">
        <w:rPr>
          <w:rFonts w:ascii="Cambria" w:hAnsi="Cambria"/>
        </w:rPr>
        <w:t>I believe that</w:t>
      </w:r>
      <w:r w:rsidR="00B968AC">
        <w:rPr>
          <w:rFonts w:ascii="Cambria" w:hAnsi="Cambria"/>
        </w:rPr>
        <w:t xml:space="preserve"> it is possible to </w:t>
      </w:r>
      <w:r w:rsidR="00EB7FBD">
        <w:rPr>
          <w:rFonts w:ascii="Cambria" w:hAnsi="Cambria"/>
          <w:lang w:val="en-US"/>
        </w:rPr>
        <w:t xml:space="preserve">articulate a more </w:t>
      </w:r>
      <w:r w:rsidR="00965522">
        <w:rPr>
          <w:rFonts w:ascii="Cambria" w:hAnsi="Cambria"/>
          <w:lang w:val="en-US"/>
        </w:rPr>
        <w:t xml:space="preserve">accurate </w:t>
      </w:r>
      <w:r w:rsidR="00B968AC">
        <w:rPr>
          <w:rFonts w:ascii="Cambria" w:hAnsi="Cambria"/>
        </w:rPr>
        <w:t xml:space="preserve">understanding of this type of regulation. </w:t>
      </w:r>
      <w:r w:rsidR="00965522">
        <w:rPr>
          <w:rFonts w:ascii="Cambria" w:hAnsi="Cambria"/>
        </w:rPr>
        <w:t xml:space="preserve">I define </w:t>
      </w:r>
      <w:r w:rsidRPr="007F0B9F">
        <w:rPr>
          <w:rFonts w:ascii="Cambria" w:hAnsi="Cambria"/>
        </w:rPr>
        <w:t xml:space="preserve">paternalist </w:t>
      </w:r>
      <w:r w:rsidR="00965522">
        <w:rPr>
          <w:rFonts w:ascii="Cambria" w:hAnsi="Cambria"/>
          <w:lang w:val="en-US"/>
        </w:rPr>
        <w:t>regulation</w:t>
      </w:r>
      <w:r w:rsidRPr="007F0B9F">
        <w:rPr>
          <w:rFonts w:ascii="Cambria" w:hAnsi="Cambria"/>
        </w:rPr>
        <w:t xml:space="preserve"> as </w:t>
      </w:r>
      <w:r w:rsidR="00965522">
        <w:rPr>
          <w:rFonts w:ascii="Cambria" w:hAnsi="Cambria"/>
          <w:i/>
        </w:rPr>
        <w:t>government</w:t>
      </w:r>
      <w:r w:rsidR="00965522">
        <w:rPr>
          <w:rFonts w:ascii="Cambria" w:hAnsi="Cambria"/>
          <w:i/>
          <w:lang w:val="en-US"/>
        </w:rPr>
        <w:t>s</w:t>
      </w:r>
      <w:r w:rsidR="00965522">
        <w:rPr>
          <w:rFonts w:ascii="Cambria" w:hAnsi="Cambria"/>
          <w:i/>
        </w:rPr>
        <w:t xml:space="preserve"> exercising</w:t>
      </w:r>
      <w:r w:rsidR="00965522">
        <w:rPr>
          <w:rFonts w:ascii="Cambria" w:hAnsi="Cambria"/>
          <w:i/>
          <w:lang w:val="en-US"/>
        </w:rPr>
        <w:t xml:space="preserve"> their</w:t>
      </w:r>
      <w:r w:rsidRPr="007F0B9F">
        <w:rPr>
          <w:rFonts w:ascii="Cambria" w:hAnsi="Cambria"/>
          <w:i/>
        </w:rPr>
        <w:t xml:space="preserve"> power over individuals in order to substitute the preferences of the individual for the preferences of the government</w:t>
      </w:r>
      <w:r w:rsidRPr="007F0B9F">
        <w:rPr>
          <w:rFonts w:ascii="Cambria" w:hAnsi="Cambria"/>
        </w:rPr>
        <w:t xml:space="preserve">.  </w:t>
      </w:r>
    </w:p>
    <w:p w14:paraId="51DA158F" w14:textId="330F7A2C" w:rsidR="004267C9" w:rsidRPr="007F0B9F" w:rsidRDefault="004267C9" w:rsidP="004267C9">
      <w:pPr>
        <w:autoSpaceDE w:val="0"/>
        <w:autoSpaceDN w:val="0"/>
        <w:adjustRightInd w:val="0"/>
        <w:spacing w:after="200" w:line="276" w:lineRule="auto"/>
        <w:rPr>
          <w:rFonts w:ascii="Cambria" w:hAnsi="Cambria"/>
        </w:rPr>
      </w:pPr>
      <w:r w:rsidRPr="007F0B9F">
        <w:rPr>
          <w:rFonts w:ascii="Cambria" w:hAnsi="Cambria"/>
        </w:rPr>
        <w:t xml:space="preserve">I </w:t>
      </w:r>
      <w:r w:rsidR="00B968AC">
        <w:rPr>
          <w:rFonts w:ascii="Cambria" w:hAnsi="Cambria"/>
        </w:rPr>
        <w:t>characterise</w:t>
      </w:r>
      <w:r w:rsidRPr="007F0B9F">
        <w:rPr>
          <w:rFonts w:ascii="Cambria" w:hAnsi="Cambria"/>
        </w:rPr>
        <w:t xml:space="preserve"> paternalism in </w:t>
      </w:r>
      <w:r w:rsidR="00B910A4">
        <w:rPr>
          <w:rFonts w:ascii="Cambria" w:hAnsi="Cambria"/>
        </w:rPr>
        <w:t xml:space="preserve">these terms firstly because </w:t>
      </w:r>
      <w:r w:rsidR="00B910A4">
        <w:rPr>
          <w:rFonts w:ascii="Cambria" w:hAnsi="Cambria"/>
          <w:lang w:val="en-US"/>
        </w:rPr>
        <w:t xml:space="preserve">it is difficult to </w:t>
      </w:r>
      <w:r w:rsidR="00E843AA">
        <w:rPr>
          <w:rFonts w:ascii="Cambria" w:hAnsi="Cambria"/>
          <w:lang w:val="en-US"/>
        </w:rPr>
        <w:t>satisfactorily</w:t>
      </w:r>
      <w:r w:rsidR="00B910A4">
        <w:rPr>
          <w:rFonts w:ascii="Cambria" w:hAnsi="Cambria"/>
          <w:lang w:val="en-US"/>
        </w:rPr>
        <w:t xml:space="preserve"> </w:t>
      </w:r>
      <w:r w:rsidR="00E843AA">
        <w:rPr>
          <w:rFonts w:ascii="Cambria" w:hAnsi="Cambria"/>
          <w:lang w:val="en-US"/>
        </w:rPr>
        <w:t xml:space="preserve">define what </w:t>
      </w:r>
      <w:r w:rsidR="00807EB9">
        <w:rPr>
          <w:rFonts w:ascii="Cambria" w:hAnsi="Cambria"/>
        </w:rPr>
        <w:t>constitutes</w:t>
      </w:r>
      <w:r w:rsidR="000A69D3">
        <w:rPr>
          <w:rFonts w:ascii="Cambria" w:hAnsi="Cambria"/>
        </w:rPr>
        <w:t xml:space="preserve"> an interference with individual liberty</w:t>
      </w:r>
      <w:r w:rsidR="00CE5840">
        <w:rPr>
          <w:rFonts w:ascii="Cambria" w:hAnsi="Cambria"/>
        </w:rPr>
        <w:t xml:space="preserve"> – or even what </w:t>
      </w:r>
      <w:r w:rsidR="00822CF0">
        <w:rPr>
          <w:rFonts w:ascii="Cambria" w:hAnsi="Cambria"/>
          <w:lang w:val="en-US"/>
        </w:rPr>
        <w:t>“</w:t>
      </w:r>
      <w:r w:rsidR="00CE5840">
        <w:rPr>
          <w:rFonts w:ascii="Cambria" w:hAnsi="Cambria"/>
        </w:rPr>
        <w:t>liberty</w:t>
      </w:r>
      <w:r w:rsidR="00822CF0">
        <w:rPr>
          <w:rFonts w:ascii="Cambria" w:hAnsi="Cambria"/>
          <w:lang w:val="en-US"/>
        </w:rPr>
        <w:t>”</w:t>
      </w:r>
      <w:r w:rsidR="00CE5840">
        <w:rPr>
          <w:rFonts w:ascii="Cambria" w:hAnsi="Cambria"/>
        </w:rPr>
        <w:t xml:space="preserve"> really means – </w:t>
      </w:r>
      <w:r w:rsidR="00807EB9">
        <w:rPr>
          <w:rFonts w:ascii="Cambria" w:hAnsi="Cambria"/>
        </w:rPr>
        <w:t>and</w:t>
      </w:r>
      <w:r w:rsidR="00CE5840">
        <w:rPr>
          <w:rFonts w:ascii="Cambria" w:hAnsi="Cambria"/>
        </w:rPr>
        <w:t xml:space="preserve"> </w:t>
      </w:r>
      <w:r w:rsidR="00E843AA">
        <w:rPr>
          <w:rFonts w:ascii="Cambria" w:hAnsi="Cambria"/>
          <w:lang w:val="en-US"/>
        </w:rPr>
        <w:t>therefore what constitutes paternalism</w:t>
      </w:r>
      <w:r w:rsidR="00807EB9">
        <w:rPr>
          <w:rFonts w:ascii="Cambria" w:hAnsi="Cambria"/>
        </w:rPr>
        <w:t>.</w:t>
      </w:r>
      <w:r w:rsidR="00807EB9">
        <w:rPr>
          <w:rStyle w:val="FootnoteReference"/>
          <w:rFonts w:ascii="Cambria" w:hAnsi="Cambria"/>
        </w:rPr>
        <w:footnoteReference w:id="88"/>
      </w:r>
      <w:r w:rsidR="00807EB9">
        <w:rPr>
          <w:rFonts w:ascii="Cambria" w:hAnsi="Cambria"/>
        </w:rPr>
        <w:t xml:space="preserve"> </w:t>
      </w:r>
      <w:r w:rsidR="00015D9E">
        <w:rPr>
          <w:rFonts w:ascii="Cambria" w:hAnsi="Cambria"/>
        </w:rPr>
        <w:t xml:space="preserve">I argue </w:t>
      </w:r>
      <w:r w:rsidR="00215145">
        <w:rPr>
          <w:rFonts w:ascii="Cambria" w:hAnsi="Cambria"/>
        </w:rPr>
        <w:t xml:space="preserve">instead </w:t>
      </w:r>
      <w:r w:rsidR="00015D9E">
        <w:rPr>
          <w:rFonts w:ascii="Cambria" w:hAnsi="Cambria"/>
        </w:rPr>
        <w:t xml:space="preserve">that </w:t>
      </w:r>
      <w:r w:rsidR="00215145">
        <w:rPr>
          <w:rFonts w:ascii="Cambria" w:hAnsi="Cambria"/>
        </w:rPr>
        <w:t xml:space="preserve">the </w:t>
      </w:r>
      <w:r w:rsidR="00911225">
        <w:rPr>
          <w:rFonts w:ascii="Cambria" w:hAnsi="Cambria"/>
          <w:lang w:val="en-US"/>
        </w:rPr>
        <w:t xml:space="preserve">true common denominator </w:t>
      </w:r>
      <w:r w:rsidR="00215145">
        <w:rPr>
          <w:rFonts w:ascii="Cambria" w:hAnsi="Cambria"/>
        </w:rPr>
        <w:t xml:space="preserve">of paternalist action is </w:t>
      </w:r>
      <w:r w:rsidR="00911225">
        <w:rPr>
          <w:rFonts w:ascii="Cambria" w:hAnsi="Cambria"/>
        </w:rPr>
        <w:t xml:space="preserve">simply an </w:t>
      </w:r>
      <w:r w:rsidR="007F78D4">
        <w:rPr>
          <w:rFonts w:ascii="Cambria" w:hAnsi="Cambria"/>
        </w:rPr>
        <w:t xml:space="preserve">exercise </w:t>
      </w:r>
      <w:r w:rsidR="00015D9E">
        <w:rPr>
          <w:rFonts w:ascii="Cambria" w:hAnsi="Cambria"/>
        </w:rPr>
        <w:t xml:space="preserve">of </w:t>
      </w:r>
      <w:r w:rsidR="007F78D4">
        <w:rPr>
          <w:rFonts w:ascii="Cambria" w:hAnsi="Cambria"/>
        </w:rPr>
        <w:t xml:space="preserve">power in </w:t>
      </w:r>
      <w:r w:rsidR="00015D9E">
        <w:rPr>
          <w:rFonts w:ascii="Cambria" w:hAnsi="Cambria"/>
        </w:rPr>
        <w:t>one way or another</w:t>
      </w:r>
      <w:r w:rsidR="00215145">
        <w:rPr>
          <w:rFonts w:ascii="Cambria" w:hAnsi="Cambria"/>
        </w:rPr>
        <w:t xml:space="preserve"> </w:t>
      </w:r>
      <w:r w:rsidR="007F78D4">
        <w:rPr>
          <w:rFonts w:ascii="Cambria" w:hAnsi="Cambria"/>
        </w:rPr>
        <w:t>over individuals</w:t>
      </w:r>
      <w:r w:rsidR="00911225">
        <w:rPr>
          <w:rFonts w:ascii="Cambria" w:hAnsi="Cambria"/>
        </w:rPr>
        <w:t xml:space="preserve">. </w:t>
      </w:r>
      <w:r w:rsidR="00942A5C">
        <w:rPr>
          <w:rFonts w:ascii="Cambria" w:hAnsi="Cambria"/>
        </w:rPr>
        <w:t xml:space="preserve">In this way, paternalism is broader than </w:t>
      </w:r>
      <w:r w:rsidR="00A72C2C">
        <w:rPr>
          <w:rFonts w:ascii="Cambria" w:hAnsi="Cambria"/>
        </w:rPr>
        <w:t>mere</w:t>
      </w:r>
      <w:r w:rsidR="007F78D4">
        <w:rPr>
          <w:rFonts w:ascii="Cambria" w:hAnsi="Cambria"/>
        </w:rPr>
        <w:t xml:space="preserve"> command-and-control regulation, </w:t>
      </w:r>
      <w:r w:rsidR="00A72C2C">
        <w:rPr>
          <w:rFonts w:ascii="Cambria" w:hAnsi="Cambria"/>
        </w:rPr>
        <w:t xml:space="preserve">because the former </w:t>
      </w:r>
      <w:r w:rsidR="000E142E">
        <w:rPr>
          <w:rFonts w:ascii="Cambria" w:hAnsi="Cambria"/>
          <w:lang w:val="en-US"/>
        </w:rPr>
        <w:t>only</w:t>
      </w:r>
      <w:r w:rsidR="007F78D4">
        <w:rPr>
          <w:rFonts w:ascii="Cambria" w:hAnsi="Cambria"/>
        </w:rPr>
        <w:t xml:space="preserve"> involves the use o</w:t>
      </w:r>
      <w:r w:rsidR="000E142E">
        <w:rPr>
          <w:rFonts w:ascii="Cambria" w:hAnsi="Cambria"/>
        </w:rPr>
        <w:t>f formal law-making authority</w:t>
      </w:r>
      <w:r w:rsidR="00560EED">
        <w:rPr>
          <w:rFonts w:ascii="Cambria" w:hAnsi="Cambria"/>
          <w:lang w:val="en-US"/>
        </w:rPr>
        <w:t xml:space="preserve"> to directly regulate behaviour</w:t>
      </w:r>
      <w:r w:rsidR="007F78D4">
        <w:rPr>
          <w:rFonts w:ascii="Cambria" w:hAnsi="Cambria"/>
        </w:rPr>
        <w:t>. As was made clear at the beginning of this paper, power is the ability of an actor to influence others in accordance with their own preferences</w:t>
      </w:r>
      <w:r w:rsidR="00B9591F">
        <w:rPr>
          <w:rFonts w:ascii="Cambria" w:hAnsi="Cambria"/>
        </w:rPr>
        <w:t xml:space="preserve"> – it is more than just formal authority. </w:t>
      </w:r>
      <w:r w:rsidR="00E77B07">
        <w:rPr>
          <w:rFonts w:ascii="Cambria" w:hAnsi="Cambria"/>
        </w:rPr>
        <w:t>Thus, command</w:t>
      </w:r>
      <w:r w:rsidR="0098191F">
        <w:rPr>
          <w:rFonts w:ascii="Cambria" w:hAnsi="Cambria"/>
        </w:rPr>
        <w:t>-and-</w:t>
      </w:r>
      <w:r w:rsidR="00015D9E">
        <w:rPr>
          <w:rFonts w:ascii="Cambria" w:hAnsi="Cambria"/>
        </w:rPr>
        <w:t>control regulation</w:t>
      </w:r>
      <w:r w:rsidR="00E77B07">
        <w:rPr>
          <w:rFonts w:ascii="Cambria" w:hAnsi="Cambria"/>
          <w:lang w:val="en-US"/>
        </w:rPr>
        <w:t xml:space="preserve"> is only one example of an exercise of power by the government, and thus only one </w:t>
      </w:r>
      <w:r w:rsidR="0074719C">
        <w:rPr>
          <w:rFonts w:ascii="Cambria" w:hAnsi="Cambria"/>
          <w:lang w:val="en-US"/>
        </w:rPr>
        <w:t>example of paternalism</w:t>
      </w:r>
      <w:r w:rsidR="00A72C2C">
        <w:rPr>
          <w:rFonts w:ascii="Cambria" w:hAnsi="Cambria"/>
        </w:rPr>
        <w:t xml:space="preserve">. </w:t>
      </w:r>
      <w:r w:rsidR="00F65DE1">
        <w:rPr>
          <w:rFonts w:ascii="Cambria" w:hAnsi="Cambria"/>
          <w:lang w:val="en-US"/>
        </w:rPr>
        <w:t xml:space="preserve">Another </w:t>
      </w:r>
      <w:r w:rsidR="00560EED">
        <w:rPr>
          <w:rFonts w:ascii="Cambria" w:hAnsi="Cambria"/>
          <w:lang w:val="en-US"/>
        </w:rPr>
        <w:t>example</w:t>
      </w:r>
      <w:r w:rsidR="00873164">
        <w:rPr>
          <w:rFonts w:ascii="Cambria" w:hAnsi="Cambria"/>
          <w:lang w:val="en-US"/>
        </w:rPr>
        <w:t xml:space="preserve"> is nudging</w:t>
      </w:r>
      <w:r w:rsidR="00873164">
        <w:rPr>
          <w:rFonts w:ascii="Cambria" w:hAnsi="Cambria"/>
        </w:rPr>
        <w:t>.</w:t>
      </w:r>
      <w:r w:rsidR="00A72C2C">
        <w:rPr>
          <w:rStyle w:val="FootnoteReference"/>
          <w:rFonts w:ascii="Cambria" w:hAnsi="Cambria"/>
        </w:rPr>
        <w:footnoteReference w:id="89"/>
      </w:r>
      <w:r w:rsidR="00873164">
        <w:rPr>
          <w:rFonts w:ascii="Cambria" w:hAnsi="Cambria"/>
          <w:lang w:val="en-US"/>
        </w:rPr>
        <w:t xml:space="preserve"> A nudge</w:t>
      </w:r>
      <w:r w:rsidR="00942A5C">
        <w:rPr>
          <w:rFonts w:ascii="Cambria" w:hAnsi="Cambria"/>
        </w:rPr>
        <w:t xml:space="preserve"> at its core</w:t>
      </w:r>
      <w:r w:rsidR="00873164">
        <w:rPr>
          <w:rFonts w:ascii="Cambria" w:hAnsi="Cambria"/>
          <w:lang w:val="en-US"/>
        </w:rPr>
        <w:t xml:space="preserve"> consists of an exertion of power to </w:t>
      </w:r>
      <w:r w:rsidR="000A69D3">
        <w:rPr>
          <w:rFonts w:ascii="Cambria" w:hAnsi="Cambria"/>
        </w:rPr>
        <w:t>organise</w:t>
      </w:r>
      <w:r w:rsidR="007F78D4">
        <w:rPr>
          <w:rFonts w:ascii="Cambria" w:hAnsi="Cambria"/>
        </w:rPr>
        <w:t xml:space="preserve"> the individual’s choice environment </w:t>
      </w:r>
      <w:r w:rsidR="000A69D3">
        <w:rPr>
          <w:rFonts w:ascii="Cambria" w:hAnsi="Cambria"/>
        </w:rPr>
        <w:t>such that they are likely to make the decisions that gover</w:t>
      </w:r>
      <w:r w:rsidR="00F7356C">
        <w:rPr>
          <w:rFonts w:ascii="Cambria" w:hAnsi="Cambria"/>
        </w:rPr>
        <w:t xml:space="preserve">nment would prefer them to make. There is no direct regulation of behaviour, but the fact that </w:t>
      </w:r>
      <w:r w:rsidR="000F14B6">
        <w:rPr>
          <w:rFonts w:ascii="Cambria" w:hAnsi="Cambria"/>
          <w:lang w:val="en-US"/>
        </w:rPr>
        <w:t xml:space="preserve">a well designed nudge will cause individuals to act in the way in which governments would prefer means that power over </w:t>
      </w:r>
      <w:r w:rsidR="000F14B6">
        <w:rPr>
          <w:rFonts w:ascii="Cambria" w:hAnsi="Cambria"/>
          <w:lang w:val="en-US"/>
        </w:rPr>
        <w:lastRenderedPageBreak/>
        <w:t xml:space="preserve">them is nonetheless being exerted. </w:t>
      </w:r>
      <w:r w:rsidRPr="007F0B9F">
        <w:rPr>
          <w:rFonts w:ascii="Cambria" w:hAnsi="Cambria"/>
        </w:rPr>
        <w:t xml:space="preserve">Thus, </w:t>
      </w:r>
      <w:r w:rsidR="000A69D3">
        <w:rPr>
          <w:rFonts w:ascii="Cambria" w:hAnsi="Cambria"/>
        </w:rPr>
        <w:t>the extent to which individual</w:t>
      </w:r>
      <w:r w:rsidR="00750FF6">
        <w:rPr>
          <w:rFonts w:ascii="Cambria" w:hAnsi="Cambria"/>
        </w:rPr>
        <w:t xml:space="preserve"> liberty</w:t>
      </w:r>
      <w:r w:rsidRPr="007F0B9F">
        <w:rPr>
          <w:rFonts w:ascii="Cambria" w:hAnsi="Cambria"/>
        </w:rPr>
        <w:t xml:space="preserve"> is compromise</w:t>
      </w:r>
      <w:r w:rsidR="000A69D3">
        <w:rPr>
          <w:rFonts w:ascii="Cambria" w:hAnsi="Cambria"/>
        </w:rPr>
        <w:t>d</w:t>
      </w:r>
      <w:r w:rsidRPr="007F0B9F">
        <w:rPr>
          <w:rFonts w:ascii="Cambria" w:hAnsi="Cambria"/>
        </w:rPr>
        <w:t xml:space="preserve"> is less relevant </w:t>
      </w:r>
      <w:r w:rsidR="00750FF6">
        <w:rPr>
          <w:rFonts w:ascii="Cambria" w:hAnsi="Cambria"/>
          <w:lang w:val="en-US"/>
        </w:rPr>
        <w:t>to characterising paternalism than</w:t>
      </w:r>
      <w:r w:rsidR="00750FF6">
        <w:rPr>
          <w:rFonts w:ascii="Cambria" w:hAnsi="Cambria"/>
        </w:rPr>
        <w:t xml:space="preserve"> </w:t>
      </w:r>
      <w:r w:rsidR="000A69D3">
        <w:rPr>
          <w:rFonts w:ascii="Cambria" w:hAnsi="Cambria"/>
        </w:rPr>
        <w:t>whether power has been exercised over the individual</w:t>
      </w:r>
      <w:r w:rsidRPr="007F0B9F">
        <w:rPr>
          <w:rFonts w:ascii="Cambria" w:hAnsi="Cambria"/>
        </w:rPr>
        <w:t>.</w:t>
      </w:r>
      <w:r w:rsidR="000A69D3">
        <w:rPr>
          <w:rFonts w:ascii="Cambria" w:hAnsi="Cambria"/>
        </w:rPr>
        <w:t xml:space="preserve"> </w:t>
      </w:r>
      <w:r w:rsidRPr="007F0B9F">
        <w:rPr>
          <w:rFonts w:ascii="Cambria" w:hAnsi="Cambria"/>
        </w:rPr>
        <w:t xml:space="preserve"> </w:t>
      </w:r>
    </w:p>
    <w:p w14:paraId="7E6B78F9" w14:textId="722F0060" w:rsidR="004267C9" w:rsidRPr="007F0B9F" w:rsidRDefault="00907E91" w:rsidP="004267C9">
      <w:pPr>
        <w:autoSpaceDE w:val="0"/>
        <w:autoSpaceDN w:val="0"/>
        <w:adjustRightInd w:val="0"/>
        <w:spacing w:after="200" w:line="276" w:lineRule="auto"/>
        <w:rPr>
          <w:rFonts w:ascii="Cambria" w:hAnsi="Cambria"/>
        </w:rPr>
      </w:pPr>
      <w:r>
        <w:rPr>
          <w:rFonts w:ascii="Cambria" w:hAnsi="Cambria"/>
        </w:rPr>
        <w:t xml:space="preserve">I </w:t>
      </w:r>
      <w:r w:rsidR="00750FF6">
        <w:rPr>
          <w:rFonts w:ascii="Cambria" w:hAnsi="Cambria"/>
          <w:lang w:val="en-US"/>
        </w:rPr>
        <w:t xml:space="preserve">further </w:t>
      </w:r>
      <w:r>
        <w:rPr>
          <w:rFonts w:ascii="Cambria" w:hAnsi="Cambria"/>
        </w:rPr>
        <w:t>characterise paternalism in terms of preference substitu</w:t>
      </w:r>
      <w:r w:rsidR="009417B9">
        <w:rPr>
          <w:rFonts w:ascii="Cambria" w:hAnsi="Cambria"/>
        </w:rPr>
        <w:t>tion rather than promoting the good</w:t>
      </w:r>
      <w:r>
        <w:rPr>
          <w:rFonts w:ascii="Cambria" w:hAnsi="Cambria"/>
        </w:rPr>
        <w:t xml:space="preserve"> of the individual</w:t>
      </w:r>
      <w:r w:rsidR="00750FF6">
        <w:rPr>
          <w:rFonts w:ascii="Cambria" w:hAnsi="Cambria"/>
          <w:lang w:val="en-US"/>
        </w:rPr>
        <w:t>. This is</w:t>
      </w:r>
      <w:r>
        <w:rPr>
          <w:rFonts w:ascii="Cambria" w:hAnsi="Cambria"/>
        </w:rPr>
        <w:t xml:space="preserve"> because </w:t>
      </w:r>
      <w:r w:rsidR="00180A30">
        <w:rPr>
          <w:rFonts w:ascii="Cambria" w:hAnsi="Cambria"/>
          <w:lang w:val="en-US"/>
        </w:rPr>
        <w:t xml:space="preserve">it is difficult to construct a </w:t>
      </w:r>
      <w:r w:rsidR="00DB5AEA">
        <w:rPr>
          <w:rFonts w:ascii="Cambria" w:hAnsi="Cambria"/>
          <w:lang w:val="en-US"/>
        </w:rPr>
        <w:t xml:space="preserve">theoretical </w:t>
      </w:r>
      <w:r w:rsidR="00180A30">
        <w:rPr>
          <w:rFonts w:ascii="Cambria" w:hAnsi="Cambria"/>
          <w:lang w:val="en-US"/>
        </w:rPr>
        <w:t>explanation of</w:t>
      </w:r>
      <w:r w:rsidR="00DB5AEA">
        <w:rPr>
          <w:rFonts w:ascii="Cambria" w:hAnsi="Cambria"/>
          <w:lang w:val="en-US"/>
        </w:rPr>
        <w:t xml:space="preserve"> law-making </w:t>
      </w:r>
      <w:r w:rsidR="00180A30">
        <w:rPr>
          <w:rFonts w:ascii="Cambria" w:hAnsi="Cambria"/>
          <w:lang w:val="en-US"/>
        </w:rPr>
        <w:t>upon</w:t>
      </w:r>
      <w:r w:rsidR="00DB5AEA">
        <w:rPr>
          <w:rFonts w:ascii="Cambria" w:hAnsi="Cambria"/>
          <w:lang w:val="en-US"/>
        </w:rPr>
        <w:t xml:space="preserve"> the assertion that </w:t>
      </w:r>
      <w:r w:rsidR="00180A30">
        <w:rPr>
          <w:rFonts w:ascii="Cambria" w:hAnsi="Cambria"/>
          <w:lang w:val="en-US"/>
        </w:rPr>
        <w:t>governments know what</w:t>
      </w:r>
      <w:r w:rsidR="00DB5AEA">
        <w:rPr>
          <w:rFonts w:ascii="Cambria" w:hAnsi="Cambria"/>
          <w:lang w:val="en-US"/>
        </w:rPr>
        <w:t xml:space="preserve"> </w:t>
      </w:r>
      <w:r w:rsidR="009417B9">
        <w:rPr>
          <w:rFonts w:ascii="Cambria" w:hAnsi="Cambria"/>
        </w:rPr>
        <w:t>“good”</w:t>
      </w:r>
      <w:r w:rsidR="00180A30">
        <w:rPr>
          <w:rFonts w:ascii="Cambria" w:hAnsi="Cambria"/>
          <w:lang w:val="en-US"/>
        </w:rPr>
        <w:t xml:space="preserve"> means for </w:t>
      </w:r>
      <w:r w:rsidR="00A74DEA">
        <w:rPr>
          <w:rFonts w:ascii="Cambria" w:hAnsi="Cambria"/>
          <w:lang w:val="en-US"/>
        </w:rPr>
        <w:t xml:space="preserve">individuals. </w:t>
      </w:r>
      <w:r w:rsidR="00B54A2F">
        <w:rPr>
          <w:rFonts w:ascii="Cambria" w:hAnsi="Cambria"/>
        </w:rPr>
        <w:t>Paternalist interventions applied to the whole population can nev</w:t>
      </w:r>
      <w:r w:rsidR="00F14D60">
        <w:rPr>
          <w:rFonts w:ascii="Cambria" w:hAnsi="Cambria"/>
        </w:rPr>
        <w:t>er promote the subjective good</w:t>
      </w:r>
      <w:r w:rsidR="00B54A2F">
        <w:rPr>
          <w:rFonts w:ascii="Cambria" w:hAnsi="Cambria"/>
        </w:rPr>
        <w:t xml:space="preserve"> of </w:t>
      </w:r>
      <w:r w:rsidR="00B54A2F" w:rsidRPr="00DC7ADA">
        <w:rPr>
          <w:rFonts w:ascii="Cambria" w:hAnsi="Cambria"/>
          <w:i/>
        </w:rPr>
        <w:t>everyone</w:t>
      </w:r>
      <w:r w:rsidR="00B54A2F">
        <w:rPr>
          <w:rFonts w:ascii="Cambria" w:hAnsi="Cambria"/>
        </w:rPr>
        <w:t xml:space="preserve"> they apply</w:t>
      </w:r>
      <w:r w:rsidR="00DC7ADA">
        <w:rPr>
          <w:rFonts w:ascii="Cambria" w:hAnsi="Cambria"/>
        </w:rPr>
        <w:t xml:space="preserve"> to since </w:t>
      </w:r>
      <w:r w:rsidR="00A74DEA">
        <w:rPr>
          <w:rFonts w:ascii="Cambria" w:hAnsi="Cambria"/>
          <w:lang w:val="en-US"/>
        </w:rPr>
        <w:t xml:space="preserve">the concept of “good” is so entirely subjective </w:t>
      </w:r>
      <w:r w:rsidR="00DC7ADA">
        <w:rPr>
          <w:rFonts w:ascii="Cambria" w:hAnsi="Cambria"/>
          <w:lang w:val="en-US"/>
        </w:rPr>
        <w:t>and time sensitive. One individual may believe that abstinence from alcohol is good for them</w:t>
      </w:r>
      <w:r w:rsidR="00C02924">
        <w:rPr>
          <w:rFonts w:ascii="Cambria" w:hAnsi="Cambria"/>
          <w:lang w:val="en-US"/>
        </w:rPr>
        <w:t xml:space="preserve"> for health reasons</w:t>
      </w:r>
      <w:r w:rsidR="00DC7ADA">
        <w:rPr>
          <w:rFonts w:ascii="Cambria" w:hAnsi="Cambria"/>
          <w:lang w:val="en-US"/>
        </w:rPr>
        <w:t xml:space="preserve">, and at the same time another </w:t>
      </w:r>
      <w:r w:rsidR="00A74DEA">
        <w:rPr>
          <w:rFonts w:ascii="Cambria" w:hAnsi="Cambria"/>
          <w:lang w:val="en-US"/>
        </w:rPr>
        <w:t>that an individual</w:t>
      </w:r>
      <w:r w:rsidR="00C02924">
        <w:rPr>
          <w:rFonts w:ascii="Cambria" w:hAnsi="Cambria"/>
          <w:lang w:val="en-US"/>
        </w:rPr>
        <w:t xml:space="preserve"> may believe that the psychoactive properties of alcohol</w:t>
      </w:r>
      <w:r w:rsidR="000445F5">
        <w:rPr>
          <w:rFonts w:ascii="Cambria" w:hAnsi="Cambria"/>
          <w:lang w:val="en-US"/>
        </w:rPr>
        <w:t xml:space="preserve"> are the only thing that is doing them any good if they are suffering from an addiction.</w:t>
      </w:r>
      <w:r w:rsidR="000445F5">
        <w:rPr>
          <w:rStyle w:val="FootnoteReference"/>
          <w:rFonts w:ascii="Cambria" w:hAnsi="Cambria"/>
          <w:lang w:val="en-US"/>
        </w:rPr>
        <w:footnoteReference w:id="90"/>
      </w:r>
      <w:r w:rsidR="00A74DEA">
        <w:rPr>
          <w:rFonts w:ascii="Cambria" w:hAnsi="Cambria"/>
          <w:lang w:val="en-US"/>
        </w:rPr>
        <w:t xml:space="preserve"> </w:t>
      </w:r>
      <w:r w:rsidR="00B54A2F">
        <w:rPr>
          <w:rFonts w:ascii="Cambria" w:hAnsi="Cambria"/>
        </w:rPr>
        <w:t>Thus, p</w:t>
      </w:r>
      <w:r>
        <w:rPr>
          <w:rFonts w:ascii="Cambria" w:hAnsi="Cambria"/>
        </w:rPr>
        <w:t xml:space="preserve">aternalist action is not really </w:t>
      </w:r>
      <w:r w:rsidR="00B54A2F">
        <w:rPr>
          <w:rFonts w:ascii="Cambria" w:hAnsi="Cambria"/>
        </w:rPr>
        <w:t>foun</w:t>
      </w:r>
      <w:r w:rsidR="009417B9">
        <w:rPr>
          <w:rFonts w:ascii="Cambria" w:hAnsi="Cambria"/>
        </w:rPr>
        <w:t>ded on a desire to promote the good</w:t>
      </w:r>
      <w:r w:rsidR="00B54A2F">
        <w:rPr>
          <w:rFonts w:ascii="Cambria" w:hAnsi="Cambria"/>
        </w:rPr>
        <w:t xml:space="preserve"> of individuals, but rather on </w:t>
      </w:r>
      <w:r w:rsidR="00B54A2F" w:rsidRPr="00B54A2F">
        <w:rPr>
          <w:rFonts w:ascii="Cambria" w:hAnsi="Cambria"/>
        </w:rPr>
        <w:t xml:space="preserve">a </w:t>
      </w:r>
      <w:r w:rsidRPr="00B54A2F">
        <w:rPr>
          <w:rFonts w:ascii="Cambria" w:hAnsi="Cambria"/>
        </w:rPr>
        <w:t>belie</w:t>
      </w:r>
      <w:r w:rsidR="00B54A2F" w:rsidRPr="00B54A2F">
        <w:rPr>
          <w:rFonts w:ascii="Cambria" w:hAnsi="Cambria"/>
        </w:rPr>
        <w:t>f that certain courses of action will bring objective benefits to individuals</w:t>
      </w:r>
      <w:r w:rsidR="00507FBC">
        <w:rPr>
          <w:rFonts w:ascii="Cambria" w:hAnsi="Cambria"/>
        </w:rPr>
        <w:t xml:space="preserve">. This </w:t>
      </w:r>
      <w:r>
        <w:rPr>
          <w:rFonts w:ascii="Cambria" w:hAnsi="Cambria"/>
        </w:rPr>
        <w:t xml:space="preserve">important </w:t>
      </w:r>
      <w:r w:rsidR="00B54A2F">
        <w:rPr>
          <w:rFonts w:ascii="Cambria" w:hAnsi="Cambria"/>
        </w:rPr>
        <w:t xml:space="preserve">conceptual </w:t>
      </w:r>
      <w:r w:rsidR="00301663">
        <w:rPr>
          <w:rFonts w:ascii="Cambria" w:hAnsi="Cambria"/>
        </w:rPr>
        <w:t>distinction</w:t>
      </w:r>
      <w:r>
        <w:rPr>
          <w:rFonts w:ascii="Cambria" w:hAnsi="Cambria"/>
        </w:rPr>
        <w:t xml:space="preserve"> </w:t>
      </w:r>
      <w:r w:rsidR="00B54A2F">
        <w:rPr>
          <w:rFonts w:ascii="Cambria" w:hAnsi="Cambria"/>
        </w:rPr>
        <w:t>more accurately reflects the real objectives of</w:t>
      </w:r>
      <w:r w:rsidR="00301663">
        <w:rPr>
          <w:rFonts w:ascii="Cambria" w:hAnsi="Cambria"/>
        </w:rPr>
        <w:t xml:space="preserve"> paternalism – and </w:t>
      </w:r>
      <w:r w:rsidR="00301663">
        <w:rPr>
          <w:rFonts w:ascii="Cambria" w:hAnsi="Cambria"/>
          <w:lang w:val="en-US"/>
        </w:rPr>
        <w:t xml:space="preserve">in so doing makes it easier to justify. </w:t>
      </w:r>
      <w:r w:rsidR="00B54A2F">
        <w:rPr>
          <w:rFonts w:ascii="Cambria" w:hAnsi="Cambria"/>
        </w:rPr>
        <w:t xml:space="preserve">Thus, </w:t>
      </w:r>
      <w:r w:rsidR="004267C9" w:rsidRPr="007F0B9F">
        <w:rPr>
          <w:rFonts w:ascii="Cambria" w:hAnsi="Cambria"/>
        </w:rPr>
        <w:t xml:space="preserve">paternalism </w:t>
      </w:r>
      <w:r w:rsidR="00B54A2F">
        <w:rPr>
          <w:rFonts w:ascii="Cambria" w:hAnsi="Cambria"/>
        </w:rPr>
        <w:t xml:space="preserve">is properly characterised by </w:t>
      </w:r>
      <w:r w:rsidR="004267C9" w:rsidRPr="007F0B9F">
        <w:rPr>
          <w:rFonts w:ascii="Cambria" w:hAnsi="Cambria"/>
        </w:rPr>
        <w:t xml:space="preserve">a substitution of preference whereby the government’s preference is for the individual to act in a way that government </w:t>
      </w:r>
      <w:r w:rsidR="00B54A2F" w:rsidRPr="00B54A2F">
        <w:rPr>
          <w:rFonts w:ascii="Cambria" w:hAnsi="Cambria"/>
        </w:rPr>
        <w:t>believes</w:t>
      </w:r>
      <w:r w:rsidR="004267C9" w:rsidRPr="007F0B9F">
        <w:rPr>
          <w:rFonts w:ascii="Cambria" w:hAnsi="Cambria"/>
        </w:rPr>
        <w:t xml:space="preserve"> will bring</w:t>
      </w:r>
      <w:r w:rsidR="00B54A2F">
        <w:rPr>
          <w:rFonts w:ascii="Cambria" w:hAnsi="Cambria"/>
        </w:rPr>
        <w:t xml:space="preserve"> objective</w:t>
      </w:r>
      <w:r w:rsidR="004267C9" w:rsidRPr="007F0B9F">
        <w:rPr>
          <w:rFonts w:ascii="Cambria" w:hAnsi="Cambria"/>
        </w:rPr>
        <w:t xml:space="preserve"> benefits to the individual</w:t>
      </w:r>
      <w:r w:rsidR="00B54A2F">
        <w:rPr>
          <w:rFonts w:ascii="Cambria" w:hAnsi="Cambria"/>
        </w:rPr>
        <w:t>.</w:t>
      </w:r>
    </w:p>
    <w:p w14:paraId="7C0CE655" w14:textId="42D8E086" w:rsidR="004267C9" w:rsidRPr="00B1584D" w:rsidRDefault="00B54A2F" w:rsidP="004267C9">
      <w:pPr>
        <w:autoSpaceDE w:val="0"/>
        <w:autoSpaceDN w:val="0"/>
        <w:adjustRightInd w:val="0"/>
        <w:spacing w:after="200" w:line="276" w:lineRule="auto"/>
        <w:rPr>
          <w:rFonts w:ascii="Cambria" w:hAnsi="Cambria"/>
          <w:lang w:val="en-US"/>
        </w:rPr>
      </w:pPr>
      <w:r>
        <w:rPr>
          <w:rFonts w:ascii="Cambria" w:hAnsi="Cambria"/>
        </w:rPr>
        <w:t>As can be expected, the us</w:t>
      </w:r>
      <w:r w:rsidR="004267C9" w:rsidRPr="007F0B9F">
        <w:rPr>
          <w:rFonts w:ascii="Cambria" w:hAnsi="Cambria"/>
        </w:rPr>
        <w:t xml:space="preserve">e of government power to substitute individual </w:t>
      </w:r>
      <w:r w:rsidRPr="007F0B9F">
        <w:rPr>
          <w:rFonts w:ascii="Cambria" w:hAnsi="Cambria"/>
        </w:rPr>
        <w:t>preferences</w:t>
      </w:r>
      <w:r w:rsidR="004267C9" w:rsidRPr="007F0B9F">
        <w:rPr>
          <w:rFonts w:ascii="Cambria" w:hAnsi="Cambria"/>
        </w:rPr>
        <w:t xml:space="preserve"> for government preferences</w:t>
      </w:r>
      <w:r w:rsidR="00130D64">
        <w:rPr>
          <w:rFonts w:ascii="Cambria" w:hAnsi="Cambria"/>
        </w:rPr>
        <w:t xml:space="preserve"> attracts several obj</w:t>
      </w:r>
      <w:r w:rsidR="00394C83">
        <w:rPr>
          <w:rFonts w:ascii="Cambria" w:hAnsi="Cambria"/>
        </w:rPr>
        <w:t xml:space="preserve">ections. There is insufficient space in this </w:t>
      </w:r>
      <w:r w:rsidR="005A6BD9">
        <w:rPr>
          <w:rFonts w:ascii="Cambria" w:hAnsi="Cambria"/>
          <w:lang w:val="en-US"/>
        </w:rPr>
        <w:t>paper</w:t>
      </w:r>
      <w:r w:rsidR="00394C83">
        <w:rPr>
          <w:rFonts w:ascii="Cambria" w:hAnsi="Cambria"/>
        </w:rPr>
        <w:t xml:space="preserve"> to highlight them all, so </w:t>
      </w:r>
      <w:r>
        <w:rPr>
          <w:rFonts w:ascii="Cambria" w:hAnsi="Cambria"/>
        </w:rPr>
        <w:t>I shall</w:t>
      </w:r>
      <w:r w:rsidR="00394C83">
        <w:rPr>
          <w:rFonts w:ascii="Cambria" w:hAnsi="Cambria"/>
          <w:lang w:val="en-US"/>
        </w:rPr>
        <w:t xml:space="preserve"> focus on </w:t>
      </w:r>
      <w:r>
        <w:rPr>
          <w:rFonts w:ascii="Cambria" w:hAnsi="Cambria"/>
        </w:rPr>
        <w:t xml:space="preserve">two prominent </w:t>
      </w:r>
      <w:r w:rsidR="00B1584D">
        <w:rPr>
          <w:rFonts w:ascii="Cambria" w:hAnsi="Cambria"/>
          <w:lang w:val="en-US"/>
        </w:rPr>
        <w:t>objections</w:t>
      </w:r>
    </w:p>
    <w:p w14:paraId="15ED5114" w14:textId="591784DA" w:rsidR="004267C9" w:rsidRPr="004928E2" w:rsidRDefault="004267C9" w:rsidP="004267C9">
      <w:pPr>
        <w:autoSpaceDE w:val="0"/>
        <w:autoSpaceDN w:val="0"/>
        <w:adjustRightInd w:val="0"/>
        <w:spacing w:after="200" w:line="276" w:lineRule="auto"/>
        <w:rPr>
          <w:rFonts w:ascii="Cambria" w:hAnsi="Cambria"/>
          <w:lang w:val="en-US"/>
        </w:rPr>
      </w:pPr>
      <w:r w:rsidRPr="007F0B9F">
        <w:rPr>
          <w:rFonts w:ascii="Cambria" w:hAnsi="Cambria"/>
        </w:rPr>
        <w:t>The first</w:t>
      </w:r>
      <w:r w:rsidR="00C65C55">
        <w:rPr>
          <w:rFonts w:ascii="Cambria" w:hAnsi="Cambria"/>
          <w:lang w:val="en-US"/>
        </w:rPr>
        <w:t xml:space="preserve"> is an ethical objection, and </w:t>
      </w:r>
      <w:r w:rsidR="00CE5608">
        <w:rPr>
          <w:rFonts w:ascii="Cambria" w:hAnsi="Cambria"/>
        </w:rPr>
        <w:t>is that</w:t>
      </w:r>
      <w:r w:rsidR="006F51B4">
        <w:rPr>
          <w:rFonts w:ascii="Cambria" w:hAnsi="Cambria"/>
          <w:lang w:val="en-US"/>
        </w:rPr>
        <w:t xml:space="preserve"> </w:t>
      </w:r>
      <w:r w:rsidR="006F51B4" w:rsidRPr="007F0B9F">
        <w:rPr>
          <w:iCs/>
        </w:rPr>
        <w:t>‘[i]f no third party interests are directly involved, the state can hardly be permitted to declare [an individual’s] philosophical convictions unsound or “sick” and preve</w:t>
      </w:r>
      <w:r w:rsidR="006F51B4">
        <w:rPr>
          <w:iCs/>
        </w:rPr>
        <w:t>nt [them] from practising them.’</w:t>
      </w:r>
      <w:r w:rsidR="006F51B4" w:rsidRPr="007F0B9F">
        <w:rPr>
          <w:rStyle w:val="FootnoteReference"/>
          <w:iCs/>
        </w:rPr>
        <w:footnoteReference w:id="91"/>
      </w:r>
      <w:r w:rsidR="006F51B4">
        <w:rPr>
          <w:iCs/>
          <w:lang w:val="en-US"/>
        </w:rPr>
        <w:t xml:space="preserve"> </w:t>
      </w:r>
      <w:r w:rsidR="006F51B4">
        <w:rPr>
          <w:rFonts w:ascii="Cambria" w:hAnsi="Cambria"/>
        </w:rPr>
        <w:t>This the well-known harm principle</w:t>
      </w:r>
      <w:r w:rsidR="006F51B4" w:rsidRPr="007F0B9F">
        <w:rPr>
          <w:rFonts w:ascii="Cambria" w:hAnsi="Cambria"/>
        </w:rPr>
        <w:t>, first articulated by J</w:t>
      </w:r>
      <w:r w:rsidR="0056696E">
        <w:rPr>
          <w:rFonts w:ascii="Cambria" w:hAnsi="Cambria"/>
          <w:lang w:val="en-US"/>
        </w:rPr>
        <w:t>.</w:t>
      </w:r>
      <w:r w:rsidR="006F51B4" w:rsidRPr="007F0B9F">
        <w:rPr>
          <w:rFonts w:ascii="Cambria" w:hAnsi="Cambria"/>
        </w:rPr>
        <w:t>S</w:t>
      </w:r>
      <w:r w:rsidR="0056696E">
        <w:rPr>
          <w:rFonts w:ascii="Cambria" w:hAnsi="Cambria"/>
          <w:lang w:val="en-US"/>
        </w:rPr>
        <w:t>.</w:t>
      </w:r>
      <w:r w:rsidR="006F51B4" w:rsidRPr="007F0B9F">
        <w:rPr>
          <w:rFonts w:ascii="Cambria" w:hAnsi="Cambria"/>
        </w:rPr>
        <w:t xml:space="preserve"> Mill. He asserted that ‘the only purpose for which power can be rightfully exercised over any member of a civilised community, against his will, is to prevent harm to others. His own good, either physical or mora</w:t>
      </w:r>
      <w:r w:rsidR="006F51B4">
        <w:rPr>
          <w:rFonts w:ascii="Cambria" w:hAnsi="Cambria"/>
        </w:rPr>
        <w:t>l, is not a sufficient warrant.’</w:t>
      </w:r>
      <w:r w:rsidR="006F51B4" w:rsidRPr="007F0B9F">
        <w:rPr>
          <w:rFonts w:ascii="Cambria" w:hAnsi="Cambria"/>
          <w:vertAlign w:val="superscript"/>
        </w:rPr>
        <w:footnoteReference w:id="92"/>
      </w:r>
      <w:r w:rsidR="006F51B4">
        <w:rPr>
          <w:rFonts w:ascii="Cambria" w:hAnsi="Cambria"/>
          <w:lang w:val="en-US"/>
        </w:rPr>
        <w:t xml:space="preserve"> These arguments draw upon </w:t>
      </w:r>
      <w:r w:rsidR="00E94F69">
        <w:rPr>
          <w:rFonts w:ascii="Cambria" w:hAnsi="Cambria"/>
          <w:lang w:val="en-US"/>
        </w:rPr>
        <w:t xml:space="preserve">liberal assumptions that </w:t>
      </w:r>
      <w:r w:rsidRPr="007F0B9F">
        <w:rPr>
          <w:rFonts w:ascii="Cambria" w:hAnsi="Cambria"/>
        </w:rPr>
        <w:t>‘individuals should normally be ab</w:t>
      </w:r>
      <w:r w:rsidR="009417B9">
        <w:rPr>
          <w:rFonts w:ascii="Cambria" w:hAnsi="Cambria"/>
        </w:rPr>
        <w:t>le to determine their own good,’</w:t>
      </w:r>
      <w:r w:rsidRPr="007F0B9F">
        <w:rPr>
          <w:rFonts w:ascii="Cambria" w:hAnsi="Cambria"/>
          <w:vertAlign w:val="superscript"/>
        </w:rPr>
        <w:footnoteReference w:id="93"/>
      </w:r>
      <w:r w:rsidR="00CE5608">
        <w:rPr>
          <w:rFonts w:ascii="Cambria" w:hAnsi="Cambria"/>
        </w:rPr>
        <w:t xml:space="preserve"> </w:t>
      </w:r>
      <w:r w:rsidR="00E94F69">
        <w:rPr>
          <w:rFonts w:ascii="Cambria" w:hAnsi="Cambria"/>
          <w:lang w:val="en-US"/>
        </w:rPr>
        <w:t xml:space="preserve">and that </w:t>
      </w:r>
      <w:r w:rsidRPr="007F0B9F">
        <w:rPr>
          <w:rFonts w:ascii="Cambria" w:hAnsi="Cambria"/>
        </w:rPr>
        <w:t>the ‘denial of self-determination’</w:t>
      </w:r>
      <w:r w:rsidRPr="007F0B9F">
        <w:rPr>
          <w:rStyle w:val="FootnoteReference"/>
          <w:rFonts w:ascii="Cambria" w:hAnsi="Cambria"/>
        </w:rPr>
        <w:footnoteReference w:id="94"/>
      </w:r>
      <w:r w:rsidRPr="007F0B9F">
        <w:rPr>
          <w:rFonts w:ascii="Cambria" w:hAnsi="Cambria"/>
        </w:rPr>
        <w:t xml:space="preserve"> is an affront </w:t>
      </w:r>
      <w:r w:rsidR="00E94F69">
        <w:rPr>
          <w:rFonts w:ascii="Cambria" w:hAnsi="Cambria"/>
        </w:rPr>
        <w:t>to the</w:t>
      </w:r>
      <w:r w:rsidR="00E94F69">
        <w:rPr>
          <w:rFonts w:ascii="Cambria" w:hAnsi="Cambria"/>
          <w:lang w:val="en-US"/>
        </w:rPr>
        <w:t xml:space="preserve"> assumption that there is</w:t>
      </w:r>
      <w:r w:rsidRPr="007F0B9F">
        <w:rPr>
          <w:rFonts w:ascii="Cambria" w:hAnsi="Cambria"/>
        </w:rPr>
        <w:t xml:space="preserve"> ‘intrinsic value in permitting an individual to decide for [themselves] even if, objectively, [they] make the ‘unhealthy’ choice.</w:t>
      </w:r>
      <w:r w:rsidRPr="007F0B9F">
        <w:rPr>
          <w:rStyle w:val="FootnoteReference"/>
          <w:rFonts w:ascii="Cambria" w:hAnsi="Cambria"/>
        </w:rPr>
        <w:footnoteReference w:id="95"/>
      </w:r>
      <w:r w:rsidRPr="007F0B9F">
        <w:rPr>
          <w:rFonts w:ascii="Cambria" w:hAnsi="Cambria"/>
        </w:rPr>
        <w:t xml:space="preserve"> Therefore, </w:t>
      </w:r>
      <w:r w:rsidR="008849B2">
        <w:rPr>
          <w:rFonts w:ascii="Cambria" w:hAnsi="Cambria"/>
          <w:lang w:val="en-US"/>
        </w:rPr>
        <w:t xml:space="preserve">adherents to the harm principle object to paternalism on the basis that </w:t>
      </w:r>
      <w:r w:rsidR="005423AF">
        <w:rPr>
          <w:rFonts w:ascii="Cambria" w:hAnsi="Cambria"/>
          <w:lang w:val="en-US"/>
        </w:rPr>
        <w:t xml:space="preserve">if </w:t>
      </w:r>
      <w:r w:rsidRPr="007F0B9F">
        <w:rPr>
          <w:rFonts w:ascii="Cambria" w:hAnsi="Cambria"/>
        </w:rPr>
        <w:t xml:space="preserve">the outcome of an individual’s preferences would harm no one but themselves, </w:t>
      </w:r>
      <w:r w:rsidR="008849B2">
        <w:rPr>
          <w:rFonts w:ascii="Cambria" w:hAnsi="Cambria"/>
          <w:lang w:val="en-US"/>
        </w:rPr>
        <w:t xml:space="preserve">it is ethically unjustifiable for the </w:t>
      </w:r>
      <w:r w:rsidRPr="007F0B9F">
        <w:rPr>
          <w:rFonts w:ascii="Cambria" w:hAnsi="Cambria"/>
        </w:rPr>
        <w:t xml:space="preserve">state </w:t>
      </w:r>
      <w:r w:rsidR="008849B2">
        <w:rPr>
          <w:rFonts w:ascii="Cambria" w:hAnsi="Cambria"/>
          <w:lang w:val="en-US"/>
        </w:rPr>
        <w:t xml:space="preserve">to </w:t>
      </w:r>
      <w:r w:rsidR="005423AF">
        <w:rPr>
          <w:rFonts w:ascii="Cambria" w:hAnsi="Cambria"/>
          <w:lang w:val="en-US"/>
        </w:rPr>
        <w:t xml:space="preserve">decide that such practices </w:t>
      </w:r>
      <w:r w:rsidR="00E678DA">
        <w:rPr>
          <w:rFonts w:ascii="Cambria" w:hAnsi="Cambria"/>
          <w:lang w:val="en-US"/>
        </w:rPr>
        <w:t xml:space="preserve">and the </w:t>
      </w:r>
      <w:r w:rsidR="00E678DA">
        <w:rPr>
          <w:rFonts w:ascii="Cambria" w:hAnsi="Cambria"/>
          <w:lang w:val="en-US"/>
        </w:rPr>
        <w:lastRenderedPageBreak/>
        <w:t xml:space="preserve">preferences underlying them </w:t>
      </w:r>
      <w:r w:rsidR="005423AF">
        <w:rPr>
          <w:rFonts w:ascii="Cambria" w:hAnsi="Cambria"/>
          <w:lang w:val="en-US"/>
        </w:rPr>
        <w:t xml:space="preserve">are undesirable, and </w:t>
      </w:r>
      <w:r w:rsidR="008849B2">
        <w:rPr>
          <w:rFonts w:ascii="Cambria" w:hAnsi="Cambria"/>
          <w:lang w:val="en-US"/>
        </w:rPr>
        <w:t xml:space="preserve">exercise power to </w:t>
      </w:r>
      <w:r w:rsidR="005423AF">
        <w:rPr>
          <w:rFonts w:ascii="Cambria" w:hAnsi="Cambria"/>
          <w:lang w:val="en-US"/>
        </w:rPr>
        <w:t xml:space="preserve">substitute them </w:t>
      </w:r>
      <w:r w:rsidR="00E678DA">
        <w:rPr>
          <w:rFonts w:ascii="Cambria" w:hAnsi="Cambria"/>
          <w:lang w:val="en-US"/>
        </w:rPr>
        <w:t>for ones of their own choosing.</w:t>
      </w:r>
      <w:r w:rsidR="004928E2">
        <w:rPr>
          <w:rFonts w:ascii="Cambria" w:hAnsi="Cambria"/>
        </w:rPr>
        <w:t xml:space="preserve"> The</w:t>
      </w:r>
      <w:r w:rsidR="004928E2">
        <w:rPr>
          <w:rFonts w:ascii="Cambria" w:hAnsi="Cambria"/>
          <w:lang w:val="en-US"/>
        </w:rPr>
        <w:t xml:space="preserve"> fact that a benefit may accrue to the individual in the process is not a sufficient reason for governments to deny </w:t>
      </w:r>
      <w:r w:rsidR="00F2693C">
        <w:rPr>
          <w:rFonts w:ascii="Cambria" w:hAnsi="Cambria"/>
          <w:lang w:val="en-US"/>
        </w:rPr>
        <w:t>individual self determination of good.</w:t>
      </w:r>
    </w:p>
    <w:p w14:paraId="4C4C2C07" w14:textId="1A0CF882" w:rsidR="004267C9" w:rsidRPr="007F0B9F" w:rsidRDefault="004267C9" w:rsidP="004267C9">
      <w:pPr>
        <w:autoSpaceDE w:val="0"/>
        <w:autoSpaceDN w:val="0"/>
        <w:adjustRightInd w:val="0"/>
        <w:spacing w:after="200" w:line="276" w:lineRule="auto"/>
        <w:rPr>
          <w:rFonts w:ascii="Cambria" w:hAnsi="Cambria"/>
        </w:rPr>
      </w:pPr>
      <w:r w:rsidRPr="007F0B9F">
        <w:rPr>
          <w:rFonts w:ascii="Cambria" w:hAnsi="Cambria"/>
        </w:rPr>
        <w:t xml:space="preserve">The second </w:t>
      </w:r>
      <w:r w:rsidR="00F2693C">
        <w:rPr>
          <w:rFonts w:ascii="Cambria" w:hAnsi="Cambria"/>
        </w:rPr>
        <w:t>o</w:t>
      </w:r>
      <w:r w:rsidR="002A4562">
        <w:rPr>
          <w:rFonts w:ascii="Cambria" w:hAnsi="Cambria"/>
        </w:rPr>
        <w:t>bjection</w:t>
      </w:r>
      <w:r w:rsidR="00747A20">
        <w:rPr>
          <w:rFonts w:ascii="Cambria" w:hAnsi="Cambria"/>
          <w:lang w:val="en-US"/>
        </w:rPr>
        <w:t xml:space="preserve"> is legal </w:t>
      </w:r>
      <w:r w:rsidR="00B82046">
        <w:rPr>
          <w:rFonts w:ascii="Cambria" w:hAnsi="Cambria"/>
          <w:lang w:val="en-US"/>
        </w:rPr>
        <w:t xml:space="preserve">and ethical </w:t>
      </w:r>
      <w:r w:rsidR="00747A20">
        <w:rPr>
          <w:rFonts w:ascii="Cambria" w:hAnsi="Cambria"/>
          <w:lang w:val="en-US"/>
        </w:rPr>
        <w:t>in nature, and</w:t>
      </w:r>
      <w:r w:rsidR="002A4562">
        <w:rPr>
          <w:rFonts w:ascii="Cambria" w:hAnsi="Cambria"/>
        </w:rPr>
        <w:t xml:space="preserve"> </w:t>
      </w:r>
      <w:r w:rsidR="005D5603">
        <w:rPr>
          <w:rFonts w:ascii="Cambria" w:hAnsi="Cambria"/>
        </w:rPr>
        <w:t>is that paternalism constitutes a</w:t>
      </w:r>
      <w:r w:rsidR="005D5603">
        <w:rPr>
          <w:rFonts w:ascii="Cambria" w:hAnsi="Cambria"/>
          <w:lang w:val="en-US"/>
        </w:rPr>
        <w:t xml:space="preserve"> disproportionate restriction on the exercise </w:t>
      </w:r>
      <w:r w:rsidR="002A4562">
        <w:rPr>
          <w:rFonts w:ascii="Cambria" w:hAnsi="Cambria"/>
          <w:lang w:val="en-US"/>
        </w:rPr>
        <w:t>of</w:t>
      </w:r>
      <w:r w:rsidR="006F4C52">
        <w:rPr>
          <w:rFonts w:ascii="Cambria" w:hAnsi="Cambria"/>
        </w:rPr>
        <w:t xml:space="preserve"> fundamental rights</w:t>
      </w:r>
      <w:r w:rsidR="002A4562">
        <w:rPr>
          <w:rFonts w:ascii="Cambria" w:hAnsi="Cambria"/>
          <w:lang w:val="en-US"/>
        </w:rPr>
        <w:t xml:space="preserve"> by individuals</w:t>
      </w:r>
      <w:r w:rsidR="002A4562">
        <w:rPr>
          <w:rFonts w:ascii="Cambria" w:hAnsi="Cambria"/>
        </w:rPr>
        <w:t xml:space="preserve">, when less </w:t>
      </w:r>
      <w:r w:rsidRPr="007F0B9F">
        <w:rPr>
          <w:rFonts w:ascii="Cambria" w:hAnsi="Cambria"/>
        </w:rPr>
        <w:t>restrict</w:t>
      </w:r>
      <w:r w:rsidR="00B65D0D">
        <w:rPr>
          <w:rFonts w:ascii="Cambria" w:hAnsi="Cambria"/>
        </w:rPr>
        <w:t>ive measures are available. T</w:t>
      </w:r>
      <w:r w:rsidR="00B82046">
        <w:rPr>
          <w:rFonts w:ascii="Cambria" w:hAnsi="Cambria"/>
          <w:lang w:val="en-US"/>
        </w:rPr>
        <w:t>he l</w:t>
      </w:r>
      <w:r w:rsidR="00631DB3">
        <w:rPr>
          <w:rFonts w:ascii="Cambria" w:hAnsi="Cambria"/>
          <w:lang w:val="en-US"/>
        </w:rPr>
        <w:t xml:space="preserve">egal notion of proportionality is </w:t>
      </w:r>
      <w:r w:rsidR="00B82046">
        <w:rPr>
          <w:rFonts w:ascii="Cambria" w:hAnsi="Cambria"/>
          <w:lang w:val="en-US"/>
        </w:rPr>
        <w:t>enshrined in EU primary law in Article</w:t>
      </w:r>
      <w:r w:rsidR="00007993">
        <w:rPr>
          <w:rFonts w:ascii="Cambria" w:hAnsi="Cambria"/>
          <w:lang w:val="en-US"/>
        </w:rPr>
        <w:t xml:space="preserve"> 5</w:t>
      </w:r>
      <w:r w:rsidR="00631DB3">
        <w:rPr>
          <w:rFonts w:ascii="Cambria" w:hAnsi="Cambria"/>
          <w:lang w:val="en-US"/>
        </w:rPr>
        <w:t>(4)</w:t>
      </w:r>
      <w:r w:rsidR="00007993">
        <w:rPr>
          <w:rFonts w:ascii="Cambria" w:hAnsi="Cambria"/>
          <w:lang w:val="en-US"/>
        </w:rPr>
        <w:t xml:space="preserve"> of the Treaty on European Union</w:t>
      </w:r>
      <w:r w:rsidR="00631DB3">
        <w:rPr>
          <w:rFonts w:ascii="Cambria" w:hAnsi="Cambria"/>
          <w:lang w:val="en-US"/>
        </w:rPr>
        <w:t>, and is that legal action ‘shall not exceed what is necessary to achieve the objectives of the Treaty</w:t>
      </w:r>
      <w:r w:rsidR="00F50AD7">
        <w:rPr>
          <w:rFonts w:ascii="Cambria" w:hAnsi="Cambria"/>
          <w:lang w:val="en-US"/>
        </w:rPr>
        <w:t>.</w:t>
      </w:r>
      <w:r w:rsidR="00631DB3">
        <w:rPr>
          <w:rFonts w:ascii="Cambria" w:hAnsi="Cambria"/>
          <w:lang w:val="en-US"/>
        </w:rPr>
        <w:t xml:space="preserve">’ </w:t>
      </w:r>
      <w:r w:rsidR="00F50AD7">
        <w:rPr>
          <w:rFonts w:ascii="Cambria" w:hAnsi="Cambria"/>
          <w:lang w:val="en-US"/>
        </w:rPr>
        <w:t xml:space="preserve">This </w:t>
      </w:r>
      <w:r w:rsidR="002D73E6">
        <w:rPr>
          <w:rFonts w:ascii="Cambria" w:hAnsi="Cambria"/>
          <w:lang w:val="en-US"/>
        </w:rPr>
        <w:t xml:space="preserve">mirrors the ethical principle of least restriction which </w:t>
      </w:r>
      <w:r w:rsidRPr="007F0B9F">
        <w:rPr>
          <w:rFonts w:ascii="Cambria" w:hAnsi="Cambria"/>
        </w:rPr>
        <w:t xml:space="preserve">is often </w:t>
      </w:r>
      <w:r w:rsidR="002A4562">
        <w:rPr>
          <w:rFonts w:ascii="Cambria" w:hAnsi="Cambria"/>
          <w:lang w:val="en-US"/>
        </w:rPr>
        <w:t>articulated</w:t>
      </w:r>
      <w:r w:rsidRPr="007F0B9F">
        <w:rPr>
          <w:rFonts w:ascii="Cambria" w:hAnsi="Cambria"/>
        </w:rPr>
        <w:t xml:space="preserve"> as the idea that ‘more coercive methods should be employed only when les</w:t>
      </w:r>
      <w:r w:rsidR="009417B9">
        <w:rPr>
          <w:rFonts w:ascii="Cambria" w:hAnsi="Cambria"/>
        </w:rPr>
        <w:t>s coercive methods have failed.’</w:t>
      </w:r>
      <w:r w:rsidRPr="007F0B9F">
        <w:rPr>
          <w:rFonts w:ascii="Cambria" w:hAnsi="Cambria"/>
          <w:vertAlign w:val="superscript"/>
        </w:rPr>
        <w:footnoteReference w:id="96"/>
      </w:r>
      <w:r w:rsidR="00126196">
        <w:rPr>
          <w:rFonts w:ascii="Cambria" w:hAnsi="Cambria"/>
          <w:lang w:val="en-US"/>
        </w:rPr>
        <w:t xml:space="preserve"> </w:t>
      </w:r>
      <w:r w:rsidR="007C37F2">
        <w:rPr>
          <w:rFonts w:ascii="Cambria" w:hAnsi="Cambria"/>
          <w:lang w:val="en-US"/>
        </w:rPr>
        <w:t xml:space="preserve">Underlying the argument from proportionality is </w:t>
      </w:r>
      <w:r w:rsidR="00132994">
        <w:rPr>
          <w:rFonts w:ascii="Cambria" w:hAnsi="Cambria"/>
          <w:lang w:val="en-US"/>
        </w:rPr>
        <w:t>the assumption that the</w:t>
      </w:r>
      <w:r w:rsidR="00FE7174">
        <w:rPr>
          <w:rFonts w:ascii="Cambria" w:hAnsi="Cambria"/>
          <w:lang w:val="en-US"/>
        </w:rPr>
        <w:t xml:space="preserve"> balance</w:t>
      </w:r>
      <w:r w:rsidR="00132994">
        <w:rPr>
          <w:rFonts w:ascii="Cambria" w:hAnsi="Cambria"/>
          <w:lang w:val="en-US"/>
        </w:rPr>
        <w:t xml:space="preserve"> to be struck between the various competing rights must always be struck in favour of regulation that is least restrictive. </w:t>
      </w:r>
      <w:r w:rsidR="00CF67B3">
        <w:rPr>
          <w:rFonts w:ascii="Cambria" w:hAnsi="Cambria"/>
          <w:lang w:val="en-US"/>
        </w:rPr>
        <w:t>Individuals have a right to an environment that gives them the opportunity to pursue their highest attainable level of health.</w:t>
      </w:r>
      <w:r w:rsidR="00F17610">
        <w:rPr>
          <w:rStyle w:val="FootnoteReference"/>
          <w:rFonts w:ascii="Cambria" w:hAnsi="Cambria"/>
          <w:lang w:val="en-US"/>
        </w:rPr>
        <w:footnoteReference w:id="97"/>
      </w:r>
      <w:r w:rsidR="00CF67B3">
        <w:rPr>
          <w:rFonts w:ascii="Cambria" w:hAnsi="Cambria"/>
          <w:lang w:val="en-US"/>
        </w:rPr>
        <w:t xml:space="preserve"> However individuals also have </w:t>
      </w:r>
      <w:r w:rsidR="00F17610">
        <w:rPr>
          <w:rFonts w:ascii="Cambria" w:hAnsi="Cambria"/>
          <w:lang w:val="en-US"/>
        </w:rPr>
        <w:t xml:space="preserve">rights to private life, freedom of </w:t>
      </w:r>
      <w:r w:rsidR="0052092F">
        <w:rPr>
          <w:rFonts w:ascii="Cambria" w:hAnsi="Cambria"/>
          <w:lang w:val="en-US"/>
        </w:rPr>
        <w:t>thought</w:t>
      </w:r>
      <w:r w:rsidR="00F17610">
        <w:rPr>
          <w:rFonts w:ascii="Cambria" w:hAnsi="Cambria"/>
          <w:lang w:val="en-US"/>
        </w:rPr>
        <w:t>,</w:t>
      </w:r>
      <w:r w:rsidR="008028FE">
        <w:rPr>
          <w:rFonts w:ascii="Cambria" w:hAnsi="Cambria"/>
          <w:lang w:val="en-US"/>
        </w:rPr>
        <w:t xml:space="preserve"> and </w:t>
      </w:r>
      <w:r w:rsidR="00505A64">
        <w:rPr>
          <w:rFonts w:ascii="Cambria" w:hAnsi="Cambria"/>
          <w:lang w:val="en-US"/>
        </w:rPr>
        <w:t xml:space="preserve">freedom of </w:t>
      </w:r>
      <w:r w:rsidR="0052092F">
        <w:rPr>
          <w:rFonts w:ascii="Cambria" w:hAnsi="Cambria"/>
          <w:lang w:val="en-US"/>
        </w:rPr>
        <w:t>expression</w:t>
      </w:r>
      <w:r w:rsidR="00505A64">
        <w:rPr>
          <w:rFonts w:ascii="Cambria" w:hAnsi="Cambria"/>
          <w:lang w:val="en-US"/>
        </w:rPr>
        <w:t>,</w:t>
      </w:r>
      <w:r w:rsidR="005F4D6B">
        <w:rPr>
          <w:rStyle w:val="FootnoteReference"/>
          <w:rFonts w:ascii="Cambria" w:hAnsi="Cambria"/>
          <w:lang w:val="en-US"/>
        </w:rPr>
        <w:footnoteReference w:id="98"/>
      </w:r>
      <w:r w:rsidR="008028FE">
        <w:rPr>
          <w:rFonts w:ascii="Cambria" w:hAnsi="Cambria"/>
          <w:lang w:val="en-US"/>
        </w:rPr>
        <w:t xml:space="preserve"> which the substitution of individual preferences for government preferences </w:t>
      </w:r>
      <w:r w:rsidR="00414C11">
        <w:rPr>
          <w:rFonts w:ascii="Cambria" w:hAnsi="Cambria"/>
          <w:lang w:val="en-US"/>
        </w:rPr>
        <w:t>in lifestyle decision making could endanger.</w:t>
      </w:r>
      <w:r w:rsidRPr="007F0B9F">
        <w:rPr>
          <w:rFonts w:ascii="Cambria" w:hAnsi="Cambria"/>
        </w:rPr>
        <w:t xml:space="preserve"> Thus, </w:t>
      </w:r>
      <w:r w:rsidR="005770D1">
        <w:rPr>
          <w:rFonts w:ascii="Cambria" w:hAnsi="Cambria"/>
          <w:lang w:val="en-US"/>
        </w:rPr>
        <w:t xml:space="preserve">the </w:t>
      </w:r>
      <w:r w:rsidRPr="007F0B9F">
        <w:rPr>
          <w:rFonts w:ascii="Cambria" w:hAnsi="Cambria"/>
        </w:rPr>
        <w:t>object</w:t>
      </w:r>
      <w:r w:rsidR="005770D1">
        <w:rPr>
          <w:rFonts w:ascii="Cambria" w:hAnsi="Cambria"/>
          <w:lang w:val="en-US"/>
        </w:rPr>
        <w:t>ion</w:t>
      </w:r>
      <w:r w:rsidRPr="007F0B9F">
        <w:rPr>
          <w:rFonts w:ascii="Cambria" w:hAnsi="Cambria"/>
        </w:rPr>
        <w:t xml:space="preserve"> to paternalism </w:t>
      </w:r>
      <w:r w:rsidR="005770D1">
        <w:rPr>
          <w:rFonts w:ascii="Cambria" w:hAnsi="Cambria"/>
          <w:lang w:val="en-US"/>
        </w:rPr>
        <w:t xml:space="preserve">is made </w:t>
      </w:r>
      <w:r w:rsidRPr="007F0B9F">
        <w:rPr>
          <w:rFonts w:ascii="Cambria" w:hAnsi="Cambria"/>
        </w:rPr>
        <w:t>on the basis that an exercise</w:t>
      </w:r>
      <w:r w:rsidR="002D73E6">
        <w:rPr>
          <w:rFonts w:ascii="Cambria" w:hAnsi="Cambria"/>
          <w:lang w:val="en-US"/>
        </w:rPr>
        <w:t xml:space="preserve"> </w:t>
      </w:r>
      <w:r w:rsidRPr="007F0B9F">
        <w:rPr>
          <w:rFonts w:ascii="Cambria" w:hAnsi="Cambria"/>
        </w:rPr>
        <w:t>of government power to substitute</w:t>
      </w:r>
      <w:r w:rsidR="00414C11">
        <w:rPr>
          <w:rFonts w:ascii="Cambria" w:hAnsi="Cambria"/>
          <w:lang w:val="en-US"/>
        </w:rPr>
        <w:t xml:space="preserve"> individual preferences are </w:t>
      </w:r>
      <w:r w:rsidR="004E02A3">
        <w:rPr>
          <w:rFonts w:ascii="Cambria" w:hAnsi="Cambria"/>
          <w:lang w:val="en-US"/>
        </w:rPr>
        <w:t xml:space="preserve">restrictive of fundamental rights when </w:t>
      </w:r>
      <w:r w:rsidRPr="007F0B9F">
        <w:rPr>
          <w:rFonts w:ascii="Cambria" w:hAnsi="Cambria"/>
        </w:rPr>
        <w:t>other interventions</w:t>
      </w:r>
      <w:r w:rsidR="004E02A3">
        <w:rPr>
          <w:rFonts w:ascii="Cambria" w:hAnsi="Cambria"/>
          <w:lang w:val="en-US"/>
        </w:rPr>
        <w:t xml:space="preserve"> exists. </w:t>
      </w:r>
    </w:p>
    <w:p w14:paraId="0D52A27C" w14:textId="6BABBE68" w:rsidR="006F4C52" w:rsidRDefault="006F4C52" w:rsidP="004267C9">
      <w:pPr>
        <w:autoSpaceDE w:val="0"/>
        <w:autoSpaceDN w:val="0"/>
        <w:adjustRightInd w:val="0"/>
        <w:spacing w:after="200" w:line="276" w:lineRule="auto"/>
        <w:rPr>
          <w:rFonts w:ascii="Cambria" w:hAnsi="Cambria"/>
          <w:lang w:val="en-US"/>
        </w:rPr>
      </w:pPr>
      <w:r>
        <w:rPr>
          <w:rFonts w:ascii="Cambria" w:hAnsi="Cambria"/>
        </w:rPr>
        <w:t xml:space="preserve">Having </w:t>
      </w:r>
      <w:r w:rsidR="005A6BD9">
        <w:rPr>
          <w:rFonts w:ascii="Cambria" w:hAnsi="Cambria"/>
          <w:lang w:val="en-US"/>
        </w:rPr>
        <w:t>conceptualised</w:t>
      </w:r>
      <w:r w:rsidR="004E02A3">
        <w:rPr>
          <w:rFonts w:ascii="Cambria" w:hAnsi="Cambria"/>
          <w:lang w:val="en-US"/>
        </w:rPr>
        <w:t xml:space="preserve"> </w:t>
      </w:r>
      <w:r>
        <w:rPr>
          <w:rFonts w:ascii="Cambria" w:hAnsi="Cambria"/>
        </w:rPr>
        <w:t>paternalism and o</w:t>
      </w:r>
      <w:r w:rsidR="004267C9" w:rsidRPr="007F0B9F">
        <w:rPr>
          <w:rFonts w:ascii="Cambria" w:hAnsi="Cambria"/>
        </w:rPr>
        <w:t>utlin</w:t>
      </w:r>
      <w:r w:rsidR="005A6BD9">
        <w:rPr>
          <w:rFonts w:ascii="Cambria" w:hAnsi="Cambria"/>
        </w:rPr>
        <w:t xml:space="preserve">ed two </w:t>
      </w:r>
      <w:r>
        <w:rPr>
          <w:rFonts w:ascii="Cambria" w:hAnsi="Cambria"/>
        </w:rPr>
        <w:t>prominent</w:t>
      </w:r>
      <w:r w:rsidR="004267C9" w:rsidRPr="007F0B9F">
        <w:rPr>
          <w:rFonts w:ascii="Cambria" w:hAnsi="Cambria"/>
        </w:rPr>
        <w:t xml:space="preserve"> objections to it, the last subsection of this paper will</w:t>
      </w:r>
      <w:r w:rsidR="005A6BD9">
        <w:rPr>
          <w:rFonts w:ascii="Cambria" w:hAnsi="Cambria"/>
        </w:rPr>
        <w:t xml:space="preserve"> address these objections in an</w:t>
      </w:r>
      <w:r w:rsidR="005A6BD9">
        <w:rPr>
          <w:rFonts w:ascii="Cambria" w:hAnsi="Cambria"/>
          <w:lang w:val="en-US"/>
        </w:rPr>
        <w:t xml:space="preserve"> effort to show th</w:t>
      </w:r>
      <w:r w:rsidR="005F4D6B">
        <w:rPr>
          <w:rFonts w:ascii="Cambria" w:hAnsi="Cambria"/>
          <w:lang w:val="en-US"/>
        </w:rPr>
        <w:t>at paternalistic regulation should not be seen as ethically unjustifiable on these grounds.</w:t>
      </w:r>
    </w:p>
    <w:p w14:paraId="36B48821" w14:textId="77777777" w:rsidR="005F4D6B" w:rsidRPr="005F4D6B" w:rsidRDefault="005F4D6B" w:rsidP="004267C9">
      <w:pPr>
        <w:autoSpaceDE w:val="0"/>
        <w:autoSpaceDN w:val="0"/>
        <w:adjustRightInd w:val="0"/>
        <w:spacing w:after="200" w:line="276" w:lineRule="auto"/>
        <w:rPr>
          <w:rFonts w:ascii="Cambria" w:hAnsi="Cambria"/>
          <w:lang w:val="en-US"/>
        </w:rPr>
      </w:pPr>
    </w:p>
    <w:p w14:paraId="7AF3AB90" w14:textId="46F23473" w:rsidR="004267C9" w:rsidRPr="005C2F74" w:rsidRDefault="005F4D6B" w:rsidP="004267C9">
      <w:pPr>
        <w:autoSpaceDE w:val="0"/>
        <w:autoSpaceDN w:val="0"/>
        <w:adjustRightInd w:val="0"/>
        <w:spacing w:after="200" w:line="276" w:lineRule="auto"/>
        <w:rPr>
          <w:rFonts w:ascii="Cambria" w:hAnsi="Cambria"/>
          <w:b/>
          <w:sz w:val="24"/>
        </w:rPr>
      </w:pPr>
      <w:r>
        <w:rPr>
          <w:rFonts w:ascii="Cambria" w:hAnsi="Cambria"/>
          <w:b/>
          <w:sz w:val="24"/>
        </w:rPr>
        <w:t>B</w:t>
      </w:r>
      <w:r>
        <w:rPr>
          <w:rFonts w:ascii="Cambria" w:hAnsi="Cambria"/>
          <w:b/>
          <w:sz w:val="24"/>
        </w:rPr>
        <w:tab/>
      </w:r>
      <w:r w:rsidR="004267C9" w:rsidRPr="005C2F74">
        <w:rPr>
          <w:rFonts w:ascii="Cambria" w:hAnsi="Cambria"/>
          <w:b/>
          <w:sz w:val="24"/>
        </w:rPr>
        <w:t>Reconciling paternalist policies with the objections to them</w:t>
      </w:r>
    </w:p>
    <w:p w14:paraId="7109A354" w14:textId="0982B103" w:rsidR="004267C9" w:rsidRPr="005C2F74" w:rsidRDefault="00716507" w:rsidP="004267C9">
      <w:pPr>
        <w:autoSpaceDE w:val="0"/>
        <w:autoSpaceDN w:val="0"/>
        <w:adjustRightInd w:val="0"/>
        <w:spacing w:after="200" w:line="276" w:lineRule="auto"/>
        <w:rPr>
          <w:rFonts w:ascii="Cambria" w:hAnsi="Cambria"/>
          <w:szCs w:val="24"/>
        </w:rPr>
      </w:pPr>
      <w:r>
        <w:rPr>
          <w:rFonts w:ascii="Cambria" w:hAnsi="Cambria"/>
          <w:szCs w:val="24"/>
          <w:lang w:val="en-US"/>
        </w:rPr>
        <w:t>It should be noted at the</w:t>
      </w:r>
      <w:r w:rsidR="00552F01">
        <w:rPr>
          <w:rFonts w:ascii="Cambria" w:hAnsi="Cambria"/>
          <w:szCs w:val="24"/>
          <w:lang w:val="en-US"/>
        </w:rPr>
        <w:t xml:space="preserve"> outset that there are no black or white answers when it comes to deeply normative debates</w:t>
      </w:r>
      <w:r w:rsidR="006F5E15">
        <w:rPr>
          <w:rFonts w:ascii="Cambria" w:hAnsi="Cambria"/>
          <w:szCs w:val="24"/>
          <w:lang w:val="en-US"/>
        </w:rPr>
        <w:t xml:space="preserve"> such</w:t>
      </w:r>
      <w:r w:rsidR="00552F01">
        <w:rPr>
          <w:rFonts w:ascii="Cambria" w:hAnsi="Cambria"/>
          <w:szCs w:val="24"/>
          <w:lang w:val="en-US"/>
        </w:rPr>
        <w:t xml:space="preserve"> as whether paternalist intervention is right or wrong. Therefore, in those section I only aim to show that paternalist policies may be </w:t>
      </w:r>
      <w:r w:rsidR="00552F01" w:rsidRPr="00A8591F">
        <w:rPr>
          <w:rFonts w:ascii="Cambria" w:hAnsi="Cambria"/>
          <w:i/>
          <w:szCs w:val="24"/>
          <w:lang w:val="en-US"/>
        </w:rPr>
        <w:t>justifiable</w:t>
      </w:r>
      <w:r w:rsidR="00F90B6C">
        <w:rPr>
          <w:rFonts w:ascii="Cambria" w:hAnsi="Cambria"/>
          <w:szCs w:val="24"/>
          <w:lang w:val="en-US"/>
        </w:rPr>
        <w:t>, building on the growing body of literature that offers arguments in favour of the justifiability of paternalist action.</w:t>
      </w:r>
      <w:r w:rsidR="00F90B6C" w:rsidRPr="005C2F74">
        <w:rPr>
          <w:rStyle w:val="FootnoteReference"/>
          <w:rFonts w:ascii="Cambria" w:hAnsi="Cambria"/>
          <w:szCs w:val="24"/>
        </w:rPr>
        <w:footnoteReference w:id="99"/>
      </w:r>
      <w:r w:rsidR="00552F01">
        <w:rPr>
          <w:rFonts w:ascii="Cambria" w:hAnsi="Cambria"/>
          <w:szCs w:val="24"/>
          <w:lang w:val="en-US"/>
        </w:rPr>
        <w:t xml:space="preserve"> To argue that paternalist policies are </w:t>
      </w:r>
      <w:r w:rsidR="00552F01" w:rsidRPr="00A8591F">
        <w:rPr>
          <w:rFonts w:ascii="Cambria" w:hAnsi="Cambria"/>
          <w:i/>
          <w:szCs w:val="24"/>
          <w:lang w:val="en-US"/>
        </w:rPr>
        <w:t>justified</w:t>
      </w:r>
      <w:r w:rsidR="00552F01">
        <w:rPr>
          <w:rFonts w:ascii="Cambria" w:hAnsi="Cambria"/>
          <w:szCs w:val="24"/>
          <w:lang w:val="en-US"/>
        </w:rPr>
        <w:t xml:space="preserve"> would assume a level of surety that</w:t>
      </w:r>
      <w:r w:rsidR="00F90B6C">
        <w:rPr>
          <w:rFonts w:ascii="Cambria" w:hAnsi="Cambria"/>
          <w:szCs w:val="24"/>
          <w:lang w:val="en-US"/>
        </w:rPr>
        <w:t xml:space="preserve"> simply cannot be assumed</w:t>
      </w:r>
      <w:r w:rsidR="006F5E15">
        <w:rPr>
          <w:rFonts w:ascii="Cambria" w:hAnsi="Cambria"/>
          <w:szCs w:val="24"/>
          <w:lang w:val="en-US"/>
        </w:rPr>
        <w:t>, and which would</w:t>
      </w:r>
      <w:r w:rsidR="00A8591F">
        <w:rPr>
          <w:rFonts w:ascii="Cambria" w:hAnsi="Cambria"/>
          <w:szCs w:val="24"/>
          <w:lang w:val="en-US"/>
        </w:rPr>
        <w:t xml:space="preserve"> be insensitive to th</w:t>
      </w:r>
      <w:r w:rsidR="00F12580">
        <w:rPr>
          <w:rFonts w:ascii="Cambria" w:hAnsi="Cambria"/>
          <w:szCs w:val="24"/>
          <w:lang w:val="en-US"/>
        </w:rPr>
        <w:t xml:space="preserve">e complex nature of the debate. Below, I restrict myself to discussion on the justifiability of paternalism in response to the two </w:t>
      </w:r>
      <w:r w:rsidR="006F4C52">
        <w:rPr>
          <w:rFonts w:ascii="Cambria" w:hAnsi="Cambria"/>
          <w:szCs w:val="24"/>
        </w:rPr>
        <w:t xml:space="preserve">objections raised above. </w:t>
      </w:r>
      <w:r w:rsidR="004267C9" w:rsidRPr="005C2F74">
        <w:rPr>
          <w:rFonts w:ascii="Cambria" w:hAnsi="Cambria"/>
          <w:szCs w:val="24"/>
        </w:rPr>
        <w:t xml:space="preserve"> </w:t>
      </w:r>
    </w:p>
    <w:p w14:paraId="19CBBCA3" w14:textId="7825AA56" w:rsidR="004267C9" w:rsidRPr="00184CAD" w:rsidRDefault="004267C9" w:rsidP="004267C9">
      <w:pPr>
        <w:autoSpaceDE w:val="0"/>
        <w:autoSpaceDN w:val="0"/>
        <w:adjustRightInd w:val="0"/>
        <w:spacing w:after="200" w:line="276" w:lineRule="auto"/>
        <w:rPr>
          <w:rFonts w:ascii="Cambria" w:hAnsi="Cambria"/>
          <w:lang w:val="en-US"/>
        </w:rPr>
      </w:pPr>
      <w:r w:rsidRPr="005C2F74">
        <w:rPr>
          <w:rFonts w:ascii="Cambria" w:hAnsi="Cambria"/>
          <w:szCs w:val="24"/>
        </w:rPr>
        <w:lastRenderedPageBreak/>
        <w:t>The first objection to paternalist regul</w:t>
      </w:r>
      <w:r w:rsidR="009E1E28">
        <w:rPr>
          <w:rFonts w:ascii="Cambria" w:hAnsi="Cambria"/>
          <w:szCs w:val="24"/>
        </w:rPr>
        <w:t>ation was raised on the basis</w:t>
      </w:r>
      <w:r w:rsidRPr="005C2F74">
        <w:rPr>
          <w:rFonts w:ascii="Cambria" w:hAnsi="Cambria"/>
          <w:szCs w:val="24"/>
        </w:rPr>
        <w:t xml:space="preserve"> that the state may only </w:t>
      </w:r>
      <w:r w:rsidR="008E42DD">
        <w:rPr>
          <w:rFonts w:ascii="Cambria" w:hAnsi="Cambria"/>
          <w:szCs w:val="24"/>
          <w:lang w:val="en-US"/>
        </w:rPr>
        <w:t xml:space="preserve">substitute </w:t>
      </w:r>
      <w:r w:rsidR="00A72E40">
        <w:rPr>
          <w:rFonts w:ascii="Cambria" w:hAnsi="Cambria"/>
          <w:szCs w:val="24"/>
          <w:lang w:val="en-US"/>
        </w:rPr>
        <w:t xml:space="preserve">an </w:t>
      </w:r>
      <w:r w:rsidR="008E42DD">
        <w:rPr>
          <w:rFonts w:ascii="Cambria" w:hAnsi="Cambria"/>
          <w:szCs w:val="24"/>
          <w:lang w:val="en-US"/>
        </w:rPr>
        <w:t>individual</w:t>
      </w:r>
      <w:r w:rsidR="00A72E40">
        <w:rPr>
          <w:rFonts w:ascii="Cambria" w:hAnsi="Cambria"/>
          <w:szCs w:val="24"/>
          <w:lang w:val="en-US"/>
        </w:rPr>
        <w:t>’s</w:t>
      </w:r>
      <w:r w:rsidR="008E42DD">
        <w:rPr>
          <w:rFonts w:ascii="Cambria" w:hAnsi="Cambria"/>
          <w:szCs w:val="24"/>
          <w:lang w:val="en-US"/>
        </w:rPr>
        <w:t xml:space="preserve"> preferences against their the will </w:t>
      </w:r>
      <w:r w:rsidR="00A72E40">
        <w:rPr>
          <w:rFonts w:ascii="Cambria" w:hAnsi="Cambria"/>
          <w:szCs w:val="24"/>
          <w:lang w:val="en-US"/>
        </w:rPr>
        <w:t>in order to prevent harm to others</w:t>
      </w:r>
      <w:r w:rsidRPr="005C2F74">
        <w:rPr>
          <w:rFonts w:ascii="Cambria" w:hAnsi="Cambria"/>
          <w:szCs w:val="24"/>
        </w:rPr>
        <w:t xml:space="preserve">, and that behaviour </w:t>
      </w:r>
      <w:r w:rsidRPr="00184CAD">
        <w:rPr>
          <w:rFonts w:ascii="Cambria" w:hAnsi="Cambria"/>
          <w:i/>
          <w:szCs w:val="24"/>
        </w:rPr>
        <w:t>only</w:t>
      </w:r>
      <w:r w:rsidRPr="005C2F74">
        <w:rPr>
          <w:rFonts w:ascii="Cambria" w:hAnsi="Cambria"/>
          <w:szCs w:val="24"/>
        </w:rPr>
        <w:t xml:space="preserve"> affecting the individual conducting it should remain free from state interference. This of course entails the assumption that </w:t>
      </w:r>
      <w:r w:rsidR="00B536B5">
        <w:rPr>
          <w:rFonts w:ascii="Cambria" w:hAnsi="Cambria"/>
          <w:szCs w:val="24"/>
          <w:lang w:val="en-US"/>
        </w:rPr>
        <w:t xml:space="preserve">a </w:t>
      </w:r>
      <w:r w:rsidR="00B536B5" w:rsidRPr="00184CAD">
        <w:rPr>
          <w:rFonts w:ascii="Cambria" w:hAnsi="Cambria"/>
          <w:i/>
          <w:szCs w:val="24"/>
          <w:lang w:val="en-US"/>
        </w:rPr>
        <w:t>purely</w:t>
      </w:r>
      <w:r w:rsidR="00B536B5">
        <w:rPr>
          <w:rFonts w:ascii="Cambria" w:hAnsi="Cambria"/>
          <w:szCs w:val="24"/>
          <w:lang w:val="en-US"/>
        </w:rPr>
        <w:t xml:space="preserve"> self-regarding behaviour in fact exists. </w:t>
      </w:r>
      <w:r w:rsidRPr="005C2F74">
        <w:rPr>
          <w:rFonts w:ascii="Cambria" w:hAnsi="Cambria"/>
          <w:szCs w:val="24"/>
        </w:rPr>
        <w:t xml:space="preserve">In the case of </w:t>
      </w:r>
      <w:r w:rsidR="00AC2986">
        <w:rPr>
          <w:rFonts w:ascii="Cambria" w:hAnsi="Cambria"/>
          <w:szCs w:val="24"/>
          <w:lang w:val="en-US"/>
        </w:rPr>
        <w:t xml:space="preserve">the consumption of products that are linked to the development of NCDs, it is virtually </w:t>
      </w:r>
      <w:r w:rsidR="00184CAD">
        <w:rPr>
          <w:rFonts w:ascii="Cambria" w:hAnsi="Cambria"/>
          <w:szCs w:val="24"/>
          <w:lang w:val="en-US"/>
        </w:rPr>
        <w:t xml:space="preserve">impossible to describe such behaviour as </w:t>
      </w:r>
      <w:r w:rsidR="00184CAD" w:rsidRPr="00184CAD">
        <w:rPr>
          <w:rFonts w:ascii="Cambria" w:hAnsi="Cambria"/>
          <w:i/>
          <w:szCs w:val="24"/>
          <w:lang w:val="en-US"/>
        </w:rPr>
        <w:t>purely</w:t>
      </w:r>
      <w:r w:rsidR="00184CAD">
        <w:rPr>
          <w:rFonts w:ascii="Cambria" w:hAnsi="Cambria"/>
          <w:szCs w:val="24"/>
          <w:lang w:val="en-US"/>
        </w:rPr>
        <w:t xml:space="preserve"> self-regarding.</w:t>
      </w:r>
    </w:p>
    <w:p w14:paraId="6B4E7B24" w14:textId="1CBF42C1" w:rsidR="004267C9" w:rsidRPr="00E80411" w:rsidRDefault="00184CAD" w:rsidP="00B12232">
      <w:pPr>
        <w:autoSpaceDE w:val="0"/>
        <w:autoSpaceDN w:val="0"/>
        <w:adjustRightInd w:val="0"/>
        <w:spacing w:after="200" w:line="276" w:lineRule="auto"/>
        <w:rPr>
          <w:lang w:val="en-US"/>
        </w:rPr>
      </w:pPr>
      <w:r>
        <w:rPr>
          <w:rFonts w:ascii="Cambria" w:hAnsi="Cambria"/>
          <w:szCs w:val="24"/>
          <w:lang w:val="en-US"/>
        </w:rPr>
        <w:t>Consumption of alcohol, tobacco and unhealthy foods</w:t>
      </w:r>
      <w:r w:rsidR="004267C9" w:rsidRPr="005C2F74">
        <w:rPr>
          <w:rFonts w:ascii="Cambria" w:hAnsi="Cambria"/>
          <w:szCs w:val="24"/>
        </w:rPr>
        <w:t xml:space="preserve"> often produces negative effects for third parties, known as externalities. For instance, Pope notes that smoking ‘can create the added social costs of health care, reduced productivity, and increased Socia</w:t>
      </w:r>
      <w:r w:rsidR="009417B9">
        <w:rPr>
          <w:rFonts w:ascii="Cambria" w:hAnsi="Cambria"/>
          <w:szCs w:val="24"/>
        </w:rPr>
        <w:t>l Security disability payments.’</w:t>
      </w:r>
      <w:r w:rsidR="004267C9" w:rsidRPr="005C2F74">
        <w:rPr>
          <w:rFonts w:ascii="Cambria" w:hAnsi="Cambria"/>
          <w:szCs w:val="24"/>
          <w:vertAlign w:val="superscript"/>
        </w:rPr>
        <w:footnoteReference w:id="100"/>
      </w:r>
      <w:r w:rsidR="004267C9" w:rsidRPr="005C2F74">
        <w:rPr>
          <w:rFonts w:ascii="Cambria" w:hAnsi="Cambria"/>
          <w:szCs w:val="24"/>
        </w:rPr>
        <w:t xml:space="preserve"> Ross colourfully illustrates the point for alcohol, noting that those who chose to drink excessively ‘impose costs on [the] majority – the welfare transfers themselves, plus all our loud singing and brawling and neglected children and run-over pedestrians’.</w:t>
      </w:r>
      <w:r w:rsidR="004267C9" w:rsidRPr="005C2F74">
        <w:rPr>
          <w:rFonts w:ascii="Cambria" w:hAnsi="Cambria"/>
          <w:szCs w:val="24"/>
          <w:vertAlign w:val="superscript"/>
        </w:rPr>
        <w:footnoteReference w:id="101"/>
      </w:r>
      <w:r w:rsidR="004267C9" w:rsidRPr="005C2F74">
        <w:rPr>
          <w:rFonts w:ascii="Cambria" w:hAnsi="Cambria"/>
          <w:szCs w:val="24"/>
        </w:rPr>
        <w:t xml:space="preserve"> To these we might add costs to healthcare systems, to employer productivity, to victims of (for example) alcohol-related tr</w:t>
      </w:r>
      <w:r w:rsidR="008F1D1E">
        <w:rPr>
          <w:rFonts w:ascii="Cambria" w:hAnsi="Cambria"/>
          <w:szCs w:val="24"/>
        </w:rPr>
        <w:t xml:space="preserve">affic incidents and crime. When individuals develop </w:t>
      </w:r>
      <w:r w:rsidR="008F1D1E">
        <w:rPr>
          <w:rFonts w:ascii="Cambria" w:hAnsi="Cambria"/>
          <w:szCs w:val="24"/>
          <w:lang w:val="en-US"/>
        </w:rPr>
        <w:t>addictions to these products, even more</w:t>
      </w:r>
      <w:r w:rsidR="00C55B9B">
        <w:rPr>
          <w:rFonts w:ascii="Cambria" w:hAnsi="Cambria"/>
          <w:szCs w:val="24"/>
          <w:lang w:val="en-US"/>
        </w:rPr>
        <w:t xml:space="preserve"> serious harms can be suffered by others – emotional trauma </w:t>
      </w:r>
      <w:r w:rsidR="007D0761">
        <w:rPr>
          <w:rFonts w:ascii="Cambria" w:hAnsi="Cambria"/>
          <w:szCs w:val="24"/>
          <w:lang w:val="en-US"/>
        </w:rPr>
        <w:t xml:space="preserve">of </w:t>
      </w:r>
      <w:r w:rsidR="00C55B9B">
        <w:rPr>
          <w:rFonts w:ascii="Cambria" w:hAnsi="Cambria"/>
          <w:szCs w:val="24"/>
          <w:lang w:val="en-US"/>
        </w:rPr>
        <w:t>family members</w:t>
      </w:r>
      <w:r w:rsidR="004267C9" w:rsidRPr="005C2F74">
        <w:rPr>
          <w:rFonts w:ascii="Cambria" w:hAnsi="Cambria"/>
          <w:szCs w:val="24"/>
        </w:rPr>
        <w:t xml:space="preserve">, or </w:t>
      </w:r>
      <w:r w:rsidR="007D0761">
        <w:rPr>
          <w:rFonts w:ascii="Cambria" w:hAnsi="Cambria"/>
          <w:szCs w:val="24"/>
        </w:rPr>
        <w:t>financial burdens to friends and relatives</w:t>
      </w:r>
      <w:r w:rsidR="004267C9" w:rsidRPr="005C2F74">
        <w:rPr>
          <w:rFonts w:ascii="Cambria" w:hAnsi="Cambria"/>
          <w:szCs w:val="24"/>
        </w:rPr>
        <w:t xml:space="preserve">. Thus, the harm arising from </w:t>
      </w:r>
      <w:r w:rsidR="007D0761">
        <w:rPr>
          <w:rFonts w:ascii="Cambria" w:hAnsi="Cambria"/>
          <w:szCs w:val="24"/>
        </w:rPr>
        <w:t xml:space="preserve">consumption of </w:t>
      </w:r>
      <w:r w:rsidR="004267C9" w:rsidRPr="005C2F74">
        <w:rPr>
          <w:rFonts w:ascii="Cambria" w:hAnsi="Cambria"/>
          <w:szCs w:val="24"/>
        </w:rPr>
        <w:t xml:space="preserve">objects </w:t>
      </w:r>
      <w:r w:rsidR="007D0761">
        <w:rPr>
          <w:rFonts w:ascii="Cambria" w:hAnsi="Cambria"/>
          <w:szCs w:val="24"/>
          <w:lang w:val="en-US"/>
        </w:rPr>
        <w:t xml:space="preserve">linked to NCD development </w:t>
      </w:r>
      <w:r w:rsidR="004267C9" w:rsidRPr="005C2F74">
        <w:rPr>
          <w:rFonts w:ascii="Cambria" w:hAnsi="Cambria"/>
          <w:szCs w:val="24"/>
        </w:rPr>
        <w:t>is not</w:t>
      </w:r>
      <w:r w:rsidR="00C52D7C">
        <w:rPr>
          <w:rFonts w:ascii="Cambria" w:hAnsi="Cambria"/>
          <w:szCs w:val="24"/>
          <w:lang w:val="en-US"/>
        </w:rPr>
        <w:t xml:space="preserve"> purely</w:t>
      </w:r>
      <w:r w:rsidR="004267C9" w:rsidRPr="005C2F74">
        <w:rPr>
          <w:rFonts w:ascii="Cambria" w:hAnsi="Cambria"/>
          <w:szCs w:val="24"/>
        </w:rPr>
        <w:t xml:space="preserve"> confined to the indi</w:t>
      </w:r>
      <w:r w:rsidR="00C52D7C">
        <w:rPr>
          <w:rFonts w:ascii="Cambria" w:hAnsi="Cambria"/>
          <w:szCs w:val="24"/>
        </w:rPr>
        <w:t>vidual consumer. As a result, one must e</w:t>
      </w:r>
      <w:r w:rsidR="000007D9">
        <w:rPr>
          <w:rFonts w:ascii="Cambria" w:hAnsi="Cambria"/>
          <w:szCs w:val="24"/>
        </w:rPr>
        <w:t>ngage in a balancing exercise to determine whether the value of individual self-</w:t>
      </w:r>
      <w:r w:rsidR="00C52D7C">
        <w:rPr>
          <w:rFonts w:ascii="Cambria" w:hAnsi="Cambria"/>
          <w:szCs w:val="24"/>
          <w:lang w:val="en-US"/>
        </w:rPr>
        <w:t>determination</w:t>
      </w:r>
      <w:r w:rsidR="00731B47">
        <w:rPr>
          <w:rFonts w:ascii="Cambria" w:hAnsi="Cambria"/>
          <w:szCs w:val="24"/>
          <w:lang w:val="en-US"/>
        </w:rPr>
        <w:t xml:space="preserve"> of good</w:t>
      </w:r>
      <w:r w:rsidR="00C52D7C">
        <w:rPr>
          <w:rFonts w:ascii="Cambria" w:hAnsi="Cambria"/>
          <w:szCs w:val="24"/>
          <w:lang w:val="en-US"/>
        </w:rPr>
        <w:t xml:space="preserve"> </w:t>
      </w:r>
      <w:r w:rsidR="000007D9">
        <w:rPr>
          <w:rFonts w:ascii="Cambria" w:hAnsi="Cambria"/>
          <w:szCs w:val="24"/>
          <w:lang w:val="en-US"/>
        </w:rPr>
        <w:t xml:space="preserve">is </w:t>
      </w:r>
      <w:r w:rsidR="00C52D7C">
        <w:rPr>
          <w:rFonts w:ascii="Cambria" w:hAnsi="Cambria"/>
          <w:szCs w:val="24"/>
          <w:lang w:val="en-US"/>
        </w:rPr>
        <w:t xml:space="preserve">worth more than </w:t>
      </w:r>
      <w:r w:rsidR="00731B47">
        <w:rPr>
          <w:rFonts w:ascii="Cambria" w:hAnsi="Cambria"/>
          <w:szCs w:val="24"/>
          <w:lang w:val="en-US"/>
        </w:rPr>
        <w:t xml:space="preserve">the </w:t>
      </w:r>
      <w:r w:rsidR="000007D9">
        <w:rPr>
          <w:rFonts w:ascii="Cambria" w:hAnsi="Cambria"/>
          <w:szCs w:val="24"/>
          <w:lang w:val="en-US"/>
        </w:rPr>
        <w:t>observable</w:t>
      </w:r>
      <w:r w:rsidR="00731B47">
        <w:rPr>
          <w:rFonts w:ascii="Cambria" w:hAnsi="Cambria"/>
          <w:szCs w:val="24"/>
          <w:lang w:val="en-US"/>
        </w:rPr>
        <w:t xml:space="preserve"> non-goods suffered by those surrounding the individual? </w:t>
      </w:r>
      <w:r w:rsidR="00357323">
        <w:rPr>
          <w:rFonts w:ascii="Cambria" w:hAnsi="Cambria"/>
          <w:szCs w:val="24"/>
          <w:lang w:val="en-US"/>
        </w:rPr>
        <w:t>The exercise of public health law is guided by a framework ethical principles,</w:t>
      </w:r>
      <w:r w:rsidR="00FE7BE5">
        <w:rPr>
          <w:rFonts w:ascii="Cambria" w:hAnsi="Cambria"/>
          <w:szCs w:val="24"/>
          <w:lang w:val="en-US"/>
        </w:rPr>
        <w:t xml:space="preserve"> and this framework</w:t>
      </w:r>
      <w:r w:rsidR="006764B9">
        <w:rPr>
          <w:rFonts w:ascii="Cambria" w:hAnsi="Cambria"/>
          <w:szCs w:val="24"/>
          <w:lang w:val="en-US"/>
        </w:rPr>
        <w:t xml:space="preserve"> must be approached as a whole. </w:t>
      </w:r>
      <w:r w:rsidR="00FE7BE5">
        <w:rPr>
          <w:rFonts w:ascii="Cambria" w:hAnsi="Cambria"/>
          <w:color w:val="000000" w:themeColor="text1"/>
          <w:szCs w:val="24"/>
          <w:lang w:val="en-US"/>
        </w:rPr>
        <w:t>In doing so, the aim is</w:t>
      </w:r>
      <w:r w:rsidR="00357323" w:rsidRPr="006764B9">
        <w:rPr>
          <w:rFonts w:ascii="Cambria" w:hAnsi="Cambria"/>
          <w:color w:val="000000" w:themeColor="text1"/>
          <w:szCs w:val="24"/>
        </w:rPr>
        <w:t xml:space="preserve"> to ensure a ‘balance of, as opposed to a struggle between, individual freedom and community wellbeing’</w:t>
      </w:r>
      <w:r w:rsidR="006764B9">
        <w:rPr>
          <w:rFonts w:ascii="Cambria" w:hAnsi="Cambria"/>
          <w:color w:val="000000" w:themeColor="text1"/>
          <w:szCs w:val="24"/>
        </w:rPr>
        <w:t>.</w:t>
      </w:r>
      <w:r w:rsidR="00357323" w:rsidRPr="006764B9">
        <w:rPr>
          <w:rFonts w:ascii="Cambria" w:hAnsi="Cambria"/>
          <w:color w:val="000000" w:themeColor="text1"/>
          <w:szCs w:val="24"/>
          <w:vertAlign w:val="superscript"/>
        </w:rPr>
        <w:footnoteReference w:id="102"/>
      </w:r>
      <w:r w:rsidR="00357323" w:rsidRPr="006764B9">
        <w:rPr>
          <w:rFonts w:ascii="Cambria" w:hAnsi="Cambria"/>
          <w:color w:val="000000" w:themeColor="text1"/>
          <w:szCs w:val="24"/>
        </w:rPr>
        <w:t xml:space="preserve"> </w:t>
      </w:r>
      <w:r w:rsidR="00FB015B">
        <w:rPr>
          <w:rFonts w:ascii="Cambria" w:hAnsi="Cambria"/>
          <w:color w:val="000000" w:themeColor="text1"/>
          <w:szCs w:val="24"/>
          <w:lang w:val="en-US"/>
        </w:rPr>
        <w:t>For instance,</w:t>
      </w:r>
      <w:r w:rsidR="00F84E76">
        <w:rPr>
          <w:rFonts w:ascii="Cambria" w:hAnsi="Cambria"/>
          <w:color w:val="000000" w:themeColor="text1"/>
          <w:szCs w:val="24"/>
          <w:lang w:val="en-US"/>
        </w:rPr>
        <w:t xml:space="preserve"> another ethical principle that should inform the adoption of public health law is that of stewardship </w:t>
      </w:r>
      <w:r w:rsidR="00AD3DD7">
        <w:rPr>
          <w:rFonts w:ascii="Cambria" w:hAnsi="Cambria"/>
          <w:color w:val="000000" w:themeColor="text1"/>
          <w:szCs w:val="24"/>
          <w:lang w:val="en-US"/>
        </w:rPr>
        <w:t xml:space="preserve">– the idea that </w:t>
      </w:r>
      <w:r w:rsidR="00AD3DD7">
        <w:t>‘liberal states have responsibilities to look after important needs of people both individually and collectively’.</w:t>
      </w:r>
      <w:r w:rsidR="00AD3DD7">
        <w:rPr>
          <w:rStyle w:val="FootnoteReference"/>
        </w:rPr>
        <w:footnoteReference w:id="103"/>
      </w:r>
      <w:r w:rsidR="00996534">
        <w:rPr>
          <w:lang w:val="en-US"/>
        </w:rPr>
        <w:t xml:space="preserve"> </w:t>
      </w:r>
      <w:r w:rsidR="004510C3">
        <w:rPr>
          <w:lang w:val="en-US"/>
        </w:rPr>
        <w:t xml:space="preserve">Consequently, if policy makers should also have regard to </w:t>
      </w:r>
      <w:r w:rsidR="00E80411">
        <w:rPr>
          <w:lang w:val="en-US"/>
        </w:rPr>
        <w:t xml:space="preserve">ethical ideas </w:t>
      </w:r>
      <w:r w:rsidR="00251EE5">
        <w:rPr>
          <w:lang w:val="en-US"/>
        </w:rPr>
        <w:t>which hold that</w:t>
      </w:r>
      <w:r w:rsidR="00E80411">
        <w:rPr>
          <w:lang w:val="en-US"/>
        </w:rPr>
        <w:t xml:space="preserve"> ‘</w:t>
      </w:r>
      <w:r w:rsidR="00B12232" w:rsidRPr="00B12232">
        <w:rPr>
          <w:lang w:val="en-US"/>
        </w:rPr>
        <w:t>the value of belonging to a society</w:t>
      </w:r>
      <w:r w:rsidR="00E80411">
        <w:rPr>
          <w:lang w:val="en-US"/>
        </w:rPr>
        <w:t xml:space="preserve"> </w:t>
      </w:r>
      <w:r w:rsidR="00B12232" w:rsidRPr="00B12232">
        <w:rPr>
          <w:lang w:val="en-US"/>
        </w:rPr>
        <w:t>in which each pe</w:t>
      </w:r>
      <w:r w:rsidR="00E80411">
        <w:rPr>
          <w:lang w:val="en-US"/>
        </w:rPr>
        <w:t xml:space="preserve">rson’s welfare, and that of the </w:t>
      </w:r>
      <w:r w:rsidR="00B12232" w:rsidRPr="00B12232">
        <w:rPr>
          <w:lang w:val="en-US"/>
        </w:rPr>
        <w:t>whole</w:t>
      </w:r>
      <w:r w:rsidR="00E80411">
        <w:rPr>
          <w:lang w:val="en-US"/>
        </w:rPr>
        <w:t xml:space="preserve"> </w:t>
      </w:r>
      <w:r w:rsidR="00B12232" w:rsidRPr="00B12232">
        <w:rPr>
          <w:lang w:val="en-US"/>
        </w:rPr>
        <w:t>community, matters to everyone</w:t>
      </w:r>
      <w:r w:rsidR="00E80411">
        <w:rPr>
          <w:lang w:val="en-US"/>
        </w:rPr>
        <w:t>,’</w:t>
      </w:r>
      <w:r w:rsidR="00E80411">
        <w:rPr>
          <w:rStyle w:val="FootnoteReference"/>
          <w:lang w:val="en-US"/>
        </w:rPr>
        <w:footnoteReference w:id="104"/>
      </w:r>
      <w:r w:rsidR="00E80411">
        <w:rPr>
          <w:lang w:val="en-US"/>
        </w:rPr>
        <w:t xml:space="preserve"> then if </w:t>
      </w:r>
      <w:r w:rsidR="006764B9">
        <w:rPr>
          <w:rFonts w:ascii="Cambria" w:hAnsi="Cambria"/>
          <w:color w:val="000000" w:themeColor="text1"/>
          <w:szCs w:val="24"/>
          <w:lang w:val="en-US"/>
        </w:rPr>
        <w:t xml:space="preserve">the risk of </w:t>
      </w:r>
      <w:r w:rsidR="00CF354E">
        <w:rPr>
          <w:rFonts w:ascii="Cambria" w:hAnsi="Cambria"/>
          <w:color w:val="000000" w:themeColor="text1"/>
          <w:szCs w:val="24"/>
          <w:lang w:val="en-US"/>
        </w:rPr>
        <w:t xml:space="preserve">health </w:t>
      </w:r>
      <w:r w:rsidR="006764B9">
        <w:rPr>
          <w:rFonts w:ascii="Cambria" w:hAnsi="Cambria"/>
          <w:color w:val="000000" w:themeColor="text1"/>
          <w:szCs w:val="24"/>
          <w:lang w:val="en-US"/>
        </w:rPr>
        <w:t>harm</w:t>
      </w:r>
      <w:r w:rsidR="006750DF">
        <w:rPr>
          <w:rFonts w:ascii="Cambria" w:hAnsi="Cambria"/>
          <w:color w:val="000000" w:themeColor="text1"/>
          <w:szCs w:val="24"/>
          <w:lang w:val="en-US"/>
        </w:rPr>
        <w:t xml:space="preserve">s to the community can be </w:t>
      </w:r>
      <w:r w:rsidR="0055728A">
        <w:rPr>
          <w:rFonts w:ascii="Cambria" w:hAnsi="Cambria"/>
          <w:color w:val="000000" w:themeColor="text1"/>
          <w:szCs w:val="24"/>
          <w:lang w:val="en-US"/>
        </w:rPr>
        <w:t>seen as</w:t>
      </w:r>
      <w:r w:rsidR="00FB015B">
        <w:rPr>
          <w:rFonts w:ascii="Cambria" w:hAnsi="Cambria"/>
          <w:color w:val="000000" w:themeColor="text1"/>
          <w:szCs w:val="24"/>
          <w:lang w:val="en-US"/>
        </w:rPr>
        <w:t xml:space="preserve"> more significant than</w:t>
      </w:r>
      <w:r w:rsidR="006750DF">
        <w:rPr>
          <w:rFonts w:ascii="Cambria" w:hAnsi="Cambria"/>
          <w:color w:val="000000" w:themeColor="text1"/>
          <w:szCs w:val="24"/>
          <w:lang w:val="en-US"/>
        </w:rPr>
        <w:t xml:space="preserve"> the risk of </w:t>
      </w:r>
      <w:r w:rsidR="00FB015B">
        <w:rPr>
          <w:rFonts w:ascii="Cambria" w:hAnsi="Cambria"/>
          <w:color w:val="000000" w:themeColor="text1"/>
          <w:szCs w:val="24"/>
          <w:lang w:val="en-US"/>
        </w:rPr>
        <w:t xml:space="preserve">denying </w:t>
      </w:r>
      <w:r w:rsidR="006750DF">
        <w:rPr>
          <w:rFonts w:ascii="Cambria" w:hAnsi="Cambria"/>
          <w:color w:val="000000" w:themeColor="text1"/>
          <w:szCs w:val="24"/>
          <w:lang w:val="en-US"/>
        </w:rPr>
        <w:t>individual</w:t>
      </w:r>
      <w:r w:rsidR="00FB015B">
        <w:rPr>
          <w:rFonts w:ascii="Cambria" w:hAnsi="Cambria"/>
          <w:color w:val="000000" w:themeColor="text1"/>
          <w:szCs w:val="24"/>
          <w:lang w:val="en-US"/>
        </w:rPr>
        <w:t>s</w:t>
      </w:r>
      <w:r w:rsidR="00F84E76">
        <w:rPr>
          <w:rFonts w:ascii="Cambria" w:hAnsi="Cambria"/>
          <w:color w:val="000000" w:themeColor="text1"/>
          <w:szCs w:val="24"/>
          <w:lang w:val="en-US"/>
        </w:rPr>
        <w:t xml:space="preserve"> self-determination of good</w:t>
      </w:r>
      <w:r w:rsidR="00E80411">
        <w:rPr>
          <w:rFonts w:ascii="Cambria" w:hAnsi="Cambria"/>
          <w:color w:val="000000" w:themeColor="text1"/>
          <w:szCs w:val="24"/>
          <w:lang w:val="en-US"/>
        </w:rPr>
        <w:t>,</w:t>
      </w:r>
      <w:r w:rsidR="00F84E76">
        <w:rPr>
          <w:rFonts w:ascii="Cambria" w:hAnsi="Cambria"/>
          <w:color w:val="000000" w:themeColor="text1"/>
          <w:szCs w:val="24"/>
          <w:lang w:val="en-US"/>
        </w:rPr>
        <w:t xml:space="preserve"> </w:t>
      </w:r>
      <w:r w:rsidR="006750DF">
        <w:rPr>
          <w:rFonts w:ascii="Cambria" w:hAnsi="Cambria"/>
          <w:color w:val="000000" w:themeColor="text1"/>
          <w:szCs w:val="24"/>
          <w:lang w:val="en-US"/>
        </w:rPr>
        <w:t xml:space="preserve">there is less reason to protect such self-determination. </w:t>
      </w:r>
      <w:r w:rsidR="007F72EB">
        <w:rPr>
          <w:rFonts w:ascii="Cambria" w:hAnsi="Cambria"/>
          <w:color w:val="000000" w:themeColor="text1"/>
          <w:szCs w:val="24"/>
          <w:lang w:val="en-US"/>
        </w:rPr>
        <w:t xml:space="preserve">In this circumstance, legal intervention seeking to protect </w:t>
      </w:r>
      <w:r w:rsidR="00425899">
        <w:rPr>
          <w:rFonts w:ascii="Cambria" w:hAnsi="Cambria"/>
          <w:color w:val="000000" w:themeColor="text1"/>
          <w:szCs w:val="24"/>
          <w:lang w:val="en-US"/>
        </w:rPr>
        <w:t>communities and populations, as well as individuals, is more easily justifiable.</w:t>
      </w:r>
    </w:p>
    <w:p w14:paraId="3CD6FBDB" w14:textId="64F7BF68" w:rsidR="004267C9" w:rsidRPr="005C2F74" w:rsidRDefault="004267C9" w:rsidP="004267C9">
      <w:pPr>
        <w:autoSpaceDE w:val="0"/>
        <w:autoSpaceDN w:val="0"/>
        <w:adjustRightInd w:val="0"/>
        <w:spacing w:after="200" w:line="276" w:lineRule="auto"/>
        <w:rPr>
          <w:rFonts w:ascii="Cambria" w:hAnsi="Cambria"/>
          <w:szCs w:val="24"/>
        </w:rPr>
      </w:pPr>
      <w:r w:rsidRPr="005C2F74">
        <w:rPr>
          <w:rFonts w:ascii="Cambria" w:hAnsi="Cambria"/>
          <w:szCs w:val="24"/>
        </w:rPr>
        <w:lastRenderedPageBreak/>
        <w:t>The second objection to paternalist regulation was raised on the basis that measures</w:t>
      </w:r>
      <w:r w:rsidR="0098430F">
        <w:rPr>
          <w:rFonts w:ascii="Cambria" w:hAnsi="Cambria"/>
          <w:szCs w:val="24"/>
          <w:lang w:val="en-US"/>
        </w:rPr>
        <w:t xml:space="preserve"> which are less intrusive upon the exercise of fundamental rights should be proved insufficient before paternalist intervention is employed. </w:t>
      </w:r>
      <w:r w:rsidR="00B03CB2">
        <w:rPr>
          <w:rFonts w:ascii="Cambria" w:hAnsi="Cambria"/>
          <w:szCs w:val="24"/>
          <w:lang w:val="en-US"/>
        </w:rPr>
        <w:t xml:space="preserve">This </w:t>
      </w:r>
      <w:r w:rsidRPr="005C2F74">
        <w:rPr>
          <w:rFonts w:ascii="Cambria" w:hAnsi="Cambria"/>
          <w:szCs w:val="24"/>
        </w:rPr>
        <w:t xml:space="preserve">argument </w:t>
      </w:r>
      <w:r w:rsidR="00B03CB2">
        <w:rPr>
          <w:rFonts w:ascii="Cambria" w:hAnsi="Cambria"/>
          <w:szCs w:val="24"/>
          <w:lang w:val="en-US"/>
        </w:rPr>
        <w:t xml:space="preserve">assumes </w:t>
      </w:r>
      <w:r w:rsidR="007D7EAB">
        <w:rPr>
          <w:rFonts w:ascii="Cambria" w:hAnsi="Cambria"/>
          <w:szCs w:val="24"/>
        </w:rPr>
        <w:t xml:space="preserve">that </w:t>
      </w:r>
      <w:r w:rsidR="007D7EAB">
        <w:rPr>
          <w:rFonts w:ascii="Cambria" w:hAnsi="Cambria"/>
          <w:szCs w:val="24"/>
          <w:lang w:val="en-US"/>
        </w:rPr>
        <w:t xml:space="preserve">priority </w:t>
      </w:r>
      <w:r w:rsidR="00253FB7">
        <w:rPr>
          <w:rFonts w:ascii="Cambria" w:hAnsi="Cambria"/>
          <w:szCs w:val="24"/>
          <w:lang w:val="en-US"/>
        </w:rPr>
        <w:t xml:space="preserve">should be given to actions that are least restrictive of individual rights. However acting in a proportionate manner does not simply mean finding the least restrictive alternative. It </w:t>
      </w:r>
      <w:r w:rsidR="00EE3B80">
        <w:rPr>
          <w:rFonts w:ascii="Cambria" w:hAnsi="Cambria"/>
          <w:szCs w:val="24"/>
          <w:lang w:val="en-US"/>
        </w:rPr>
        <w:t xml:space="preserve">means finding the least restrictive alternative </w:t>
      </w:r>
      <w:r w:rsidR="00EE3B80" w:rsidRPr="002C5C3C">
        <w:rPr>
          <w:rFonts w:ascii="Cambria" w:hAnsi="Cambria"/>
          <w:i/>
          <w:szCs w:val="24"/>
          <w:lang w:val="en-US"/>
        </w:rPr>
        <w:t>in light of the objectives be</w:t>
      </w:r>
      <w:r w:rsidRPr="002C5C3C">
        <w:rPr>
          <w:rFonts w:ascii="Cambria" w:hAnsi="Cambria"/>
          <w:i/>
          <w:szCs w:val="24"/>
        </w:rPr>
        <w:t>in</w:t>
      </w:r>
      <w:r w:rsidR="00EE3B80" w:rsidRPr="002C5C3C">
        <w:rPr>
          <w:rFonts w:ascii="Cambria" w:hAnsi="Cambria"/>
          <w:i/>
          <w:szCs w:val="24"/>
          <w:lang w:val="en-US"/>
        </w:rPr>
        <w:t>g pursued</w:t>
      </w:r>
      <w:r w:rsidR="00EE3B80">
        <w:rPr>
          <w:rFonts w:ascii="Cambria" w:hAnsi="Cambria"/>
          <w:szCs w:val="24"/>
          <w:lang w:val="en-US"/>
        </w:rPr>
        <w:t>. Thus, paternalistic action, if effective in achieving</w:t>
      </w:r>
      <w:r w:rsidR="002C5C3C">
        <w:rPr>
          <w:rFonts w:ascii="Cambria" w:hAnsi="Cambria"/>
          <w:szCs w:val="24"/>
          <w:lang w:val="en-US"/>
        </w:rPr>
        <w:t xml:space="preserve"> a goal which is thought to be of high value, </w:t>
      </w:r>
      <w:r w:rsidR="00EE3B80">
        <w:rPr>
          <w:rFonts w:ascii="Cambria" w:hAnsi="Cambria"/>
          <w:szCs w:val="24"/>
          <w:lang w:val="en-US"/>
        </w:rPr>
        <w:t>may</w:t>
      </w:r>
      <w:r w:rsidR="00697BE2">
        <w:rPr>
          <w:rFonts w:ascii="Cambria" w:hAnsi="Cambria"/>
          <w:szCs w:val="24"/>
          <w:lang w:val="en-US"/>
        </w:rPr>
        <w:t xml:space="preserve"> well be a proportionate response. </w:t>
      </w:r>
    </w:p>
    <w:p w14:paraId="7E6B4394" w14:textId="02E8B2A6" w:rsidR="002B13A8" w:rsidRDefault="004267C9" w:rsidP="004267C9">
      <w:pPr>
        <w:autoSpaceDE w:val="0"/>
        <w:autoSpaceDN w:val="0"/>
        <w:adjustRightInd w:val="0"/>
        <w:spacing w:after="200" w:line="276" w:lineRule="auto"/>
        <w:rPr>
          <w:rFonts w:ascii="Cambria" w:hAnsi="Cambria"/>
          <w:lang w:val="en-US"/>
        </w:rPr>
      </w:pPr>
      <w:r w:rsidRPr="005C2F74">
        <w:rPr>
          <w:rFonts w:ascii="Cambria" w:hAnsi="Cambria"/>
          <w:szCs w:val="24"/>
        </w:rPr>
        <w:t xml:space="preserve">Take for example </w:t>
      </w:r>
      <w:r w:rsidR="00376328">
        <w:rPr>
          <w:rFonts w:ascii="Cambria" w:hAnsi="Cambria"/>
          <w:szCs w:val="24"/>
          <w:lang w:val="en-US"/>
        </w:rPr>
        <w:t>regulation that prohibits the placing on the market of flavoured tobacco products</w:t>
      </w:r>
      <w:r w:rsidR="00251EE5">
        <w:rPr>
          <w:rFonts w:ascii="Cambria" w:hAnsi="Cambria"/>
          <w:szCs w:val="24"/>
          <w:lang w:val="en-US"/>
        </w:rPr>
        <w:t>, contained in the recent Tobacco Products Directive.</w:t>
      </w:r>
      <w:r w:rsidR="00251EE5">
        <w:rPr>
          <w:rStyle w:val="FootnoteReference"/>
          <w:rFonts w:ascii="Cambria" w:hAnsi="Cambria"/>
          <w:szCs w:val="24"/>
          <w:lang w:val="en-US"/>
        </w:rPr>
        <w:footnoteReference w:id="105"/>
      </w:r>
      <w:r w:rsidRPr="005C2F74">
        <w:rPr>
          <w:rFonts w:ascii="Cambria" w:hAnsi="Cambria"/>
          <w:szCs w:val="24"/>
        </w:rPr>
        <w:t xml:space="preserve"> </w:t>
      </w:r>
      <w:r w:rsidR="000F2459">
        <w:rPr>
          <w:rFonts w:ascii="Cambria" w:hAnsi="Cambria"/>
          <w:szCs w:val="24"/>
          <w:lang w:val="en-US"/>
        </w:rPr>
        <w:t xml:space="preserve">This could be </w:t>
      </w:r>
      <w:r w:rsidR="00F721DD">
        <w:rPr>
          <w:rFonts w:ascii="Cambria" w:hAnsi="Cambria"/>
          <w:szCs w:val="24"/>
          <w:lang w:val="en-US"/>
        </w:rPr>
        <w:t>described</w:t>
      </w:r>
      <w:r w:rsidR="000F2459">
        <w:rPr>
          <w:rFonts w:ascii="Cambria" w:hAnsi="Cambria"/>
          <w:szCs w:val="24"/>
          <w:lang w:val="en-US"/>
        </w:rPr>
        <w:t xml:space="preserve"> as </w:t>
      </w:r>
      <w:r w:rsidR="004432E1">
        <w:rPr>
          <w:rFonts w:ascii="Cambria" w:hAnsi="Cambria"/>
          <w:szCs w:val="24"/>
          <w:lang w:val="en-US"/>
        </w:rPr>
        <w:t>paternalist</w:t>
      </w:r>
      <w:r w:rsidR="00191200">
        <w:rPr>
          <w:rFonts w:ascii="Cambria" w:hAnsi="Cambria"/>
          <w:szCs w:val="24"/>
        </w:rPr>
        <w:t xml:space="preserve">: the </w:t>
      </w:r>
      <w:r w:rsidR="00F721DD">
        <w:rPr>
          <w:rFonts w:ascii="Cambria" w:hAnsi="Cambria"/>
          <w:szCs w:val="24"/>
          <w:lang w:val="en-US"/>
        </w:rPr>
        <w:t>European Union</w:t>
      </w:r>
      <w:r w:rsidR="00191200">
        <w:rPr>
          <w:rFonts w:ascii="Cambria" w:hAnsi="Cambria"/>
          <w:szCs w:val="24"/>
        </w:rPr>
        <w:t xml:space="preserve"> exercises power to replace the pr</w:t>
      </w:r>
      <w:r w:rsidR="004432E1">
        <w:rPr>
          <w:rFonts w:ascii="Cambria" w:hAnsi="Cambria"/>
          <w:szCs w:val="24"/>
        </w:rPr>
        <w:t>eferences of individuals to smoke flavoured tobacco products</w:t>
      </w:r>
      <w:r w:rsidR="00191200">
        <w:rPr>
          <w:rFonts w:ascii="Cambria" w:hAnsi="Cambria"/>
          <w:szCs w:val="24"/>
          <w:lang w:val="en-US"/>
        </w:rPr>
        <w:t>, with the preference</w:t>
      </w:r>
      <w:r w:rsidR="001415AF">
        <w:rPr>
          <w:rFonts w:ascii="Cambria" w:hAnsi="Cambria"/>
          <w:szCs w:val="24"/>
          <w:lang w:val="en-US"/>
        </w:rPr>
        <w:t xml:space="preserve"> of </w:t>
      </w:r>
      <w:r w:rsidR="00F721DD">
        <w:rPr>
          <w:rFonts w:ascii="Cambria" w:hAnsi="Cambria"/>
          <w:szCs w:val="24"/>
          <w:lang w:val="en-US"/>
        </w:rPr>
        <w:t>the EU</w:t>
      </w:r>
      <w:r w:rsidR="001415AF">
        <w:rPr>
          <w:rFonts w:ascii="Cambria" w:hAnsi="Cambria"/>
          <w:szCs w:val="24"/>
          <w:lang w:val="en-US"/>
        </w:rPr>
        <w:t xml:space="preserve"> that </w:t>
      </w:r>
      <w:r w:rsidR="004432E1">
        <w:rPr>
          <w:rFonts w:ascii="Cambria" w:hAnsi="Cambria"/>
          <w:szCs w:val="24"/>
          <w:lang w:val="en-US"/>
        </w:rPr>
        <w:t>flavoured tobacco products should not be available,</w:t>
      </w:r>
      <w:r w:rsidR="00F721DD">
        <w:rPr>
          <w:rFonts w:ascii="Cambria" w:hAnsi="Cambria"/>
          <w:szCs w:val="24"/>
          <w:lang w:val="en-US"/>
        </w:rPr>
        <w:t xml:space="preserve"> with the desired outcome</w:t>
      </w:r>
      <w:r w:rsidR="00F52589">
        <w:rPr>
          <w:rFonts w:ascii="Cambria" w:hAnsi="Cambria"/>
          <w:szCs w:val="24"/>
          <w:lang w:val="en-US"/>
        </w:rPr>
        <w:t xml:space="preserve"> being a reduction</w:t>
      </w:r>
      <w:r w:rsidR="004432E1">
        <w:rPr>
          <w:rFonts w:ascii="Cambria" w:hAnsi="Cambria"/>
          <w:szCs w:val="24"/>
          <w:lang w:val="en-US"/>
        </w:rPr>
        <w:t xml:space="preserve"> in uptake of smoking </w:t>
      </w:r>
      <w:r w:rsidR="00455EFC">
        <w:rPr>
          <w:rFonts w:ascii="Cambria" w:hAnsi="Cambria"/>
          <w:szCs w:val="24"/>
          <w:lang w:val="en-US"/>
        </w:rPr>
        <w:t xml:space="preserve">(by youth in particular) </w:t>
      </w:r>
      <w:r w:rsidR="00F721DD">
        <w:rPr>
          <w:rFonts w:ascii="Cambria" w:hAnsi="Cambria"/>
          <w:szCs w:val="24"/>
          <w:lang w:val="en-US"/>
        </w:rPr>
        <w:t>caused by</w:t>
      </w:r>
      <w:r w:rsidR="004432E1">
        <w:rPr>
          <w:rFonts w:ascii="Cambria" w:hAnsi="Cambria"/>
          <w:szCs w:val="24"/>
          <w:lang w:val="en-US"/>
        </w:rPr>
        <w:t xml:space="preserve"> characterising </w:t>
      </w:r>
      <w:r w:rsidR="00455EFC">
        <w:rPr>
          <w:rFonts w:ascii="Cambria" w:hAnsi="Cambria"/>
          <w:szCs w:val="24"/>
          <w:lang w:val="en-US"/>
        </w:rPr>
        <w:t>flavours</w:t>
      </w:r>
      <w:r w:rsidR="004432E1">
        <w:rPr>
          <w:rFonts w:ascii="Cambria" w:hAnsi="Cambria"/>
          <w:szCs w:val="24"/>
          <w:lang w:val="en-US"/>
        </w:rPr>
        <w:t xml:space="preserve"> that mask the</w:t>
      </w:r>
      <w:r w:rsidR="00455EFC">
        <w:rPr>
          <w:rFonts w:ascii="Cambria" w:hAnsi="Cambria"/>
          <w:szCs w:val="24"/>
          <w:lang w:val="en-US"/>
        </w:rPr>
        <w:t xml:space="preserve"> bitter</w:t>
      </w:r>
      <w:r w:rsidR="004432E1">
        <w:rPr>
          <w:rFonts w:ascii="Cambria" w:hAnsi="Cambria"/>
          <w:szCs w:val="24"/>
          <w:lang w:val="en-US"/>
        </w:rPr>
        <w:t xml:space="preserve"> </w:t>
      </w:r>
      <w:r w:rsidR="00455EFC">
        <w:rPr>
          <w:rFonts w:ascii="Cambria" w:hAnsi="Cambria"/>
          <w:szCs w:val="24"/>
          <w:lang w:val="en-US"/>
        </w:rPr>
        <w:t xml:space="preserve">taste of tobacco. </w:t>
      </w:r>
      <w:r w:rsidR="00076C73">
        <w:rPr>
          <w:rFonts w:ascii="Cambria" w:hAnsi="Cambria"/>
          <w:szCs w:val="24"/>
        </w:rPr>
        <w:t xml:space="preserve">This particular policy </w:t>
      </w:r>
      <w:r w:rsidR="007D7EAB">
        <w:rPr>
          <w:rFonts w:ascii="Cambria" w:hAnsi="Cambria"/>
          <w:szCs w:val="24"/>
          <w:lang w:val="en-US"/>
        </w:rPr>
        <w:t xml:space="preserve">was accepted </w:t>
      </w:r>
      <w:r w:rsidR="00F673A2">
        <w:rPr>
          <w:rFonts w:ascii="Cambria" w:hAnsi="Cambria"/>
          <w:szCs w:val="24"/>
          <w:lang w:val="en-US"/>
        </w:rPr>
        <w:t xml:space="preserve">by the </w:t>
      </w:r>
      <w:r w:rsidR="00076C73">
        <w:rPr>
          <w:rFonts w:ascii="Cambria" w:hAnsi="Cambria"/>
          <w:szCs w:val="24"/>
          <w:lang w:val="en-US"/>
        </w:rPr>
        <w:t>Advocate</w:t>
      </w:r>
      <w:r w:rsidR="00F673A2">
        <w:rPr>
          <w:rFonts w:ascii="Cambria" w:hAnsi="Cambria"/>
          <w:szCs w:val="24"/>
          <w:lang w:val="en-US"/>
        </w:rPr>
        <w:t xml:space="preserve"> General of the European Union</w:t>
      </w:r>
      <w:r w:rsidR="00076C73">
        <w:rPr>
          <w:rFonts w:ascii="Cambria" w:hAnsi="Cambria"/>
          <w:szCs w:val="24"/>
          <w:lang w:val="en-US"/>
        </w:rPr>
        <w:t xml:space="preserve"> </w:t>
      </w:r>
      <w:r w:rsidR="00E143BD">
        <w:rPr>
          <w:rFonts w:ascii="Cambria" w:hAnsi="Cambria"/>
          <w:szCs w:val="24"/>
        </w:rPr>
        <w:t>as</w:t>
      </w:r>
      <w:r w:rsidR="00E143BD">
        <w:rPr>
          <w:rFonts w:ascii="Cambria" w:hAnsi="Cambria"/>
          <w:szCs w:val="24"/>
          <w:lang w:val="en-US"/>
        </w:rPr>
        <w:t xml:space="preserve"> </w:t>
      </w:r>
      <w:r w:rsidR="00F673A2">
        <w:rPr>
          <w:rFonts w:ascii="Cambria" w:hAnsi="Cambria"/>
          <w:szCs w:val="24"/>
        </w:rPr>
        <w:t>proportionate</w:t>
      </w:r>
      <w:r w:rsidR="00F673A2">
        <w:rPr>
          <w:rFonts w:ascii="Cambria" w:hAnsi="Cambria"/>
          <w:szCs w:val="24"/>
          <w:lang w:val="en-US"/>
        </w:rPr>
        <w:t xml:space="preserve"> to the objective </w:t>
      </w:r>
      <w:r w:rsidR="00F673A2">
        <w:rPr>
          <w:rFonts w:ascii="Cambria" w:hAnsi="Cambria"/>
          <w:szCs w:val="24"/>
        </w:rPr>
        <w:t>of prot</w:t>
      </w:r>
      <w:r w:rsidR="00E604EF">
        <w:rPr>
          <w:rFonts w:ascii="Cambria" w:hAnsi="Cambria"/>
          <w:szCs w:val="24"/>
        </w:rPr>
        <w:t>ecting public health on the basis</w:t>
      </w:r>
      <w:r w:rsidR="00F673A2">
        <w:rPr>
          <w:rFonts w:ascii="Cambria" w:hAnsi="Cambria"/>
          <w:szCs w:val="24"/>
          <w:lang w:val="en-US"/>
        </w:rPr>
        <w:t xml:space="preserve"> that </w:t>
      </w:r>
      <w:r w:rsidR="00B36BD5">
        <w:rPr>
          <w:rFonts w:ascii="Cambria" w:hAnsi="Cambria"/>
          <w:szCs w:val="24"/>
          <w:lang w:val="en-US"/>
        </w:rPr>
        <w:t>it was ‘perfectly justifiable – and in any case not manifestly disproportionate</w:t>
      </w:r>
      <w:r w:rsidR="001F472E">
        <w:rPr>
          <w:rFonts w:ascii="Cambria" w:hAnsi="Cambria"/>
          <w:szCs w:val="24"/>
          <w:lang w:val="en-US"/>
        </w:rPr>
        <w:t xml:space="preserve"> …</w:t>
      </w:r>
      <w:r w:rsidR="007D7EAB">
        <w:rPr>
          <w:rFonts w:ascii="Cambria" w:hAnsi="Cambria"/>
          <w:szCs w:val="24"/>
          <w:lang w:val="en-US"/>
        </w:rPr>
        <w:t xml:space="preserve"> t</w:t>
      </w:r>
      <w:r w:rsidR="001F472E">
        <w:rPr>
          <w:rFonts w:ascii="Cambria" w:hAnsi="Cambria"/>
          <w:szCs w:val="24"/>
          <w:lang w:val="en-US"/>
        </w:rPr>
        <w:t>o give precedence to the desired high level of health protection over economic and social considerations’</w:t>
      </w:r>
      <w:r w:rsidR="00BC672E">
        <w:rPr>
          <w:rFonts w:ascii="Cambria" w:hAnsi="Cambria"/>
          <w:szCs w:val="24"/>
        </w:rPr>
        <w:t>.</w:t>
      </w:r>
      <w:r w:rsidR="001F472E">
        <w:rPr>
          <w:rStyle w:val="FootnoteReference"/>
          <w:rFonts w:ascii="Cambria" w:hAnsi="Cambria"/>
          <w:szCs w:val="24"/>
        </w:rPr>
        <w:footnoteReference w:id="106"/>
      </w:r>
      <w:r w:rsidR="00E143BD">
        <w:rPr>
          <w:rFonts w:ascii="Cambria" w:hAnsi="Cambria"/>
          <w:szCs w:val="24"/>
          <w:lang w:val="en-US"/>
        </w:rPr>
        <w:t xml:space="preserve"> The Advocate General</w:t>
      </w:r>
      <w:r w:rsidR="00832E87">
        <w:rPr>
          <w:rFonts w:ascii="Cambria" w:hAnsi="Cambria"/>
          <w:szCs w:val="24"/>
          <w:lang w:val="en-US"/>
        </w:rPr>
        <w:t xml:space="preserve"> drew on the precautionary principle, </w:t>
      </w:r>
      <w:r w:rsidR="00E96566">
        <w:rPr>
          <w:rFonts w:ascii="Cambria" w:hAnsi="Cambria"/>
          <w:szCs w:val="24"/>
          <w:lang w:val="en-US"/>
        </w:rPr>
        <w:t>stating that where eviden</w:t>
      </w:r>
      <w:r w:rsidR="0043610B">
        <w:rPr>
          <w:rFonts w:ascii="Cambria" w:hAnsi="Cambria"/>
          <w:szCs w:val="24"/>
          <w:lang w:val="en-US"/>
        </w:rPr>
        <w:t>ce on an issue means that there is a real but uncertain risk of harm to public health arising, ‘</w:t>
      </w:r>
      <w:r w:rsidR="00BE59C0">
        <w:rPr>
          <w:rFonts w:ascii="Cambria" w:hAnsi="Cambria"/>
          <w:szCs w:val="24"/>
          <w:lang w:val="en-US"/>
        </w:rPr>
        <w:t xml:space="preserve">the precautionary principle justifies the adoption of restrictive measures, provided those measures are non-discriminatory and </w:t>
      </w:r>
      <w:r w:rsidR="00B818BA">
        <w:rPr>
          <w:rFonts w:ascii="Cambria" w:hAnsi="Cambria"/>
          <w:szCs w:val="24"/>
          <w:lang w:val="en-US"/>
        </w:rPr>
        <w:t>objective</w:t>
      </w:r>
      <w:r w:rsidR="00BE59C0">
        <w:rPr>
          <w:rFonts w:ascii="Cambria" w:hAnsi="Cambria"/>
          <w:szCs w:val="24"/>
          <w:lang w:val="en-US"/>
        </w:rPr>
        <w:t>’.</w:t>
      </w:r>
      <w:r w:rsidR="00BE59C0">
        <w:rPr>
          <w:rStyle w:val="FootnoteReference"/>
          <w:rFonts w:ascii="Cambria" w:hAnsi="Cambria"/>
          <w:szCs w:val="24"/>
          <w:lang w:val="en-US"/>
        </w:rPr>
        <w:footnoteReference w:id="107"/>
      </w:r>
      <w:r w:rsidR="0043610B">
        <w:rPr>
          <w:rFonts w:ascii="Cambria" w:hAnsi="Cambria"/>
          <w:szCs w:val="24"/>
          <w:lang w:val="en-US"/>
        </w:rPr>
        <w:t xml:space="preserve"> </w:t>
      </w:r>
      <w:r w:rsidR="00BF71F3">
        <w:rPr>
          <w:rFonts w:ascii="Cambria" w:hAnsi="Cambria"/>
          <w:szCs w:val="24"/>
          <w:lang w:val="en-US"/>
        </w:rPr>
        <w:t xml:space="preserve">She </w:t>
      </w:r>
      <w:r w:rsidR="00B818BA">
        <w:rPr>
          <w:rFonts w:ascii="Cambria" w:hAnsi="Cambria"/>
          <w:szCs w:val="24"/>
          <w:lang w:val="en-US"/>
        </w:rPr>
        <w:t>continued to state that ‘against this background, it was perfectly reasonable and possibly even necessary, in accordance with the precau</w:t>
      </w:r>
      <w:r w:rsidR="00EE1879">
        <w:rPr>
          <w:rFonts w:ascii="Cambria" w:hAnsi="Cambria"/>
          <w:szCs w:val="24"/>
          <w:lang w:val="en-US"/>
        </w:rPr>
        <w:t>tionary principle, to lay down s</w:t>
      </w:r>
      <w:r w:rsidR="00B818BA">
        <w:rPr>
          <w:rFonts w:ascii="Cambria" w:hAnsi="Cambria"/>
          <w:szCs w:val="24"/>
          <w:lang w:val="en-US"/>
        </w:rPr>
        <w:t xml:space="preserve">trict rules on the use of characterising </w:t>
      </w:r>
      <w:r w:rsidR="00E604EF">
        <w:rPr>
          <w:rFonts w:ascii="Cambria" w:hAnsi="Cambria"/>
          <w:szCs w:val="24"/>
          <w:lang w:val="en-US"/>
        </w:rPr>
        <w:t xml:space="preserve">flavours in tobacco products, especially since under primary law a </w:t>
      </w:r>
      <w:r w:rsidR="00E604EF" w:rsidRPr="00E604EF">
        <w:rPr>
          <w:rFonts w:ascii="Cambria" w:hAnsi="Cambria"/>
          <w:i/>
          <w:szCs w:val="24"/>
          <w:lang w:val="en-US"/>
        </w:rPr>
        <w:t>high</w:t>
      </w:r>
      <w:r w:rsidR="00E604EF">
        <w:rPr>
          <w:rFonts w:ascii="Cambria" w:hAnsi="Cambria"/>
          <w:szCs w:val="24"/>
          <w:lang w:val="en-US"/>
        </w:rPr>
        <w:t xml:space="preserve"> level of health protection was to be ensured.’</w:t>
      </w:r>
      <w:r w:rsidR="00E604EF">
        <w:rPr>
          <w:rStyle w:val="FootnoteReference"/>
          <w:rFonts w:ascii="Cambria" w:hAnsi="Cambria"/>
          <w:szCs w:val="24"/>
          <w:lang w:val="en-US"/>
        </w:rPr>
        <w:footnoteReference w:id="108"/>
      </w:r>
      <w:r w:rsidR="00F55038">
        <w:rPr>
          <w:rFonts w:ascii="Cambria" w:hAnsi="Cambria"/>
          <w:szCs w:val="24"/>
          <w:lang w:val="en-US"/>
        </w:rPr>
        <w:t xml:space="preserve"> This illustrates that it is possible to attach greater value to some </w:t>
      </w:r>
      <w:r w:rsidR="00EE1879">
        <w:rPr>
          <w:rFonts w:ascii="Cambria" w:hAnsi="Cambria"/>
          <w:szCs w:val="24"/>
          <w:lang w:val="en-US"/>
        </w:rPr>
        <w:t>fundamental freedoms</w:t>
      </w:r>
      <w:r w:rsidR="00F55038">
        <w:rPr>
          <w:rFonts w:ascii="Cambria" w:hAnsi="Cambria"/>
          <w:szCs w:val="24"/>
          <w:lang w:val="en-US"/>
        </w:rPr>
        <w:t xml:space="preserve"> </w:t>
      </w:r>
      <w:r w:rsidR="00EE1879">
        <w:rPr>
          <w:rFonts w:ascii="Cambria" w:hAnsi="Cambria"/>
          <w:szCs w:val="24"/>
          <w:lang w:val="en-US"/>
        </w:rPr>
        <w:t>than</w:t>
      </w:r>
      <w:r w:rsidR="00F55038">
        <w:rPr>
          <w:rFonts w:ascii="Cambria" w:hAnsi="Cambria"/>
          <w:szCs w:val="24"/>
          <w:lang w:val="en-US"/>
        </w:rPr>
        <w:t xml:space="preserve"> to others, and that in such </w:t>
      </w:r>
      <w:r w:rsidR="00EE1879">
        <w:rPr>
          <w:rFonts w:ascii="Cambria" w:hAnsi="Cambria"/>
          <w:szCs w:val="24"/>
          <w:lang w:val="en-US"/>
        </w:rPr>
        <w:t xml:space="preserve">circumstances an action that happens to be paternalistic in nature </w:t>
      </w:r>
      <w:r w:rsidR="009131C9">
        <w:rPr>
          <w:rFonts w:ascii="Cambria" w:hAnsi="Cambria"/>
          <w:szCs w:val="24"/>
          <w:lang w:val="en-US"/>
        </w:rPr>
        <w:t>may</w:t>
      </w:r>
      <w:r w:rsidR="00F55038">
        <w:rPr>
          <w:rFonts w:ascii="Cambria" w:hAnsi="Cambria"/>
          <w:szCs w:val="24"/>
          <w:lang w:val="en-US"/>
        </w:rPr>
        <w:t xml:space="preserve"> not be too strong an action to take</w:t>
      </w:r>
      <w:r w:rsidR="009131C9">
        <w:rPr>
          <w:rFonts w:ascii="Cambria" w:hAnsi="Cambria"/>
          <w:szCs w:val="24"/>
          <w:lang w:val="en-US"/>
        </w:rPr>
        <w:t>, if it is effective</w:t>
      </w:r>
      <w:r w:rsidR="00E741BC">
        <w:rPr>
          <w:rFonts w:ascii="Cambria" w:hAnsi="Cambria"/>
          <w:szCs w:val="24"/>
          <w:lang w:val="en-US"/>
        </w:rPr>
        <w:t xml:space="preserve"> and necessary</w:t>
      </w:r>
      <w:r w:rsidR="009131C9">
        <w:rPr>
          <w:rFonts w:ascii="Cambria" w:hAnsi="Cambria"/>
          <w:szCs w:val="24"/>
          <w:lang w:val="en-US"/>
        </w:rPr>
        <w:t xml:space="preserve"> in achieving </w:t>
      </w:r>
      <w:r w:rsidR="00F212C2">
        <w:rPr>
          <w:rFonts w:ascii="Cambria" w:hAnsi="Cambria"/>
          <w:szCs w:val="24"/>
          <w:lang w:val="en-US"/>
        </w:rPr>
        <w:t>the more</w:t>
      </w:r>
      <w:r w:rsidR="00F55038">
        <w:rPr>
          <w:rFonts w:ascii="Cambria" w:hAnsi="Cambria"/>
          <w:szCs w:val="24"/>
          <w:lang w:val="en-US"/>
        </w:rPr>
        <w:t xml:space="preserve"> valued objective. </w:t>
      </w:r>
      <w:r w:rsidR="00F650C8">
        <w:rPr>
          <w:rFonts w:ascii="Cambria" w:hAnsi="Cambria"/>
          <w:szCs w:val="24"/>
          <w:lang w:val="en-US"/>
        </w:rPr>
        <w:t>Therefore,</w:t>
      </w:r>
      <w:r w:rsidR="00AC3764">
        <w:rPr>
          <w:rFonts w:ascii="Cambria" w:hAnsi="Cambria"/>
          <w:szCs w:val="24"/>
          <w:lang w:val="en-US"/>
        </w:rPr>
        <w:t xml:space="preserve"> when fundamental rights and freedoms must be balanced against each other in the adoption of public health policies, </w:t>
      </w:r>
      <w:r w:rsidR="009131C9">
        <w:rPr>
          <w:rFonts w:ascii="Cambria" w:hAnsi="Cambria"/>
          <w:szCs w:val="24"/>
          <w:lang w:val="en-US"/>
        </w:rPr>
        <w:t>the fact that paternalistic measures tend to be restrictive should not constitut</w:t>
      </w:r>
      <w:r w:rsidR="00AC3764">
        <w:rPr>
          <w:rFonts w:ascii="Cambria" w:hAnsi="Cambria"/>
          <w:szCs w:val="24"/>
          <w:lang w:val="en-US"/>
        </w:rPr>
        <w:t xml:space="preserve">e a </w:t>
      </w:r>
      <w:r w:rsidR="0090793D">
        <w:rPr>
          <w:rFonts w:ascii="Cambria" w:hAnsi="Cambria"/>
          <w:szCs w:val="24"/>
          <w:lang w:val="en-US"/>
        </w:rPr>
        <w:t>bar on their being a</w:t>
      </w:r>
      <w:r w:rsidR="00F212C2">
        <w:rPr>
          <w:rFonts w:ascii="Cambria" w:hAnsi="Cambria"/>
          <w:szCs w:val="24"/>
          <w:lang w:val="en-US"/>
        </w:rPr>
        <w:t xml:space="preserve"> legally proportionate or ethically acceptable </w:t>
      </w:r>
      <w:r w:rsidR="0090793D">
        <w:rPr>
          <w:rFonts w:ascii="Cambria" w:hAnsi="Cambria"/>
          <w:szCs w:val="24"/>
          <w:lang w:val="en-US"/>
        </w:rPr>
        <w:t>response to a problem</w:t>
      </w:r>
      <w:r w:rsidR="00AC3764">
        <w:rPr>
          <w:rFonts w:ascii="Cambria" w:hAnsi="Cambria"/>
          <w:szCs w:val="24"/>
          <w:lang w:val="en-US"/>
        </w:rPr>
        <w:t xml:space="preserve">. </w:t>
      </w:r>
    </w:p>
    <w:p w14:paraId="0472517F" w14:textId="77777777" w:rsidR="00C5036C" w:rsidRPr="00C5036C" w:rsidRDefault="00C5036C" w:rsidP="004267C9">
      <w:pPr>
        <w:autoSpaceDE w:val="0"/>
        <w:autoSpaceDN w:val="0"/>
        <w:adjustRightInd w:val="0"/>
        <w:spacing w:after="200" w:line="276" w:lineRule="auto"/>
        <w:rPr>
          <w:rFonts w:ascii="Cambria" w:hAnsi="Cambria"/>
          <w:lang w:val="en-US"/>
        </w:rPr>
      </w:pPr>
    </w:p>
    <w:p w14:paraId="300AE3CF" w14:textId="6C0EE6DB" w:rsidR="004267C9" w:rsidRPr="005C2F74" w:rsidRDefault="00E741BC" w:rsidP="004267C9">
      <w:pPr>
        <w:autoSpaceDE w:val="0"/>
        <w:autoSpaceDN w:val="0"/>
        <w:adjustRightInd w:val="0"/>
        <w:spacing w:after="200" w:line="276" w:lineRule="auto"/>
        <w:rPr>
          <w:rFonts w:ascii="TimesNewRomanPSMT" w:hAnsi="TimesNewRomanPSMT"/>
          <w:b/>
          <w:sz w:val="26"/>
        </w:rPr>
      </w:pPr>
      <w:r>
        <w:rPr>
          <w:rFonts w:ascii="TimesNewRomanPSMT" w:hAnsi="TimesNewRomanPSMT"/>
          <w:b/>
          <w:sz w:val="26"/>
        </w:rPr>
        <w:t>V</w:t>
      </w:r>
      <w:r>
        <w:rPr>
          <w:rFonts w:ascii="TimesNewRomanPSMT" w:hAnsi="TimesNewRomanPSMT"/>
          <w:b/>
          <w:sz w:val="26"/>
        </w:rPr>
        <w:tab/>
      </w:r>
      <w:r w:rsidR="004267C9" w:rsidRPr="005C2F74">
        <w:rPr>
          <w:rFonts w:ascii="TimesNewRomanPSMT" w:hAnsi="TimesNewRomanPSMT"/>
          <w:b/>
          <w:sz w:val="26"/>
        </w:rPr>
        <w:t>Conclusion</w:t>
      </w:r>
    </w:p>
    <w:p w14:paraId="2CD23F90" w14:textId="7940DA95" w:rsidR="004267C9" w:rsidRPr="005C2F74" w:rsidRDefault="004267C9" w:rsidP="004267C9">
      <w:pPr>
        <w:autoSpaceDE w:val="0"/>
        <w:autoSpaceDN w:val="0"/>
        <w:adjustRightInd w:val="0"/>
        <w:spacing w:after="200" w:line="276" w:lineRule="auto"/>
        <w:rPr>
          <w:rFonts w:ascii="Cambria" w:hAnsi="Cambria"/>
        </w:rPr>
      </w:pPr>
      <w:r w:rsidRPr="005C2F74">
        <w:rPr>
          <w:rFonts w:ascii="Cambria" w:hAnsi="Cambria"/>
          <w:szCs w:val="24"/>
        </w:rPr>
        <w:t>I have attem</w:t>
      </w:r>
      <w:r w:rsidR="00C5036C">
        <w:rPr>
          <w:rFonts w:ascii="Cambria" w:hAnsi="Cambria"/>
          <w:szCs w:val="24"/>
        </w:rPr>
        <w:t xml:space="preserve">pted to show in this paper how MNCs have managed to gain policy power, and to exert this power </w:t>
      </w:r>
      <w:r w:rsidR="004C0712">
        <w:rPr>
          <w:rFonts w:ascii="Cambria" w:hAnsi="Cambria"/>
          <w:szCs w:val="24"/>
          <w:lang w:val="en-US"/>
        </w:rPr>
        <w:t>to influe</w:t>
      </w:r>
      <w:r w:rsidR="00E741BC">
        <w:rPr>
          <w:rFonts w:ascii="Cambria" w:hAnsi="Cambria"/>
          <w:szCs w:val="24"/>
          <w:lang w:val="en-US"/>
        </w:rPr>
        <w:t>nce policymaking on NCD issues to generate a</w:t>
      </w:r>
      <w:r w:rsidR="00CC0EFC">
        <w:rPr>
          <w:rFonts w:ascii="Cambria" w:hAnsi="Cambria"/>
          <w:szCs w:val="24"/>
          <w:lang w:val="en-US"/>
        </w:rPr>
        <w:t xml:space="preserve"> number of smokescreen policies</w:t>
      </w:r>
      <w:r w:rsidRPr="005C2F74">
        <w:rPr>
          <w:rFonts w:ascii="Cambria" w:hAnsi="Cambria"/>
          <w:szCs w:val="24"/>
        </w:rPr>
        <w:t xml:space="preserve">. I argued that the strategies used by the industry to build </w:t>
      </w:r>
      <w:r w:rsidRPr="005C2F74">
        <w:rPr>
          <w:rFonts w:ascii="Cambria" w:hAnsi="Cambria"/>
          <w:szCs w:val="24"/>
        </w:rPr>
        <w:lastRenderedPageBreak/>
        <w:t>legitimacy and power should be targeted by organised and united efforts of the public health commu</w:t>
      </w:r>
      <w:r w:rsidR="002C2E62">
        <w:rPr>
          <w:rFonts w:ascii="Cambria" w:hAnsi="Cambria"/>
          <w:szCs w:val="24"/>
        </w:rPr>
        <w:t>nity to weaken the power of MNCs and thus put the balance of power firmly back in the hands of public interests</w:t>
      </w:r>
      <w:r w:rsidRPr="005C2F74">
        <w:rPr>
          <w:rFonts w:ascii="Cambria" w:hAnsi="Cambria"/>
          <w:szCs w:val="24"/>
        </w:rPr>
        <w:t>. I further argued that this process would result in increased regulation that could be characterised as paternalist, but that</w:t>
      </w:r>
      <w:r w:rsidR="00C7220D">
        <w:rPr>
          <w:rFonts w:ascii="Cambria" w:hAnsi="Cambria"/>
          <w:szCs w:val="24"/>
        </w:rPr>
        <w:t xml:space="preserve"> such a development is ethically and </w:t>
      </w:r>
      <w:r w:rsidR="002C2E62">
        <w:rPr>
          <w:rFonts w:ascii="Cambria" w:hAnsi="Cambria"/>
          <w:szCs w:val="24"/>
        </w:rPr>
        <w:t xml:space="preserve">legally justifiable. </w:t>
      </w:r>
    </w:p>
    <w:p w14:paraId="44C53887" w14:textId="7F6FA276" w:rsidR="00357323" w:rsidRPr="00B81065" w:rsidRDefault="004267C9" w:rsidP="004267C9">
      <w:pPr>
        <w:autoSpaceDE w:val="0"/>
        <w:autoSpaceDN w:val="0"/>
        <w:adjustRightInd w:val="0"/>
        <w:spacing w:after="200" w:line="276" w:lineRule="auto"/>
        <w:rPr>
          <w:rFonts w:ascii="Cambria" w:hAnsi="Cambria"/>
          <w:szCs w:val="24"/>
          <w:lang w:val="en-US"/>
        </w:rPr>
      </w:pPr>
      <w:r w:rsidRPr="005C2F74">
        <w:rPr>
          <w:rFonts w:ascii="Cambria" w:hAnsi="Cambria"/>
          <w:szCs w:val="24"/>
        </w:rPr>
        <w:t xml:space="preserve">The opinions that I have articulated here form part of a wider project of research. In order to fully demonstrate the necessity </w:t>
      </w:r>
      <w:r w:rsidR="00CC0EFC">
        <w:rPr>
          <w:rFonts w:ascii="Cambria" w:hAnsi="Cambria"/>
          <w:szCs w:val="24"/>
          <w:lang w:val="en-US"/>
        </w:rPr>
        <w:t xml:space="preserve">of organised and public confrontation of MNCs by the public health community, </w:t>
      </w:r>
      <w:r w:rsidRPr="005C2F74">
        <w:rPr>
          <w:rFonts w:ascii="Cambria" w:hAnsi="Cambria"/>
          <w:szCs w:val="24"/>
        </w:rPr>
        <w:t xml:space="preserve">more work is necessary. Further discussion is needed of the relationship between paternalism and other ethical principles in </w:t>
      </w:r>
      <w:r w:rsidR="000173D8">
        <w:rPr>
          <w:rFonts w:ascii="Cambria" w:hAnsi="Cambria"/>
          <w:szCs w:val="24"/>
          <w:lang w:val="en-US"/>
        </w:rPr>
        <w:t>NCD policy</w:t>
      </w:r>
      <w:r w:rsidRPr="005C2F74">
        <w:rPr>
          <w:rFonts w:ascii="Cambria" w:hAnsi="Cambria"/>
          <w:szCs w:val="24"/>
        </w:rPr>
        <w:t>, such a</w:t>
      </w:r>
      <w:r w:rsidR="000173D8">
        <w:rPr>
          <w:rFonts w:ascii="Cambria" w:hAnsi="Cambria"/>
          <w:szCs w:val="24"/>
        </w:rPr>
        <w:t>s the principles of autonomy,</w:t>
      </w:r>
      <w:r w:rsidRPr="005C2F74">
        <w:rPr>
          <w:rFonts w:ascii="Cambria" w:hAnsi="Cambria"/>
          <w:szCs w:val="24"/>
        </w:rPr>
        <w:t xml:space="preserve"> transparency</w:t>
      </w:r>
      <w:r w:rsidR="000173D8">
        <w:rPr>
          <w:rFonts w:ascii="Cambria" w:hAnsi="Cambria"/>
          <w:szCs w:val="24"/>
          <w:lang w:val="en-US"/>
        </w:rPr>
        <w:t xml:space="preserve"> and stewardship</w:t>
      </w:r>
      <w:r w:rsidRPr="005C2F74">
        <w:rPr>
          <w:rFonts w:ascii="Cambria" w:hAnsi="Cambria"/>
          <w:szCs w:val="24"/>
        </w:rPr>
        <w:t>, and I strongly advocate research into the suitability of princi</w:t>
      </w:r>
      <w:r w:rsidR="000173D8">
        <w:rPr>
          <w:rFonts w:ascii="Cambria" w:hAnsi="Cambria"/>
          <w:szCs w:val="24"/>
        </w:rPr>
        <w:t>ples such as the harm principle –</w:t>
      </w:r>
      <w:r w:rsidRPr="005C2F74">
        <w:rPr>
          <w:rFonts w:ascii="Cambria" w:hAnsi="Cambria"/>
          <w:szCs w:val="24"/>
        </w:rPr>
        <w:t xml:space="preserve"> now decades old and conceived of in a d</w:t>
      </w:r>
      <w:r w:rsidR="000173D8">
        <w:rPr>
          <w:rFonts w:ascii="Cambria" w:hAnsi="Cambria"/>
          <w:szCs w:val="24"/>
        </w:rPr>
        <w:t>ifferent era of public health –</w:t>
      </w:r>
      <w:r w:rsidRPr="005C2F74">
        <w:rPr>
          <w:rFonts w:ascii="Cambria" w:hAnsi="Cambria"/>
          <w:szCs w:val="24"/>
        </w:rPr>
        <w:t xml:space="preserve"> for guiding 21</w:t>
      </w:r>
      <w:r w:rsidRPr="005C2F74">
        <w:rPr>
          <w:rFonts w:ascii="Cambria" w:hAnsi="Cambria"/>
          <w:szCs w:val="24"/>
          <w:vertAlign w:val="superscript"/>
        </w:rPr>
        <w:t>st</w:t>
      </w:r>
      <w:r w:rsidR="0025463B">
        <w:rPr>
          <w:rFonts w:ascii="Cambria" w:hAnsi="Cambria"/>
          <w:szCs w:val="24"/>
        </w:rPr>
        <w:t xml:space="preserve"> c</w:t>
      </w:r>
      <w:r w:rsidRPr="005C2F74">
        <w:rPr>
          <w:rFonts w:ascii="Cambria" w:hAnsi="Cambria"/>
          <w:szCs w:val="24"/>
        </w:rPr>
        <w:t xml:space="preserve">entury public health efforts. A discussion of the theoretical underpinnings of public health law, </w:t>
      </w:r>
      <w:r w:rsidR="00303AA6">
        <w:rPr>
          <w:rFonts w:ascii="Cambria" w:hAnsi="Cambria"/>
          <w:szCs w:val="24"/>
          <w:lang w:val="en-US"/>
        </w:rPr>
        <w:t>for example</w:t>
      </w:r>
      <w:r w:rsidR="00303AA6">
        <w:rPr>
          <w:rFonts w:ascii="Cambria" w:hAnsi="Cambria"/>
          <w:szCs w:val="24"/>
        </w:rPr>
        <w:t xml:space="preserve"> theories of social justice</w:t>
      </w:r>
      <w:r w:rsidRPr="005C2F74">
        <w:rPr>
          <w:rFonts w:ascii="Cambria" w:hAnsi="Cambria"/>
          <w:szCs w:val="24"/>
        </w:rPr>
        <w:t xml:space="preserve">, must also play a far larger part in showing that </w:t>
      </w:r>
      <w:r w:rsidR="002B13A8">
        <w:rPr>
          <w:rFonts w:ascii="Cambria" w:hAnsi="Cambria"/>
          <w:szCs w:val="24"/>
        </w:rPr>
        <w:t>MNCs</w:t>
      </w:r>
      <w:r w:rsidR="00303AA6">
        <w:rPr>
          <w:rFonts w:ascii="Cambria" w:hAnsi="Cambria"/>
          <w:szCs w:val="24"/>
        </w:rPr>
        <w:t xml:space="preserve"> should not be entitled </w:t>
      </w:r>
      <w:r w:rsidRPr="005C2F74">
        <w:rPr>
          <w:rFonts w:ascii="Cambria" w:hAnsi="Cambria"/>
          <w:szCs w:val="24"/>
        </w:rPr>
        <w:t>to dictate the health outcomes of individuals and populations. It is my hope that this paper has made a worthwhile contribution to emerging calls for a more frank look at how and why corporations with no interest in protecting the health of the public should be given pu</w:t>
      </w:r>
      <w:r w:rsidR="00B81065">
        <w:rPr>
          <w:rFonts w:ascii="Cambria" w:hAnsi="Cambria"/>
          <w:szCs w:val="24"/>
        </w:rPr>
        <w:t xml:space="preserve">blic health policymaking power. </w:t>
      </w:r>
    </w:p>
    <w:sectPr w:rsidR="00357323" w:rsidRPr="00B81065" w:rsidSect="00FB39F3">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DD620" w14:textId="77777777" w:rsidR="00446108" w:rsidRDefault="00446108" w:rsidP="004267C9">
      <w:pPr>
        <w:spacing w:after="0" w:line="240" w:lineRule="auto"/>
      </w:pPr>
      <w:r>
        <w:separator/>
      </w:r>
    </w:p>
  </w:endnote>
  <w:endnote w:type="continuationSeparator" w:id="0">
    <w:p w14:paraId="68E23425" w14:textId="77777777" w:rsidR="00446108" w:rsidRDefault="00446108" w:rsidP="0042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B9919" w14:textId="77777777" w:rsidR="00C72D06" w:rsidRDefault="00C72D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C7AE6" w14:textId="77777777" w:rsidR="00C72D06" w:rsidRDefault="00C72D0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78E3" w14:textId="77777777" w:rsidR="00C72D06" w:rsidRDefault="00C72D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9FE6D" w14:textId="77777777" w:rsidR="00446108" w:rsidRDefault="00446108" w:rsidP="004267C9">
      <w:pPr>
        <w:spacing w:after="0" w:line="240" w:lineRule="auto"/>
      </w:pPr>
      <w:r>
        <w:separator/>
      </w:r>
    </w:p>
  </w:footnote>
  <w:footnote w:type="continuationSeparator" w:id="0">
    <w:p w14:paraId="336E3A66" w14:textId="77777777" w:rsidR="00446108" w:rsidRDefault="00446108" w:rsidP="004267C9">
      <w:pPr>
        <w:spacing w:after="0" w:line="240" w:lineRule="auto"/>
      </w:pPr>
      <w:r>
        <w:continuationSeparator/>
      </w:r>
    </w:p>
  </w:footnote>
  <w:footnote w:id="1">
    <w:p w14:paraId="30AABB92" w14:textId="512F115D" w:rsidR="00C72D06" w:rsidRPr="00CA5BEA" w:rsidRDefault="00C72D06" w:rsidP="00C72D06">
      <w:pPr>
        <w:pStyle w:val="FootnoteText"/>
        <w:rPr>
          <w:lang w:val="en-US"/>
        </w:rPr>
      </w:pPr>
      <w:r w:rsidRPr="00CA5BEA">
        <w:rPr>
          <w:rStyle w:val="FootnoteReference"/>
        </w:rPr>
        <w:footnoteRef/>
      </w:r>
      <w:r w:rsidRPr="00CA5BEA">
        <w:t xml:space="preserve"> RA Hays, </w:t>
      </w:r>
      <w:r w:rsidRPr="00B437CA">
        <w:rPr>
          <w:i/>
        </w:rPr>
        <w:t>Federal Government and Urban Housing</w:t>
      </w:r>
      <w:r>
        <w:t xml:space="preserve"> </w:t>
      </w:r>
      <w:r w:rsidRPr="00CA5BEA">
        <w:t>(State University of New York</w:t>
      </w:r>
      <w:r>
        <w:t>, 3</w:t>
      </w:r>
      <w:r w:rsidRPr="00C72D06">
        <w:rPr>
          <w:vertAlign w:val="superscript"/>
        </w:rPr>
        <w:t>rd</w:t>
      </w:r>
      <w:r>
        <w:t xml:space="preserve"> </w:t>
      </w:r>
      <w:proofErr w:type="spellStart"/>
      <w:r>
        <w:t>edn</w:t>
      </w:r>
      <w:proofErr w:type="spellEnd"/>
      <w:r>
        <w:t>,</w:t>
      </w:r>
      <w:r w:rsidRPr="00CA5BEA">
        <w:t xml:space="preserve"> 2012), 1</w:t>
      </w:r>
    </w:p>
  </w:footnote>
  <w:footnote w:id="2">
    <w:p w14:paraId="131C8D87" w14:textId="32981FCD" w:rsidR="00C72D06" w:rsidRPr="00CA5BEA" w:rsidRDefault="00C72D06" w:rsidP="00C72D06">
      <w:pPr>
        <w:pStyle w:val="FootnoteText"/>
        <w:rPr>
          <w:lang w:val="en-US"/>
        </w:rPr>
      </w:pPr>
      <w:r w:rsidRPr="00CA5BEA">
        <w:rPr>
          <w:rStyle w:val="FootnoteReference"/>
        </w:rPr>
        <w:footnoteRef/>
      </w:r>
      <w:r w:rsidRPr="00CA5BEA">
        <w:t xml:space="preserve"> L </w:t>
      </w:r>
      <w:proofErr w:type="spellStart"/>
      <w:r w:rsidRPr="00CA5BEA">
        <w:t>Kørnøv</w:t>
      </w:r>
      <w:proofErr w:type="spellEnd"/>
      <w:r w:rsidRPr="00CA5BEA">
        <w:t xml:space="preserve"> and W </w:t>
      </w:r>
      <w:proofErr w:type="spellStart"/>
      <w:r w:rsidRPr="00CA5BEA">
        <w:t>Thissen</w:t>
      </w:r>
      <w:proofErr w:type="spellEnd"/>
      <w:r w:rsidRPr="00CA5BEA">
        <w:t>, ‘Rationality in decision- and policy-making: implications for strategic environmental assessment’</w:t>
      </w:r>
      <w:r>
        <w:t>,</w:t>
      </w:r>
      <w:r w:rsidRPr="00CA5BEA">
        <w:t xml:space="preserve"> (2000) 18(3) </w:t>
      </w:r>
      <w:r w:rsidRPr="00B437CA">
        <w:rPr>
          <w:i/>
        </w:rPr>
        <w:t>Impact Assessment and Project Appraisal</w:t>
      </w:r>
      <w:r w:rsidRPr="00CA5BEA">
        <w:t xml:space="preserve"> 191, </w:t>
      </w:r>
      <w:r w:rsidRPr="00CA5BEA">
        <w:rPr>
          <w:lang w:val="en-US"/>
        </w:rPr>
        <w:t>194</w:t>
      </w:r>
    </w:p>
  </w:footnote>
  <w:footnote w:id="3">
    <w:p w14:paraId="5DDE1059" w14:textId="722C8FDE" w:rsidR="00C72D06" w:rsidRPr="00CA5BEA" w:rsidRDefault="00C72D06" w:rsidP="00C72D06">
      <w:pPr>
        <w:pStyle w:val="FootnoteText"/>
      </w:pPr>
      <w:r w:rsidRPr="00CA5BEA">
        <w:rPr>
          <w:rStyle w:val="FootnoteReference"/>
        </w:rPr>
        <w:footnoteRef/>
      </w:r>
      <w:r w:rsidRPr="00CA5BEA">
        <w:t xml:space="preserve"> K </w:t>
      </w:r>
      <w:proofErr w:type="spellStart"/>
      <w:r w:rsidRPr="00CA5BEA">
        <w:t>Buse</w:t>
      </w:r>
      <w:proofErr w:type="spellEnd"/>
      <w:r w:rsidRPr="00CA5BEA">
        <w:t xml:space="preserve"> and A Harmer, 'Power to the Partners?: The politics of public-private health partnerships'</w:t>
      </w:r>
      <w:r>
        <w:t>,</w:t>
      </w:r>
      <w:r w:rsidRPr="00CA5BEA">
        <w:t xml:space="preserve"> (2004) 47(2) </w:t>
      </w:r>
      <w:r w:rsidRPr="00B437CA">
        <w:rPr>
          <w:i/>
        </w:rPr>
        <w:t>Development</w:t>
      </w:r>
      <w:r w:rsidRPr="00CA5BEA">
        <w:t xml:space="preserve"> 49, 51</w:t>
      </w:r>
    </w:p>
  </w:footnote>
  <w:footnote w:id="4">
    <w:p w14:paraId="15B9EC85" w14:textId="17F551E1" w:rsidR="00C72D06" w:rsidRPr="00CA5BEA" w:rsidRDefault="00C72D06" w:rsidP="00C72D06">
      <w:pPr>
        <w:pStyle w:val="FootnoteText"/>
        <w:rPr>
          <w:lang w:val="en-US"/>
        </w:rPr>
      </w:pPr>
      <w:r w:rsidRPr="00CA5BEA">
        <w:rPr>
          <w:rStyle w:val="FootnoteReference"/>
        </w:rPr>
        <w:footnoteRef/>
      </w:r>
      <w:r w:rsidRPr="00CA5BEA">
        <w:t xml:space="preserve"> S </w:t>
      </w:r>
      <w:proofErr w:type="spellStart"/>
      <w:r w:rsidRPr="00CA5BEA">
        <w:t>Moutsios</w:t>
      </w:r>
      <w:proofErr w:type="spellEnd"/>
      <w:r w:rsidRPr="00CA5BEA">
        <w:t>, 'Power, politics and transnational policy-making in education'</w:t>
      </w:r>
      <w:r>
        <w:t>,</w:t>
      </w:r>
      <w:r w:rsidRPr="00CA5BEA">
        <w:t xml:space="preserve"> (2010) 8(1) </w:t>
      </w:r>
      <w:r w:rsidRPr="00B437CA">
        <w:rPr>
          <w:i/>
        </w:rPr>
        <w:t>Globalisation, Societies and Education</w:t>
      </w:r>
      <w:r w:rsidRPr="00CA5BEA">
        <w:t xml:space="preserve"> 121, 135</w:t>
      </w:r>
    </w:p>
  </w:footnote>
  <w:footnote w:id="5">
    <w:p w14:paraId="6BCD4A8F" w14:textId="77D4A6DF" w:rsidR="00C72D06" w:rsidRPr="00CA5BEA" w:rsidRDefault="00C72D06" w:rsidP="00C72D06">
      <w:pPr>
        <w:pStyle w:val="FootnoteText"/>
        <w:rPr>
          <w:lang w:val="en-US"/>
        </w:rPr>
      </w:pPr>
      <w:r w:rsidRPr="00CA5BEA">
        <w:rPr>
          <w:rStyle w:val="FootnoteReference"/>
        </w:rPr>
        <w:footnoteRef/>
      </w:r>
      <w:r w:rsidRPr="00CA5BEA">
        <w:t xml:space="preserve"> Hays, </w:t>
      </w:r>
      <w:r w:rsidRPr="00CA5BEA">
        <w:rPr>
          <w:i/>
        </w:rPr>
        <w:t>Federal Government and Urban Housing</w:t>
      </w:r>
      <w:r w:rsidRPr="00CA5BEA">
        <w:t>, n 1 supra, 1</w:t>
      </w:r>
    </w:p>
  </w:footnote>
  <w:footnote w:id="6">
    <w:p w14:paraId="3DB24630" w14:textId="1108C189" w:rsidR="00C72D06" w:rsidRPr="00CA5BEA" w:rsidRDefault="00C72D06" w:rsidP="00C72D06">
      <w:pPr>
        <w:pStyle w:val="FootnoteText"/>
      </w:pPr>
      <w:r w:rsidRPr="00CA5BEA">
        <w:rPr>
          <w:rStyle w:val="FootnoteReference"/>
        </w:rPr>
        <w:footnoteRef/>
      </w:r>
      <w:r w:rsidRPr="00CA5BEA">
        <w:t xml:space="preserve"> See P Hall, ‘Policy paradigms, Social Learning, and the State: The Case of Economic Policymaking in Britain’</w:t>
      </w:r>
      <w:r>
        <w:t>,</w:t>
      </w:r>
      <w:r w:rsidRPr="00CA5BEA">
        <w:t xml:space="preserve"> (1993) 25(3) </w:t>
      </w:r>
      <w:r w:rsidRPr="00B437CA">
        <w:rPr>
          <w:i/>
        </w:rPr>
        <w:t>Comparative Politics</w:t>
      </w:r>
      <w:r w:rsidRPr="00CA5BEA">
        <w:t xml:space="preserve"> 275, 290. </w:t>
      </w:r>
    </w:p>
  </w:footnote>
  <w:footnote w:id="7">
    <w:p w14:paraId="7B3B6B30" w14:textId="286E3E8E" w:rsidR="00C72D06" w:rsidRPr="00CA5BEA" w:rsidRDefault="00C72D06" w:rsidP="00C72D06">
      <w:pPr>
        <w:pStyle w:val="FootnoteText"/>
      </w:pPr>
      <w:r w:rsidRPr="00CA5BEA">
        <w:rPr>
          <w:rStyle w:val="FootnoteReference"/>
        </w:rPr>
        <w:footnoteRef/>
      </w:r>
      <w:r w:rsidRPr="00CA5BEA">
        <w:t xml:space="preserve"> </w:t>
      </w:r>
      <w:proofErr w:type="spellStart"/>
      <w:r w:rsidRPr="00CA5BEA">
        <w:t>Buse</w:t>
      </w:r>
      <w:proofErr w:type="spellEnd"/>
      <w:r w:rsidRPr="00CA5BEA">
        <w:t xml:space="preserve"> and Harmer, ‘Power to the Partners?’, n 3 supra, 53</w:t>
      </w:r>
    </w:p>
  </w:footnote>
  <w:footnote w:id="8">
    <w:p w14:paraId="318C02C7" w14:textId="3A20002D" w:rsidR="00C72D06" w:rsidRPr="00CA5BEA" w:rsidRDefault="00C72D06" w:rsidP="00C72D06">
      <w:pPr>
        <w:pStyle w:val="FootnoteText"/>
      </w:pPr>
      <w:r w:rsidRPr="00CA5BEA">
        <w:rPr>
          <w:rStyle w:val="FootnoteReference"/>
        </w:rPr>
        <w:footnoteRef/>
      </w:r>
      <w:r w:rsidRPr="00CA5BEA">
        <w:t xml:space="preserve"> </w:t>
      </w:r>
      <w:proofErr w:type="spellStart"/>
      <w:r w:rsidRPr="00CA5BEA">
        <w:t>Buse</w:t>
      </w:r>
      <w:proofErr w:type="spellEnd"/>
      <w:r w:rsidRPr="00CA5BEA">
        <w:t xml:space="preserve"> and Harmer, ‘Power to the Partners?’, n 3 supra, 53</w:t>
      </w:r>
    </w:p>
  </w:footnote>
  <w:footnote w:id="9">
    <w:p w14:paraId="63536D53" w14:textId="082744A4" w:rsidR="00C72D06" w:rsidRPr="00CA5BEA" w:rsidRDefault="00C72D06" w:rsidP="00C72D06">
      <w:pPr>
        <w:pStyle w:val="FootnoteText"/>
      </w:pPr>
      <w:r w:rsidRPr="00CA5BEA">
        <w:rPr>
          <w:rStyle w:val="FootnoteReference"/>
        </w:rPr>
        <w:footnoteRef/>
      </w:r>
      <w:r w:rsidRPr="00CA5BEA">
        <w:t xml:space="preserve"> M Barnet and M </w:t>
      </w:r>
      <w:proofErr w:type="spellStart"/>
      <w:r w:rsidRPr="00CA5BEA">
        <w:t>Finnemore</w:t>
      </w:r>
      <w:proofErr w:type="spellEnd"/>
      <w:r w:rsidRPr="00CA5BEA">
        <w:t xml:space="preserve">, </w:t>
      </w:r>
      <w:r w:rsidRPr="00CA5BEA">
        <w:rPr>
          <w:i/>
        </w:rPr>
        <w:t xml:space="preserve">Rules for the world: International organisations in global politics </w:t>
      </w:r>
      <w:r w:rsidRPr="00CA5BEA">
        <w:t>(Cornell University Press</w:t>
      </w:r>
      <w:r>
        <w:t>,</w:t>
      </w:r>
      <w:r w:rsidRPr="00CA5BEA">
        <w:t xml:space="preserve"> 2004), 21</w:t>
      </w:r>
    </w:p>
  </w:footnote>
  <w:footnote w:id="10">
    <w:p w14:paraId="1295EB9C" w14:textId="74E8D325" w:rsidR="00C72D06" w:rsidRPr="00CA5BEA" w:rsidRDefault="00C72D06" w:rsidP="00C72D06">
      <w:pPr>
        <w:pStyle w:val="FootnoteText"/>
      </w:pPr>
      <w:r w:rsidRPr="00CA5BEA">
        <w:rPr>
          <w:rStyle w:val="FootnoteReference"/>
        </w:rPr>
        <w:footnoteRef/>
      </w:r>
      <w:r w:rsidRPr="00CA5BEA">
        <w:t xml:space="preserve"> </w:t>
      </w:r>
      <w:proofErr w:type="spellStart"/>
      <w:r w:rsidRPr="00CA5BEA">
        <w:t>Buse</w:t>
      </w:r>
      <w:proofErr w:type="spellEnd"/>
      <w:r w:rsidRPr="00CA5BEA">
        <w:t xml:space="preserve"> and Harmer, ‘Power to the Partners?’, n 3 supra, 53</w:t>
      </w:r>
    </w:p>
  </w:footnote>
  <w:footnote w:id="11">
    <w:p w14:paraId="4BD0BE75" w14:textId="15B9FFC5" w:rsidR="00C72D06" w:rsidRPr="00CA5BEA" w:rsidRDefault="00C72D06" w:rsidP="00C72D06">
      <w:pPr>
        <w:pStyle w:val="FootnoteText"/>
      </w:pPr>
      <w:r w:rsidRPr="00CA5BEA">
        <w:rPr>
          <w:rStyle w:val="FootnoteReference"/>
        </w:rPr>
        <w:footnoteRef/>
      </w:r>
      <w:r w:rsidRPr="00CA5BEA">
        <w:t xml:space="preserve"> See: D Jernigan, ‘The global alcohol industry: an overview’</w:t>
      </w:r>
      <w:r>
        <w:t>,</w:t>
      </w:r>
      <w:r w:rsidRPr="00CA5BEA">
        <w:t xml:space="preserve"> (2009) 104(</w:t>
      </w:r>
      <w:proofErr w:type="spellStart"/>
      <w:r w:rsidRPr="00CA5BEA">
        <w:t>Suppl</w:t>
      </w:r>
      <w:proofErr w:type="spellEnd"/>
      <w:r w:rsidRPr="00CA5BEA">
        <w:t xml:space="preserve">. 1) </w:t>
      </w:r>
      <w:r w:rsidRPr="00C72D06">
        <w:rPr>
          <w:i/>
        </w:rPr>
        <w:t>Addiction</w:t>
      </w:r>
      <w:r w:rsidRPr="00CA5BEA">
        <w:t xml:space="preserve"> 6</w:t>
      </w:r>
    </w:p>
  </w:footnote>
  <w:footnote w:id="12">
    <w:p w14:paraId="1C7C8D13" w14:textId="5FC8EBDE" w:rsidR="00C72D06" w:rsidRPr="00CA5BEA" w:rsidRDefault="00C72D06" w:rsidP="00C72D06">
      <w:pPr>
        <w:pStyle w:val="FootnoteText"/>
      </w:pPr>
      <w:r w:rsidRPr="00CA5BEA">
        <w:rPr>
          <w:rStyle w:val="FootnoteReference"/>
        </w:rPr>
        <w:footnoteRef/>
      </w:r>
      <w:r w:rsidRPr="00CA5BEA">
        <w:t xml:space="preserve"> Barnett and </w:t>
      </w:r>
      <w:proofErr w:type="spellStart"/>
      <w:r w:rsidRPr="00CA5BEA">
        <w:t>Finnemore</w:t>
      </w:r>
      <w:proofErr w:type="spellEnd"/>
      <w:r w:rsidRPr="00CA5BEA">
        <w:t xml:space="preserve">, </w:t>
      </w:r>
      <w:r w:rsidRPr="00CA5BEA">
        <w:rPr>
          <w:i/>
        </w:rPr>
        <w:t>Rules for the world,</w:t>
      </w:r>
      <w:r w:rsidRPr="00CA5BEA">
        <w:t xml:space="preserve"> n 9 supra, 21</w:t>
      </w:r>
    </w:p>
  </w:footnote>
  <w:footnote w:id="13">
    <w:p w14:paraId="471321E1" w14:textId="37AAC3D4" w:rsidR="00C72D06" w:rsidRPr="00CA5BEA" w:rsidRDefault="00C72D06" w:rsidP="00C72D06">
      <w:pPr>
        <w:pStyle w:val="FootnoteText"/>
      </w:pPr>
      <w:r w:rsidRPr="00CA5BEA">
        <w:rPr>
          <w:rStyle w:val="FootnoteReference"/>
        </w:rPr>
        <w:footnoteRef/>
      </w:r>
      <w:r w:rsidRPr="00CA5BEA">
        <w:t xml:space="preserve"> </w:t>
      </w:r>
      <w:proofErr w:type="spellStart"/>
      <w:r w:rsidRPr="00CA5BEA">
        <w:t>Moutsios</w:t>
      </w:r>
      <w:proofErr w:type="spellEnd"/>
      <w:r w:rsidRPr="00CA5BEA">
        <w:t>, 'Power, politics and transnational policy-making', n 4 supra, 123</w:t>
      </w:r>
    </w:p>
  </w:footnote>
  <w:footnote w:id="14">
    <w:p w14:paraId="44079193" w14:textId="1B95DA06" w:rsidR="00C72D06" w:rsidRPr="00CA5BEA" w:rsidRDefault="00C72D06" w:rsidP="00C72D06">
      <w:pPr>
        <w:pStyle w:val="FootnoteText"/>
      </w:pPr>
      <w:r w:rsidRPr="00CA5BEA">
        <w:rPr>
          <w:rStyle w:val="FootnoteReference"/>
        </w:rPr>
        <w:footnoteRef/>
      </w:r>
      <w:r w:rsidRPr="00CA5BEA">
        <w:t xml:space="preserve"> P Cairney, </w:t>
      </w:r>
      <w:r w:rsidRPr="00CA5BEA">
        <w:rPr>
          <w:i/>
        </w:rPr>
        <w:t>Understanding Public Policy: Theories and Issues</w:t>
      </w:r>
      <w:r w:rsidRPr="00CA5BEA">
        <w:t xml:space="preserve"> (</w:t>
      </w:r>
      <w:proofErr w:type="spellStart"/>
      <w:r w:rsidRPr="00CA5BEA">
        <w:t>Palgrave</w:t>
      </w:r>
      <w:proofErr w:type="spellEnd"/>
      <w:r w:rsidRPr="00CA5BEA">
        <w:t xml:space="preserve"> Macmillan</w:t>
      </w:r>
      <w:r>
        <w:t>,</w:t>
      </w:r>
      <w:r w:rsidRPr="00CA5BEA">
        <w:t xml:space="preserve"> 2011), 5</w:t>
      </w:r>
    </w:p>
  </w:footnote>
  <w:footnote w:id="15">
    <w:p w14:paraId="53734EB4" w14:textId="3B787F6E" w:rsidR="00C72D06" w:rsidRPr="00CA5BEA" w:rsidRDefault="00C72D06" w:rsidP="00C72D06">
      <w:pPr>
        <w:pStyle w:val="FootnoteText"/>
      </w:pPr>
      <w:r w:rsidRPr="00CA5BEA">
        <w:rPr>
          <w:rStyle w:val="FootnoteReference"/>
        </w:rPr>
        <w:footnoteRef/>
      </w:r>
      <w:r w:rsidRPr="00CA5BEA">
        <w:t xml:space="preserve"> </w:t>
      </w:r>
      <w:proofErr w:type="spellStart"/>
      <w:r w:rsidRPr="00CA5BEA">
        <w:t>Moutsios</w:t>
      </w:r>
      <w:proofErr w:type="spellEnd"/>
      <w:r w:rsidRPr="00CA5BEA">
        <w:t>, 'Power, politics and transnational policy-making', n 4 supra, 124</w:t>
      </w:r>
    </w:p>
  </w:footnote>
  <w:footnote w:id="16">
    <w:p w14:paraId="3A81C828" w14:textId="5ED9C728" w:rsidR="00C72D06" w:rsidRPr="00CA5BEA" w:rsidRDefault="00C72D06" w:rsidP="00C72D06">
      <w:pPr>
        <w:pStyle w:val="FootnoteText"/>
      </w:pPr>
      <w:r w:rsidRPr="00CA5BEA">
        <w:rPr>
          <w:rStyle w:val="FootnoteReference"/>
        </w:rPr>
        <w:footnoteRef/>
      </w:r>
      <w:r w:rsidRPr="00CA5BEA">
        <w:t xml:space="preserve"> See: R </w:t>
      </w:r>
      <w:proofErr w:type="spellStart"/>
      <w:r w:rsidRPr="00CA5BEA">
        <w:t>Jahiel</w:t>
      </w:r>
      <w:proofErr w:type="spellEnd"/>
      <w:r w:rsidRPr="00CA5BEA">
        <w:t xml:space="preserve"> and T Babor, ‘Industrial epidemic, public health advocacy and the alcohol industry: lessons from other fields’</w:t>
      </w:r>
      <w:r>
        <w:t>,</w:t>
      </w:r>
      <w:r w:rsidRPr="00CA5BEA">
        <w:t xml:space="preserve"> (2007) 102(9) </w:t>
      </w:r>
      <w:r w:rsidRPr="00C72D06">
        <w:rPr>
          <w:i/>
        </w:rPr>
        <w:t>Addiction</w:t>
      </w:r>
      <w:r w:rsidRPr="00CA5BEA">
        <w:t xml:space="preserve"> 1335, 1336 </w:t>
      </w:r>
    </w:p>
  </w:footnote>
  <w:footnote w:id="17">
    <w:p w14:paraId="138B3EB9" w14:textId="4D1EA9B7" w:rsidR="00C72D06" w:rsidRPr="00CA5BEA" w:rsidRDefault="00C72D06" w:rsidP="00C72D06">
      <w:pPr>
        <w:pStyle w:val="FootnoteText"/>
      </w:pPr>
      <w:r w:rsidRPr="00CA5BEA">
        <w:rPr>
          <w:rStyle w:val="FootnoteReference"/>
        </w:rPr>
        <w:footnoteRef/>
      </w:r>
      <w:r w:rsidRPr="00CA5BEA">
        <w:t xml:space="preserve"> G Hastings, 'Why corporate power is a public health priority'</w:t>
      </w:r>
      <w:r>
        <w:t>,</w:t>
      </w:r>
      <w:r w:rsidRPr="00CA5BEA">
        <w:t xml:space="preserve"> (2012) 345 </w:t>
      </w:r>
      <w:r>
        <w:t>British Medical Journal</w:t>
      </w:r>
      <w:r w:rsidRPr="00CA5BEA">
        <w:t xml:space="preserve"> e5124</w:t>
      </w:r>
    </w:p>
  </w:footnote>
  <w:footnote w:id="18">
    <w:p w14:paraId="02A267D8" w14:textId="1CEF3C53" w:rsidR="00C72D06" w:rsidRPr="00CA5BEA" w:rsidRDefault="00C72D06" w:rsidP="00C72D06">
      <w:pPr>
        <w:pStyle w:val="FootnoteText"/>
      </w:pPr>
      <w:r w:rsidRPr="00CA5BEA">
        <w:rPr>
          <w:rStyle w:val="FootnoteReference"/>
        </w:rPr>
        <w:footnoteRef/>
      </w:r>
      <w:r w:rsidRPr="00CA5BEA">
        <w:t xml:space="preserve"> D Thomson, ‘Big Food and t</w:t>
      </w:r>
      <w:r w:rsidR="00F80441">
        <w:t>he Body</w:t>
      </w:r>
      <w:r w:rsidRPr="00CA5BEA">
        <w:t xml:space="preserve"> Politics of Personal Responsibility’</w:t>
      </w:r>
      <w:r>
        <w:t>,</w:t>
      </w:r>
      <w:r w:rsidRPr="00CA5BEA">
        <w:t xml:space="preserve"> (2009) 74(1) </w:t>
      </w:r>
      <w:r w:rsidRPr="00C72D06">
        <w:rPr>
          <w:i/>
        </w:rPr>
        <w:t>Southern Communication Journal</w:t>
      </w:r>
      <w:r w:rsidRPr="00CA5BEA">
        <w:t xml:space="preserve"> 2. </w:t>
      </w:r>
    </w:p>
  </w:footnote>
  <w:footnote w:id="19">
    <w:p w14:paraId="2B767A53" w14:textId="3AC53126" w:rsidR="00C72D06" w:rsidRPr="00CA5BEA" w:rsidRDefault="00C72D06" w:rsidP="00C72D06">
      <w:pPr>
        <w:pStyle w:val="FootnoteText"/>
      </w:pPr>
      <w:r w:rsidRPr="00CA5BEA">
        <w:rPr>
          <w:rStyle w:val="FootnoteReference"/>
        </w:rPr>
        <w:footnoteRef/>
      </w:r>
      <w:r w:rsidRPr="00CA5BEA">
        <w:t xml:space="preserve">S </w:t>
      </w:r>
      <w:proofErr w:type="spellStart"/>
      <w:r w:rsidRPr="00CA5BEA">
        <w:t>Yoon</w:t>
      </w:r>
      <w:proofErr w:type="spellEnd"/>
      <w:r w:rsidRPr="00CA5BEA">
        <w:t xml:space="preserve"> and T Lam, ‘The illusion of righteousness: corporate social responsibility practices of the alcohol industry’</w:t>
      </w:r>
      <w:r>
        <w:t>,</w:t>
      </w:r>
      <w:r w:rsidRPr="00CA5BEA">
        <w:t xml:space="preserve"> (2013) 13 </w:t>
      </w:r>
      <w:r w:rsidRPr="00C72D06">
        <w:rPr>
          <w:i/>
        </w:rPr>
        <w:t>BMC Public Health</w:t>
      </w:r>
      <w:r w:rsidRPr="00CA5BEA">
        <w:t xml:space="preserve"> 630. </w:t>
      </w:r>
    </w:p>
  </w:footnote>
  <w:footnote w:id="20">
    <w:p w14:paraId="7B3F861D" w14:textId="649FF101" w:rsidR="00C72D06" w:rsidRPr="00CA5BEA" w:rsidRDefault="00C72D06" w:rsidP="00C72D06">
      <w:pPr>
        <w:pStyle w:val="FootnoteText"/>
      </w:pPr>
      <w:r w:rsidRPr="00CA5BEA">
        <w:rPr>
          <w:rStyle w:val="FootnoteReference"/>
        </w:rPr>
        <w:footnoteRef/>
      </w:r>
      <w:r w:rsidRPr="00CA5BEA">
        <w:t xml:space="preserve"> Hastings, 'Why corporate power is a public health priority', n 17 supra.</w:t>
      </w:r>
    </w:p>
  </w:footnote>
  <w:footnote w:id="21">
    <w:p w14:paraId="090C5C03" w14:textId="39FB6263" w:rsidR="00C72D06" w:rsidRPr="00CA5BEA" w:rsidRDefault="00C72D06" w:rsidP="00C72D06">
      <w:pPr>
        <w:pStyle w:val="FootnoteText"/>
      </w:pPr>
      <w:r w:rsidRPr="00CA5BEA">
        <w:rPr>
          <w:rStyle w:val="FootnoteReference"/>
        </w:rPr>
        <w:footnoteRef/>
      </w:r>
      <w:r w:rsidRPr="00CA5BEA">
        <w:t xml:space="preserve"> For example, MNCs offer lucrative employment opportunities to politicians after they leave office, in return for favours while in office. On this and other lobbying tactics, see: W </w:t>
      </w:r>
      <w:proofErr w:type="spellStart"/>
      <w:r w:rsidRPr="00CA5BEA">
        <w:t>Wiist</w:t>
      </w:r>
      <w:proofErr w:type="spellEnd"/>
      <w:r w:rsidRPr="00CA5BEA">
        <w:t xml:space="preserve">, ‘Lobbying, the Revolving Door, and Campaign Contributions: The </w:t>
      </w:r>
      <w:proofErr w:type="spellStart"/>
      <w:r w:rsidRPr="00CA5BEA">
        <w:t>Center</w:t>
      </w:r>
      <w:proofErr w:type="spellEnd"/>
      <w:r w:rsidRPr="00CA5BEA">
        <w:t xml:space="preserve"> for Responsive Politics’ in W </w:t>
      </w:r>
      <w:proofErr w:type="spellStart"/>
      <w:r w:rsidRPr="00CA5BEA">
        <w:t>Wiist</w:t>
      </w:r>
      <w:proofErr w:type="spellEnd"/>
      <w:r w:rsidRPr="00CA5BEA">
        <w:t xml:space="preserve"> (ed), </w:t>
      </w:r>
      <w:r w:rsidRPr="00CA5BEA">
        <w:rPr>
          <w:i/>
        </w:rPr>
        <w:t xml:space="preserve">The bottom Line or Public Health </w:t>
      </w:r>
      <w:r w:rsidRPr="00CA5BEA">
        <w:t>(Oxford University Press</w:t>
      </w:r>
      <w:r>
        <w:t>,</w:t>
      </w:r>
      <w:r w:rsidRPr="00CA5BEA">
        <w:t xml:space="preserve"> 2010), 139</w:t>
      </w:r>
    </w:p>
  </w:footnote>
  <w:footnote w:id="22">
    <w:p w14:paraId="66565757" w14:textId="7BFA32CC" w:rsidR="00C72D06" w:rsidRPr="00CA5BEA" w:rsidRDefault="00C72D06" w:rsidP="00C72D06">
      <w:pPr>
        <w:pStyle w:val="FootnoteText"/>
      </w:pPr>
      <w:r w:rsidRPr="00CA5BEA">
        <w:rPr>
          <w:rStyle w:val="FootnoteReference"/>
        </w:rPr>
        <w:footnoteRef/>
      </w:r>
      <w:r w:rsidRPr="00CA5BEA">
        <w:t>A Gilmore et al, ‘Public health, corporations and the New Responsibility Deal: promoting partnerships with vectors of disease?’</w:t>
      </w:r>
      <w:r>
        <w:t>,</w:t>
      </w:r>
      <w:r w:rsidRPr="00CA5BEA">
        <w:t xml:space="preserve"> (2011) 33(1) </w:t>
      </w:r>
      <w:r w:rsidRPr="00C72D06">
        <w:rPr>
          <w:i/>
        </w:rPr>
        <w:t>Journal of Public Health</w:t>
      </w:r>
      <w:r w:rsidRPr="00CA5BEA">
        <w:t xml:space="preserve"> 2</w:t>
      </w:r>
    </w:p>
  </w:footnote>
  <w:footnote w:id="23">
    <w:p w14:paraId="4F08EDB6" w14:textId="487BBD36" w:rsidR="00C72D06" w:rsidRPr="00CA5BEA" w:rsidRDefault="00C72D06" w:rsidP="00C72D06">
      <w:pPr>
        <w:pStyle w:val="FootnoteText"/>
      </w:pPr>
      <w:r w:rsidRPr="00CA5BEA">
        <w:rPr>
          <w:rStyle w:val="FootnoteReference"/>
        </w:rPr>
        <w:footnoteRef/>
      </w:r>
      <w:r w:rsidRPr="00CA5BEA">
        <w:t xml:space="preserve"> See: O Bartlett and A Garde, ‘The EU Platform and EU Forum: new modes of governance or a smokescreen for the promotion of conflicts of interest?’ in A </w:t>
      </w:r>
      <w:proofErr w:type="spellStart"/>
      <w:r w:rsidRPr="00CA5BEA">
        <w:t>Alemanno</w:t>
      </w:r>
      <w:proofErr w:type="spellEnd"/>
      <w:r w:rsidRPr="00CA5BEA">
        <w:t xml:space="preserve"> and A </w:t>
      </w:r>
      <w:proofErr w:type="spellStart"/>
      <w:r w:rsidRPr="00CA5BEA">
        <w:t>Garde</w:t>
      </w:r>
      <w:proofErr w:type="spellEnd"/>
      <w:r w:rsidRPr="00CA5BEA">
        <w:t xml:space="preserve">, </w:t>
      </w:r>
      <w:r w:rsidRPr="00CA5BEA">
        <w:rPr>
          <w:i/>
        </w:rPr>
        <w:t xml:space="preserve">Regulating Lifestyle Risks: The EU, Alcohol, Tobacco and Unhealthy Diets </w:t>
      </w:r>
      <w:r w:rsidRPr="00CA5BEA">
        <w:t>(Cambridge University Press</w:t>
      </w:r>
      <w:r>
        <w:t>,</w:t>
      </w:r>
      <w:r w:rsidRPr="00CA5BEA">
        <w:t xml:space="preserve"> 2015) 283</w:t>
      </w:r>
    </w:p>
  </w:footnote>
  <w:footnote w:id="24">
    <w:p w14:paraId="2994F3B5" w14:textId="77777777" w:rsidR="004F469C" w:rsidRPr="00CA5BEA" w:rsidRDefault="004F469C" w:rsidP="004F469C">
      <w:pPr>
        <w:pStyle w:val="FootnoteText"/>
        <w:rPr>
          <w:lang w:val="en-US"/>
        </w:rPr>
      </w:pPr>
      <w:r w:rsidRPr="00CA5BEA">
        <w:rPr>
          <w:rStyle w:val="FootnoteReference"/>
        </w:rPr>
        <w:footnoteRef/>
      </w:r>
      <w:r w:rsidRPr="00CA5BEA">
        <w:t xml:space="preserve"> T Oliver, 'The Politics of Public Health Policy'</w:t>
      </w:r>
      <w:r>
        <w:t>,</w:t>
      </w:r>
      <w:r w:rsidRPr="00CA5BEA">
        <w:t xml:space="preserve"> (2006) 27 </w:t>
      </w:r>
      <w:r w:rsidRPr="00C72D06">
        <w:rPr>
          <w:i/>
        </w:rPr>
        <w:t>Annual Review of Public Health</w:t>
      </w:r>
      <w:r w:rsidRPr="00CA5BEA">
        <w:t xml:space="preserve"> 195, 200</w:t>
      </w:r>
    </w:p>
  </w:footnote>
  <w:footnote w:id="25">
    <w:p w14:paraId="3F975A84" w14:textId="77777777" w:rsidR="00CC166B" w:rsidRPr="00CA5BEA" w:rsidRDefault="00CC166B" w:rsidP="00CC166B">
      <w:pPr>
        <w:pStyle w:val="FootnoteText"/>
      </w:pPr>
      <w:r w:rsidRPr="00CA5BEA">
        <w:rPr>
          <w:rStyle w:val="FootnoteReference"/>
        </w:rPr>
        <w:footnoteRef/>
      </w:r>
      <w:r w:rsidRPr="00CA5BEA">
        <w:t xml:space="preserve"> Hastings, 'Why corporate power is a public health priority', n 17 supra.</w:t>
      </w:r>
    </w:p>
  </w:footnote>
  <w:footnote w:id="26">
    <w:p w14:paraId="1E270831" w14:textId="77777777" w:rsidR="004F469C" w:rsidRPr="00CA5BEA" w:rsidRDefault="004F469C" w:rsidP="004F469C">
      <w:pPr>
        <w:pStyle w:val="FootnoteText"/>
      </w:pPr>
      <w:r w:rsidRPr="00CA5BEA">
        <w:rPr>
          <w:rStyle w:val="FootnoteReference"/>
        </w:rPr>
        <w:footnoteRef/>
      </w:r>
      <w:r w:rsidRPr="00CA5BEA">
        <w:t xml:space="preserve"> S </w:t>
      </w:r>
      <w:proofErr w:type="spellStart"/>
      <w:r w:rsidRPr="00CA5BEA">
        <w:t>Casswell</w:t>
      </w:r>
      <w:proofErr w:type="spellEnd"/>
      <w:r w:rsidRPr="00CA5BEA">
        <w:t>, ‘Vested interests in addiction research and policy: Why do we not see the corporate interests of the alcohol industry as clearly as we see those of the tobacco industry?’</w:t>
      </w:r>
      <w:r>
        <w:t>,</w:t>
      </w:r>
      <w:r w:rsidRPr="00CA5BEA">
        <w:t xml:space="preserve"> (2013) 108 </w:t>
      </w:r>
      <w:r w:rsidRPr="00C72D06">
        <w:rPr>
          <w:i/>
        </w:rPr>
        <w:t>Addiction</w:t>
      </w:r>
      <w:r w:rsidRPr="00CA5BEA">
        <w:t xml:space="preserve"> 680, 681.</w:t>
      </w:r>
    </w:p>
  </w:footnote>
  <w:footnote w:id="27">
    <w:p w14:paraId="13FC2CF6" w14:textId="7389C98F" w:rsidR="00C72D06" w:rsidRPr="00CA5BEA" w:rsidRDefault="00C72D06" w:rsidP="00C72D06">
      <w:pPr>
        <w:pStyle w:val="FootnoteText"/>
      </w:pPr>
      <w:r w:rsidRPr="00CA5BEA">
        <w:rPr>
          <w:rStyle w:val="FootnoteReference"/>
        </w:rPr>
        <w:footnoteRef/>
      </w:r>
      <w:r w:rsidRPr="00CA5BEA">
        <w:t xml:space="preserve"> See Bartlett and Garde, ‘The EU Platform and EU Forum’, n 23 supra. </w:t>
      </w:r>
    </w:p>
  </w:footnote>
  <w:footnote w:id="28">
    <w:p w14:paraId="4C558ABF" w14:textId="1AF3A4A5" w:rsidR="00C72D06" w:rsidRPr="00CA5BEA" w:rsidRDefault="00C72D06" w:rsidP="00C72D06">
      <w:pPr>
        <w:pStyle w:val="FootnoteText"/>
      </w:pPr>
      <w:r w:rsidRPr="00CA5BEA">
        <w:rPr>
          <w:rStyle w:val="FootnoteReference"/>
        </w:rPr>
        <w:footnoteRef/>
      </w:r>
      <w:r w:rsidRPr="00CA5BEA">
        <w:t xml:space="preserve"> P Anderson et al, ‘Effectiveness and cost-effectiveness of policies and programmes to reduce the harm caused by alcohol’</w:t>
      </w:r>
      <w:r>
        <w:t>, (2009)</w:t>
      </w:r>
      <w:r w:rsidRPr="00CA5BEA">
        <w:t xml:space="preserve"> 373(9682) </w:t>
      </w:r>
      <w:r w:rsidRPr="00C72D06">
        <w:rPr>
          <w:i/>
        </w:rPr>
        <w:t>Lancet</w:t>
      </w:r>
      <w:r w:rsidRPr="00CA5BEA">
        <w:t xml:space="preserve"> 2234</w:t>
      </w:r>
    </w:p>
  </w:footnote>
  <w:footnote w:id="29">
    <w:p w14:paraId="08B88FC4" w14:textId="01FA2550" w:rsidR="00C72D06" w:rsidRPr="00CA5BEA" w:rsidRDefault="00C72D06" w:rsidP="00C72D06">
      <w:pPr>
        <w:pStyle w:val="FootnoteText"/>
      </w:pPr>
      <w:r w:rsidRPr="00CA5BEA">
        <w:rPr>
          <w:rStyle w:val="FootnoteReference"/>
        </w:rPr>
        <w:footnoteRef/>
      </w:r>
      <w:r w:rsidRPr="00CA5BEA">
        <w:t xml:space="preserve"> On this disconnect, see for example </w:t>
      </w:r>
      <w:r w:rsidRPr="00CA5BEA">
        <w:rPr>
          <w:lang w:val="en-US"/>
        </w:rPr>
        <w:t xml:space="preserve">I Ramsay, </w:t>
      </w:r>
      <w:r w:rsidRPr="00CA5BEA">
        <w:rPr>
          <w:i/>
          <w:lang w:val="en-US"/>
        </w:rPr>
        <w:t>Consumer Law and Policy: Text and materials on Regulating Consumer Markets</w:t>
      </w:r>
      <w:r>
        <w:rPr>
          <w:lang w:val="en-US"/>
        </w:rPr>
        <w:t xml:space="preserve"> (</w:t>
      </w:r>
      <w:r w:rsidRPr="00CA5BEA">
        <w:rPr>
          <w:lang w:val="en-US"/>
        </w:rPr>
        <w:t>Hart</w:t>
      </w:r>
      <w:r>
        <w:rPr>
          <w:lang w:val="en-US"/>
        </w:rPr>
        <w:t>,</w:t>
      </w:r>
      <w:r w:rsidRPr="00CA5BEA">
        <w:rPr>
          <w:lang w:val="en-US"/>
        </w:rPr>
        <w:t xml:space="preserve"> 2012)</w:t>
      </w:r>
      <w:r w:rsidRPr="00CA5BEA">
        <w:t xml:space="preserve">. </w:t>
      </w:r>
    </w:p>
  </w:footnote>
  <w:footnote w:id="30">
    <w:p w14:paraId="0390F625" w14:textId="0649BAAA"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N </w:t>
      </w:r>
      <w:proofErr w:type="spellStart"/>
      <w:r w:rsidRPr="00CA5BEA">
        <w:rPr>
          <w:rFonts w:eastAsia="Calibri" w:cs="Calibri"/>
          <w:sz w:val="20"/>
          <w:szCs w:val="20"/>
        </w:rPr>
        <w:t>Malhotra</w:t>
      </w:r>
      <w:proofErr w:type="spellEnd"/>
      <w:r w:rsidRPr="00CA5BEA">
        <w:rPr>
          <w:rFonts w:eastAsia="Calibri" w:cs="Calibri"/>
          <w:sz w:val="20"/>
          <w:szCs w:val="20"/>
        </w:rPr>
        <w:t>, ‘Information load and consumer decision making’</w:t>
      </w:r>
      <w:r>
        <w:rPr>
          <w:rFonts w:eastAsia="Calibri" w:cs="Calibri"/>
          <w:sz w:val="20"/>
          <w:szCs w:val="20"/>
        </w:rPr>
        <w:t>,</w:t>
      </w:r>
      <w:r w:rsidRPr="00CA5BEA">
        <w:rPr>
          <w:rFonts w:eastAsia="Calibri" w:cs="Calibri"/>
          <w:sz w:val="20"/>
          <w:szCs w:val="20"/>
        </w:rPr>
        <w:t xml:space="preserve"> (1982) 8(4) </w:t>
      </w:r>
      <w:r w:rsidRPr="00C72D06">
        <w:rPr>
          <w:rFonts w:eastAsia="Calibri" w:cs="Calibri"/>
          <w:i/>
          <w:sz w:val="20"/>
          <w:szCs w:val="20"/>
        </w:rPr>
        <w:t>Journal of Consumer Research</w:t>
      </w:r>
      <w:r w:rsidRPr="00CA5BEA">
        <w:rPr>
          <w:rFonts w:eastAsia="Calibri" w:cs="Calibri"/>
          <w:sz w:val="20"/>
          <w:szCs w:val="20"/>
        </w:rPr>
        <w:t xml:space="preserve"> 419, 419</w:t>
      </w:r>
    </w:p>
  </w:footnote>
  <w:footnote w:id="31">
    <w:p w14:paraId="78473958" w14:textId="558AC65A" w:rsidR="00C72D06" w:rsidRPr="00CA5BEA" w:rsidRDefault="00C72D06" w:rsidP="00C72D06">
      <w:pPr>
        <w:pStyle w:val="FootnoteText"/>
      </w:pPr>
      <w:r w:rsidRPr="00CA5BEA">
        <w:rPr>
          <w:rStyle w:val="FootnoteReference"/>
        </w:rPr>
        <w:footnoteRef/>
      </w:r>
      <w:r w:rsidRPr="00CA5BEA">
        <w:t xml:space="preserve"> Term first coined by Herbert Simon in: H Simon, ‘A behavioural model of rational choice’</w:t>
      </w:r>
      <w:r>
        <w:t>,</w:t>
      </w:r>
      <w:r w:rsidRPr="00CA5BEA">
        <w:t xml:space="preserve"> (1955) 69(1) </w:t>
      </w:r>
      <w:r w:rsidRPr="00C72D06">
        <w:rPr>
          <w:i/>
        </w:rPr>
        <w:t>Quarterly Journal of Economics</w:t>
      </w:r>
      <w:r w:rsidRPr="00CA5BEA">
        <w:t xml:space="preserve"> 99, </w:t>
      </w:r>
      <w:r w:rsidRPr="00CA5BEA">
        <w:rPr>
          <w:lang w:val="en-US"/>
        </w:rPr>
        <w:t>104</w:t>
      </w:r>
      <w:r w:rsidRPr="00CA5BEA">
        <w:t xml:space="preserve"> </w:t>
      </w:r>
    </w:p>
  </w:footnote>
  <w:footnote w:id="32">
    <w:p w14:paraId="7736C62D" w14:textId="77777777" w:rsidR="00CC166B" w:rsidRPr="00CA5BEA" w:rsidRDefault="00CC166B" w:rsidP="00CC166B">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G </w:t>
      </w:r>
      <w:proofErr w:type="spellStart"/>
      <w:r w:rsidRPr="00CA5BEA">
        <w:rPr>
          <w:rFonts w:eastAsia="Calibri" w:cs="Calibri"/>
          <w:sz w:val="20"/>
          <w:szCs w:val="20"/>
        </w:rPr>
        <w:t>Gigerenzer</w:t>
      </w:r>
      <w:proofErr w:type="spellEnd"/>
      <w:r w:rsidRPr="00CA5BEA">
        <w:rPr>
          <w:rFonts w:eastAsia="Calibri" w:cs="Calibri"/>
          <w:sz w:val="20"/>
          <w:szCs w:val="20"/>
        </w:rPr>
        <w:t xml:space="preserve"> and W </w:t>
      </w:r>
      <w:proofErr w:type="spellStart"/>
      <w:r w:rsidRPr="00CA5BEA">
        <w:rPr>
          <w:rFonts w:eastAsia="Calibri" w:cs="Calibri"/>
          <w:sz w:val="20"/>
          <w:szCs w:val="20"/>
        </w:rPr>
        <w:t>Gaissmaier</w:t>
      </w:r>
      <w:proofErr w:type="spellEnd"/>
      <w:r w:rsidRPr="00CA5BEA">
        <w:rPr>
          <w:rFonts w:eastAsia="Calibri" w:cs="Calibri"/>
          <w:sz w:val="20"/>
          <w:szCs w:val="20"/>
        </w:rPr>
        <w:t>, ‘Heuristic decision making’</w:t>
      </w:r>
      <w:r>
        <w:rPr>
          <w:rFonts w:eastAsia="Calibri" w:cs="Calibri"/>
          <w:sz w:val="20"/>
          <w:szCs w:val="20"/>
        </w:rPr>
        <w:t>,</w:t>
      </w:r>
      <w:r w:rsidRPr="00CA5BEA">
        <w:rPr>
          <w:rFonts w:eastAsia="Calibri" w:cs="Calibri"/>
          <w:sz w:val="20"/>
          <w:szCs w:val="20"/>
        </w:rPr>
        <w:t xml:space="preserve"> (2011) 62 </w:t>
      </w:r>
      <w:r w:rsidRPr="00C72D06">
        <w:rPr>
          <w:rFonts w:eastAsia="Calibri" w:cs="Calibri"/>
          <w:i/>
          <w:sz w:val="20"/>
          <w:szCs w:val="20"/>
        </w:rPr>
        <w:t>Annual Review of Psychology</w:t>
      </w:r>
      <w:r w:rsidRPr="00CA5BEA">
        <w:rPr>
          <w:rFonts w:eastAsia="Calibri" w:cs="Calibri"/>
          <w:sz w:val="20"/>
          <w:szCs w:val="20"/>
        </w:rPr>
        <w:t xml:space="preserve"> 451, 454</w:t>
      </w:r>
    </w:p>
  </w:footnote>
  <w:footnote w:id="33">
    <w:p w14:paraId="0B5DB47F" w14:textId="77777777" w:rsidR="00CC166B" w:rsidRPr="00CA5BEA" w:rsidRDefault="00CC166B" w:rsidP="00CC166B">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J </w:t>
      </w:r>
      <w:proofErr w:type="spellStart"/>
      <w:r w:rsidRPr="00CA5BEA">
        <w:rPr>
          <w:rFonts w:eastAsia="Calibri" w:cs="Calibri"/>
          <w:sz w:val="20"/>
          <w:szCs w:val="20"/>
        </w:rPr>
        <w:t>Rachlinski</w:t>
      </w:r>
      <w:proofErr w:type="spellEnd"/>
      <w:r w:rsidRPr="00CA5BEA">
        <w:rPr>
          <w:rFonts w:eastAsia="Calibri" w:cs="Calibri"/>
          <w:sz w:val="20"/>
          <w:szCs w:val="20"/>
        </w:rPr>
        <w:t>, ‘The uncertain psychological case for paternalism’</w:t>
      </w:r>
      <w:r>
        <w:rPr>
          <w:rFonts w:eastAsia="Calibri" w:cs="Calibri"/>
          <w:sz w:val="20"/>
          <w:szCs w:val="20"/>
        </w:rPr>
        <w:t>,</w:t>
      </w:r>
      <w:r w:rsidRPr="00CA5BEA">
        <w:rPr>
          <w:rFonts w:eastAsia="Calibri" w:cs="Calibri"/>
          <w:sz w:val="20"/>
          <w:szCs w:val="20"/>
        </w:rPr>
        <w:t xml:space="preserve"> (2003) 97(3) </w:t>
      </w:r>
      <w:r w:rsidRPr="00C72D06">
        <w:rPr>
          <w:rFonts w:eastAsia="Calibri" w:cs="Calibri"/>
          <w:i/>
          <w:sz w:val="20"/>
          <w:szCs w:val="20"/>
        </w:rPr>
        <w:t>Northwestern University Law Review</w:t>
      </w:r>
      <w:r w:rsidRPr="00CA5BEA">
        <w:rPr>
          <w:rFonts w:eastAsia="Calibri" w:cs="Calibri"/>
          <w:sz w:val="20"/>
          <w:szCs w:val="20"/>
        </w:rPr>
        <w:t xml:space="preserve"> 1165, 1168</w:t>
      </w:r>
    </w:p>
  </w:footnote>
  <w:footnote w:id="34">
    <w:p w14:paraId="4FE823FD" w14:textId="47E8462F"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N Reich, ‘Crisis or Future of European Consumer Law?’ in D Parry et al (</w:t>
      </w:r>
      <w:proofErr w:type="spellStart"/>
      <w:r w:rsidRPr="00CA5BEA">
        <w:rPr>
          <w:rFonts w:eastAsia="Calibri" w:cs="Calibri"/>
          <w:sz w:val="20"/>
          <w:szCs w:val="20"/>
        </w:rPr>
        <w:t>eds</w:t>
      </w:r>
      <w:proofErr w:type="spellEnd"/>
      <w:r w:rsidRPr="00CA5BEA">
        <w:rPr>
          <w:rFonts w:eastAsia="Calibri" w:cs="Calibri"/>
          <w:sz w:val="20"/>
          <w:szCs w:val="20"/>
        </w:rPr>
        <w:t xml:space="preserve">), </w:t>
      </w:r>
      <w:r w:rsidRPr="00CA5BEA">
        <w:rPr>
          <w:rFonts w:eastAsia="Calibri" w:cs="Calibri"/>
          <w:i/>
          <w:sz w:val="20"/>
          <w:szCs w:val="20"/>
        </w:rPr>
        <w:t xml:space="preserve">The Yearbook of Consumer Law 2009 </w:t>
      </w:r>
      <w:r w:rsidRPr="00CA5BEA">
        <w:rPr>
          <w:rFonts w:eastAsia="Calibri" w:cs="Calibri"/>
          <w:sz w:val="20"/>
          <w:szCs w:val="20"/>
        </w:rPr>
        <w:t>(</w:t>
      </w:r>
      <w:proofErr w:type="spellStart"/>
      <w:r w:rsidRPr="00CA5BEA">
        <w:rPr>
          <w:rFonts w:eastAsia="Calibri" w:cs="Calibri"/>
          <w:sz w:val="20"/>
          <w:szCs w:val="20"/>
        </w:rPr>
        <w:t>Ashgate</w:t>
      </w:r>
      <w:proofErr w:type="spellEnd"/>
      <w:r w:rsidRPr="00CA5BEA">
        <w:rPr>
          <w:rFonts w:eastAsia="Calibri" w:cs="Calibri"/>
          <w:sz w:val="20"/>
          <w:szCs w:val="20"/>
        </w:rPr>
        <w:t>, 2008), 9.</w:t>
      </w:r>
    </w:p>
  </w:footnote>
  <w:footnote w:id="35">
    <w:p w14:paraId="6B3FA4B5" w14:textId="34D94A99" w:rsidR="00C72D06" w:rsidRPr="00BA5709" w:rsidRDefault="00C72D06" w:rsidP="00C72D06">
      <w:pPr>
        <w:autoSpaceDE w:val="0"/>
        <w:autoSpaceDN w:val="0"/>
        <w:adjustRightInd w:val="0"/>
        <w:spacing w:after="0"/>
        <w:rPr>
          <w:color w:val="000000" w:themeColor="text1"/>
          <w:sz w:val="20"/>
          <w:szCs w:val="20"/>
        </w:rPr>
      </w:pPr>
      <w:r w:rsidRPr="00CA5BEA">
        <w:rPr>
          <w:rFonts w:eastAsia="Calibri" w:cs="Calibri"/>
          <w:sz w:val="20"/>
          <w:szCs w:val="20"/>
          <w:vertAlign w:val="superscript"/>
        </w:rPr>
        <w:footnoteRef/>
      </w:r>
      <w:r w:rsidRPr="00CA5BEA">
        <w:rPr>
          <w:rFonts w:eastAsia="Calibri" w:cs="Calibri"/>
          <w:sz w:val="20"/>
          <w:szCs w:val="20"/>
        </w:rPr>
        <w:t xml:space="preserve"> </w:t>
      </w:r>
      <w:r w:rsidRPr="00CA5BEA">
        <w:rPr>
          <w:sz w:val="20"/>
          <w:szCs w:val="20"/>
        </w:rPr>
        <w:t>G Howells, ‘The potential and limits of consumer empowerment by information’</w:t>
      </w:r>
      <w:r>
        <w:rPr>
          <w:sz w:val="20"/>
          <w:szCs w:val="20"/>
        </w:rPr>
        <w:t>,</w:t>
      </w:r>
      <w:r w:rsidRPr="00CA5BEA">
        <w:rPr>
          <w:sz w:val="20"/>
          <w:szCs w:val="20"/>
        </w:rPr>
        <w:t xml:space="preserve"> (2005) 32(3) </w:t>
      </w:r>
      <w:r w:rsidRPr="00BA5709">
        <w:rPr>
          <w:i/>
          <w:color w:val="000000" w:themeColor="text1"/>
          <w:sz w:val="20"/>
          <w:szCs w:val="20"/>
        </w:rPr>
        <w:t>Journal of Law and Society</w:t>
      </w:r>
      <w:r w:rsidRPr="00BA5709">
        <w:rPr>
          <w:color w:val="000000" w:themeColor="text1"/>
          <w:sz w:val="20"/>
          <w:szCs w:val="20"/>
        </w:rPr>
        <w:t xml:space="preserve"> 349, </w:t>
      </w:r>
      <w:r w:rsidRPr="00BA5709">
        <w:rPr>
          <w:rFonts w:eastAsia="Calibri" w:cs="Calibri"/>
          <w:color w:val="000000" w:themeColor="text1"/>
          <w:sz w:val="20"/>
          <w:szCs w:val="20"/>
        </w:rPr>
        <w:t>356</w:t>
      </w:r>
    </w:p>
  </w:footnote>
  <w:footnote w:id="36">
    <w:p w14:paraId="77CB2C43" w14:textId="12E2077F" w:rsidR="00C61EC5" w:rsidRPr="00BA5709" w:rsidRDefault="00C61EC5">
      <w:pPr>
        <w:pStyle w:val="FootnoteText"/>
        <w:rPr>
          <w:color w:val="000000" w:themeColor="text1"/>
        </w:rPr>
      </w:pPr>
      <w:r w:rsidRPr="00BA5709">
        <w:rPr>
          <w:rStyle w:val="FootnoteReference"/>
          <w:color w:val="000000" w:themeColor="text1"/>
        </w:rPr>
        <w:footnoteRef/>
      </w:r>
      <w:r w:rsidRPr="00BA5709">
        <w:rPr>
          <w:color w:val="000000" w:themeColor="text1"/>
        </w:rPr>
        <w:t xml:space="preserve"> </w:t>
      </w:r>
      <w:r w:rsidR="0025758E" w:rsidRPr="00BA5709">
        <w:rPr>
          <w:color w:val="000000" w:themeColor="text1"/>
        </w:rPr>
        <w:t xml:space="preserve">A </w:t>
      </w:r>
      <w:proofErr w:type="spellStart"/>
      <w:r w:rsidR="0025758E" w:rsidRPr="00BA5709">
        <w:rPr>
          <w:color w:val="000000" w:themeColor="text1"/>
        </w:rPr>
        <w:t>Alemanno</w:t>
      </w:r>
      <w:proofErr w:type="spellEnd"/>
      <w:r w:rsidR="0025758E" w:rsidRPr="00BA5709">
        <w:rPr>
          <w:color w:val="000000" w:themeColor="text1"/>
        </w:rPr>
        <w:t xml:space="preserve"> and A </w:t>
      </w:r>
      <w:proofErr w:type="spellStart"/>
      <w:r w:rsidR="0025758E" w:rsidRPr="00BA5709">
        <w:rPr>
          <w:color w:val="000000" w:themeColor="text1"/>
        </w:rPr>
        <w:t>Garde</w:t>
      </w:r>
      <w:proofErr w:type="spellEnd"/>
      <w:r w:rsidR="0025758E" w:rsidRPr="00BA5709">
        <w:rPr>
          <w:color w:val="000000" w:themeColor="text1"/>
        </w:rPr>
        <w:t>, ‘</w:t>
      </w:r>
      <w:r w:rsidR="00A27E43" w:rsidRPr="00BA5709">
        <w:rPr>
          <w:color w:val="000000" w:themeColor="text1"/>
        </w:rPr>
        <w:t xml:space="preserve">The emergence of an EU lifestyle policy: </w:t>
      </w:r>
      <w:r w:rsidR="009B27D4" w:rsidRPr="00BA5709">
        <w:rPr>
          <w:color w:val="000000" w:themeColor="text1"/>
        </w:rPr>
        <w:t>The case of alcohol, tobacco and unhealthy diets’</w:t>
      </w:r>
      <w:r w:rsidR="00F320A2">
        <w:rPr>
          <w:color w:val="000000" w:themeColor="text1"/>
          <w:lang w:val="en-US"/>
        </w:rPr>
        <w:t>,</w:t>
      </w:r>
      <w:r w:rsidR="009B27D4" w:rsidRPr="00BA5709">
        <w:rPr>
          <w:color w:val="000000" w:themeColor="text1"/>
        </w:rPr>
        <w:t xml:space="preserve"> </w:t>
      </w:r>
      <w:r w:rsidR="00CA19BF" w:rsidRPr="00BA5709">
        <w:rPr>
          <w:color w:val="000000" w:themeColor="text1"/>
        </w:rPr>
        <w:t xml:space="preserve">(2013) </w:t>
      </w:r>
      <w:r w:rsidR="00BA5709" w:rsidRPr="00BA5709">
        <w:rPr>
          <w:color w:val="000000" w:themeColor="text1"/>
        </w:rPr>
        <w:t xml:space="preserve">50 </w:t>
      </w:r>
      <w:r w:rsidR="00BA5709" w:rsidRPr="00BA5709">
        <w:rPr>
          <w:i/>
          <w:color w:val="000000" w:themeColor="text1"/>
        </w:rPr>
        <w:t>Common Market Law Review</w:t>
      </w:r>
      <w:r w:rsidR="00BA5709" w:rsidRPr="00BA5709">
        <w:rPr>
          <w:color w:val="000000" w:themeColor="text1"/>
        </w:rPr>
        <w:t xml:space="preserve"> 1745</w:t>
      </w:r>
    </w:p>
  </w:footnote>
  <w:footnote w:id="37">
    <w:p w14:paraId="08DBDDEE" w14:textId="336FC878" w:rsidR="00C72D06" w:rsidRPr="00CA5BEA" w:rsidRDefault="00C72D06" w:rsidP="00C72D06">
      <w:pPr>
        <w:pStyle w:val="FootnoteText"/>
      </w:pPr>
      <w:r w:rsidRPr="00CA5BEA">
        <w:rPr>
          <w:rStyle w:val="FootnoteReference"/>
        </w:rPr>
        <w:footnoteRef/>
      </w:r>
      <w:r w:rsidRPr="00CA5BEA">
        <w:t xml:space="preserve"> C Cochran and E Malone, </w:t>
      </w:r>
      <w:r w:rsidRPr="00CA5BEA">
        <w:rPr>
          <w:i/>
        </w:rPr>
        <w:t>Public Policy: Perspectives and Choices</w:t>
      </w:r>
      <w:r>
        <w:t xml:space="preserve"> </w:t>
      </w:r>
      <w:r w:rsidRPr="00CA5BEA">
        <w:t xml:space="preserve">(Lynne </w:t>
      </w:r>
      <w:proofErr w:type="spellStart"/>
      <w:r w:rsidRPr="00CA5BEA">
        <w:t>Rienner</w:t>
      </w:r>
      <w:proofErr w:type="spellEnd"/>
      <w:r>
        <w:t>, 4</w:t>
      </w:r>
      <w:r w:rsidRPr="00C72D06">
        <w:rPr>
          <w:vertAlign w:val="superscript"/>
        </w:rPr>
        <w:t>th</w:t>
      </w:r>
      <w:r>
        <w:t xml:space="preserve"> </w:t>
      </w:r>
      <w:proofErr w:type="spellStart"/>
      <w:r>
        <w:t>edn</w:t>
      </w:r>
      <w:proofErr w:type="spellEnd"/>
      <w:r>
        <w:t>,</w:t>
      </w:r>
      <w:r w:rsidRPr="00CA5BEA">
        <w:t xml:space="preserve"> 2010), 80. </w:t>
      </w:r>
    </w:p>
  </w:footnote>
  <w:footnote w:id="38">
    <w:p w14:paraId="75DDB7A5" w14:textId="626A81A1" w:rsidR="00C72D06" w:rsidRPr="00CA5BEA" w:rsidRDefault="00C72D06" w:rsidP="00C72D06">
      <w:pPr>
        <w:pStyle w:val="FootnoteText"/>
      </w:pPr>
      <w:r w:rsidRPr="00CA5BEA">
        <w:rPr>
          <w:rStyle w:val="FootnoteReference"/>
        </w:rPr>
        <w:footnoteRef/>
      </w:r>
      <w:r w:rsidRPr="00CA5BEA">
        <w:t xml:space="preserve"> J Campbell, ‘Institutional analysis and the role of ideas in political economy’</w:t>
      </w:r>
      <w:r>
        <w:t>,</w:t>
      </w:r>
      <w:r w:rsidRPr="00CA5BEA">
        <w:t xml:space="preserve"> (1998) 27 </w:t>
      </w:r>
      <w:r w:rsidRPr="00C72D06">
        <w:rPr>
          <w:i/>
        </w:rPr>
        <w:t xml:space="preserve">Theory and Society </w:t>
      </w:r>
      <w:r w:rsidRPr="00CA5BEA">
        <w:t>377, 377</w:t>
      </w:r>
    </w:p>
  </w:footnote>
  <w:footnote w:id="39">
    <w:p w14:paraId="51820D01" w14:textId="05FEFDAC" w:rsidR="00C72D06" w:rsidRPr="00CA5BEA" w:rsidRDefault="00C72D06" w:rsidP="00C72D06">
      <w:pPr>
        <w:pStyle w:val="FootnoteText"/>
      </w:pPr>
      <w:r w:rsidRPr="00CA5BEA">
        <w:rPr>
          <w:rStyle w:val="FootnoteReference"/>
        </w:rPr>
        <w:footnoteRef/>
      </w:r>
      <w:r w:rsidRPr="00CA5BEA">
        <w:t xml:space="preserve"> Hall, ‘Policy paradigms, Social Learning, and the State’</w:t>
      </w:r>
      <w:r>
        <w:t>,</w:t>
      </w:r>
      <w:r w:rsidR="00A959F8">
        <w:t xml:space="preserve"> n 5 </w:t>
      </w:r>
      <w:r w:rsidRPr="00CA5BEA">
        <w:t>supra, 281.</w:t>
      </w:r>
    </w:p>
  </w:footnote>
  <w:footnote w:id="40">
    <w:p w14:paraId="0539BB61" w14:textId="181BCDFC" w:rsidR="00C72D06" w:rsidRPr="00CA5BEA" w:rsidRDefault="00C72D06" w:rsidP="00C72D06">
      <w:pPr>
        <w:pStyle w:val="FootnoteText"/>
      </w:pPr>
      <w:r w:rsidRPr="00CA5BEA">
        <w:rPr>
          <w:rStyle w:val="FootnoteReference"/>
        </w:rPr>
        <w:footnoteRef/>
      </w:r>
      <w:r w:rsidRPr="00CA5BEA">
        <w:t xml:space="preserve"> </w:t>
      </w:r>
      <w:r w:rsidRPr="00CA5BEA">
        <w:rPr>
          <w:i/>
        </w:rPr>
        <w:t>ibid</w:t>
      </w:r>
      <w:r w:rsidRPr="00CA5BEA">
        <w:t xml:space="preserve">, 291. </w:t>
      </w:r>
    </w:p>
  </w:footnote>
  <w:footnote w:id="41">
    <w:p w14:paraId="3DA85988" w14:textId="68475BB7" w:rsidR="00C72D06" w:rsidRPr="00CA5BEA" w:rsidRDefault="00C72D06" w:rsidP="00C72D06">
      <w:pPr>
        <w:pStyle w:val="FootnoteText"/>
      </w:pPr>
      <w:r w:rsidRPr="00CA5BEA">
        <w:rPr>
          <w:rStyle w:val="FootnoteReference"/>
        </w:rPr>
        <w:footnoteRef/>
      </w:r>
      <w:r w:rsidRPr="00CA5BEA">
        <w:t xml:space="preserve"> Campbell, ‘</w:t>
      </w:r>
      <w:r>
        <w:t>Institutional analysis</w:t>
      </w:r>
      <w:r w:rsidR="00A959F8">
        <w:t>’, n38</w:t>
      </w:r>
      <w:r w:rsidRPr="00CA5BEA">
        <w:t xml:space="preserve"> supra, 384. </w:t>
      </w:r>
    </w:p>
  </w:footnote>
  <w:footnote w:id="42">
    <w:p w14:paraId="7E7F8F7E" w14:textId="6BA39F4A" w:rsidR="00C72D06" w:rsidRPr="00CA5BEA" w:rsidRDefault="00C72D06" w:rsidP="00C72D06">
      <w:pPr>
        <w:pStyle w:val="FootnoteText"/>
      </w:pPr>
      <w:r w:rsidRPr="00CA5BEA">
        <w:rPr>
          <w:rStyle w:val="FootnoteReference"/>
        </w:rPr>
        <w:footnoteRef/>
      </w:r>
      <w:r w:rsidRPr="00CA5BEA">
        <w:t xml:space="preserve"> Campbel</w:t>
      </w:r>
      <w:r w:rsidR="00A959F8">
        <w:t>l, ‘Institutional analysis’, n38</w:t>
      </w:r>
      <w:r w:rsidRPr="00CA5BEA">
        <w:t xml:space="preserve"> supra, 384.</w:t>
      </w:r>
    </w:p>
  </w:footnote>
  <w:footnote w:id="43">
    <w:p w14:paraId="7EB0D3D9" w14:textId="725B2642" w:rsidR="00C72D06" w:rsidRPr="00CA5BEA" w:rsidRDefault="00C72D06" w:rsidP="00C72D06">
      <w:pPr>
        <w:pStyle w:val="FootnoteText"/>
      </w:pPr>
      <w:r w:rsidRPr="00CA5BEA">
        <w:rPr>
          <w:rStyle w:val="FootnoteReference"/>
        </w:rPr>
        <w:footnoteRef/>
      </w:r>
      <w:r w:rsidRPr="00CA5BEA">
        <w:t xml:space="preserve"> Campbel</w:t>
      </w:r>
      <w:r w:rsidR="00A959F8">
        <w:t>l, ‘Institutional analysis’, n38</w:t>
      </w:r>
      <w:r w:rsidRPr="00CA5BEA">
        <w:t xml:space="preserve"> supra, 384.</w:t>
      </w:r>
    </w:p>
  </w:footnote>
  <w:footnote w:id="44">
    <w:p w14:paraId="60BC2E6E" w14:textId="446E7C64" w:rsidR="00C72D06" w:rsidRPr="00CA5BEA" w:rsidRDefault="00C72D06" w:rsidP="00C72D06">
      <w:pPr>
        <w:pStyle w:val="FootnoteText"/>
      </w:pPr>
      <w:r w:rsidRPr="00CA5BEA">
        <w:rPr>
          <w:rStyle w:val="FootnoteReference"/>
        </w:rPr>
        <w:footnoteRef/>
      </w:r>
      <w:r w:rsidRPr="00CA5BEA">
        <w:t xml:space="preserve"> Campbel</w:t>
      </w:r>
      <w:r w:rsidR="00A959F8">
        <w:t>l, ‘Institutional analysis’, n38</w:t>
      </w:r>
      <w:r w:rsidRPr="00CA5BEA">
        <w:t xml:space="preserve"> supra, 385</w:t>
      </w:r>
    </w:p>
  </w:footnote>
  <w:footnote w:id="45">
    <w:p w14:paraId="796A3503" w14:textId="068B51F2" w:rsidR="00C72D06" w:rsidRPr="00CA5BEA" w:rsidRDefault="00C72D06" w:rsidP="00C72D06">
      <w:pPr>
        <w:pStyle w:val="FootnoteText"/>
      </w:pPr>
      <w:r w:rsidRPr="00CA5BEA">
        <w:rPr>
          <w:rStyle w:val="FootnoteReference"/>
        </w:rPr>
        <w:footnoteRef/>
      </w:r>
      <w:r w:rsidRPr="00CA5BEA">
        <w:t xml:space="preserve"> J Dean and M </w:t>
      </w:r>
      <w:proofErr w:type="spellStart"/>
      <w:r w:rsidRPr="00CA5BEA">
        <w:t>Sharfman</w:t>
      </w:r>
      <w:proofErr w:type="spellEnd"/>
      <w:r w:rsidRPr="00CA5BEA">
        <w:t>, ‘The Relationship between Procedural Rationality and Political Behaviour in Strategic Decision Making’</w:t>
      </w:r>
      <w:r>
        <w:t>,</w:t>
      </w:r>
      <w:r w:rsidRPr="00CA5BEA">
        <w:t xml:space="preserve"> (1993) 24(6) </w:t>
      </w:r>
      <w:r w:rsidRPr="00C72D06">
        <w:rPr>
          <w:i/>
        </w:rPr>
        <w:t>Decision Sciences</w:t>
      </w:r>
      <w:r w:rsidRPr="00CA5BEA">
        <w:t xml:space="preserve"> 1069, 1071</w:t>
      </w:r>
    </w:p>
  </w:footnote>
  <w:footnote w:id="46">
    <w:p w14:paraId="5D3DB8C1" w14:textId="6B64B39D" w:rsidR="008A6501" w:rsidRDefault="008A6501">
      <w:pPr>
        <w:pStyle w:val="FootnoteText"/>
      </w:pPr>
      <w:r>
        <w:rPr>
          <w:rStyle w:val="FootnoteReference"/>
        </w:rPr>
        <w:footnoteRef/>
      </w:r>
      <w:r>
        <w:t xml:space="preserve"> </w:t>
      </w:r>
      <w:r w:rsidR="00617425">
        <w:t>J McCambridge et al, ‘Industry use of evidence to influence alcohol policy: A case study of submissions to the 2008 Scottish Government Consultation’, (2013)</w:t>
      </w:r>
      <w:r w:rsidR="00C14A6B">
        <w:t xml:space="preserve"> 10(4)</w:t>
      </w:r>
      <w:r w:rsidR="00617425">
        <w:t xml:space="preserve"> </w:t>
      </w:r>
      <w:r w:rsidR="00C14A6B" w:rsidRPr="00C14A6B">
        <w:rPr>
          <w:i/>
        </w:rPr>
        <w:t>PLoS Medicine</w:t>
      </w:r>
      <w:r w:rsidR="00170C28">
        <w:t xml:space="preserve"> e 100143; </w:t>
      </w:r>
      <w:r w:rsidR="00170C28" w:rsidRPr="00CA5BEA">
        <w:t>R Moodie et al, ‘Profits and pandemics: prevention of harmful effects of tobacco, alcohol, and ultra-processed food and drink industries’</w:t>
      </w:r>
      <w:r w:rsidR="00170C28">
        <w:t>,</w:t>
      </w:r>
      <w:r w:rsidR="00170C28" w:rsidRPr="00CA5BEA">
        <w:t xml:space="preserve"> (2013) 381 </w:t>
      </w:r>
      <w:r w:rsidR="00170C28" w:rsidRPr="00C72D06">
        <w:rPr>
          <w:i/>
        </w:rPr>
        <w:t>Lancet</w:t>
      </w:r>
      <w:r w:rsidR="00170C28" w:rsidRPr="00CA5BEA">
        <w:t xml:space="preserve"> 670, 673.</w:t>
      </w:r>
    </w:p>
  </w:footnote>
  <w:footnote w:id="47">
    <w:p w14:paraId="04B31D0F" w14:textId="64F8C2FB" w:rsidR="00C72D06" w:rsidRPr="00CA5BEA" w:rsidRDefault="00C72D06" w:rsidP="00C72D06">
      <w:pPr>
        <w:pStyle w:val="FootnoteText"/>
      </w:pPr>
      <w:r w:rsidRPr="00CA5BEA">
        <w:rPr>
          <w:rStyle w:val="FootnoteReference"/>
        </w:rPr>
        <w:footnoteRef/>
      </w:r>
      <w:r w:rsidRPr="00CA5BEA">
        <w:t xml:space="preserve"> </w:t>
      </w:r>
      <w:proofErr w:type="spellStart"/>
      <w:r w:rsidRPr="00CA5BEA">
        <w:t>Kørnøv</w:t>
      </w:r>
      <w:proofErr w:type="spellEnd"/>
      <w:r w:rsidRPr="00CA5BEA">
        <w:t xml:space="preserve"> and </w:t>
      </w:r>
      <w:proofErr w:type="spellStart"/>
      <w:r w:rsidRPr="00CA5BEA">
        <w:t>Thissen</w:t>
      </w:r>
      <w:proofErr w:type="spellEnd"/>
      <w:r w:rsidRPr="00CA5BEA">
        <w:t xml:space="preserve">, ‘Rationality in decision- and policy-making’, n 2 supra, </w:t>
      </w:r>
      <w:r w:rsidRPr="00CA5BEA">
        <w:rPr>
          <w:lang w:val="en-US"/>
        </w:rPr>
        <w:t>193</w:t>
      </w:r>
    </w:p>
  </w:footnote>
  <w:footnote w:id="48">
    <w:p w14:paraId="666E89B6" w14:textId="6BD73571" w:rsidR="00C72D06" w:rsidRPr="00CA5BEA" w:rsidRDefault="00C72D06" w:rsidP="00C72D06">
      <w:pPr>
        <w:pStyle w:val="FootnoteText"/>
        <w:rPr>
          <w:lang w:val="en-US"/>
        </w:rPr>
      </w:pPr>
      <w:r w:rsidRPr="00CA5BEA">
        <w:rPr>
          <w:rStyle w:val="FootnoteReference"/>
        </w:rPr>
        <w:footnoteRef/>
      </w:r>
      <w:r w:rsidRPr="00CA5BEA">
        <w:t xml:space="preserve"> </w:t>
      </w:r>
      <w:proofErr w:type="spellStart"/>
      <w:r w:rsidRPr="00CA5BEA">
        <w:t>Kørnøv</w:t>
      </w:r>
      <w:proofErr w:type="spellEnd"/>
      <w:r w:rsidRPr="00CA5BEA">
        <w:t xml:space="preserve"> and </w:t>
      </w:r>
      <w:proofErr w:type="spellStart"/>
      <w:r w:rsidRPr="00CA5BEA">
        <w:t>Thissen</w:t>
      </w:r>
      <w:proofErr w:type="spellEnd"/>
      <w:r w:rsidRPr="00CA5BEA">
        <w:t xml:space="preserve">, ‘Rationality in decision- and policy-making’, n 2 supra, </w:t>
      </w:r>
      <w:r w:rsidRPr="00CA5BEA">
        <w:rPr>
          <w:lang w:val="en-US"/>
        </w:rPr>
        <w:t>193</w:t>
      </w:r>
    </w:p>
  </w:footnote>
  <w:footnote w:id="49">
    <w:p w14:paraId="39A5ECF9" w14:textId="7EC258B1" w:rsidR="00C72D06" w:rsidRPr="00CA5BEA" w:rsidRDefault="00C72D06" w:rsidP="00C72D06">
      <w:pPr>
        <w:pStyle w:val="FootnoteText"/>
        <w:rPr>
          <w:lang w:val="en-US"/>
        </w:rPr>
      </w:pPr>
      <w:r w:rsidRPr="00CA5BEA">
        <w:rPr>
          <w:rStyle w:val="FootnoteReference"/>
        </w:rPr>
        <w:footnoteRef/>
      </w:r>
      <w:r w:rsidRPr="00CA5BEA">
        <w:t xml:space="preserve"> Howells, ‘</w:t>
      </w:r>
      <w:r>
        <w:t>Consumer</w:t>
      </w:r>
      <w:r w:rsidRPr="00CA5BEA">
        <w:t xml:space="preserve"> empowerment by information’</w:t>
      </w:r>
      <w:r>
        <w:t>,</w:t>
      </w:r>
      <w:r w:rsidRPr="00CA5BEA">
        <w:t xml:space="preserve"> n 33 supra, 350</w:t>
      </w:r>
    </w:p>
  </w:footnote>
  <w:footnote w:id="50">
    <w:p w14:paraId="2D80EED7" w14:textId="4B6C328C" w:rsidR="00C72D06" w:rsidRPr="00CA5BEA" w:rsidRDefault="00C72D06" w:rsidP="00C72D06">
      <w:pPr>
        <w:pStyle w:val="FootnoteText"/>
        <w:rPr>
          <w:lang w:val="en-US"/>
        </w:rPr>
      </w:pPr>
      <w:r w:rsidRPr="00CA5BEA">
        <w:rPr>
          <w:rStyle w:val="FootnoteReference"/>
        </w:rPr>
        <w:footnoteRef/>
      </w:r>
      <w:r w:rsidRPr="00CA5BEA">
        <w:t xml:space="preserve"> </w:t>
      </w:r>
      <w:proofErr w:type="spellStart"/>
      <w:r w:rsidRPr="00CA5BEA">
        <w:t>Kørnøv</w:t>
      </w:r>
      <w:proofErr w:type="spellEnd"/>
      <w:r w:rsidRPr="00CA5BEA">
        <w:t xml:space="preserve"> and </w:t>
      </w:r>
      <w:proofErr w:type="spellStart"/>
      <w:r w:rsidRPr="00CA5BEA">
        <w:t>Thissen</w:t>
      </w:r>
      <w:proofErr w:type="spellEnd"/>
      <w:r w:rsidRPr="00CA5BEA">
        <w:t xml:space="preserve">, ‘Rationality in decision- and policy-making’, n 2 supra, </w:t>
      </w:r>
      <w:r w:rsidRPr="00CA5BEA">
        <w:rPr>
          <w:lang w:val="en-US"/>
        </w:rPr>
        <w:t>196</w:t>
      </w:r>
    </w:p>
  </w:footnote>
  <w:footnote w:id="51">
    <w:p w14:paraId="7ED262BA" w14:textId="141ED9BB" w:rsidR="00C72D06" w:rsidRPr="00CA5BEA" w:rsidRDefault="00C72D06" w:rsidP="00C72D06">
      <w:pPr>
        <w:pStyle w:val="FootnoteText"/>
      </w:pPr>
      <w:r w:rsidRPr="00CA5BEA">
        <w:rPr>
          <w:rStyle w:val="FootnoteReference"/>
        </w:rPr>
        <w:footnoteRef/>
      </w:r>
      <w:r w:rsidRPr="00CA5BEA">
        <w:t xml:space="preserve"> C </w:t>
      </w:r>
      <w:proofErr w:type="spellStart"/>
      <w:r w:rsidRPr="00CA5BEA">
        <w:t>Schwenk</w:t>
      </w:r>
      <w:proofErr w:type="spellEnd"/>
      <w:r w:rsidRPr="00CA5BEA">
        <w:t>, ‘Cognitive Simplification Processes in Strategic Decision-making’</w:t>
      </w:r>
      <w:r>
        <w:t>,</w:t>
      </w:r>
      <w:r w:rsidRPr="00CA5BEA">
        <w:t xml:space="preserve"> (1984) 5 </w:t>
      </w:r>
      <w:r w:rsidRPr="00C72D06">
        <w:rPr>
          <w:i/>
        </w:rPr>
        <w:t>Strategic Management Journal</w:t>
      </w:r>
      <w:r w:rsidRPr="00CA5BEA">
        <w:t xml:space="preserve"> 111, 119</w:t>
      </w:r>
    </w:p>
  </w:footnote>
  <w:footnote w:id="52">
    <w:p w14:paraId="4657748A" w14:textId="333E2FC3" w:rsidR="00C72D06" w:rsidRPr="00CA5BEA" w:rsidRDefault="00C72D06" w:rsidP="00C72D06">
      <w:pPr>
        <w:pStyle w:val="FootnoteText"/>
        <w:rPr>
          <w:lang w:val="en-US"/>
        </w:rPr>
      </w:pPr>
      <w:r w:rsidRPr="00CA5BEA">
        <w:rPr>
          <w:rStyle w:val="FootnoteReference"/>
        </w:rPr>
        <w:footnoteRef/>
      </w:r>
      <w:r w:rsidRPr="00CA5BEA">
        <w:t xml:space="preserve"> </w:t>
      </w:r>
      <w:r w:rsidRPr="00CA5BEA">
        <w:rPr>
          <w:lang w:val="en-US"/>
        </w:rPr>
        <w:t xml:space="preserve">See </w:t>
      </w:r>
      <w:r w:rsidRPr="00CA5BEA">
        <w:t>Howells, ‘</w:t>
      </w:r>
      <w:r>
        <w:t>C</w:t>
      </w:r>
      <w:r w:rsidRPr="00CA5BEA">
        <w:t>onsumer empowerment by information’</w:t>
      </w:r>
      <w:r>
        <w:t>,</w:t>
      </w:r>
      <w:r w:rsidR="000E4C41">
        <w:t xml:space="preserve"> n 35 </w:t>
      </w:r>
      <w:r w:rsidRPr="00CA5BEA">
        <w:t>supra, 355</w:t>
      </w:r>
    </w:p>
  </w:footnote>
  <w:footnote w:id="53">
    <w:p w14:paraId="241EA215" w14:textId="15BA0904" w:rsidR="00C72D06" w:rsidRPr="00CA5BEA" w:rsidRDefault="00C72D06" w:rsidP="00C72D06">
      <w:pPr>
        <w:pStyle w:val="FootnoteText"/>
      </w:pPr>
      <w:r w:rsidRPr="00CA5BEA">
        <w:rPr>
          <w:rStyle w:val="FootnoteReference"/>
        </w:rPr>
        <w:footnoteRef/>
      </w:r>
      <w:r w:rsidRPr="00CA5BEA">
        <w:t xml:space="preserve"> See Anderson et al,</w:t>
      </w:r>
      <w:r>
        <w:t xml:space="preserve"> </w:t>
      </w:r>
      <w:r w:rsidRPr="00CA5BEA">
        <w:t>‘Effectiveness and cost-effectiveness</w:t>
      </w:r>
      <w:r>
        <w:t>’,</w:t>
      </w:r>
      <w:r w:rsidRPr="00CA5BEA">
        <w:t xml:space="preserve"> n 28 supra.</w:t>
      </w:r>
    </w:p>
  </w:footnote>
  <w:footnote w:id="54">
    <w:p w14:paraId="463CD233" w14:textId="68C30B06" w:rsidR="00C72D06" w:rsidRPr="00CA5BEA" w:rsidRDefault="00C72D06" w:rsidP="00C72D06">
      <w:pPr>
        <w:pStyle w:val="FootnoteText"/>
        <w:rPr>
          <w:lang w:val="en-US"/>
        </w:rPr>
      </w:pPr>
      <w:r w:rsidRPr="00CA5BEA">
        <w:rPr>
          <w:rStyle w:val="FootnoteReference"/>
        </w:rPr>
        <w:footnoteRef/>
      </w:r>
      <w:r w:rsidRPr="00CA5BEA">
        <w:t xml:space="preserve"> D </w:t>
      </w:r>
      <w:proofErr w:type="spellStart"/>
      <w:r w:rsidRPr="00CA5BEA">
        <w:t>Diermeier</w:t>
      </w:r>
      <w:proofErr w:type="spellEnd"/>
      <w:r w:rsidRPr="00CA5BEA">
        <w:t xml:space="preserve">, ‘Institutionalism and the Normative Study of Politics: From Rational Choice to </w:t>
      </w:r>
      <w:proofErr w:type="spellStart"/>
      <w:r w:rsidRPr="00CA5BEA">
        <w:t>Behavioralism</w:t>
      </w:r>
      <w:proofErr w:type="spellEnd"/>
      <w:r w:rsidRPr="00CA5BEA">
        <w:t>’</w:t>
      </w:r>
      <w:r>
        <w:t>,</w:t>
      </w:r>
      <w:r w:rsidRPr="00CA5BEA">
        <w:t xml:space="preserve"> (2015) 24(1) </w:t>
      </w:r>
      <w:r w:rsidRPr="00C72D06">
        <w:rPr>
          <w:i/>
        </w:rPr>
        <w:t>The Good Society</w:t>
      </w:r>
      <w:r w:rsidRPr="00CA5BEA">
        <w:t xml:space="preserve"> 15, </w:t>
      </w:r>
      <w:r w:rsidRPr="00CA5BEA">
        <w:rPr>
          <w:lang w:val="en-US"/>
        </w:rPr>
        <w:t>21</w:t>
      </w:r>
    </w:p>
  </w:footnote>
  <w:footnote w:id="55">
    <w:p w14:paraId="610807CE" w14:textId="1D8AD799" w:rsidR="00C72D06" w:rsidRPr="00CA5BEA" w:rsidRDefault="00C72D06" w:rsidP="00C72D06">
      <w:pPr>
        <w:pStyle w:val="FootnoteText"/>
        <w:rPr>
          <w:lang w:val="en-US"/>
        </w:rPr>
      </w:pPr>
      <w:r w:rsidRPr="00CA5BEA">
        <w:rPr>
          <w:rStyle w:val="FootnoteReference"/>
        </w:rPr>
        <w:footnoteRef/>
      </w:r>
      <w:r w:rsidRPr="00CA5BEA">
        <w:t xml:space="preserve"> J Christensen and V Nielsen, ‘Administrative capacity, structural choice and the creation of EU agencies’</w:t>
      </w:r>
      <w:r>
        <w:t>,</w:t>
      </w:r>
      <w:r w:rsidRPr="00CA5BEA">
        <w:t xml:space="preserve"> (2010) 17(2) </w:t>
      </w:r>
      <w:r w:rsidRPr="00C72D06">
        <w:rPr>
          <w:i/>
        </w:rPr>
        <w:t>Journal of European Public Policy</w:t>
      </w:r>
      <w:r w:rsidRPr="00CA5BEA">
        <w:t xml:space="preserve"> 176, 184</w:t>
      </w:r>
    </w:p>
  </w:footnote>
  <w:footnote w:id="56">
    <w:p w14:paraId="3BDB8B00" w14:textId="5EBDE4F0" w:rsidR="00C72D06" w:rsidRPr="00CA5BEA" w:rsidRDefault="00C72D06" w:rsidP="00C72D06">
      <w:pPr>
        <w:pStyle w:val="FootnoteText"/>
        <w:rPr>
          <w:lang w:val="en-US"/>
        </w:rPr>
      </w:pPr>
      <w:r w:rsidRPr="00CA5BEA">
        <w:rPr>
          <w:rStyle w:val="FootnoteReference"/>
        </w:rPr>
        <w:footnoteRef/>
      </w:r>
      <w:r w:rsidRPr="00CA5BEA">
        <w:t xml:space="preserve"> R </w:t>
      </w:r>
      <w:proofErr w:type="spellStart"/>
      <w:r w:rsidRPr="00CA5BEA">
        <w:t>Geneau</w:t>
      </w:r>
      <w:proofErr w:type="spellEnd"/>
      <w:r w:rsidRPr="00CA5BEA">
        <w:t xml:space="preserve"> et al, ‘Raising the priority of preventing chronic diseases: a political process’</w:t>
      </w:r>
      <w:r>
        <w:t>,</w:t>
      </w:r>
      <w:r w:rsidRPr="00CA5BEA">
        <w:t xml:space="preserve"> (2010) 376 </w:t>
      </w:r>
      <w:r w:rsidRPr="00C72D06">
        <w:rPr>
          <w:i/>
        </w:rPr>
        <w:t>Lancet</w:t>
      </w:r>
      <w:r w:rsidRPr="00CA5BEA">
        <w:t xml:space="preserve"> 1689, 1691</w:t>
      </w:r>
    </w:p>
  </w:footnote>
  <w:footnote w:id="57">
    <w:p w14:paraId="6E64E555" w14:textId="3604A148" w:rsidR="00C72D06" w:rsidRPr="00CA5BEA" w:rsidRDefault="00C72D06" w:rsidP="00C72D06">
      <w:pPr>
        <w:pStyle w:val="FootnoteText"/>
      </w:pPr>
      <w:r w:rsidRPr="00CA5BEA">
        <w:rPr>
          <w:rStyle w:val="FootnoteReference"/>
        </w:rPr>
        <w:footnoteRef/>
      </w:r>
      <w:r w:rsidRPr="00CA5BEA">
        <w:t xml:space="preserve"> On the use of ideological discourses by the tobacco industry, see: J Cohen et al, ‘Political ideology and tobacco control’</w:t>
      </w:r>
      <w:r>
        <w:t>,</w:t>
      </w:r>
      <w:r w:rsidRPr="00CA5BEA">
        <w:t xml:space="preserve"> (2000) 9 </w:t>
      </w:r>
      <w:r w:rsidRPr="00C72D06">
        <w:rPr>
          <w:i/>
        </w:rPr>
        <w:t>Tobacco Control</w:t>
      </w:r>
      <w:r w:rsidRPr="00CA5BEA">
        <w:t xml:space="preserve"> 263</w:t>
      </w:r>
    </w:p>
  </w:footnote>
  <w:footnote w:id="58">
    <w:p w14:paraId="3802C4B3" w14:textId="65D582E5" w:rsidR="00C72D06" w:rsidRPr="00CA5BEA" w:rsidRDefault="00C72D06" w:rsidP="00C72D06">
      <w:pPr>
        <w:pStyle w:val="FootnoteText"/>
        <w:rPr>
          <w:lang w:val="en-US"/>
        </w:rPr>
      </w:pPr>
      <w:r w:rsidRPr="00CA5BEA">
        <w:rPr>
          <w:rStyle w:val="FootnoteReference"/>
        </w:rPr>
        <w:footnoteRef/>
      </w:r>
      <w:r w:rsidRPr="00CA5BEA">
        <w:t xml:space="preserve"> Special </w:t>
      </w:r>
      <w:proofErr w:type="spellStart"/>
      <w:r w:rsidRPr="00CA5BEA">
        <w:t>Eurobarometer</w:t>
      </w:r>
      <w:proofErr w:type="spellEnd"/>
      <w:r w:rsidRPr="00CA5BEA">
        <w:t xml:space="preserve"> 331, </w:t>
      </w:r>
      <w:r w:rsidRPr="00CA5BEA">
        <w:rPr>
          <w:i/>
        </w:rPr>
        <w:t>EU citizens’ attitudes towards alcohol</w:t>
      </w:r>
      <w:r w:rsidRPr="00CA5BEA">
        <w:t xml:space="preserve">, available online at </w:t>
      </w:r>
      <w:hyperlink r:id="rId1" w:history="1">
        <w:r w:rsidRPr="00CA5BEA">
          <w:rPr>
            <w:rStyle w:val="Link"/>
          </w:rPr>
          <w:t>http://</w:t>
        </w:r>
        <w:proofErr w:type="spellStart"/>
        <w:r w:rsidRPr="00CA5BEA">
          <w:rPr>
            <w:rStyle w:val="Link"/>
          </w:rPr>
          <w:t>ec.europa.eu</w:t>
        </w:r>
        <w:proofErr w:type="spellEnd"/>
        <w:r w:rsidRPr="00CA5BEA">
          <w:rPr>
            <w:rStyle w:val="Link"/>
          </w:rPr>
          <w:t>/public_opinion/archives/</w:t>
        </w:r>
        <w:proofErr w:type="spellStart"/>
        <w:r w:rsidRPr="00CA5BEA">
          <w:rPr>
            <w:rStyle w:val="Link"/>
          </w:rPr>
          <w:t>ebs</w:t>
        </w:r>
        <w:proofErr w:type="spellEnd"/>
        <w:r w:rsidRPr="00CA5BEA">
          <w:rPr>
            <w:rStyle w:val="Link"/>
          </w:rPr>
          <w:t>/</w:t>
        </w:r>
        <w:proofErr w:type="spellStart"/>
        <w:r w:rsidRPr="00CA5BEA">
          <w:rPr>
            <w:rStyle w:val="Link"/>
          </w:rPr>
          <w:t>ebs_331_en.pdf</w:t>
        </w:r>
        <w:proofErr w:type="spellEnd"/>
      </w:hyperlink>
      <w:r w:rsidRPr="00CA5BEA">
        <w:t xml:space="preserve"> (accessed 1 October 2015)</w:t>
      </w:r>
      <w:r w:rsidRPr="00CA5BEA">
        <w:rPr>
          <w:lang w:val="en-US"/>
        </w:rPr>
        <w:t>.</w:t>
      </w:r>
    </w:p>
  </w:footnote>
  <w:footnote w:id="59">
    <w:p w14:paraId="207BC6A5" w14:textId="6106EC8E" w:rsidR="00A40F6B" w:rsidRPr="002C0EA8" w:rsidRDefault="00A40F6B">
      <w:pPr>
        <w:pStyle w:val="FootnoteText"/>
      </w:pPr>
      <w:r>
        <w:rPr>
          <w:rStyle w:val="FootnoteReference"/>
        </w:rPr>
        <w:footnoteRef/>
      </w:r>
      <w:r>
        <w:t xml:space="preserve"> </w:t>
      </w:r>
      <w:proofErr w:type="spellStart"/>
      <w:r w:rsidR="002C0EA8" w:rsidRPr="00CA5BEA">
        <w:t>Kørnøv</w:t>
      </w:r>
      <w:proofErr w:type="spellEnd"/>
      <w:r w:rsidR="002C0EA8" w:rsidRPr="00CA5BEA">
        <w:t xml:space="preserve"> and </w:t>
      </w:r>
      <w:proofErr w:type="spellStart"/>
      <w:r w:rsidR="002C0EA8" w:rsidRPr="00CA5BEA">
        <w:t>Thissen</w:t>
      </w:r>
      <w:proofErr w:type="spellEnd"/>
      <w:r w:rsidR="002C0EA8" w:rsidRPr="00CA5BEA">
        <w:t>,</w:t>
      </w:r>
      <w:r w:rsidR="002C0EA8">
        <w:t xml:space="preserve"> </w:t>
      </w:r>
      <w:r w:rsidR="002C0EA8" w:rsidRPr="00CA5BEA">
        <w:t>‘Rationality in decision- and policy-making’</w:t>
      </w:r>
      <w:r w:rsidR="002C0EA8">
        <w:t>,</w:t>
      </w:r>
      <w:r w:rsidR="002C0EA8" w:rsidRPr="00CA5BEA">
        <w:t xml:space="preserve"> n 2 supra, </w:t>
      </w:r>
      <w:r w:rsidR="002C0EA8">
        <w:rPr>
          <w:lang w:val="en-US"/>
        </w:rPr>
        <w:t>194</w:t>
      </w:r>
    </w:p>
  </w:footnote>
  <w:footnote w:id="60">
    <w:p w14:paraId="2BBECB16" w14:textId="2E77960A" w:rsidR="00C72D06" w:rsidRPr="00CA5BEA" w:rsidRDefault="00C72D06" w:rsidP="00C72D06">
      <w:pPr>
        <w:pStyle w:val="FootnoteText"/>
      </w:pPr>
      <w:r w:rsidRPr="00CA5BEA">
        <w:rPr>
          <w:rStyle w:val="FootnoteReference"/>
        </w:rPr>
        <w:footnoteRef/>
      </w:r>
      <w:r w:rsidRPr="00CA5BEA">
        <w:t xml:space="preserve"> </w:t>
      </w:r>
      <w:proofErr w:type="spellStart"/>
      <w:r w:rsidRPr="00CA5BEA">
        <w:t>Kørnøv</w:t>
      </w:r>
      <w:proofErr w:type="spellEnd"/>
      <w:r w:rsidRPr="00CA5BEA">
        <w:t xml:space="preserve"> and </w:t>
      </w:r>
      <w:proofErr w:type="spellStart"/>
      <w:r w:rsidRPr="00CA5BEA">
        <w:t>Thissen</w:t>
      </w:r>
      <w:proofErr w:type="spellEnd"/>
      <w:r w:rsidRPr="00CA5BEA">
        <w:t>,</w:t>
      </w:r>
      <w:r>
        <w:t xml:space="preserve"> </w:t>
      </w:r>
      <w:r w:rsidRPr="00CA5BEA">
        <w:t>‘Rationality in decision- and policy-making’</w:t>
      </w:r>
      <w:r>
        <w:t>,</w:t>
      </w:r>
      <w:r w:rsidRPr="00CA5BEA">
        <w:t xml:space="preserve"> n 2 supra, </w:t>
      </w:r>
      <w:r w:rsidRPr="00CA5BEA">
        <w:rPr>
          <w:lang w:val="en-US"/>
        </w:rPr>
        <w:t>193</w:t>
      </w:r>
    </w:p>
  </w:footnote>
  <w:footnote w:id="61">
    <w:p w14:paraId="439054AD" w14:textId="64F4B245" w:rsidR="00C72D06" w:rsidRPr="00CA5BEA" w:rsidRDefault="00C72D06" w:rsidP="00C72D06">
      <w:pPr>
        <w:pStyle w:val="FootnoteText"/>
        <w:rPr>
          <w:lang w:val="en-US"/>
        </w:rPr>
      </w:pPr>
      <w:r w:rsidRPr="00CA5BEA">
        <w:rPr>
          <w:rStyle w:val="FootnoteReference"/>
        </w:rPr>
        <w:footnoteRef/>
      </w:r>
      <w:r w:rsidRPr="00CA5BEA">
        <w:t xml:space="preserve"> </w:t>
      </w:r>
      <w:proofErr w:type="spellStart"/>
      <w:r w:rsidRPr="00CA5BEA">
        <w:t>Geneau</w:t>
      </w:r>
      <w:proofErr w:type="spellEnd"/>
      <w:r w:rsidRPr="00CA5BEA">
        <w:t xml:space="preserve"> et al, ‘Raising the priority of preventing chronic diseases</w:t>
      </w:r>
      <w:r>
        <w:t xml:space="preserve">’, </w:t>
      </w:r>
      <w:r w:rsidR="000E4C41">
        <w:t xml:space="preserve">n 56 </w:t>
      </w:r>
      <w:r w:rsidRPr="00CA5BEA">
        <w:t>supra, 1692</w:t>
      </w:r>
    </w:p>
  </w:footnote>
  <w:footnote w:id="62">
    <w:p w14:paraId="5DF74477" w14:textId="035D7A36" w:rsidR="00C72D06" w:rsidRPr="00CA5BEA" w:rsidRDefault="00C72D06" w:rsidP="00C72D06">
      <w:pPr>
        <w:pStyle w:val="FootnoteText"/>
      </w:pPr>
      <w:r w:rsidRPr="00CA5BEA">
        <w:rPr>
          <w:rStyle w:val="FootnoteReference"/>
        </w:rPr>
        <w:footnoteRef/>
      </w:r>
      <w:r w:rsidRPr="00CA5BEA">
        <w:t xml:space="preserve"> </w:t>
      </w:r>
      <w:proofErr w:type="spellStart"/>
      <w:r w:rsidRPr="00CA5BEA">
        <w:t>Kørnøv</w:t>
      </w:r>
      <w:proofErr w:type="spellEnd"/>
      <w:r w:rsidRPr="00CA5BEA">
        <w:t xml:space="preserve"> and </w:t>
      </w:r>
      <w:proofErr w:type="spellStart"/>
      <w:r w:rsidRPr="00CA5BEA">
        <w:t>Thissen</w:t>
      </w:r>
      <w:proofErr w:type="spellEnd"/>
      <w:r w:rsidRPr="00CA5BEA">
        <w:t>,</w:t>
      </w:r>
      <w:r>
        <w:t xml:space="preserve"> </w:t>
      </w:r>
      <w:r w:rsidRPr="00CA5BEA">
        <w:t>‘Rationality in decision- and policy-making’</w:t>
      </w:r>
      <w:r>
        <w:t>,</w:t>
      </w:r>
      <w:r w:rsidRPr="00CA5BEA">
        <w:t xml:space="preserve"> n 2 supra, </w:t>
      </w:r>
      <w:r w:rsidRPr="00CA5BEA">
        <w:rPr>
          <w:lang w:val="en-US"/>
        </w:rPr>
        <w:t>195</w:t>
      </w:r>
    </w:p>
  </w:footnote>
  <w:footnote w:id="63">
    <w:p w14:paraId="5D40D746" w14:textId="145F1C0E" w:rsidR="00C72D06" w:rsidRPr="00CA5BEA" w:rsidRDefault="00C72D06" w:rsidP="00C72D06">
      <w:pPr>
        <w:pStyle w:val="FootnoteText"/>
        <w:rPr>
          <w:lang w:val="en-US"/>
        </w:rPr>
      </w:pPr>
      <w:r w:rsidRPr="00CA5BEA">
        <w:rPr>
          <w:rStyle w:val="FootnoteReference"/>
        </w:rPr>
        <w:footnoteRef/>
      </w:r>
      <w:r w:rsidRPr="00CA5BEA">
        <w:t xml:space="preserve"> </w:t>
      </w:r>
      <w:r w:rsidRPr="00CA5BEA">
        <w:rPr>
          <w:lang w:val="en-US"/>
        </w:rPr>
        <w:t xml:space="preserve">M Marmot and R Wilkinson, </w:t>
      </w:r>
      <w:r>
        <w:rPr>
          <w:i/>
          <w:lang w:val="en-US"/>
        </w:rPr>
        <w:t>Social Determinants of Health</w:t>
      </w:r>
      <w:r w:rsidRPr="00CA5BEA">
        <w:rPr>
          <w:lang w:val="en-US"/>
        </w:rPr>
        <w:t xml:space="preserve"> (Oxford University Press</w:t>
      </w:r>
      <w:r>
        <w:rPr>
          <w:lang w:val="en-US"/>
        </w:rPr>
        <w:t>, 2</w:t>
      </w:r>
      <w:r w:rsidRPr="00C72D06">
        <w:rPr>
          <w:vertAlign w:val="superscript"/>
          <w:lang w:val="en-US"/>
        </w:rPr>
        <w:t>nd</w:t>
      </w:r>
      <w:r>
        <w:rPr>
          <w:lang w:val="en-US"/>
        </w:rPr>
        <w:t xml:space="preserve"> </w:t>
      </w:r>
      <w:proofErr w:type="spellStart"/>
      <w:r>
        <w:rPr>
          <w:lang w:val="en-US"/>
        </w:rPr>
        <w:t>edn</w:t>
      </w:r>
      <w:proofErr w:type="spellEnd"/>
      <w:r>
        <w:rPr>
          <w:lang w:val="en-US"/>
        </w:rPr>
        <w:t>,</w:t>
      </w:r>
      <w:r w:rsidRPr="00CA5BEA">
        <w:rPr>
          <w:lang w:val="en-US"/>
        </w:rPr>
        <w:t xml:space="preserve"> 2005)</w:t>
      </w:r>
    </w:p>
  </w:footnote>
  <w:footnote w:id="64">
    <w:p w14:paraId="1B8F86E0" w14:textId="671CFA12" w:rsidR="00C72D06" w:rsidRPr="00CA5BEA" w:rsidRDefault="00C72D06" w:rsidP="00C72D06">
      <w:pPr>
        <w:pStyle w:val="FootnoteText"/>
        <w:rPr>
          <w:lang w:val="en-US"/>
        </w:rPr>
      </w:pPr>
      <w:r w:rsidRPr="00CA5BEA">
        <w:rPr>
          <w:rStyle w:val="FootnoteReference"/>
        </w:rPr>
        <w:footnoteRef/>
      </w:r>
      <w:r w:rsidRPr="00CA5BEA">
        <w:t xml:space="preserve"> See for example: R </w:t>
      </w:r>
      <w:proofErr w:type="spellStart"/>
      <w:r w:rsidRPr="00CA5BEA">
        <w:t>Beaglehole</w:t>
      </w:r>
      <w:proofErr w:type="spellEnd"/>
      <w:r w:rsidRPr="00CA5BEA">
        <w:t xml:space="preserve"> and D </w:t>
      </w:r>
      <w:proofErr w:type="spellStart"/>
      <w:r w:rsidRPr="00CA5BEA">
        <w:t>Yach</w:t>
      </w:r>
      <w:proofErr w:type="spellEnd"/>
      <w:r w:rsidRPr="00CA5BEA">
        <w:t>, ‘Globalisation and the prevention and control of non-communicable disease: the neglected chronic diseases of adults’</w:t>
      </w:r>
      <w:r w:rsidR="00C33AAA">
        <w:t>,</w:t>
      </w:r>
      <w:r w:rsidRPr="00CA5BEA">
        <w:t xml:space="preserve"> (2003) 362 </w:t>
      </w:r>
      <w:r w:rsidRPr="00C33AAA">
        <w:rPr>
          <w:i/>
        </w:rPr>
        <w:t>Lancet</w:t>
      </w:r>
      <w:r w:rsidRPr="00CA5BEA">
        <w:t xml:space="preserve"> 903; M Marmot, ‘Improvement of social environment to improve health’</w:t>
      </w:r>
      <w:r w:rsidR="00C33AAA">
        <w:t>,</w:t>
      </w:r>
      <w:r w:rsidRPr="00CA5BEA">
        <w:t xml:space="preserve"> (1998) 351 </w:t>
      </w:r>
      <w:r w:rsidRPr="00C33AAA">
        <w:rPr>
          <w:i/>
        </w:rPr>
        <w:t xml:space="preserve">Lancet </w:t>
      </w:r>
      <w:r w:rsidRPr="00CA5BEA">
        <w:t xml:space="preserve">57; K </w:t>
      </w:r>
      <w:proofErr w:type="spellStart"/>
      <w:r w:rsidRPr="00CA5BEA">
        <w:t>Rasanathan</w:t>
      </w:r>
      <w:proofErr w:type="spellEnd"/>
      <w:r w:rsidRPr="00CA5BEA">
        <w:t xml:space="preserve"> and R </w:t>
      </w:r>
      <w:proofErr w:type="spellStart"/>
      <w:r w:rsidRPr="00CA5BEA">
        <w:t>Krech</w:t>
      </w:r>
      <w:proofErr w:type="spellEnd"/>
      <w:r w:rsidRPr="00CA5BEA">
        <w:t>, ‘Action on social determinants of health is essential to tackle noncommunicable diseases’</w:t>
      </w:r>
      <w:r w:rsidR="00C33AAA">
        <w:t>,</w:t>
      </w:r>
      <w:r w:rsidRPr="00CA5BEA">
        <w:t xml:space="preserve"> (2011) 89(10) </w:t>
      </w:r>
      <w:r w:rsidRPr="00C33AAA">
        <w:rPr>
          <w:i/>
        </w:rPr>
        <w:t>Bulletin of the World Health Organization</w:t>
      </w:r>
      <w:r w:rsidRPr="00CA5BEA">
        <w:t xml:space="preserve"> 775</w:t>
      </w:r>
    </w:p>
  </w:footnote>
  <w:footnote w:id="65">
    <w:p w14:paraId="6C360F2C" w14:textId="5DB2844A"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J Hanson and </w:t>
      </w:r>
      <w:proofErr w:type="spellStart"/>
      <w:r w:rsidRPr="00CA5BEA">
        <w:rPr>
          <w:rFonts w:eastAsia="Calibri" w:cs="Calibri"/>
          <w:sz w:val="20"/>
          <w:szCs w:val="20"/>
        </w:rPr>
        <w:t>Kysar</w:t>
      </w:r>
      <w:proofErr w:type="spellEnd"/>
      <w:r w:rsidRPr="00CA5BEA">
        <w:rPr>
          <w:rFonts w:eastAsia="Calibri" w:cs="Calibri"/>
          <w:sz w:val="20"/>
          <w:szCs w:val="20"/>
        </w:rPr>
        <w:t xml:space="preserve">, ‘Taking </w:t>
      </w:r>
      <w:proofErr w:type="spellStart"/>
      <w:r w:rsidRPr="00CA5BEA">
        <w:rPr>
          <w:rFonts w:eastAsia="Calibri" w:cs="Calibri"/>
          <w:sz w:val="20"/>
          <w:szCs w:val="20"/>
        </w:rPr>
        <w:t>behvaioralism</w:t>
      </w:r>
      <w:proofErr w:type="spellEnd"/>
      <w:r w:rsidRPr="00CA5BEA">
        <w:rPr>
          <w:rFonts w:eastAsia="Calibri" w:cs="Calibri"/>
          <w:sz w:val="20"/>
          <w:szCs w:val="20"/>
        </w:rPr>
        <w:t xml:space="preserve"> seriously, the problem of market manipulation’</w:t>
      </w:r>
      <w:r w:rsidR="00C33AAA">
        <w:rPr>
          <w:rFonts w:eastAsia="Calibri" w:cs="Calibri"/>
          <w:sz w:val="20"/>
          <w:szCs w:val="20"/>
        </w:rPr>
        <w:t>,</w:t>
      </w:r>
      <w:r w:rsidRPr="00CA5BEA">
        <w:rPr>
          <w:rFonts w:eastAsia="Calibri" w:cs="Calibri"/>
          <w:sz w:val="20"/>
          <w:szCs w:val="20"/>
        </w:rPr>
        <w:t xml:space="preserve"> (1999)74 </w:t>
      </w:r>
      <w:r w:rsidRPr="00C33AAA">
        <w:rPr>
          <w:rFonts w:eastAsia="Calibri" w:cs="Calibri"/>
          <w:i/>
          <w:sz w:val="20"/>
          <w:szCs w:val="20"/>
        </w:rPr>
        <w:t>New York University Law Review</w:t>
      </w:r>
      <w:r w:rsidRPr="00CA5BEA">
        <w:rPr>
          <w:rFonts w:eastAsia="Calibri" w:cs="Calibri"/>
          <w:sz w:val="20"/>
          <w:szCs w:val="20"/>
        </w:rPr>
        <w:t xml:space="preserve"> 630, 365</w:t>
      </w:r>
    </w:p>
  </w:footnote>
  <w:footnote w:id="66">
    <w:p w14:paraId="70F0F5FB" w14:textId="05FEEC9A"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w:t>
      </w:r>
      <w:r w:rsidRPr="00CA5BEA">
        <w:rPr>
          <w:i/>
          <w:sz w:val="20"/>
          <w:szCs w:val="20"/>
        </w:rPr>
        <w:t>ibid</w:t>
      </w:r>
      <w:r w:rsidRPr="00CA5BEA">
        <w:rPr>
          <w:rFonts w:eastAsia="Calibri" w:cs="Calibri"/>
          <w:sz w:val="20"/>
          <w:szCs w:val="20"/>
        </w:rPr>
        <w:t>, 635</w:t>
      </w:r>
    </w:p>
  </w:footnote>
  <w:footnote w:id="67">
    <w:p w14:paraId="671986B5" w14:textId="41E42B45"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Gilmore et al, </w:t>
      </w:r>
      <w:r>
        <w:rPr>
          <w:rFonts w:eastAsia="Calibri" w:cs="Calibri"/>
          <w:sz w:val="20"/>
          <w:szCs w:val="20"/>
        </w:rPr>
        <w:t>‘</w:t>
      </w:r>
      <w:r w:rsidRPr="00CA5BEA">
        <w:rPr>
          <w:sz w:val="20"/>
          <w:szCs w:val="20"/>
        </w:rPr>
        <w:t>Public health, corporations and the New Responsibility Deal</w:t>
      </w:r>
      <w:r>
        <w:rPr>
          <w:sz w:val="20"/>
          <w:szCs w:val="20"/>
        </w:rPr>
        <w:t>’,</w:t>
      </w:r>
      <w:r w:rsidRPr="00CA5BEA">
        <w:rPr>
          <w:rFonts w:eastAsia="Calibri" w:cs="Calibri"/>
          <w:sz w:val="20"/>
          <w:szCs w:val="20"/>
        </w:rPr>
        <w:t xml:space="preserve"> n 22 supra.</w:t>
      </w:r>
    </w:p>
  </w:footnote>
  <w:footnote w:id="68">
    <w:p w14:paraId="2ED62A07" w14:textId="2489FF79"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U Felt et al, ‘Refusing the information paradigm: informed consent, medical research, and patient participation’</w:t>
      </w:r>
      <w:r w:rsidR="00C33AAA">
        <w:rPr>
          <w:rFonts w:eastAsia="Calibri" w:cs="Calibri"/>
          <w:sz w:val="20"/>
          <w:szCs w:val="20"/>
        </w:rPr>
        <w:t>,</w:t>
      </w:r>
      <w:r w:rsidRPr="00CA5BEA">
        <w:rPr>
          <w:rFonts w:eastAsia="Calibri" w:cs="Calibri"/>
          <w:sz w:val="20"/>
          <w:szCs w:val="20"/>
        </w:rPr>
        <w:t xml:space="preserve"> (2009) 13 </w:t>
      </w:r>
      <w:r w:rsidRPr="00C33AAA">
        <w:rPr>
          <w:rFonts w:eastAsia="Calibri" w:cs="Calibri"/>
          <w:i/>
          <w:sz w:val="20"/>
          <w:szCs w:val="20"/>
        </w:rPr>
        <w:t>Health (London)</w:t>
      </w:r>
      <w:r w:rsidRPr="00CA5BEA">
        <w:rPr>
          <w:rFonts w:eastAsia="Calibri" w:cs="Calibri"/>
          <w:sz w:val="20"/>
          <w:szCs w:val="20"/>
        </w:rPr>
        <w:t xml:space="preserve"> 87, 90</w:t>
      </w:r>
    </w:p>
  </w:footnote>
  <w:footnote w:id="69">
    <w:p w14:paraId="69171559" w14:textId="7F619915"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w:t>
      </w:r>
      <w:r w:rsidRPr="00CA5BEA">
        <w:rPr>
          <w:rFonts w:eastAsia="Calibri" w:cs="Calibri"/>
          <w:i/>
          <w:sz w:val="20"/>
          <w:szCs w:val="20"/>
        </w:rPr>
        <w:t>ibid</w:t>
      </w:r>
    </w:p>
  </w:footnote>
  <w:footnote w:id="70">
    <w:p w14:paraId="359AEA20" w14:textId="0C0D66ED"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w:t>
      </w:r>
      <w:r w:rsidRPr="00CA5BEA">
        <w:rPr>
          <w:rFonts w:eastAsia="Calibri" w:cs="Calibri"/>
          <w:i/>
          <w:sz w:val="20"/>
          <w:szCs w:val="20"/>
        </w:rPr>
        <w:t>ibid</w:t>
      </w:r>
    </w:p>
  </w:footnote>
  <w:footnote w:id="71">
    <w:p w14:paraId="5DCA9C25" w14:textId="7B61AC46" w:rsidR="00C72D06" w:rsidRPr="00CA5BEA" w:rsidRDefault="00C72D06" w:rsidP="00C72D06">
      <w:pPr>
        <w:pStyle w:val="FootnoteText"/>
      </w:pPr>
      <w:r w:rsidRPr="00CA5BEA">
        <w:rPr>
          <w:rStyle w:val="FootnoteReference"/>
        </w:rPr>
        <w:footnoteRef/>
      </w:r>
      <w:r w:rsidRPr="00CA5BEA">
        <w:t xml:space="preserve"> For ex</w:t>
      </w:r>
      <w:r w:rsidR="00C33AAA">
        <w:t xml:space="preserve">ample: L Smith and D </w:t>
      </w:r>
      <w:proofErr w:type="spellStart"/>
      <w:r w:rsidR="00C33AAA">
        <w:t>Foxcroft</w:t>
      </w:r>
      <w:proofErr w:type="spellEnd"/>
      <w:r w:rsidR="00C33AAA">
        <w:t>, ‘</w:t>
      </w:r>
      <w:r w:rsidRPr="00CA5BEA">
        <w:t>The Effect of Alcohol Advertising, Marketing and Portrayal on Drinking Behaviour in Young People: Systematic Review of Prospec</w:t>
      </w:r>
      <w:r w:rsidR="00C33AAA">
        <w:t>tive Cohort Studies’,</w:t>
      </w:r>
      <w:r w:rsidRPr="00CA5BEA">
        <w:t xml:space="preserve"> (2009) 9 </w:t>
      </w:r>
      <w:r w:rsidRPr="00C33AAA">
        <w:rPr>
          <w:i/>
        </w:rPr>
        <w:t>BMC Public Health</w:t>
      </w:r>
      <w:r w:rsidRPr="00CA5BEA">
        <w:t xml:space="preserve"> 51; H </w:t>
      </w:r>
      <w:proofErr w:type="spellStart"/>
      <w:r w:rsidRPr="00CA5BEA">
        <w:t>Saffer</w:t>
      </w:r>
      <w:proofErr w:type="spellEnd"/>
      <w:r w:rsidRPr="00CA5BEA">
        <w:t xml:space="preserve"> and D Dave, ‘Alcohol consumption and advertising bans’</w:t>
      </w:r>
      <w:r w:rsidR="00C33AAA">
        <w:t>,</w:t>
      </w:r>
      <w:r w:rsidRPr="00CA5BEA">
        <w:t xml:space="preserve"> (2002) 34(11) </w:t>
      </w:r>
      <w:r w:rsidRPr="00C33AAA">
        <w:rPr>
          <w:i/>
        </w:rPr>
        <w:t>Applied Economics</w:t>
      </w:r>
      <w:r w:rsidRPr="00CA5BEA">
        <w:t xml:space="preserve"> 1325</w:t>
      </w:r>
    </w:p>
  </w:footnote>
  <w:footnote w:id="72">
    <w:p w14:paraId="172604FC" w14:textId="6015D3D3" w:rsidR="00C72D06" w:rsidRPr="00CA5BEA" w:rsidRDefault="00C72D06" w:rsidP="00C72D06">
      <w:pPr>
        <w:pStyle w:val="FootnoteText"/>
        <w:rPr>
          <w:lang w:val="en-US"/>
        </w:rPr>
      </w:pPr>
      <w:r w:rsidRPr="00CA5BEA">
        <w:rPr>
          <w:rStyle w:val="FootnoteReference"/>
        </w:rPr>
        <w:footnoteRef/>
      </w:r>
      <w:r w:rsidRPr="00CA5BEA">
        <w:t xml:space="preserve"> L Gostin, </w:t>
      </w:r>
      <w:r w:rsidRPr="00CA5BEA">
        <w:rPr>
          <w:i/>
        </w:rPr>
        <w:t>Public health law: power, duty, restraint</w:t>
      </w:r>
      <w:r w:rsidRPr="00CA5BEA">
        <w:t xml:space="preserve"> (University of California Press</w:t>
      </w:r>
      <w:r w:rsidR="00C33AAA">
        <w:t>, 2</w:t>
      </w:r>
      <w:r w:rsidR="00C33AAA" w:rsidRPr="00C33AAA">
        <w:rPr>
          <w:vertAlign w:val="superscript"/>
        </w:rPr>
        <w:t>nd</w:t>
      </w:r>
      <w:r w:rsidR="00C33AAA">
        <w:t xml:space="preserve"> </w:t>
      </w:r>
      <w:proofErr w:type="spellStart"/>
      <w:r w:rsidR="00C33AAA">
        <w:t>edn</w:t>
      </w:r>
      <w:proofErr w:type="spellEnd"/>
      <w:r w:rsidRPr="00CA5BEA">
        <w:t>, 2008), 51</w:t>
      </w:r>
    </w:p>
  </w:footnote>
  <w:footnote w:id="73">
    <w:p w14:paraId="3438F296" w14:textId="151DAFAC" w:rsidR="00C72D06" w:rsidRPr="00CA5BEA" w:rsidRDefault="00C72D06" w:rsidP="00C72D06">
      <w:pPr>
        <w:pStyle w:val="FootnoteText"/>
        <w:rPr>
          <w:lang w:val="en-US"/>
        </w:rPr>
      </w:pPr>
      <w:r w:rsidRPr="00CA5BEA">
        <w:rPr>
          <w:rStyle w:val="FootnoteReference"/>
        </w:rPr>
        <w:footnoteRef/>
      </w:r>
      <w:r w:rsidRPr="00CA5BEA">
        <w:t xml:space="preserve"> S </w:t>
      </w:r>
      <w:proofErr w:type="spellStart"/>
      <w:r w:rsidRPr="00CA5BEA">
        <w:t>Conly</w:t>
      </w:r>
      <w:proofErr w:type="spellEnd"/>
      <w:r w:rsidRPr="00CA5BEA">
        <w:t xml:space="preserve">, </w:t>
      </w:r>
      <w:r w:rsidRPr="00CA5BEA">
        <w:rPr>
          <w:i/>
        </w:rPr>
        <w:t xml:space="preserve">Against Autonomy: Justifying Coercive Paternalism </w:t>
      </w:r>
      <w:r w:rsidR="00C33AAA">
        <w:t>(Cambridge U</w:t>
      </w:r>
      <w:r w:rsidRPr="00CA5BEA">
        <w:t>niversity Press</w:t>
      </w:r>
      <w:r w:rsidR="00C33AAA">
        <w:t>,</w:t>
      </w:r>
      <w:r w:rsidRPr="00CA5BEA">
        <w:t xml:space="preserve"> 2012)</w:t>
      </w:r>
    </w:p>
  </w:footnote>
  <w:footnote w:id="74">
    <w:p w14:paraId="0CFA5E16" w14:textId="2EE91C8C" w:rsidR="00C72D06" w:rsidRPr="00CA5BEA" w:rsidRDefault="00C72D06" w:rsidP="00C72D06">
      <w:pPr>
        <w:pStyle w:val="FootnoteText"/>
        <w:rPr>
          <w:lang w:val="en-US"/>
        </w:rPr>
      </w:pPr>
      <w:r w:rsidRPr="00CA5BEA">
        <w:rPr>
          <w:rStyle w:val="FootnoteReference"/>
        </w:rPr>
        <w:footnoteRef/>
      </w:r>
      <w:r w:rsidRPr="00CA5BEA">
        <w:t xml:space="preserve"> L </w:t>
      </w:r>
      <w:proofErr w:type="spellStart"/>
      <w:r w:rsidRPr="00CA5BEA">
        <w:t>Waddington</w:t>
      </w:r>
      <w:proofErr w:type="spellEnd"/>
      <w:r w:rsidRPr="00CA5BEA">
        <w:t>, ‘Vulnerable and confused: the protection of “vulnerable” consumers under EU law’</w:t>
      </w:r>
      <w:r w:rsidR="00C33AAA">
        <w:t>,</w:t>
      </w:r>
      <w:r w:rsidRPr="00CA5BEA">
        <w:t xml:space="preserve"> (2013) 38(6) </w:t>
      </w:r>
      <w:r w:rsidRPr="00C33AAA">
        <w:rPr>
          <w:i/>
        </w:rPr>
        <w:t>European Law Review</w:t>
      </w:r>
      <w:r w:rsidRPr="00CA5BEA">
        <w:t xml:space="preserve"> 757, 767</w:t>
      </w:r>
    </w:p>
  </w:footnote>
  <w:footnote w:id="75">
    <w:p w14:paraId="02085BC7" w14:textId="4C216148"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w:t>
      </w:r>
      <w:r w:rsidRPr="00CA5BEA">
        <w:rPr>
          <w:sz w:val="20"/>
          <w:szCs w:val="20"/>
        </w:rPr>
        <w:t xml:space="preserve">J Peel, </w:t>
      </w:r>
      <w:r w:rsidRPr="00CA5BEA">
        <w:rPr>
          <w:i/>
          <w:iCs/>
          <w:sz w:val="20"/>
          <w:szCs w:val="20"/>
        </w:rPr>
        <w:t>Science and Risk Regulation in International Law</w:t>
      </w:r>
      <w:r w:rsidRPr="00CA5BEA">
        <w:rPr>
          <w:sz w:val="20"/>
          <w:szCs w:val="20"/>
        </w:rPr>
        <w:t xml:space="preserve"> (</w:t>
      </w:r>
      <w:r w:rsidR="00C33AAA">
        <w:rPr>
          <w:sz w:val="20"/>
          <w:szCs w:val="20"/>
        </w:rPr>
        <w:t>Cambridge University Press</w:t>
      </w:r>
      <w:r w:rsidRPr="00CA5BEA">
        <w:rPr>
          <w:sz w:val="20"/>
          <w:szCs w:val="20"/>
        </w:rPr>
        <w:t>, 2010), 94</w:t>
      </w:r>
    </w:p>
  </w:footnote>
  <w:footnote w:id="76">
    <w:p w14:paraId="15B5917A" w14:textId="671CAF10"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Hanson and </w:t>
      </w:r>
      <w:proofErr w:type="spellStart"/>
      <w:r w:rsidRPr="00CA5BEA">
        <w:rPr>
          <w:rFonts w:eastAsia="Calibri" w:cs="Calibri"/>
          <w:sz w:val="20"/>
          <w:szCs w:val="20"/>
        </w:rPr>
        <w:t>Kysar</w:t>
      </w:r>
      <w:proofErr w:type="spellEnd"/>
      <w:r w:rsidRPr="00CA5BEA">
        <w:rPr>
          <w:rFonts w:eastAsia="Calibri" w:cs="Calibri"/>
          <w:sz w:val="20"/>
          <w:szCs w:val="20"/>
        </w:rPr>
        <w:t>,</w:t>
      </w:r>
      <w:r>
        <w:rPr>
          <w:rFonts w:eastAsia="Calibri" w:cs="Calibri"/>
          <w:sz w:val="20"/>
          <w:szCs w:val="20"/>
        </w:rPr>
        <w:t xml:space="preserve"> </w:t>
      </w:r>
      <w:r w:rsidRPr="00CA5BEA">
        <w:rPr>
          <w:rFonts w:eastAsia="Calibri" w:cs="Calibri"/>
          <w:sz w:val="20"/>
          <w:szCs w:val="20"/>
        </w:rPr>
        <w:t xml:space="preserve">‘Taking </w:t>
      </w:r>
      <w:proofErr w:type="spellStart"/>
      <w:r w:rsidRPr="00CA5BEA">
        <w:rPr>
          <w:rFonts w:eastAsia="Calibri" w:cs="Calibri"/>
          <w:sz w:val="20"/>
          <w:szCs w:val="20"/>
        </w:rPr>
        <w:t>behvaioralism</w:t>
      </w:r>
      <w:proofErr w:type="spellEnd"/>
      <w:r w:rsidRPr="00CA5BEA">
        <w:rPr>
          <w:rFonts w:eastAsia="Calibri" w:cs="Calibri"/>
          <w:sz w:val="20"/>
          <w:szCs w:val="20"/>
        </w:rPr>
        <w:t xml:space="preserve"> seriously</w:t>
      </w:r>
      <w:r>
        <w:rPr>
          <w:rFonts w:eastAsia="Calibri" w:cs="Calibri"/>
          <w:sz w:val="20"/>
          <w:szCs w:val="20"/>
        </w:rPr>
        <w:t>’,</w:t>
      </w:r>
      <w:r w:rsidR="001C3408">
        <w:rPr>
          <w:rFonts w:eastAsia="Calibri" w:cs="Calibri"/>
          <w:sz w:val="20"/>
          <w:szCs w:val="20"/>
        </w:rPr>
        <w:t xml:space="preserve"> n 65</w:t>
      </w:r>
      <w:r w:rsidRPr="00CA5BEA">
        <w:rPr>
          <w:rFonts w:eastAsia="Calibri" w:cs="Calibri"/>
          <w:sz w:val="20"/>
          <w:szCs w:val="20"/>
        </w:rPr>
        <w:t xml:space="preserve"> supra, 635.</w:t>
      </w:r>
    </w:p>
  </w:footnote>
  <w:footnote w:id="77">
    <w:p w14:paraId="719AA0EE" w14:textId="379DD695" w:rsidR="00C72D06" w:rsidRPr="00CA5BEA" w:rsidRDefault="00C72D06" w:rsidP="00C72D06">
      <w:pPr>
        <w:pStyle w:val="FootnoteText"/>
        <w:rPr>
          <w:lang w:val="en-US"/>
        </w:rPr>
      </w:pPr>
      <w:r w:rsidRPr="00CA5BEA">
        <w:rPr>
          <w:rStyle w:val="FootnoteReference"/>
        </w:rPr>
        <w:footnoteRef/>
      </w:r>
      <w:r w:rsidRPr="00CA5BEA">
        <w:t xml:space="preserve"> L Gostin, ‘Public health law in a new century: Part I: Law as a tool to advance the community’s health’</w:t>
      </w:r>
      <w:r w:rsidR="00C33AAA">
        <w:t>,</w:t>
      </w:r>
      <w:r w:rsidRPr="00CA5BEA">
        <w:t xml:space="preserve"> (2000) 283(21) </w:t>
      </w:r>
      <w:r w:rsidRPr="00C33AAA">
        <w:rPr>
          <w:i/>
        </w:rPr>
        <w:t xml:space="preserve">Journal of the American Medical Association </w:t>
      </w:r>
      <w:r w:rsidRPr="00CA5BEA">
        <w:t xml:space="preserve">2837, </w:t>
      </w:r>
      <w:r w:rsidRPr="00CA5BEA">
        <w:rPr>
          <w:lang w:val="en-US"/>
        </w:rPr>
        <w:t>2838</w:t>
      </w:r>
    </w:p>
  </w:footnote>
  <w:footnote w:id="78">
    <w:p w14:paraId="541CB05D" w14:textId="3D3DDA49" w:rsidR="00C72D06" w:rsidRPr="00CA5BEA" w:rsidRDefault="00C72D06" w:rsidP="00C72D06">
      <w:pPr>
        <w:spacing w:after="0"/>
        <w:rPr>
          <w:sz w:val="20"/>
          <w:szCs w:val="20"/>
        </w:rPr>
      </w:pPr>
      <w:r w:rsidRPr="00CA5BEA">
        <w:rPr>
          <w:rStyle w:val="FootnoteReference"/>
          <w:sz w:val="20"/>
          <w:szCs w:val="20"/>
        </w:rPr>
        <w:footnoteRef/>
      </w:r>
      <w:r w:rsidRPr="00CA5BEA">
        <w:rPr>
          <w:sz w:val="20"/>
          <w:szCs w:val="20"/>
        </w:rPr>
        <w:t xml:space="preserve"> Kent </w:t>
      </w:r>
      <w:proofErr w:type="spellStart"/>
      <w:r w:rsidRPr="00CA5BEA">
        <w:rPr>
          <w:sz w:val="20"/>
          <w:szCs w:val="20"/>
        </w:rPr>
        <w:t>Buse</w:t>
      </w:r>
      <w:proofErr w:type="spellEnd"/>
      <w:r w:rsidRPr="00CA5BEA">
        <w:rPr>
          <w:sz w:val="20"/>
          <w:szCs w:val="20"/>
        </w:rPr>
        <w:t xml:space="preserve"> and Amalia </w:t>
      </w:r>
      <w:proofErr w:type="spellStart"/>
      <w:r w:rsidRPr="00CA5BEA">
        <w:rPr>
          <w:sz w:val="20"/>
          <w:szCs w:val="20"/>
        </w:rPr>
        <w:t>Waxman</w:t>
      </w:r>
      <w:proofErr w:type="spellEnd"/>
      <w:r w:rsidRPr="00CA5BEA">
        <w:rPr>
          <w:sz w:val="20"/>
          <w:szCs w:val="20"/>
        </w:rPr>
        <w:t>, ‘</w:t>
      </w:r>
      <w:r w:rsidRPr="00CA5BEA">
        <w:rPr>
          <w:bCs/>
          <w:sz w:val="20"/>
          <w:szCs w:val="20"/>
        </w:rPr>
        <w:t>Public-private health partnerships: a strategy for WHO’</w:t>
      </w:r>
      <w:r w:rsidR="00C33AAA">
        <w:rPr>
          <w:bCs/>
          <w:sz w:val="20"/>
          <w:szCs w:val="20"/>
        </w:rPr>
        <w:t>,</w:t>
      </w:r>
      <w:r w:rsidRPr="00CA5BEA">
        <w:rPr>
          <w:bCs/>
          <w:sz w:val="20"/>
          <w:szCs w:val="20"/>
        </w:rPr>
        <w:t xml:space="preserve"> </w:t>
      </w:r>
      <w:r w:rsidRPr="00CA5BEA">
        <w:rPr>
          <w:sz w:val="20"/>
          <w:szCs w:val="20"/>
        </w:rPr>
        <w:t xml:space="preserve">(2001) 79(8) </w:t>
      </w:r>
      <w:r w:rsidRPr="00C33AAA">
        <w:rPr>
          <w:i/>
          <w:sz w:val="20"/>
          <w:szCs w:val="20"/>
        </w:rPr>
        <w:t>Bulletin of the World Health Organization</w:t>
      </w:r>
      <w:r w:rsidRPr="00CA5BEA">
        <w:rPr>
          <w:sz w:val="20"/>
          <w:szCs w:val="20"/>
        </w:rPr>
        <w:t xml:space="preserve"> 748, 750</w:t>
      </w:r>
    </w:p>
  </w:footnote>
  <w:footnote w:id="79">
    <w:p w14:paraId="7659FEBA" w14:textId="08EBF94A" w:rsidR="00C72D06" w:rsidRPr="00CA5BEA" w:rsidRDefault="00C72D06" w:rsidP="00C72D06">
      <w:pPr>
        <w:pStyle w:val="FootnoteText"/>
      </w:pPr>
      <w:r w:rsidRPr="00CA5BEA">
        <w:rPr>
          <w:rStyle w:val="FootnoteReference"/>
        </w:rPr>
        <w:footnoteRef/>
      </w:r>
      <w:r w:rsidRPr="00CA5BEA">
        <w:t xml:space="preserve"> T Lang and G Rayner, ‘Ecological public health: the 21 century’s big idea? An essay by Tim Lang and </w:t>
      </w:r>
      <w:proofErr w:type="spellStart"/>
      <w:r w:rsidRPr="00CA5BEA">
        <w:t>Geof</w:t>
      </w:r>
      <w:proofErr w:type="spellEnd"/>
      <w:r w:rsidRPr="00CA5BEA">
        <w:t xml:space="preserve"> Rayner’</w:t>
      </w:r>
      <w:r w:rsidR="00C33AAA">
        <w:t>,</w:t>
      </w:r>
      <w:r w:rsidRPr="00CA5BEA">
        <w:t xml:space="preserve"> (2012) 345 </w:t>
      </w:r>
      <w:r w:rsidRPr="00C33AAA">
        <w:rPr>
          <w:i/>
        </w:rPr>
        <w:t>British Medical Journal</w:t>
      </w:r>
      <w:r w:rsidRPr="00CA5BEA">
        <w:t xml:space="preserve"> e5466. </w:t>
      </w:r>
    </w:p>
  </w:footnote>
  <w:footnote w:id="80">
    <w:p w14:paraId="651E9EC9" w14:textId="37444AFD" w:rsidR="00C72D06" w:rsidRPr="00CA5BEA" w:rsidRDefault="00C72D06" w:rsidP="00C72D06">
      <w:pPr>
        <w:pStyle w:val="FootnoteText"/>
      </w:pPr>
      <w:r w:rsidRPr="00CA5BEA">
        <w:rPr>
          <w:rStyle w:val="FootnoteReference"/>
        </w:rPr>
        <w:footnoteRef/>
      </w:r>
      <w:r w:rsidRPr="00CA5BEA">
        <w:t xml:space="preserve"> Hastings, 'Why corporate power is a public health priority', n 17 supra</w:t>
      </w:r>
    </w:p>
  </w:footnote>
  <w:footnote w:id="81">
    <w:p w14:paraId="62BE63F4" w14:textId="74275593" w:rsidR="00C72D06" w:rsidRPr="00CA5BEA" w:rsidRDefault="00C72D06" w:rsidP="00C72D06">
      <w:pPr>
        <w:pStyle w:val="FootnoteText"/>
      </w:pPr>
      <w:r w:rsidRPr="00CA5BEA">
        <w:rPr>
          <w:rStyle w:val="FootnoteReference"/>
        </w:rPr>
        <w:footnoteRef/>
      </w:r>
      <w:r w:rsidRPr="00CA5BEA">
        <w:t xml:space="preserve"> Lang and Rayner,</w:t>
      </w:r>
      <w:r>
        <w:t xml:space="preserve"> </w:t>
      </w:r>
      <w:r w:rsidRPr="00CA5BEA">
        <w:t>‘Ecological public health</w:t>
      </w:r>
      <w:r>
        <w:t>’,</w:t>
      </w:r>
      <w:r w:rsidR="0015488B">
        <w:t xml:space="preserve"> n 79</w:t>
      </w:r>
      <w:r w:rsidRPr="00CA5BEA">
        <w:t xml:space="preserve"> supra.</w:t>
      </w:r>
    </w:p>
  </w:footnote>
  <w:footnote w:id="82">
    <w:p w14:paraId="3D0D66CD" w14:textId="6806F1E2" w:rsidR="00C72D06" w:rsidRPr="00CA5BEA" w:rsidRDefault="00C72D06" w:rsidP="00C72D06">
      <w:pPr>
        <w:pStyle w:val="FootnoteText"/>
      </w:pPr>
      <w:r w:rsidRPr="00CA5BEA">
        <w:rPr>
          <w:rStyle w:val="FootnoteReference"/>
        </w:rPr>
        <w:footnoteRef/>
      </w:r>
      <w:r w:rsidRPr="00CA5BEA">
        <w:t xml:space="preserve"> Hastings, 'Why corporate power is a public health priority', n 17 supra.</w:t>
      </w:r>
    </w:p>
  </w:footnote>
  <w:footnote w:id="83">
    <w:p w14:paraId="462D942C" w14:textId="4E121C17" w:rsidR="00C72D06" w:rsidRPr="00CA5BEA" w:rsidRDefault="00C72D06" w:rsidP="00C72D06">
      <w:pPr>
        <w:pStyle w:val="FootnoteText"/>
      </w:pPr>
      <w:r w:rsidRPr="00CA5BEA">
        <w:rPr>
          <w:rStyle w:val="FootnoteReference"/>
        </w:rPr>
        <w:footnoteRef/>
      </w:r>
      <w:r w:rsidRPr="00CA5BEA">
        <w:t xml:space="preserve"> Lang and Rayner,</w:t>
      </w:r>
      <w:r>
        <w:t xml:space="preserve"> </w:t>
      </w:r>
      <w:r w:rsidRPr="00CA5BEA">
        <w:t>‘Ecological public health</w:t>
      </w:r>
      <w:r>
        <w:t>’,</w:t>
      </w:r>
      <w:r w:rsidR="0015488B">
        <w:t xml:space="preserve"> n 79</w:t>
      </w:r>
      <w:r w:rsidRPr="00CA5BEA">
        <w:t xml:space="preserve"> supra.</w:t>
      </w:r>
    </w:p>
  </w:footnote>
  <w:footnote w:id="84">
    <w:p w14:paraId="5D9A43AF" w14:textId="0CE5202D" w:rsidR="00C72D06" w:rsidRPr="00CA5BEA" w:rsidRDefault="00C72D06" w:rsidP="00C72D06">
      <w:pPr>
        <w:pStyle w:val="FootnoteText"/>
      </w:pPr>
      <w:r w:rsidRPr="00CA5BEA">
        <w:rPr>
          <w:rStyle w:val="FootnoteReference"/>
        </w:rPr>
        <w:footnoteRef/>
      </w:r>
      <w:r w:rsidRPr="00CA5BEA">
        <w:t xml:space="preserve"> See for example: G Hastings, </w:t>
      </w:r>
      <w:r w:rsidR="00C33AAA">
        <w:rPr>
          <w:i/>
        </w:rPr>
        <w:t>“</w:t>
      </w:r>
      <w:r w:rsidRPr="00CA5BEA">
        <w:rPr>
          <w:i/>
        </w:rPr>
        <w:t>They’ll drink</w:t>
      </w:r>
      <w:r w:rsidR="00C33AAA">
        <w:rPr>
          <w:i/>
        </w:rPr>
        <w:t xml:space="preserve"> bucket loads of the stuff”: an</w:t>
      </w:r>
      <w:r w:rsidRPr="00CA5BEA">
        <w:rPr>
          <w:i/>
        </w:rPr>
        <w:t xml:space="preserve"> analysis of internal alcohol industry advertising documents</w:t>
      </w:r>
      <w:r w:rsidRPr="00CA5BEA">
        <w:t xml:space="preserve"> (The Alcohol Education and Research Council</w:t>
      </w:r>
      <w:r w:rsidR="00C33AAA">
        <w:t>,</w:t>
      </w:r>
      <w:r w:rsidRPr="00CA5BEA">
        <w:t xml:space="preserve"> 2009); L </w:t>
      </w:r>
      <w:proofErr w:type="spellStart"/>
      <w:r w:rsidRPr="00CA5BEA">
        <w:t>Bero</w:t>
      </w:r>
      <w:proofErr w:type="spellEnd"/>
      <w:r w:rsidRPr="00CA5BEA">
        <w:t>, ‘Implications of the Tobacco Industry Documents for Public Health and Policy’</w:t>
      </w:r>
      <w:r w:rsidR="00C33AAA">
        <w:t>,</w:t>
      </w:r>
      <w:r w:rsidRPr="00CA5BEA">
        <w:t xml:space="preserve"> (2003) 24 </w:t>
      </w:r>
      <w:r w:rsidRPr="00C33AAA">
        <w:rPr>
          <w:i/>
        </w:rPr>
        <w:t>Annual Review of Public Health</w:t>
      </w:r>
      <w:r w:rsidRPr="00CA5BEA">
        <w:t xml:space="preserve"> 267; P Ling and S </w:t>
      </w:r>
      <w:proofErr w:type="spellStart"/>
      <w:r w:rsidRPr="00CA5BEA">
        <w:t>Glantz</w:t>
      </w:r>
      <w:proofErr w:type="spellEnd"/>
      <w:r w:rsidRPr="00CA5BEA">
        <w:t xml:space="preserve"> ‘Why and How the Tobacco Industry Sells Cigarettes to Young Adults: Evidence From Industry Documents’</w:t>
      </w:r>
      <w:r w:rsidR="00C33AAA">
        <w:t>,</w:t>
      </w:r>
      <w:r w:rsidRPr="00CA5BEA">
        <w:t xml:space="preserve"> (2002) 92(6) </w:t>
      </w:r>
      <w:r w:rsidRPr="00C33AAA">
        <w:rPr>
          <w:i/>
        </w:rPr>
        <w:t>American Journal of Public Health</w:t>
      </w:r>
      <w:r w:rsidRPr="00CA5BEA">
        <w:t xml:space="preserve"> 908</w:t>
      </w:r>
    </w:p>
  </w:footnote>
  <w:footnote w:id="85">
    <w:p w14:paraId="02237967" w14:textId="60273DA0" w:rsidR="00C72D06" w:rsidRPr="00CA5BEA" w:rsidRDefault="00C72D06" w:rsidP="00C72D06">
      <w:pPr>
        <w:pStyle w:val="FootnoteText"/>
      </w:pPr>
      <w:r w:rsidRPr="00CA5BEA">
        <w:rPr>
          <w:rStyle w:val="FootnoteReference"/>
        </w:rPr>
        <w:footnoteRef/>
      </w:r>
      <w:r w:rsidRPr="00CA5BEA">
        <w:t xml:space="preserve"> Oliver, 'The Politics of Public Health Policy'</w:t>
      </w:r>
      <w:r>
        <w:t>,</w:t>
      </w:r>
      <w:r w:rsidR="0015488B">
        <w:t xml:space="preserve"> n 24</w:t>
      </w:r>
      <w:r w:rsidRPr="00CA5BEA">
        <w:t xml:space="preserve"> supra, 199.</w:t>
      </w:r>
    </w:p>
  </w:footnote>
  <w:footnote w:id="86">
    <w:p w14:paraId="260B6122" w14:textId="6B294577" w:rsidR="00C72D06" w:rsidRPr="00CA5BEA" w:rsidRDefault="00C72D06" w:rsidP="00C72D06">
      <w:pPr>
        <w:pStyle w:val="FootnoteText"/>
      </w:pPr>
      <w:r w:rsidRPr="00CA5BEA">
        <w:rPr>
          <w:rStyle w:val="FootnoteReference"/>
        </w:rPr>
        <w:footnoteRef/>
      </w:r>
      <w:r w:rsidRPr="00CA5BEA">
        <w:t xml:space="preserve"> Oliver,</w:t>
      </w:r>
      <w:r>
        <w:t xml:space="preserve"> </w:t>
      </w:r>
      <w:r w:rsidRPr="00CA5BEA">
        <w:t>'The Politics of Public Health Policy'</w:t>
      </w:r>
      <w:r>
        <w:t>,</w:t>
      </w:r>
      <w:r w:rsidR="0015488B">
        <w:t xml:space="preserve"> n 24</w:t>
      </w:r>
      <w:r w:rsidRPr="00CA5BEA">
        <w:t xml:space="preserve"> supra, 200</w:t>
      </w:r>
    </w:p>
  </w:footnote>
  <w:footnote w:id="87">
    <w:p w14:paraId="2A976AB3" w14:textId="4D100636"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M Merry, ‘Paternalism, Obesity, and Tolerable Levels of Risk’</w:t>
      </w:r>
      <w:r w:rsidR="00C33AAA">
        <w:rPr>
          <w:rFonts w:eastAsia="Calibri" w:cs="Calibri"/>
          <w:sz w:val="20"/>
          <w:szCs w:val="20"/>
        </w:rPr>
        <w:t>,</w:t>
      </w:r>
      <w:r w:rsidRPr="00CA5BEA">
        <w:rPr>
          <w:rFonts w:eastAsia="Calibri" w:cs="Calibri"/>
          <w:sz w:val="20"/>
          <w:szCs w:val="20"/>
        </w:rPr>
        <w:t xml:space="preserve"> (2012) 20(1) </w:t>
      </w:r>
      <w:r w:rsidRPr="00C33AAA">
        <w:rPr>
          <w:rFonts w:eastAsia="Calibri" w:cs="Calibri"/>
          <w:i/>
          <w:sz w:val="20"/>
          <w:szCs w:val="20"/>
        </w:rPr>
        <w:t xml:space="preserve">Democracy and Education </w:t>
      </w:r>
      <w:r w:rsidRPr="00CA5BEA">
        <w:rPr>
          <w:rFonts w:eastAsia="Calibri" w:cs="Calibri"/>
          <w:sz w:val="20"/>
          <w:szCs w:val="20"/>
        </w:rPr>
        <w:t>1, 2</w:t>
      </w:r>
    </w:p>
  </w:footnote>
  <w:footnote w:id="88">
    <w:p w14:paraId="2A425ADE" w14:textId="5B66357D" w:rsidR="00C72D06" w:rsidRPr="00CA5BEA" w:rsidRDefault="00C72D06" w:rsidP="00C72D06">
      <w:pPr>
        <w:pStyle w:val="FootnoteText"/>
      </w:pPr>
      <w:r w:rsidRPr="00CA5BEA">
        <w:rPr>
          <w:rStyle w:val="FootnoteReference"/>
        </w:rPr>
        <w:footnoteRef/>
      </w:r>
      <w:r w:rsidRPr="00CA5BEA">
        <w:t xml:space="preserve"> For an example in the literature of such debate, see: J </w:t>
      </w:r>
      <w:proofErr w:type="spellStart"/>
      <w:r w:rsidRPr="00CA5BEA">
        <w:t>Blumenthal-Barby</w:t>
      </w:r>
      <w:proofErr w:type="spellEnd"/>
      <w:r w:rsidRPr="00CA5BEA">
        <w:t>, ‘Choice architecture: a mechanism for improving decisions while preserving liberty?’ in C Coons and M Weber (</w:t>
      </w:r>
      <w:proofErr w:type="spellStart"/>
      <w:r w:rsidRPr="00CA5BEA">
        <w:t>eds</w:t>
      </w:r>
      <w:proofErr w:type="spellEnd"/>
      <w:r w:rsidRPr="00CA5BEA">
        <w:t xml:space="preserve">), </w:t>
      </w:r>
      <w:r w:rsidRPr="00CA5BEA">
        <w:rPr>
          <w:i/>
        </w:rPr>
        <w:t>Paternalism: Theory and Practice</w:t>
      </w:r>
      <w:r w:rsidRPr="00CA5BEA">
        <w:t xml:space="preserve"> (Cambridge University Press, 2012),</w:t>
      </w:r>
      <w:r w:rsidRPr="00CA5BEA">
        <w:rPr>
          <w:i/>
        </w:rPr>
        <w:t xml:space="preserve"> </w:t>
      </w:r>
      <w:r w:rsidR="00C33AAA">
        <w:t>178</w:t>
      </w:r>
      <w:r w:rsidRPr="00CA5BEA">
        <w:t xml:space="preserve">. </w:t>
      </w:r>
    </w:p>
  </w:footnote>
  <w:footnote w:id="89">
    <w:p w14:paraId="219265C7" w14:textId="0AB105AF" w:rsidR="00C72D06" w:rsidRPr="00CA5BEA" w:rsidRDefault="00C72D06" w:rsidP="00C72D06">
      <w:pPr>
        <w:pStyle w:val="FootnoteText"/>
        <w:rPr>
          <w:lang w:val="en-US"/>
        </w:rPr>
      </w:pPr>
      <w:r w:rsidRPr="00CA5BEA">
        <w:rPr>
          <w:rStyle w:val="FootnoteReference"/>
        </w:rPr>
        <w:footnoteRef/>
      </w:r>
      <w:r w:rsidRPr="00CA5BEA">
        <w:t xml:space="preserve"> For an overview of nudge theory, see: </w:t>
      </w:r>
      <w:r w:rsidRPr="00CA5BEA">
        <w:rPr>
          <w:lang w:val="en-US"/>
        </w:rPr>
        <w:t xml:space="preserve">R Thaler and C </w:t>
      </w:r>
      <w:proofErr w:type="spellStart"/>
      <w:r w:rsidRPr="00CA5BEA">
        <w:rPr>
          <w:lang w:val="en-US"/>
        </w:rPr>
        <w:t>Sunstein</w:t>
      </w:r>
      <w:proofErr w:type="spellEnd"/>
      <w:r w:rsidRPr="00CA5BEA">
        <w:rPr>
          <w:lang w:val="en-US"/>
        </w:rPr>
        <w:t xml:space="preserve">, </w:t>
      </w:r>
      <w:r w:rsidRPr="00CA5BEA">
        <w:rPr>
          <w:i/>
          <w:lang w:val="en-US"/>
        </w:rPr>
        <w:t>Nudge: Improving decisions about health, wealth and happiness</w:t>
      </w:r>
      <w:r w:rsidR="00C33AAA">
        <w:rPr>
          <w:lang w:val="en-US"/>
        </w:rPr>
        <w:t xml:space="preserve"> (</w:t>
      </w:r>
      <w:r w:rsidRPr="00CA5BEA">
        <w:rPr>
          <w:lang w:val="en-US"/>
        </w:rPr>
        <w:t xml:space="preserve">Yale University Press, 2008); </w:t>
      </w:r>
      <w:r w:rsidRPr="00CA5BEA">
        <w:t xml:space="preserve">C </w:t>
      </w:r>
      <w:proofErr w:type="spellStart"/>
      <w:r w:rsidRPr="00CA5BEA">
        <w:t>Sunstein</w:t>
      </w:r>
      <w:proofErr w:type="spellEnd"/>
      <w:r w:rsidRPr="00CA5BEA">
        <w:t xml:space="preserve"> and R Thaler, ‘Libertarian paternalism is not an oxymoron’</w:t>
      </w:r>
      <w:r w:rsidR="00C33AAA">
        <w:t>,</w:t>
      </w:r>
      <w:r w:rsidRPr="00CA5BEA">
        <w:t xml:space="preserve"> (2003) 70(4) </w:t>
      </w:r>
      <w:r w:rsidRPr="00C33AAA">
        <w:rPr>
          <w:i/>
        </w:rPr>
        <w:t>The University of Chicago Law Review</w:t>
      </w:r>
      <w:r w:rsidR="00C33AAA">
        <w:t xml:space="preserve"> 1159.</w:t>
      </w:r>
    </w:p>
  </w:footnote>
  <w:footnote w:id="90">
    <w:p w14:paraId="4DEE5376" w14:textId="606CF4EE" w:rsidR="000445F5" w:rsidRPr="001F78E1" w:rsidRDefault="000445F5">
      <w:pPr>
        <w:pStyle w:val="FootnoteText"/>
        <w:rPr>
          <w:lang w:val="en-US"/>
        </w:rPr>
      </w:pPr>
      <w:r>
        <w:rPr>
          <w:rStyle w:val="FootnoteReference"/>
        </w:rPr>
        <w:footnoteRef/>
      </w:r>
      <w:r>
        <w:t xml:space="preserve"> </w:t>
      </w:r>
      <w:r w:rsidR="00220534">
        <w:rPr>
          <w:lang w:val="en-US"/>
        </w:rPr>
        <w:t xml:space="preserve">For an excellent explanation of how addictions develop, see B Alexander, </w:t>
      </w:r>
      <w:r w:rsidR="00220534">
        <w:rPr>
          <w:i/>
          <w:lang w:val="en-US"/>
        </w:rPr>
        <w:t>The globaliza</w:t>
      </w:r>
      <w:r w:rsidR="00674C90">
        <w:rPr>
          <w:i/>
          <w:lang w:val="en-US"/>
        </w:rPr>
        <w:t>tion of Addiction: A Study in Poverty of the Spirit</w:t>
      </w:r>
      <w:r w:rsidR="001F78E1">
        <w:rPr>
          <w:i/>
          <w:lang w:val="en-US"/>
        </w:rPr>
        <w:t xml:space="preserve"> </w:t>
      </w:r>
      <w:r w:rsidR="001F78E1">
        <w:rPr>
          <w:lang w:val="en-US"/>
        </w:rPr>
        <w:t>(Oxford University Press, 2008).</w:t>
      </w:r>
    </w:p>
  </w:footnote>
  <w:footnote w:id="91">
    <w:p w14:paraId="3BFE2758" w14:textId="77777777" w:rsidR="006F51B4" w:rsidRPr="00CA5BEA" w:rsidRDefault="006F51B4" w:rsidP="006F51B4">
      <w:pPr>
        <w:pStyle w:val="FootnoteText"/>
        <w:rPr>
          <w:lang w:val="en-US"/>
        </w:rPr>
      </w:pPr>
      <w:r w:rsidRPr="00CA5BEA">
        <w:rPr>
          <w:rStyle w:val="FootnoteReference"/>
        </w:rPr>
        <w:footnoteRef/>
      </w:r>
      <w:r w:rsidRPr="00CA5BEA">
        <w:t xml:space="preserve"> J Feinberg, ‘Legal Paternalism’</w:t>
      </w:r>
      <w:r>
        <w:t>,</w:t>
      </w:r>
      <w:r w:rsidRPr="00CA5BEA">
        <w:t xml:space="preserve"> (1971) 1(1) </w:t>
      </w:r>
      <w:r w:rsidRPr="00C33AAA">
        <w:rPr>
          <w:i/>
        </w:rPr>
        <w:t>Canadian Journal of Philosophy</w:t>
      </w:r>
      <w:r w:rsidRPr="00CA5BEA">
        <w:t xml:space="preserve"> 105, </w:t>
      </w:r>
      <w:r w:rsidRPr="00CA5BEA">
        <w:rPr>
          <w:lang w:val="en-US"/>
        </w:rPr>
        <w:t>115</w:t>
      </w:r>
    </w:p>
  </w:footnote>
  <w:footnote w:id="92">
    <w:p w14:paraId="3378D424" w14:textId="77777777" w:rsidR="006F51B4" w:rsidRPr="00CA5BEA" w:rsidRDefault="006F51B4" w:rsidP="006F51B4">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J Mill, ‘On liberty’, in B Wishy (Ed.) </w:t>
      </w:r>
      <w:r w:rsidRPr="00CA5BEA">
        <w:rPr>
          <w:rFonts w:eastAsia="Calibri" w:cs="Calibri"/>
          <w:i/>
          <w:sz w:val="20"/>
          <w:szCs w:val="20"/>
        </w:rPr>
        <w:t>Prefaces to Liberty: Selected Writings</w:t>
      </w:r>
      <w:r>
        <w:rPr>
          <w:rFonts w:eastAsia="Calibri" w:cs="Calibri"/>
          <w:sz w:val="20"/>
          <w:szCs w:val="20"/>
        </w:rPr>
        <w:t xml:space="preserve"> (</w:t>
      </w:r>
      <w:r w:rsidRPr="00CA5BEA">
        <w:rPr>
          <w:rFonts w:eastAsia="Calibri" w:cs="Calibri"/>
          <w:sz w:val="20"/>
          <w:szCs w:val="20"/>
        </w:rPr>
        <w:t>University Press America, 1959).</w:t>
      </w:r>
    </w:p>
  </w:footnote>
  <w:footnote w:id="93">
    <w:p w14:paraId="474C163C" w14:textId="4433B210"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D Beauchamp, ‘Public health and individual liberty’</w:t>
      </w:r>
      <w:r w:rsidR="00C33AAA">
        <w:rPr>
          <w:rFonts w:eastAsia="Calibri" w:cs="Calibri"/>
          <w:sz w:val="20"/>
          <w:szCs w:val="20"/>
        </w:rPr>
        <w:t>,</w:t>
      </w:r>
      <w:r w:rsidRPr="00CA5BEA">
        <w:rPr>
          <w:rFonts w:eastAsia="Calibri" w:cs="Calibri"/>
          <w:sz w:val="20"/>
          <w:szCs w:val="20"/>
        </w:rPr>
        <w:t xml:space="preserve"> (1980) 1 </w:t>
      </w:r>
      <w:r w:rsidRPr="00C33AAA">
        <w:rPr>
          <w:rFonts w:eastAsia="Calibri" w:cs="Calibri"/>
          <w:i/>
          <w:sz w:val="20"/>
          <w:szCs w:val="20"/>
        </w:rPr>
        <w:t>Annual Review of Public Health</w:t>
      </w:r>
      <w:r w:rsidRPr="00CA5BEA">
        <w:rPr>
          <w:rFonts w:eastAsia="Calibri" w:cs="Calibri"/>
          <w:sz w:val="20"/>
          <w:szCs w:val="20"/>
        </w:rPr>
        <w:t xml:space="preserve"> 121, 126</w:t>
      </w:r>
    </w:p>
  </w:footnote>
  <w:footnote w:id="94">
    <w:p w14:paraId="4CFDDF3A" w14:textId="0E42DF17" w:rsidR="00C72D06" w:rsidRPr="00CA5BEA" w:rsidRDefault="00C72D06" w:rsidP="00C72D06">
      <w:pPr>
        <w:pStyle w:val="FootnoteText"/>
        <w:rPr>
          <w:lang w:val="en-US"/>
        </w:rPr>
      </w:pPr>
      <w:r w:rsidRPr="00CA5BEA">
        <w:rPr>
          <w:rStyle w:val="FootnoteReference"/>
        </w:rPr>
        <w:footnoteRef/>
      </w:r>
      <w:r w:rsidRPr="00CA5BEA">
        <w:t xml:space="preserve"> </w:t>
      </w:r>
      <w:r w:rsidRPr="00CA5BEA">
        <w:rPr>
          <w:rFonts w:eastAsia="Calibri" w:cs="Calibri"/>
        </w:rPr>
        <w:t>S Holm, ‘Obesity interventions and ethics’</w:t>
      </w:r>
      <w:r w:rsidR="00C33AAA">
        <w:rPr>
          <w:rFonts w:eastAsia="Calibri" w:cs="Calibri"/>
        </w:rPr>
        <w:t>,</w:t>
      </w:r>
      <w:r w:rsidRPr="00CA5BEA">
        <w:rPr>
          <w:rFonts w:eastAsia="Calibri" w:cs="Calibri"/>
        </w:rPr>
        <w:t xml:space="preserve"> (2007) 8(</w:t>
      </w:r>
      <w:proofErr w:type="spellStart"/>
      <w:r w:rsidRPr="00CA5BEA">
        <w:rPr>
          <w:rFonts w:eastAsia="Calibri" w:cs="Calibri"/>
        </w:rPr>
        <w:t>Suppl</w:t>
      </w:r>
      <w:proofErr w:type="spellEnd"/>
      <w:r w:rsidRPr="00CA5BEA">
        <w:rPr>
          <w:rFonts w:eastAsia="Calibri" w:cs="Calibri"/>
        </w:rPr>
        <w:t xml:space="preserve">. 1) </w:t>
      </w:r>
      <w:r w:rsidRPr="00C33AAA">
        <w:rPr>
          <w:rFonts w:eastAsia="Calibri" w:cs="Calibri"/>
          <w:i/>
        </w:rPr>
        <w:t>Obesity Reviews</w:t>
      </w:r>
      <w:r w:rsidRPr="00CA5BEA">
        <w:rPr>
          <w:rFonts w:eastAsia="Calibri" w:cs="Calibri"/>
        </w:rPr>
        <w:t xml:space="preserve"> 207, 207</w:t>
      </w:r>
    </w:p>
  </w:footnote>
  <w:footnote w:id="95">
    <w:p w14:paraId="42698F55" w14:textId="36752F93" w:rsidR="00C72D06" w:rsidRPr="00CA5BEA" w:rsidRDefault="00C72D06" w:rsidP="00C72D06">
      <w:pPr>
        <w:pStyle w:val="FootnoteText"/>
      </w:pPr>
      <w:r w:rsidRPr="00CA5BEA">
        <w:rPr>
          <w:rStyle w:val="FootnoteReference"/>
        </w:rPr>
        <w:footnoteRef/>
      </w:r>
      <w:r w:rsidRPr="00CA5BEA">
        <w:t xml:space="preserve"> L Gostin and K Gostin, ‘A broader liberty: J.S. Mill, paternalism and the public’s health’</w:t>
      </w:r>
      <w:r w:rsidR="00C33AAA">
        <w:t>,</w:t>
      </w:r>
      <w:r w:rsidRPr="00CA5BEA">
        <w:t xml:space="preserve"> (2009) 123(3) </w:t>
      </w:r>
      <w:r w:rsidRPr="00C33AAA">
        <w:rPr>
          <w:i/>
        </w:rPr>
        <w:t>Public Health</w:t>
      </w:r>
      <w:r w:rsidRPr="00CA5BEA">
        <w:t xml:space="preserve"> 214,215</w:t>
      </w:r>
    </w:p>
  </w:footnote>
  <w:footnote w:id="96">
    <w:p w14:paraId="5829E4EE" w14:textId="2324A2ED"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R </w:t>
      </w:r>
      <w:proofErr w:type="spellStart"/>
      <w:r w:rsidRPr="00CA5BEA">
        <w:rPr>
          <w:rFonts w:eastAsia="Calibri" w:cs="Calibri"/>
          <w:sz w:val="20"/>
          <w:szCs w:val="20"/>
        </w:rPr>
        <w:t>Upshur</w:t>
      </w:r>
      <w:proofErr w:type="spellEnd"/>
      <w:r w:rsidRPr="00CA5BEA">
        <w:rPr>
          <w:rFonts w:eastAsia="Calibri" w:cs="Calibri"/>
          <w:sz w:val="20"/>
          <w:szCs w:val="20"/>
        </w:rPr>
        <w:t>, ‘Principles for the justification of public health intervention’</w:t>
      </w:r>
      <w:r w:rsidR="00C33AAA">
        <w:rPr>
          <w:rFonts w:eastAsia="Calibri" w:cs="Calibri"/>
          <w:sz w:val="20"/>
          <w:szCs w:val="20"/>
        </w:rPr>
        <w:t>,</w:t>
      </w:r>
      <w:r w:rsidRPr="00CA5BEA">
        <w:rPr>
          <w:rFonts w:eastAsia="Calibri" w:cs="Calibri"/>
          <w:sz w:val="20"/>
          <w:szCs w:val="20"/>
        </w:rPr>
        <w:t xml:space="preserve"> (2002) 93(2) </w:t>
      </w:r>
      <w:r w:rsidRPr="00C33AAA">
        <w:rPr>
          <w:rFonts w:eastAsia="Calibri" w:cs="Calibri"/>
          <w:i/>
          <w:sz w:val="20"/>
          <w:szCs w:val="20"/>
        </w:rPr>
        <w:t>Canadian Journal of Public Health</w:t>
      </w:r>
      <w:r w:rsidRPr="00CA5BEA">
        <w:rPr>
          <w:rFonts w:eastAsia="Calibri" w:cs="Calibri"/>
          <w:sz w:val="20"/>
          <w:szCs w:val="20"/>
        </w:rPr>
        <w:t xml:space="preserve"> 101, 102</w:t>
      </w:r>
    </w:p>
  </w:footnote>
  <w:footnote w:id="97">
    <w:p w14:paraId="1CB626CC" w14:textId="7FA33A6F" w:rsidR="00F17610" w:rsidRPr="00F17610" w:rsidRDefault="00F17610">
      <w:pPr>
        <w:pStyle w:val="FootnoteText"/>
        <w:rPr>
          <w:lang w:val="en-US"/>
        </w:rPr>
      </w:pPr>
      <w:r>
        <w:rPr>
          <w:rStyle w:val="FootnoteReference"/>
        </w:rPr>
        <w:footnoteRef/>
      </w:r>
      <w:r>
        <w:t xml:space="preserve"> </w:t>
      </w:r>
      <w:r>
        <w:rPr>
          <w:lang w:val="en-US"/>
        </w:rPr>
        <w:t xml:space="preserve">Article 12 of the International </w:t>
      </w:r>
      <w:r w:rsidR="00166B6F">
        <w:rPr>
          <w:lang w:val="en-US"/>
        </w:rPr>
        <w:t>Covenant</w:t>
      </w:r>
      <w:r>
        <w:rPr>
          <w:lang w:val="en-US"/>
        </w:rPr>
        <w:t xml:space="preserve"> on Economic, Social and Cultural Rights, </w:t>
      </w:r>
      <w:r w:rsidR="00012D11">
        <w:rPr>
          <w:lang w:val="en-US"/>
        </w:rPr>
        <w:t>3 January 1976, 993 UNTS 3; Article 35 of the European Charter of Fundamental Rights</w:t>
      </w:r>
      <w:r w:rsidR="00951C86">
        <w:rPr>
          <w:lang w:val="en-US"/>
        </w:rPr>
        <w:t xml:space="preserve"> [2012] OJ C 326, 26.10.2012, 391</w:t>
      </w:r>
      <w:r w:rsidR="00505A64">
        <w:rPr>
          <w:lang w:val="en-US"/>
        </w:rPr>
        <w:t xml:space="preserve">-407. </w:t>
      </w:r>
    </w:p>
  </w:footnote>
  <w:footnote w:id="98">
    <w:p w14:paraId="3C23BB0E" w14:textId="0E8FCA82" w:rsidR="005F4D6B" w:rsidRPr="005F4D6B" w:rsidRDefault="005F4D6B">
      <w:pPr>
        <w:pStyle w:val="FootnoteText"/>
        <w:rPr>
          <w:lang w:val="en-US"/>
        </w:rPr>
      </w:pPr>
      <w:r>
        <w:rPr>
          <w:rStyle w:val="FootnoteReference"/>
        </w:rPr>
        <w:footnoteRef/>
      </w:r>
      <w:r>
        <w:t xml:space="preserve"> </w:t>
      </w:r>
      <w:r w:rsidR="0052092F">
        <w:rPr>
          <w:lang w:val="en-US"/>
        </w:rPr>
        <w:t xml:space="preserve">Articles 7, 10 and 11 of the European Charter of Fundamental Rights </w:t>
      </w:r>
      <w:r w:rsidR="00FE5837">
        <w:rPr>
          <w:lang w:val="en-US"/>
        </w:rPr>
        <w:t xml:space="preserve">[2010] OJ C 326, 26.10.2012, 391-407. </w:t>
      </w:r>
    </w:p>
  </w:footnote>
  <w:footnote w:id="99">
    <w:p w14:paraId="35C08A61" w14:textId="7D771D45" w:rsidR="00F90B6C" w:rsidRPr="00CA5BEA" w:rsidRDefault="00F90B6C" w:rsidP="00F90B6C">
      <w:pPr>
        <w:pStyle w:val="FootnoteText"/>
        <w:rPr>
          <w:lang w:val="en-US"/>
        </w:rPr>
      </w:pPr>
      <w:r w:rsidRPr="00CA5BEA">
        <w:rPr>
          <w:rStyle w:val="FootnoteReference"/>
        </w:rPr>
        <w:footnoteRef/>
      </w:r>
      <w:r w:rsidRPr="00CA5BEA">
        <w:t xml:space="preserve"> For example: </w:t>
      </w:r>
      <w:proofErr w:type="spellStart"/>
      <w:r w:rsidRPr="00CA5BEA">
        <w:t>Conly</w:t>
      </w:r>
      <w:proofErr w:type="spellEnd"/>
      <w:r w:rsidRPr="00CA5BEA">
        <w:t xml:space="preserve">, </w:t>
      </w:r>
      <w:r w:rsidRPr="00CA5BEA">
        <w:rPr>
          <w:i/>
        </w:rPr>
        <w:t>Against Autonomy</w:t>
      </w:r>
      <w:r>
        <w:rPr>
          <w:i/>
        </w:rPr>
        <w:t>,</w:t>
      </w:r>
      <w:r w:rsidR="00541433">
        <w:t xml:space="preserve"> n 73</w:t>
      </w:r>
      <w:r w:rsidRPr="00CA5BEA">
        <w:t xml:space="preserve"> supra; D </w:t>
      </w:r>
      <w:proofErr w:type="spellStart"/>
      <w:r w:rsidRPr="00CA5BEA">
        <w:t>Scoccia</w:t>
      </w:r>
      <w:proofErr w:type="spellEnd"/>
      <w:r w:rsidRPr="00CA5BEA">
        <w:t xml:space="preserve">, ‘In </w:t>
      </w:r>
      <w:proofErr w:type="spellStart"/>
      <w:r w:rsidRPr="00CA5BEA">
        <w:t>defense</w:t>
      </w:r>
      <w:proofErr w:type="spellEnd"/>
      <w:r w:rsidRPr="00CA5BEA">
        <w:t xml:space="preserve"> of hard paternalism’</w:t>
      </w:r>
      <w:r>
        <w:t>,</w:t>
      </w:r>
      <w:r w:rsidRPr="00CA5BEA">
        <w:t xml:space="preserve"> (2008) 27 </w:t>
      </w:r>
      <w:r w:rsidRPr="00C33AAA">
        <w:rPr>
          <w:i/>
        </w:rPr>
        <w:t>Law and Philosophy</w:t>
      </w:r>
      <w:r w:rsidRPr="00CA5BEA">
        <w:t xml:space="preserve"> 351.</w:t>
      </w:r>
    </w:p>
  </w:footnote>
  <w:footnote w:id="100">
    <w:p w14:paraId="370D8E0F" w14:textId="28220410" w:rsidR="00C72D06" w:rsidRPr="00CA5BEA" w:rsidRDefault="00C72D06" w:rsidP="00C72D06">
      <w:pPr>
        <w:autoSpaceDE w:val="0"/>
        <w:autoSpaceDN w:val="0"/>
        <w:adjustRightInd w:val="0"/>
        <w:spacing w:after="0"/>
        <w:rPr>
          <w:sz w:val="20"/>
          <w:szCs w:val="20"/>
        </w:rPr>
      </w:pPr>
      <w:r w:rsidRPr="00CA5BEA">
        <w:rPr>
          <w:rFonts w:eastAsia="Calibri" w:cs="Calibri"/>
          <w:sz w:val="20"/>
          <w:szCs w:val="20"/>
          <w:vertAlign w:val="superscript"/>
        </w:rPr>
        <w:footnoteRef/>
      </w:r>
      <w:r w:rsidRPr="00CA5BEA">
        <w:rPr>
          <w:rFonts w:eastAsia="Calibri" w:cs="Calibri"/>
          <w:sz w:val="20"/>
          <w:szCs w:val="20"/>
        </w:rPr>
        <w:t xml:space="preserve"> </w:t>
      </w:r>
      <w:r w:rsidRPr="00CA5BEA">
        <w:rPr>
          <w:sz w:val="20"/>
          <w:szCs w:val="20"/>
        </w:rPr>
        <w:t>T Pope, ‘Balancing public health against individual liberty: the ethics of smoking regulations’</w:t>
      </w:r>
      <w:r w:rsidR="00C33AAA">
        <w:rPr>
          <w:sz w:val="20"/>
          <w:szCs w:val="20"/>
        </w:rPr>
        <w:t>,</w:t>
      </w:r>
      <w:r w:rsidRPr="00CA5BEA">
        <w:rPr>
          <w:sz w:val="20"/>
          <w:szCs w:val="20"/>
        </w:rPr>
        <w:t xml:space="preserve"> (2000) 61 </w:t>
      </w:r>
      <w:r w:rsidRPr="00C33AAA">
        <w:rPr>
          <w:i/>
          <w:sz w:val="20"/>
          <w:szCs w:val="20"/>
        </w:rPr>
        <w:t>University of Pittsburgh Law Review</w:t>
      </w:r>
      <w:r w:rsidRPr="00CA5BEA">
        <w:rPr>
          <w:sz w:val="20"/>
          <w:szCs w:val="20"/>
        </w:rPr>
        <w:t xml:space="preserve"> 419</w:t>
      </w:r>
      <w:r w:rsidRPr="00CA5BEA">
        <w:rPr>
          <w:rFonts w:eastAsia="Calibri" w:cs="Calibri"/>
          <w:sz w:val="20"/>
          <w:szCs w:val="20"/>
        </w:rPr>
        <w:t>, 435</w:t>
      </w:r>
    </w:p>
  </w:footnote>
  <w:footnote w:id="101">
    <w:p w14:paraId="1E0FAA32" w14:textId="308A29FD" w:rsidR="00C72D06" w:rsidRPr="006764B9" w:rsidRDefault="00C72D06" w:rsidP="00C72D06">
      <w:pPr>
        <w:autoSpaceDE w:val="0"/>
        <w:autoSpaceDN w:val="0"/>
        <w:adjustRightInd w:val="0"/>
        <w:spacing w:after="0"/>
        <w:rPr>
          <w:color w:val="000000" w:themeColor="text1"/>
          <w:sz w:val="20"/>
          <w:szCs w:val="20"/>
        </w:rPr>
      </w:pPr>
      <w:r w:rsidRPr="00CA5BEA">
        <w:rPr>
          <w:rFonts w:eastAsia="Calibri" w:cs="Calibri"/>
          <w:sz w:val="20"/>
          <w:szCs w:val="20"/>
          <w:vertAlign w:val="superscript"/>
        </w:rPr>
        <w:footnoteRef/>
      </w:r>
      <w:r w:rsidRPr="00CA5BEA">
        <w:rPr>
          <w:rFonts w:eastAsia="Calibri" w:cs="Calibri"/>
          <w:sz w:val="20"/>
          <w:szCs w:val="20"/>
        </w:rPr>
        <w:t xml:space="preserve"> D Ross, ‘Addictive, impulsive and other counter-normative consumption’ in V Wells and G </w:t>
      </w:r>
      <w:proofErr w:type="spellStart"/>
      <w:r w:rsidRPr="006764B9">
        <w:rPr>
          <w:rFonts w:eastAsia="Calibri" w:cs="Calibri"/>
          <w:color w:val="000000" w:themeColor="text1"/>
          <w:sz w:val="20"/>
          <w:szCs w:val="20"/>
        </w:rPr>
        <w:t>Foxall</w:t>
      </w:r>
      <w:proofErr w:type="spellEnd"/>
      <w:r w:rsidRPr="006764B9">
        <w:rPr>
          <w:rFonts w:eastAsia="Calibri" w:cs="Calibri"/>
          <w:color w:val="000000" w:themeColor="text1"/>
          <w:sz w:val="20"/>
          <w:szCs w:val="20"/>
        </w:rPr>
        <w:t xml:space="preserve"> (</w:t>
      </w:r>
      <w:proofErr w:type="spellStart"/>
      <w:r w:rsidRPr="006764B9">
        <w:rPr>
          <w:rFonts w:eastAsia="Calibri" w:cs="Calibri"/>
          <w:color w:val="000000" w:themeColor="text1"/>
          <w:sz w:val="20"/>
          <w:szCs w:val="20"/>
        </w:rPr>
        <w:t>eds</w:t>
      </w:r>
      <w:proofErr w:type="spellEnd"/>
      <w:r w:rsidRPr="006764B9">
        <w:rPr>
          <w:rFonts w:eastAsia="Calibri" w:cs="Calibri"/>
          <w:color w:val="000000" w:themeColor="text1"/>
          <w:sz w:val="20"/>
          <w:szCs w:val="20"/>
        </w:rPr>
        <w:t xml:space="preserve">), </w:t>
      </w:r>
      <w:r w:rsidRPr="006764B9">
        <w:rPr>
          <w:rFonts w:eastAsia="Calibri" w:cs="Calibri"/>
          <w:i/>
          <w:color w:val="000000" w:themeColor="text1"/>
          <w:sz w:val="20"/>
          <w:szCs w:val="20"/>
        </w:rPr>
        <w:t xml:space="preserve">Handbook of Developments in Consumer </w:t>
      </w:r>
      <w:r w:rsidR="00C33AAA" w:rsidRPr="006764B9">
        <w:rPr>
          <w:rFonts w:eastAsia="Calibri" w:cs="Calibri"/>
          <w:i/>
          <w:color w:val="000000" w:themeColor="text1"/>
          <w:sz w:val="20"/>
          <w:szCs w:val="20"/>
        </w:rPr>
        <w:t>Behaviour</w:t>
      </w:r>
      <w:r w:rsidR="00C33AAA" w:rsidRPr="006764B9">
        <w:rPr>
          <w:rFonts w:eastAsia="Calibri" w:cs="Calibri"/>
          <w:color w:val="000000" w:themeColor="text1"/>
          <w:sz w:val="20"/>
          <w:szCs w:val="20"/>
        </w:rPr>
        <w:t xml:space="preserve"> (</w:t>
      </w:r>
      <w:r w:rsidRPr="006764B9">
        <w:rPr>
          <w:rFonts w:eastAsia="Calibri" w:cs="Calibri"/>
          <w:color w:val="000000" w:themeColor="text1"/>
          <w:sz w:val="20"/>
          <w:szCs w:val="20"/>
        </w:rPr>
        <w:t>Edward Elgar, 2012)</w:t>
      </w:r>
      <w:r w:rsidR="002E66B4">
        <w:rPr>
          <w:rFonts w:eastAsia="Calibri" w:cs="Calibri"/>
          <w:color w:val="000000" w:themeColor="text1"/>
          <w:sz w:val="20"/>
          <w:szCs w:val="20"/>
          <w:lang w:val="en-US"/>
        </w:rPr>
        <w:t>,</w:t>
      </w:r>
      <w:r w:rsidRPr="006764B9">
        <w:rPr>
          <w:rFonts w:eastAsia="Calibri" w:cs="Calibri"/>
          <w:color w:val="000000" w:themeColor="text1"/>
          <w:sz w:val="20"/>
          <w:szCs w:val="20"/>
        </w:rPr>
        <w:t xml:space="preserve"> 328</w:t>
      </w:r>
    </w:p>
  </w:footnote>
  <w:footnote w:id="102">
    <w:p w14:paraId="583C9D44" w14:textId="512ACA27" w:rsidR="00357323" w:rsidRPr="006764B9" w:rsidRDefault="00357323" w:rsidP="00357323">
      <w:pPr>
        <w:autoSpaceDE w:val="0"/>
        <w:autoSpaceDN w:val="0"/>
        <w:adjustRightInd w:val="0"/>
        <w:rPr>
          <w:rFonts w:ascii="Cambria" w:hAnsi="Cambria"/>
          <w:color w:val="000000" w:themeColor="text1"/>
        </w:rPr>
      </w:pPr>
      <w:r w:rsidRPr="006764B9">
        <w:rPr>
          <w:rFonts w:ascii="Calibri" w:eastAsia="Calibri" w:hAnsi="Calibri" w:cs="Calibri"/>
          <w:color w:val="000000" w:themeColor="text1"/>
          <w:sz w:val="20"/>
          <w:szCs w:val="24"/>
          <w:vertAlign w:val="superscript"/>
        </w:rPr>
        <w:footnoteRef/>
      </w:r>
      <w:r w:rsidRPr="006764B9">
        <w:rPr>
          <w:rFonts w:ascii="Calibri" w:eastAsia="Calibri" w:hAnsi="Calibri" w:cs="Calibri"/>
          <w:color w:val="000000" w:themeColor="text1"/>
          <w:sz w:val="24"/>
          <w:szCs w:val="24"/>
        </w:rPr>
        <w:t xml:space="preserve"> </w:t>
      </w:r>
      <w:r w:rsidRPr="006764B9">
        <w:rPr>
          <w:rFonts w:ascii="Cambria" w:eastAsia="Calibri" w:hAnsi="Cambria" w:cs="Calibri"/>
          <w:color w:val="000000" w:themeColor="text1"/>
          <w:sz w:val="20"/>
          <w:szCs w:val="24"/>
        </w:rPr>
        <w:t>L Lee, ‘Public health ethics theory: Review and path to convergence’</w:t>
      </w:r>
      <w:r w:rsidR="002E66B4">
        <w:rPr>
          <w:rFonts w:ascii="Cambria" w:eastAsia="Calibri" w:hAnsi="Cambria" w:cs="Calibri"/>
          <w:color w:val="000000" w:themeColor="text1"/>
          <w:sz w:val="20"/>
          <w:szCs w:val="24"/>
          <w:lang w:val="en-US"/>
        </w:rPr>
        <w:t>,</w:t>
      </w:r>
      <w:r w:rsidRPr="006764B9">
        <w:rPr>
          <w:rFonts w:ascii="Cambria" w:eastAsia="Calibri" w:hAnsi="Cambria" w:cs="Calibri"/>
          <w:color w:val="000000" w:themeColor="text1"/>
          <w:sz w:val="20"/>
          <w:szCs w:val="24"/>
        </w:rPr>
        <w:t xml:space="preserve"> (2012) 40(1) </w:t>
      </w:r>
      <w:r w:rsidRPr="003E6EB5">
        <w:rPr>
          <w:rFonts w:ascii="Cambria" w:eastAsia="Calibri" w:hAnsi="Cambria" w:cs="Calibri"/>
          <w:i/>
          <w:color w:val="000000" w:themeColor="text1"/>
          <w:sz w:val="20"/>
          <w:szCs w:val="24"/>
        </w:rPr>
        <w:t>Journal of Law, Medicine and Ethics</w:t>
      </w:r>
      <w:r w:rsidRPr="006764B9">
        <w:rPr>
          <w:rFonts w:ascii="Cambria" w:eastAsia="Calibri" w:hAnsi="Cambria" w:cs="Calibri"/>
          <w:color w:val="000000" w:themeColor="text1"/>
          <w:sz w:val="20"/>
          <w:szCs w:val="24"/>
        </w:rPr>
        <w:t xml:space="preserve"> 85, 86</w:t>
      </w:r>
    </w:p>
  </w:footnote>
  <w:footnote w:id="103">
    <w:p w14:paraId="1C8EC002" w14:textId="5966E2E2" w:rsidR="00AD3DD7" w:rsidRPr="002E66B4" w:rsidRDefault="00AD3DD7" w:rsidP="00AD3DD7">
      <w:pPr>
        <w:pStyle w:val="FootnoteText"/>
        <w:rPr>
          <w:lang w:val="en-US"/>
        </w:rPr>
      </w:pPr>
      <w:r>
        <w:rPr>
          <w:rStyle w:val="FootnoteReference"/>
        </w:rPr>
        <w:footnoteRef/>
      </w:r>
      <w:r>
        <w:t xml:space="preserve"> Nuffield Council on Bioethics, Public</w:t>
      </w:r>
      <w:r w:rsidR="002E66B4">
        <w:t xml:space="preserve"> Health: Ethical Issues (</w:t>
      </w:r>
    </w:p>
    <w:p w14:paraId="2B68CD3E" w14:textId="5B1ADC81" w:rsidR="00AD3DD7" w:rsidRDefault="00AD3DD7" w:rsidP="00AD3DD7">
      <w:pPr>
        <w:pStyle w:val="FootnoteText"/>
      </w:pPr>
      <w:r>
        <w:t>Nuffield Council on Bioethics</w:t>
      </w:r>
      <w:r w:rsidR="002E66B4">
        <w:rPr>
          <w:lang w:val="en-US"/>
        </w:rPr>
        <w:t>,</w:t>
      </w:r>
      <w:r>
        <w:t xml:space="preserve"> 2007), 25</w:t>
      </w:r>
    </w:p>
  </w:footnote>
  <w:footnote w:id="104">
    <w:p w14:paraId="46418D89" w14:textId="06AD8948" w:rsidR="00E80411" w:rsidRPr="00E80411" w:rsidRDefault="00E80411">
      <w:pPr>
        <w:pStyle w:val="FootnoteText"/>
        <w:rPr>
          <w:lang w:val="en-US"/>
        </w:rPr>
      </w:pPr>
      <w:r>
        <w:rPr>
          <w:rStyle w:val="FootnoteReference"/>
        </w:rPr>
        <w:footnoteRef/>
      </w:r>
      <w:r>
        <w:t xml:space="preserve"> </w:t>
      </w:r>
      <w:r w:rsidR="00150635">
        <w:rPr>
          <w:lang w:val="en-US"/>
        </w:rPr>
        <w:t>T Baldwin et al, ‘</w:t>
      </w:r>
      <w:r w:rsidR="00F07145">
        <w:rPr>
          <w:lang w:val="en-US"/>
        </w:rPr>
        <w:t xml:space="preserve">Stewardship, paternalism and </w:t>
      </w:r>
      <w:r w:rsidR="00C56111">
        <w:rPr>
          <w:lang w:val="en-US"/>
        </w:rPr>
        <w:t xml:space="preserve">public health: further thoughts’, (2009) 2(1) </w:t>
      </w:r>
      <w:r w:rsidR="00C56111" w:rsidRPr="003E6EB5">
        <w:rPr>
          <w:i/>
          <w:lang w:val="en-US"/>
        </w:rPr>
        <w:t xml:space="preserve">Public </w:t>
      </w:r>
      <w:r w:rsidR="008F01FB" w:rsidRPr="003E6EB5">
        <w:rPr>
          <w:i/>
          <w:lang w:val="en-US"/>
        </w:rPr>
        <w:t>Health</w:t>
      </w:r>
      <w:r w:rsidR="00C56111" w:rsidRPr="003E6EB5">
        <w:rPr>
          <w:i/>
          <w:lang w:val="en-US"/>
        </w:rPr>
        <w:t xml:space="preserve"> Ethics</w:t>
      </w:r>
      <w:r w:rsidR="0057118C" w:rsidRPr="003E6EB5">
        <w:rPr>
          <w:i/>
          <w:lang w:val="en-US"/>
        </w:rPr>
        <w:t xml:space="preserve"> </w:t>
      </w:r>
      <w:r w:rsidR="0057118C">
        <w:rPr>
          <w:lang w:val="en-US"/>
        </w:rPr>
        <w:t>113, 116</w:t>
      </w:r>
    </w:p>
  </w:footnote>
  <w:footnote w:id="105">
    <w:p w14:paraId="5E5E9763" w14:textId="3C1D598F" w:rsidR="00251EE5" w:rsidRPr="000A71D1" w:rsidRDefault="00251EE5">
      <w:pPr>
        <w:pStyle w:val="FootnoteText"/>
        <w:rPr>
          <w:lang w:val="en-US"/>
        </w:rPr>
      </w:pPr>
      <w:r>
        <w:rPr>
          <w:rStyle w:val="FootnoteReference"/>
        </w:rPr>
        <w:footnoteRef/>
      </w:r>
      <w:r>
        <w:t xml:space="preserve"> </w:t>
      </w:r>
      <w:r w:rsidR="000A71D1">
        <w:rPr>
          <w:lang w:val="en-US"/>
        </w:rPr>
        <w:t xml:space="preserve">Directive 2014/40/EU, OJ L 127/1, 29.4.2014, </w:t>
      </w:r>
    </w:p>
  </w:footnote>
  <w:footnote w:id="106">
    <w:p w14:paraId="4BDB7204" w14:textId="2EFA0D88" w:rsidR="001F472E" w:rsidRPr="001F472E" w:rsidRDefault="001F472E">
      <w:pPr>
        <w:pStyle w:val="FootnoteText"/>
        <w:rPr>
          <w:lang w:val="en-US"/>
        </w:rPr>
      </w:pPr>
      <w:r>
        <w:rPr>
          <w:rStyle w:val="FootnoteReference"/>
        </w:rPr>
        <w:footnoteRef/>
      </w:r>
      <w:r>
        <w:t xml:space="preserve"> </w:t>
      </w:r>
      <w:r w:rsidR="006B2C48">
        <w:rPr>
          <w:lang w:val="en-US"/>
        </w:rPr>
        <w:t xml:space="preserve">Opinion of Advocate General Kokott, delivered 23 December 2015 in Case C-358/14 </w:t>
      </w:r>
      <w:r w:rsidR="006B2C48">
        <w:rPr>
          <w:i/>
          <w:lang w:val="en-US"/>
        </w:rPr>
        <w:t>Poland v Parliament and Council</w:t>
      </w:r>
      <w:r w:rsidR="006B2C48">
        <w:rPr>
          <w:lang w:val="en-US"/>
        </w:rPr>
        <w:t xml:space="preserve"> [2015</w:t>
      </w:r>
      <w:r w:rsidR="00C64767">
        <w:rPr>
          <w:lang w:val="en-US"/>
        </w:rPr>
        <w:t>] ELCI: EU:C:2015:848, p</w:t>
      </w:r>
      <w:r w:rsidR="006B2C48">
        <w:rPr>
          <w:lang w:val="en-US"/>
        </w:rPr>
        <w:t>ara</w:t>
      </w:r>
      <w:r w:rsidR="00C64767">
        <w:rPr>
          <w:lang w:val="en-US"/>
        </w:rPr>
        <w:t>graph</w:t>
      </w:r>
      <w:r w:rsidR="006B2C48">
        <w:rPr>
          <w:lang w:val="en-US"/>
        </w:rPr>
        <w:t xml:space="preserve"> 134</w:t>
      </w:r>
    </w:p>
  </w:footnote>
  <w:footnote w:id="107">
    <w:p w14:paraId="235529C4" w14:textId="27ED7B85" w:rsidR="00BE59C0" w:rsidRPr="00BE59C0" w:rsidRDefault="00BE59C0">
      <w:pPr>
        <w:pStyle w:val="FootnoteText"/>
        <w:rPr>
          <w:lang w:val="en-US"/>
        </w:rPr>
      </w:pPr>
      <w:r>
        <w:rPr>
          <w:rStyle w:val="FootnoteReference"/>
        </w:rPr>
        <w:footnoteRef/>
      </w:r>
      <w:r>
        <w:t xml:space="preserve"> </w:t>
      </w:r>
      <w:r w:rsidRPr="00BE59C0">
        <w:rPr>
          <w:i/>
          <w:lang w:val="en-US"/>
        </w:rPr>
        <w:t>ibid</w:t>
      </w:r>
      <w:r>
        <w:rPr>
          <w:lang w:val="en-US"/>
        </w:rPr>
        <w:t>, paragraph 95</w:t>
      </w:r>
    </w:p>
  </w:footnote>
  <w:footnote w:id="108">
    <w:p w14:paraId="4C57E1F1" w14:textId="0C274230" w:rsidR="00E604EF" w:rsidRPr="00E604EF" w:rsidRDefault="00E604EF">
      <w:pPr>
        <w:pStyle w:val="FootnoteText"/>
        <w:rPr>
          <w:lang w:val="en-US"/>
        </w:rPr>
      </w:pPr>
      <w:r>
        <w:rPr>
          <w:rStyle w:val="FootnoteReference"/>
        </w:rPr>
        <w:footnoteRef/>
      </w:r>
      <w:r>
        <w:t xml:space="preserve"> </w:t>
      </w:r>
      <w:r w:rsidRPr="00BE59C0">
        <w:rPr>
          <w:i/>
          <w:lang w:val="en-US"/>
        </w:rPr>
        <w:t>ibid</w:t>
      </w:r>
      <w:r>
        <w:rPr>
          <w:lang w:val="en-US"/>
        </w:rPr>
        <w:t>, paragraph 98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8A84C" w14:textId="77777777" w:rsidR="00C72D06" w:rsidRDefault="00C72D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038C" w14:textId="660DC706" w:rsidR="00C72D06" w:rsidRDefault="00C72D0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59415" w14:textId="77777777" w:rsidR="00C72D06" w:rsidRDefault="00C72D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70076"/>
    <w:multiLevelType w:val="hybridMultilevel"/>
    <w:tmpl w:val="564C2ECE"/>
    <w:lvl w:ilvl="0" w:tplc="C3E474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C9"/>
    <w:rsid w:val="000007D9"/>
    <w:rsid w:val="00000C0A"/>
    <w:rsid w:val="000017AF"/>
    <w:rsid w:val="00004B07"/>
    <w:rsid w:val="00007993"/>
    <w:rsid w:val="00012D11"/>
    <w:rsid w:val="00015D9E"/>
    <w:rsid w:val="000173D8"/>
    <w:rsid w:val="00017691"/>
    <w:rsid w:val="0002252B"/>
    <w:rsid w:val="00025BEE"/>
    <w:rsid w:val="00026768"/>
    <w:rsid w:val="0003382E"/>
    <w:rsid w:val="00037BFD"/>
    <w:rsid w:val="000445F5"/>
    <w:rsid w:val="00050FC2"/>
    <w:rsid w:val="00054A55"/>
    <w:rsid w:val="00076C73"/>
    <w:rsid w:val="000802C1"/>
    <w:rsid w:val="00082CEE"/>
    <w:rsid w:val="0009516B"/>
    <w:rsid w:val="000A16D6"/>
    <w:rsid w:val="000A2F90"/>
    <w:rsid w:val="000A69D3"/>
    <w:rsid w:val="000A71D1"/>
    <w:rsid w:val="000B09B5"/>
    <w:rsid w:val="000B2459"/>
    <w:rsid w:val="000B41FF"/>
    <w:rsid w:val="000B5E50"/>
    <w:rsid w:val="000C0CF0"/>
    <w:rsid w:val="000C47E9"/>
    <w:rsid w:val="000C5609"/>
    <w:rsid w:val="000C59B4"/>
    <w:rsid w:val="000C782C"/>
    <w:rsid w:val="000E142E"/>
    <w:rsid w:val="000E4C41"/>
    <w:rsid w:val="000F14B6"/>
    <w:rsid w:val="000F2459"/>
    <w:rsid w:val="000F58B9"/>
    <w:rsid w:val="001041B1"/>
    <w:rsid w:val="0012573A"/>
    <w:rsid w:val="00125E79"/>
    <w:rsid w:val="00126196"/>
    <w:rsid w:val="00130D64"/>
    <w:rsid w:val="00132994"/>
    <w:rsid w:val="00134181"/>
    <w:rsid w:val="00135B40"/>
    <w:rsid w:val="00135FEA"/>
    <w:rsid w:val="00137004"/>
    <w:rsid w:val="00140892"/>
    <w:rsid w:val="0014150B"/>
    <w:rsid w:val="001415AF"/>
    <w:rsid w:val="00147C44"/>
    <w:rsid w:val="00150635"/>
    <w:rsid w:val="0015488B"/>
    <w:rsid w:val="00163BA4"/>
    <w:rsid w:val="00166B6F"/>
    <w:rsid w:val="00170C28"/>
    <w:rsid w:val="001734A6"/>
    <w:rsid w:val="00174956"/>
    <w:rsid w:val="00180A30"/>
    <w:rsid w:val="00184CAD"/>
    <w:rsid w:val="001879D7"/>
    <w:rsid w:val="00191200"/>
    <w:rsid w:val="001B5683"/>
    <w:rsid w:val="001B7F46"/>
    <w:rsid w:val="001C25C9"/>
    <w:rsid w:val="001C3408"/>
    <w:rsid w:val="001D0E6D"/>
    <w:rsid w:val="001D5710"/>
    <w:rsid w:val="001E63A2"/>
    <w:rsid w:val="001F024A"/>
    <w:rsid w:val="001F20DD"/>
    <w:rsid w:val="001F2854"/>
    <w:rsid w:val="001F30A8"/>
    <w:rsid w:val="001F472E"/>
    <w:rsid w:val="001F5977"/>
    <w:rsid w:val="001F6B78"/>
    <w:rsid w:val="001F78E1"/>
    <w:rsid w:val="00215145"/>
    <w:rsid w:val="00220534"/>
    <w:rsid w:val="00232181"/>
    <w:rsid w:val="0023369B"/>
    <w:rsid w:val="00251EE5"/>
    <w:rsid w:val="00253FB7"/>
    <w:rsid w:val="0025463B"/>
    <w:rsid w:val="0025588D"/>
    <w:rsid w:val="0025758E"/>
    <w:rsid w:val="0027045F"/>
    <w:rsid w:val="00273382"/>
    <w:rsid w:val="00273D75"/>
    <w:rsid w:val="002818EE"/>
    <w:rsid w:val="00293634"/>
    <w:rsid w:val="002965E2"/>
    <w:rsid w:val="002967DD"/>
    <w:rsid w:val="002A19FA"/>
    <w:rsid w:val="002A4562"/>
    <w:rsid w:val="002A5412"/>
    <w:rsid w:val="002A77C8"/>
    <w:rsid w:val="002B13A8"/>
    <w:rsid w:val="002C0EA8"/>
    <w:rsid w:val="002C2E62"/>
    <w:rsid w:val="002C5C3C"/>
    <w:rsid w:val="002C5D63"/>
    <w:rsid w:val="002D73E6"/>
    <w:rsid w:val="002E66B4"/>
    <w:rsid w:val="002E710B"/>
    <w:rsid w:val="002E7674"/>
    <w:rsid w:val="002E79EE"/>
    <w:rsid w:val="002F03B1"/>
    <w:rsid w:val="00301663"/>
    <w:rsid w:val="00303A74"/>
    <w:rsid w:val="00303AA6"/>
    <w:rsid w:val="003048C4"/>
    <w:rsid w:val="00311F1B"/>
    <w:rsid w:val="003220D1"/>
    <w:rsid w:val="00326109"/>
    <w:rsid w:val="0032787E"/>
    <w:rsid w:val="00343B54"/>
    <w:rsid w:val="00344DF4"/>
    <w:rsid w:val="00345046"/>
    <w:rsid w:val="003476E9"/>
    <w:rsid w:val="00347738"/>
    <w:rsid w:val="003514C7"/>
    <w:rsid w:val="003524FF"/>
    <w:rsid w:val="00357323"/>
    <w:rsid w:val="0035753C"/>
    <w:rsid w:val="0036477A"/>
    <w:rsid w:val="00367003"/>
    <w:rsid w:val="00374959"/>
    <w:rsid w:val="00376328"/>
    <w:rsid w:val="00377631"/>
    <w:rsid w:val="00381993"/>
    <w:rsid w:val="003871F3"/>
    <w:rsid w:val="003934B1"/>
    <w:rsid w:val="003940DF"/>
    <w:rsid w:val="003949F0"/>
    <w:rsid w:val="00394C83"/>
    <w:rsid w:val="003A4150"/>
    <w:rsid w:val="003A66B7"/>
    <w:rsid w:val="003A69E8"/>
    <w:rsid w:val="003B0A77"/>
    <w:rsid w:val="003B7A4F"/>
    <w:rsid w:val="003B7DA3"/>
    <w:rsid w:val="003C0AD6"/>
    <w:rsid w:val="003C3C11"/>
    <w:rsid w:val="003D481E"/>
    <w:rsid w:val="003D649F"/>
    <w:rsid w:val="003E0F27"/>
    <w:rsid w:val="003E25CA"/>
    <w:rsid w:val="003E6EB5"/>
    <w:rsid w:val="003F1F50"/>
    <w:rsid w:val="003F2EAD"/>
    <w:rsid w:val="003F44BA"/>
    <w:rsid w:val="00411FC5"/>
    <w:rsid w:val="00414C11"/>
    <w:rsid w:val="00420BD5"/>
    <w:rsid w:val="00425899"/>
    <w:rsid w:val="00426206"/>
    <w:rsid w:val="004267C9"/>
    <w:rsid w:val="0043125E"/>
    <w:rsid w:val="00433AE0"/>
    <w:rsid w:val="0043610B"/>
    <w:rsid w:val="004432E1"/>
    <w:rsid w:val="00446108"/>
    <w:rsid w:val="00447000"/>
    <w:rsid w:val="004502B3"/>
    <w:rsid w:val="004510C3"/>
    <w:rsid w:val="00454C56"/>
    <w:rsid w:val="00455EFC"/>
    <w:rsid w:val="00461452"/>
    <w:rsid w:val="004627F9"/>
    <w:rsid w:val="00484CEC"/>
    <w:rsid w:val="004928E2"/>
    <w:rsid w:val="00494A81"/>
    <w:rsid w:val="0049559A"/>
    <w:rsid w:val="004A1CF2"/>
    <w:rsid w:val="004A3C93"/>
    <w:rsid w:val="004C0712"/>
    <w:rsid w:val="004C4E95"/>
    <w:rsid w:val="004E02A3"/>
    <w:rsid w:val="004F02A9"/>
    <w:rsid w:val="004F469C"/>
    <w:rsid w:val="00500379"/>
    <w:rsid w:val="00501456"/>
    <w:rsid w:val="00505A64"/>
    <w:rsid w:val="00507FBC"/>
    <w:rsid w:val="00511D79"/>
    <w:rsid w:val="00517837"/>
    <w:rsid w:val="00517BEF"/>
    <w:rsid w:val="0052092F"/>
    <w:rsid w:val="005335EF"/>
    <w:rsid w:val="00541433"/>
    <w:rsid w:val="005423AF"/>
    <w:rsid w:val="005449DE"/>
    <w:rsid w:val="00546FBD"/>
    <w:rsid w:val="005527DC"/>
    <w:rsid w:val="00552F01"/>
    <w:rsid w:val="00554263"/>
    <w:rsid w:val="0055728A"/>
    <w:rsid w:val="005607E3"/>
    <w:rsid w:val="00560EED"/>
    <w:rsid w:val="00565DFF"/>
    <w:rsid w:val="0056696E"/>
    <w:rsid w:val="0057118C"/>
    <w:rsid w:val="00572A0D"/>
    <w:rsid w:val="005770D1"/>
    <w:rsid w:val="005840AE"/>
    <w:rsid w:val="0058424D"/>
    <w:rsid w:val="00586028"/>
    <w:rsid w:val="00593119"/>
    <w:rsid w:val="005A6BD9"/>
    <w:rsid w:val="005C12E6"/>
    <w:rsid w:val="005C2C16"/>
    <w:rsid w:val="005C2F74"/>
    <w:rsid w:val="005C7313"/>
    <w:rsid w:val="005C74BA"/>
    <w:rsid w:val="005C76FE"/>
    <w:rsid w:val="005C7C3E"/>
    <w:rsid w:val="005D0D00"/>
    <w:rsid w:val="005D5603"/>
    <w:rsid w:val="005E1FA2"/>
    <w:rsid w:val="005F343D"/>
    <w:rsid w:val="005F3BCC"/>
    <w:rsid w:val="005F4D6B"/>
    <w:rsid w:val="005F659A"/>
    <w:rsid w:val="005F6615"/>
    <w:rsid w:val="0060705D"/>
    <w:rsid w:val="00612957"/>
    <w:rsid w:val="00617425"/>
    <w:rsid w:val="0062212D"/>
    <w:rsid w:val="006244EF"/>
    <w:rsid w:val="00631DB3"/>
    <w:rsid w:val="006358DB"/>
    <w:rsid w:val="00635F28"/>
    <w:rsid w:val="00637DD7"/>
    <w:rsid w:val="00643AE8"/>
    <w:rsid w:val="006513BE"/>
    <w:rsid w:val="00654A13"/>
    <w:rsid w:val="00655BA2"/>
    <w:rsid w:val="006734C7"/>
    <w:rsid w:val="0067460A"/>
    <w:rsid w:val="00674C90"/>
    <w:rsid w:val="006750DF"/>
    <w:rsid w:val="006764B9"/>
    <w:rsid w:val="006943E5"/>
    <w:rsid w:val="00697BE2"/>
    <w:rsid w:val="006B060F"/>
    <w:rsid w:val="006B2C48"/>
    <w:rsid w:val="006B3A44"/>
    <w:rsid w:val="006B543B"/>
    <w:rsid w:val="006D70EF"/>
    <w:rsid w:val="006E4D0B"/>
    <w:rsid w:val="006F4C52"/>
    <w:rsid w:val="006F51B4"/>
    <w:rsid w:val="006F5E15"/>
    <w:rsid w:val="00716507"/>
    <w:rsid w:val="00720BD6"/>
    <w:rsid w:val="00724E15"/>
    <w:rsid w:val="00731B47"/>
    <w:rsid w:val="0073542B"/>
    <w:rsid w:val="0074719C"/>
    <w:rsid w:val="00747A20"/>
    <w:rsid w:val="00750FF6"/>
    <w:rsid w:val="00773767"/>
    <w:rsid w:val="00776CC4"/>
    <w:rsid w:val="00782000"/>
    <w:rsid w:val="0079050C"/>
    <w:rsid w:val="007B37C4"/>
    <w:rsid w:val="007B3E2F"/>
    <w:rsid w:val="007C1DEB"/>
    <w:rsid w:val="007C37F2"/>
    <w:rsid w:val="007C7BEE"/>
    <w:rsid w:val="007D0761"/>
    <w:rsid w:val="007D46E5"/>
    <w:rsid w:val="007D7EAB"/>
    <w:rsid w:val="007E2D33"/>
    <w:rsid w:val="007E3F2E"/>
    <w:rsid w:val="007F0B9F"/>
    <w:rsid w:val="007F24DC"/>
    <w:rsid w:val="007F72EB"/>
    <w:rsid w:val="007F78D4"/>
    <w:rsid w:val="0080028A"/>
    <w:rsid w:val="00802708"/>
    <w:rsid w:val="008028FE"/>
    <w:rsid w:val="00807EB9"/>
    <w:rsid w:val="0081081A"/>
    <w:rsid w:val="00812D1D"/>
    <w:rsid w:val="008146F8"/>
    <w:rsid w:val="00820F8C"/>
    <w:rsid w:val="00822CF0"/>
    <w:rsid w:val="00823521"/>
    <w:rsid w:val="00832E87"/>
    <w:rsid w:val="00836F9F"/>
    <w:rsid w:val="00843786"/>
    <w:rsid w:val="00851178"/>
    <w:rsid w:val="00852559"/>
    <w:rsid w:val="00854D97"/>
    <w:rsid w:val="00864DD2"/>
    <w:rsid w:val="00873164"/>
    <w:rsid w:val="00873BFA"/>
    <w:rsid w:val="00875B40"/>
    <w:rsid w:val="008849B2"/>
    <w:rsid w:val="008A22B6"/>
    <w:rsid w:val="008A3C58"/>
    <w:rsid w:val="008A48E2"/>
    <w:rsid w:val="008A6501"/>
    <w:rsid w:val="008B08AD"/>
    <w:rsid w:val="008B3FB8"/>
    <w:rsid w:val="008C430D"/>
    <w:rsid w:val="008D3605"/>
    <w:rsid w:val="008D6651"/>
    <w:rsid w:val="008D7650"/>
    <w:rsid w:val="008E089B"/>
    <w:rsid w:val="008E42DD"/>
    <w:rsid w:val="008F01FB"/>
    <w:rsid w:val="008F1D1E"/>
    <w:rsid w:val="008F377D"/>
    <w:rsid w:val="008F6900"/>
    <w:rsid w:val="00904E3A"/>
    <w:rsid w:val="0090793D"/>
    <w:rsid w:val="00907E91"/>
    <w:rsid w:val="00911225"/>
    <w:rsid w:val="009131C9"/>
    <w:rsid w:val="0091347E"/>
    <w:rsid w:val="00913BD1"/>
    <w:rsid w:val="0092396F"/>
    <w:rsid w:val="00932490"/>
    <w:rsid w:val="009349F4"/>
    <w:rsid w:val="00935514"/>
    <w:rsid w:val="009417B9"/>
    <w:rsid w:val="00942A5C"/>
    <w:rsid w:val="00942EBA"/>
    <w:rsid w:val="0094594E"/>
    <w:rsid w:val="0095044C"/>
    <w:rsid w:val="00951C86"/>
    <w:rsid w:val="00952170"/>
    <w:rsid w:val="00964D17"/>
    <w:rsid w:val="00965522"/>
    <w:rsid w:val="00971529"/>
    <w:rsid w:val="0098191F"/>
    <w:rsid w:val="0098430F"/>
    <w:rsid w:val="00990C1A"/>
    <w:rsid w:val="00994EC6"/>
    <w:rsid w:val="00996534"/>
    <w:rsid w:val="00996796"/>
    <w:rsid w:val="009A36A4"/>
    <w:rsid w:val="009A4FA5"/>
    <w:rsid w:val="009A6819"/>
    <w:rsid w:val="009B27D4"/>
    <w:rsid w:val="009C09F5"/>
    <w:rsid w:val="009C1C28"/>
    <w:rsid w:val="009D2DEE"/>
    <w:rsid w:val="009E1E28"/>
    <w:rsid w:val="009E3CD3"/>
    <w:rsid w:val="009E4FD0"/>
    <w:rsid w:val="00A00586"/>
    <w:rsid w:val="00A03B6F"/>
    <w:rsid w:val="00A2783F"/>
    <w:rsid w:val="00A27E43"/>
    <w:rsid w:val="00A40F6B"/>
    <w:rsid w:val="00A43BBB"/>
    <w:rsid w:val="00A4519C"/>
    <w:rsid w:val="00A45C1D"/>
    <w:rsid w:val="00A50EC2"/>
    <w:rsid w:val="00A5471A"/>
    <w:rsid w:val="00A570CA"/>
    <w:rsid w:val="00A57946"/>
    <w:rsid w:val="00A57AF4"/>
    <w:rsid w:val="00A677F1"/>
    <w:rsid w:val="00A72C2C"/>
    <w:rsid w:val="00A72E40"/>
    <w:rsid w:val="00A736DC"/>
    <w:rsid w:val="00A74DEA"/>
    <w:rsid w:val="00A75030"/>
    <w:rsid w:val="00A80724"/>
    <w:rsid w:val="00A83B70"/>
    <w:rsid w:val="00A84EB0"/>
    <w:rsid w:val="00A8591F"/>
    <w:rsid w:val="00A939D5"/>
    <w:rsid w:val="00A94219"/>
    <w:rsid w:val="00A951DA"/>
    <w:rsid w:val="00A959F8"/>
    <w:rsid w:val="00A96B38"/>
    <w:rsid w:val="00AA74E7"/>
    <w:rsid w:val="00AB36C3"/>
    <w:rsid w:val="00AB43A2"/>
    <w:rsid w:val="00AC2986"/>
    <w:rsid w:val="00AC3764"/>
    <w:rsid w:val="00AC7E51"/>
    <w:rsid w:val="00AD3DD7"/>
    <w:rsid w:val="00AD71BD"/>
    <w:rsid w:val="00AE0AD9"/>
    <w:rsid w:val="00AE21BB"/>
    <w:rsid w:val="00B03A9F"/>
    <w:rsid w:val="00B03CB2"/>
    <w:rsid w:val="00B063C7"/>
    <w:rsid w:val="00B12232"/>
    <w:rsid w:val="00B1584D"/>
    <w:rsid w:val="00B270FB"/>
    <w:rsid w:val="00B36BD5"/>
    <w:rsid w:val="00B40B7C"/>
    <w:rsid w:val="00B4295F"/>
    <w:rsid w:val="00B43002"/>
    <w:rsid w:val="00B437CA"/>
    <w:rsid w:val="00B51F24"/>
    <w:rsid w:val="00B536B5"/>
    <w:rsid w:val="00B54A2F"/>
    <w:rsid w:val="00B61371"/>
    <w:rsid w:val="00B65D0D"/>
    <w:rsid w:val="00B758C7"/>
    <w:rsid w:val="00B81065"/>
    <w:rsid w:val="00B818BA"/>
    <w:rsid w:val="00B82046"/>
    <w:rsid w:val="00B910A4"/>
    <w:rsid w:val="00B918BD"/>
    <w:rsid w:val="00B952E9"/>
    <w:rsid w:val="00B9591F"/>
    <w:rsid w:val="00B968AC"/>
    <w:rsid w:val="00B97A77"/>
    <w:rsid w:val="00BA5709"/>
    <w:rsid w:val="00BB70CD"/>
    <w:rsid w:val="00BC672E"/>
    <w:rsid w:val="00BC6A9C"/>
    <w:rsid w:val="00BD1345"/>
    <w:rsid w:val="00BD1CDD"/>
    <w:rsid w:val="00BE2507"/>
    <w:rsid w:val="00BE2EDF"/>
    <w:rsid w:val="00BE4644"/>
    <w:rsid w:val="00BE59C0"/>
    <w:rsid w:val="00BF047D"/>
    <w:rsid w:val="00BF71F3"/>
    <w:rsid w:val="00C0276B"/>
    <w:rsid w:val="00C02924"/>
    <w:rsid w:val="00C05FEC"/>
    <w:rsid w:val="00C067C4"/>
    <w:rsid w:val="00C068F8"/>
    <w:rsid w:val="00C1183D"/>
    <w:rsid w:val="00C14A6B"/>
    <w:rsid w:val="00C242B5"/>
    <w:rsid w:val="00C33AAA"/>
    <w:rsid w:val="00C34159"/>
    <w:rsid w:val="00C35E10"/>
    <w:rsid w:val="00C365E2"/>
    <w:rsid w:val="00C420C4"/>
    <w:rsid w:val="00C436AA"/>
    <w:rsid w:val="00C5036C"/>
    <w:rsid w:val="00C52D7C"/>
    <w:rsid w:val="00C540D9"/>
    <w:rsid w:val="00C54CA9"/>
    <w:rsid w:val="00C55B9B"/>
    <w:rsid w:val="00C56111"/>
    <w:rsid w:val="00C61EC5"/>
    <w:rsid w:val="00C61F6A"/>
    <w:rsid w:val="00C6237C"/>
    <w:rsid w:val="00C62BC8"/>
    <w:rsid w:val="00C64767"/>
    <w:rsid w:val="00C653DE"/>
    <w:rsid w:val="00C65C55"/>
    <w:rsid w:val="00C678FE"/>
    <w:rsid w:val="00C720E2"/>
    <w:rsid w:val="00C7220D"/>
    <w:rsid w:val="00C72D06"/>
    <w:rsid w:val="00C8213D"/>
    <w:rsid w:val="00C825EA"/>
    <w:rsid w:val="00C907FC"/>
    <w:rsid w:val="00CA19BF"/>
    <w:rsid w:val="00CA5BEA"/>
    <w:rsid w:val="00CB0683"/>
    <w:rsid w:val="00CB5485"/>
    <w:rsid w:val="00CC0EFC"/>
    <w:rsid w:val="00CC166B"/>
    <w:rsid w:val="00CC2E71"/>
    <w:rsid w:val="00CD2196"/>
    <w:rsid w:val="00CD2A52"/>
    <w:rsid w:val="00CE5608"/>
    <w:rsid w:val="00CE5840"/>
    <w:rsid w:val="00CE612D"/>
    <w:rsid w:val="00CE6F1B"/>
    <w:rsid w:val="00CE7839"/>
    <w:rsid w:val="00CE7C17"/>
    <w:rsid w:val="00CF29D0"/>
    <w:rsid w:val="00CF354E"/>
    <w:rsid w:val="00CF4903"/>
    <w:rsid w:val="00CF67B3"/>
    <w:rsid w:val="00D007FA"/>
    <w:rsid w:val="00D14498"/>
    <w:rsid w:val="00D46C5E"/>
    <w:rsid w:val="00D56C69"/>
    <w:rsid w:val="00D6118E"/>
    <w:rsid w:val="00D73E40"/>
    <w:rsid w:val="00D81D67"/>
    <w:rsid w:val="00D847F4"/>
    <w:rsid w:val="00D86AD4"/>
    <w:rsid w:val="00DA4565"/>
    <w:rsid w:val="00DA5DD9"/>
    <w:rsid w:val="00DB5AEA"/>
    <w:rsid w:val="00DB5B3F"/>
    <w:rsid w:val="00DB6032"/>
    <w:rsid w:val="00DC3BBD"/>
    <w:rsid w:val="00DC7ADA"/>
    <w:rsid w:val="00DD195C"/>
    <w:rsid w:val="00DD63EF"/>
    <w:rsid w:val="00DE0262"/>
    <w:rsid w:val="00DE1A08"/>
    <w:rsid w:val="00DE6155"/>
    <w:rsid w:val="00E072BA"/>
    <w:rsid w:val="00E143BD"/>
    <w:rsid w:val="00E178F9"/>
    <w:rsid w:val="00E2276E"/>
    <w:rsid w:val="00E26744"/>
    <w:rsid w:val="00E340C0"/>
    <w:rsid w:val="00E35727"/>
    <w:rsid w:val="00E35F1F"/>
    <w:rsid w:val="00E3706C"/>
    <w:rsid w:val="00E444EC"/>
    <w:rsid w:val="00E55F3E"/>
    <w:rsid w:val="00E56163"/>
    <w:rsid w:val="00E604EF"/>
    <w:rsid w:val="00E678DA"/>
    <w:rsid w:val="00E703AA"/>
    <w:rsid w:val="00E7247E"/>
    <w:rsid w:val="00E72FCB"/>
    <w:rsid w:val="00E741BC"/>
    <w:rsid w:val="00E74C27"/>
    <w:rsid w:val="00E77B07"/>
    <w:rsid w:val="00E80411"/>
    <w:rsid w:val="00E843AA"/>
    <w:rsid w:val="00E9037C"/>
    <w:rsid w:val="00E90BE7"/>
    <w:rsid w:val="00E94F69"/>
    <w:rsid w:val="00E96566"/>
    <w:rsid w:val="00E966DB"/>
    <w:rsid w:val="00EA0500"/>
    <w:rsid w:val="00EA7528"/>
    <w:rsid w:val="00EA7913"/>
    <w:rsid w:val="00EB7FBD"/>
    <w:rsid w:val="00EC2A07"/>
    <w:rsid w:val="00ED1E29"/>
    <w:rsid w:val="00ED33C2"/>
    <w:rsid w:val="00EE1879"/>
    <w:rsid w:val="00EE3B80"/>
    <w:rsid w:val="00EE5D7E"/>
    <w:rsid w:val="00EF334A"/>
    <w:rsid w:val="00F05AAE"/>
    <w:rsid w:val="00F06496"/>
    <w:rsid w:val="00F07145"/>
    <w:rsid w:val="00F106AA"/>
    <w:rsid w:val="00F12580"/>
    <w:rsid w:val="00F14D60"/>
    <w:rsid w:val="00F16CC9"/>
    <w:rsid w:val="00F17610"/>
    <w:rsid w:val="00F20297"/>
    <w:rsid w:val="00F212C2"/>
    <w:rsid w:val="00F22372"/>
    <w:rsid w:val="00F22ECD"/>
    <w:rsid w:val="00F2693C"/>
    <w:rsid w:val="00F27E78"/>
    <w:rsid w:val="00F320A2"/>
    <w:rsid w:val="00F4029B"/>
    <w:rsid w:val="00F422BF"/>
    <w:rsid w:val="00F431DF"/>
    <w:rsid w:val="00F50AD7"/>
    <w:rsid w:val="00F52589"/>
    <w:rsid w:val="00F55038"/>
    <w:rsid w:val="00F57950"/>
    <w:rsid w:val="00F57B3F"/>
    <w:rsid w:val="00F6436D"/>
    <w:rsid w:val="00F648CE"/>
    <w:rsid w:val="00F64BCC"/>
    <w:rsid w:val="00F650C8"/>
    <w:rsid w:val="00F65DE1"/>
    <w:rsid w:val="00F673A2"/>
    <w:rsid w:val="00F70B36"/>
    <w:rsid w:val="00F721DD"/>
    <w:rsid w:val="00F7356C"/>
    <w:rsid w:val="00F80441"/>
    <w:rsid w:val="00F81E94"/>
    <w:rsid w:val="00F84218"/>
    <w:rsid w:val="00F84E76"/>
    <w:rsid w:val="00F90897"/>
    <w:rsid w:val="00F90B6C"/>
    <w:rsid w:val="00FA2A5D"/>
    <w:rsid w:val="00FA4B0E"/>
    <w:rsid w:val="00FA56E4"/>
    <w:rsid w:val="00FB015B"/>
    <w:rsid w:val="00FB2CBB"/>
    <w:rsid w:val="00FB39F3"/>
    <w:rsid w:val="00FC1D40"/>
    <w:rsid w:val="00FD064F"/>
    <w:rsid w:val="00FD400A"/>
    <w:rsid w:val="00FE5837"/>
    <w:rsid w:val="00FE7174"/>
    <w:rsid w:val="00FE7BE5"/>
    <w:rsid w:val="00FF28CD"/>
    <w:rsid w:val="00FF6459"/>
    <w:rsid w:val="00FF6B3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DB67B5"/>
  <w14:defaultImageDpi w14:val="300"/>
  <w15:docId w15:val="{63AE28D1-879F-426F-B8FA-CF1F30CC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7C9"/>
    <w:pPr>
      <w:spacing w:after="160" w:line="259" w:lineRule="auto"/>
    </w:pPr>
    <w:rPr>
      <w:rFonts w:eastAsiaTheme="minorHAnsi"/>
      <w:sz w:val="22"/>
      <w:szCs w:val="22"/>
      <w:lang w:val="en-GB"/>
    </w:rPr>
  </w:style>
  <w:style w:type="paragraph" w:styleId="Heading1">
    <w:name w:val="heading 1"/>
    <w:basedOn w:val="Normal"/>
    <w:next w:val="Normal"/>
    <w:link w:val="Heading1Char"/>
    <w:uiPriority w:val="9"/>
    <w:qFormat/>
    <w:rsid w:val="004267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7C9"/>
    <w:rPr>
      <w:rFonts w:asciiTheme="majorHAnsi" w:eastAsiaTheme="majorEastAsia" w:hAnsiTheme="majorHAnsi" w:cstheme="majorBidi"/>
      <w:color w:val="365F91" w:themeColor="accent1" w:themeShade="BF"/>
      <w:sz w:val="32"/>
      <w:szCs w:val="32"/>
      <w:lang w:val="en-GB"/>
    </w:rPr>
  </w:style>
  <w:style w:type="paragraph" w:styleId="Title">
    <w:name w:val="Title"/>
    <w:basedOn w:val="Normal"/>
    <w:next w:val="Normal"/>
    <w:link w:val="TitleChar"/>
    <w:uiPriority w:val="10"/>
    <w:qFormat/>
    <w:rsid w:val="004267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7C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267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267C9"/>
    <w:rPr>
      <w:color w:val="5A5A5A" w:themeColor="text1" w:themeTint="A5"/>
      <w:spacing w:val="15"/>
      <w:sz w:val="22"/>
      <w:szCs w:val="22"/>
      <w:lang w:val="en-GB"/>
    </w:rPr>
  </w:style>
  <w:style w:type="character" w:styleId="CommentReference">
    <w:name w:val="annotation reference"/>
    <w:basedOn w:val="DefaultParagraphFont"/>
    <w:uiPriority w:val="99"/>
    <w:semiHidden/>
    <w:unhideWhenUsed/>
    <w:rsid w:val="004267C9"/>
    <w:rPr>
      <w:sz w:val="16"/>
      <w:szCs w:val="16"/>
    </w:rPr>
  </w:style>
  <w:style w:type="paragraph" w:styleId="CommentText">
    <w:name w:val="annotation text"/>
    <w:basedOn w:val="Normal"/>
    <w:link w:val="CommentTextChar"/>
    <w:uiPriority w:val="99"/>
    <w:unhideWhenUsed/>
    <w:rsid w:val="004267C9"/>
    <w:pPr>
      <w:spacing w:line="240" w:lineRule="auto"/>
    </w:pPr>
    <w:rPr>
      <w:sz w:val="20"/>
      <w:szCs w:val="20"/>
    </w:rPr>
  </w:style>
  <w:style w:type="character" w:customStyle="1" w:styleId="CommentTextChar">
    <w:name w:val="Comment Text Char"/>
    <w:basedOn w:val="DefaultParagraphFont"/>
    <w:link w:val="CommentText"/>
    <w:uiPriority w:val="99"/>
    <w:rsid w:val="004267C9"/>
    <w:rPr>
      <w:rFonts w:eastAsiaTheme="minorHAnsi"/>
      <w:sz w:val="20"/>
      <w:szCs w:val="20"/>
      <w:lang w:val="en-GB"/>
    </w:rPr>
  </w:style>
  <w:style w:type="paragraph" w:styleId="FootnoteText">
    <w:name w:val="footnote text"/>
    <w:basedOn w:val="Normal"/>
    <w:link w:val="FootnoteTextChar"/>
    <w:uiPriority w:val="99"/>
    <w:unhideWhenUsed/>
    <w:rsid w:val="004267C9"/>
    <w:pPr>
      <w:spacing w:after="0" w:line="240" w:lineRule="auto"/>
    </w:pPr>
    <w:rPr>
      <w:sz w:val="20"/>
      <w:szCs w:val="20"/>
    </w:rPr>
  </w:style>
  <w:style w:type="character" w:customStyle="1" w:styleId="FootnoteTextChar">
    <w:name w:val="Footnote Text Char"/>
    <w:basedOn w:val="DefaultParagraphFont"/>
    <w:link w:val="FootnoteText"/>
    <w:uiPriority w:val="99"/>
    <w:rsid w:val="004267C9"/>
    <w:rPr>
      <w:rFonts w:eastAsiaTheme="minorHAnsi"/>
      <w:sz w:val="20"/>
      <w:szCs w:val="20"/>
      <w:lang w:val="en-GB"/>
    </w:rPr>
  </w:style>
  <w:style w:type="character" w:styleId="FootnoteReference">
    <w:name w:val="footnote reference"/>
    <w:basedOn w:val="DefaultParagraphFont"/>
    <w:uiPriority w:val="99"/>
    <w:unhideWhenUsed/>
    <w:rsid w:val="004267C9"/>
    <w:rPr>
      <w:vertAlign w:val="superscript"/>
    </w:rPr>
  </w:style>
  <w:style w:type="paragraph" w:styleId="BalloonText">
    <w:name w:val="Balloon Text"/>
    <w:basedOn w:val="Normal"/>
    <w:link w:val="BalloonTextChar"/>
    <w:uiPriority w:val="99"/>
    <w:semiHidden/>
    <w:unhideWhenUsed/>
    <w:rsid w:val="004267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7C9"/>
    <w:rPr>
      <w:rFonts w:ascii="Lucida Grande" w:eastAsiaTheme="minorHAnsi"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5C12E6"/>
    <w:rPr>
      <w:b/>
      <w:bCs/>
    </w:rPr>
  </w:style>
  <w:style w:type="character" w:customStyle="1" w:styleId="CommentSubjectChar">
    <w:name w:val="Comment Subject Char"/>
    <w:basedOn w:val="CommentTextChar"/>
    <w:link w:val="CommentSubject"/>
    <w:uiPriority w:val="99"/>
    <w:semiHidden/>
    <w:rsid w:val="005C12E6"/>
    <w:rPr>
      <w:rFonts w:eastAsiaTheme="minorHAnsi"/>
      <w:b/>
      <w:bCs/>
      <w:sz w:val="20"/>
      <w:szCs w:val="20"/>
      <w:lang w:val="en-GB"/>
    </w:rPr>
  </w:style>
  <w:style w:type="character" w:styleId="Link">
    <w:name w:val="Hyperlink"/>
    <w:basedOn w:val="DefaultParagraphFont"/>
    <w:uiPriority w:val="99"/>
    <w:unhideWhenUsed/>
    <w:rsid w:val="00CE7839"/>
    <w:rPr>
      <w:color w:val="0000FF" w:themeColor="hyperlink"/>
      <w:u w:val="single"/>
    </w:rPr>
  </w:style>
  <w:style w:type="paragraph" w:styleId="Header">
    <w:name w:val="header"/>
    <w:basedOn w:val="Normal"/>
    <w:link w:val="HeaderChar"/>
    <w:uiPriority w:val="99"/>
    <w:unhideWhenUsed/>
    <w:rsid w:val="00CB5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485"/>
    <w:rPr>
      <w:rFonts w:eastAsiaTheme="minorHAnsi"/>
      <w:sz w:val="22"/>
      <w:szCs w:val="22"/>
      <w:lang w:val="en-GB"/>
    </w:rPr>
  </w:style>
  <w:style w:type="paragraph" w:styleId="Footer">
    <w:name w:val="footer"/>
    <w:basedOn w:val="Normal"/>
    <w:link w:val="FooterChar"/>
    <w:uiPriority w:val="99"/>
    <w:unhideWhenUsed/>
    <w:rsid w:val="00CB5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485"/>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public_opinion/archives/ebs/ebs_33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DAB70-CEA4-DD42-AD68-C64A5734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20</Pages>
  <Words>7802</Words>
  <Characters>44476</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Bartlett</dc:creator>
  <cp:keywords/>
  <dc:description/>
  <cp:lastModifiedBy>Kavanagh Bartlett</cp:lastModifiedBy>
  <cp:revision>399</cp:revision>
  <dcterms:created xsi:type="dcterms:W3CDTF">2016-02-01T11:19:00Z</dcterms:created>
  <dcterms:modified xsi:type="dcterms:W3CDTF">2016-02-12T16:04:00Z</dcterms:modified>
</cp:coreProperties>
</file>