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02" w:rsidRPr="00A22656" w:rsidRDefault="00AA55F2" w:rsidP="005F768F">
      <w:pPr>
        <w:spacing w:line="360" w:lineRule="auto"/>
        <w:jc w:val="center"/>
        <w:rPr>
          <w:rFonts w:ascii="Times New Roman" w:hAnsi="Times New Roman" w:cs="Times New Roman"/>
          <w:b/>
          <w:sz w:val="24"/>
          <w:szCs w:val="24"/>
          <w:u w:val="single"/>
        </w:rPr>
      </w:pPr>
      <w:r w:rsidRPr="00A22656">
        <w:rPr>
          <w:rFonts w:ascii="Times New Roman" w:hAnsi="Times New Roman" w:cs="Times New Roman"/>
          <w:b/>
          <w:sz w:val="24"/>
          <w:szCs w:val="24"/>
          <w:u w:val="single"/>
        </w:rPr>
        <w:t>(De</w:t>
      </w:r>
      <w:proofErr w:type="gramStart"/>
      <w:r w:rsidRPr="00A22656">
        <w:rPr>
          <w:rFonts w:ascii="Times New Roman" w:hAnsi="Times New Roman" w:cs="Times New Roman"/>
          <w:b/>
          <w:sz w:val="24"/>
          <w:szCs w:val="24"/>
          <w:u w:val="single"/>
        </w:rPr>
        <w:t>)constructing</w:t>
      </w:r>
      <w:proofErr w:type="gramEnd"/>
      <w:r w:rsidRPr="00A22656">
        <w:rPr>
          <w:rFonts w:ascii="Times New Roman" w:hAnsi="Times New Roman" w:cs="Times New Roman"/>
          <w:b/>
          <w:sz w:val="24"/>
          <w:szCs w:val="24"/>
          <w:u w:val="single"/>
        </w:rPr>
        <w:t xml:space="preserve"> the Road to Brexit: Paving the Way to Further Limitations on Free Movement</w:t>
      </w:r>
      <w:r w:rsidR="00E15035" w:rsidRPr="00A22656">
        <w:rPr>
          <w:rFonts w:ascii="Times New Roman" w:hAnsi="Times New Roman" w:cs="Times New Roman"/>
          <w:b/>
          <w:sz w:val="24"/>
          <w:szCs w:val="24"/>
          <w:u w:val="single"/>
        </w:rPr>
        <w:t xml:space="preserve"> and Equal Treatment</w:t>
      </w:r>
      <w:r w:rsidRPr="00A22656">
        <w:rPr>
          <w:rFonts w:ascii="Times New Roman" w:hAnsi="Times New Roman" w:cs="Times New Roman"/>
          <w:b/>
          <w:sz w:val="24"/>
          <w:szCs w:val="24"/>
          <w:u w:val="single"/>
        </w:rPr>
        <w:t>?</w:t>
      </w:r>
    </w:p>
    <w:p w:rsidR="00E15035" w:rsidRPr="00A22656" w:rsidRDefault="00E15035" w:rsidP="005F768F">
      <w:pPr>
        <w:spacing w:line="360" w:lineRule="auto"/>
        <w:jc w:val="center"/>
        <w:rPr>
          <w:rFonts w:ascii="Times New Roman" w:hAnsi="Times New Roman" w:cs="Times New Roman"/>
          <w:b/>
          <w:sz w:val="24"/>
          <w:szCs w:val="24"/>
          <w:u w:val="single"/>
        </w:rPr>
      </w:pPr>
    </w:p>
    <w:p w:rsidR="00E15035" w:rsidRPr="00A22656" w:rsidRDefault="002F6193" w:rsidP="005F768F">
      <w:pPr>
        <w:pStyle w:val="ListParagraph"/>
        <w:numPr>
          <w:ilvl w:val="0"/>
          <w:numId w:val="2"/>
        </w:numPr>
        <w:spacing w:line="360" w:lineRule="auto"/>
        <w:rPr>
          <w:rFonts w:ascii="Times New Roman" w:hAnsi="Times New Roman" w:cs="Times New Roman"/>
          <w:b/>
          <w:sz w:val="24"/>
          <w:szCs w:val="24"/>
        </w:rPr>
      </w:pPr>
      <w:r w:rsidRPr="00A22656">
        <w:rPr>
          <w:rFonts w:ascii="Times New Roman" w:hAnsi="Times New Roman" w:cs="Times New Roman"/>
          <w:b/>
          <w:sz w:val="24"/>
          <w:szCs w:val="24"/>
        </w:rPr>
        <w:t>Introduction</w:t>
      </w:r>
    </w:p>
    <w:p w:rsidR="002A2047" w:rsidRPr="00A22656" w:rsidRDefault="009E57C9"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The United Kingdom electorate sent shockwaves through Europe</w:t>
      </w:r>
      <w:r w:rsidR="006B73E9" w:rsidRPr="00A22656">
        <w:rPr>
          <w:rFonts w:ascii="Times New Roman" w:hAnsi="Times New Roman" w:cs="Times New Roman"/>
          <w:sz w:val="24"/>
          <w:szCs w:val="24"/>
        </w:rPr>
        <w:t xml:space="preserve"> when it voted, in June 20</w:t>
      </w:r>
      <w:r w:rsidRPr="00A22656">
        <w:rPr>
          <w:rFonts w:ascii="Times New Roman" w:hAnsi="Times New Roman" w:cs="Times New Roman"/>
          <w:sz w:val="24"/>
          <w:szCs w:val="24"/>
        </w:rPr>
        <w:t>16, to leave the European Union. Nevertheless,</w:t>
      </w:r>
      <w:r w:rsidR="006B73E9" w:rsidRPr="00A22656">
        <w:rPr>
          <w:rFonts w:ascii="Times New Roman" w:hAnsi="Times New Roman" w:cs="Times New Roman"/>
          <w:sz w:val="24"/>
          <w:szCs w:val="24"/>
        </w:rPr>
        <w:t xml:space="preserve"> that decision was </w:t>
      </w:r>
      <w:r w:rsidRPr="00A22656">
        <w:rPr>
          <w:rFonts w:ascii="Times New Roman" w:hAnsi="Times New Roman" w:cs="Times New Roman"/>
          <w:sz w:val="24"/>
          <w:szCs w:val="24"/>
        </w:rPr>
        <w:t>re</w:t>
      </w:r>
      <w:r w:rsidR="00844F64" w:rsidRPr="00A22656">
        <w:rPr>
          <w:rFonts w:ascii="Times New Roman" w:hAnsi="Times New Roman" w:cs="Times New Roman"/>
          <w:sz w:val="24"/>
          <w:szCs w:val="24"/>
        </w:rPr>
        <w:t>presented</w:t>
      </w:r>
      <w:r w:rsidR="006B73E9" w:rsidRPr="00A22656">
        <w:rPr>
          <w:rFonts w:ascii="Times New Roman" w:hAnsi="Times New Roman" w:cs="Times New Roman"/>
          <w:sz w:val="24"/>
          <w:szCs w:val="24"/>
        </w:rPr>
        <w:t>, to some extent, as falling withi</w:t>
      </w:r>
      <w:r w:rsidR="00913580" w:rsidRPr="00A22656">
        <w:rPr>
          <w:rFonts w:ascii="Times New Roman" w:hAnsi="Times New Roman" w:cs="Times New Roman"/>
          <w:sz w:val="24"/>
          <w:szCs w:val="24"/>
        </w:rPr>
        <w:t>n the range of possibilities of</w:t>
      </w:r>
      <w:r w:rsidR="006B73E9" w:rsidRPr="00A22656">
        <w:rPr>
          <w:rFonts w:ascii="Times New Roman" w:hAnsi="Times New Roman" w:cs="Times New Roman"/>
          <w:sz w:val="24"/>
          <w:szCs w:val="24"/>
        </w:rPr>
        <w:t xml:space="preserve"> </w:t>
      </w:r>
      <w:proofErr w:type="gramStart"/>
      <w:r w:rsidR="006B73E9" w:rsidRPr="00A22656">
        <w:rPr>
          <w:rFonts w:ascii="Times New Roman" w:hAnsi="Times New Roman" w:cs="Times New Roman"/>
          <w:sz w:val="24"/>
          <w:szCs w:val="24"/>
        </w:rPr>
        <w:t>an</w:t>
      </w:r>
      <w:proofErr w:type="gramEnd"/>
      <w:r w:rsidR="006B73E9" w:rsidRPr="00A22656">
        <w:rPr>
          <w:rFonts w:ascii="Times New Roman" w:hAnsi="Times New Roman" w:cs="Times New Roman"/>
          <w:sz w:val="24"/>
          <w:szCs w:val="24"/>
        </w:rPr>
        <w:t xml:space="preserve"> historically Eurosceptic Member State</w:t>
      </w:r>
      <w:r w:rsidRPr="00A22656">
        <w:rPr>
          <w:rFonts w:ascii="Times New Roman" w:hAnsi="Times New Roman" w:cs="Times New Roman"/>
          <w:sz w:val="24"/>
          <w:szCs w:val="24"/>
        </w:rPr>
        <w:t xml:space="preserve"> that</w:t>
      </w:r>
      <w:r w:rsidR="00942939" w:rsidRPr="00A22656">
        <w:rPr>
          <w:rFonts w:ascii="Times New Roman" w:hAnsi="Times New Roman" w:cs="Times New Roman"/>
          <w:sz w:val="24"/>
          <w:szCs w:val="24"/>
        </w:rPr>
        <w:t xml:space="preserve"> had long</w:t>
      </w:r>
      <w:r w:rsidR="006B73E9" w:rsidRPr="00A22656">
        <w:rPr>
          <w:rFonts w:ascii="Times New Roman" w:hAnsi="Times New Roman" w:cs="Times New Roman"/>
          <w:sz w:val="24"/>
          <w:szCs w:val="24"/>
        </w:rPr>
        <w:t xml:space="preserve"> positioned itself at the outer fringes of European integration.</w:t>
      </w:r>
      <w:r w:rsidR="001C3E7A" w:rsidRPr="00A22656">
        <w:rPr>
          <w:rFonts w:ascii="Times New Roman" w:hAnsi="Times New Roman" w:cs="Times New Roman"/>
          <w:sz w:val="24"/>
          <w:szCs w:val="24"/>
        </w:rPr>
        <w:t xml:space="preserve"> A</w:t>
      </w:r>
      <w:r w:rsidR="00942939" w:rsidRPr="00A22656">
        <w:rPr>
          <w:rFonts w:ascii="Times New Roman" w:hAnsi="Times New Roman" w:cs="Times New Roman"/>
          <w:sz w:val="24"/>
          <w:szCs w:val="24"/>
        </w:rPr>
        <w:t>ccording to the Bratislava Declaration</w:t>
      </w:r>
      <w:r w:rsidR="001C3E7A" w:rsidRPr="00A22656">
        <w:rPr>
          <w:rFonts w:ascii="Times New Roman" w:hAnsi="Times New Roman" w:cs="Times New Roman"/>
          <w:sz w:val="24"/>
          <w:szCs w:val="24"/>
        </w:rPr>
        <w:t>,</w:t>
      </w:r>
      <w:r w:rsidR="002E42FA" w:rsidRPr="00A22656">
        <w:rPr>
          <w:rFonts w:ascii="Times New Roman" w:hAnsi="Times New Roman" w:cs="Times New Roman"/>
          <w:sz w:val="24"/>
          <w:szCs w:val="24"/>
        </w:rPr>
        <w:t xml:space="preserve"> ‘</w:t>
      </w:r>
      <w:r w:rsidR="00942939" w:rsidRPr="00A22656">
        <w:rPr>
          <w:rFonts w:ascii="Times New Roman" w:hAnsi="Times New Roman" w:cs="Times New Roman"/>
          <w:sz w:val="24"/>
          <w:szCs w:val="24"/>
        </w:rPr>
        <w:t>while one country has</w:t>
      </w:r>
      <w:r w:rsidR="002E42FA" w:rsidRPr="00A22656">
        <w:rPr>
          <w:rFonts w:ascii="Times New Roman" w:hAnsi="Times New Roman" w:cs="Times New Roman"/>
          <w:sz w:val="24"/>
          <w:szCs w:val="24"/>
        </w:rPr>
        <w:t xml:space="preserve"> decided to leave, the EU remains indispensable for the rest’.</w:t>
      </w:r>
      <w:r w:rsidR="00284179" w:rsidRPr="00A22656">
        <w:rPr>
          <w:rStyle w:val="FootnoteReference"/>
          <w:rFonts w:ascii="Times New Roman" w:hAnsi="Times New Roman" w:cs="Times New Roman"/>
          <w:sz w:val="24"/>
          <w:szCs w:val="24"/>
        </w:rPr>
        <w:footnoteReference w:id="1"/>
      </w:r>
      <w:r w:rsidR="00CA5BF7" w:rsidRPr="00A22656">
        <w:rPr>
          <w:rFonts w:ascii="Times New Roman" w:hAnsi="Times New Roman" w:cs="Times New Roman"/>
          <w:sz w:val="24"/>
          <w:szCs w:val="24"/>
        </w:rPr>
        <w:t xml:space="preserve"> </w:t>
      </w:r>
      <w:r w:rsidRPr="00A22656">
        <w:rPr>
          <w:rFonts w:ascii="Times New Roman" w:hAnsi="Times New Roman" w:cs="Times New Roman"/>
          <w:sz w:val="24"/>
          <w:szCs w:val="24"/>
        </w:rPr>
        <w:t xml:space="preserve">In addition, the </w:t>
      </w:r>
      <w:r w:rsidR="00F4085A" w:rsidRPr="00A22656">
        <w:rPr>
          <w:rFonts w:ascii="Times New Roman" w:hAnsi="Times New Roman" w:cs="Times New Roman"/>
          <w:sz w:val="24"/>
          <w:szCs w:val="24"/>
        </w:rPr>
        <w:t>o</w:t>
      </w:r>
      <w:r w:rsidR="00CA5BF7" w:rsidRPr="00A22656">
        <w:rPr>
          <w:rFonts w:ascii="Times New Roman" w:hAnsi="Times New Roman" w:cs="Times New Roman"/>
          <w:sz w:val="24"/>
          <w:szCs w:val="24"/>
        </w:rPr>
        <w:t>ther Member States</w:t>
      </w:r>
      <w:r w:rsidR="002E42FA" w:rsidRPr="00A22656">
        <w:rPr>
          <w:rFonts w:ascii="Times New Roman" w:hAnsi="Times New Roman" w:cs="Times New Roman"/>
          <w:sz w:val="24"/>
          <w:szCs w:val="24"/>
        </w:rPr>
        <w:t xml:space="preserve"> </w:t>
      </w:r>
      <w:r w:rsidR="00284179" w:rsidRPr="00A22656">
        <w:rPr>
          <w:rFonts w:ascii="Times New Roman" w:hAnsi="Times New Roman" w:cs="Times New Roman"/>
          <w:sz w:val="24"/>
          <w:szCs w:val="24"/>
        </w:rPr>
        <w:t>reaffirmed the need to realise citizens’ wish</w:t>
      </w:r>
      <w:r w:rsidR="00CA5BF7" w:rsidRPr="00A22656">
        <w:rPr>
          <w:rFonts w:ascii="Times New Roman" w:hAnsi="Times New Roman" w:cs="Times New Roman"/>
          <w:sz w:val="24"/>
          <w:szCs w:val="24"/>
        </w:rPr>
        <w:t>es</w:t>
      </w:r>
      <w:r w:rsidR="00284179" w:rsidRPr="00A22656">
        <w:rPr>
          <w:rFonts w:ascii="Times New Roman" w:hAnsi="Times New Roman" w:cs="Times New Roman"/>
          <w:sz w:val="24"/>
          <w:szCs w:val="24"/>
        </w:rPr>
        <w:t xml:space="preserve"> to live, study, work, move and prosper across [the] continent’.</w:t>
      </w:r>
      <w:r w:rsidR="00942939" w:rsidRPr="00A22656">
        <w:rPr>
          <w:rStyle w:val="FootnoteReference"/>
          <w:rFonts w:ascii="Times New Roman" w:hAnsi="Times New Roman" w:cs="Times New Roman"/>
          <w:sz w:val="24"/>
          <w:szCs w:val="24"/>
        </w:rPr>
        <w:footnoteReference w:id="2"/>
      </w:r>
      <w:r w:rsidR="002E42FA" w:rsidRPr="00A22656">
        <w:rPr>
          <w:rFonts w:ascii="Times New Roman" w:hAnsi="Times New Roman" w:cs="Times New Roman"/>
          <w:sz w:val="24"/>
          <w:szCs w:val="24"/>
        </w:rPr>
        <w:t xml:space="preserve"> </w:t>
      </w:r>
      <w:r w:rsidR="004865A8" w:rsidRPr="00A22656">
        <w:rPr>
          <w:rFonts w:ascii="Times New Roman" w:hAnsi="Times New Roman" w:cs="Times New Roman"/>
          <w:sz w:val="24"/>
          <w:szCs w:val="24"/>
        </w:rPr>
        <w:t>W</w:t>
      </w:r>
      <w:r w:rsidR="00844F64" w:rsidRPr="00A22656">
        <w:rPr>
          <w:rFonts w:ascii="Times New Roman" w:hAnsi="Times New Roman" w:cs="Times New Roman"/>
          <w:sz w:val="24"/>
          <w:szCs w:val="24"/>
        </w:rPr>
        <w:t xml:space="preserve">hen set against </w:t>
      </w:r>
      <w:r w:rsidR="00CA5BF7" w:rsidRPr="00A22656">
        <w:rPr>
          <w:rFonts w:ascii="Times New Roman" w:hAnsi="Times New Roman" w:cs="Times New Roman"/>
          <w:sz w:val="24"/>
          <w:szCs w:val="24"/>
        </w:rPr>
        <w:t xml:space="preserve">even </w:t>
      </w:r>
      <w:r w:rsidR="00844F64" w:rsidRPr="00A22656">
        <w:rPr>
          <w:rFonts w:ascii="Times New Roman" w:hAnsi="Times New Roman" w:cs="Times New Roman"/>
          <w:sz w:val="24"/>
          <w:szCs w:val="24"/>
        </w:rPr>
        <w:t>more recent developments in regional and global politics,</w:t>
      </w:r>
      <w:r w:rsidR="00913580" w:rsidRPr="00A22656">
        <w:rPr>
          <w:rFonts w:ascii="Times New Roman" w:hAnsi="Times New Roman" w:cs="Times New Roman"/>
          <w:sz w:val="24"/>
          <w:szCs w:val="24"/>
        </w:rPr>
        <w:t xml:space="preserve"> however,</w:t>
      </w:r>
      <w:r w:rsidR="00844F64" w:rsidRPr="00A22656">
        <w:rPr>
          <w:rFonts w:ascii="Times New Roman" w:hAnsi="Times New Roman" w:cs="Times New Roman"/>
          <w:sz w:val="24"/>
          <w:szCs w:val="24"/>
        </w:rPr>
        <w:t xml:space="preserve"> the refe</w:t>
      </w:r>
      <w:r w:rsidR="002E42FA" w:rsidRPr="00A22656">
        <w:rPr>
          <w:rFonts w:ascii="Times New Roman" w:hAnsi="Times New Roman" w:cs="Times New Roman"/>
          <w:sz w:val="24"/>
          <w:szCs w:val="24"/>
        </w:rPr>
        <w:t>rendum result</w:t>
      </w:r>
      <w:r w:rsidR="0073449E" w:rsidRPr="00A22656">
        <w:rPr>
          <w:rFonts w:ascii="Times New Roman" w:hAnsi="Times New Roman" w:cs="Times New Roman"/>
          <w:sz w:val="24"/>
          <w:szCs w:val="24"/>
        </w:rPr>
        <w:t xml:space="preserve"> seems less</w:t>
      </w:r>
      <w:r w:rsidR="00A0530D" w:rsidRPr="00A22656">
        <w:rPr>
          <w:rFonts w:ascii="Times New Roman" w:hAnsi="Times New Roman" w:cs="Times New Roman"/>
          <w:sz w:val="24"/>
          <w:szCs w:val="24"/>
        </w:rPr>
        <w:t xml:space="preserve"> of an anomalous, if</w:t>
      </w:r>
      <w:r w:rsidR="0073449E" w:rsidRPr="00A22656">
        <w:rPr>
          <w:rFonts w:ascii="Times New Roman" w:hAnsi="Times New Roman" w:cs="Times New Roman"/>
          <w:sz w:val="24"/>
          <w:szCs w:val="24"/>
        </w:rPr>
        <w:t xml:space="preserve"> ‘painful’</w:t>
      </w:r>
      <w:r w:rsidR="00CA5BF7" w:rsidRPr="00A22656">
        <w:rPr>
          <w:rFonts w:ascii="Times New Roman" w:hAnsi="Times New Roman" w:cs="Times New Roman"/>
          <w:sz w:val="24"/>
          <w:szCs w:val="24"/>
        </w:rPr>
        <w:t>,</w:t>
      </w:r>
      <w:r w:rsidR="0073449E" w:rsidRPr="00A22656">
        <w:rPr>
          <w:rStyle w:val="FootnoteReference"/>
          <w:rFonts w:ascii="Times New Roman" w:hAnsi="Times New Roman" w:cs="Times New Roman"/>
          <w:sz w:val="24"/>
          <w:szCs w:val="24"/>
        </w:rPr>
        <w:footnoteReference w:id="3"/>
      </w:r>
      <w:r w:rsidR="002E42FA" w:rsidRPr="00A22656">
        <w:rPr>
          <w:rFonts w:ascii="Times New Roman" w:hAnsi="Times New Roman" w:cs="Times New Roman"/>
          <w:sz w:val="24"/>
          <w:szCs w:val="24"/>
        </w:rPr>
        <w:t xml:space="preserve"> decision by a misfit Member State</w:t>
      </w:r>
      <w:r w:rsidR="008776AB" w:rsidRPr="00A22656">
        <w:rPr>
          <w:rFonts w:ascii="Times New Roman" w:hAnsi="Times New Roman" w:cs="Times New Roman"/>
          <w:sz w:val="24"/>
          <w:szCs w:val="24"/>
        </w:rPr>
        <w:t>, and more part of</w:t>
      </w:r>
      <w:r w:rsidR="00942939" w:rsidRPr="00A22656">
        <w:rPr>
          <w:rFonts w:ascii="Times New Roman" w:hAnsi="Times New Roman" w:cs="Times New Roman"/>
          <w:sz w:val="24"/>
          <w:szCs w:val="24"/>
        </w:rPr>
        <w:t xml:space="preserve"> a series of political events that</w:t>
      </w:r>
      <w:r w:rsidR="004865A8" w:rsidRPr="00A22656">
        <w:rPr>
          <w:rFonts w:ascii="Times New Roman" w:hAnsi="Times New Roman" w:cs="Times New Roman"/>
          <w:sz w:val="24"/>
          <w:szCs w:val="24"/>
        </w:rPr>
        <w:t>, at best</w:t>
      </w:r>
      <w:r w:rsidR="00913580" w:rsidRPr="00A22656">
        <w:rPr>
          <w:rFonts w:ascii="Times New Roman" w:hAnsi="Times New Roman" w:cs="Times New Roman"/>
          <w:sz w:val="24"/>
          <w:szCs w:val="24"/>
        </w:rPr>
        <w:t>,</w:t>
      </w:r>
      <w:r w:rsidR="004865A8" w:rsidRPr="00A22656">
        <w:rPr>
          <w:rFonts w:ascii="Times New Roman" w:hAnsi="Times New Roman" w:cs="Times New Roman"/>
          <w:sz w:val="24"/>
          <w:szCs w:val="24"/>
        </w:rPr>
        <w:t xml:space="preserve"> suggest</w:t>
      </w:r>
      <w:r w:rsidR="006C671A" w:rsidRPr="00A22656">
        <w:rPr>
          <w:rFonts w:ascii="Times New Roman" w:hAnsi="Times New Roman" w:cs="Times New Roman"/>
          <w:sz w:val="24"/>
          <w:szCs w:val="24"/>
        </w:rPr>
        <w:t>s</w:t>
      </w:r>
      <w:r w:rsidR="004865A8" w:rsidRPr="00A22656">
        <w:rPr>
          <w:rFonts w:ascii="Times New Roman" w:hAnsi="Times New Roman" w:cs="Times New Roman"/>
          <w:sz w:val="24"/>
          <w:szCs w:val="24"/>
        </w:rPr>
        <w:t xml:space="preserve"> a fundamental disconnection between what the </w:t>
      </w:r>
      <w:r w:rsidR="00913580" w:rsidRPr="00A22656">
        <w:rPr>
          <w:rFonts w:ascii="Times New Roman" w:hAnsi="Times New Roman" w:cs="Times New Roman"/>
          <w:sz w:val="24"/>
          <w:szCs w:val="24"/>
        </w:rPr>
        <w:t>E</w:t>
      </w:r>
      <w:r w:rsidR="004865A8" w:rsidRPr="00A22656">
        <w:rPr>
          <w:rFonts w:ascii="Times New Roman" w:hAnsi="Times New Roman" w:cs="Times New Roman"/>
          <w:sz w:val="24"/>
          <w:szCs w:val="24"/>
        </w:rPr>
        <w:t>U envisages for its citizens and the citizenry itself, and, at worst,</w:t>
      </w:r>
      <w:r w:rsidR="00942939" w:rsidRPr="00A22656">
        <w:rPr>
          <w:rFonts w:ascii="Times New Roman" w:hAnsi="Times New Roman" w:cs="Times New Roman"/>
          <w:sz w:val="24"/>
          <w:szCs w:val="24"/>
        </w:rPr>
        <w:t xml:space="preserve"> risk</w:t>
      </w:r>
      <w:r w:rsidR="00A0530D" w:rsidRPr="00A22656">
        <w:rPr>
          <w:rFonts w:ascii="Times New Roman" w:hAnsi="Times New Roman" w:cs="Times New Roman"/>
          <w:sz w:val="24"/>
          <w:szCs w:val="24"/>
        </w:rPr>
        <w:t>s</w:t>
      </w:r>
      <w:r w:rsidR="00942939" w:rsidRPr="00A22656">
        <w:rPr>
          <w:rFonts w:ascii="Times New Roman" w:hAnsi="Times New Roman" w:cs="Times New Roman"/>
          <w:sz w:val="24"/>
          <w:szCs w:val="24"/>
        </w:rPr>
        <w:t xml:space="preserve"> undermining the </w:t>
      </w:r>
      <w:r w:rsidR="00CA5BF7" w:rsidRPr="00A22656">
        <w:rPr>
          <w:rFonts w:ascii="Times New Roman" w:hAnsi="Times New Roman" w:cs="Times New Roman"/>
          <w:sz w:val="24"/>
          <w:szCs w:val="24"/>
        </w:rPr>
        <w:t xml:space="preserve">Union </w:t>
      </w:r>
      <w:r w:rsidR="00942939" w:rsidRPr="00A22656">
        <w:rPr>
          <w:rFonts w:ascii="Times New Roman" w:hAnsi="Times New Roman" w:cs="Times New Roman"/>
          <w:sz w:val="24"/>
          <w:szCs w:val="24"/>
        </w:rPr>
        <w:t>project</w:t>
      </w:r>
      <w:r w:rsidR="00913580" w:rsidRPr="00A22656">
        <w:rPr>
          <w:rFonts w:ascii="Times New Roman" w:hAnsi="Times New Roman" w:cs="Times New Roman"/>
          <w:sz w:val="24"/>
          <w:szCs w:val="24"/>
        </w:rPr>
        <w:t xml:space="preserve"> as a whole</w:t>
      </w:r>
      <w:r w:rsidR="00EE30C8" w:rsidRPr="00A22656">
        <w:rPr>
          <w:rFonts w:ascii="Times New Roman" w:hAnsi="Times New Roman" w:cs="Times New Roman"/>
          <w:sz w:val="24"/>
          <w:szCs w:val="24"/>
        </w:rPr>
        <w:t>.</w:t>
      </w:r>
      <w:r w:rsidR="00D56F4D" w:rsidRPr="00A22656">
        <w:rPr>
          <w:rFonts w:ascii="Times New Roman" w:hAnsi="Times New Roman" w:cs="Times New Roman"/>
          <w:sz w:val="24"/>
          <w:szCs w:val="24"/>
        </w:rPr>
        <w:t xml:space="preserve"> </w:t>
      </w:r>
      <w:r w:rsidR="00A0530D" w:rsidRPr="00A22656">
        <w:rPr>
          <w:rFonts w:ascii="Times New Roman" w:hAnsi="Times New Roman" w:cs="Times New Roman"/>
          <w:sz w:val="24"/>
          <w:szCs w:val="24"/>
        </w:rPr>
        <w:t xml:space="preserve">Yet at this </w:t>
      </w:r>
      <w:r w:rsidR="00AF06CF" w:rsidRPr="00A22656">
        <w:rPr>
          <w:rFonts w:ascii="Times New Roman" w:hAnsi="Times New Roman" w:cs="Times New Roman"/>
          <w:sz w:val="24"/>
          <w:szCs w:val="24"/>
        </w:rPr>
        <w:t xml:space="preserve">very political </w:t>
      </w:r>
      <w:r w:rsidR="00A0530D" w:rsidRPr="00A22656">
        <w:rPr>
          <w:rFonts w:ascii="Times New Roman" w:hAnsi="Times New Roman" w:cs="Times New Roman"/>
          <w:sz w:val="24"/>
          <w:szCs w:val="24"/>
        </w:rPr>
        <w:t>juncture,</w:t>
      </w:r>
      <w:r w:rsidR="00F93149" w:rsidRPr="00A22656">
        <w:rPr>
          <w:rFonts w:ascii="Times New Roman" w:hAnsi="Times New Roman" w:cs="Times New Roman"/>
          <w:sz w:val="24"/>
          <w:szCs w:val="24"/>
        </w:rPr>
        <w:t xml:space="preserve"> at which the UK</w:t>
      </w:r>
      <w:r w:rsidR="006F0F5F" w:rsidRPr="00A22656">
        <w:rPr>
          <w:rFonts w:ascii="Times New Roman" w:hAnsi="Times New Roman" w:cs="Times New Roman"/>
          <w:sz w:val="24"/>
          <w:szCs w:val="24"/>
        </w:rPr>
        <w:t>’s future relati</w:t>
      </w:r>
      <w:r w:rsidR="00374511" w:rsidRPr="00A22656">
        <w:rPr>
          <w:rFonts w:ascii="Times New Roman" w:hAnsi="Times New Roman" w:cs="Times New Roman"/>
          <w:sz w:val="24"/>
          <w:szCs w:val="24"/>
        </w:rPr>
        <w:t>onship</w:t>
      </w:r>
      <w:r w:rsidR="003A7BB9" w:rsidRPr="00A22656">
        <w:rPr>
          <w:rFonts w:ascii="Times New Roman" w:hAnsi="Times New Roman" w:cs="Times New Roman"/>
          <w:sz w:val="24"/>
          <w:szCs w:val="24"/>
        </w:rPr>
        <w:t xml:space="preserve"> with the Union remains far from</w:t>
      </w:r>
      <w:r w:rsidR="00374511" w:rsidRPr="00A22656">
        <w:rPr>
          <w:rFonts w:ascii="Times New Roman" w:hAnsi="Times New Roman" w:cs="Times New Roman"/>
          <w:sz w:val="24"/>
          <w:szCs w:val="24"/>
        </w:rPr>
        <w:t xml:space="preserve"> </w:t>
      </w:r>
      <w:r w:rsidR="006F0F5F" w:rsidRPr="00A22656">
        <w:rPr>
          <w:rFonts w:ascii="Times New Roman" w:hAnsi="Times New Roman" w:cs="Times New Roman"/>
          <w:sz w:val="24"/>
          <w:szCs w:val="24"/>
        </w:rPr>
        <w:t>clear</w:t>
      </w:r>
      <w:r w:rsidR="00F93149" w:rsidRPr="00A22656">
        <w:rPr>
          <w:rFonts w:ascii="Times New Roman" w:hAnsi="Times New Roman" w:cs="Times New Roman"/>
          <w:sz w:val="24"/>
          <w:szCs w:val="24"/>
        </w:rPr>
        <w:t>, and at which anti-immigration, anti-</w:t>
      </w:r>
      <w:r w:rsidR="00D56F4D" w:rsidRPr="00A22656">
        <w:rPr>
          <w:rFonts w:ascii="Times New Roman" w:hAnsi="Times New Roman" w:cs="Times New Roman"/>
          <w:sz w:val="24"/>
          <w:szCs w:val="24"/>
        </w:rPr>
        <w:t>EU and populist politics appear</w:t>
      </w:r>
      <w:r w:rsidR="00F93149" w:rsidRPr="00A22656">
        <w:rPr>
          <w:rFonts w:ascii="Times New Roman" w:hAnsi="Times New Roman" w:cs="Times New Roman"/>
          <w:sz w:val="24"/>
          <w:szCs w:val="24"/>
        </w:rPr>
        <w:t xml:space="preserve"> to be steadily but not yet decisively on the rise across Europe,</w:t>
      </w:r>
      <w:r w:rsidR="00F93149" w:rsidRPr="00A22656">
        <w:rPr>
          <w:rStyle w:val="FootnoteReference"/>
          <w:rFonts w:ascii="Times New Roman" w:hAnsi="Times New Roman" w:cs="Times New Roman"/>
          <w:sz w:val="24"/>
          <w:szCs w:val="24"/>
        </w:rPr>
        <w:footnoteReference w:id="4"/>
      </w:r>
      <w:r w:rsidR="00AF06CF" w:rsidRPr="00A22656">
        <w:rPr>
          <w:rFonts w:ascii="Times New Roman" w:hAnsi="Times New Roman" w:cs="Times New Roman"/>
          <w:sz w:val="24"/>
          <w:szCs w:val="24"/>
        </w:rPr>
        <w:t xml:space="preserve"> there are frustratingly few tools to survey the Union’s evolving </w:t>
      </w:r>
      <w:r w:rsidR="00AF06CF" w:rsidRPr="00A22656">
        <w:rPr>
          <w:rFonts w:ascii="Times New Roman" w:hAnsi="Times New Roman" w:cs="Times New Roman"/>
          <w:i/>
          <w:sz w:val="24"/>
          <w:szCs w:val="24"/>
        </w:rPr>
        <w:t xml:space="preserve">legal </w:t>
      </w:r>
      <w:r w:rsidR="00AF06CF" w:rsidRPr="00A22656">
        <w:rPr>
          <w:rFonts w:ascii="Times New Roman" w:hAnsi="Times New Roman" w:cs="Times New Roman"/>
          <w:sz w:val="24"/>
          <w:szCs w:val="24"/>
        </w:rPr>
        <w:t>constitutional landscape.</w:t>
      </w:r>
      <w:r w:rsidR="001B5448" w:rsidRPr="00A22656">
        <w:rPr>
          <w:rStyle w:val="FootnoteReference"/>
          <w:rFonts w:ascii="Times New Roman" w:hAnsi="Times New Roman" w:cs="Times New Roman"/>
          <w:sz w:val="24"/>
          <w:szCs w:val="24"/>
        </w:rPr>
        <w:footnoteReference w:id="5"/>
      </w:r>
    </w:p>
    <w:p w:rsidR="0035769C" w:rsidRPr="00A22656" w:rsidRDefault="0035769C" w:rsidP="005F768F">
      <w:pPr>
        <w:pStyle w:val="NoSpacing"/>
        <w:spacing w:line="360" w:lineRule="auto"/>
        <w:jc w:val="both"/>
        <w:rPr>
          <w:rFonts w:ascii="Times New Roman" w:hAnsi="Times New Roman" w:cs="Times New Roman"/>
          <w:sz w:val="24"/>
          <w:szCs w:val="24"/>
        </w:rPr>
      </w:pPr>
    </w:p>
    <w:p w:rsidR="008046CE" w:rsidRPr="00A22656" w:rsidRDefault="002A2047"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lastRenderedPageBreak/>
        <w:t>This chapter a</w:t>
      </w:r>
      <w:r w:rsidR="00213658" w:rsidRPr="00A22656">
        <w:rPr>
          <w:rFonts w:ascii="Times New Roman" w:hAnsi="Times New Roman" w:cs="Times New Roman"/>
          <w:sz w:val="24"/>
          <w:szCs w:val="24"/>
        </w:rPr>
        <w:t>dvances</w:t>
      </w:r>
      <w:r w:rsidRPr="00A22656">
        <w:rPr>
          <w:rFonts w:ascii="Times New Roman" w:hAnsi="Times New Roman" w:cs="Times New Roman"/>
          <w:sz w:val="24"/>
          <w:szCs w:val="24"/>
        </w:rPr>
        <w:t xml:space="preserve"> that, while no longer of formal legal relevance, the UK’s pre-referendum renegotiation</w:t>
      </w:r>
      <w:r w:rsidR="008776AB" w:rsidRPr="00A22656">
        <w:rPr>
          <w:rFonts w:ascii="Times New Roman" w:hAnsi="Times New Roman" w:cs="Times New Roman"/>
          <w:sz w:val="24"/>
          <w:szCs w:val="24"/>
        </w:rPr>
        <w:t xml:space="preserve"> of its relationship with the EU</w:t>
      </w:r>
      <w:r w:rsidRPr="00A22656">
        <w:rPr>
          <w:rFonts w:ascii="Times New Roman" w:hAnsi="Times New Roman" w:cs="Times New Roman"/>
          <w:sz w:val="24"/>
          <w:szCs w:val="24"/>
        </w:rPr>
        <w:t>, agreed by the European Council in February 2016</w:t>
      </w:r>
      <w:r w:rsidR="008776AB" w:rsidRPr="00A22656">
        <w:rPr>
          <w:rFonts w:ascii="Times New Roman" w:hAnsi="Times New Roman" w:cs="Times New Roman"/>
          <w:sz w:val="24"/>
          <w:szCs w:val="24"/>
        </w:rPr>
        <w:t>,</w:t>
      </w:r>
      <w:r w:rsidRPr="00A22656">
        <w:rPr>
          <w:rStyle w:val="FootnoteReference"/>
          <w:rFonts w:ascii="Times New Roman" w:hAnsi="Times New Roman" w:cs="Times New Roman"/>
          <w:sz w:val="24"/>
          <w:szCs w:val="24"/>
        </w:rPr>
        <w:footnoteReference w:id="6"/>
      </w:r>
      <w:r w:rsidR="008776AB" w:rsidRPr="00A22656">
        <w:rPr>
          <w:rFonts w:ascii="Times New Roman" w:hAnsi="Times New Roman" w:cs="Times New Roman"/>
          <w:sz w:val="24"/>
          <w:szCs w:val="24"/>
        </w:rPr>
        <w:t xml:space="preserve"> </w:t>
      </w:r>
      <w:r w:rsidR="003D52FD" w:rsidRPr="00A22656">
        <w:rPr>
          <w:rFonts w:ascii="Times New Roman" w:hAnsi="Times New Roman" w:cs="Times New Roman"/>
          <w:sz w:val="24"/>
          <w:szCs w:val="24"/>
        </w:rPr>
        <w:t>and in particular the so-called ‘emergency brake’ on in-work benefits contained therein</w:t>
      </w:r>
      <w:r w:rsidR="00CD6226" w:rsidRPr="00A22656">
        <w:rPr>
          <w:rFonts w:ascii="Times New Roman" w:hAnsi="Times New Roman" w:cs="Times New Roman"/>
          <w:sz w:val="24"/>
          <w:szCs w:val="24"/>
        </w:rPr>
        <w:t xml:space="preserve"> (safeguard/safeguard mechanism</w:t>
      </w:r>
      <w:r w:rsidR="00B11A8C" w:rsidRPr="00A22656">
        <w:rPr>
          <w:rFonts w:ascii="Times New Roman" w:hAnsi="Times New Roman" w:cs="Times New Roman"/>
          <w:sz w:val="24"/>
          <w:szCs w:val="24"/>
        </w:rPr>
        <w:t>)</w:t>
      </w:r>
      <w:r w:rsidR="003D52FD" w:rsidRPr="00A22656">
        <w:rPr>
          <w:rFonts w:ascii="Times New Roman" w:hAnsi="Times New Roman" w:cs="Times New Roman"/>
          <w:sz w:val="24"/>
          <w:szCs w:val="24"/>
        </w:rPr>
        <w:t xml:space="preserve">, </w:t>
      </w:r>
      <w:r w:rsidR="008776AB" w:rsidRPr="00A22656">
        <w:rPr>
          <w:rFonts w:ascii="Times New Roman" w:hAnsi="Times New Roman" w:cs="Times New Roman"/>
          <w:sz w:val="24"/>
          <w:szCs w:val="24"/>
        </w:rPr>
        <w:t>provides fertile ground for</w:t>
      </w:r>
      <w:r w:rsidR="003D52FD" w:rsidRPr="00A22656">
        <w:rPr>
          <w:rFonts w:ascii="Times New Roman" w:hAnsi="Times New Roman" w:cs="Times New Roman"/>
          <w:sz w:val="24"/>
          <w:szCs w:val="24"/>
        </w:rPr>
        <w:t xml:space="preserve"> </w:t>
      </w:r>
      <w:r w:rsidR="004865A8" w:rsidRPr="00A22656">
        <w:rPr>
          <w:rFonts w:ascii="Times New Roman" w:hAnsi="Times New Roman" w:cs="Times New Roman"/>
          <w:sz w:val="24"/>
          <w:szCs w:val="24"/>
        </w:rPr>
        <w:t xml:space="preserve">assessing </w:t>
      </w:r>
      <w:r w:rsidR="00183723" w:rsidRPr="00A22656">
        <w:rPr>
          <w:rFonts w:ascii="Times New Roman" w:hAnsi="Times New Roman" w:cs="Times New Roman"/>
          <w:sz w:val="24"/>
          <w:szCs w:val="24"/>
        </w:rPr>
        <w:t>the</w:t>
      </w:r>
      <w:r w:rsidR="00AE598E" w:rsidRPr="00A22656">
        <w:rPr>
          <w:rFonts w:ascii="Times New Roman" w:hAnsi="Times New Roman" w:cs="Times New Roman"/>
          <w:sz w:val="24"/>
          <w:szCs w:val="24"/>
        </w:rPr>
        <w:t xml:space="preserve"> contemporary</w:t>
      </w:r>
      <w:r w:rsidR="00183723" w:rsidRPr="00A22656">
        <w:rPr>
          <w:rFonts w:ascii="Times New Roman" w:hAnsi="Times New Roman" w:cs="Times New Roman"/>
          <w:sz w:val="24"/>
          <w:szCs w:val="24"/>
        </w:rPr>
        <w:t xml:space="preserve"> </w:t>
      </w:r>
      <w:r w:rsidR="004865A8" w:rsidRPr="00A22656">
        <w:rPr>
          <w:rFonts w:ascii="Times New Roman" w:hAnsi="Times New Roman" w:cs="Times New Roman"/>
          <w:sz w:val="24"/>
          <w:szCs w:val="24"/>
        </w:rPr>
        <w:t>political and legal</w:t>
      </w:r>
      <w:r w:rsidR="00183723" w:rsidRPr="00A22656">
        <w:rPr>
          <w:rFonts w:ascii="Times New Roman" w:hAnsi="Times New Roman" w:cs="Times New Roman"/>
          <w:sz w:val="24"/>
          <w:szCs w:val="24"/>
        </w:rPr>
        <w:t xml:space="preserve"> environments of</w:t>
      </w:r>
      <w:r w:rsidR="004865A8" w:rsidRPr="00A22656">
        <w:rPr>
          <w:rFonts w:ascii="Times New Roman" w:hAnsi="Times New Roman" w:cs="Times New Roman"/>
          <w:sz w:val="24"/>
          <w:szCs w:val="24"/>
        </w:rPr>
        <w:t xml:space="preserve"> Union citizenship and, more broadly, European integration.</w:t>
      </w:r>
      <w:r w:rsidR="003744F9" w:rsidRPr="00A22656">
        <w:rPr>
          <w:rFonts w:ascii="Times New Roman" w:hAnsi="Times New Roman" w:cs="Times New Roman"/>
          <w:sz w:val="24"/>
          <w:szCs w:val="24"/>
        </w:rPr>
        <w:t xml:space="preserve"> </w:t>
      </w:r>
      <w:r w:rsidR="004B09D5" w:rsidRPr="00A22656">
        <w:rPr>
          <w:rFonts w:ascii="Times New Roman" w:hAnsi="Times New Roman" w:cs="Times New Roman"/>
          <w:sz w:val="24"/>
          <w:szCs w:val="24"/>
        </w:rPr>
        <w:t>Further</w:t>
      </w:r>
      <w:r w:rsidR="003744F9" w:rsidRPr="00A22656">
        <w:rPr>
          <w:rFonts w:ascii="Times New Roman" w:hAnsi="Times New Roman" w:cs="Times New Roman"/>
          <w:sz w:val="24"/>
          <w:szCs w:val="24"/>
        </w:rPr>
        <w:t xml:space="preserve">, exploration of the legality of the safeguard also provides a means of reflecting on the institutional dynamics behind the current constitutional state of play. </w:t>
      </w:r>
      <w:r w:rsidR="001B2D40" w:rsidRPr="00A22656">
        <w:rPr>
          <w:rFonts w:ascii="Times New Roman" w:hAnsi="Times New Roman" w:cs="Times New Roman"/>
          <w:sz w:val="24"/>
          <w:szCs w:val="24"/>
        </w:rPr>
        <w:t xml:space="preserve"> </w:t>
      </w:r>
    </w:p>
    <w:p w:rsidR="0035769C" w:rsidRPr="00A22656" w:rsidRDefault="0035769C" w:rsidP="005F768F">
      <w:pPr>
        <w:pStyle w:val="NoSpacing"/>
        <w:spacing w:line="360" w:lineRule="auto"/>
        <w:rPr>
          <w:rFonts w:ascii="Times New Roman" w:hAnsi="Times New Roman" w:cs="Times New Roman"/>
          <w:sz w:val="24"/>
          <w:szCs w:val="24"/>
        </w:rPr>
      </w:pPr>
    </w:p>
    <w:p w:rsidR="00D56F17" w:rsidRPr="00A22656" w:rsidRDefault="008046CE"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Having provided an overview of the mechanism in section two, the chapter will postulate, in sectio</w:t>
      </w:r>
      <w:r w:rsidR="00B11A8C" w:rsidRPr="00A22656">
        <w:rPr>
          <w:rFonts w:ascii="Times New Roman" w:hAnsi="Times New Roman" w:cs="Times New Roman"/>
          <w:sz w:val="24"/>
          <w:szCs w:val="24"/>
        </w:rPr>
        <w:t xml:space="preserve">n three, that despite </w:t>
      </w:r>
      <w:bookmarkStart w:id="0" w:name="_GoBack"/>
      <w:bookmarkEnd w:id="0"/>
      <w:r w:rsidRPr="00A22656">
        <w:rPr>
          <w:rFonts w:ascii="Times New Roman" w:hAnsi="Times New Roman" w:cs="Times New Roman"/>
          <w:sz w:val="24"/>
          <w:szCs w:val="24"/>
        </w:rPr>
        <w:t xml:space="preserve">doubt as to its legality upon its unveiling, the safeguard is likely to have been permitted by the Court of Justice. </w:t>
      </w:r>
      <w:r w:rsidR="004538C6" w:rsidRPr="00A22656">
        <w:rPr>
          <w:rFonts w:ascii="Times New Roman" w:hAnsi="Times New Roman" w:cs="Times New Roman"/>
          <w:sz w:val="24"/>
          <w:szCs w:val="24"/>
        </w:rPr>
        <w:t>However, two more significant</w:t>
      </w:r>
      <w:r w:rsidR="003D2503" w:rsidRPr="00A22656">
        <w:rPr>
          <w:rFonts w:ascii="Times New Roman" w:hAnsi="Times New Roman" w:cs="Times New Roman"/>
          <w:sz w:val="24"/>
          <w:szCs w:val="24"/>
        </w:rPr>
        <w:t>, and still pertinent,</w:t>
      </w:r>
      <w:r w:rsidR="004538C6" w:rsidRPr="00A22656">
        <w:rPr>
          <w:rFonts w:ascii="Times New Roman" w:hAnsi="Times New Roman" w:cs="Times New Roman"/>
          <w:sz w:val="24"/>
          <w:szCs w:val="24"/>
        </w:rPr>
        <w:t xml:space="preserve"> observat</w:t>
      </w:r>
      <w:r w:rsidR="003D2503" w:rsidRPr="00A22656">
        <w:rPr>
          <w:rFonts w:ascii="Times New Roman" w:hAnsi="Times New Roman" w:cs="Times New Roman"/>
          <w:sz w:val="24"/>
          <w:szCs w:val="24"/>
        </w:rPr>
        <w:t>ions arise</w:t>
      </w:r>
      <w:r w:rsidR="00B11A8C" w:rsidRPr="00A22656">
        <w:rPr>
          <w:rFonts w:ascii="Times New Roman" w:hAnsi="Times New Roman" w:cs="Times New Roman"/>
          <w:sz w:val="24"/>
          <w:szCs w:val="24"/>
        </w:rPr>
        <w:t xml:space="preserve"> from this finding</w:t>
      </w:r>
      <w:r w:rsidR="003D2503" w:rsidRPr="00A22656">
        <w:rPr>
          <w:rFonts w:ascii="Times New Roman" w:hAnsi="Times New Roman" w:cs="Times New Roman"/>
          <w:sz w:val="24"/>
          <w:szCs w:val="24"/>
        </w:rPr>
        <w:t>, relating, in particular, to the</w:t>
      </w:r>
      <w:r w:rsidR="004B09D5" w:rsidRPr="00A22656">
        <w:rPr>
          <w:rFonts w:ascii="Times New Roman" w:hAnsi="Times New Roman" w:cs="Times New Roman"/>
          <w:sz w:val="24"/>
          <w:szCs w:val="24"/>
        </w:rPr>
        <w:t xml:space="preserve"> Court’s </w:t>
      </w:r>
      <w:r w:rsidR="003D2503" w:rsidRPr="00A22656">
        <w:rPr>
          <w:rFonts w:ascii="Times New Roman" w:hAnsi="Times New Roman" w:cs="Times New Roman"/>
          <w:sz w:val="24"/>
          <w:szCs w:val="24"/>
        </w:rPr>
        <w:t>contribution</w:t>
      </w:r>
      <w:r w:rsidR="00DA2C6E" w:rsidRPr="00A22656">
        <w:rPr>
          <w:rFonts w:ascii="Times New Roman" w:hAnsi="Times New Roman" w:cs="Times New Roman"/>
          <w:sz w:val="24"/>
          <w:szCs w:val="24"/>
        </w:rPr>
        <w:t xml:space="preserve"> to the present</w:t>
      </w:r>
      <w:r w:rsidR="003D2503" w:rsidRPr="00A22656">
        <w:rPr>
          <w:rFonts w:ascii="Times New Roman" w:hAnsi="Times New Roman" w:cs="Times New Roman"/>
          <w:sz w:val="24"/>
          <w:szCs w:val="24"/>
        </w:rPr>
        <w:t xml:space="preserve"> political and legal climate</w:t>
      </w:r>
      <w:r w:rsidR="004538C6" w:rsidRPr="00A22656">
        <w:rPr>
          <w:rFonts w:ascii="Times New Roman" w:hAnsi="Times New Roman" w:cs="Times New Roman"/>
          <w:sz w:val="24"/>
          <w:szCs w:val="24"/>
        </w:rPr>
        <w:t xml:space="preserve">. First, it is the both the judicial construction </w:t>
      </w:r>
      <w:r w:rsidRPr="00A22656">
        <w:rPr>
          <w:rFonts w:ascii="Times New Roman" w:hAnsi="Times New Roman" w:cs="Times New Roman"/>
          <w:sz w:val="24"/>
          <w:szCs w:val="24"/>
        </w:rPr>
        <w:t>and, more recent, deconstruction of Union citizenship</w:t>
      </w:r>
      <w:r w:rsidR="00AE598E" w:rsidRPr="00A22656">
        <w:rPr>
          <w:rFonts w:ascii="Times New Roman" w:hAnsi="Times New Roman" w:cs="Times New Roman"/>
          <w:sz w:val="24"/>
          <w:szCs w:val="24"/>
        </w:rPr>
        <w:t xml:space="preserve"> that provides th</w:t>
      </w:r>
      <w:r w:rsidR="0022696E" w:rsidRPr="00A22656">
        <w:rPr>
          <w:rFonts w:ascii="Times New Roman" w:hAnsi="Times New Roman" w:cs="Times New Roman"/>
          <w:sz w:val="24"/>
          <w:szCs w:val="24"/>
        </w:rPr>
        <w:t>e safegua</w:t>
      </w:r>
      <w:r w:rsidR="004538C6" w:rsidRPr="00A22656">
        <w:rPr>
          <w:rFonts w:ascii="Times New Roman" w:hAnsi="Times New Roman" w:cs="Times New Roman"/>
          <w:sz w:val="24"/>
          <w:szCs w:val="24"/>
        </w:rPr>
        <w:t>rd with its clear legal</w:t>
      </w:r>
      <w:r w:rsidR="00AE598E" w:rsidRPr="00A22656">
        <w:rPr>
          <w:rFonts w:ascii="Times New Roman" w:hAnsi="Times New Roman" w:cs="Times New Roman"/>
          <w:sz w:val="24"/>
          <w:szCs w:val="24"/>
        </w:rPr>
        <w:t xml:space="preserve"> foundations.</w:t>
      </w:r>
      <w:r w:rsidR="0022696E" w:rsidRPr="00A22656">
        <w:rPr>
          <w:rFonts w:ascii="Times New Roman" w:hAnsi="Times New Roman" w:cs="Times New Roman"/>
          <w:sz w:val="24"/>
          <w:szCs w:val="24"/>
        </w:rPr>
        <w:t xml:space="preserve"> </w:t>
      </w:r>
      <w:r w:rsidR="004538C6" w:rsidRPr="00A22656">
        <w:rPr>
          <w:rFonts w:ascii="Times New Roman" w:hAnsi="Times New Roman" w:cs="Times New Roman"/>
          <w:sz w:val="24"/>
          <w:szCs w:val="24"/>
        </w:rPr>
        <w:t>Second, the seemingly paradoxical combin</w:t>
      </w:r>
      <w:r w:rsidR="00B11A8C" w:rsidRPr="00A22656">
        <w:rPr>
          <w:rFonts w:ascii="Times New Roman" w:hAnsi="Times New Roman" w:cs="Times New Roman"/>
          <w:sz w:val="24"/>
          <w:szCs w:val="24"/>
        </w:rPr>
        <w:t>ation of initial doubt as to the Court’s acceptance of the safeguard</w:t>
      </w:r>
      <w:r w:rsidR="004538C6" w:rsidRPr="00A22656">
        <w:rPr>
          <w:rFonts w:ascii="Times New Roman" w:hAnsi="Times New Roman" w:cs="Times New Roman"/>
          <w:sz w:val="24"/>
          <w:szCs w:val="24"/>
        </w:rPr>
        <w:t xml:space="preserve"> with the judicially-driven constitutional evolution that ultimately grounds its legality, </w:t>
      </w:r>
      <w:r w:rsidR="0022696E" w:rsidRPr="00A22656">
        <w:rPr>
          <w:rFonts w:ascii="Times New Roman" w:hAnsi="Times New Roman" w:cs="Times New Roman"/>
          <w:sz w:val="24"/>
          <w:szCs w:val="24"/>
        </w:rPr>
        <w:t>brings into sharp focus the increasingly constitutionalised nature of Union law and the growing dominance of the Court in the EU’s institutional dynamics. Consequently, what emerges from the analysis is that the Court-</w:t>
      </w:r>
      <w:r w:rsidR="006D22C5" w:rsidRPr="00A22656">
        <w:rPr>
          <w:rFonts w:ascii="Times New Roman" w:hAnsi="Times New Roman" w:cs="Times New Roman"/>
          <w:sz w:val="24"/>
          <w:szCs w:val="24"/>
        </w:rPr>
        <w:t>driven rights of Union citizens</w:t>
      </w:r>
      <w:r w:rsidR="0022696E" w:rsidRPr="00A22656">
        <w:rPr>
          <w:rFonts w:ascii="Times New Roman" w:hAnsi="Times New Roman" w:cs="Times New Roman"/>
          <w:sz w:val="24"/>
          <w:szCs w:val="24"/>
        </w:rPr>
        <w:t xml:space="preserve"> contribute, somewhat ironically, to perceptions, rightly or wrongly, of democratic deficit within the EU, </w:t>
      </w:r>
      <w:r w:rsidR="006D22C5" w:rsidRPr="00A22656">
        <w:rPr>
          <w:rFonts w:ascii="Times New Roman" w:hAnsi="Times New Roman" w:cs="Times New Roman"/>
          <w:sz w:val="24"/>
          <w:szCs w:val="24"/>
        </w:rPr>
        <w:t>of a</w:t>
      </w:r>
      <w:r w:rsidR="0022696E" w:rsidRPr="00A22656">
        <w:rPr>
          <w:rFonts w:ascii="Times New Roman" w:hAnsi="Times New Roman" w:cs="Times New Roman"/>
          <w:sz w:val="24"/>
          <w:szCs w:val="24"/>
        </w:rPr>
        <w:t xml:space="preserve"> loss of sovereignty </w:t>
      </w:r>
      <w:r w:rsidR="006D22C5" w:rsidRPr="00A22656">
        <w:rPr>
          <w:rFonts w:ascii="Times New Roman" w:hAnsi="Times New Roman" w:cs="Times New Roman"/>
          <w:sz w:val="24"/>
          <w:szCs w:val="24"/>
        </w:rPr>
        <w:t>by</w:t>
      </w:r>
      <w:r w:rsidR="0022696E" w:rsidRPr="00A22656">
        <w:rPr>
          <w:rFonts w:ascii="Times New Roman" w:hAnsi="Times New Roman" w:cs="Times New Roman"/>
          <w:sz w:val="24"/>
          <w:szCs w:val="24"/>
        </w:rPr>
        <w:t xml:space="preserve"> the Member States, and to the growing political tension surrounding Union citizenship. </w:t>
      </w:r>
      <w:r w:rsidR="004538C6" w:rsidRPr="00A22656">
        <w:rPr>
          <w:rFonts w:ascii="Times New Roman" w:hAnsi="Times New Roman" w:cs="Times New Roman"/>
          <w:sz w:val="24"/>
          <w:szCs w:val="24"/>
        </w:rPr>
        <w:t>Ultimately, the result of these</w:t>
      </w:r>
      <w:r w:rsidR="0022696E" w:rsidRPr="00A22656">
        <w:rPr>
          <w:rFonts w:ascii="Times New Roman" w:hAnsi="Times New Roman" w:cs="Times New Roman"/>
          <w:sz w:val="24"/>
          <w:szCs w:val="24"/>
        </w:rPr>
        <w:t xml:space="preserve"> historical, constitutional, and institutional roots</w:t>
      </w:r>
      <w:r w:rsidR="004538C6" w:rsidRPr="00A22656">
        <w:rPr>
          <w:rFonts w:ascii="Times New Roman" w:hAnsi="Times New Roman" w:cs="Times New Roman"/>
          <w:sz w:val="24"/>
          <w:szCs w:val="24"/>
        </w:rPr>
        <w:t xml:space="preserve"> is that</w:t>
      </w:r>
      <w:r w:rsidR="0022696E" w:rsidRPr="00A22656">
        <w:rPr>
          <w:rFonts w:ascii="Times New Roman" w:hAnsi="Times New Roman" w:cs="Times New Roman"/>
          <w:sz w:val="24"/>
          <w:szCs w:val="24"/>
        </w:rPr>
        <w:t>, rather than b</w:t>
      </w:r>
      <w:r w:rsidR="00AE598E" w:rsidRPr="00A22656">
        <w:rPr>
          <w:rFonts w:ascii="Times New Roman" w:hAnsi="Times New Roman" w:cs="Times New Roman"/>
          <w:sz w:val="24"/>
          <w:szCs w:val="24"/>
        </w:rPr>
        <w:t xml:space="preserve">eing consigned to the parallel realm of a British ‘Remain’ result, the safeguard mechanism continues to represent a potential </w:t>
      </w:r>
      <w:r w:rsidR="00C0216B" w:rsidRPr="00A22656">
        <w:rPr>
          <w:rFonts w:ascii="Times New Roman" w:hAnsi="Times New Roman" w:cs="Times New Roman"/>
          <w:sz w:val="24"/>
          <w:szCs w:val="24"/>
        </w:rPr>
        <w:t>Pandora’s Box</w:t>
      </w:r>
      <w:r w:rsidR="00AE598E" w:rsidRPr="00A22656">
        <w:rPr>
          <w:rFonts w:ascii="Times New Roman" w:hAnsi="Times New Roman" w:cs="Times New Roman"/>
          <w:sz w:val="24"/>
          <w:szCs w:val="24"/>
        </w:rPr>
        <w:t xml:space="preserve"> in terms of how Member States, either unilaterally or collectively, might seek to redefine the outer boundaries of both </w:t>
      </w:r>
      <w:r w:rsidR="0007566D" w:rsidRPr="00A22656">
        <w:rPr>
          <w:rFonts w:ascii="Times New Roman" w:hAnsi="Times New Roman" w:cs="Times New Roman"/>
          <w:sz w:val="24"/>
          <w:szCs w:val="24"/>
        </w:rPr>
        <w:t xml:space="preserve">Union citizenship and </w:t>
      </w:r>
      <w:r w:rsidR="00AE598E" w:rsidRPr="00A22656">
        <w:rPr>
          <w:rFonts w:ascii="Times New Roman" w:hAnsi="Times New Roman" w:cs="Times New Roman"/>
          <w:sz w:val="24"/>
          <w:szCs w:val="24"/>
        </w:rPr>
        <w:t>the internal market</w:t>
      </w:r>
      <w:r w:rsidR="0007566D" w:rsidRPr="00A22656">
        <w:rPr>
          <w:rFonts w:ascii="Times New Roman" w:hAnsi="Times New Roman" w:cs="Times New Roman"/>
          <w:sz w:val="24"/>
          <w:szCs w:val="24"/>
        </w:rPr>
        <w:t>.</w:t>
      </w:r>
      <w:r w:rsidR="00E82198" w:rsidRPr="00A22656">
        <w:rPr>
          <w:rFonts w:ascii="Times New Roman" w:hAnsi="Times New Roman" w:cs="Times New Roman"/>
          <w:sz w:val="24"/>
          <w:szCs w:val="24"/>
        </w:rPr>
        <w:t xml:space="preserve"> </w:t>
      </w:r>
    </w:p>
    <w:p w:rsidR="005D1431" w:rsidRPr="00A22656" w:rsidRDefault="005D1431" w:rsidP="005F768F">
      <w:pPr>
        <w:pStyle w:val="NoSpacing"/>
        <w:spacing w:line="360" w:lineRule="auto"/>
        <w:jc w:val="both"/>
        <w:rPr>
          <w:rFonts w:ascii="Times New Roman" w:hAnsi="Times New Roman" w:cs="Times New Roman"/>
          <w:sz w:val="24"/>
          <w:szCs w:val="24"/>
        </w:rPr>
      </w:pPr>
    </w:p>
    <w:p w:rsidR="0035769C" w:rsidRPr="00A22656" w:rsidRDefault="0022696E"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S</w:t>
      </w:r>
      <w:r w:rsidR="00E82198" w:rsidRPr="00A22656">
        <w:rPr>
          <w:rFonts w:ascii="Times New Roman" w:hAnsi="Times New Roman" w:cs="Times New Roman"/>
          <w:sz w:val="24"/>
          <w:szCs w:val="24"/>
        </w:rPr>
        <w:t>ection</w:t>
      </w:r>
      <w:r w:rsidRPr="00A22656">
        <w:rPr>
          <w:rFonts w:ascii="Times New Roman" w:hAnsi="Times New Roman" w:cs="Times New Roman"/>
          <w:sz w:val="24"/>
          <w:szCs w:val="24"/>
        </w:rPr>
        <w:t xml:space="preserve"> four</w:t>
      </w:r>
      <w:r w:rsidR="00E82198" w:rsidRPr="00A22656">
        <w:rPr>
          <w:rFonts w:ascii="Times New Roman" w:hAnsi="Times New Roman" w:cs="Times New Roman"/>
          <w:sz w:val="24"/>
          <w:szCs w:val="24"/>
        </w:rPr>
        <w:t xml:space="preserve"> recognises that</w:t>
      </w:r>
      <w:r w:rsidR="00AE598E" w:rsidRPr="00A22656">
        <w:rPr>
          <w:rFonts w:ascii="Times New Roman" w:hAnsi="Times New Roman" w:cs="Times New Roman"/>
          <w:sz w:val="24"/>
          <w:szCs w:val="24"/>
        </w:rPr>
        <w:t xml:space="preserve"> the potential re-emergence of the safeguard mec</w:t>
      </w:r>
      <w:r w:rsidR="007F7FD6" w:rsidRPr="00A22656">
        <w:rPr>
          <w:rFonts w:ascii="Times New Roman" w:hAnsi="Times New Roman" w:cs="Times New Roman"/>
          <w:sz w:val="24"/>
          <w:szCs w:val="24"/>
        </w:rPr>
        <w:t xml:space="preserve">hanism </w:t>
      </w:r>
      <w:r w:rsidR="00AE598E" w:rsidRPr="00A22656">
        <w:rPr>
          <w:rFonts w:ascii="Times New Roman" w:hAnsi="Times New Roman" w:cs="Times New Roman"/>
          <w:sz w:val="24"/>
          <w:szCs w:val="24"/>
        </w:rPr>
        <w:t>would</w:t>
      </w:r>
      <w:r w:rsidR="007F7FD6" w:rsidRPr="00A22656">
        <w:rPr>
          <w:rFonts w:ascii="Times New Roman" w:hAnsi="Times New Roman" w:cs="Times New Roman"/>
          <w:sz w:val="24"/>
          <w:szCs w:val="24"/>
        </w:rPr>
        <w:t xml:space="preserve"> nevertheless</w:t>
      </w:r>
      <w:r w:rsidR="00AE598E" w:rsidRPr="00A22656">
        <w:rPr>
          <w:rFonts w:ascii="Times New Roman" w:hAnsi="Times New Roman" w:cs="Times New Roman"/>
          <w:sz w:val="24"/>
          <w:szCs w:val="24"/>
        </w:rPr>
        <w:t xml:space="preserve"> have cons</w:t>
      </w:r>
      <w:r w:rsidR="005374AB" w:rsidRPr="00A22656">
        <w:rPr>
          <w:rFonts w:ascii="Times New Roman" w:hAnsi="Times New Roman" w:cs="Times New Roman"/>
          <w:sz w:val="24"/>
          <w:szCs w:val="24"/>
        </w:rPr>
        <w:t xml:space="preserve">iderable </w:t>
      </w:r>
      <w:r w:rsidR="00AE598E" w:rsidRPr="00A22656">
        <w:rPr>
          <w:rFonts w:ascii="Times New Roman" w:hAnsi="Times New Roman" w:cs="Times New Roman"/>
          <w:sz w:val="24"/>
          <w:szCs w:val="24"/>
        </w:rPr>
        <w:t>implications.</w:t>
      </w:r>
      <w:r w:rsidR="007F7FD6" w:rsidRPr="00A22656">
        <w:rPr>
          <w:rFonts w:ascii="Times New Roman" w:hAnsi="Times New Roman" w:cs="Times New Roman"/>
          <w:sz w:val="24"/>
          <w:szCs w:val="24"/>
        </w:rPr>
        <w:t xml:space="preserve"> Regardless of the fact that </w:t>
      </w:r>
      <w:r w:rsidR="00B41C93" w:rsidRPr="00A22656">
        <w:rPr>
          <w:rFonts w:ascii="Times New Roman" w:hAnsi="Times New Roman" w:cs="Times New Roman"/>
          <w:sz w:val="24"/>
          <w:szCs w:val="24"/>
        </w:rPr>
        <w:t>the safeguard is both legally salvageable</w:t>
      </w:r>
      <w:r w:rsidR="007F7FD6" w:rsidRPr="00A22656">
        <w:rPr>
          <w:rFonts w:ascii="Times New Roman" w:hAnsi="Times New Roman" w:cs="Times New Roman"/>
          <w:sz w:val="24"/>
          <w:szCs w:val="24"/>
        </w:rPr>
        <w:t xml:space="preserve"> and politically explainable, its re-appearance</w:t>
      </w:r>
      <w:r w:rsidR="006D22C5" w:rsidRPr="00A22656">
        <w:rPr>
          <w:rFonts w:ascii="Times New Roman" w:hAnsi="Times New Roman" w:cs="Times New Roman"/>
          <w:sz w:val="24"/>
          <w:szCs w:val="24"/>
        </w:rPr>
        <w:t xml:space="preserve"> </w:t>
      </w:r>
      <w:r w:rsidR="007F7FD6" w:rsidRPr="00A22656">
        <w:rPr>
          <w:rFonts w:ascii="Times New Roman" w:hAnsi="Times New Roman" w:cs="Times New Roman"/>
          <w:sz w:val="24"/>
          <w:szCs w:val="24"/>
        </w:rPr>
        <w:t xml:space="preserve">would represent a </w:t>
      </w:r>
      <w:r w:rsidR="007F7FD6" w:rsidRPr="00A22656">
        <w:rPr>
          <w:rFonts w:ascii="Times New Roman" w:hAnsi="Times New Roman" w:cs="Times New Roman"/>
          <w:sz w:val="24"/>
          <w:szCs w:val="24"/>
        </w:rPr>
        <w:lastRenderedPageBreak/>
        <w:t xml:space="preserve">significant change in direction for the Union, leaving the Court in an unenviable position.  On </w:t>
      </w:r>
      <w:r w:rsidR="008722A0" w:rsidRPr="00A22656">
        <w:rPr>
          <w:rFonts w:ascii="Times New Roman" w:hAnsi="Times New Roman" w:cs="Times New Roman"/>
          <w:sz w:val="24"/>
          <w:szCs w:val="24"/>
        </w:rPr>
        <w:t xml:space="preserve">the one hand, </w:t>
      </w:r>
      <w:r w:rsidR="000521DE" w:rsidRPr="00A22656">
        <w:rPr>
          <w:rFonts w:ascii="Times New Roman" w:hAnsi="Times New Roman" w:cs="Times New Roman"/>
          <w:sz w:val="24"/>
          <w:szCs w:val="24"/>
        </w:rPr>
        <w:t>as</w:t>
      </w:r>
      <w:r w:rsidR="00C2363D" w:rsidRPr="00A22656">
        <w:rPr>
          <w:rFonts w:ascii="Times New Roman" w:hAnsi="Times New Roman" w:cs="Times New Roman"/>
          <w:sz w:val="24"/>
          <w:szCs w:val="24"/>
        </w:rPr>
        <w:t xml:space="preserve"> a</w:t>
      </w:r>
      <w:r w:rsidR="0007566D" w:rsidRPr="00A22656">
        <w:rPr>
          <w:rFonts w:ascii="Times New Roman" w:hAnsi="Times New Roman" w:cs="Times New Roman"/>
          <w:sz w:val="24"/>
          <w:szCs w:val="24"/>
        </w:rPr>
        <w:t xml:space="preserve"> brake on in-work benefits</w:t>
      </w:r>
      <w:r w:rsidR="00B41C93" w:rsidRPr="00A22656">
        <w:rPr>
          <w:rFonts w:ascii="Times New Roman" w:hAnsi="Times New Roman" w:cs="Times New Roman"/>
          <w:sz w:val="24"/>
          <w:szCs w:val="24"/>
        </w:rPr>
        <w:t xml:space="preserve"> would</w:t>
      </w:r>
      <w:r w:rsidR="00C2363D" w:rsidRPr="00A22656">
        <w:rPr>
          <w:rFonts w:ascii="Times New Roman" w:hAnsi="Times New Roman" w:cs="Times New Roman"/>
          <w:sz w:val="24"/>
          <w:szCs w:val="24"/>
        </w:rPr>
        <w:t xml:space="preserve"> introduce blatant discrimination against Union workers, a finding of incompatibility or invalidity wo</w:t>
      </w:r>
      <w:r w:rsidR="00FC796B" w:rsidRPr="00A22656">
        <w:rPr>
          <w:rFonts w:ascii="Times New Roman" w:hAnsi="Times New Roman" w:cs="Times New Roman"/>
          <w:sz w:val="24"/>
          <w:szCs w:val="24"/>
        </w:rPr>
        <w:t xml:space="preserve">uld seem to fall </w:t>
      </w:r>
      <w:r w:rsidR="00C2363D" w:rsidRPr="00A22656">
        <w:rPr>
          <w:rFonts w:ascii="Times New Roman" w:hAnsi="Times New Roman" w:cs="Times New Roman"/>
          <w:sz w:val="24"/>
          <w:szCs w:val="24"/>
        </w:rPr>
        <w:t>comfortably within the CJEU’s institutional role</w:t>
      </w:r>
      <w:r w:rsidR="00C30D44" w:rsidRPr="00A22656">
        <w:rPr>
          <w:rFonts w:ascii="Times New Roman" w:hAnsi="Times New Roman" w:cs="Times New Roman"/>
          <w:sz w:val="24"/>
          <w:szCs w:val="24"/>
        </w:rPr>
        <w:t>.</w:t>
      </w:r>
      <w:r w:rsidR="00FC796B" w:rsidRPr="00A22656">
        <w:rPr>
          <w:rFonts w:ascii="Times New Roman" w:hAnsi="Times New Roman" w:cs="Times New Roman"/>
          <w:sz w:val="24"/>
          <w:szCs w:val="24"/>
        </w:rPr>
        <w:t xml:space="preserve"> </w:t>
      </w:r>
      <w:r w:rsidR="0014237A" w:rsidRPr="00A22656">
        <w:rPr>
          <w:rFonts w:ascii="Times New Roman" w:hAnsi="Times New Roman" w:cs="Times New Roman"/>
          <w:sz w:val="24"/>
          <w:szCs w:val="24"/>
        </w:rPr>
        <w:t xml:space="preserve">On the other hand, since its tendency to push the EU’s </w:t>
      </w:r>
      <w:r w:rsidR="00797F50" w:rsidRPr="00A22656">
        <w:rPr>
          <w:rFonts w:ascii="Times New Roman" w:hAnsi="Times New Roman" w:cs="Times New Roman"/>
          <w:sz w:val="24"/>
          <w:szCs w:val="24"/>
        </w:rPr>
        <w:t>constitutional and institutional boundaries can be viewed as</w:t>
      </w:r>
      <w:r w:rsidR="000521DE" w:rsidRPr="00A22656">
        <w:rPr>
          <w:rFonts w:ascii="Times New Roman" w:hAnsi="Times New Roman" w:cs="Times New Roman"/>
          <w:sz w:val="24"/>
          <w:szCs w:val="24"/>
        </w:rPr>
        <w:t xml:space="preserve"> a contributing factor in</w:t>
      </w:r>
      <w:r w:rsidR="0014237A" w:rsidRPr="00A22656">
        <w:rPr>
          <w:rFonts w:ascii="Times New Roman" w:hAnsi="Times New Roman" w:cs="Times New Roman"/>
          <w:sz w:val="24"/>
          <w:szCs w:val="24"/>
        </w:rPr>
        <w:t xml:space="preserve"> the Union’s </w:t>
      </w:r>
      <w:r w:rsidR="00797F50" w:rsidRPr="00A22656">
        <w:rPr>
          <w:rFonts w:ascii="Times New Roman" w:hAnsi="Times New Roman" w:cs="Times New Roman"/>
          <w:sz w:val="24"/>
          <w:szCs w:val="24"/>
        </w:rPr>
        <w:t xml:space="preserve">emerging </w:t>
      </w:r>
      <w:r w:rsidR="0014237A" w:rsidRPr="00A22656">
        <w:rPr>
          <w:rFonts w:ascii="Times New Roman" w:hAnsi="Times New Roman" w:cs="Times New Roman"/>
          <w:sz w:val="24"/>
          <w:szCs w:val="24"/>
        </w:rPr>
        <w:t>existential crisis</w:t>
      </w:r>
      <w:r w:rsidR="00797F50" w:rsidRPr="00A22656">
        <w:rPr>
          <w:rFonts w:ascii="Times New Roman" w:hAnsi="Times New Roman" w:cs="Times New Roman"/>
          <w:sz w:val="24"/>
          <w:szCs w:val="24"/>
        </w:rPr>
        <w:t>, the CJEU may have little choice, at this crucial juncture</w:t>
      </w:r>
      <w:r w:rsidR="000521DE" w:rsidRPr="00A22656">
        <w:rPr>
          <w:rFonts w:ascii="Times New Roman" w:hAnsi="Times New Roman" w:cs="Times New Roman"/>
          <w:sz w:val="24"/>
          <w:szCs w:val="24"/>
        </w:rPr>
        <w:t xml:space="preserve"> -</w:t>
      </w:r>
      <w:r w:rsidR="00797F50" w:rsidRPr="00A22656">
        <w:rPr>
          <w:rFonts w:ascii="Times New Roman" w:hAnsi="Times New Roman" w:cs="Times New Roman"/>
          <w:sz w:val="24"/>
          <w:szCs w:val="24"/>
        </w:rPr>
        <w:t xml:space="preserve"> at which th</w:t>
      </w:r>
      <w:r w:rsidR="00C30D44" w:rsidRPr="00A22656">
        <w:rPr>
          <w:rFonts w:ascii="Times New Roman" w:hAnsi="Times New Roman" w:cs="Times New Roman"/>
          <w:sz w:val="24"/>
          <w:szCs w:val="24"/>
        </w:rPr>
        <w:t xml:space="preserve">e fundamental tenets </w:t>
      </w:r>
      <w:r w:rsidR="00797F50" w:rsidRPr="00A22656">
        <w:rPr>
          <w:rFonts w:ascii="Times New Roman" w:hAnsi="Times New Roman" w:cs="Times New Roman"/>
          <w:sz w:val="24"/>
          <w:szCs w:val="24"/>
        </w:rPr>
        <w:t>of the Union constitution ar</w:t>
      </w:r>
      <w:r w:rsidR="000521DE" w:rsidRPr="00A22656">
        <w:rPr>
          <w:rFonts w:ascii="Times New Roman" w:hAnsi="Times New Roman" w:cs="Times New Roman"/>
          <w:sz w:val="24"/>
          <w:szCs w:val="24"/>
        </w:rPr>
        <w:t>e at risk, and at which the Court</w:t>
      </w:r>
      <w:r w:rsidR="00797F50" w:rsidRPr="00A22656">
        <w:rPr>
          <w:rFonts w:ascii="Times New Roman" w:hAnsi="Times New Roman" w:cs="Times New Roman"/>
          <w:sz w:val="24"/>
          <w:szCs w:val="24"/>
        </w:rPr>
        <w:t xml:space="preserve"> would, ironically, properly act as a check on the EU’s </w:t>
      </w:r>
      <w:r w:rsidR="000521DE" w:rsidRPr="00A22656">
        <w:rPr>
          <w:rFonts w:ascii="Times New Roman" w:hAnsi="Times New Roman" w:cs="Times New Roman"/>
          <w:sz w:val="24"/>
          <w:szCs w:val="24"/>
        </w:rPr>
        <w:t>political branches -</w:t>
      </w:r>
      <w:r w:rsidR="00C0216B" w:rsidRPr="00A22656">
        <w:rPr>
          <w:rFonts w:ascii="Times New Roman" w:hAnsi="Times New Roman" w:cs="Times New Roman"/>
          <w:sz w:val="24"/>
          <w:szCs w:val="24"/>
        </w:rPr>
        <w:t xml:space="preserve"> to accept some restriction on the equal treatment rights of Union workers</w:t>
      </w:r>
      <w:r w:rsidR="00797F50" w:rsidRPr="00A22656">
        <w:rPr>
          <w:rFonts w:ascii="Times New Roman" w:hAnsi="Times New Roman" w:cs="Times New Roman"/>
          <w:sz w:val="24"/>
          <w:szCs w:val="24"/>
        </w:rPr>
        <w:t xml:space="preserve">. </w:t>
      </w:r>
      <w:r w:rsidR="00C0216B" w:rsidRPr="00A22656">
        <w:rPr>
          <w:rFonts w:ascii="Times New Roman" w:hAnsi="Times New Roman" w:cs="Times New Roman"/>
          <w:sz w:val="24"/>
          <w:szCs w:val="24"/>
        </w:rPr>
        <w:t>Interestingly,</w:t>
      </w:r>
      <w:r w:rsidR="007F7FD6" w:rsidRPr="00A22656">
        <w:rPr>
          <w:rFonts w:ascii="Times New Roman" w:hAnsi="Times New Roman" w:cs="Times New Roman"/>
          <w:sz w:val="24"/>
          <w:szCs w:val="24"/>
        </w:rPr>
        <w:t xml:space="preserve"> the overall analysis demonstrates that</w:t>
      </w:r>
      <w:r w:rsidR="00797F50" w:rsidRPr="00A22656">
        <w:rPr>
          <w:rFonts w:ascii="Times New Roman" w:hAnsi="Times New Roman" w:cs="Times New Roman"/>
          <w:sz w:val="24"/>
          <w:szCs w:val="24"/>
        </w:rPr>
        <w:t xml:space="preserve"> the very evolution of the internal mark</w:t>
      </w:r>
      <w:r w:rsidR="00C30D44" w:rsidRPr="00A22656">
        <w:rPr>
          <w:rFonts w:ascii="Times New Roman" w:hAnsi="Times New Roman" w:cs="Times New Roman"/>
          <w:sz w:val="24"/>
          <w:szCs w:val="24"/>
        </w:rPr>
        <w:t>et and</w:t>
      </w:r>
      <w:r w:rsidR="00C0216B" w:rsidRPr="00A22656">
        <w:rPr>
          <w:rFonts w:ascii="Times New Roman" w:hAnsi="Times New Roman" w:cs="Times New Roman"/>
          <w:sz w:val="24"/>
          <w:szCs w:val="24"/>
        </w:rPr>
        <w:t xml:space="preserve"> Union citizenship would</w:t>
      </w:r>
      <w:r w:rsidR="00797F50" w:rsidRPr="00A22656">
        <w:rPr>
          <w:rFonts w:ascii="Times New Roman" w:hAnsi="Times New Roman" w:cs="Times New Roman"/>
          <w:sz w:val="24"/>
          <w:szCs w:val="24"/>
        </w:rPr>
        <w:t xml:space="preserve"> allow the Court to present this acceptance as fitting comfortably within its own jurisprudence. </w:t>
      </w:r>
      <w:r w:rsidR="0014237A" w:rsidRPr="00A22656">
        <w:rPr>
          <w:rFonts w:ascii="Times New Roman" w:hAnsi="Times New Roman" w:cs="Times New Roman"/>
          <w:sz w:val="24"/>
          <w:szCs w:val="24"/>
        </w:rPr>
        <w:t xml:space="preserve">  </w:t>
      </w:r>
    </w:p>
    <w:p w:rsidR="0014237A" w:rsidRPr="00A22656" w:rsidRDefault="0014237A"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   </w:t>
      </w:r>
    </w:p>
    <w:p w:rsidR="00AF33C3" w:rsidRPr="00A22656" w:rsidRDefault="00006FB7" w:rsidP="005F768F">
      <w:pPr>
        <w:pStyle w:val="ListParagraph"/>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   </w:t>
      </w:r>
    </w:p>
    <w:p w:rsidR="00063622" w:rsidRPr="00A22656" w:rsidRDefault="002F6193" w:rsidP="005F768F">
      <w:pPr>
        <w:pStyle w:val="ListParagraph"/>
        <w:numPr>
          <w:ilvl w:val="0"/>
          <w:numId w:val="2"/>
        </w:numPr>
        <w:spacing w:line="360" w:lineRule="auto"/>
        <w:rPr>
          <w:rFonts w:ascii="Times New Roman" w:hAnsi="Times New Roman" w:cs="Times New Roman"/>
          <w:b/>
          <w:sz w:val="24"/>
          <w:szCs w:val="24"/>
        </w:rPr>
      </w:pPr>
      <w:r w:rsidRPr="00A22656">
        <w:rPr>
          <w:rFonts w:ascii="Times New Roman" w:hAnsi="Times New Roman" w:cs="Times New Roman"/>
          <w:b/>
          <w:sz w:val="24"/>
          <w:szCs w:val="24"/>
        </w:rPr>
        <w:t>An overv</w:t>
      </w:r>
      <w:r w:rsidR="00FC6D2E" w:rsidRPr="00A22656">
        <w:rPr>
          <w:rFonts w:ascii="Times New Roman" w:hAnsi="Times New Roman" w:cs="Times New Roman"/>
          <w:b/>
          <w:sz w:val="24"/>
          <w:szCs w:val="24"/>
        </w:rPr>
        <w:t xml:space="preserve">iew of the </w:t>
      </w:r>
      <w:r w:rsidRPr="00A22656">
        <w:rPr>
          <w:rFonts w:ascii="Times New Roman" w:hAnsi="Times New Roman" w:cs="Times New Roman"/>
          <w:b/>
          <w:sz w:val="24"/>
          <w:szCs w:val="24"/>
        </w:rPr>
        <w:t>safeguard mechanism</w:t>
      </w:r>
    </w:p>
    <w:p w:rsidR="00272176" w:rsidRPr="00A22656" w:rsidRDefault="00FF7D80"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The safeguard mechanism, as contained within the now formally redundant European Council Decision on a new settlement for the United Kingdom</w:t>
      </w:r>
      <w:r w:rsidRPr="00A22656">
        <w:rPr>
          <w:rStyle w:val="FootnoteReference"/>
          <w:rFonts w:ascii="Times New Roman" w:hAnsi="Times New Roman" w:cs="Times New Roman"/>
          <w:sz w:val="24"/>
          <w:szCs w:val="24"/>
        </w:rPr>
        <w:footnoteReference w:id="7"/>
      </w:r>
      <w:r w:rsidRPr="00A22656">
        <w:rPr>
          <w:rFonts w:ascii="Times New Roman" w:hAnsi="Times New Roman" w:cs="Times New Roman"/>
          <w:sz w:val="24"/>
          <w:szCs w:val="24"/>
        </w:rPr>
        <w:t xml:space="preserve"> (the Decision), would have introduced the possibility for Member States to restrict access to in-work benefits for newly arriving Union citizens. Employment of the safeguard would have been subject to certain processes and conditions. First, the Member State concerned would have needed to notify the Commission and Council of a ‘situation affect[</w:t>
      </w:r>
      <w:proofErr w:type="spellStart"/>
      <w:r w:rsidRPr="00A22656">
        <w:rPr>
          <w:rFonts w:ascii="Times New Roman" w:hAnsi="Times New Roman" w:cs="Times New Roman"/>
          <w:sz w:val="24"/>
          <w:szCs w:val="24"/>
        </w:rPr>
        <w:t>ing</w:t>
      </w:r>
      <w:proofErr w:type="spellEnd"/>
      <w:r w:rsidRPr="00A22656">
        <w:rPr>
          <w:rFonts w:ascii="Times New Roman" w:hAnsi="Times New Roman" w:cs="Times New Roman"/>
          <w:sz w:val="24"/>
          <w:szCs w:val="24"/>
        </w:rPr>
        <w:t>] essential aspects of its social security system, [presenting] serious…and persisting difficulties in its employment market, or [exerting] excessive pressure on the proper functioning of its public services’.</w:t>
      </w:r>
      <w:r w:rsidRPr="00A22656">
        <w:rPr>
          <w:rStyle w:val="FootnoteReference"/>
          <w:rFonts w:ascii="Times New Roman" w:hAnsi="Times New Roman" w:cs="Times New Roman"/>
          <w:sz w:val="24"/>
          <w:szCs w:val="24"/>
        </w:rPr>
        <w:footnoteReference w:id="8"/>
      </w:r>
      <w:r w:rsidR="002669EA" w:rsidRPr="00A22656">
        <w:rPr>
          <w:rFonts w:ascii="Times New Roman" w:hAnsi="Times New Roman" w:cs="Times New Roman"/>
          <w:sz w:val="24"/>
          <w:szCs w:val="24"/>
        </w:rPr>
        <w:t xml:space="preserve"> Second, the Commission would </w:t>
      </w:r>
      <w:r w:rsidR="0027468E" w:rsidRPr="00A22656">
        <w:rPr>
          <w:rFonts w:ascii="Times New Roman" w:hAnsi="Times New Roman" w:cs="Times New Roman"/>
          <w:sz w:val="24"/>
          <w:szCs w:val="24"/>
        </w:rPr>
        <w:t xml:space="preserve">have </w:t>
      </w:r>
      <w:r w:rsidR="002669EA" w:rsidRPr="00A22656">
        <w:rPr>
          <w:rFonts w:ascii="Times New Roman" w:hAnsi="Times New Roman" w:cs="Times New Roman"/>
          <w:sz w:val="24"/>
          <w:szCs w:val="24"/>
        </w:rPr>
        <w:t>need</w:t>
      </w:r>
      <w:r w:rsidR="0027468E" w:rsidRPr="00A22656">
        <w:rPr>
          <w:rFonts w:ascii="Times New Roman" w:hAnsi="Times New Roman" w:cs="Times New Roman"/>
          <w:sz w:val="24"/>
          <w:szCs w:val="24"/>
        </w:rPr>
        <w:t>ed</w:t>
      </w:r>
      <w:r w:rsidR="002669EA" w:rsidRPr="00A22656">
        <w:rPr>
          <w:rFonts w:ascii="Times New Roman" w:hAnsi="Times New Roman" w:cs="Times New Roman"/>
          <w:sz w:val="24"/>
          <w:szCs w:val="24"/>
        </w:rPr>
        <w:t xml:space="preserve"> to propose</w:t>
      </w:r>
      <w:r w:rsidR="00CD6226" w:rsidRPr="00A22656">
        <w:rPr>
          <w:rFonts w:ascii="Times New Roman" w:hAnsi="Times New Roman" w:cs="Times New Roman"/>
          <w:sz w:val="24"/>
          <w:szCs w:val="24"/>
        </w:rPr>
        <w:t xml:space="preserve"> that the Council authorise </w:t>
      </w:r>
      <w:r w:rsidR="002669EA" w:rsidRPr="00A22656">
        <w:rPr>
          <w:rFonts w:ascii="Times New Roman" w:hAnsi="Times New Roman" w:cs="Times New Roman"/>
          <w:sz w:val="24"/>
          <w:szCs w:val="24"/>
        </w:rPr>
        <w:t xml:space="preserve">utilisation of the safeguard by the </w:t>
      </w:r>
      <w:proofErr w:type="gramStart"/>
      <w:r w:rsidR="002669EA" w:rsidRPr="00A22656">
        <w:rPr>
          <w:rFonts w:ascii="Times New Roman" w:hAnsi="Times New Roman" w:cs="Times New Roman"/>
          <w:sz w:val="24"/>
          <w:szCs w:val="24"/>
        </w:rPr>
        <w:t>applicant</w:t>
      </w:r>
      <w:proofErr w:type="gramEnd"/>
      <w:r w:rsidR="002669EA" w:rsidRPr="00A22656">
        <w:rPr>
          <w:rFonts w:ascii="Times New Roman" w:hAnsi="Times New Roman" w:cs="Times New Roman"/>
          <w:sz w:val="24"/>
          <w:szCs w:val="24"/>
        </w:rPr>
        <w:t xml:space="preserve"> State. Following Council authorisation, the Member St</w:t>
      </w:r>
      <w:r w:rsidR="0009705E" w:rsidRPr="00A22656">
        <w:rPr>
          <w:rFonts w:ascii="Times New Roman" w:hAnsi="Times New Roman" w:cs="Times New Roman"/>
          <w:sz w:val="24"/>
          <w:szCs w:val="24"/>
        </w:rPr>
        <w:t>ate would</w:t>
      </w:r>
      <w:r w:rsidR="0027468E" w:rsidRPr="00A22656">
        <w:rPr>
          <w:rFonts w:ascii="Times New Roman" w:hAnsi="Times New Roman" w:cs="Times New Roman"/>
          <w:sz w:val="24"/>
          <w:szCs w:val="24"/>
        </w:rPr>
        <w:t xml:space="preserve"> have</w:t>
      </w:r>
      <w:r w:rsidR="0009705E" w:rsidRPr="00A22656">
        <w:rPr>
          <w:rFonts w:ascii="Times New Roman" w:hAnsi="Times New Roman" w:cs="Times New Roman"/>
          <w:sz w:val="24"/>
          <w:szCs w:val="24"/>
        </w:rPr>
        <w:t xml:space="preserve"> be</w:t>
      </w:r>
      <w:r w:rsidR="0027468E" w:rsidRPr="00A22656">
        <w:rPr>
          <w:rFonts w:ascii="Times New Roman" w:hAnsi="Times New Roman" w:cs="Times New Roman"/>
          <w:sz w:val="24"/>
          <w:szCs w:val="24"/>
        </w:rPr>
        <w:t>en</w:t>
      </w:r>
      <w:r w:rsidR="0009705E" w:rsidRPr="00A22656">
        <w:rPr>
          <w:rFonts w:ascii="Times New Roman" w:hAnsi="Times New Roman" w:cs="Times New Roman"/>
          <w:sz w:val="24"/>
          <w:szCs w:val="24"/>
        </w:rPr>
        <w:t xml:space="preserve"> permitted to use</w:t>
      </w:r>
      <w:r w:rsidR="002669EA" w:rsidRPr="00A22656">
        <w:rPr>
          <w:rFonts w:ascii="Times New Roman" w:hAnsi="Times New Roman" w:cs="Times New Roman"/>
          <w:sz w:val="24"/>
          <w:szCs w:val="24"/>
        </w:rPr>
        <w:t xml:space="preserve"> the mechanism for a maximum period of seven years</w:t>
      </w:r>
      <w:r w:rsidR="00303834" w:rsidRPr="00A22656">
        <w:rPr>
          <w:rFonts w:ascii="Times New Roman" w:hAnsi="Times New Roman" w:cs="Times New Roman"/>
          <w:sz w:val="24"/>
          <w:szCs w:val="24"/>
        </w:rPr>
        <w:t xml:space="preserve">. At the individual level, </w:t>
      </w:r>
      <w:r w:rsidR="00D053C1" w:rsidRPr="00A22656">
        <w:rPr>
          <w:rFonts w:ascii="Times New Roman" w:hAnsi="Times New Roman" w:cs="Times New Roman"/>
          <w:sz w:val="24"/>
          <w:szCs w:val="24"/>
        </w:rPr>
        <w:t xml:space="preserve">in-work benefits restrictions would have been </w:t>
      </w:r>
      <w:r w:rsidR="00303834" w:rsidRPr="00A22656">
        <w:rPr>
          <w:rFonts w:ascii="Times New Roman" w:hAnsi="Times New Roman" w:cs="Times New Roman"/>
          <w:sz w:val="24"/>
          <w:szCs w:val="24"/>
        </w:rPr>
        <w:t xml:space="preserve">limited to the </w:t>
      </w:r>
      <w:r w:rsidR="00821D26" w:rsidRPr="00A22656">
        <w:rPr>
          <w:rFonts w:ascii="Times New Roman" w:hAnsi="Times New Roman" w:cs="Times New Roman"/>
          <w:sz w:val="24"/>
          <w:szCs w:val="24"/>
        </w:rPr>
        <w:t>newly arrived EU citizen’s first four years of employment, with</w:t>
      </w:r>
      <w:r w:rsidR="002669EA" w:rsidRPr="00A22656">
        <w:rPr>
          <w:rFonts w:ascii="Times New Roman" w:hAnsi="Times New Roman" w:cs="Times New Roman"/>
          <w:sz w:val="24"/>
          <w:szCs w:val="24"/>
        </w:rPr>
        <w:t xml:space="preserve"> </w:t>
      </w:r>
      <w:r w:rsidR="00D053C1" w:rsidRPr="00A22656">
        <w:rPr>
          <w:rFonts w:ascii="Times New Roman" w:hAnsi="Times New Roman" w:cs="Times New Roman"/>
          <w:sz w:val="24"/>
          <w:szCs w:val="24"/>
        </w:rPr>
        <w:t xml:space="preserve">access nevertheless increasing </w:t>
      </w:r>
      <w:r w:rsidR="002669EA" w:rsidRPr="00A22656">
        <w:rPr>
          <w:rFonts w:ascii="Times New Roman" w:hAnsi="Times New Roman" w:cs="Times New Roman"/>
          <w:sz w:val="24"/>
          <w:szCs w:val="24"/>
        </w:rPr>
        <w:t>gradual</w:t>
      </w:r>
      <w:r w:rsidR="00D053C1" w:rsidRPr="00A22656">
        <w:rPr>
          <w:rFonts w:ascii="Times New Roman" w:hAnsi="Times New Roman" w:cs="Times New Roman"/>
          <w:sz w:val="24"/>
          <w:szCs w:val="24"/>
        </w:rPr>
        <w:t xml:space="preserve">ly </w:t>
      </w:r>
      <w:r w:rsidR="002669EA" w:rsidRPr="00A22656">
        <w:rPr>
          <w:rFonts w:ascii="Times New Roman" w:hAnsi="Times New Roman" w:cs="Times New Roman"/>
          <w:sz w:val="24"/>
          <w:szCs w:val="24"/>
        </w:rPr>
        <w:t>as links with the host State developed</w:t>
      </w:r>
      <w:r w:rsidR="00303834" w:rsidRPr="00A22656">
        <w:rPr>
          <w:rFonts w:ascii="Times New Roman" w:hAnsi="Times New Roman" w:cs="Times New Roman"/>
          <w:sz w:val="24"/>
          <w:szCs w:val="24"/>
        </w:rPr>
        <w:t xml:space="preserve"> over that time</w:t>
      </w:r>
      <w:r w:rsidR="002669EA" w:rsidRPr="00A22656">
        <w:rPr>
          <w:rFonts w:ascii="Times New Roman" w:hAnsi="Times New Roman" w:cs="Times New Roman"/>
          <w:sz w:val="24"/>
          <w:szCs w:val="24"/>
        </w:rPr>
        <w:t>.</w:t>
      </w:r>
      <w:r w:rsidR="002669EA" w:rsidRPr="00A22656">
        <w:rPr>
          <w:rStyle w:val="FootnoteReference"/>
          <w:rFonts w:ascii="Times New Roman" w:hAnsi="Times New Roman" w:cs="Times New Roman"/>
          <w:sz w:val="24"/>
          <w:szCs w:val="24"/>
        </w:rPr>
        <w:footnoteReference w:id="9"/>
      </w:r>
      <w:r w:rsidR="002669EA" w:rsidRPr="00A22656">
        <w:rPr>
          <w:rFonts w:ascii="Times New Roman" w:hAnsi="Times New Roman" w:cs="Times New Roman"/>
          <w:sz w:val="24"/>
          <w:szCs w:val="24"/>
        </w:rPr>
        <w:t xml:space="preserve"> </w:t>
      </w:r>
      <w:r w:rsidR="00754A99" w:rsidRPr="00A22656">
        <w:rPr>
          <w:rFonts w:ascii="Times New Roman" w:hAnsi="Times New Roman" w:cs="Times New Roman"/>
          <w:sz w:val="24"/>
          <w:szCs w:val="24"/>
        </w:rPr>
        <w:t>T</w:t>
      </w:r>
      <w:r w:rsidR="00821D26" w:rsidRPr="00A22656">
        <w:rPr>
          <w:rFonts w:ascii="Times New Roman" w:hAnsi="Times New Roman" w:cs="Times New Roman"/>
          <w:sz w:val="24"/>
          <w:szCs w:val="24"/>
        </w:rPr>
        <w:t>he rationale behind the safeguard mechanism was the apparent need to ‘address the pull factor arising from a Member State’s in-work benefits regime’</w:t>
      </w:r>
      <w:r w:rsidR="00D053C1" w:rsidRPr="00A22656">
        <w:rPr>
          <w:rFonts w:ascii="Times New Roman" w:hAnsi="Times New Roman" w:cs="Times New Roman"/>
          <w:sz w:val="24"/>
          <w:szCs w:val="24"/>
        </w:rPr>
        <w:t xml:space="preserve"> arising from the ‘diverse structure </w:t>
      </w:r>
      <w:r w:rsidR="00CD6226" w:rsidRPr="00A22656">
        <w:rPr>
          <w:rFonts w:ascii="Times New Roman" w:hAnsi="Times New Roman" w:cs="Times New Roman"/>
          <w:sz w:val="24"/>
          <w:szCs w:val="24"/>
        </w:rPr>
        <w:t>of different</w:t>
      </w:r>
      <w:r w:rsidR="00D053C1" w:rsidRPr="00A22656">
        <w:rPr>
          <w:rFonts w:ascii="Times New Roman" w:hAnsi="Times New Roman" w:cs="Times New Roman"/>
          <w:sz w:val="24"/>
          <w:szCs w:val="24"/>
        </w:rPr>
        <w:t xml:space="preserve"> Member States’ </w:t>
      </w:r>
      <w:r w:rsidR="00D053C1" w:rsidRPr="00A22656">
        <w:rPr>
          <w:rFonts w:ascii="Times New Roman" w:hAnsi="Times New Roman" w:cs="Times New Roman"/>
          <w:sz w:val="24"/>
          <w:szCs w:val="24"/>
        </w:rPr>
        <w:lastRenderedPageBreak/>
        <w:t>social security systems’</w:t>
      </w:r>
      <w:r w:rsidR="00821D26" w:rsidRPr="00A22656">
        <w:rPr>
          <w:rFonts w:ascii="Times New Roman" w:hAnsi="Times New Roman" w:cs="Times New Roman"/>
          <w:sz w:val="24"/>
          <w:szCs w:val="24"/>
        </w:rPr>
        <w:t>.</w:t>
      </w:r>
      <w:r w:rsidR="00821D26" w:rsidRPr="00A22656">
        <w:rPr>
          <w:rStyle w:val="FootnoteReference"/>
          <w:rFonts w:ascii="Times New Roman" w:hAnsi="Times New Roman" w:cs="Times New Roman"/>
          <w:sz w:val="24"/>
          <w:szCs w:val="24"/>
        </w:rPr>
        <w:footnoteReference w:id="10"/>
      </w:r>
      <w:r w:rsidR="00D053C1" w:rsidRPr="00A22656">
        <w:rPr>
          <w:rFonts w:ascii="Times New Roman" w:hAnsi="Times New Roman" w:cs="Times New Roman"/>
          <w:sz w:val="24"/>
          <w:szCs w:val="24"/>
        </w:rPr>
        <w:t xml:space="preserve"> T</w:t>
      </w:r>
      <w:r w:rsidR="00821D26" w:rsidRPr="00A22656">
        <w:rPr>
          <w:rFonts w:ascii="Times New Roman" w:hAnsi="Times New Roman" w:cs="Times New Roman"/>
          <w:sz w:val="24"/>
          <w:szCs w:val="24"/>
        </w:rPr>
        <w:t xml:space="preserve">he safeguard mechanism </w:t>
      </w:r>
      <w:r w:rsidR="00F2546C" w:rsidRPr="00A22656">
        <w:rPr>
          <w:rFonts w:ascii="Times New Roman" w:hAnsi="Times New Roman" w:cs="Times New Roman"/>
          <w:sz w:val="24"/>
          <w:szCs w:val="24"/>
        </w:rPr>
        <w:t xml:space="preserve">was to be employed </w:t>
      </w:r>
      <w:r w:rsidR="00821D26" w:rsidRPr="00A22656">
        <w:rPr>
          <w:rFonts w:ascii="Times New Roman" w:hAnsi="Times New Roman" w:cs="Times New Roman"/>
          <w:sz w:val="24"/>
          <w:szCs w:val="24"/>
        </w:rPr>
        <w:t xml:space="preserve">as ‘a response to situations of inflow of workers from other Member States of exceptional magnitude over an extended </w:t>
      </w:r>
      <w:r w:rsidR="00F2546C" w:rsidRPr="00A22656">
        <w:rPr>
          <w:rFonts w:ascii="Times New Roman" w:hAnsi="Times New Roman" w:cs="Times New Roman"/>
          <w:sz w:val="24"/>
          <w:szCs w:val="24"/>
        </w:rPr>
        <w:t>period of time</w:t>
      </w:r>
      <w:r w:rsidR="00821D26" w:rsidRPr="00A22656">
        <w:rPr>
          <w:rFonts w:ascii="Times New Roman" w:hAnsi="Times New Roman" w:cs="Times New Roman"/>
          <w:sz w:val="24"/>
          <w:szCs w:val="24"/>
        </w:rPr>
        <w:t>’.</w:t>
      </w:r>
      <w:r w:rsidR="002669EA" w:rsidRPr="00A22656">
        <w:rPr>
          <w:rFonts w:ascii="Times New Roman" w:hAnsi="Times New Roman" w:cs="Times New Roman"/>
          <w:sz w:val="24"/>
          <w:szCs w:val="24"/>
        </w:rPr>
        <w:t xml:space="preserve"> </w:t>
      </w:r>
      <w:r w:rsidR="00CD6226" w:rsidRPr="00A22656">
        <w:rPr>
          <w:rFonts w:ascii="Times New Roman" w:hAnsi="Times New Roman" w:cs="Times New Roman"/>
          <w:sz w:val="24"/>
          <w:szCs w:val="24"/>
        </w:rPr>
        <w:t>I</w:t>
      </w:r>
      <w:r w:rsidR="00BE1D14" w:rsidRPr="00A22656">
        <w:rPr>
          <w:rFonts w:ascii="Times New Roman" w:hAnsi="Times New Roman" w:cs="Times New Roman"/>
          <w:sz w:val="24"/>
          <w:szCs w:val="24"/>
        </w:rPr>
        <w:t>t was claimed, this could be done</w:t>
      </w:r>
      <w:r w:rsidR="00F2546C" w:rsidRPr="00A22656">
        <w:rPr>
          <w:rFonts w:ascii="Times New Roman" w:hAnsi="Times New Roman" w:cs="Times New Roman"/>
          <w:sz w:val="24"/>
          <w:szCs w:val="24"/>
        </w:rPr>
        <w:t xml:space="preserve"> ‘without</w:t>
      </w:r>
      <w:r w:rsidR="00577CA0" w:rsidRPr="00A22656">
        <w:rPr>
          <w:rFonts w:ascii="Times New Roman" w:hAnsi="Times New Roman" w:cs="Times New Roman"/>
          <w:sz w:val="24"/>
          <w:szCs w:val="24"/>
        </w:rPr>
        <w:t xml:space="preserve"> creating unjustified direct or indirect discrimination’.</w:t>
      </w:r>
      <w:r w:rsidR="006A5207" w:rsidRPr="00A22656">
        <w:rPr>
          <w:rStyle w:val="FootnoteReference"/>
          <w:rFonts w:ascii="Times New Roman" w:hAnsi="Times New Roman" w:cs="Times New Roman"/>
          <w:sz w:val="24"/>
          <w:szCs w:val="24"/>
        </w:rPr>
        <w:footnoteReference w:id="11"/>
      </w:r>
      <w:r w:rsidR="00272176" w:rsidRPr="00A22656">
        <w:rPr>
          <w:rFonts w:ascii="Times New Roman" w:hAnsi="Times New Roman" w:cs="Times New Roman"/>
          <w:sz w:val="24"/>
          <w:szCs w:val="24"/>
        </w:rPr>
        <w:t xml:space="preserve"> </w:t>
      </w:r>
    </w:p>
    <w:p w:rsidR="00272176" w:rsidRPr="00A22656" w:rsidRDefault="00272176" w:rsidP="005F768F">
      <w:pPr>
        <w:pStyle w:val="NoSpacing"/>
        <w:spacing w:line="360" w:lineRule="auto"/>
        <w:jc w:val="both"/>
        <w:rPr>
          <w:rFonts w:ascii="Times New Roman" w:hAnsi="Times New Roman" w:cs="Times New Roman"/>
          <w:sz w:val="24"/>
          <w:szCs w:val="24"/>
        </w:rPr>
      </w:pPr>
    </w:p>
    <w:p w:rsidR="00774EE5" w:rsidRPr="00A22656" w:rsidRDefault="00272176"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Despite a general presumption</w:t>
      </w:r>
      <w:r w:rsidR="00724612" w:rsidRPr="00A22656">
        <w:rPr>
          <w:rFonts w:ascii="Times New Roman" w:hAnsi="Times New Roman" w:cs="Times New Roman"/>
          <w:sz w:val="24"/>
          <w:szCs w:val="24"/>
        </w:rPr>
        <w:t>,</w:t>
      </w:r>
      <w:r w:rsidRPr="00A22656">
        <w:rPr>
          <w:rFonts w:ascii="Times New Roman" w:hAnsi="Times New Roman" w:cs="Times New Roman"/>
          <w:sz w:val="24"/>
          <w:szCs w:val="24"/>
        </w:rPr>
        <w:t xml:space="preserve"> before the UK Deal was published</w:t>
      </w:r>
      <w:r w:rsidR="00724612" w:rsidRPr="00A22656">
        <w:rPr>
          <w:rFonts w:ascii="Times New Roman" w:hAnsi="Times New Roman" w:cs="Times New Roman"/>
          <w:sz w:val="24"/>
          <w:szCs w:val="24"/>
        </w:rPr>
        <w:t>,</w:t>
      </w:r>
      <w:r w:rsidRPr="00A22656">
        <w:rPr>
          <w:rFonts w:ascii="Times New Roman" w:hAnsi="Times New Roman" w:cs="Times New Roman"/>
          <w:sz w:val="24"/>
          <w:szCs w:val="24"/>
        </w:rPr>
        <w:t xml:space="preserve"> that any restrictio</w:t>
      </w:r>
      <w:r w:rsidR="00AF164D" w:rsidRPr="00A22656">
        <w:rPr>
          <w:rFonts w:ascii="Times New Roman" w:hAnsi="Times New Roman" w:cs="Times New Roman"/>
          <w:sz w:val="24"/>
          <w:szCs w:val="24"/>
        </w:rPr>
        <w:t xml:space="preserve">n on the equal treatment </w:t>
      </w:r>
      <w:r w:rsidRPr="00A22656">
        <w:rPr>
          <w:rFonts w:ascii="Times New Roman" w:hAnsi="Times New Roman" w:cs="Times New Roman"/>
          <w:sz w:val="24"/>
          <w:szCs w:val="24"/>
        </w:rPr>
        <w:t>of Union workers would require Trea</w:t>
      </w:r>
      <w:r w:rsidR="00AF164D" w:rsidRPr="00A22656">
        <w:rPr>
          <w:rFonts w:ascii="Times New Roman" w:hAnsi="Times New Roman" w:cs="Times New Roman"/>
          <w:sz w:val="24"/>
          <w:szCs w:val="24"/>
        </w:rPr>
        <w:t>ty change, the Decision</w:t>
      </w:r>
      <w:r w:rsidRPr="00A22656">
        <w:rPr>
          <w:rFonts w:ascii="Times New Roman" w:hAnsi="Times New Roman" w:cs="Times New Roman"/>
          <w:sz w:val="24"/>
          <w:szCs w:val="24"/>
        </w:rPr>
        <w:t xml:space="preserve"> stated that the proposed safeguard mechanism would be realised via ame</w:t>
      </w:r>
      <w:r w:rsidR="00AF164D" w:rsidRPr="00A22656">
        <w:rPr>
          <w:rFonts w:ascii="Times New Roman" w:hAnsi="Times New Roman" w:cs="Times New Roman"/>
          <w:sz w:val="24"/>
          <w:szCs w:val="24"/>
        </w:rPr>
        <w:t>ndment to secondary legislation and</w:t>
      </w:r>
      <w:r w:rsidR="00724612" w:rsidRPr="00A22656">
        <w:rPr>
          <w:rFonts w:ascii="Times New Roman" w:hAnsi="Times New Roman" w:cs="Times New Roman"/>
          <w:sz w:val="24"/>
          <w:szCs w:val="24"/>
        </w:rPr>
        <w:t xml:space="preserve"> that this would be ‘fully compatible with the Treaties’.</w:t>
      </w:r>
      <w:r w:rsidR="00724612" w:rsidRPr="00A22656">
        <w:rPr>
          <w:rStyle w:val="FootnoteReference"/>
          <w:rFonts w:ascii="Times New Roman" w:hAnsi="Times New Roman" w:cs="Times New Roman"/>
          <w:sz w:val="24"/>
          <w:szCs w:val="24"/>
        </w:rPr>
        <w:footnoteReference w:id="12"/>
      </w:r>
      <w:r w:rsidR="00724612" w:rsidRPr="00A22656">
        <w:rPr>
          <w:rFonts w:ascii="Times New Roman" w:hAnsi="Times New Roman" w:cs="Times New Roman"/>
          <w:sz w:val="24"/>
          <w:szCs w:val="24"/>
        </w:rPr>
        <w:t xml:space="preserve"> Yet, by </w:t>
      </w:r>
      <w:r w:rsidR="00AF164D" w:rsidRPr="00A22656">
        <w:rPr>
          <w:rFonts w:ascii="Times New Roman" w:hAnsi="Times New Roman" w:cs="Times New Roman"/>
          <w:sz w:val="24"/>
          <w:szCs w:val="24"/>
        </w:rPr>
        <w:t xml:space="preserve">restricting the equal treatment rights of the </w:t>
      </w:r>
      <w:r w:rsidR="0009705E" w:rsidRPr="00A22656">
        <w:rPr>
          <w:rFonts w:ascii="Times New Roman" w:hAnsi="Times New Roman" w:cs="Times New Roman"/>
          <w:sz w:val="24"/>
          <w:szCs w:val="24"/>
        </w:rPr>
        <w:t xml:space="preserve">Union </w:t>
      </w:r>
      <w:r w:rsidR="0009705E" w:rsidRPr="00A22656">
        <w:rPr>
          <w:rFonts w:ascii="Times New Roman" w:hAnsi="Times New Roman" w:cs="Times New Roman"/>
          <w:i/>
          <w:sz w:val="24"/>
          <w:szCs w:val="24"/>
        </w:rPr>
        <w:t>worker</w:t>
      </w:r>
      <w:r w:rsidR="0009705E" w:rsidRPr="00A22656">
        <w:rPr>
          <w:rFonts w:ascii="Times New Roman" w:hAnsi="Times New Roman" w:cs="Times New Roman"/>
          <w:sz w:val="24"/>
          <w:szCs w:val="24"/>
        </w:rPr>
        <w:t>,</w:t>
      </w:r>
      <w:r w:rsidR="00247BB2" w:rsidRPr="00A22656">
        <w:rPr>
          <w:rFonts w:ascii="Times New Roman" w:hAnsi="Times New Roman" w:cs="Times New Roman"/>
          <w:sz w:val="24"/>
          <w:szCs w:val="24"/>
        </w:rPr>
        <w:t xml:space="preserve"> the safeguard mechanism appeared</w:t>
      </w:r>
      <w:r w:rsidR="0009705E" w:rsidRPr="00A22656">
        <w:rPr>
          <w:rFonts w:ascii="Times New Roman" w:hAnsi="Times New Roman" w:cs="Times New Roman"/>
          <w:sz w:val="24"/>
          <w:szCs w:val="24"/>
        </w:rPr>
        <w:t xml:space="preserve"> to cross a line that many would have considered to be </w:t>
      </w:r>
      <w:proofErr w:type="spellStart"/>
      <w:r w:rsidR="0009705E" w:rsidRPr="00A22656">
        <w:rPr>
          <w:rFonts w:ascii="Times New Roman" w:hAnsi="Times New Roman" w:cs="Times New Roman"/>
          <w:sz w:val="24"/>
          <w:szCs w:val="24"/>
        </w:rPr>
        <w:t>untravers</w:t>
      </w:r>
      <w:r w:rsidR="00A53F53" w:rsidRPr="00A22656">
        <w:rPr>
          <w:rFonts w:ascii="Times New Roman" w:hAnsi="Times New Roman" w:cs="Times New Roman"/>
          <w:sz w:val="24"/>
          <w:szCs w:val="24"/>
        </w:rPr>
        <w:t>e</w:t>
      </w:r>
      <w:r w:rsidR="00AF164D" w:rsidRPr="00A22656">
        <w:rPr>
          <w:rFonts w:ascii="Times New Roman" w:hAnsi="Times New Roman" w:cs="Times New Roman"/>
          <w:sz w:val="24"/>
          <w:szCs w:val="24"/>
        </w:rPr>
        <w:t>able</w:t>
      </w:r>
      <w:proofErr w:type="spellEnd"/>
      <w:r w:rsidR="00AF164D" w:rsidRPr="00A22656">
        <w:rPr>
          <w:rFonts w:ascii="Times New Roman" w:hAnsi="Times New Roman" w:cs="Times New Roman"/>
          <w:sz w:val="24"/>
          <w:szCs w:val="24"/>
        </w:rPr>
        <w:t xml:space="preserve">. </w:t>
      </w:r>
      <w:r w:rsidR="00CD6226" w:rsidRPr="00A22656">
        <w:rPr>
          <w:rFonts w:ascii="Times New Roman" w:hAnsi="Times New Roman" w:cs="Times New Roman"/>
          <w:sz w:val="24"/>
          <w:szCs w:val="24"/>
        </w:rPr>
        <w:t>Specifically, i</w:t>
      </w:r>
      <w:r w:rsidR="00AF164D" w:rsidRPr="00A22656">
        <w:rPr>
          <w:rFonts w:ascii="Times New Roman" w:hAnsi="Times New Roman" w:cs="Times New Roman"/>
          <w:sz w:val="24"/>
          <w:szCs w:val="24"/>
        </w:rPr>
        <w:t>t placed limitations</w:t>
      </w:r>
      <w:r w:rsidR="00C94BBB" w:rsidRPr="00A22656">
        <w:rPr>
          <w:rFonts w:ascii="Times New Roman" w:hAnsi="Times New Roman" w:cs="Times New Roman"/>
          <w:sz w:val="24"/>
          <w:szCs w:val="24"/>
        </w:rPr>
        <w:t xml:space="preserve"> on</w:t>
      </w:r>
      <w:r w:rsidR="00CD6226" w:rsidRPr="00A22656">
        <w:rPr>
          <w:rFonts w:ascii="Times New Roman" w:hAnsi="Times New Roman" w:cs="Times New Roman"/>
          <w:sz w:val="24"/>
          <w:szCs w:val="24"/>
        </w:rPr>
        <w:t xml:space="preserve"> </w:t>
      </w:r>
      <w:r w:rsidR="00C94BBB" w:rsidRPr="00A22656">
        <w:rPr>
          <w:rFonts w:ascii="Times New Roman" w:hAnsi="Times New Roman" w:cs="Times New Roman"/>
          <w:sz w:val="24"/>
          <w:szCs w:val="24"/>
        </w:rPr>
        <w:t>the right to non-discrimination on grounds of nationality and the general free movement rights of Union citizens</w:t>
      </w:r>
      <w:r w:rsidR="0009705E" w:rsidRPr="00A22656">
        <w:rPr>
          <w:rFonts w:ascii="Times New Roman" w:hAnsi="Times New Roman" w:cs="Times New Roman"/>
          <w:sz w:val="24"/>
          <w:szCs w:val="24"/>
        </w:rPr>
        <w:t xml:space="preserve"> contained in primary Union law</w:t>
      </w:r>
      <w:r w:rsidR="00774EE5" w:rsidRPr="00A22656">
        <w:rPr>
          <w:rFonts w:ascii="Times New Roman" w:hAnsi="Times New Roman" w:cs="Times New Roman"/>
          <w:sz w:val="24"/>
          <w:szCs w:val="24"/>
        </w:rPr>
        <w:t>.</w:t>
      </w:r>
      <w:r w:rsidR="007B29F8" w:rsidRPr="00A22656">
        <w:rPr>
          <w:rStyle w:val="FootnoteReference"/>
          <w:rFonts w:ascii="Times New Roman" w:hAnsi="Times New Roman" w:cs="Times New Roman"/>
          <w:sz w:val="24"/>
          <w:szCs w:val="24"/>
        </w:rPr>
        <w:footnoteReference w:id="13"/>
      </w:r>
      <w:r w:rsidR="00774EE5" w:rsidRPr="00A22656">
        <w:rPr>
          <w:rFonts w:ascii="Times New Roman" w:hAnsi="Times New Roman" w:cs="Times New Roman"/>
          <w:sz w:val="24"/>
          <w:szCs w:val="24"/>
        </w:rPr>
        <w:t xml:space="preserve"> </w:t>
      </w:r>
      <w:r w:rsidR="00AF164D" w:rsidRPr="00A22656">
        <w:rPr>
          <w:rFonts w:ascii="Times New Roman" w:hAnsi="Times New Roman" w:cs="Times New Roman"/>
          <w:sz w:val="24"/>
          <w:szCs w:val="24"/>
        </w:rPr>
        <w:t>Moreover, by erecting clear barrier</w:t>
      </w:r>
      <w:r w:rsidR="007B29F8" w:rsidRPr="00A22656">
        <w:rPr>
          <w:rFonts w:ascii="Times New Roman" w:hAnsi="Times New Roman" w:cs="Times New Roman"/>
          <w:sz w:val="24"/>
          <w:szCs w:val="24"/>
        </w:rPr>
        <w:t>s to economic integration</w:t>
      </w:r>
      <w:r w:rsidR="00AF164D" w:rsidRPr="00A22656">
        <w:rPr>
          <w:rFonts w:ascii="Times New Roman" w:hAnsi="Times New Roman" w:cs="Times New Roman"/>
          <w:sz w:val="24"/>
          <w:szCs w:val="24"/>
        </w:rPr>
        <w:t>, the safeguard</w:t>
      </w:r>
      <w:r w:rsidR="007B29F8" w:rsidRPr="00A22656">
        <w:rPr>
          <w:rFonts w:ascii="Times New Roman" w:hAnsi="Times New Roman" w:cs="Times New Roman"/>
          <w:sz w:val="24"/>
          <w:szCs w:val="24"/>
        </w:rPr>
        <w:t xml:space="preserve"> appear</w:t>
      </w:r>
      <w:r w:rsidR="00AF164D" w:rsidRPr="00A22656">
        <w:rPr>
          <w:rFonts w:ascii="Times New Roman" w:hAnsi="Times New Roman" w:cs="Times New Roman"/>
          <w:sz w:val="24"/>
          <w:szCs w:val="24"/>
        </w:rPr>
        <w:t>ed</w:t>
      </w:r>
      <w:r w:rsidR="007B29F8" w:rsidRPr="00A22656">
        <w:rPr>
          <w:rFonts w:ascii="Times New Roman" w:hAnsi="Times New Roman" w:cs="Times New Roman"/>
          <w:sz w:val="24"/>
          <w:szCs w:val="24"/>
        </w:rPr>
        <w:t xml:space="preserve"> to strike directly at the heart</w:t>
      </w:r>
      <w:r w:rsidR="00A53F53" w:rsidRPr="00A22656">
        <w:rPr>
          <w:rFonts w:ascii="Times New Roman" w:hAnsi="Times New Roman" w:cs="Times New Roman"/>
          <w:sz w:val="24"/>
          <w:szCs w:val="24"/>
        </w:rPr>
        <w:t xml:space="preserve"> of the </w:t>
      </w:r>
      <w:r w:rsidR="007B29F8" w:rsidRPr="00A22656">
        <w:rPr>
          <w:rFonts w:ascii="Times New Roman" w:hAnsi="Times New Roman" w:cs="Times New Roman"/>
          <w:sz w:val="24"/>
          <w:szCs w:val="24"/>
        </w:rPr>
        <w:t>foundational goals of the Union, developed even before Maastricht.</w:t>
      </w:r>
      <w:r w:rsidR="0009705E" w:rsidRPr="00A22656">
        <w:rPr>
          <w:rFonts w:ascii="Times New Roman" w:hAnsi="Times New Roman" w:cs="Times New Roman"/>
          <w:sz w:val="24"/>
          <w:szCs w:val="24"/>
        </w:rPr>
        <w:t xml:space="preserve"> </w:t>
      </w:r>
    </w:p>
    <w:p w:rsidR="00774EE5" w:rsidRPr="00A22656" w:rsidRDefault="00774EE5" w:rsidP="005F768F">
      <w:pPr>
        <w:pStyle w:val="NoSpacing"/>
        <w:spacing w:line="360" w:lineRule="auto"/>
        <w:jc w:val="both"/>
        <w:rPr>
          <w:rFonts w:ascii="Times New Roman" w:hAnsi="Times New Roman" w:cs="Times New Roman"/>
          <w:sz w:val="24"/>
          <w:szCs w:val="24"/>
        </w:rPr>
      </w:pPr>
    </w:p>
    <w:p w:rsidR="00CD6226" w:rsidRPr="00A22656" w:rsidRDefault="00CD6226"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T</w:t>
      </w:r>
      <w:r w:rsidR="00A62F4C" w:rsidRPr="00A22656">
        <w:rPr>
          <w:rFonts w:ascii="Times New Roman" w:hAnsi="Times New Roman" w:cs="Times New Roman"/>
          <w:sz w:val="24"/>
          <w:szCs w:val="24"/>
        </w:rPr>
        <w:t xml:space="preserve">he safeguard mechanism would have been implemented through amendment of </w:t>
      </w:r>
      <w:r w:rsidR="00CB45E1" w:rsidRPr="00A22656">
        <w:rPr>
          <w:rFonts w:ascii="Times New Roman" w:hAnsi="Times New Roman" w:cs="Times New Roman"/>
          <w:sz w:val="24"/>
          <w:szCs w:val="24"/>
        </w:rPr>
        <w:t xml:space="preserve">Article 7, </w:t>
      </w:r>
      <w:r w:rsidR="00A62F4C" w:rsidRPr="00A22656">
        <w:rPr>
          <w:rFonts w:ascii="Times New Roman" w:hAnsi="Times New Roman" w:cs="Times New Roman"/>
          <w:sz w:val="24"/>
          <w:szCs w:val="24"/>
        </w:rPr>
        <w:t>Regulation No 492/2011</w:t>
      </w:r>
      <w:r w:rsidR="005F48C1" w:rsidRPr="00A22656">
        <w:rPr>
          <w:rFonts w:ascii="Times New Roman" w:hAnsi="Times New Roman" w:cs="Times New Roman"/>
          <w:sz w:val="24"/>
          <w:szCs w:val="24"/>
        </w:rPr>
        <w:t xml:space="preserve"> which requires that Union workers enjoy the same social and tax advantages as national workers</w:t>
      </w:r>
      <w:r w:rsidR="00A62F4C" w:rsidRPr="00A22656">
        <w:rPr>
          <w:rFonts w:ascii="Times New Roman" w:hAnsi="Times New Roman" w:cs="Times New Roman"/>
          <w:sz w:val="24"/>
          <w:szCs w:val="24"/>
        </w:rPr>
        <w:t>.</w:t>
      </w:r>
      <w:r w:rsidR="00247BB2" w:rsidRPr="00A22656">
        <w:rPr>
          <w:rStyle w:val="FootnoteReference"/>
          <w:rFonts w:ascii="Times New Roman" w:hAnsi="Times New Roman" w:cs="Times New Roman"/>
          <w:sz w:val="24"/>
          <w:szCs w:val="24"/>
        </w:rPr>
        <w:footnoteReference w:id="14"/>
      </w:r>
      <w:r w:rsidR="00A62F4C" w:rsidRPr="00A22656">
        <w:rPr>
          <w:rFonts w:ascii="Times New Roman" w:hAnsi="Times New Roman" w:cs="Times New Roman"/>
          <w:sz w:val="24"/>
          <w:szCs w:val="24"/>
        </w:rPr>
        <w:t xml:space="preserve"> In </w:t>
      </w:r>
      <w:r w:rsidR="00A62F4C" w:rsidRPr="00A22656">
        <w:rPr>
          <w:rFonts w:ascii="Times New Roman" w:hAnsi="Times New Roman" w:cs="Times New Roman"/>
          <w:i/>
          <w:sz w:val="24"/>
          <w:szCs w:val="24"/>
        </w:rPr>
        <w:t>Even</w:t>
      </w:r>
      <w:r w:rsidR="00A62F4C" w:rsidRPr="00A22656">
        <w:rPr>
          <w:rFonts w:ascii="Times New Roman" w:hAnsi="Times New Roman" w:cs="Times New Roman"/>
          <w:sz w:val="24"/>
          <w:szCs w:val="24"/>
        </w:rPr>
        <w:t>, the Court held that</w:t>
      </w:r>
      <w:r w:rsidR="00D96D32" w:rsidRPr="00A22656">
        <w:rPr>
          <w:rFonts w:ascii="Times New Roman" w:hAnsi="Times New Roman" w:cs="Times New Roman"/>
          <w:sz w:val="24"/>
          <w:szCs w:val="24"/>
        </w:rPr>
        <w:t xml:space="preserve"> this provision</w:t>
      </w:r>
      <w:r w:rsidR="00D96D32" w:rsidRPr="00A22656">
        <w:rPr>
          <w:rStyle w:val="FootnoteReference"/>
          <w:rFonts w:ascii="Times New Roman" w:hAnsi="Times New Roman" w:cs="Times New Roman"/>
          <w:sz w:val="24"/>
          <w:szCs w:val="24"/>
        </w:rPr>
        <w:footnoteReference w:id="15"/>
      </w:r>
      <w:r w:rsidR="00A62F4C" w:rsidRPr="00A22656">
        <w:rPr>
          <w:rFonts w:ascii="Times New Roman" w:hAnsi="Times New Roman" w:cs="Times New Roman"/>
          <w:sz w:val="24"/>
          <w:szCs w:val="24"/>
        </w:rPr>
        <w:t xml:space="preserve"> was adopted</w:t>
      </w:r>
      <w:r w:rsidR="00CB45E1" w:rsidRPr="00A22656">
        <w:rPr>
          <w:rFonts w:ascii="Times New Roman" w:hAnsi="Times New Roman" w:cs="Times New Roman"/>
          <w:sz w:val="24"/>
          <w:szCs w:val="24"/>
        </w:rPr>
        <w:t xml:space="preserve"> </w:t>
      </w:r>
      <w:r w:rsidRPr="00A22656">
        <w:rPr>
          <w:rFonts w:ascii="Times New Roman" w:hAnsi="Times New Roman" w:cs="Times New Roman"/>
          <w:sz w:val="24"/>
          <w:szCs w:val="24"/>
        </w:rPr>
        <w:t>‘</w:t>
      </w:r>
      <w:r w:rsidR="00CB45E1" w:rsidRPr="00A22656">
        <w:rPr>
          <w:rFonts w:ascii="Times New Roman" w:hAnsi="Times New Roman" w:cs="Times New Roman"/>
          <w:sz w:val="24"/>
          <w:szCs w:val="24"/>
        </w:rPr>
        <w:t>in implementation</w:t>
      </w:r>
      <w:r w:rsidRPr="00A22656">
        <w:rPr>
          <w:rFonts w:ascii="Times New Roman" w:hAnsi="Times New Roman" w:cs="Times New Roman"/>
          <w:sz w:val="24"/>
          <w:szCs w:val="24"/>
        </w:rPr>
        <w:t>’</w:t>
      </w:r>
      <w:r w:rsidR="00CB45E1" w:rsidRPr="00A22656">
        <w:rPr>
          <w:rFonts w:ascii="Times New Roman" w:hAnsi="Times New Roman" w:cs="Times New Roman"/>
          <w:sz w:val="24"/>
          <w:szCs w:val="24"/>
        </w:rPr>
        <w:t xml:space="preserve"> of Article 45 TFEU on the free movement of workers:</w:t>
      </w:r>
      <w:r w:rsidRPr="00A22656">
        <w:rPr>
          <w:rFonts w:ascii="Times New Roman" w:hAnsi="Times New Roman" w:cs="Times New Roman"/>
          <w:sz w:val="24"/>
          <w:szCs w:val="24"/>
        </w:rPr>
        <w:t xml:space="preserve"> </w:t>
      </w:r>
    </w:p>
    <w:p w:rsidR="00CD6226" w:rsidRPr="00A22656" w:rsidRDefault="00CD6226" w:rsidP="005F768F">
      <w:pPr>
        <w:pStyle w:val="NoSpacing"/>
        <w:spacing w:line="360" w:lineRule="auto"/>
        <w:jc w:val="both"/>
        <w:rPr>
          <w:rFonts w:ascii="Times New Roman" w:hAnsi="Times New Roman" w:cs="Times New Roman"/>
          <w:sz w:val="24"/>
          <w:szCs w:val="24"/>
        </w:rPr>
      </w:pPr>
    </w:p>
    <w:p w:rsidR="00724612" w:rsidRPr="00A22656" w:rsidRDefault="00CD6226" w:rsidP="00CD6226">
      <w:pPr>
        <w:pStyle w:val="NoSpacing"/>
        <w:spacing w:line="360" w:lineRule="auto"/>
        <w:ind w:left="720"/>
        <w:jc w:val="both"/>
        <w:rPr>
          <w:rFonts w:ascii="Times New Roman" w:hAnsi="Times New Roman" w:cs="Times New Roman"/>
          <w:sz w:val="20"/>
          <w:szCs w:val="24"/>
        </w:rPr>
      </w:pPr>
      <w:r w:rsidRPr="00A22656">
        <w:rPr>
          <w:rFonts w:ascii="Times New Roman" w:hAnsi="Times New Roman" w:cs="Times New Roman"/>
          <w:sz w:val="20"/>
          <w:szCs w:val="24"/>
        </w:rPr>
        <w:t>F</w:t>
      </w:r>
      <w:r w:rsidR="00724612" w:rsidRPr="00A22656">
        <w:rPr>
          <w:rFonts w:ascii="Times New Roman" w:hAnsi="Times New Roman" w:cs="Times New Roman"/>
          <w:sz w:val="20"/>
          <w:szCs w:val="24"/>
        </w:rPr>
        <w:t>or this purpose [the Regulation] provides for the abolition of all differences in treatment between national workers and workers who are nationals of other Member States as regards conditions of employment, work and remuneration and gives workers who are nationals of the other Member States…access to the same social and tax advantages from</w:t>
      </w:r>
      <w:r w:rsidRPr="00A22656">
        <w:rPr>
          <w:rFonts w:ascii="Times New Roman" w:hAnsi="Times New Roman" w:cs="Times New Roman"/>
          <w:sz w:val="20"/>
          <w:szCs w:val="24"/>
        </w:rPr>
        <w:t xml:space="preserve"> which national workers benefit</w:t>
      </w:r>
      <w:r w:rsidR="00724612" w:rsidRPr="00A22656">
        <w:rPr>
          <w:rFonts w:ascii="Times New Roman" w:hAnsi="Times New Roman" w:cs="Times New Roman"/>
          <w:sz w:val="20"/>
          <w:szCs w:val="24"/>
        </w:rPr>
        <w:t>.</w:t>
      </w:r>
      <w:r w:rsidR="00724612" w:rsidRPr="00A22656">
        <w:rPr>
          <w:rStyle w:val="FootnoteReference"/>
          <w:rFonts w:ascii="Times New Roman" w:hAnsi="Times New Roman" w:cs="Times New Roman"/>
          <w:sz w:val="20"/>
          <w:szCs w:val="24"/>
        </w:rPr>
        <w:footnoteReference w:id="16"/>
      </w:r>
      <w:r w:rsidR="00724612" w:rsidRPr="00A22656">
        <w:rPr>
          <w:rFonts w:ascii="Times New Roman" w:hAnsi="Times New Roman" w:cs="Times New Roman"/>
          <w:sz w:val="20"/>
          <w:szCs w:val="24"/>
        </w:rPr>
        <w:t xml:space="preserve">       </w:t>
      </w:r>
    </w:p>
    <w:p w:rsidR="00724612" w:rsidRPr="00A22656" w:rsidRDefault="00724612" w:rsidP="005F768F">
      <w:pPr>
        <w:pStyle w:val="NoSpacing"/>
        <w:spacing w:line="360" w:lineRule="auto"/>
        <w:jc w:val="both"/>
        <w:rPr>
          <w:rFonts w:ascii="Times New Roman" w:hAnsi="Times New Roman" w:cs="Times New Roman"/>
          <w:sz w:val="24"/>
          <w:szCs w:val="24"/>
        </w:rPr>
      </w:pPr>
    </w:p>
    <w:p w:rsidR="00F8123B" w:rsidRPr="00A22656" w:rsidRDefault="00724612"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Accordingly, in </w:t>
      </w:r>
      <w:r w:rsidRPr="00A22656">
        <w:rPr>
          <w:rFonts w:ascii="Times New Roman" w:hAnsi="Times New Roman" w:cs="Times New Roman"/>
          <w:i/>
          <w:sz w:val="24"/>
          <w:szCs w:val="24"/>
        </w:rPr>
        <w:t xml:space="preserve">Even, </w:t>
      </w:r>
      <w:r w:rsidRPr="00A22656">
        <w:rPr>
          <w:rFonts w:ascii="Times New Roman" w:hAnsi="Times New Roman" w:cs="Times New Roman"/>
          <w:sz w:val="24"/>
          <w:szCs w:val="24"/>
        </w:rPr>
        <w:t xml:space="preserve">the right to equal access to social and tax advantages </w:t>
      </w:r>
      <w:r w:rsidR="00F9664F" w:rsidRPr="00A22656">
        <w:rPr>
          <w:rFonts w:ascii="Times New Roman" w:hAnsi="Times New Roman" w:cs="Times New Roman"/>
          <w:sz w:val="24"/>
          <w:szCs w:val="24"/>
        </w:rPr>
        <w:t>was</w:t>
      </w:r>
      <w:r w:rsidRPr="00A22656">
        <w:rPr>
          <w:rFonts w:ascii="Times New Roman" w:hAnsi="Times New Roman" w:cs="Times New Roman"/>
          <w:sz w:val="24"/>
          <w:szCs w:val="24"/>
        </w:rPr>
        <w:t xml:space="preserve"> presented as a concrete expression of the principle of non-discrimination contained in Article 45(2) TFEU. </w:t>
      </w:r>
      <w:r w:rsidRPr="00A22656">
        <w:rPr>
          <w:rFonts w:ascii="Times New Roman" w:hAnsi="Times New Roman" w:cs="Times New Roman"/>
          <w:sz w:val="24"/>
          <w:szCs w:val="24"/>
        </w:rPr>
        <w:lastRenderedPageBreak/>
        <w:t>Consequen</w:t>
      </w:r>
      <w:r w:rsidR="00774EE5" w:rsidRPr="00A22656">
        <w:rPr>
          <w:rFonts w:ascii="Times New Roman" w:hAnsi="Times New Roman" w:cs="Times New Roman"/>
          <w:sz w:val="24"/>
          <w:szCs w:val="24"/>
        </w:rPr>
        <w:t>tly, the</w:t>
      </w:r>
      <w:r w:rsidR="0047291E" w:rsidRPr="00A22656">
        <w:rPr>
          <w:rFonts w:ascii="Times New Roman" w:hAnsi="Times New Roman" w:cs="Times New Roman"/>
          <w:sz w:val="24"/>
          <w:szCs w:val="24"/>
        </w:rPr>
        <w:t xml:space="preserve"> compatibility of the</w:t>
      </w:r>
      <w:r w:rsidR="00F8123B" w:rsidRPr="00A22656">
        <w:rPr>
          <w:rFonts w:ascii="Times New Roman" w:hAnsi="Times New Roman" w:cs="Times New Roman"/>
          <w:sz w:val="24"/>
          <w:szCs w:val="24"/>
        </w:rPr>
        <w:t xml:space="preserve"> </w:t>
      </w:r>
      <w:r w:rsidRPr="00A22656">
        <w:rPr>
          <w:rFonts w:ascii="Times New Roman" w:hAnsi="Times New Roman" w:cs="Times New Roman"/>
          <w:sz w:val="24"/>
          <w:szCs w:val="24"/>
        </w:rPr>
        <w:t>proposed amendment to Regulation No 492/2011 with the Treaties, in particular Article 45(2) and the more general right to non-discrimination on grounds of na</w:t>
      </w:r>
      <w:r w:rsidR="00F8123B" w:rsidRPr="00A22656">
        <w:rPr>
          <w:rFonts w:ascii="Times New Roman" w:hAnsi="Times New Roman" w:cs="Times New Roman"/>
          <w:sz w:val="24"/>
          <w:szCs w:val="24"/>
        </w:rPr>
        <w:t>tionality in Article 18 TFEU, was open to</w:t>
      </w:r>
      <w:r w:rsidR="00CB45E1" w:rsidRPr="00A22656">
        <w:rPr>
          <w:rFonts w:ascii="Times New Roman" w:hAnsi="Times New Roman" w:cs="Times New Roman"/>
          <w:sz w:val="24"/>
          <w:szCs w:val="24"/>
        </w:rPr>
        <w:t xml:space="preserve"> more serious debate than the </w:t>
      </w:r>
      <w:r w:rsidR="00F8123B" w:rsidRPr="00A22656">
        <w:rPr>
          <w:rFonts w:ascii="Times New Roman" w:hAnsi="Times New Roman" w:cs="Times New Roman"/>
          <w:sz w:val="24"/>
          <w:szCs w:val="24"/>
        </w:rPr>
        <w:t xml:space="preserve">Decision seemed prepared to admit. </w:t>
      </w:r>
    </w:p>
    <w:p w:rsidR="002F6193" w:rsidRPr="00A22656" w:rsidRDefault="002F6193" w:rsidP="005F768F">
      <w:pPr>
        <w:spacing w:line="360" w:lineRule="auto"/>
        <w:rPr>
          <w:rFonts w:ascii="Times New Roman" w:hAnsi="Times New Roman" w:cs="Times New Roman"/>
          <w:b/>
          <w:sz w:val="24"/>
          <w:szCs w:val="24"/>
        </w:rPr>
      </w:pPr>
    </w:p>
    <w:p w:rsidR="00063622" w:rsidRPr="00A22656" w:rsidRDefault="002F6193" w:rsidP="005F768F">
      <w:pPr>
        <w:pStyle w:val="ListParagraph"/>
        <w:numPr>
          <w:ilvl w:val="0"/>
          <w:numId w:val="2"/>
        </w:numPr>
        <w:spacing w:line="360" w:lineRule="auto"/>
        <w:rPr>
          <w:rFonts w:ascii="Times New Roman" w:hAnsi="Times New Roman" w:cs="Times New Roman"/>
          <w:b/>
          <w:sz w:val="24"/>
          <w:szCs w:val="24"/>
        </w:rPr>
      </w:pPr>
      <w:r w:rsidRPr="00A22656">
        <w:rPr>
          <w:rFonts w:ascii="Times New Roman" w:hAnsi="Times New Roman" w:cs="Times New Roman"/>
          <w:b/>
          <w:sz w:val="24"/>
          <w:szCs w:val="24"/>
        </w:rPr>
        <w:t>The judicial (de)construction of Union citizenship: the Court-furnished foundations of the safeguard mechanism</w:t>
      </w:r>
    </w:p>
    <w:p w:rsidR="008A3B8C" w:rsidRPr="00A22656" w:rsidRDefault="008A3B8C"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Despite the clear tension between the purpose and </w:t>
      </w:r>
      <w:r w:rsidR="00374511" w:rsidRPr="00A22656">
        <w:rPr>
          <w:rFonts w:ascii="Times New Roman" w:hAnsi="Times New Roman" w:cs="Times New Roman"/>
          <w:sz w:val="24"/>
          <w:szCs w:val="24"/>
        </w:rPr>
        <w:t>proposed</w:t>
      </w:r>
      <w:r w:rsidR="0067680D" w:rsidRPr="00A22656">
        <w:rPr>
          <w:rFonts w:ascii="Times New Roman" w:hAnsi="Times New Roman" w:cs="Times New Roman"/>
          <w:sz w:val="24"/>
          <w:szCs w:val="24"/>
        </w:rPr>
        <w:t xml:space="preserve"> method of</w:t>
      </w:r>
      <w:r w:rsidR="00374511" w:rsidRPr="00A22656">
        <w:rPr>
          <w:rFonts w:ascii="Times New Roman" w:hAnsi="Times New Roman" w:cs="Times New Roman"/>
          <w:sz w:val="24"/>
          <w:szCs w:val="24"/>
        </w:rPr>
        <w:t xml:space="preserve"> </w:t>
      </w:r>
      <w:r w:rsidRPr="00A22656">
        <w:rPr>
          <w:rFonts w:ascii="Times New Roman" w:hAnsi="Times New Roman" w:cs="Times New Roman"/>
          <w:sz w:val="24"/>
          <w:szCs w:val="24"/>
        </w:rPr>
        <w:t>implementation of the safeguard mechanism</w:t>
      </w:r>
      <w:r w:rsidR="0067680D" w:rsidRPr="00A22656">
        <w:rPr>
          <w:rFonts w:ascii="Times New Roman" w:hAnsi="Times New Roman" w:cs="Times New Roman"/>
          <w:sz w:val="24"/>
          <w:szCs w:val="24"/>
        </w:rPr>
        <w:t>, on the one hand,</w:t>
      </w:r>
      <w:r w:rsidRPr="00A22656">
        <w:rPr>
          <w:rFonts w:ascii="Times New Roman" w:hAnsi="Times New Roman" w:cs="Times New Roman"/>
          <w:sz w:val="24"/>
          <w:szCs w:val="24"/>
        </w:rPr>
        <w:t xml:space="preserve"> and the seemingly well-established scope and operation of primary free movement law</w:t>
      </w:r>
      <w:r w:rsidR="00F777C3" w:rsidRPr="00A22656">
        <w:rPr>
          <w:rFonts w:ascii="Times New Roman" w:hAnsi="Times New Roman" w:cs="Times New Roman"/>
          <w:sz w:val="24"/>
          <w:szCs w:val="24"/>
        </w:rPr>
        <w:t>,</w:t>
      </w:r>
      <w:r w:rsidR="0067680D" w:rsidRPr="00A22656">
        <w:rPr>
          <w:rFonts w:ascii="Times New Roman" w:hAnsi="Times New Roman" w:cs="Times New Roman"/>
          <w:sz w:val="24"/>
          <w:szCs w:val="24"/>
        </w:rPr>
        <w:t xml:space="preserve"> on the other</w:t>
      </w:r>
      <w:r w:rsidRPr="00A22656">
        <w:rPr>
          <w:rFonts w:ascii="Times New Roman" w:hAnsi="Times New Roman" w:cs="Times New Roman"/>
          <w:sz w:val="24"/>
          <w:szCs w:val="24"/>
        </w:rPr>
        <w:t>, the drafters of the Decision nevertheless spoke directly to</w:t>
      </w:r>
      <w:r w:rsidR="00361331" w:rsidRPr="00A22656">
        <w:rPr>
          <w:rFonts w:ascii="Times New Roman" w:hAnsi="Times New Roman" w:cs="Times New Roman"/>
          <w:sz w:val="24"/>
          <w:szCs w:val="24"/>
        </w:rPr>
        <w:t xml:space="preserve"> CJEU</w:t>
      </w:r>
      <w:r w:rsidRPr="00A22656">
        <w:rPr>
          <w:rFonts w:ascii="Times New Roman" w:hAnsi="Times New Roman" w:cs="Times New Roman"/>
          <w:sz w:val="24"/>
          <w:szCs w:val="24"/>
        </w:rPr>
        <w:t xml:space="preserve"> case-law</w:t>
      </w:r>
      <w:r w:rsidR="00374511" w:rsidRPr="00A22656">
        <w:rPr>
          <w:rFonts w:ascii="Times New Roman" w:hAnsi="Times New Roman" w:cs="Times New Roman"/>
          <w:sz w:val="24"/>
          <w:szCs w:val="24"/>
        </w:rPr>
        <w:t>,</w:t>
      </w:r>
      <w:r w:rsidRPr="00A22656">
        <w:rPr>
          <w:rFonts w:ascii="Times New Roman" w:hAnsi="Times New Roman" w:cs="Times New Roman"/>
          <w:sz w:val="24"/>
          <w:szCs w:val="24"/>
        </w:rPr>
        <w:t xml:space="preserve"> a</w:t>
      </w:r>
      <w:r w:rsidR="00D420C7" w:rsidRPr="00A22656">
        <w:rPr>
          <w:rFonts w:ascii="Times New Roman" w:hAnsi="Times New Roman" w:cs="Times New Roman"/>
          <w:sz w:val="24"/>
          <w:szCs w:val="24"/>
        </w:rPr>
        <w:t>ssert</w:t>
      </w:r>
      <w:r w:rsidR="00374511" w:rsidRPr="00A22656">
        <w:rPr>
          <w:rFonts w:ascii="Times New Roman" w:hAnsi="Times New Roman" w:cs="Times New Roman"/>
          <w:sz w:val="24"/>
          <w:szCs w:val="24"/>
        </w:rPr>
        <w:t xml:space="preserve">ing </w:t>
      </w:r>
      <w:r w:rsidRPr="00A22656">
        <w:rPr>
          <w:rFonts w:ascii="Times New Roman" w:hAnsi="Times New Roman" w:cs="Times New Roman"/>
          <w:sz w:val="24"/>
          <w:szCs w:val="24"/>
        </w:rPr>
        <w:t>that the public interests the safeguard sought to protect fell within the Court’s own jurisprudence.</w:t>
      </w:r>
      <w:r w:rsidR="00D420C7" w:rsidRPr="00A22656">
        <w:rPr>
          <w:rStyle w:val="FootnoteReference"/>
          <w:rFonts w:ascii="Times New Roman" w:hAnsi="Times New Roman" w:cs="Times New Roman"/>
          <w:sz w:val="24"/>
          <w:szCs w:val="24"/>
        </w:rPr>
        <w:footnoteReference w:id="17"/>
      </w:r>
      <w:r w:rsidRPr="00A22656">
        <w:rPr>
          <w:rFonts w:ascii="Times New Roman" w:hAnsi="Times New Roman" w:cs="Times New Roman"/>
          <w:sz w:val="24"/>
          <w:szCs w:val="24"/>
        </w:rPr>
        <w:t xml:space="preserve"> </w:t>
      </w:r>
      <w:r w:rsidR="00F9664F" w:rsidRPr="00A22656">
        <w:rPr>
          <w:rFonts w:ascii="Times New Roman" w:hAnsi="Times New Roman" w:cs="Times New Roman"/>
          <w:sz w:val="24"/>
          <w:szCs w:val="24"/>
        </w:rPr>
        <w:t>B</w:t>
      </w:r>
      <w:r w:rsidRPr="00A22656">
        <w:rPr>
          <w:rFonts w:ascii="Times New Roman" w:hAnsi="Times New Roman" w:cs="Times New Roman"/>
          <w:sz w:val="24"/>
          <w:szCs w:val="24"/>
        </w:rPr>
        <w:t xml:space="preserve">y </w:t>
      </w:r>
      <w:r w:rsidR="00D420C7" w:rsidRPr="00A22656">
        <w:rPr>
          <w:rFonts w:ascii="Times New Roman" w:hAnsi="Times New Roman" w:cs="Times New Roman"/>
          <w:sz w:val="24"/>
          <w:szCs w:val="24"/>
        </w:rPr>
        <w:t>examining</w:t>
      </w:r>
      <w:r w:rsidR="001C3E7A" w:rsidRPr="00A22656">
        <w:rPr>
          <w:rFonts w:ascii="Times New Roman" w:hAnsi="Times New Roman" w:cs="Times New Roman"/>
          <w:sz w:val="24"/>
          <w:szCs w:val="24"/>
        </w:rPr>
        <w:t xml:space="preserve"> </w:t>
      </w:r>
      <w:r w:rsidRPr="00A22656">
        <w:rPr>
          <w:rFonts w:ascii="Times New Roman" w:hAnsi="Times New Roman" w:cs="Times New Roman"/>
          <w:sz w:val="24"/>
          <w:szCs w:val="24"/>
        </w:rPr>
        <w:t xml:space="preserve">judicial responses to previous legislative modifications </w:t>
      </w:r>
      <w:r w:rsidR="00192DDB" w:rsidRPr="00A22656">
        <w:rPr>
          <w:rFonts w:ascii="Times New Roman" w:hAnsi="Times New Roman" w:cs="Times New Roman"/>
          <w:sz w:val="24"/>
          <w:szCs w:val="24"/>
        </w:rPr>
        <w:t>with</w:t>
      </w:r>
      <w:r w:rsidRPr="00A22656">
        <w:rPr>
          <w:rFonts w:ascii="Times New Roman" w:hAnsi="Times New Roman" w:cs="Times New Roman"/>
          <w:sz w:val="24"/>
          <w:szCs w:val="24"/>
        </w:rPr>
        <w:t>in the internal m</w:t>
      </w:r>
      <w:r w:rsidR="00374511" w:rsidRPr="00A22656">
        <w:rPr>
          <w:rFonts w:ascii="Times New Roman" w:hAnsi="Times New Roman" w:cs="Times New Roman"/>
          <w:sz w:val="24"/>
          <w:szCs w:val="24"/>
        </w:rPr>
        <w:t>arket, a</w:t>
      </w:r>
      <w:r w:rsidR="001D54E2" w:rsidRPr="00A22656">
        <w:rPr>
          <w:rFonts w:ascii="Times New Roman" w:hAnsi="Times New Roman" w:cs="Times New Roman"/>
          <w:sz w:val="24"/>
          <w:szCs w:val="24"/>
        </w:rPr>
        <w:t>longside</w:t>
      </w:r>
      <w:r w:rsidR="00374511" w:rsidRPr="00A22656">
        <w:rPr>
          <w:rFonts w:ascii="Times New Roman" w:hAnsi="Times New Roman" w:cs="Times New Roman"/>
          <w:sz w:val="24"/>
          <w:szCs w:val="24"/>
        </w:rPr>
        <w:t xml:space="preserve"> the CJEU’s more recent</w:t>
      </w:r>
      <w:r w:rsidRPr="00A22656">
        <w:rPr>
          <w:rFonts w:ascii="Times New Roman" w:hAnsi="Times New Roman" w:cs="Times New Roman"/>
          <w:sz w:val="24"/>
          <w:szCs w:val="24"/>
        </w:rPr>
        <w:t xml:space="preserve"> approach to EU citizenship rights, this section ar</w:t>
      </w:r>
      <w:r w:rsidR="00192DDB" w:rsidRPr="00A22656">
        <w:rPr>
          <w:rFonts w:ascii="Times New Roman" w:hAnsi="Times New Roman" w:cs="Times New Roman"/>
          <w:sz w:val="24"/>
          <w:szCs w:val="24"/>
        </w:rPr>
        <w:t xml:space="preserve">gues that the Court </w:t>
      </w:r>
      <w:r w:rsidRPr="00A22656">
        <w:rPr>
          <w:rFonts w:ascii="Times New Roman" w:hAnsi="Times New Roman" w:cs="Times New Roman"/>
          <w:sz w:val="24"/>
          <w:szCs w:val="24"/>
        </w:rPr>
        <w:t>might well have accepted the mechanism</w:t>
      </w:r>
      <w:r w:rsidR="0027468E" w:rsidRPr="00A22656">
        <w:rPr>
          <w:rFonts w:ascii="Times New Roman" w:hAnsi="Times New Roman" w:cs="Times New Roman"/>
          <w:sz w:val="24"/>
          <w:szCs w:val="24"/>
        </w:rPr>
        <w:t>, despite its legal controversies</w:t>
      </w:r>
      <w:r w:rsidRPr="00A22656">
        <w:rPr>
          <w:rFonts w:ascii="Times New Roman" w:hAnsi="Times New Roman" w:cs="Times New Roman"/>
          <w:sz w:val="24"/>
          <w:szCs w:val="24"/>
        </w:rPr>
        <w:t>.</w:t>
      </w:r>
      <w:r w:rsidR="00E3289D" w:rsidRPr="00A22656">
        <w:rPr>
          <w:rFonts w:ascii="Times New Roman" w:hAnsi="Times New Roman" w:cs="Times New Roman"/>
          <w:sz w:val="24"/>
          <w:szCs w:val="24"/>
        </w:rPr>
        <w:t xml:space="preserve"> More importantly,</w:t>
      </w:r>
      <w:r w:rsidR="00944CBB" w:rsidRPr="00A22656">
        <w:rPr>
          <w:rFonts w:ascii="Times New Roman" w:hAnsi="Times New Roman" w:cs="Times New Roman"/>
          <w:sz w:val="24"/>
          <w:szCs w:val="24"/>
        </w:rPr>
        <w:t xml:space="preserve"> by conducting an in-depth investigation of the Court’s case-law, beyond the seminal cases that most commonly provide the focal point of assessment,</w:t>
      </w:r>
      <w:r w:rsidR="00E3289D" w:rsidRPr="00A22656">
        <w:rPr>
          <w:rFonts w:ascii="Times New Roman" w:hAnsi="Times New Roman" w:cs="Times New Roman"/>
          <w:sz w:val="24"/>
          <w:szCs w:val="24"/>
        </w:rPr>
        <w:t xml:space="preserve"> </w:t>
      </w:r>
      <w:r w:rsidR="00944CBB" w:rsidRPr="00A22656">
        <w:rPr>
          <w:rFonts w:ascii="Times New Roman" w:hAnsi="Times New Roman" w:cs="Times New Roman"/>
          <w:sz w:val="24"/>
          <w:szCs w:val="24"/>
        </w:rPr>
        <w:t>this</w:t>
      </w:r>
      <w:r w:rsidR="00D420C7" w:rsidRPr="00A22656">
        <w:rPr>
          <w:rFonts w:ascii="Times New Roman" w:hAnsi="Times New Roman" w:cs="Times New Roman"/>
          <w:sz w:val="24"/>
          <w:szCs w:val="24"/>
        </w:rPr>
        <w:t xml:space="preserve"> analysis</w:t>
      </w:r>
      <w:r w:rsidR="00944CBB" w:rsidRPr="00A22656">
        <w:rPr>
          <w:rFonts w:ascii="Times New Roman" w:hAnsi="Times New Roman" w:cs="Times New Roman"/>
          <w:sz w:val="24"/>
          <w:szCs w:val="24"/>
        </w:rPr>
        <w:t xml:space="preserve"> is able to demonstrate</w:t>
      </w:r>
      <w:r w:rsidR="00D420C7" w:rsidRPr="00A22656">
        <w:rPr>
          <w:rFonts w:ascii="Times New Roman" w:hAnsi="Times New Roman" w:cs="Times New Roman"/>
          <w:sz w:val="24"/>
          <w:szCs w:val="24"/>
        </w:rPr>
        <w:t xml:space="preserve"> that, rather than </w:t>
      </w:r>
      <w:r w:rsidR="00944CBB" w:rsidRPr="00A22656">
        <w:rPr>
          <w:rFonts w:ascii="Times New Roman" w:hAnsi="Times New Roman" w:cs="Times New Roman"/>
          <w:sz w:val="24"/>
          <w:szCs w:val="24"/>
        </w:rPr>
        <w:t xml:space="preserve">representing </w:t>
      </w:r>
      <w:r w:rsidR="00D420C7" w:rsidRPr="00A22656">
        <w:rPr>
          <w:rFonts w:ascii="Times New Roman" w:hAnsi="Times New Roman" w:cs="Times New Roman"/>
          <w:sz w:val="24"/>
          <w:szCs w:val="24"/>
        </w:rPr>
        <w:t>a cynical attempt to speak the language of the Court,</w:t>
      </w:r>
      <w:r w:rsidR="002023F8" w:rsidRPr="00A22656">
        <w:rPr>
          <w:rFonts w:ascii="Times New Roman" w:hAnsi="Times New Roman" w:cs="Times New Roman"/>
          <w:sz w:val="24"/>
          <w:szCs w:val="24"/>
        </w:rPr>
        <w:t xml:space="preserve"> the</w:t>
      </w:r>
      <w:r w:rsidR="00D420C7" w:rsidRPr="00A22656">
        <w:rPr>
          <w:rFonts w:ascii="Times New Roman" w:hAnsi="Times New Roman" w:cs="Times New Roman"/>
          <w:sz w:val="24"/>
          <w:szCs w:val="24"/>
        </w:rPr>
        <w:t xml:space="preserve"> </w:t>
      </w:r>
      <w:r w:rsidR="0027468E" w:rsidRPr="00A22656">
        <w:rPr>
          <w:rFonts w:ascii="Times New Roman" w:hAnsi="Times New Roman" w:cs="Times New Roman"/>
          <w:sz w:val="24"/>
          <w:szCs w:val="24"/>
        </w:rPr>
        <w:t>safeguard mechanism is firmly</w:t>
      </w:r>
      <w:r w:rsidR="00D420C7" w:rsidRPr="00A22656">
        <w:rPr>
          <w:rFonts w:ascii="Times New Roman" w:hAnsi="Times New Roman" w:cs="Times New Roman"/>
          <w:sz w:val="24"/>
          <w:szCs w:val="24"/>
        </w:rPr>
        <w:t xml:space="preserve"> rooted in the Court-led construction of</w:t>
      </w:r>
      <w:r w:rsidR="00944CBB" w:rsidRPr="00A22656">
        <w:rPr>
          <w:rFonts w:ascii="Times New Roman" w:hAnsi="Times New Roman" w:cs="Times New Roman"/>
          <w:sz w:val="24"/>
          <w:szCs w:val="24"/>
        </w:rPr>
        <w:t xml:space="preserve"> EU citizenship.</w:t>
      </w:r>
      <w:r w:rsidR="00237C33" w:rsidRPr="00A22656">
        <w:rPr>
          <w:rFonts w:ascii="Times New Roman" w:hAnsi="Times New Roman" w:cs="Times New Roman"/>
          <w:sz w:val="24"/>
          <w:szCs w:val="24"/>
        </w:rPr>
        <w:t xml:space="preserve"> In short, ironically, CJEU judgments generally viewed as progressive – in terms</w:t>
      </w:r>
      <w:r w:rsidR="00C46A3F" w:rsidRPr="00A22656">
        <w:rPr>
          <w:rFonts w:ascii="Times New Roman" w:hAnsi="Times New Roman" w:cs="Times New Roman"/>
          <w:sz w:val="24"/>
          <w:szCs w:val="24"/>
        </w:rPr>
        <w:t xml:space="preserve"> of pushing the constitutional boundaries</w:t>
      </w:r>
      <w:r w:rsidR="00237C33" w:rsidRPr="00A22656">
        <w:rPr>
          <w:rFonts w:ascii="Times New Roman" w:hAnsi="Times New Roman" w:cs="Times New Roman"/>
          <w:sz w:val="24"/>
          <w:szCs w:val="24"/>
        </w:rPr>
        <w:t xml:space="preserve"> of citizenship rights – simultaneously provided firm foundations for the current more retrogressive approach to those same entitlements.</w:t>
      </w:r>
      <w:r w:rsidR="00944CBB" w:rsidRPr="00A22656">
        <w:rPr>
          <w:rFonts w:ascii="Times New Roman" w:hAnsi="Times New Roman" w:cs="Times New Roman"/>
          <w:sz w:val="24"/>
          <w:szCs w:val="24"/>
        </w:rPr>
        <w:t xml:space="preserve"> Meanwhile, </w:t>
      </w:r>
      <w:r w:rsidR="00A04BB0" w:rsidRPr="00A22656">
        <w:rPr>
          <w:rFonts w:ascii="Times New Roman" w:hAnsi="Times New Roman" w:cs="Times New Roman"/>
          <w:sz w:val="24"/>
          <w:szCs w:val="24"/>
        </w:rPr>
        <w:t>the CJEU</w:t>
      </w:r>
      <w:r w:rsidR="00D420C7" w:rsidRPr="00A22656">
        <w:rPr>
          <w:rFonts w:ascii="Times New Roman" w:hAnsi="Times New Roman" w:cs="Times New Roman"/>
          <w:sz w:val="24"/>
          <w:szCs w:val="24"/>
        </w:rPr>
        <w:t xml:space="preserve">’s institutional </w:t>
      </w:r>
      <w:r w:rsidR="00E3289D" w:rsidRPr="00A22656">
        <w:rPr>
          <w:rFonts w:ascii="Times New Roman" w:hAnsi="Times New Roman" w:cs="Times New Roman"/>
          <w:sz w:val="24"/>
          <w:szCs w:val="24"/>
        </w:rPr>
        <w:t xml:space="preserve">boundary pushing </w:t>
      </w:r>
      <w:r w:rsidR="00944CBB" w:rsidRPr="00A22656">
        <w:rPr>
          <w:rFonts w:ascii="Times New Roman" w:hAnsi="Times New Roman" w:cs="Times New Roman"/>
          <w:sz w:val="24"/>
          <w:szCs w:val="24"/>
        </w:rPr>
        <w:t xml:space="preserve">has </w:t>
      </w:r>
      <w:r w:rsidR="00E3289D" w:rsidRPr="00A22656">
        <w:rPr>
          <w:rFonts w:ascii="Times New Roman" w:hAnsi="Times New Roman" w:cs="Times New Roman"/>
          <w:sz w:val="24"/>
          <w:szCs w:val="24"/>
        </w:rPr>
        <w:t>played its own part</w:t>
      </w:r>
      <w:r w:rsidR="00D420C7" w:rsidRPr="00A22656">
        <w:rPr>
          <w:rFonts w:ascii="Times New Roman" w:hAnsi="Times New Roman" w:cs="Times New Roman"/>
          <w:sz w:val="24"/>
          <w:szCs w:val="24"/>
        </w:rPr>
        <w:t xml:space="preserve"> in the p</w:t>
      </w:r>
      <w:r w:rsidR="0027468E" w:rsidRPr="00A22656">
        <w:rPr>
          <w:rFonts w:ascii="Times New Roman" w:hAnsi="Times New Roman" w:cs="Times New Roman"/>
          <w:sz w:val="24"/>
          <w:szCs w:val="24"/>
        </w:rPr>
        <w:t>olitical climate surrounding the safeguard’s</w:t>
      </w:r>
      <w:r w:rsidR="00D420C7" w:rsidRPr="00A22656">
        <w:rPr>
          <w:rFonts w:ascii="Times New Roman" w:hAnsi="Times New Roman" w:cs="Times New Roman"/>
          <w:sz w:val="24"/>
          <w:szCs w:val="24"/>
        </w:rPr>
        <w:t xml:space="preserve"> introduction. </w:t>
      </w:r>
    </w:p>
    <w:p w:rsidR="00396FC1" w:rsidRPr="00A22656" w:rsidRDefault="00396FC1" w:rsidP="005F768F">
      <w:pPr>
        <w:spacing w:line="360" w:lineRule="auto"/>
        <w:jc w:val="both"/>
        <w:rPr>
          <w:rFonts w:ascii="Times New Roman" w:hAnsi="Times New Roman" w:cs="Times New Roman"/>
          <w:sz w:val="24"/>
          <w:szCs w:val="24"/>
        </w:rPr>
      </w:pPr>
    </w:p>
    <w:p w:rsidR="002F6193" w:rsidRPr="00A22656" w:rsidRDefault="002F6193" w:rsidP="005F768F">
      <w:pPr>
        <w:pStyle w:val="ListParagraph"/>
        <w:numPr>
          <w:ilvl w:val="1"/>
          <w:numId w:val="2"/>
        </w:numPr>
        <w:spacing w:line="360" w:lineRule="auto"/>
        <w:rPr>
          <w:rFonts w:ascii="Times New Roman" w:hAnsi="Times New Roman" w:cs="Times New Roman"/>
          <w:b/>
          <w:sz w:val="24"/>
          <w:szCs w:val="24"/>
        </w:rPr>
      </w:pPr>
      <w:r w:rsidRPr="00A22656">
        <w:rPr>
          <w:rFonts w:ascii="Times New Roman" w:hAnsi="Times New Roman" w:cs="Times New Roman"/>
          <w:b/>
          <w:i/>
          <w:sz w:val="24"/>
          <w:szCs w:val="24"/>
        </w:rPr>
        <w:t xml:space="preserve"> A</w:t>
      </w:r>
      <w:r w:rsidR="00E15F0B" w:rsidRPr="00A22656">
        <w:rPr>
          <w:rFonts w:ascii="Times New Roman" w:hAnsi="Times New Roman" w:cs="Times New Roman"/>
          <w:b/>
          <w:i/>
          <w:sz w:val="24"/>
          <w:szCs w:val="24"/>
        </w:rPr>
        <w:t>mending free movement rules via</w:t>
      </w:r>
      <w:r w:rsidRPr="00A22656">
        <w:rPr>
          <w:rFonts w:ascii="Times New Roman" w:hAnsi="Times New Roman" w:cs="Times New Roman"/>
          <w:b/>
          <w:i/>
          <w:sz w:val="24"/>
          <w:szCs w:val="24"/>
        </w:rPr>
        <w:t xml:space="preserve"> secondary legislation: a brief history of the Court’s responses </w:t>
      </w:r>
    </w:p>
    <w:p w:rsidR="006F1C64" w:rsidRPr="00A22656" w:rsidRDefault="001017CE"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Reviews o</w:t>
      </w:r>
      <w:r w:rsidR="00875AC1" w:rsidRPr="00A22656">
        <w:rPr>
          <w:rFonts w:ascii="Times New Roman" w:hAnsi="Times New Roman" w:cs="Times New Roman"/>
          <w:sz w:val="24"/>
          <w:szCs w:val="24"/>
        </w:rPr>
        <w:t>f the case-law by</w:t>
      </w:r>
      <w:r w:rsidRPr="00A22656">
        <w:rPr>
          <w:rFonts w:ascii="Times New Roman" w:hAnsi="Times New Roman" w:cs="Times New Roman"/>
          <w:sz w:val="24"/>
          <w:szCs w:val="24"/>
        </w:rPr>
        <w:t xml:space="preserve"> Sorensen, Davies and Horsley outline a number of approaches utilised by the C</w:t>
      </w:r>
      <w:r w:rsidR="0067680D" w:rsidRPr="00A22656">
        <w:rPr>
          <w:rFonts w:ascii="Times New Roman" w:hAnsi="Times New Roman" w:cs="Times New Roman"/>
          <w:sz w:val="24"/>
          <w:szCs w:val="24"/>
        </w:rPr>
        <w:t>JEU</w:t>
      </w:r>
      <w:r w:rsidR="00875AC1" w:rsidRPr="00A22656">
        <w:rPr>
          <w:rFonts w:ascii="Times New Roman" w:hAnsi="Times New Roman" w:cs="Times New Roman"/>
          <w:sz w:val="24"/>
          <w:szCs w:val="24"/>
        </w:rPr>
        <w:t xml:space="preserve"> when</w:t>
      </w:r>
      <w:r w:rsidRPr="00A22656">
        <w:rPr>
          <w:rFonts w:ascii="Times New Roman" w:hAnsi="Times New Roman" w:cs="Times New Roman"/>
          <w:sz w:val="24"/>
          <w:szCs w:val="24"/>
        </w:rPr>
        <w:t xml:space="preserve"> confronted with the </w:t>
      </w:r>
      <w:r w:rsidR="00875AC1" w:rsidRPr="00A22656">
        <w:rPr>
          <w:rFonts w:ascii="Times New Roman" w:hAnsi="Times New Roman" w:cs="Times New Roman"/>
          <w:sz w:val="24"/>
          <w:szCs w:val="24"/>
        </w:rPr>
        <w:t xml:space="preserve">question of the </w:t>
      </w:r>
      <w:r w:rsidRPr="00A22656">
        <w:rPr>
          <w:rFonts w:ascii="Times New Roman" w:hAnsi="Times New Roman" w:cs="Times New Roman"/>
          <w:sz w:val="24"/>
          <w:szCs w:val="24"/>
        </w:rPr>
        <w:t xml:space="preserve">compatibility of Union </w:t>
      </w:r>
      <w:r w:rsidRPr="00A22656">
        <w:rPr>
          <w:rFonts w:ascii="Times New Roman" w:hAnsi="Times New Roman" w:cs="Times New Roman"/>
          <w:sz w:val="24"/>
          <w:szCs w:val="24"/>
        </w:rPr>
        <w:lastRenderedPageBreak/>
        <w:t>secondary l</w:t>
      </w:r>
      <w:r w:rsidR="00A84767" w:rsidRPr="00A22656">
        <w:rPr>
          <w:rFonts w:ascii="Times New Roman" w:hAnsi="Times New Roman" w:cs="Times New Roman"/>
          <w:sz w:val="24"/>
          <w:szCs w:val="24"/>
        </w:rPr>
        <w:t>egislation with the Treaties.</w:t>
      </w:r>
      <w:r w:rsidRPr="00A22656">
        <w:rPr>
          <w:rStyle w:val="FootnoteReference"/>
          <w:rFonts w:ascii="Times New Roman" w:hAnsi="Times New Roman" w:cs="Times New Roman"/>
          <w:sz w:val="24"/>
          <w:szCs w:val="24"/>
        </w:rPr>
        <w:footnoteReference w:id="18"/>
      </w:r>
      <w:r w:rsidRPr="00A22656">
        <w:rPr>
          <w:rFonts w:ascii="Times New Roman" w:hAnsi="Times New Roman" w:cs="Times New Roman"/>
          <w:sz w:val="24"/>
          <w:szCs w:val="24"/>
        </w:rPr>
        <w:t xml:space="preserve"> First, the Court might</w:t>
      </w:r>
      <w:r w:rsidR="00AE635C" w:rsidRPr="00A22656">
        <w:rPr>
          <w:rFonts w:ascii="Times New Roman" w:hAnsi="Times New Roman" w:cs="Times New Roman"/>
          <w:sz w:val="24"/>
          <w:szCs w:val="24"/>
        </w:rPr>
        <w:t xml:space="preserve"> simply</w:t>
      </w:r>
      <w:r w:rsidRPr="00A22656">
        <w:rPr>
          <w:rFonts w:ascii="Times New Roman" w:hAnsi="Times New Roman" w:cs="Times New Roman"/>
          <w:sz w:val="24"/>
          <w:szCs w:val="24"/>
        </w:rPr>
        <w:t xml:space="preserve"> find</w:t>
      </w:r>
      <w:r w:rsidR="00B010F4" w:rsidRPr="00A22656">
        <w:rPr>
          <w:rFonts w:ascii="Times New Roman" w:hAnsi="Times New Roman" w:cs="Times New Roman"/>
          <w:sz w:val="24"/>
          <w:szCs w:val="24"/>
        </w:rPr>
        <w:t xml:space="preserve"> that the EU norm is valid</w:t>
      </w:r>
      <w:r w:rsidR="0067680D" w:rsidRPr="00A22656">
        <w:rPr>
          <w:rStyle w:val="FootnoteReference"/>
          <w:rFonts w:ascii="Times New Roman" w:hAnsi="Times New Roman" w:cs="Times New Roman"/>
          <w:sz w:val="24"/>
          <w:szCs w:val="24"/>
        </w:rPr>
        <w:footnoteReference w:id="19"/>
      </w:r>
      <w:r w:rsidR="00B010F4" w:rsidRPr="00A22656">
        <w:rPr>
          <w:rFonts w:ascii="Times New Roman" w:hAnsi="Times New Roman" w:cs="Times New Roman"/>
          <w:sz w:val="24"/>
          <w:szCs w:val="24"/>
        </w:rPr>
        <w:t xml:space="preserve"> or, second, that it is invalid.</w:t>
      </w:r>
      <w:r w:rsidR="0067680D" w:rsidRPr="00A22656">
        <w:rPr>
          <w:rStyle w:val="FootnoteReference"/>
          <w:rFonts w:ascii="Times New Roman" w:hAnsi="Times New Roman" w:cs="Times New Roman"/>
          <w:sz w:val="24"/>
          <w:szCs w:val="24"/>
        </w:rPr>
        <w:footnoteReference w:id="20"/>
      </w:r>
      <w:r w:rsidR="00B010F4" w:rsidRPr="00A22656">
        <w:rPr>
          <w:rFonts w:ascii="Times New Roman" w:hAnsi="Times New Roman" w:cs="Times New Roman"/>
          <w:sz w:val="24"/>
          <w:szCs w:val="24"/>
        </w:rPr>
        <w:t xml:space="preserve"> Third, the Court might seek to interpret t</w:t>
      </w:r>
      <w:r w:rsidR="00CF49A9" w:rsidRPr="00A22656">
        <w:rPr>
          <w:rFonts w:ascii="Times New Roman" w:hAnsi="Times New Roman" w:cs="Times New Roman"/>
          <w:sz w:val="24"/>
          <w:szCs w:val="24"/>
        </w:rPr>
        <w:t>he secondary legislation consistently</w:t>
      </w:r>
      <w:r w:rsidR="00B010F4" w:rsidRPr="00A22656">
        <w:rPr>
          <w:rFonts w:ascii="Times New Roman" w:hAnsi="Times New Roman" w:cs="Times New Roman"/>
          <w:sz w:val="24"/>
          <w:szCs w:val="24"/>
        </w:rPr>
        <w:t xml:space="preserve"> with </w:t>
      </w:r>
      <w:r w:rsidR="00CF49A9" w:rsidRPr="00A22656">
        <w:rPr>
          <w:rFonts w:ascii="Times New Roman" w:hAnsi="Times New Roman" w:cs="Times New Roman"/>
          <w:sz w:val="24"/>
          <w:szCs w:val="24"/>
        </w:rPr>
        <w:t>primary law</w:t>
      </w:r>
      <w:r w:rsidR="00A84767" w:rsidRPr="00A22656">
        <w:rPr>
          <w:rFonts w:ascii="Times New Roman" w:hAnsi="Times New Roman" w:cs="Times New Roman"/>
          <w:sz w:val="24"/>
          <w:szCs w:val="24"/>
        </w:rPr>
        <w:t>.</w:t>
      </w:r>
      <w:r w:rsidR="004D4874" w:rsidRPr="00A22656">
        <w:rPr>
          <w:rFonts w:ascii="Times New Roman" w:hAnsi="Times New Roman" w:cs="Times New Roman"/>
          <w:sz w:val="24"/>
          <w:szCs w:val="24"/>
        </w:rPr>
        <w:t xml:space="preserve"> </w:t>
      </w:r>
      <w:r w:rsidR="00871E02" w:rsidRPr="00A22656">
        <w:rPr>
          <w:rFonts w:ascii="Times New Roman" w:hAnsi="Times New Roman" w:cs="Times New Roman"/>
          <w:sz w:val="24"/>
          <w:szCs w:val="24"/>
        </w:rPr>
        <w:t>Fourth</w:t>
      </w:r>
      <w:r w:rsidR="00CF49A9" w:rsidRPr="00A22656">
        <w:rPr>
          <w:rFonts w:ascii="Times New Roman" w:hAnsi="Times New Roman" w:cs="Times New Roman"/>
          <w:sz w:val="24"/>
          <w:szCs w:val="24"/>
        </w:rPr>
        <w:t>, the Court might find</w:t>
      </w:r>
      <w:r w:rsidR="0040145D" w:rsidRPr="00A22656">
        <w:rPr>
          <w:rFonts w:ascii="Times New Roman" w:hAnsi="Times New Roman" w:cs="Times New Roman"/>
          <w:sz w:val="24"/>
          <w:szCs w:val="24"/>
        </w:rPr>
        <w:t xml:space="preserve"> E</w:t>
      </w:r>
      <w:r w:rsidR="00871E02" w:rsidRPr="00A22656">
        <w:rPr>
          <w:rFonts w:ascii="Times New Roman" w:hAnsi="Times New Roman" w:cs="Times New Roman"/>
          <w:sz w:val="24"/>
          <w:szCs w:val="24"/>
        </w:rPr>
        <w:t>U secondary</w:t>
      </w:r>
      <w:r w:rsidR="00CF49A9" w:rsidRPr="00A22656">
        <w:rPr>
          <w:rFonts w:ascii="Times New Roman" w:hAnsi="Times New Roman" w:cs="Times New Roman"/>
          <w:sz w:val="24"/>
          <w:szCs w:val="24"/>
        </w:rPr>
        <w:t xml:space="preserve"> law</w:t>
      </w:r>
      <w:r w:rsidR="00871E02" w:rsidRPr="00A22656">
        <w:rPr>
          <w:rFonts w:ascii="Times New Roman" w:hAnsi="Times New Roman" w:cs="Times New Roman"/>
          <w:sz w:val="24"/>
          <w:szCs w:val="24"/>
        </w:rPr>
        <w:t xml:space="preserve"> capable of operating within the parameters of</w:t>
      </w:r>
      <w:r w:rsidR="0040145D" w:rsidRPr="00A22656">
        <w:rPr>
          <w:rFonts w:ascii="Times New Roman" w:hAnsi="Times New Roman" w:cs="Times New Roman"/>
          <w:sz w:val="24"/>
          <w:szCs w:val="24"/>
        </w:rPr>
        <w:t xml:space="preserve"> </w:t>
      </w:r>
      <w:r w:rsidR="00871E02" w:rsidRPr="00A22656">
        <w:rPr>
          <w:rFonts w:ascii="Times New Roman" w:hAnsi="Times New Roman" w:cs="Times New Roman"/>
          <w:sz w:val="24"/>
          <w:szCs w:val="24"/>
        </w:rPr>
        <w:t>primary</w:t>
      </w:r>
      <w:r w:rsidR="00A84767" w:rsidRPr="00A22656">
        <w:rPr>
          <w:rFonts w:ascii="Times New Roman" w:hAnsi="Times New Roman" w:cs="Times New Roman"/>
          <w:sz w:val="24"/>
          <w:szCs w:val="24"/>
        </w:rPr>
        <w:t xml:space="preserve"> law</w:t>
      </w:r>
      <w:r w:rsidR="00871E02" w:rsidRPr="00A22656">
        <w:rPr>
          <w:rFonts w:ascii="Times New Roman" w:hAnsi="Times New Roman" w:cs="Times New Roman"/>
          <w:sz w:val="24"/>
          <w:szCs w:val="24"/>
        </w:rPr>
        <w:t xml:space="preserve">, </w:t>
      </w:r>
      <w:r w:rsidR="00CF49A9" w:rsidRPr="00A22656">
        <w:rPr>
          <w:rFonts w:ascii="Times New Roman" w:hAnsi="Times New Roman" w:cs="Times New Roman"/>
          <w:sz w:val="24"/>
          <w:szCs w:val="24"/>
        </w:rPr>
        <w:t>concluding instead that</w:t>
      </w:r>
      <w:r w:rsidR="00871E02" w:rsidRPr="00A22656">
        <w:rPr>
          <w:rFonts w:ascii="Times New Roman" w:hAnsi="Times New Roman" w:cs="Times New Roman"/>
          <w:sz w:val="24"/>
          <w:szCs w:val="24"/>
        </w:rPr>
        <w:t xml:space="preserve"> the Member State’s method of implementation breaches Treaty rules.</w:t>
      </w:r>
      <w:r w:rsidR="00871E02" w:rsidRPr="00A22656">
        <w:rPr>
          <w:rStyle w:val="FootnoteReference"/>
          <w:rFonts w:ascii="Times New Roman" w:hAnsi="Times New Roman" w:cs="Times New Roman"/>
          <w:sz w:val="24"/>
          <w:szCs w:val="24"/>
        </w:rPr>
        <w:footnoteReference w:id="21"/>
      </w:r>
      <w:r w:rsidR="00871E02" w:rsidRPr="00A22656">
        <w:rPr>
          <w:rFonts w:ascii="Times New Roman" w:hAnsi="Times New Roman" w:cs="Times New Roman"/>
          <w:sz w:val="24"/>
          <w:szCs w:val="24"/>
        </w:rPr>
        <w:t xml:space="preserve"> Finally</w:t>
      </w:r>
      <w:r w:rsidR="004D4874" w:rsidRPr="00A22656">
        <w:rPr>
          <w:rFonts w:ascii="Times New Roman" w:hAnsi="Times New Roman" w:cs="Times New Roman"/>
          <w:sz w:val="24"/>
          <w:szCs w:val="24"/>
        </w:rPr>
        <w:t>, a parallel system of rights, operating directly under the Treaties, while not affecting the valid</w:t>
      </w:r>
      <w:r w:rsidR="0080560D" w:rsidRPr="00A22656">
        <w:rPr>
          <w:rFonts w:ascii="Times New Roman" w:hAnsi="Times New Roman" w:cs="Times New Roman"/>
          <w:sz w:val="24"/>
          <w:szCs w:val="24"/>
        </w:rPr>
        <w:t>ity of secondary Union law, might</w:t>
      </w:r>
      <w:r w:rsidR="004D4874" w:rsidRPr="00A22656">
        <w:rPr>
          <w:rFonts w:ascii="Times New Roman" w:hAnsi="Times New Roman" w:cs="Times New Roman"/>
          <w:sz w:val="24"/>
          <w:szCs w:val="24"/>
        </w:rPr>
        <w:t xml:space="preserve"> render the rules </w:t>
      </w:r>
      <w:r w:rsidR="00A04BB0" w:rsidRPr="00A22656">
        <w:rPr>
          <w:rFonts w:ascii="Times New Roman" w:hAnsi="Times New Roman" w:cs="Times New Roman"/>
          <w:sz w:val="24"/>
          <w:szCs w:val="24"/>
        </w:rPr>
        <w:t>underlying</w:t>
      </w:r>
      <w:r w:rsidR="004D4874" w:rsidRPr="00A22656">
        <w:rPr>
          <w:rFonts w:ascii="Times New Roman" w:hAnsi="Times New Roman" w:cs="Times New Roman"/>
          <w:sz w:val="24"/>
          <w:szCs w:val="24"/>
        </w:rPr>
        <w:t xml:space="preserve"> the secondary legal framework nugatory.</w:t>
      </w:r>
      <w:r w:rsidR="004D4874" w:rsidRPr="00A22656">
        <w:rPr>
          <w:rStyle w:val="FootnoteReference"/>
          <w:rFonts w:ascii="Times New Roman" w:hAnsi="Times New Roman" w:cs="Times New Roman"/>
          <w:sz w:val="24"/>
          <w:szCs w:val="24"/>
        </w:rPr>
        <w:footnoteReference w:id="22"/>
      </w:r>
      <w:r w:rsidR="001D54E2" w:rsidRPr="00A22656">
        <w:rPr>
          <w:rFonts w:ascii="Times New Roman" w:hAnsi="Times New Roman" w:cs="Times New Roman"/>
          <w:sz w:val="24"/>
          <w:szCs w:val="24"/>
        </w:rPr>
        <w:t xml:space="preserve"> </w:t>
      </w:r>
      <w:r w:rsidR="006F1C64" w:rsidRPr="00A22656">
        <w:rPr>
          <w:rFonts w:ascii="Times New Roman" w:hAnsi="Times New Roman" w:cs="Times New Roman"/>
          <w:sz w:val="24"/>
          <w:szCs w:val="24"/>
        </w:rPr>
        <w:t xml:space="preserve">Ultimately, pockets of case-law could be used to support any of these approaches. However, </w:t>
      </w:r>
      <w:r w:rsidR="00584BB5" w:rsidRPr="00A22656">
        <w:rPr>
          <w:rFonts w:ascii="Times New Roman" w:hAnsi="Times New Roman" w:cs="Times New Roman"/>
          <w:sz w:val="24"/>
          <w:szCs w:val="24"/>
        </w:rPr>
        <w:t xml:space="preserve">the </w:t>
      </w:r>
      <w:r w:rsidR="006F1C64" w:rsidRPr="00A22656">
        <w:rPr>
          <w:rFonts w:ascii="Times New Roman" w:hAnsi="Times New Roman" w:cs="Times New Roman"/>
          <w:sz w:val="24"/>
          <w:szCs w:val="24"/>
        </w:rPr>
        <w:t xml:space="preserve">evolution of the jurisprudence indicates that the Court would have been most likely simply to find the safeguard mechanism valid and, more importantly, that it might be open to accepting a future safeguard in an alternative form, including one adopted unilaterally by a Member State. </w:t>
      </w:r>
    </w:p>
    <w:p w:rsidR="007674C3" w:rsidRPr="00A22656" w:rsidRDefault="007674C3" w:rsidP="005F768F">
      <w:pPr>
        <w:pStyle w:val="NoSpacing"/>
        <w:spacing w:line="360" w:lineRule="auto"/>
        <w:jc w:val="both"/>
        <w:rPr>
          <w:rFonts w:ascii="Times New Roman" w:hAnsi="Times New Roman" w:cs="Times New Roman"/>
          <w:sz w:val="24"/>
          <w:szCs w:val="24"/>
        </w:rPr>
      </w:pPr>
    </w:p>
    <w:p w:rsidR="007674C3" w:rsidRPr="00A22656" w:rsidRDefault="00EB0D36" w:rsidP="005F768F">
      <w:pPr>
        <w:pStyle w:val="NoSpacing"/>
        <w:numPr>
          <w:ilvl w:val="2"/>
          <w:numId w:val="2"/>
        </w:numPr>
        <w:spacing w:line="360" w:lineRule="auto"/>
        <w:jc w:val="both"/>
        <w:rPr>
          <w:rFonts w:ascii="Times New Roman" w:hAnsi="Times New Roman" w:cs="Times New Roman"/>
          <w:i/>
          <w:sz w:val="24"/>
          <w:szCs w:val="24"/>
        </w:rPr>
      </w:pPr>
      <w:r w:rsidRPr="00A22656">
        <w:rPr>
          <w:rFonts w:ascii="Times New Roman" w:hAnsi="Times New Roman" w:cs="Times New Roman"/>
          <w:i/>
          <w:sz w:val="24"/>
          <w:szCs w:val="24"/>
        </w:rPr>
        <w:t>Validity</w:t>
      </w:r>
    </w:p>
    <w:p w:rsidR="007674C3" w:rsidRPr="00A22656" w:rsidRDefault="007674C3" w:rsidP="005F768F">
      <w:pPr>
        <w:pStyle w:val="NoSpacing"/>
        <w:spacing w:line="360" w:lineRule="auto"/>
        <w:jc w:val="both"/>
        <w:rPr>
          <w:rFonts w:ascii="Times New Roman" w:hAnsi="Times New Roman" w:cs="Times New Roman"/>
          <w:sz w:val="24"/>
          <w:szCs w:val="24"/>
        </w:rPr>
      </w:pPr>
    </w:p>
    <w:p w:rsidR="00584BB5" w:rsidRPr="00A22656" w:rsidRDefault="004F67DC"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4"/>
        </w:rPr>
        <w:t>Nevertheless, one potentially determ</w:t>
      </w:r>
      <w:r w:rsidR="00575908" w:rsidRPr="00A22656">
        <w:rPr>
          <w:rFonts w:ascii="Times New Roman" w:hAnsi="Times New Roman" w:cs="Times New Roman"/>
          <w:sz w:val="24"/>
          <w:szCs w:val="24"/>
        </w:rPr>
        <w:t xml:space="preserve">inative feature of the </w:t>
      </w:r>
      <w:r w:rsidRPr="00A22656">
        <w:rPr>
          <w:rFonts w:ascii="Times New Roman" w:hAnsi="Times New Roman" w:cs="Times New Roman"/>
          <w:sz w:val="24"/>
          <w:szCs w:val="24"/>
        </w:rPr>
        <w:t>safeguard</w:t>
      </w:r>
      <w:r w:rsidR="001D54E2" w:rsidRPr="00A22656">
        <w:rPr>
          <w:rFonts w:ascii="Times New Roman" w:hAnsi="Times New Roman" w:cs="Times New Roman"/>
          <w:sz w:val="24"/>
          <w:szCs w:val="24"/>
        </w:rPr>
        <w:t xml:space="preserve"> contained</w:t>
      </w:r>
      <w:r w:rsidR="00C30D44" w:rsidRPr="00A22656">
        <w:rPr>
          <w:rFonts w:ascii="Times New Roman" w:hAnsi="Times New Roman" w:cs="Times New Roman"/>
          <w:sz w:val="24"/>
          <w:szCs w:val="24"/>
        </w:rPr>
        <w:t xml:space="preserve"> in the</w:t>
      </w:r>
      <w:r w:rsidR="00575908" w:rsidRPr="00A22656">
        <w:rPr>
          <w:rFonts w:ascii="Times New Roman" w:hAnsi="Times New Roman" w:cs="Times New Roman"/>
          <w:sz w:val="24"/>
          <w:szCs w:val="24"/>
        </w:rPr>
        <w:t xml:space="preserve"> Decision </w:t>
      </w:r>
      <w:r w:rsidRPr="00A22656">
        <w:rPr>
          <w:rFonts w:ascii="Times New Roman" w:hAnsi="Times New Roman" w:cs="Times New Roman"/>
          <w:sz w:val="24"/>
          <w:szCs w:val="24"/>
        </w:rPr>
        <w:t xml:space="preserve">was its origins in </w:t>
      </w:r>
      <w:r w:rsidRPr="00A22656">
        <w:rPr>
          <w:rFonts w:ascii="Times New Roman" w:hAnsi="Times New Roman" w:cs="Times New Roman"/>
          <w:i/>
          <w:sz w:val="24"/>
          <w:szCs w:val="24"/>
        </w:rPr>
        <w:t>Union</w:t>
      </w:r>
      <w:r w:rsidRPr="00A22656">
        <w:rPr>
          <w:rFonts w:ascii="Times New Roman" w:hAnsi="Times New Roman" w:cs="Times New Roman"/>
          <w:sz w:val="24"/>
          <w:szCs w:val="24"/>
        </w:rPr>
        <w:t xml:space="preserve"> secondary law. </w:t>
      </w:r>
      <w:r w:rsidR="00584BB5" w:rsidRPr="00A22656">
        <w:rPr>
          <w:rFonts w:ascii="Times New Roman" w:hAnsi="Times New Roman" w:cs="Times New Roman"/>
          <w:sz w:val="24"/>
          <w:szCs w:val="24"/>
        </w:rPr>
        <w:t>Often,</w:t>
      </w:r>
      <w:r w:rsidR="00531CCF" w:rsidRPr="00A22656">
        <w:rPr>
          <w:rFonts w:ascii="Times New Roman" w:hAnsi="Times New Roman" w:cs="Times New Roman"/>
          <w:sz w:val="24"/>
          <w:szCs w:val="24"/>
        </w:rPr>
        <w:t xml:space="preserve"> </w:t>
      </w:r>
      <w:r w:rsidR="00531CCF" w:rsidRPr="00A22656">
        <w:rPr>
          <w:rFonts w:ascii="Times New Roman" w:hAnsi="Times New Roman" w:cs="Times New Roman"/>
          <w:i/>
          <w:sz w:val="24"/>
          <w:szCs w:val="24"/>
        </w:rPr>
        <w:t>Tobacco Advertising II</w:t>
      </w:r>
      <w:r w:rsidR="00531CCF" w:rsidRPr="00A22656">
        <w:rPr>
          <w:rStyle w:val="FootnoteReference"/>
          <w:rFonts w:ascii="Times New Roman" w:hAnsi="Times New Roman" w:cs="Times New Roman"/>
          <w:sz w:val="24"/>
          <w:szCs w:val="24"/>
        </w:rPr>
        <w:footnoteReference w:id="23"/>
      </w:r>
      <w:r w:rsidR="00C77972" w:rsidRPr="00A22656">
        <w:rPr>
          <w:rFonts w:ascii="Times New Roman" w:hAnsi="Times New Roman" w:cs="Times New Roman"/>
          <w:sz w:val="24"/>
          <w:szCs w:val="24"/>
        </w:rPr>
        <w:t xml:space="preserve"> </w:t>
      </w:r>
      <w:r w:rsidR="00531CCF" w:rsidRPr="00A22656">
        <w:rPr>
          <w:rFonts w:ascii="Times New Roman" w:hAnsi="Times New Roman" w:cs="Times New Roman"/>
          <w:sz w:val="24"/>
          <w:szCs w:val="24"/>
        </w:rPr>
        <w:t xml:space="preserve">is presented as evidence that the Court </w:t>
      </w:r>
      <w:r w:rsidR="00D90445" w:rsidRPr="00A22656">
        <w:rPr>
          <w:rFonts w:ascii="Times New Roman" w:hAnsi="Times New Roman" w:cs="Times New Roman"/>
          <w:sz w:val="24"/>
          <w:szCs w:val="24"/>
        </w:rPr>
        <w:t>offers more latitude</w:t>
      </w:r>
      <w:r w:rsidR="00531CCF" w:rsidRPr="00A22656">
        <w:rPr>
          <w:rFonts w:ascii="Times New Roman" w:hAnsi="Times New Roman" w:cs="Times New Roman"/>
          <w:sz w:val="24"/>
          <w:szCs w:val="24"/>
        </w:rPr>
        <w:t xml:space="preserve"> to the </w:t>
      </w:r>
      <w:r w:rsidR="00D90445" w:rsidRPr="00A22656">
        <w:rPr>
          <w:rFonts w:ascii="Times New Roman" w:hAnsi="Times New Roman" w:cs="Times New Roman"/>
          <w:sz w:val="24"/>
          <w:szCs w:val="24"/>
        </w:rPr>
        <w:t>E</w:t>
      </w:r>
      <w:r w:rsidR="00531CCF" w:rsidRPr="00A22656">
        <w:rPr>
          <w:rFonts w:ascii="Times New Roman" w:hAnsi="Times New Roman" w:cs="Times New Roman"/>
          <w:sz w:val="24"/>
          <w:szCs w:val="24"/>
        </w:rPr>
        <w:t>U</w:t>
      </w:r>
      <w:r w:rsidR="00D90445" w:rsidRPr="00A22656">
        <w:rPr>
          <w:rFonts w:ascii="Times New Roman" w:hAnsi="Times New Roman" w:cs="Times New Roman"/>
          <w:sz w:val="24"/>
          <w:szCs w:val="24"/>
        </w:rPr>
        <w:t xml:space="preserve"> legislature than</w:t>
      </w:r>
      <w:r w:rsidR="00531CCF" w:rsidRPr="00A22656">
        <w:rPr>
          <w:rFonts w:ascii="Times New Roman" w:hAnsi="Times New Roman" w:cs="Times New Roman"/>
          <w:sz w:val="24"/>
          <w:szCs w:val="24"/>
        </w:rPr>
        <w:t xml:space="preserve"> to individual Member States</w:t>
      </w:r>
      <w:r w:rsidR="00603FF9" w:rsidRPr="00A22656">
        <w:rPr>
          <w:rFonts w:ascii="Times New Roman" w:hAnsi="Times New Roman" w:cs="Times New Roman"/>
          <w:sz w:val="24"/>
          <w:szCs w:val="24"/>
        </w:rPr>
        <w:t xml:space="preserve"> </w:t>
      </w:r>
      <w:r w:rsidR="00584BB5" w:rsidRPr="00A22656">
        <w:rPr>
          <w:rFonts w:ascii="Times New Roman" w:hAnsi="Times New Roman" w:cs="Times New Roman"/>
          <w:sz w:val="24"/>
          <w:szCs w:val="24"/>
        </w:rPr>
        <w:t xml:space="preserve">in validity or compatibility assessments. </w:t>
      </w:r>
      <w:r w:rsidR="00057474" w:rsidRPr="00A22656">
        <w:rPr>
          <w:rFonts w:ascii="Times New Roman" w:hAnsi="Times New Roman" w:cs="Times New Roman"/>
          <w:sz w:val="24"/>
          <w:szCs w:val="24"/>
        </w:rPr>
        <w:t xml:space="preserve">Yet while the Court </w:t>
      </w:r>
      <w:r w:rsidR="00603FF9" w:rsidRPr="00A22656">
        <w:rPr>
          <w:rFonts w:ascii="Times New Roman" w:hAnsi="Times New Roman" w:cs="Times New Roman"/>
          <w:sz w:val="24"/>
          <w:szCs w:val="24"/>
        </w:rPr>
        <w:t>might</w:t>
      </w:r>
      <w:r w:rsidR="008E4708" w:rsidRPr="00A22656">
        <w:rPr>
          <w:rFonts w:ascii="Times New Roman" w:hAnsi="Times New Roman" w:cs="Times New Roman"/>
          <w:sz w:val="24"/>
          <w:szCs w:val="24"/>
        </w:rPr>
        <w:t xml:space="preserve"> adopt</w:t>
      </w:r>
      <w:r w:rsidR="00057474" w:rsidRPr="00A22656">
        <w:rPr>
          <w:rFonts w:ascii="Times New Roman" w:hAnsi="Times New Roman" w:cs="Times New Roman"/>
          <w:sz w:val="24"/>
          <w:szCs w:val="24"/>
        </w:rPr>
        <w:t xml:space="preserve"> a ‘decidedly deferential approach’ to Union secondary norms in </w:t>
      </w:r>
      <w:r w:rsidR="00584BB5" w:rsidRPr="00A22656">
        <w:rPr>
          <w:rFonts w:ascii="Times New Roman" w:hAnsi="Times New Roman" w:cs="Times New Roman"/>
          <w:sz w:val="24"/>
          <w:szCs w:val="24"/>
        </w:rPr>
        <w:t>respect of</w:t>
      </w:r>
      <w:r w:rsidR="00057474" w:rsidRPr="00A22656">
        <w:rPr>
          <w:rFonts w:ascii="Times New Roman" w:hAnsi="Times New Roman" w:cs="Times New Roman"/>
          <w:sz w:val="24"/>
          <w:szCs w:val="24"/>
        </w:rPr>
        <w:t xml:space="preserve"> competence control,</w:t>
      </w:r>
      <w:r w:rsidR="00C77972" w:rsidRPr="00A22656">
        <w:rPr>
          <w:rStyle w:val="FootnoteReference"/>
          <w:rFonts w:ascii="Times New Roman" w:hAnsi="Times New Roman" w:cs="Times New Roman"/>
          <w:sz w:val="24"/>
          <w:szCs w:val="24"/>
        </w:rPr>
        <w:footnoteReference w:id="24"/>
      </w:r>
      <w:r w:rsidR="00C77972" w:rsidRPr="00A22656">
        <w:rPr>
          <w:rFonts w:ascii="Times New Roman" w:hAnsi="Times New Roman" w:cs="Times New Roman"/>
          <w:sz w:val="24"/>
          <w:szCs w:val="24"/>
        </w:rPr>
        <w:t xml:space="preserve"> the picture in relation to</w:t>
      </w:r>
      <w:r w:rsidR="0099646F" w:rsidRPr="00A22656">
        <w:rPr>
          <w:rFonts w:ascii="Times New Roman" w:hAnsi="Times New Roman" w:cs="Times New Roman"/>
          <w:sz w:val="24"/>
          <w:szCs w:val="24"/>
        </w:rPr>
        <w:t xml:space="preserve"> compliance with</w:t>
      </w:r>
      <w:r w:rsidR="00C77972" w:rsidRPr="00A22656">
        <w:rPr>
          <w:rFonts w:ascii="Times New Roman" w:hAnsi="Times New Roman" w:cs="Times New Roman"/>
          <w:sz w:val="24"/>
          <w:szCs w:val="24"/>
        </w:rPr>
        <w:t xml:space="preserve"> the free movement pr</w:t>
      </w:r>
      <w:r w:rsidR="008E4708" w:rsidRPr="00A22656">
        <w:rPr>
          <w:rFonts w:ascii="Times New Roman" w:hAnsi="Times New Roman" w:cs="Times New Roman"/>
          <w:sz w:val="24"/>
          <w:szCs w:val="24"/>
        </w:rPr>
        <w:t>ovisions is rather less clear</w:t>
      </w:r>
      <w:r w:rsidR="0030507A" w:rsidRPr="00A22656">
        <w:rPr>
          <w:rFonts w:ascii="Times New Roman" w:hAnsi="Times New Roman" w:cs="Times New Roman"/>
          <w:sz w:val="24"/>
          <w:szCs w:val="24"/>
        </w:rPr>
        <w:t xml:space="preserve">. </w:t>
      </w:r>
      <w:r w:rsidR="00584BB5" w:rsidRPr="00A22656">
        <w:rPr>
          <w:rFonts w:ascii="Times New Roman" w:hAnsi="Times New Roman" w:cs="Times New Roman"/>
          <w:sz w:val="24"/>
          <w:szCs w:val="24"/>
        </w:rPr>
        <w:t>T</w:t>
      </w:r>
      <w:r w:rsidR="0030507A" w:rsidRPr="00A22656">
        <w:rPr>
          <w:rFonts w:ascii="Times New Roman" w:hAnsi="Times New Roman" w:cs="Times New Roman"/>
          <w:sz w:val="24"/>
          <w:szCs w:val="24"/>
        </w:rPr>
        <w:t>he Court has</w:t>
      </w:r>
      <w:r w:rsidR="00584BB5" w:rsidRPr="00A22656">
        <w:rPr>
          <w:rFonts w:ascii="Times New Roman" w:hAnsi="Times New Roman" w:cs="Times New Roman"/>
          <w:sz w:val="24"/>
          <w:szCs w:val="24"/>
        </w:rPr>
        <w:t xml:space="preserve"> held on</w:t>
      </w:r>
      <w:r w:rsidR="00057474" w:rsidRPr="00A22656">
        <w:rPr>
          <w:rFonts w:ascii="Times New Roman" w:hAnsi="Times New Roman" w:cs="Times New Roman"/>
          <w:sz w:val="24"/>
          <w:szCs w:val="24"/>
        </w:rPr>
        <w:t xml:space="preserve"> several occasions</w:t>
      </w:r>
      <w:r w:rsidR="0030507A" w:rsidRPr="00A22656">
        <w:rPr>
          <w:rFonts w:ascii="Times New Roman" w:hAnsi="Times New Roman" w:cs="Times New Roman"/>
          <w:sz w:val="24"/>
          <w:szCs w:val="24"/>
        </w:rPr>
        <w:t xml:space="preserve"> that Union legislation is as subject to T</w:t>
      </w:r>
      <w:r w:rsidR="00584BB5" w:rsidRPr="00A22656">
        <w:rPr>
          <w:rFonts w:ascii="Times New Roman" w:hAnsi="Times New Roman" w:cs="Times New Roman"/>
          <w:sz w:val="24"/>
          <w:szCs w:val="24"/>
        </w:rPr>
        <w:t>reaty free movement rules as</w:t>
      </w:r>
      <w:r w:rsidR="0030507A" w:rsidRPr="00A22656">
        <w:rPr>
          <w:rFonts w:ascii="Times New Roman" w:hAnsi="Times New Roman" w:cs="Times New Roman"/>
          <w:sz w:val="24"/>
          <w:szCs w:val="24"/>
        </w:rPr>
        <w:t xml:space="preserve"> domestic norms.</w:t>
      </w:r>
      <w:r w:rsidR="0030507A" w:rsidRPr="00A22656">
        <w:rPr>
          <w:rStyle w:val="FootnoteReference"/>
          <w:rFonts w:ascii="Times New Roman" w:hAnsi="Times New Roman" w:cs="Times New Roman"/>
          <w:sz w:val="24"/>
          <w:szCs w:val="24"/>
        </w:rPr>
        <w:footnoteReference w:id="25"/>
      </w:r>
      <w:r w:rsidR="00584BB5" w:rsidRPr="00A22656">
        <w:rPr>
          <w:rFonts w:ascii="Times New Roman" w:hAnsi="Times New Roman" w:cs="Times New Roman"/>
          <w:sz w:val="24"/>
          <w:szCs w:val="24"/>
        </w:rPr>
        <w:t xml:space="preserve"> </w:t>
      </w:r>
      <w:r w:rsidR="00D90445" w:rsidRPr="00A22656">
        <w:rPr>
          <w:rFonts w:ascii="Times New Roman" w:hAnsi="Times New Roman" w:cs="Times New Roman"/>
          <w:sz w:val="24"/>
          <w:szCs w:val="24"/>
        </w:rPr>
        <w:t xml:space="preserve">EU secondary law is </w:t>
      </w:r>
      <w:r w:rsidR="00584BB5" w:rsidRPr="00A22656">
        <w:rPr>
          <w:rFonts w:ascii="Times New Roman" w:hAnsi="Times New Roman" w:cs="Times New Roman"/>
          <w:sz w:val="24"/>
          <w:szCs w:val="24"/>
        </w:rPr>
        <w:t xml:space="preserve">also </w:t>
      </w:r>
      <w:r w:rsidR="00D90445" w:rsidRPr="00A22656">
        <w:rPr>
          <w:rFonts w:ascii="Times New Roman" w:hAnsi="Times New Roman" w:cs="Times New Roman"/>
          <w:sz w:val="24"/>
          <w:szCs w:val="24"/>
        </w:rPr>
        <w:t>processed</w:t>
      </w:r>
      <w:r w:rsidR="00AC1BAB" w:rsidRPr="00A22656">
        <w:rPr>
          <w:rFonts w:ascii="Times New Roman" w:hAnsi="Times New Roman" w:cs="Times New Roman"/>
          <w:sz w:val="24"/>
          <w:szCs w:val="24"/>
        </w:rPr>
        <w:t xml:space="preserve"> in the same way, via establishment of a </w:t>
      </w:r>
      <w:r w:rsidR="00AC1BAB" w:rsidRPr="00A22656">
        <w:rPr>
          <w:rFonts w:ascii="Times New Roman" w:hAnsi="Times New Roman" w:cs="Times New Roman"/>
          <w:i/>
          <w:sz w:val="24"/>
          <w:szCs w:val="24"/>
        </w:rPr>
        <w:t xml:space="preserve">prima facie </w:t>
      </w:r>
      <w:r w:rsidR="00AC1BAB" w:rsidRPr="00A22656">
        <w:rPr>
          <w:rFonts w:ascii="Times New Roman" w:hAnsi="Times New Roman" w:cs="Times New Roman"/>
          <w:sz w:val="24"/>
          <w:szCs w:val="24"/>
        </w:rPr>
        <w:t>breach of free movement, followed by consideration of whether this can be justified in principle and practice.</w:t>
      </w:r>
      <w:r w:rsidR="00057474" w:rsidRPr="00A22656">
        <w:rPr>
          <w:rStyle w:val="FootnoteReference"/>
          <w:rFonts w:ascii="Times New Roman" w:hAnsi="Times New Roman" w:cs="Times New Roman"/>
          <w:sz w:val="24"/>
          <w:szCs w:val="24"/>
        </w:rPr>
        <w:footnoteReference w:id="26"/>
      </w:r>
      <w:r w:rsidR="00D90445" w:rsidRPr="00A22656">
        <w:rPr>
          <w:rFonts w:ascii="Times New Roman" w:hAnsi="Times New Roman" w:cs="Times New Roman"/>
          <w:sz w:val="24"/>
          <w:szCs w:val="24"/>
        </w:rPr>
        <w:t xml:space="preserve"> </w:t>
      </w:r>
      <w:r w:rsidR="00A859BB" w:rsidRPr="00A22656">
        <w:rPr>
          <w:rFonts w:ascii="Times New Roman" w:hAnsi="Times New Roman" w:cs="Times New Roman"/>
          <w:sz w:val="24"/>
          <w:szCs w:val="20"/>
        </w:rPr>
        <w:t xml:space="preserve">Indeed, the Decision implicitly </w:t>
      </w:r>
      <w:r w:rsidR="00A859BB" w:rsidRPr="00A22656">
        <w:rPr>
          <w:rFonts w:ascii="Times New Roman" w:hAnsi="Times New Roman" w:cs="Times New Roman"/>
          <w:sz w:val="24"/>
          <w:szCs w:val="20"/>
        </w:rPr>
        <w:lastRenderedPageBreak/>
        <w:t xml:space="preserve">accepted </w:t>
      </w:r>
      <w:r w:rsidR="00AC1BAB" w:rsidRPr="00A22656">
        <w:rPr>
          <w:rFonts w:ascii="Times New Roman" w:hAnsi="Times New Roman" w:cs="Times New Roman"/>
          <w:sz w:val="24"/>
          <w:szCs w:val="20"/>
        </w:rPr>
        <w:t xml:space="preserve">that the safeguard mechanism would </w:t>
      </w:r>
      <w:r w:rsidR="00584BB5" w:rsidRPr="00A22656">
        <w:rPr>
          <w:rFonts w:ascii="Times New Roman" w:hAnsi="Times New Roman" w:cs="Times New Roman"/>
          <w:sz w:val="24"/>
          <w:szCs w:val="20"/>
        </w:rPr>
        <w:t>constitute</w:t>
      </w:r>
      <w:r w:rsidR="00A859BB" w:rsidRPr="00A22656">
        <w:rPr>
          <w:rFonts w:ascii="Times New Roman" w:hAnsi="Times New Roman" w:cs="Times New Roman"/>
          <w:sz w:val="24"/>
          <w:szCs w:val="20"/>
        </w:rPr>
        <w:t xml:space="preserve"> a prima facie restr</w:t>
      </w:r>
      <w:r w:rsidR="00AC1BAB" w:rsidRPr="00A22656">
        <w:rPr>
          <w:rFonts w:ascii="Times New Roman" w:hAnsi="Times New Roman" w:cs="Times New Roman"/>
          <w:sz w:val="24"/>
          <w:szCs w:val="20"/>
        </w:rPr>
        <w:t>iction of free movement</w:t>
      </w:r>
      <w:r w:rsidR="00584BB5" w:rsidRPr="00A22656">
        <w:rPr>
          <w:rFonts w:ascii="Times New Roman" w:hAnsi="Times New Roman" w:cs="Times New Roman"/>
          <w:sz w:val="24"/>
          <w:szCs w:val="20"/>
        </w:rPr>
        <w:t xml:space="preserve">, simply asserting that it would not create </w:t>
      </w:r>
      <w:r w:rsidR="00584BB5" w:rsidRPr="00A22656">
        <w:rPr>
          <w:rFonts w:ascii="Times New Roman" w:hAnsi="Times New Roman" w:cs="Times New Roman"/>
          <w:i/>
          <w:sz w:val="24"/>
          <w:szCs w:val="20"/>
        </w:rPr>
        <w:t>unjustified</w:t>
      </w:r>
      <w:r w:rsidR="00584BB5" w:rsidRPr="00A22656">
        <w:rPr>
          <w:rFonts w:ascii="Times New Roman" w:hAnsi="Times New Roman" w:cs="Times New Roman"/>
          <w:sz w:val="24"/>
          <w:szCs w:val="20"/>
        </w:rPr>
        <w:t xml:space="preserve"> direct or indirect discrimination.</w:t>
      </w:r>
      <w:r w:rsidR="00A859BB" w:rsidRPr="00A22656">
        <w:rPr>
          <w:rStyle w:val="FootnoteReference"/>
          <w:rFonts w:ascii="Times New Roman" w:hAnsi="Times New Roman" w:cs="Times New Roman"/>
          <w:sz w:val="24"/>
          <w:szCs w:val="20"/>
        </w:rPr>
        <w:footnoteReference w:id="27"/>
      </w:r>
      <w:r w:rsidR="00A859BB" w:rsidRPr="00A22656">
        <w:rPr>
          <w:rFonts w:ascii="Times New Roman" w:hAnsi="Times New Roman" w:cs="Times New Roman"/>
          <w:sz w:val="24"/>
          <w:szCs w:val="20"/>
        </w:rPr>
        <w:t xml:space="preserve"> </w:t>
      </w:r>
    </w:p>
    <w:p w:rsidR="00584BB5" w:rsidRPr="00A22656" w:rsidRDefault="00584BB5" w:rsidP="005F768F">
      <w:pPr>
        <w:pStyle w:val="NoSpacing"/>
        <w:spacing w:line="360" w:lineRule="auto"/>
        <w:jc w:val="both"/>
        <w:rPr>
          <w:rFonts w:ascii="Times New Roman" w:hAnsi="Times New Roman" w:cs="Times New Roman"/>
          <w:sz w:val="24"/>
          <w:szCs w:val="20"/>
        </w:rPr>
      </w:pPr>
    </w:p>
    <w:p w:rsidR="00E01C76" w:rsidRPr="00A22656" w:rsidRDefault="00D90445"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Nonetheless, </w:t>
      </w:r>
      <w:r w:rsidR="00584BB5" w:rsidRPr="00A22656">
        <w:rPr>
          <w:rFonts w:ascii="Times New Roman" w:hAnsi="Times New Roman" w:cs="Times New Roman"/>
          <w:sz w:val="24"/>
          <w:szCs w:val="24"/>
        </w:rPr>
        <w:t xml:space="preserve">Sorensen has </w:t>
      </w:r>
      <w:r w:rsidRPr="00A22656">
        <w:rPr>
          <w:rFonts w:ascii="Times New Roman" w:hAnsi="Times New Roman" w:cs="Times New Roman"/>
          <w:sz w:val="24"/>
          <w:szCs w:val="24"/>
        </w:rPr>
        <w:t xml:space="preserve">suggested that </w:t>
      </w:r>
      <w:r w:rsidR="00247F33" w:rsidRPr="00A22656">
        <w:rPr>
          <w:rFonts w:ascii="Times New Roman" w:hAnsi="Times New Roman" w:cs="Times New Roman"/>
          <w:sz w:val="24"/>
          <w:szCs w:val="24"/>
        </w:rPr>
        <w:t xml:space="preserve">the </w:t>
      </w:r>
      <w:r w:rsidRPr="00A22656">
        <w:rPr>
          <w:rFonts w:ascii="Times New Roman" w:hAnsi="Times New Roman" w:cs="Times New Roman"/>
          <w:sz w:val="24"/>
          <w:szCs w:val="24"/>
        </w:rPr>
        <w:t>Union legislator may enjoy more elbow room when it comes to the application of the proportionality test.</w:t>
      </w:r>
      <w:r w:rsidR="00B56AA0" w:rsidRPr="00A22656">
        <w:rPr>
          <w:rStyle w:val="FootnoteReference"/>
          <w:rFonts w:ascii="Times New Roman" w:hAnsi="Times New Roman" w:cs="Times New Roman"/>
          <w:sz w:val="24"/>
          <w:szCs w:val="24"/>
        </w:rPr>
        <w:footnoteReference w:id="28"/>
      </w:r>
      <w:r w:rsidR="00150D76" w:rsidRPr="00A22656">
        <w:rPr>
          <w:rFonts w:ascii="Times New Roman" w:hAnsi="Times New Roman" w:cs="Times New Roman"/>
          <w:sz w:val="24"/>
          <w:szCs w:val="24"/>
        </w:rPr>
        <w:t xml:space="preserve"> </w:t>
      </w:r>
      <w:r w:rsidR="0008606E" w:rsidRPr="00A22656">
        <w:rPr>
          <w:rFonts w:ascii="Times New Roman" w:hAnsi="Times New Roman" w:cs="Times New Roman"/>
          <w:sz w:val="24"/>
          <w:szCs w:val="24"/>
        </w:rPr>
        <w:t>Crucially</w:t>
      </w:r>
      <w:r w:rsidR="00E31FCC" w:rsidRPr="00A22656">
        <w:rPr>
          <w:rFonts w:ascii="Times New Roman" w:hAnsi="Times New Roman" w:cs="Times New Roman"/>
          <w:sz w:val="24"/>
          <w:szCs w:val="24"/>
        </w:rPr>
        <w:t>, a number of central</w:t>
      </w:r>
      <w:r w:rsidR="0008606E" w:rsidRPr="00A22656">
        <w:rPr>
          <w:rFonts w:ascii="Times New Roman" w:hAnsi="Times New Roman" w:cs="Times New Roman"/>
          <w:sz w:val="24"/>
          <w:szCs w:val="24"/>
        </w:rPr>
        <w:t xml:space="preserve"> features of the case-law in which the Court has taken a permissive approach correspond directly to the key characteristics of the safeguard. First, </w:t>
      </w:r>
      <w:r w:rsidR="00584BB5" w:rsidRPr="00A22656">
        <w:rPr>
          <w:rFonts w:ascii="Times New Roman" w:hAnsi="Times New Roman" w:cs="Times New Roman"/>
          <w:sz w:val="24"/>
          <w:szCs w:val="24"/>
        </w:rPr>
        <w:t>the Court has held that</w:t>
      </w:r>
      <w:r w:rsidR="00FA781C" w:rsidRPr="00A22656">
        <w:rPr>
          <w:rFonts w:ascii="Times New Roman" w:hAnsi="Times New Roman" w:cs="Times New Roman"/>
          <w:sz w:val="24"/>
          <w:szCs w:val="24"/>
        </w:rPr>
        <w:t xml:space="preserve"> nationality-based limitations on free movement, whilst sometimes permissible, ‘cannot </w:t>
      </w:r>
      <w:r w:rsidR="0088576C" w:rsidRPr="00A22656">
        <w:rPr>
          <w:rFonts w:ascii="Times New Roman" w:hAnsi="Times New Roman" w:cs="Times New Roman"/>
          <w:sz w:val="24"/>
          <w:szCs w:val="24"/>
        </w:rPr>
        <w:t>be established unilaterally by the Member States in their national rules’.</w:t>
      </w:r>
      <w:r w:rsidR="0088576C" w:rsidRPr="00A22656">
        <w:rPr>
          <w:rStyle w:val="FootnoteReference"/>
          <w:rFonts w:ascii="Times New Roman" w:hAnsi="Times New Roman" w:cs="Times New Roman"/>
          <w:sz w:val="24"/>
          <w:szCs w:val="24"/>
        </w:rPr>
        <w:footnoteReference w:id="29"/>
      </w:r>
      <w:r w:rsidR="0088576C" w:rsidRPr="00A22656">
        <w:rPr>
          <w:rFonts w:ascii="Times New Roman" w:hAnsi="Times New Roman" w:cs="Times New Roman"/>
          <w:sz w:val="24"/>
          <w:szCs w:val="24"/>
        </w:rPr>
        <w:t xml:space="preserve"> Accordingly, the requirement of a Commission recommendation and Council authorisation before a Member State could have triggered the emergency benefits brake appea</w:t>
      </w:r>
      <w:r w:rsidR="00247F33" w:rsidRPr="00A22656">
        <w:rPr>
          <w:rFonts w:ascii="Times New Roman" w:hAnsi="Times New Roman" w:cs="Times New Roman"/>
          <w:sz w:val="24"/>
          <w:szCs w:val="24"/>
        </w:rPr>
        <w:t>rs to comply with existing</w:t>
      </w:r>
      <w:r w:rsidR="0088576C" w:rsidRPr="00A22656">
        <w:rPr>
          <w:rFonts w:ascii="Times New Roman" w:hAnsi="Times New Roman" w:cs="Times New Roman"/>
          <w:sz w:val="24"/>
          <w:szCs w:val="24"/>
        </w:rPr>
        <w:t xml:space="preserve"> institutional safeguards relating to</w:t>
      </w:r>
      <w:r w:rsidR="00247F33" w:rsidRPr="00A22656">
        <w:rPr>
          <w:rFonts w:ascii="Times New Roman" w:hAnsi="Times New Roman" w:cs="Times New Roman"/>
          <w:sz w:val="24"/>
          <w:szCs w:val="24"/>
        </w:rPr>
        <w:t xml:space="preserve"> free movement restrictions. </w:t>
      </w:r>
    </w:p>
    <w:p w:rsidR="00E01C76" w:rsidRPr="00A22656" w:rsidRDefault="00E01C76" w:rsidP="005F768F">
      <w:pPr>
        <w:pStyle w:val="NoSpacing"/>
        <w:spacing w:line="360" w:lineRule="auto"/>
        <w:jc w:val="both"/>
        <w:rPr>
          <w:rFonts w:ascii="Times New Roman" w:hAnsi="Times New Roman" w:cs="Times New Roman"/>
          <w:sz w:val="24"/>
          <w:szCs w:val="24"/>
        </w:rPr>
      </w:pPr>
    </w:p>
    <w:p w:rsidR="00E01C76" w:rsidRPr="00A22656" w:rsidRDefault="00E01C76"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Second, t</w:t>
      </w:r>
      <w:r w:rsidR="00A35B1A" w:rsidRPr="00A22656">
        <w:rPr>
          <w:rFonts w:ascii="Times New Roman" w:hAnsi="Times New Roman" w:cs="Times New Roman"/>
          <w:sz w:val="24"/>
          <w:szCs w:val="24"/>
        </w:rPr>
        <w:t>he Court has held that</w:t>
      </w:r>
      <w:r w:rsidRPr="00A22656">
        <w:rPr>
          <w:rFonts w:ascii="Times New Roman" w:hAnsi="Times New Roman" w:cs="Times New Roman"/>
          <w:sz w:val="24"/>
          <w:szCs w:val="24"/>
        </w:rPr>
        <w:t xml:space="preserve"> market</w:t>
      </w:r>
      <w:r w:rsidR="00A35B1A" w:rsidRPr="00A22656">
        <w:rPr>
          <w:rFonts w:ascii="Times New Roman" w:hAnsi="Times New Roman" w:cs="Times New Roman"/>
          <w:sz w:val="24"/>
          <w:szCs w:val="24"/>
        </w:rPr>
        <w:t xml:space="preserve"> partitions may be imposed where they seek to ‘maintain </w:t>
      </w:r>
      <w:r w:rsidR="00A35B1A" w:rsidRPr="00A22656">
        <w:rPr>
          <w:rFonts w:ascii="Times New Roman" w:hAnsi="Times New Roman" w:cs="Times New Roman"/>
          <w:i/>
          <w:sz w:val="24"/>
          <w:szCs w:val="24"/>
        </w:rPr>
        <w:t>a normal flow of trade</w:t>
      </w:r>
      <w:r w:rsidR="00A35B1A" w:rsidRPr="00A22656">
        <w:rPr>
          <w:rFonts w:ascii="Times New Roman" w:hAnsi="Times New Roman" w:cs="Times New Roman"/>
          <w:sz w:val="24"/>
          <w:szCs w:val="24"/>
        </w:rPr>
        <w:t xml:space="preserve">’ and are taken ‘in </w:t>
      </w:r>
      <w:r w:rsidR="00A35B1A" w:rsidRPr="00A22656">
        <w:rPr>
          <w:rFonts w:ascii="Times New Roman" w:hAnsi="Times New Roman" w:cs="Times New Roman"/>
          <w:i/>
          <w:sz w:val="24"/>
          <w:szCs w:val="24"/>
        </w:rPr>
        <w:t>exceptional circumstances</w:t>
      </w:r>
      <w:r w:rsidR="00A35B1A" w:rsidRPr="00A22656">
        <w:rPr>
          <w:rFonts w:ascii="Times New Roman" w:hAnsi="Times New Roman" w:cs="Times New Roman"/>
          <w:sz w:val="24"/>
          <w:szCs w:val="24"/>
        </w:rPr>
        <w:t>’.</w:t>
      </w:r>
      <w:r w:rsidR="00A35B1A" w:rsidRPr="00A22656">
        <w:rPr>
          <w:rStyle w:val="FootnoteReference"/>
          <w:rFonts w:ascii="Times New Roman" w:hAnsi="Times New Roman" w:cs="Times New Roman"/>
          <w:sz w:val="24"/>
          <w:szCs w:val="24"/>
        </w:rPr>
        <w:footnoteReference w:id="30"/>
      </w:r>
      <w:r w:rsidR="00570E58" w:rsidRPr="00A22656">
        <w:rPr>
          <w:rFonts w:ascii="Times New Roman" w:hAnsi="Times New Roman" w:cs="Times New Roman"/>
          <w:sz w:val="24"/>
          <w:szCs w:val="24"/>
        </w:rPr>
        <w:t xml:space="preserve"> The text of the Decision replicates this language verbatim in order to highlight these same situations.</w:t>
      </w:r>
      <w:r w:rsidR="00E31FCC" w:rsidRPr="00A22656">
        <w:rPr>
          <w:rStyle w:val="FootnoteReference"/>
          <w:rFonts w:ascii="Times New Roman" w:hAnsi="Times New Roman" w:cs="Times New Roman"/>
          <w:sz w:val="24"/>
          <w:szCs w:val="24"/>
        </w:rPr>
        <w:footnoteReference w:id="31"/>
      </w:r>
      <w:r w:rsidR="0026055D" w:rsidRPr="00A22656">
        <w:rPr>
          <w:rFonts w:ascii="Times New Roman" w:hAnsi="Times New Roman" w:cs="Times New Roman"/>
          <w:sz w:val="24"/>
          <w:szCs w:val="24"/>
        </w:rPr>
        <w:t xml:space="preserve"> </w:t>
      </w:r>
    </w:p>
    <w:p w:rsidR="00E01C76" w:rsidRPr="00A22656" w:rsidRDefault="00E01C76" w:rsidP="005F768F">
      <w:pPr>
        <w:pStyle w:val="NoSpacing"/>
        <w:spacing w:line="360" w:lineRule="auto"/>
        <w:jc w:val="both"/>
        <w:rPr>
          <w:rFonts w:ascii="Times New Roman" w:hAnsi="Times New Roman" w:cs="Times New Roman"/>
          <w:sz w:val="24"/>
          <w:szCs w:val="24"/>
        </w:rPr>
      </w:pPr>
    </w:p>
    <w:p w:rsidR="00395045" w:rsidRPr="00A22656" w:rsidRDefault="00E01C76"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Third</w:t>
      </w:r>
      <w:r w:rsidR="00247F33" w:rsidRPr="00A22656">
        <w:rPr>
          <w:rFonts w:ascii="Times New Roman" w:hAnsi="Times New Roman" w:cs="Times New Roman"/>
          <w:sz w:val="24"/>
          <w:szCs w:val="24"/>
        </w:rPr>
        <w:t>, the CJEU has</w:t>
      </w:r>
      <w:r w:rsidRPr="00A22656">
        <w:rPr>
          <w:rFonts w:ascii="Times New Roman" w:hAnsi="Times New Roman" w:cs="Times New Roman"/>
          <w:sz w:val="24"/>
          <w:szCs w:val="24"/>
        </w:rPr>
        <w:t xml:space="preserve"> previously shown a willingness to accept</w:t>
      </w:r>
      <w:r w:rsidR="0026055D" w:rsidRPr="00A22656">
        <w:rPr>
          <w:rFonts w:ascii="Times New Roman" w:hAnsi="Times New Roman" w:cs="Times New Roman"/>
          <w:sz w:val="24"/>
          <w:szCs w:val="24"/>
        </w:rPr>
        <w:t xml:space="preserve"> barriers to trade</w:t>
      </w:r>
      <w:r w:rsidRPr="00A22656">
        <w:rPr>
          <w:rFonts w:ascii="Times New Roman" w:hAnsi="Times New Roman" w:cs="Times New Roman"/>
          <w:sz w:val="24"/>
          <w:szCs w:val="24"/>
        </w:rPr>
        <w:t>, and even restrictions on fundamental rights,</w:t>
      </w:r>
      <w:r w:rsidR="0026055D" w:rsidRPr="00A22656">
        <w:rPr>
          <w:rFonts w:ascii="Times New Roman" w:hAnsi="Times New Roman" w:cs="Times New Roman"/>
          <w:sz w:val="24"/>
          <w:szCs w:val="24"/>
        </w:rPr>
        <w:t xml:space="preserve"> </w:t>
      </w:r>
      <w:r w:rsidR="00247F33" w:rsidRPr="00A22656">
        <w:rPr>
          <w:rFonts w:ascii="Times New Roman" w:hAnsi="Times New Roman" w:cs="Times New Roman"/>
          <w:sz w:val="24"/>
          <w:szCs w:val="24"/>
        </w:rPr>
        <w:t>so long</w:t>
      </w:r>
      <w:r w:rsidR="00144F1B" w:rsidRPr="00A22656">
        <w:rPr>
          <w:rFonts w:ascii="Times New Roman" w:hAnsi="Times New Roman" w:cs="Times New Roman"/>
          <w:sz w:val="24"/>
          <w:szCs w:val="24"/>
        </w:rPr>
        <w:t xml:space="preserve"> as they are temporary</w:t>
      </w:r>
      <w:r w:rsidR="00247F33" w:rsidRPr="00A22656">
        <w:rPr>
          <w:rFonts w:ascii="Times New Roman" w:hAnsi="Times New Roman" w:cs="Times New Roman"/>
          <w:sz w:val="24"/>
          <w:szCs w:val="24"/>
        </w:rPr>
        <w:t>.</w:t>
      </w:r>
      <w:r w:rsidR="0026055D" w:rsidRPr="00A22656">
        <w:rPr>
          <w:rStyle w:val="FootnoteReference"/>
          <w:rFonts w:ascii="Times New Roman" w:hAnsi="Times New Roman" w:cs="Times New Roman"/>
          <w:sz w:val="24"/>
          <w:szCs w:val="24"/>
        </w:rPr>
        <w:footnoteReference w:id="32"/>
      </w:r>
      <w:r w:rsidR="0026055D" w:rsidRPr="00A22656">
        <w:rPr>
          <w:rFonts w:ascii="Times New Roman" w:hAnsi="Times New Roman" w:cs="Times New Roman"/>
          <w:sz w:val="24"/>
          <w:szCs w:val="24"/>
        </w:rPr>
        <w:t xml:space="preserve"> </w:t>
      </w:r>
      <w:r w:rsidRPr="00A22656">
        <w:rPr>
          <w:rFonts w:ascii="Times New Roman" w:hAnsi="Times New Roman" w:cs="Times New Roman"/>
          <w:sz w:val="24"/>
          <w:szCs w:val="24"/>
        </w:rPr>
        <w:t>Thus,</w:t>
      </w:r>
      <w:r w:rsidR="00032721" w:rsidRPr="00A22656">
        <w:rPr>
          <w:rFonts w:ascii="Times New Roman" w:hAnsi="Times New Roman" w:cs="Times New Roman"/>
          <w:sz w:val="24"/>
          <w:szCs w:val="24"/>
        </w:rPr>
        <w:t xml:space="preserve"> an applicant State would only have been permitted to use the safeguard mechanism for seven years, while application at the individual level was limited t</w:t>
      </w:r>
      <w:r w:rsidR="00A15412" w:rsidRPr="00A22656">
        <w:rPr>
          <w:rFonts w:ascii="Times New Roman" w:hAnsi="Times New Roman" w:cs="Times New Roman"/>
          <w:sz w:val="24"/>
          <w:szCs w:val="24"/>
        </w:rPr>
        <w:t>o four</w:t>
      </w:r>
      <w:r w:rsidR="00032721" w:rsidRPr="00A22656">
        <w:rPr>
          <w:rFonts w:ascii="Times New Roman" w:hAnsi="Times New Roman" w:cs="Times New Roman"/>
          <w:sz w:val="24"/>
          <w:szCs w:val="24"/>
        </w:rPr>
        <w:t xml:space="preserve">. </w:t>
      </w:r>
      <w:r w:rsidR="00E31FCC" w:rsidRPr="00A22656">
        <w:rPr>
          <w:rFonts w:ascii="Times New Roman" w:hAnsi="Times New Roman" w:cs="Times New Roman"/>
          <w:sz w:val="24"/>
          <w:szCs w:val="20"/>
        </w:rPr>
        <w:t>Moreover, the gradual access to in-work be</w:t>
      </w:r>
      <w:r w:rsidR="00570E58" w:rsidRPr="00A22656">
        <w:rPr>
          <w:rFonts w:ascii="Times New Roman" w:hAnsi="Times New Roman" w:cs="Times New Roman"/>
          <w:sz w:val="24"/>
          <w:szCs w:val="20"/>
        </w:rPr>
        <w:t>nefits for Union citizens over this</w:t>
      </w:r>
      <w:r w:rsidRPr="00A22656">
        <w:rPr>
          <w:rFonts w:ascii="Times New Roman" w:hAnsi="Times New Roman" w:cs="Times New Roman"/>
          <w:sz w:val="24"/>
          <w:szCs w:val="20"/>
        </w:rPr>
        <w:t xml:space="preserve"> four year period,</w:t>
      </w:r>
      <w:r w:rsidR="00E31FCC" w:rsidRPr="00A22656">
        <w:rPr>
          <w:rFonts w:ascii="Times New Roman" w:hAnsi="Times New Roman" w:cs="Times New Roman"/>
          <w:sz w:val="24"/>
          <w:szCs w:val="20"/>
        </w:rPr>
        <w:t xml:space="preserve"> to reflect their growing connection with the host State labour market, is </w:t>
      </w:r>
      <w:r w:rsidR="009C504A" w:rsidRPr="00A22656">
        <w:rPr>
          <w:rFonts w:ascii="Times New Roman" w:hAnsi="Times New Roman" w:cs="Times New Roman"/>
          <w:sz w:val="24"/>
          <w:szCs w:val="20"/>
        </w:rPr>
        <w:t xml:space="preserve">a clear effort </w:t>
      </w:r>
      <w:r w:rsidR="00E31FCC" w:rsidRPr="00A22656">
        <w:rPr>
          <w:rFonts w:ascii="Times New Roman" w:hAnsi="Times New Roman" w:cs="Times New Roman"/>
          <w:sz w:val="24"/>
          <w:szCs w:val="20"/>
        </w:rPr>
        <w:t xml:space="preserve">to demonstrate adherence to suitability, necessity and general proportionality. </w:t>
      </w:r>
      <w:r w:rsidRPr="00A22656">
        <w:rPr>
          <w:rFonts w:ascii="Times New Roman" w:hAnsi="Times New Roman" w:cs="Times New Roman"/>
          <w:sz w:val="24"/>
          <w:szCs w:val="20"/>
        </w:rPr>
        <w:t>Crucially</w:t>
      </w:r>
      <w:r w:rsidR="00247F33" w:rsidRPr="00A22656">
        <w:rPr>
          <w:rFonts w:ascii="Times New Roman" w:hAnsi="Times New Roman" w:cs="Times New Roman"/>
          <w:sz w:val="24"/>
          <w:szCs w:val="20"/>
        </w:rPr>
        <w:t xml:space="preserve">, the Court has previously held that the Union legislature ‘must be allowed a broad discretion in an area…which entails political, economic and social choices on its part, and in which it is called upon to undertake complex </w:t>
      </w:r>
      <w:r w:rsidR="00247F33" w:rsidRPr="00A22656">
        <w:rPr>
          <w:rFonts w:ascii="Times New Roman" w:hAnsi="Times New Roman" w:cs="Times New Roman"/>
          <w:sz w:val="24"/>
          <w:szCs w:val="20"/>
        </w:rPr>
        <w:lastRenderedPageBreak/>
        <w:t>assessments’.</w:t>
      </w:r>
      <w:r w:rsidR="00247F33" w:rsidRPr="00A22656">
        <w:rPr>
          <w:rStyle w:val="FootnoteReference"/>
          <w:rFonts w:ascii="Times New Roman" w:hAnsi="Times New Roman" w:cs="Times New Roman"/>
          <w:sz w:val="24"/>
          <w:szCs w:val="20"/>
        </w:rPr>
        <w:footnoteReference w:id="33"/>
      </w:r>
      <w:r w:rsidR="00247F33" w:rsidRPr="00A22656">
        <w:rPr>
          <w:rFonts w:ascii="Times New Roman" w:hAnsi="Times New Roman" w:cs="Times New Roman"/>
          <w:sz w:val="24"/>
          <w:szCs w:val="20"/>
        </w:rPr>
        <w:t xml:space="preserve"> As a result, </w:t>
      </w:r>
      <w:r w:rsidR="00247F33" w:rsidRPr="00A22656">
        <w:rPr>
          <w:rFonts w:ascii="Times New Roman" w:hAnsi="Times New Roman" w:cs="Times New Roman"/>
          <w:i/>
          <w:sz w:val="24"/>
          <w:szCs w:val="20"/>
        </w:rPr>
        <w:t>Union</w:t>
      </w:r>
      <w:r w:rsidR="00247F33" w:rsidRPr="00A22656">
        <w:rPr>
          <w:rFonts w:ascii="Times New Roman" w:hAnsi="Times New Roman" w:cs="Times New Roman"/>
          <w:sz w:val="24"/>
          <w:szCs w:val="20"/>
        </w:rPr>
        <w:t xml:space="preserve"> secondary legislative measures have often only </w:t>
      </w:r>
      <w:r w:rsidRPr="00A22656">
        <w:rPr>
          <w:rFonts w:ascii="Times New Roman" w:hAnsi="Times New Roman" w:cs="Times New Roman"/>
          <w:sz w:val="24"/>
          <w:szCs w:val="20"/>
        </w:rPr>
        <w:t>faced the question of</w:t>
      </w:r>
      <w:r w:rsidR="00247F33" w:rsidRPr="00A22656">
        <w:rPr>
          <w:rFonts w:ascii="Times New Roman" w:hAnsi="Times New Roman" w:cs="Times New Roman"/>
          <w:sz w:val="24"/>
          <w:szCs w:val="20"/>
        </w:rPr>
        <w:t xml:space="preserve"> whether they are ‘manifestly inappropriate’ having regard to the objective pursued.</w:t>
      </w:r>
      <w:r w:rsidR="00247F33" w:rsidRPr="00A22656">
        <w:rPr>
          <w:rStyle w:val="FootnoteReference"/>
          <w:rFonts w:ascii="Times New Roman" w:hAnsi="Times New Roman" w:cs="Times New Roman"/>
          <w:sz w:val="24"/>
          <w:szCs w:val="20"/>
        </w:rPr>
        <w:footnoteReference w:id="34"/>
      </w:r>
      <w:r w:rsidR="00570E58" w:rsidRPr="00A22656">
        <w:rPr>
          <w:rFonts w:ascii="Times New Roman" w:hAnsi="Times New Roman" w:cs="Times New Roman"/>
          <w:sz w:val="24"/>
          <w:szCs w:val="20"/>
        </w:rPr>
        <w:t xml:space="preserve"> Not</w:t>
      </w:r>
      <w:r w:rsidR="003F224A" w:rsidRPr="00A22656">
        <w:rPr>
          <w:rFonts w:ascii="Times New Roman" w:hAnsi="Times New Roman" w:cs="Times New Roman"/>
          <w:sz w:val="24"/>
          <w:szCs w:val="20"/>
        </w:rPr>
        <w:t xml:space="preserve"> only would </w:t>
      </w:r>
      <w:proofErr w:type="spellStart"/>
      <w:r w:rsidR="00570E58" w:rsidRPr="00A22656">
        <w:rPr>
          <w:rFonts w:ascii="Times New Roman" w:hAnsi="Times New Roman" w:cs="Times New Roman"/>
          <w:sz w:val="24"/>
          <w:szCs w:val="20"/>
        </w:rPr>
        <w:t>graduated</w:t>
      </w:r>
      <w:proofErr w:type="spellEnd"/>
      <w:r w:rsidR="00570E58" w:rsidRPr="00A22656">
        <w:rPr>
          <w:rFonts w:ascii="Times New Roman" w:hAnsi="Times New Roman" w:cs="Times New Roman"/>
          <w:sz w:val="24"/>
          <w:szCs w:val="20"/>
        </w:rPr>
        <w:t xml:space="preserve"> access appear to meet this low threshold, but the Decision was at pains to highlight</w:t>
      </w:r>
      <w:r w:rsidR="003F224A" w:rsidRPr="00A22656">
        <w:rPr>
          <w:rFonts w:ascii="Times New Roman" w:hAnsi="Times New Roman" w:cs="Times New Roman"/>
          <w:sz w:val="24"/>
          <w:szCs w:val="20"/>
        </w:rPr>
        <w:t xml:space="preserve"> the assessment of evidence by the Union’s political</w:t>
      </w:r>
      <w:r w:rsidR="00D93731" w:rsidRPr="00A22656">
        <w:rPr>
          <w:rFonts w:ascii="Times New Roman" w:hAnsi="Times New Roman" w:cs="Times New Roman"/>
          <w:sz w:val="24"/>
          <w:szCs w:val="20"/>
        </w:rPr>
        <w:t xml:space="preserve"> and administrative</w:t>
      </w:r>
      <w:r w:rsidR="003F224A" w:rsidRPr="00A22656">
        <w:rPr>
          <w:rFonts w:ascii="Times New Roman" w:hAnsi="Times New Roman" w:cs="Times New Roman"/>
          <w:sz w:val="24"/>
          <w:szCs w:val="20"/>
        </w:rPr>
        <w:t xml:space="preserve"> institutions of the UK’s purportedly individual situation.</w:t>
      </w:r>
      <w:r w:rsidR="007C4FBA" w:rsidRPr="00A22656">
        <w:rPr>
          <w:rStyle w:val="FootnoteReference"/>
          <w:rFonts w:ascii="Times New Roman" w:hAnsi="Times New Roman" w:cs="Times New Roman"/>
          <w:sz w:val="24"/>
          <w:szCs w:val="20"/>
        </w:rPr>
        <w:footnoteReference w:id="35"/>
      </w:r>
      <w:r w:rsidR="00570E58" w:rsidRPr="00A22656">
        <w:rPr>
          <w:rFonts w:ascii="Times New Roman" w:hAnsi="Times New Roman" w:cs="Times New Roman"/>
          <w:sz w:val="24"/>
          <w:szCs w:val="20"/>
        </w:rPr>
        <w:t xml:space="preserve"> </w:t>
      </w:r>
    </w:p>
    <w:p w:rsidR="00395045" w:rsidRPr="00A22656" w:rsidRDefault="00395045" w:rsidP="005F768F">
      <w:pPr>
        <w:pStyle w:val="NoSpacing"/>
        <w:spacing w:line="360" w:lineRule="auto"/>
        <w:jc w:val="both"/>
        <w:rPr>
          <w:rFonts w:ascii="Times New Roman" w:hAnsi="Times New Roman" w:cs="Times New Roman"/>
          <w:sz w:val="24"/>
          <w:szCs w:val="20"/>
        </w:rPr>
      </w:pPr>
    </w:p>
    <w:p w:rsidR="007674C3" w:rsidRPr="00A22656" w:rsidRDefault="00EB0D36" w:rsidP="005F768F">
      <w:pPr>
        <w:pStyle w:val="NoSpacing"/>
        <w:numPr>
          <w:ilvl w:val="2"/>
          <w:numId w:val="2"/>
        </w:numPr>
        <w:spacing w:line="360" w:lineRule="auto"/>
        <w:jc w:val="both"/>
        <w:rPr>
          <w:rFonts w:ascii="Times New Roman" w:hAnsi="Times New Roman" w:cs="Times New Roman"/>
          <w:i/>
          <w:sz w:val="24"/>
          <w:szCs w:val="20"/>
        </w:rPr>
      </w:pPr>
      <w:r w:rsidRPr="00A22656">
        <w:rPr>
          <w:rFonts w:ascii="Times New Roman" w:hAnsi="Times New Roman" w:cs="Times New Roman"/>
          <w:i/>
          <w:sz w:val="24"/>
          <w:szCs w:val="20"/>
        </w:rPr>
        <w:t>I</w:t>
      </w:r>
      <w:r w:rsidR="007674C3" w:rsidRPr="00A22656">
        <w:rPr>
          <w:rFonts w:ascii="Times New Roman" w:hAnsi="Times New Roman" w:cs="Times New Roman"/>
          <w:i/>
          <w:sz w:val="24"/>
          <w:szCs w:val="20"/>
        </w:rPr>
        <w:t xml:space="preserve">nvalidity </w:t>
      </w:r>
    </w:p>
    <w:p w:rsidR="007674C3" w:rsidRPr="00A22656" w:rsidRDefault="007674C3" w:rsidP="005F768F">
      <w:pPr>
        <w:pStyle w:val="NoSpacing"/>
        <w:spacing w:line="360" w:lineRule="auto"/>
        <w:jc w:val="both"/>
        <w:rPr>
          <w:rFonts w:ascii="Times New Roman" w:hAnsi="Times New Roman" w:cs="Times New Roman"/>
          <w:sz w:val="24"/>
          <w:szCs w:val="20"/>
        </w:rPr>
      </w:pPr>
    </w:p>
    <w:p w:rsidR="0094196C" w:rsidRPr="00A22656" w:rsidRDefault="00395045"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However, the Court has not always been consistent and has also shown increasing confidence in declaring Union legislation</w:t>
      </w:r>
      <w:r w:rsidR="003F224A" w:rsidRPr="00A22656">
        <w:rPr>
          <w:rFonts w:ascii="Times New Roman" w:hAnsi="Times New Roman" w:cs="Times New Roman"/>
          <w:sz w:val="24"/>
          <w:szCs w:val="20"/>
        </w:rPr>
        <w:t xml:space="preserve"> invalid for breach of</w:t>
      </w:r>
      <w:r w:rsidRPr="00A22656">
        <w:rPr>
          <w:rFonts w:ascii="Times New Roman" w:hAnsi="Times New Roman" w:cs="Times New Roman"/>
          <w:sz w:val="24"/>
          <w:szCs w:val="20"/>
        </w:rPr>
        <w:t xml:space="preserve"> Treaty free movement </w:t>
      </w:r>
      <w:r w:rsidR="00580476" w:rsidRPr="00A22656">
        <w:rPr>
          <w:rFonts w:ascii="Times New Roman" w:hAnsi="Times New Roman" w:cs="Times New Roman"/>
          <w:sz w:val="24"/>
          <w:szCs w:val="20"/>
        </w:rPr>
        <w:t>rules</w:t>
      </w:r>
      <w:r w:rsidR="008D09C4" w:rsidRPr="00A22656">
        <w:rPr>
          <w:rFonts w:ascii="Times New Roman" w:hAnsi="Times New Roman" w:cs="Times New Roman"/>
          <w:sz w:val="24"/>
          <w:szCs w:val="20"/>
        </w:rPr>
        <w:t>. I</w:t>
      </w:r>
      <w:r w:rsidRPr="00A22656">
        <w:rPr>
          <w:rFonts w:ascii="Times New Roman" w:hAnsi="Times New Roman" w:cs="Times New Roman"/>
          <w:sz w:val="24"/>
          <w:szCs w:val="20"/>
        </w:rPr>
        <w:t xml:space="preserve">n </w:t>
      </w:r>
      <w:r w:rsidRPr="00A22656">
        <w:rPr>
          <w:rFonts w:ascii="Times New Roman" w:hAnsi="Times New Roman" w:cs="Times New Roman"/>
          <w:i/>
          <w:sz w:val="24"/>
          <w:szCs w:val="20"/>
        </w:rPr>
        <w:t>Ramel</w:t>
      </w:r>
      <w:r w:rsidRPr="00A22656">
        <w:rPr>
          <w:rFonts w:ascii="Times New Roman" w:hAnsi="Times New Roman" w:cs="Times New Roman"/>
          <w:sz w:val="24"/>
          <w:szCs w:val="20"/>
        </w:rPr>
        <w:t>,</w:t>
      </w:r>
      <w:r w:rsidR="00580476" w:rsidRPr="00A22656">
        <w:rPr>
          <w:rFonts w:ascii="Times New Roman" w:hAnsi="Times New Roman" w:cs="Times New Roman"/>
          <w:sz w:val="24"/>
          <w:szCs w:val="20"/>
        </w:rPr>
        <w:t xml:space="preserve"> </w:t>
      </w:r>
      <w:r w:rsidR="008D09C4" w:rsidRPr="00A22656">
        <w:rPr>
          <w:rFonts w:ascii="Times New Roman" w:hAnsi="Times New Roman" w:cs="Times New Roman"/>
          <w:sz w:val="24"/>
          <w:szCs w:val="20"/>
        </w:rPr>
        <w:t>an EU instrument that permitted France to limit imports</w:t>
      </w:r>
      <w:r w:rsidR="005A4BCC" w:rsidRPr="00A22656">
        <w:rPr>
          <w:rFonts w:ascii="Times New Roman" w:hAnsi="Times New Roman" w:cs="Times New Roman"/>
          <w:sz w:val="24"/>
          <w:szCs w:val="20"/>
        </w:rPr>
        <w:t>,</w:t>
      </w:r>
      <w:r w:rsidR="008D09C4" w:rsidRPr="00A22656">
        <w:rPr>
          <w:rFonts w:ascii="Times New Roman" w:hAnsi="Times New Roman" w:cs="Times New Roman"/>
          <w:sz w:val="24"/>
          <w:szCs w:val="20"/>
        </w:rPr>
        <w:t xml:space="preserve"> following the ‘exceptional inflow’ of wines from Italy</w:t>
      </w:r>
      <w:r w:rsidR="005A4BCC" w:rsidRPr="00A22656">
        <w:rPr>
          <w:rFonts w:ascii="Times New Roman" w:hAnsi="Times New Roman" w:cs="Times New Roman"/>
          <w:sz w:val="24"/>
          <w:szCs w:val="20"/>
        </w:rPr>
        <w:t>,</w:t>
      </w:r>
      <w:r w:rsidR="008D09C4" w:rsidRPr="00A22656">
        <w:rPr>
          <w:rFonts w:ascii="Times New Roman" w:hAnsi="Times New Roman" w:cs="Times New Roman"/>
          <w:sz w:val="24"/>
          <w:szCs w:val="20"/>
        </w:rPr>
        <w:t xml:space="preserve"> was invalidated.</w:t>
      </w:r>
      <w:r w:rsidRPr="00A22656">
        <w:rPr>
          <w:rStyle w:val="FootnoteReference"/>
          <w:rFonts w:ascii="Times New Roman" w:hAnsi="Times New Roman" w:cs="Times New Roman"/>
          <w:sz w:val="24"/>
          <w:szCs w:val="24"/>
        </w:rPr>
        <w:footnoteReference w:id="36"/>
      </w:r>
      <w:r w:rsidR="00CD2E7F" w:rsidRPr="00A22656">
        <w:rPr>
          <w:rFonts w:ascii="Times New Roman" w:hAnsi="Times New Roman" w:cs="Times New Roman"/>
          <w:sz w:val="24"/>
          <w:szCs w:val="20"/>
        </w:rPr>
        <w:t xml:space="preserve"> </w:t>
      </w:r>
      <w:r w:rsidR="008D09C4" w:rsidRPr="00A22656">
        <w:rPr>
          <w:rFonts w:ascii="Times New Roman" w:hAnsi="Times New Roman" w:cs="Times New Roman"/>
          <w:sz w:val="24"/>
          <w:szCs w:val="20"/>
        </w:rPr>
        <w:t>I</w:t>
      </w:r>
      <w:r w:rsidR="00CD2E7F" w:rsidRPr="00A22656">
        <w:rPr>
          <w:rFonts w:ascii="Times New Roman" w:hAnsi="Times New Roman" w:cs="Times New Roman"/>
          <w:sz w:val="24"/>
          <w:szCs w:val="20"/>
        </w:rPr>
        <w:t xml:space="preserve">n </w:t>
      </w:r>
      <w:proofErr w:type="spellStart"/>
      <w:r w:rsidR="00CD2E7F" w:rsidRPr="00A22656">
        <w:rPr>
          <w:rFonts w:ascii="Times New Roman" w:hAnsi="Times New Roman" w:cs="Times New Roman"/>
          <w:i/>
          <w:sz w:val="24"/>
          <w:szCs w:val="20"/>
        </w:rPr>
        <w:t>Lanc</w:t>
      </w:r>
      <w:r w:rsidR="00580476" w:rsidRPr="00A22656">
        <w:rPr>
          <w:rFonts w:ascii="Times New Roman" w:hAnsi="Times New Roman" w:cs="Times New Roman"/>
          <w:i/>
          <w:sz w:val="24"/>
          <w:szCs w:val="20"/>
        </w:rPr>
        <w:t>r</w:t>
      </w:r>
      <w:r w:rsidR="00CD2E7F" w:rsidRPr="00A22656">
        <w:rPr>
          <w:rFonts w:ascii="Times New Roman" w:hAnsi="Times New Roman" w:cs="Times New Roman"/>
          <w:i/>
          <w:sz w:val="24"/>
          <w:szCs w:val="20"/>
        </w:rPr>
        <w:t>y</w:t>
      </w:r>
      <w:proofErr w:type="spellEnd"/>
      <w:r w:rsidR="00CD2E7F" w:rsidRPr="00A22656">
        <w:rPr>
          <w:rFonts w:ascii="Times New Roman" w:hAnsi="Times New Roman" w:cs="Times New Roman"/>
          <w:i/>
          <w:sz w:val="24"/>
          <w:szCs w:val="20"/>
        </w:rPr>
        <w:t xml:space="preserve">, </w:t>
      </w:r>
      <w:r w:rsidR="00CD2E7F" w:rsidRPr="00A22656">
        <w:rPr>
          <w:rFonts w:ascii="Times New Roman" w:hAnsi="Times New Roman" w:cs="Times New Roman"/>
          <w:sz w:val="24"/>
          <w:szCs w:val="20"/>
        </w:rPr>
        <w:t>the Court stated that dock dues, authorised by Union secondary legislation, could not be permitted regardless of the fact their application was temporally limited.</w:t>
      </w:r>
      <w:r w:rsidR="00CD2E7F" w:rsidRPr="00A22656">
        <w:rPr>
          <w:rStyle w:val="FootnoteReference"/>
          <w:rFonts w:ascii="Times New Roman" w:hAnsi="Times New Roman" w:cs="Times New Roman"/>
          <w:sz w:val="24"/>
          <w:szCs w:val="24"/>
        </w:rPr>
        <w:footnoteReference w:id="37"/>
      </w:r>
      <w:r w:rsidR="002479DE" w:rsidRPr="00A22656">
        <w:rPr>
          <w:rFonts w:ascii="Times New Roman" w:hAnsi="Times New Roman" w:cs="Times New Roman"/>
          <w:sz w:val="24"/>
          <w:szCs w:val="20"/>
        </w:rPr>
        <w:t xml:space="preserve"> Crucially, the CJEU has been particularly unreceptive to Union legislation that permits difference in t</w:t>
      </w:r>
      <w:r w:rsidR="008D09C4" w:rsidRPr="00A22656">
        <w:rPr>
          <w:rFonts w:ascii="Times New Roman" w:hAnsi="Times New Roman" w:cs="Times New Roman"/>
          <w:sz w:val="24"/>
          <w:szCs w:val="20"/>
        </w:rPr>
        <w:t xml:space="preserve">reatment between Union workers. </w:t>
      </w:r>
      <w:r w:rsidR="0094196C" w:rsidRPr="00A22656">
        <w:rPr>
          <w:rFonts w:ascii="Times New Roman" w:hAnsi="Times New Roman" w:cs="Times New Roman"/>
          <w:i/>
          <w:sz w:val="24"/>
          <w:szCs w:val="20"/>
        </w:rPr>
        <w:t>Pinna</w:t>
      </w:r>
      <w:r w:rsidR="00031F75" w:rsidRPr="00A22656">
        <w:rPr>
          <w:rFonts w:ascii="Times New Roman" w:hAnsi="Times New Roman" w:cs="Times New Roman"/>
          <w:sz w:val="24"/>
          <w:szCs w:val="20"/>
        </w:rPr>
        <w:t xml:space="preserve"> concerned</w:t>
      </w:r>
      <w:r w:rsidR="0094196C" w:rsidRPr="00A22656">
        <w:rPr>
          <w:rFonts w:ascii="Times New Roman" w:hAnsi="Times New Roman" w:cs="Times New Roman"/>
          <w:sz w:val="24"/>
          <w:szCs w:val="20"/>
        </w:rPr>
        <w:t xml:space="preserve"> Article 73(2) Regulation No 1408/71,</w:t>
      </w:r>
      <w:r w:rsidR="0094196C" w:rsidRPr="00A22656">
        <w:rPr>
          <w:rStyle w:val="FootnoteReference"/>
          <w:rFonts w:ascii="Times New Roman" w:hAnsi="Times New Roman" w:cs="Times New Roman"/>
          <w:sz w:val="24"/>
          <w:szCs w:val="20"/>
        </w:rPr>
        <w:footnoteReference w:id="38"/>
      </w:r>
      <w:r w:rsidR="00031F75" w:rsidRPr="00A22656">
        <w:rPr>
          <w:rFonts w:ascii="Times New Roman" w:hAnsi="Times New Roman" w:cs="Times New Roman"/>
          <w:sz w:val="24"/>
          <w:szCs w:val="20"/>
        </w:rPr>
        <w:t xml:space="preserve"> which provided France </w:t>
      </w:r>
      <w:r w:rsidR="008D09C4" w:rsidRPr="00A22656">
        <w:rPr>
          <w:rFonts w:ascii="Times New Roman" w:hAnsi="Times New Roman" w:cs="Times New Roman"/>
          <w:sz w:val="24"/>
          <w:szCs w:val="20"/>
        </w:rPr>
        <w:t>with a time-limited exemption f</w:t>
      </w:r>
      <w:r w:rsidR="00031F75" w:rsidRPr="00A22656">
        <w:rPr>
          <w:rFonts w:ascii="Times New Roman" w:hAnsi="Times New Roman" w:cs="Times New Roman"/>
          <w:sz w:val="24"/>
          <w:szCs w:val="20"/>
        </w:rPr>
        <w:t>r</w:t>
      </w:r>
      <w:r w:rsidR="008D09C4" w:rsidRPr="00A22656">
        <w:rPr>
          <w:rFonts w:ascii="Times New Roman" w:hAnsi="Times New Roman" w:cs="Times New Roman"/>
          <w:sz w:val="24"/>
          <w:szCs w:val="20"/>
        </w:rPr>
        <w:t>o</w:t>
      </w:r>
      <w:r w:rsidR="00031F75" w:rsidRPr="00A22656">
        <w:rPr>
          <w:rFonts w:ascii="Times New Roman" w:hAnsi="Times New Roman" w:cs="Times New Roman"/>
          <w:sz w:val="24"/>
          <w:szCs w:val="20"/>
        </w:rPr>
        <w:t>m the export</w:t>
      </w:r>
      <w:r w:rsidR="008D09C4" w:rsidRPr="00A22656">
        <w:rPr>
          <w:rFonts w:ascii="Times New Roman" w:hAnsi="Times New Roman" w:cs="Times New Roman"/>
          <w:sz w:val="24"/>
          <w:szCs w:val="20"/>
        </w:rPr>
        <w:t>ability of child benefit. T</w:t>
      </w:r>
      <w:r w:rsidR="00031F75" w:rsidRPr="00A22656">
        <w:rPr>
          <w:rFonts w:ascii="Times New Roman" w:hAnsi="Times New Roman" w:cs="Times New Roman"/>
          <w:sz w:val="24"/>
          <w:szCs w:val="20"/>
        </w:rPr>
        <w:t>he Court stated that:</w:t>
      </w:r>
    </w:p>
    <w:p w:rsidR="0094196C" w:rsidRPr="00A22656" w:rsidRDefault="0094196C" w:rsidP="005F768F">
      <w:pPr>
        <w:pStyle w:val="NoSpacing"/>
        <w:spacing w:line="360" w:lineRule="auto"/>
        <w:jc w:val="both"/>
        <w:rPr>
          <w:rFonts w:ascii="Times New Roman" w:hAnsi="Times New Roman" w:cs="Times New Roman"/>
          <w:sz w:val="24"/>
          <w:szCs w:val="24"/>
        </w:rPr>
      </w:pPr>
    </w:p>
    <w:p w:rsidR="0094196C" w:rsidRPr="00A22656" w:rsidRDefault="00906095" w:rsidP="005F768F">
      <w:pPr>
        <w:pStyle w:val="NoSpacing"/>
        <w:spacing w:line="360" w:lineRule="auto"/>
        <w:jc w:val="both"/>
        <w:rPr>
          <w:rFonts w:ascii="Times New Roman" w:hAnsi="Times New Roman" w:cs="Times New Roman"/>
          <w:sz w:val="20"/>
          <w:szCs w:val="24"/>
        </w:rPr>
      </w:pPr>
      <w:r w:rsidRPr="00A22656">
        <w:rPr>
          <w:rFonts w:ascii="Times New Roman" w:hAnsi="Times New Roman" w:cs="Times New Roman"/>
          <w:sz w:val="20"/>
          <w:szCs w:val="24"/>
        </w:rPr>
        <w:t>[T]</w:t>
      </w:r>
      <w:r w:rsidR="0094196C" w:rsidRPr="00A22656">
        <w:rPr>
          <w:rFonts w:ascii="Times New Roman" w:hAnsi="Times New Roman" w:cs="Times New Roman"/>
          <w:sz w:val="20"/>
          <w:szCs w:val="24"/>
        </w:rPr>
        <w:t>he achievement of the objective of securing free movement for workers within the Community</w:t>
      </w:r>
      <w:r w:rsidR="00AE681B" w:rsidRPr="00A22656">
        <w:rPr>
          <w:rFonts w:ascii="Times New Roman" w:hAnsi="Times New Roman" w:cs="Times New Roman"/>
          <w:sz w:val="20"/>
          <w:szCs w:val="24"/>
        </w:rPr>
        <w:t>…</w:t>
      </w:r>
      <w:r w:rsidR="0094196C" w:rsidRPr="00A22656">
        <w:rPr>
          <w:rFonts w:ascii="Times New Roman" w:hAnsi="Times New Roman" w:cs="Times New Roman"/>
          <w:sz w:val="20"/>
          <w:szCs w:val="24"/>
        </w:rPr>
        <w:t>is facilitated if conditions of employment, including social security rules, are as similar as possible in the various Member States. That objective will, however, be imperilled</w:t>
      </w:r>
      <w:r w:rsidR="00AE681B" w:rsidRPr="00A22656">
        <w:rPr>
          <w:rFonts w:ascii="Times New Roman" w:hAnsi="Times New Roman" w:cs="Times New Roman"/>
          <w:sz w:val="20"/>
          <w:szCs w:val="24"/>
        </w:rPr>
        <w:t>…</w:t>
      </w:r>
      <w:r w:rsidR="0094196C" w:rsidRPr="00A22656">
        <w:rPr>
          <w:rFonts w:ascii="Times New Roman" w:hAnsi="Times New Roman" w:cs="Times New Roman"/>
          <w:sz w:val="20"/>
          <w:szCs w:val="24"/>
        </w:rPr>
        <w:t>if unnecessary difference</w:t>
      </w:r>
      <w:r w:rsidR="00031F75" w:rsidRPr="00A22656">
        <w:rPr>
          <w:rFonts w:ascii="Times New Roman" w:hAnsi="Times New Roman" w:cs="Times New Roman"/>
          <w:sz w:val="20"/>
          <w:szCs w:val="24"/>
        </w:rPr>
        <w:t>s</w:t>
      </w:r>
      <w:r w:rsidR="0094196C" w:rsidRPr="00A22656">
        <w:rPr>
          <w:rFonts w:ascii="Times New Roman" w:hAnsi="Times New Roman" w:cs="Times New Roman"/>
          <w:sz w:val="20"/>
          <w:szCs w:val="24"/>
        </w:rPr>
        <w:t xml:space="preserve"> in the social security rules a</w:t>
      </w:r>
      <w:r w:rsidR="003E7870" w:rsidRPr="00A22656">
        <w:rPr>
          <w:rFonts w:ascii="Times New Roman" w:hAnsi="Times New Roman" w:cs="Times New Roman"/>
          <w:sz w:val="20"/>
          <w:szCs w:val="24"/>
        </w:rPr>
        <w:t>re introduced by Community law.</w:t>
      </w:r>
      <w:r w:rsidR="0094196C" w:rsidRPr="00A22656">
        <w:rPr>
          <w:rStyle w:val="FootnoteReference"/>
          <w:rFonts w:ascii="Times New Roman" w:hAnsi="Times New Roman" w:cs="Times New Roman"/>
          <w:sz w:val="20"/>
          <w:szCs w:val="24"/>
        </w:rPr>
        <w:footnoteReference w:id="39"/>
      </w:r>
      <w:r w:rsidR="0094196C" w:rsidRPr="00A22656">
        <w:rPr>
          <w:rFonts w:ascii="Times New Roman" w:hAnsi="Times New Roman" w:cs="Times New Roman"/>
          <w:sz w:val="20"/>
          <w:szCs w:val="24"/>
        </w:rPr>
        <w:t xml:space="preserve"> </w:t>
      </w:r>
    </w:p>
    <w:p w:rsidR="0094196C" w:rsidRPr="00A22656" w:rsidRDefault="0094196C" w:rsidP="005F768F">
      <w:pPr>
        <w:pStyle w:val="NoSpacing"/>
        <w:spacing w:line="360" w:lineRule="auto"/>
        <w:jc w:val="both"/>
        <w:rPr>
          <w:rFonts w:ascii="Times New Roman" w:hAnsi="Times New Roman" w:cs="Times New Roman"/>
          <w:sz w:val="20"/>
          <w:szCs w:val="24"/>
        </w:rPr>
      </w:pPr>
    </w:p>
    <w:p w:rsidR="00483DE0" w:rsidRPr="00A22656" w:rsidRDefault="00465D7B"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4"/>
        </w:rPr>
        <w:t>This stance would seem directly transferable to the circumstances of the safeguard mechanism: regardless of the time limitations in place, barriers to fr</w:t>
      </w:r>
      <w:r w:rsidR="00AB70DA" w:rsidRPr="00A22656">
        <w:rPr>
          <w:rFonts w:ascii="Times New Roman" w:hAnsi="Times New Roman" w:cs="Times New Roman"/>
          <w:sz w:val="24"/>
          <w:szCs w:val="24"/>
        </w:rPr>
        <w:t xml:space="preserve">ee movement already </w:t>
      </w:r>
      <w:r w:rsidRPr="00A22656">
        <w:rPr>
          <w:rFonts w:ascii="Times New Roman" w:hAnsi="Times New Roman" w:cs="Times New Roman"/>
          <w:sz w:val="24"/>
          <w:szCs w:val="24"/>
        </w:rPr>
        <w:t>arise as a result of an absence of harmonisation</w:t>
      </w:r>
      <w:r w:rsidR="00D61DAE" w:rsidRPr="00A22656">
        <w:rPr>
          <w:rFonts w:ascii="Times New Roman" w:hAnsi="Times New Roman" w:cs="Times New Roman"/>
          <w:sz w:val="24"/>
          <w:szCs w:val="24"/>
        </w:rPr>
        <w:t xml:space="preserve"> in the field of social welfare. Further distinctions between national and </w:t>
      </w:r>
      <w:r w:rsidRPr="00A22656">
        <w:rPr>
          <w:rFonts w:ascii="Times New Roman" w:hAnsi="Times New Roman" w:cs="Times New Roman"/>
          <w:sz w:val="24"/>
          <w:szCs w:val="24"/>
        </w:rPr>
        <w:t>EU workers</w:t>
      </w:r>
      <w:r w:rsidR="00483DE0" w:rsidRPr="00A22656">
        <w:rPr>
          <w:rFonts w:ascii="Times New Roman" w:hAnsi="Times New Roman" w:cs="Times New Roman"/>
          <w:sz w:val="24"/>
          <w:szCs w:val="24"/>
        </w:rPr>
        <w:t>, which</w:t>
      </w:r>
      <w:r w:rsidRPr="00A22656">
        <w:rPr>
          <w:rFonts w:ascii="Times New Roman" w:hAnsi="Times New Roman" w:cs="Times New Roman"/>
          <w:sz w:val="24"/>
          <w:szCs w:val="24"/>
        </w:rPr>
        <w:t xml:space="preserve"> would exacerbate</w:t>
      </w:r>
      <w:r w:rsidR="00483DE0" w:rsidRPr="00A22656">
        <w:rPr>
          <w:rFonts w:ascii="Times New Roman" w:hAnsi="Times New Roman" w:cs="Times New Roman"/>
          <w:sz w:val="24"/>
          <w:szCs w:val="24"/>
        </w:rPr>
        <w:t xml:space="preserve"> the problem, cannot be permitted</w:t>
      </w:r>
      <w:r w:rsidRPr="00A22656">
        <w:rPr>
          <w:rFonts w:ascii="Times New Roman" w:hAnsi="Times New Roman" w:cs="Times New Roman"/>
          <w:sz w:val="24"/>
          <w:szCs w:val="24"/>
        </w:rPr>
        <w:t>.</w:t>
      </w:r>
      <w:r w:rsidR="00AB70DA" w:rsidRPr="00A22656">
        <w:rPr>
          <w:rStyle w:val="FootnoteReference"/>
          <w:rFonts w:ascii="Times New Roman" w:hAnsi="Times New Roman" w:cs="Times New Roman"/>
          <w:sz w:val="24"/>
          <w:szCs w:val="24"/>
        </w:rPr>
        <w:footnoteReference w:id="40"/>
      </w:r>
      <w:r w:rsidR="003E7870" w:rsidRPr="00A22656">
        <w:rPr>
          <w:rFonts w:ascii="Times New Roman" w:hAnsi="Times New Roman" w:cs="Times New Roman"/>
          <w:sz w:val="24"/>
          <w:szCs w:val="24"/>
        </w:rPr>
        <w:t xml:space="preserve"> </w:t>
      </w:r>
      <w:r w:rsidR="00AB70DA" w:rsidRPr="00A22656">
        <w:rPr>
          <w:rFonts w:ascii="Times New Roman" w:hAnsi="Times New Roman" w:cs="Times New Roman"/>
          <w:sz w:val="24"/>
          <w:szCs w:val="24"/>
        </w:rPr>
        <w:t>M</w:t>
      </w:r>
      <w:r w:rsidR="00467A00" w:rsidRPr="00A22656">
        <w:rPr>
          <w:rFonts w:ascii="Times New Roman" w:hAnsi="Times New Roman" w:cs="Times New Roman"/>
          <w:sz w:val="24"/>
          <w:szCs w:val="20"/>
        </w:rPr>
        <w:t xml:space="preserve">ore broadly, there is evidence that the Court is gaining confidence in </w:t>
      </w:r>
      <w:r w:rsidR="00467A00" w:rsidRPr="00A22656">
        <w:rPr>
          <w:rFonts w:ascii="Times New Roman" w:hAnsi="Times New Roman" w:cs="Times New Roman"/>
          <w:sz w:val="24"/>
          <w:szCs w:val="20"/>
        </w:rPr>
        <w:lastRenderedPageBreak/>
        <w:t xml:space="preserve">intervening where </w:t>
      </w:r>
      <w:r w:rsidR="00BD699B" w:rsidRPr="00A22656">
        <w:rPr>
          <w:rFonts w:ascii="Times New Roman" w:hAnsi="Times New Roman" w:cs="Times New Roman"/>
          <w:sz w:val="24"/>
          <w:szCs w:val="20"/>
        </w:rPr>
        <w:t>E</w:t>
      </w:r>
      <w:r w:rsidR="00467A00" w:rsidRPr="00A22656">
        <w:rPr>
          <w:rFonts w:ascii="Times New Roman" w:hAnsi="Times New Roman" w:cs="Times New Roman"/>
          <w:sz w:val="24"/>
          <w:szCs w:val="20"/>
        </w:rPr>
        <w:t>U secondary legislation operates in breach of fundamental rights protected by the Union Charter</w:t>
      </w:r>
      <w:r w:rsidR="00651236" w:rsidRPr="00A22656">
        <w:rPr>
          <w:rFonts w:ascii="Times New Roman" w:hAnsi="Times New Roman" w:cs="Times New Roman"/>
          <w:sz w:val="24"/>
          <w:szCs w:val="20"/>
        </w:rPr>
        <w:t xml:space="preserve"> (CFR)</w:t>
      </w:r>
      <w:r w:rsidR="00467A00" w:rsidRPr="00A22656">
        <w:rPr>
          <w:rFonts w:ascii="Times New Roman" w:hAnsi="Times New Roman" w:cs="Times New Roman"/>
          <w:sz w:val="24"/>
          <w:szCs w:val="20"/>
        </w:rPr>
        <w:t>.</w:t>
      </w:r>
      <w:r w:rsidR="00467A00" w:rsidRPr="00A22656">
        <w:rPr>
          <w:rStyle w:val="FootnoteReference"/>
          <w:rFonts w:ascii="Times New Roman" w:hAnsi="Times New Roman" w:cs="Times New Roman"/>
          <w:sz w:val="24"/>
          <w:szCs w:val="20"/>
        </w:rPr>
        <w:footnoteReference w:id="41"/>
      </w:r>
    </w:p>
    <w:p w:rsidR="00CB4383" w:rsidRPr="00A22656" w:rsidRDefault="00CB4383" w:rsidP="005F768F">
      <w:pPr>
        <w:pStyle w:val="NoSpacing"/>
        <w:spacing w:line="360" w:lineRule="auto"/>
        <w:jc w:val="both"/>
        <w:rPr>
          <w:rFonts w:ascii="Times New Roman" w:hAnsi="Times New Roman" w:cs="Times New Roman"/>
          <w:sz w:val="24"/>
          <w:szCs w:val="24"/>
        </w:rPr>
      </w:pPr>
    </w:p>
    <w:p w:rsidR="00486F87" w:rsidRPr="00A22656" w:rsidRDefault="00CB4383"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Thus, the picture so far is mixed. On the one hand, the Decision clearly speak</w:t>
      </w:r>
      <w:r w:rsidR="0099646F" w:rsidRPr="00A22656">
        <w:rPr>
          <w:rFonts w:ascii="Times New Roman" w:hAnsi="Times New Roman" w:cs="Times New Roman"/>
          <w:sz w:val="24"/>
          <w:szCs w:val="24"/>
        </w:rPr>
        <w:t xml:space="preserve">s </w:t>
      </w:r>
      <w:r w:rsidRPr="00A22656">
        <w:rPr>
          <w:rFonts w:ascii="Times New Roman" w:hAnsi="Times New Roman" w:cs="Times New Roman"/>
          <w:sz w:val="24"/>
          <w:szCs w:val="24"/>
        </w:rPr>
        <w:t xml:space="preserve">directly to the language used by the Court in those cases in which it has permitted Union-level restrictions on free movement. </w:t>
      </w:r>
      <w:r w:rsidR="007E6571" w:rsidRPr="00A22656">
        <w:rPr>
          <w:rFonts w:ascii="Times New Roman" w:hAnsi="Times New Roman" w:cs="Times New Roman"/>
          <w:sz w:val="24"/>
          <w:szCs w:val="24"/>
        </w:rPr>
        <w:t xml:space="preserve">More broadly, the processes and justifications within the Decision largely </w:t>
      </w:r>
      <w:r w:rsidR="00D669A3" w:rsidRPr="00A22656">
        <w:rPr>
          <w:rFonts w:ascii="Times New Roman" w:hAnsi="Times New Roman" w:cs="Times New Roman"/>
          <w:sz w:val="24"/>
          <w:szCs w:val="24"/>
        </w:rPr>
        <w:t>emulated</w:t>
      </w:r>
      <w:r w:rsidR="007E6571" w:rsidRPr="00A22656">
        <w:rPr>
          <w:rFonts w:ascii="Times New Roman" w:hAnsi="Times New Roman" w:cs="Times New Roman"/>
          <w:sz w:val="24"/>
          <w:szCs w:val="24"/>
        </w:rPr>
        <w:t xml:space="preserve"> those already used for temporary restrictions on workers from recently acceded Member States, albeit via primary law.</w:t>
      </w:r>
      <w:r w:rsidR="007E6571" w:rsidRPr="00A22656">
        <w:rPr>
          <w:rStyle w:val="FootnoteReference"/>
          <w:rFonts w:ascii="Times New Roman" w:hAnsi="Times New Roman" w:cs="Times New Roman"/>
          <w:sz w:val="24"/>
          <w:szCs w:val="24"/>
        </w:rPr>
        <w:footnoteReference w:id="42"/>
      </w:r>
      <w:r w:rsidR="007E6571" w:rsidRPr="00A22656">
        <w:rPr>
          <w:rFonts w:ascii="Times New Roman" w:hAnsi="Times New Roman" w:cs="Times New Roman"/>
          <w:sz w:val="24"/>
          <w:szCs w:val="24"/>
        </w:rPr>
        <w:t xml:space="preserve"> </w:t>
      </w:r>
      <w:r w:rsidRPr="00A22656">
        <w:rPr>
          <w:rFonts w:ascii="Times New Roman" w:hAnsi="Times New Roman" w:cs="Times New Roman"/>
          <w:sz w:val="24"/>
          <w:szCs w:val="24"/>
        </w:rPr>
        <w:t xml:space="preserve">On the other hand, </w:t>
      </w:r>
      <w:r w:rsidR="00D669A3" w:rsidRPr="00A22656">
        <w:rPr>
          <w:rFonts w:ascii="Times New Roman" w:hAnsi="Times New Roman" w:cs="Times New Roman"/>
          <w:sz w:val="24"/>
          <w:szCs w:val="24"/>
        </w:rPr>
        <w:t xml:space="preserve">the CJEU has </w:t>
      </w:r>
      <w:r w:rsidR="008E7E35" w:rsidRPr="00A22656">
        <w:rPr>
          <w:rFonts w:ascii="Times New Roman" w:hAnsi="Times New Roman" w:cs="Times New Roman"/>
          <w:sz w:val="24"/>
          <w:szCs w:val="24"/>
        </w:rPr>
        <w:t>rejected other EU legislati</w:t>
      </w:r>
      <w:r w:rsidR="00D669A3" w:rsidRPr="00A22656">
        <w:rPr>
          <w:rFonts w:ascii="Times New Roman" w:hAnsi="Times New Roman" w:cs="Times New Roman"/>
          <w:sz w:val="24"/>
          <w:szCs w:val="24"/>
        </w:rPr>
        <w:t>on that mirrors instruments</w:t>
      </w:r>
      <w:r w:rsidR="008E7E35" w:rsidRPr="00A22656">
        <w:rPr>
          <w:rFonts w:ascii="Times New Roman" w:hAnsi="Times New Roman" w:cs="Times New Roman"/>
          <w:sz w:val="24"/>
          <w:szCs w:val="24"/>
        </w:rPr>
        <w:t xml:space="preserve"> it has accepted in the past: those of a temporary nature, focused on exceptional in-flows and disturbances to the domestic market, and not explicitly turning on the question of nationality.</w:t>
      </w:r>
      <w:r w:rsidR="00D669A3" w:rsidRPr="00A22656">
        <w:rPr>
          <w:rFonts w:ascii="Times New Roman" w:hAnsi="Times New Roman" w:cs="Times New Roman"/>
          <w:sz w:val="24"/>
          <w:szCs w:val="20"/>
        </w:rPr>
        <w:t xml:space="preserve"> Indeed</w:t>
      </w:r>
      <w:r w:rsidR="008E7E35" w:rsidRPr="00A22656">
        <w:rPr>
          <w:rFonts w:ascii="Times New Roman" w:hAnsi="Times New Roman" w:cs="Times New Roman"/>
          <w:sz w:val="24"/>
          <w:szCs w:val="20"/>
        </w:rPr>
        <w:t>,</w:t>
      </w:r>
      <w:r w:rsidR="00D669A3" w:rsidRPr="00A22656">
        <w:rPr>
          <w:rFonts w:ascii="Times New Roman" w:hAnsi="Times New Roman" w:cs="Times New Roman"/>
          <w:sz w:val="24"/>
          <w:szCs w:val="20"/>
        </w:rPr>
        <w:t xml:space="preserve"> a permissive approach is often more likely where restrictions form part of a longer-term plan for graduated harmonisation.</w:t>
      </w:r>
      <w:r w:rsidR="00116576" w:rsidRPr="00A22656">
        <w:rPr>
          <w:rStyle w:val="FootnoteReference"/>
          <w:rFonts w:ascii="Times New Roman" w:hAnsi="Times New Roman" w:cs="Times New Roman"/>
          <w:sz w:val="24"/>
          <w:szCs w:val="24"/>
        </w:rPr>
        <w:footnoteReference w:id="43"/>
      </w:r>
      <w:r w:rsidR="008E7E35" w:rsidRPr="00A22656">
        <w:rPr>
          <w:rFonts w:ascii="Times New Roman" w:hAnsi="Times New Roman" w:cs="Times New Roman"/>
          <w:sz w:val="24"/>
          <w:szCs w:val="24"/>
        </w:rPr>
        <w:t xml:space="preserve"> </w:t>
      </w:r>
      <w:r w:rsidR="00C91595" w:rsidRPr="00A22656">
        <w:rPr>
          <w:rFonts w:ascii="Times New Roman" w:hAnsi="Times New Roman" w:cs="Times New Roman"/>
          <w:sz w:val="24"/>
          <w:szCs w:val="20"/>
        </w:rPr>
        <w:t xml:space="preserve">A clearer picture </w:t>
      </w:r>
      <w:r w:rsidR="00D669A3" w:rsidRPr="00A22656">
        <w:rPr>
          <w:rFonts w:ascii="Times New Roman" w:hAnsi="Times New Roman" w:cs="Times New Roman"/>
          <w:sz w:val="24"/>
          <w:szCs w:val="20"/>
        </w:rPr>
        <w:t xml:space="preserve">– </w:t>
      </w:r>
      <w:r w:rsidR="008E7E35" w:rsidRPr="00A22656">
        <w:rPr>
          <w:rFonts w:ascii="Times New Roman" w:hAnsi="Times New Roman" w:cs="Times New Roman"/>
          <w:sz w:val="24"/>
          <w:szCs w:val="20"/>
        </w:rPr>
        <w:t>ultimately suggesting a</w:t>
      </w:r>
      <w:r w:rsidR="00D669A3" w:rsidRPr="00A22656">
        <w:rPr>
          <w:rFonts w:ascii="Times New Roman" w:hAnsi="Times New Roman" w:cs="Times New Roman"/>
          <w:sz w:val="24"/>
          <w:szCs w:val="20"/>
        </w:rPr>
        <w:t>cceptance</w:t>
      </w:r>
      <w:r w:rsidR="008E7E35" w:rsidRPr="00A22656">
        <w:rPr>
          <w:rFonts w:ascii="Times New Roman" w:hAnsi="Times New Roman" w:cs="Times New Roman"/>
          <w:sz w:val="24"/>
          <w:szCs w:val="20"/>
        </w:rPr>
        <w:t xml:space="preserve"> - </w:t>
      </w:r>
      <w:r w:rsidR="00C91595" w:rsidRPr="00A22656">
        <w:rPr>
          <w:rFonts w:ascii="Times New Roman" w:hAnsi="Times New Roman" w:cs="Times New Roman"/>
          <w:sz w:val="24"/>
          <w:szCs w:val="20"/>
        </w:rPr>
        <w:t xml:space="preserve">nevertheless emerges when </w:t>
      </w:r>
      <w:r w:rsidR="00D669A3" w:rsidRPr="00A22656">
        <w:rPr>
          <w:rFonts w:ascii="Times New Roman" w:hAnsi="Times New Roman" w:cs="Times New Roman"/>
          <w:sz w:val="24"/>
          <w:szCs w:val="20"/>
        </w:rPr>
        <w:t xml:space="preserve">recent judicial developments within Union citizenship are </w:t>
      </w:r>
      <w:r w:rsidR="00C91595" w:rsidRPr="00A22656">
        <w:rPr>
          <w:rFonts w:ascii="Times New Roman" w:hAnsi="Times New Roman" w:cs="Times New Roman"/>
          <w:sz w:val="24"/>
          <w:szCs w:val="20"/>
        </w:rPr>
        <w:t>considered.</w:t>
      </w:r>
      <w:r w:rsidR="00486F87" w:rsidRPr="00A22656">
        <w:rPr>
          <w:rFonts w:ascii="Times New Roman" w:hAnsi="Times New Roman" w:cs="Times New Roman"/>
          <w:sz w:val="24"/>
          <w:szCs w:val="24"/>
        </w:rPr>
        <w:t xml:space="preserve"> </w:t>
      </w:r>
    </w:p>
    <w:p w:rsidR="00BD699B" w:rsidRPr="00A22656" w:rsidRDefault="00BD699B" w:rsidP="005F768F">
      <w:pPr>
        <w:pStyle w:val="NoSpacing"/>
        <w:spacing w:line="360" w:lineRule="auto"/>
        <w:jc w:val="both"/>
        <w:rPr>
          <w:rFonts w:ascii="Times New Roman" w:hAnsi="Times New Roman" w:cs="Times New Roman"/>
          <w:sz w:val="24"/>
          <w:szCs w:val="24"/>
        </w:rPr>
      </w:pPr>
    </w:p>
    <w:p w:rsidR="00BD699B" w:rsidRPr="00A22656" w:rsidRDefault="00BD699B" w:rsidP="005F768F">
      <w:pPr>
        <w:pStyle w:val="NoSpacing"/>
        <w:numPr>
          <w:ilvl w:val="2"/>
          <w:numId w:val="2"/>
        </w:numPr>
        <w:spacing w:line="360" w:lineRule="auto"/>
        <w:jc w:val="both"/>
        <w:rPr>
          <w:rFonts w:ascii="Times New Roman" w:hAnsi="Times New Roman" w:cs="Times New Roman"/>
          <w:i/>
          <w:sz w:val="24"/>
          <w:szCs w:val="24"/>
        </w:rPr>
      </w:pPr>
      <w:r w:rsidRPr="00A22656">
        <w:rPr>
          <w:rFonts w:ascii="Times New Roman" w:hAnsi="Times New Roman" w:cs="Times New Roman"/>
          <w:i/>
          <w:sz w:val="24"/>
          <w:szCs w:val="24"/>
        </w:rPr>
        <w:t>Consistent interpretation or a parallel primary law framework</w:t>
      </w:r>
    </w:p>
    <w:p w:rsidR="00BD699B" w:rsidRPr="00A22656" w:rsidRDefault="00BD699B" w:rsidP="005F768F">
      <w:pPr>
        <w:pStyle w:val="NoSpacing"/>
        <w:spacing w:line="360" w:lineRule="auto"/>
        <w:jc w:val="both"/>
        <w:rPr>
          <w:rFonts w:ascii="Times New Roman" w:hAnsi="Times New Roman" w:cs="Times New Roman"/>
          <w:sz w:val="24"/>
          <w:szCs w:val="24"/>
        </w:rPr>
      </w:pPr>
    </w:p>
    <w:p w:rsidR="00C41324" w:rsidRPr="00A22656" w:rsidRDefault="008E7E35"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D</w:t>
      </w:r>
      <w:r w:rsidR="004F281F" w:rsidRPr="00A22656">
        <w:rPr>
          <w:rFonts w:ascii="Times New Roman" w:hAnsi="Times New Roman" w:cs="Times New Roman"/>
          <w:sz w:val="24"/>
          <w:szCs w:val="24"/>
        </w:rPr>
        <w:t xml:space="preserve">epending on whether it were the safeguard mechanism itself or the </w:t>
      </w:r>
      <w:r w:rsidRPr="00A22656">
        <w:rPr>
          <w:rFonts w:ascii="Times New Roman" w:hAnsi="Times New Roman" w:cs="Times New Roman"/>
          <w:sz w:val="24"/>
          <w:szCs w:val="24"/>
        </w:rPr>
        <w:t xml:space="preserve">Member State’s </w:t>
      </w:r>
      <w:r w:rsidR="004F281F" w:rsidRPr="00A22656">
        <w:rPr>
          <w:rFonts w:ascii="Times New Roman" w:hAnsi="Times New Roman" w:cs="Times New Roman"/>
          <w:sz w:val="24"/>
          <w:szCs w:val="24"/>
        </w:rPr>
        <w:t>implementation of it that were challenged, it would be open to the Court either to interpret the safeguard as far as is possible in line with the principle of non-discrimination, or find that</w:t>
      </w:r>
      <w:r w:rsidR="003C4224" w:rsidRPr="00A22656">
        <w:rPr>
          <w:rFonts w:ascii="Times New Roman" w:hAnsi="Times New Roman" w:cs="Times New Roman"/>
          <w:sz w:val="24"/>
          <w:szCs w:val="24"/>
        </w:rPr>
        <w:t>,</w:t>
      </w:r>
      <w:r w:rsidRPr="00A22656">
        <w:rPr>
          <w:rFonts w:ascii="Times New Roman" w:hAnsi="Times New Roman" w:cs="Times New Roman"/>
          <w:sz w:val="24"/>
          <w:szCs w:val="24"/>
        </w:rPr>
        <w:t xml:space="preserve"> while the safeguard itself was</w:t>
      </w:r>
      <w:r w:rsidR="004F281F" w:rsidRPr="00A22656">
        <w:rPr>
          <w:rFonts w:ascii="Times New Roman" w:hAnsi="Times New Roman" w:cs="Times New Roman"/>
          <w:sz w:val="24"/>
          <w:szCs w:val="24"/>
        </w:rPr>
        <w:t xml:space="preserve"> compliant, </w:t>
      </w:r>
      <w:r w:rsidRPr="00A22656">
        <w:rPr>
          <w:rFonts w:ascii="Times New Roman" w:hAnsi="Times New Roman" w:cs="Times New Roman"/>
          <w:sz w:val="24"/>
          <w:szCs w:val="24"/>
        </w:rPr>
        <w:t>domestic implementation was not</w:t>
      </w:r>
      <w:r w:rsidR="004F281F" w:rsidRPr="00A22656">
        <w:rPr>
          <w:rFonts w:ascii="Times New Roman" w:hAnsi="Times New Roman" w:cs="Times New Roman"/>
          <w:sz w:val="24"/>
          <w:szCs w:val="24"/>
        </w:rPr>
        <w:t>. This would be consistent with the</w:t>
      </w:r>
      <w:r w:rsidR="00C41324" w:rsidRPr="00A22656">
        <w:rPr>
          <w:rFonts w:ascii="Times New Roman" w:hAnsi="Times New Roman" w:cs="Times New Roman"/>
          <w:sz w:val="24"/>
          <w:szCs w:val="24"/>
        </w:rPr>
        <w:t xml:space="preserve"> Court’s</w:t>
      </w:r>
      <w:r w:rsidR="004F281F" w:rsidRPr="00A22656">
        <w:rPr>
          <w:rFonts w:ascii="Times New Roman" w:hAnsi="Times New Roman" w:cs="Times New Roman"/>
          <w:sz w:val="24"/>
          <w:szCs w:val="24"/>
        </w:rPr>
        <w:t xml:space="preserve"> </w:t>
      </w:r>
      <w:r w:rsidR="00C41324" w:rsidRPr="00A22656">
        <w:rPr>
          <w:rFonts w:ascii="Times New Roman" w:hAnsi="Times New Roman" w:cs="Times New Roman"/>
          <w:sz w:val="24"/>
          <w:szCs w:val="24"/>
        </w:rPr>
        <w:t xml:space="preserve">general </w:t>
      </w:r>
      <w:r w:rsidR="004F281F" w:rsidRPr="00A22656">
        <w:rPr>
          <w:rFonts w:ascii="Times New Roman" w:hAnsi="Times New Roman" w:cs="Times New Roman"/>
          <w:sz w:val="24"/>
          <w:szCs w:val="24"/>
        </w:rPr>
        <w:t>presumption that Union legislation does not authorise Member State acts that are in breach of the Treaty free movement rules and their derogating provisions.</w:t>
      </w:r>
      <w:r w:rsidR="00A859BB" w:rsidRPr="00A22656">
        <w:rPr>
          <w:rStyle w:val="FootnoteReference"/>
          <w:rFonts w:ascii="Times New Roman" w:hAnsi="Times New Roman" w:cs="Times New Roman"/>
          <w:sz w:val="24"/>
          <w:szCs w:val="20"/>
        </w:rPr>
        <w:footnoteReference w:id="44"/>
      </w:r>
      <w:r w:rsidR="004F281F" w:rsidRPr="00A22656">
        <w:rPr>
          <w:rFonts w:ascii="Times New Roman" w:hAnsi="Times New Roman" w:cs="Times New Roman"/>
          <w:sz w:val="24"/>
          <w:szCs w:val="24"/>
        </w:rPr>
        <w:t xml:space="preserve"> Given the blatant discrimination the safeguard mechanism permits against non-national Union wor</w:t>
      </w:r>
      <w:r w:rsidR="00C41324" w:rsidRPr="00A22656">
        <w:rPr>
          <w:rFonts w:ascii="Times New Roman" w:hAnsi="Times New Roman" w:cs="Times New Roman"/>
          <w:sz w:val="24"/>
          <w:szCs w:val="24"/>
        </w:rPr>
        <w:t>kers – authorised by the EU</w:t>
      </w:r>
      <w:r w:rsidR="004F281F" w:rsidRPr="00A22656">
        <w:rPr>
          <w:rFonts w:ascii="Times New Roman" w:hAnsi="Times New Roman" w:cs="Times New Roman"/>
          <w:sz w:val="24"/>
          <w:szCs w:val="24"/>
        </w:rPr>
        <w:t xml:space="preserve"> legislat</w:t>
      </w:r>
      <w:r w:rsidR="00C41324" w:rsidRPr="00A22656">
        <w:rPr>
          <w:rFonts w:ascii="Times New Roman" w:hAnsi="Times New Roman" w:cs="Times New Roman"/>
          <w:sz w:val="24"/>
          <w:szCs w:val="24"/>
        </w:rPr>
        <w:t>ure</w:t>
      </w:r>
      <w:r w:rsidR="004F281F" w:rsidRPr="00A22656">
        <w:rPr>
          <w:rFonts w:ascii="Times New Roman" w:hAnsi="Times New Roman" w:cs="Times New Roman"/>
          <w:sz w:val="24"/>
          <w:szCs w:val="24"/>
        </w:rPr>
        <w:t xml:space="preserve"> – however, </w:t>
      </w:r>
      <w:r w:rsidRPr="00A22656">
        <w:rPr>
          <w:rFonts w:ascii="Times New Roman" w:hAnsi="Times New Roman" w:cs="Times New Roman"/>
          <w:sz w:val="24"/>
          <w:szCs w:val="24"/>
        </w:rPr>
        <w:t xml:space="preserve">this approach seems improbable. </w:t>
      </w:r>
    </w:p>
    <w:p w:rsidR="00C41324" w:rsidRPr="00A22656" w:rsidRDefault="00C41324" w:rsidP="005F768F">
      <w:pPr>
        <w:pStyle w:val="NoSpacing"/>
        <w:spacing w:line="360" w:lineRule="auto"/>
        <w:jc w:val="both"/>
        <w:rPr>
          <w:rFonts w:ascii="Times New Roman" w:hAnsi="Times New Roman" w:cs="Times New Roman"/>
          <w:sz w:val="24"/>
          <w:szCs w:val="24"/>
        </w:rPr>
      </w:pPr>
    </w:p>
    <w:p w:rsidR="00467A00" w:rsidRPr="00A22656" w:rsidRDefault="008E7E35"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lastRenderedPageBreak/>
        <w:t>In assessing the originating Union legislation</w:t>
      </w:r>
      <w:r w:rsidR="00C41324" w:rsidRPr="00A22656">
        <w:rPr>
          <w:rFonts w:ascii="Times New Roman" w:hAnsi="Times New Roman" w:cs="Times New Roman"/>
          <w:sz w:val="24"/>
          <w:szCs w:val="24"/>
        </w:rPr>
        <w:t xml:space="preserve"> directly</w:t>
      </w:r>
      <w:r w:rsidRPr="00A22656">
        <w:rPr>
          <w:rFonts w:ascii="Times New Roman" w:hAnsi="Times New Roman" w:cs="Times New Roman"/>
          <w:sz w:val="24"/>
          <w:szCs w:val="24"/>
        </w:rPr>
        <w:t>, t</w:t>
      </w:r>
      <w:r w:rsidR="0025060E" w:rsidRPr="00A22656">
        <w:rPr>
          <w:rFonts w:ascii="Times New Roman" w:hAnsi="Times New Roman" w:cs="Times New Roman"/>
          <w:sz w:val="24"/>
          <w:szCs w:val="24"/>
        </w:rPr>
        <w:t>he CJEU might</w:t>
      </w:r>
      <w:r w:rsidRPr="00A22656">
        <w:rPr>
          <w:rFonts w:ascii="Times New Roman" w:hAnsi="Times New Roman" w:cs="Times New Roman"/>
          <w:sz w:val="24"/>
          <w:szCs w:val="24"/>
        </w:rPr>
        <w:t xml:space="preserve"> have</w:t>
      </w:r>
      <w:r w:rsidR="00A859BB" w:rsidRPr="00A22656">
        <w:rPr>
          <w:rFonts w:ascii="Times New Roman" w:hAnsi="Times New Roman" w:cs="Times New Roman"/>
          <w:sz w:val="24"/>
          <w:szCs w:val="20"/>
        </w:rPr>
        <w:t xml:space="preserve"> ‘emasculate</w:t>
      </w:r>
      <w:r w:rsidRPr="00A22656">
        <w:rPr>
          <w:rFonts w:ascii="Times New Roman" w:hAnsi="Times New Roman" w:cs="Times New Roman"/>
          <w:sz w:val="24"/>
          <w:szCs w:val="20"/>
        </w:rPr>
        <w:t>d</w:t>
      </w:r>
      <w:r w:rsidR="00A859BB" w:rsidRPr="00A22656">
        <w:rPr>
          <w:rFonts w:ascii="Times New Roman" w:hAnsi="Times New Roman" w:cs="Times New Roman"/>
          <w:sz w:val="24"/>
          <w:szCs w:val="20"/>
        </w:rPr>
        <w:t>’</w:t>
      </w:r>
      <w:r w:rsidR="000A3E17" w:rsidRPr="00A22656">
        <w:rPr>
          <w:rStyle w:val="FootnoteReference"/>
          <w:rFonts w:ascii="Times New Roman" w:hAnsi="Times New Roman" w:cs="Times New Roman"/>
          <w:sz w:val="24"/>
          <w:szCs w:val="20"/>
        </w:rPr>
        <w:footnoteReference w:id="45"/>
      </w:r>
      <w:r w:rsidR="00A859BB" w:rsidRPr="00A22656">
        <w:rPr>
          <w:rFonts w:ascii="Times New Roman" w:hAnsi="Times New Roman" w:cs="Times New Roman"/>
          <w:sz w:val="24"/>
          <w:szCs w:val="20"/>
        </w:rPr>
        <w:t xml:space="preserve"> the safeguard mechanism </w:t>
      </w:r>
      <w:r w:rsidR="00C41324" w:rsidRPr="00A22656">
        <w:rPr>
          <w:rFonts w:ascii="Times New Roman" w:hAnsi="Times New Roman" w:cs="Times New Roman"/>
          <w:sz w:val="24"/>
          <w:szCs w:val="20"/>
        </w:rPr>
        <w:t xml:space="preserve">as it did in relation to </w:t>
      </w:r>
      <w:r w:rsidR="00E2011F" w:rsidRPr="00A22656">
        <w:rPr>
          <w:rFonts w:ascii="Times New Roman" w:hAnsi="Times New Roman" w:cs="Times New Roman"/>
          <w:sz w:val="24"/>
          <w:szCs w:val="20"/>
        </w:rPr>
        <w:t>the derogation from equal treatment for jobseekers contained in Article 24(2) Directive 2004/38.</w:t>
      </w:r>
      <w:r w:rsidR="0025060E" w:rsidRPr="00A22656">
        <w:rPr>
          <w:rFonts w:ascii="Times New Roman" w:hAnsi="Times New Roman" w:cs="Times New Roman"/>
          <w:sz w:val="24"/>
          <w:szCs w:val="20"/>
        </w:rPr>
        <w:t xml:space="preserve"> </w:t>
      </w:r>
      <w:r w:rsidR="00E2011F" w:rsidRPr="00A22656">
        <w:rPr>
          <w:rFonts w:ascii="Times New Roman" w:hAnsi="Times New Roman" w:cs="Times New Roman"/>
          <w:sz w:val="24"/>
          <w:szCs w:val="20"/>
        </w:rPr>
        <w:t xml:space="preserve">In </w:t>
      </w:r>
      <w:proofErr w:type="spellStart"/>
      <w:r w:rsidR="00A859BB" w:rsidRPr="00A22656">
        <w:rPr>
          <w:rFonts w:ascii="Times New Roman" w:hAnsi="Times New Roman" w:cs="Times New Roman"/>
          <w:i/>
          <w:sz w:val="24"/>
          <w:szCs w:val="20"/>
        </w:rPr>
        <w:t>Vatsouras</w:t>
      </w:r>
      <w:proofErr w:type="spellEnd"/>
      <w:r w:rsidR="000A3E17" w:rsidRPr="00A22656">
        <w:rPr>
          <w:rStyle w:val="FootnoteReference"/>
          <w:rFonts w:ascii="Times New Roman" w:hAnsi="Times New Roman" w:cs="Times New Roman"/>
          <w:sz w:val="24"/>
          <w:szCs w:val="20"/>
        </w:rPr>
        <w:footnoteReference w:id="46"/>
      </w:r>
      <w:r w:rsidR="009C2015" w:rsidRPr="00A22656">
        <w:rPr>
          <w:rFonts w:ascii="Times New Roman" w:hAnsi="Times New Roman" w:cs="Times New Roman"/>
          <w:sz w:val="24"/>
          <w:szCs w:val="20"/>
        </w:rPr>
        <w:t xml:space="preserve"> the Court placed jobseekers’ allowance </w:t>
      </w:r>
      <w:proofErr w:type="spellStart"/>
      <w:r w:rsidR="009C2015" w:rsidRPr="00A22656">
        <w:rPr>
          <w:rFonts w:ascii="Times New Roman" w:hAnsi="Times New Roman" w:cs="Times New Roman"/>
          <w:sz w:val="24"/>
          <w:szCs w:val="20"/>
        </w:rPr>
        <w:t>outwith</w:t>
      </w:r>
      <w:proofErr w:type="spellEnd"/>
      <w:r w:rsidR="009C2015" w:rsidRPr="00A22656">
        <w:rPr>
          <w:rFonts w:ascii="Times New Roman" w:hAnsi="Times New Roman" w:cs="Times New Roman"/>
          <w:sz w:val="24"/>
          <w:szCs w:val="20"/>
        </w:rPr>
        <w:t xml:space="preserve"> the concept of ‘social assistance’</w:t>
      </w:r>
      <w:r w:rsidR="00E2011F" w:rsidRPr="00A22656">
        <w:rPr>
          <w:rFonts w:ascii="Times New Roman" w:hAnsi="Times New Roman" w:cs="Times New Roman"/>
          <w:sz w:val="24"/>
          <w:szCs w:val="20"/>
        </w:rPr>
        <w:t>, contained in the Article 24(2) derogation,</w:t>
      </w:r>
      <w:r w:rsidR="009C2015" w:rsidRPr="00A22656">
        <w:rPr>
          <w:rFonts w:ascii="Times New Roman" w:hAnsi="Times New Roman" w:cs="Times New Roman"/>
          <w:sz w:val="24"/>
          <w:szCs w:val="20"/>
        </w:rPr>
        <w:t xml:space="preserve"> to ensure access to this form of support for Union citizen work</w:t>
      </w:r>
      <w:r w:rsidR="00C41324" w:rsidRPr="00A22656">
        <w:rPr>
          <w:rFonts w:ascii="Times New Roman" w:hAnsi="Times New Roman" w:cs="Times New Roman"/>
          <w:sz w:val="24"/>
          <w:szCs w:val="20"/>
        </w:rPr>
        <w:t>-</w:t>
      </w:r>
      <w:r w:rsidR="009C2015" w:rsidRPr="00A22656">
        <w:rPr>
          <w:rFonts w:ascii="Times New Roman" w:hAnsi="Times New Roman" w:cs="Times New Roman"/>
          <w:sz w:val="24"/>
          <w:szCs w:val="20"/>
        </w:rPr>
        <w:t xml:space="preserve">seekers, in line with its </w:t>
      </w:r>
      <w:r w:rsidR="009C2015" w:rsidRPr="00A22656">
        <w:rPr>
          <w:rFonts w:ascii="Times New Roman" w:hAnsi="Times New Roman" w:cs="Times New Roman"/>
          <w:i/>
          <w:sz w:val="24"/>
          <w:szCs w:val="20"/>
        </w:rPr>
        <w:t>Collins</w:t>
      </w:r>
      <w:r w:rsidR="00E2011F" w:rsidRPr="00A22656">
        <w:rPr>
          <w:rStyle w:val="FootnoteReference"/>
          <w:rFonts w:ascii="Times New Roman" w:hAnsi="Times New Roman" w:cs="Times New Roman"/>
          <w:sz w:val="24"/>
          <w:szCs w:val="20"/>
        </w:rPr>
        <w:footnoteReference w:id="47"/>
      </w:r>
      <w:r w:rsidR="009C2015" w:rsidRPr="00A22656">
        <w:rPr>
          <w:rFonts w:ascii="Times New Roman" w:hAnsi="Times New Roman" w:cs="Times New Roman"/>
          <w:sz w:val="24"/>
          <w:szCs w:val="20"/>
        </w:rPr>
        <w:t xml:space="preserve"> judgment</w:t>
      </w:r>
      <w:r w:rsidR="00E2011F" w:rsidRPr="00A22656">
        <w:rPr>
          <w:rFonts w:ascii="Times New Roman" w:hAnsi="Times New Roman" w:cs="Times New Roman"/>
          <w:sz w:val="24"/>
          <w:szCs w:val="20"/>
        </w:rPr>
        <w:t>.</w:t>
      </w:r>
      <w:r w:rsidR="009C2015" w:rsidRPr="00A22656">
        <w:rPr>
          <w:rFonts w:ascii="Times New Roman" w:hAnsi="Times New Roman" w:cs="Times New Roman"/>
          <w:sz w:val="24"/>
          <w:szCs w:val="20"/>
        </w:rPr>
        <w:t xml:space="preserve"> </w:t>
      </w:r>
      <w:r w:rsidR="00C41324" w:rsidRPr="00A22656">
        <w:rPr>
          <w:rFonts w:ascii="Times New Roman" w:hAnsi="Times New Roman" w:cs="Times New Roman"/>
          <w:sz w:val="24"/>
          <w:szCs w:val="20"/>
        </w:rPr>
        <w:t>Regarding</w:t>
      </w:r>
      <w:r w:rsidR="0025060E" w:rsidRPr="00A22656">
        <w:rPr>
          <w:rFonts w:ascii="Times New Roman" w:hAnsi="Times New Roman" w:cs="Times New Roman"/>
          <w:sz w:val="24"/>
          <w:szCs w:val="20"/>
        </w:rPr>
        <w:t xml:space="preserve"> the safeguard mechanism, </w:t>
      </w:r>
      <w:r w:rsidR="00A859BB" w:rsidRPr="00A22656">
        <w:rPr>
          <w:rFonts w:ascii="Times New Roman" w:hAnsi="Times New Roman" w:cs="Times New Roman"/>
          <w:sz w:val="24"/>
          <w:szCs w:val="20"/>
        </w:rPr>
        <w:t>the Court might</w:t>
      </w:r>
      <w:r w:rsidR="0025060E" w:rsidRPr="00A22656">
        <w:rPr>
          <w:rFonts w:ascii="Times New Roman" w:hAnsi="Times New Roman" w:cs="Times New Roman"/>
          <w:sz w:val="24"/>
          <w:szCs w:val="20"/>
        </w:rPr>
        <w:t>, for instance, have</w:t>
      </w:r>
      <w:r w:rsidR="00A859BB" w:rsidRPr="00A22656">
        <w:rPr>
          <w:rFonts w:ascii="Times New Roman" w:hAnsi="Times New Roman" w:cs="Times New Roman"/>
          <w:sz w:val="24"/>
          <w:szCs w:val="20"/>
        </w:rPr>
        <w:t xml:space="preserve"> claim</w:t>
      </w:r>
      <w:r w:rsidR="0025060E" w:rsidRPr="00A22656">
        <w:rPr>
          <w:rFonts w:ascii="Times New Roman" w:hAnsi="Times New Roman" w:cs="Times New Roman"/>
          <w:sz w:val="24"/>
          <w:szCs w:val="20"/>
        </w:rPr>
        <w:t>ed</w:t>
      </w:r>
      <w:r w:rsidR="00A859BB" w:rsidRPr="00A22656">
        <w:rPr>
          <w:rFonts w:ascii="Times New Roman" w:hAnsi="Times New Roman" w:cs="Times New Roman"/>
          <w:sz w:val="24"/>
          <w:szCs w:val="20"/>
        </w:rPr>
        <w:t xml:space="preserve"> exhaustive definitional authority </w:t>
      </w:r>
      <w:r w:rsidR="00C41324" w:rsidRPr="00A22656">
        <w:rPr>
          <w:rFonts w:ascii="Times New Roman" w:hAnsi="Times New Roman" w:cs="Times New Roman"/>
          <w:sz w:val="24"/>
          <w:szCs w:val="20"/>
        </w:rPr>
        <w:t>over</w:t>
      </w:r>
      <w:r w:rsidR="00A859BB" w:rsidRPr="00A22656">
        <w:rPr>
          <w:rFonts w:ascii="Times New Roman" w:hAnsi="Times New Roman" w:cs="Times New Roman"/>
          <w:sz w:val="24"/>
          <w:szCs w:val="20"/>
        </w:rPr>
        <w:t xml:space="preserve"> the concept of ‘in-work benefits’ or take</w:t>
      </w:r>
      <w:r w:rsidR="0025060E" w:rsidRPr="00A22656">
        <w:rPr>
          <w:rFonts w:ascii="Times New Roman" w:hAnsi="Times New Roman" w:cs="Times New Roman"/>
          <w:sz w:val="24"/>
          <w:szCs w:val="20"/>
        </w:rPr>
        <w:t>n</w:t>
      </w:r>
      <w:r w:rsidR="00A859BB" w:rsidRPr="00A22656">
        <w:rPr>
          <w:rFonts w:ascii="Times New Roman" w:hAnsi="Times New Roman" w:cs="Times New Roman"/>
          <w:sz w:val="24"/>
          <w:szCs w:val="20"/>
        </w:rPr>
        <w:t xml:space="preserve"> a generous approach whe</w:t>
      </w:r>
      <w:r w:rsidR="00C41324" w:rsidRPr="00A22656">
        <w:rPr>
          <w:rFonts w:ascii="Times New Roman" w:hAnsi="Times New Roman" w:cs="Times New Roman"/>
          <w:sz w:val="24"/>
          <w:szCs w:val="20"/>
        </w:rPr>
        <w:t xml:space="preserve">n determining  </w:t>
      </w:r>
      <w:r w:rsidR="00A859BB" w:rsidRPr="00A22656">
        <w:rPr>
          <w:rFonts w:ascii="Times New Roman" w:hAnsi="Times New Roman" w:cs="Times New Roman"/>
          <w:sz w:val="24"/>
          <w:szCs w:val="20"/>
        </w:rPr>
        <w:t>a ‘real link’ to the labour market</w:t>
      </w:r>
      <w:r w:rsidR="00E2011F" w:rsidRPr="00A22656">
        <w:rPr>
          <w:rFonts w:ascii="Times New Roman" w:hAnsi="Times New Roman" w:cs="Times New Roman"/>
          <w:sz w:val="24"/>
          <w:szCs w:val="20"/>
        </w:rPr>
        <w:t xml:space="preserve"> or the manner of ‘gradual’ access to social support.</w:t>
      </w:r>
      <w:r w:rsidR="00A859BB" w:rsidRPr="00A22656">
        <w:rPr>
          <w:rFonts w:ascii="Times New Roman" w:hAnsi="Times New Roman" w:cs="Times New Roman"/>
          <w:sz w:val="24"/>
          <w:szCs w:val="20"/>
        </w:rPr>
        <w:t xml:space="preserve"> </w:t>
      </w:r>
    </w:p>
    <w:p w:rsidR="00467A00" w:rsidRPr="00A22656" w:rsidRDefault="00467A00" w:rsidP="005F768F">
      <w:pPr>
        <w:pStyle w:val="NoSpacing"/>
        <w:spacing w:line="360" w:lineRule="auto"/>
        <w:jc w:val="both"/>
        <w:rPr>
          <w:rFonts w:ascii="Times New Roman" w:hAnsi="Times New Roman" w:cs="Times New Roman"/>
          <w:sz w:val="24"/>
          <w:szCs w:val="20"/>
        </w:rPr>
      </w:pPr>
    </w:p>
    <w:p w:rsidR="00A859BB" w:rsidRPr="00A22656" w:rsidRDefault="00546982"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Alternatively</w:t>
      </w:r>
      <w:r w:rsidR="0025060E" w:rsidRPr="00A22656">
        <w:rPr>
          <w:rFonts w:ascii="Times New Roman" w:hAnsi="Times New Roman" w:cs="Times New Roman"/>
          <w:sz w:val="24"/>
          <w:szCs w:val="20"/>
        </w:rPr>
        <w:t>, l</w:t>
      </w:r>
      <w:r w:rsidR="00A859BB" w:rsidRPr="00A22656">
        <w:rPr>
          <w:rFonts w:ascii="Times New Roman" w:hAnsi="Times New Roman" w:cs="Times New Roman"/>
          <w:sz w:val="24"/>
          <w:szCs w:val="20"/>
        </w:rPr>
        <w:t xml:space="preserve">itigants might </w:t>
      </w:r>
      <w:r w:rsidR="0025060E" w:rsidRPr="00A22656">
        <w:rPr>
          <w:rFonts w:ascii="Times New Roman" w:hAnsi="Times New Roman" w:cs="Times New Roman"/>
          <w:sz w:val="24"/>
          <w:szCs w:val="20"/>
        </w:rPr>
        <w:t>have sought to</w:t>
      </w:r>
      <w:r w:rsidR="00A859BB" w:rsidRPr="00A22656">
        <w:rPr>
          <w:rFonts w:ascii="Times New Roman" w:hAnsi="Times New Roman" w:cs="Times New Roman"/>
          <w:sz w:val="24"/>
          <w:szCs w:val="20"/>
        </w:rPr>
        <w:t xml:space="preserve"> bypass the amendment to Regulation No 492/2011 by seeking equal treatment directly under primary law. </w:t>
      </w:r>
      <w:r w:rsidR="00467A00" w:rsidRPr="00A22656">
        <w:rPr>
          <w:rFonts w:ascii="Times New Roman" w:hAnsi="Times New Roman" w:cs="Times New Roman"/>
          <w:sz w:val="24"/>
          <w:szCs w:val="20"/>
        </w:rPr>
        <w:t>Previously, t</w:t>
      </w:r>
      <w:r w:rsidR="008708C0" w:rsidRPr="00A22656">
        <w:rPr>
          <w:rFonts w:ascii="Times New Roman" w:hAnsi="Times New Roman" w:cs="Times New Roman"/>
          <w:sz w:val="24"/>
          <w:szCs w:val="20"/>
        </w:rPr>
        <w:t>his has been most vi</w:t>
      </w:r>
      <w:r w:rsidR="008E7370" w:rsidRPr="00A22656">
        <w:rPr>
          <w:rFonts w:ascii="Times New Roman" w:hAnsi="Times New Roman" w:cs="Times New Roman"/>
          <w:sz w:val="24"/>
          <w:szCs w:val="20"/>
        </w:rPr>
        <w:t>sible in</w:t>
      </w:r>
      <w:r w:rsidR="008708C0" w:rsidRPr="00A22656">
        <w:rPr>
          <w:rFonts w:ascii="Times New Roman" w:hAnsi="Times New Roman" w:cs="Times New Roman"/>
          <w:sz w:val="24"/>
          <w:szCs w:val="20"/>
        </w:rPr>
        <w:t xml:space="preserve"> </w:t>
      </w:r>
      <w:r w:rsidR="008708C0" w:rsidRPr="00A22656">
        <w:rPr>
          <w:rFonts w:ascii="Times New Roman" w:hAnsi="Times New Roman" w:cs="Times New Roman"/>
          <w:i/>
          <w:sz w:val="24"/>
          <w:szCs w:val="20"/>
        </w:rPr>
        <w:t>Chen</w:t>
      </w:r>
      <w:r w:rsidR="008708C0" w:rsidRPr="00A22656">
        <w:rPr>
          <w:rStyle w:val="FootnoteReference"/>
          <w:rFonts w:ascii="Times New Roman" w:hAnsi="Times New Roman" w:cs="Times New Roman"/>
          <w:sz w:val="24"/>
          <w:szCs w:val="20"/>
        </w:rPr>
        <w:footnoteReference w:id="48"/>
      </w:r>
      <w:r w:rsidR="008708C0" w:rsidRPr="00A22656">
        <w:rPr>
          <w:rFonts w:ascii="Times New Roman" w:hAnsi="Times New Roman" w:cs="Times New Roman"/>
          <w:i/>
          <w:sz w:val="24"/>
          <w:szCs w:val="20"/>
        </w:rPr>
        <w:t xml:space="preserve"> </w:t>
      </w:r>
      <w:r w:rsidR="008E7370" w:rsidRPr="00A22656">
        <w:rPr>
          <w:rFonts w:ascii="Times New Roman" w:hAnsi="Times New Roman" w:cs="Times New Roman"/>
          <w:sz w:val="24"/>
          <w:szCs w:val="20"/>
        </w:rPr>
        <w:t>and</w:t>
      </w:r>
      <w:r w:rsidR="008708C0" w:rsidRPr="00A22656">
        <w:rPr>
          <w:rFonts w:ascii="Times New Roman" w:hAnsi="Times New Roman" w:cs="Times New Roman"/>
          <w:sz w:val="24"/>
          <w:szCs w:val="20"/>
        </w:rPr>
        <w:t xml:space="preserve"> </w:t>
      </w:r>
      <w:r w:rsidR="008708C0" w:rsidRPr="00A22656">
        <w:rPr>
          <w:rFonts w:ascii="Times New Roman" w:hAnsi="Times New Roman" w:cs="Times New Roman"/>
          <w:i/>
          <w:sz w:val="24"/>
          <w:szCs w:val="20"/>
        </w:rPr>
        <w:t>Ruiz Zambrano</w:t>
      </w:r>
      <w:r w:rsidR="00865777" w:rsidRPr="00A22656">
        <w:rPr>
          <w:rFonts w:ascii="Times New Roman" w:hAnsi="Times New Roman" w:cs="Times New Roman"/>
          <w:i/>
          <w:sz w:val="24"/>
          <w:szCs w:val="20"/>
        </w:rPr>
        <w:t>,</w:t>
      </w:r>
      <w:r w:rsidR="008708C0" w:rsidRPr="00A22656">
        <w:rPr>
          <w:rStyle w:val="FootnoteReference"/>
          <w:rFonts w:ascii="Times New Roman" w:hAnsi="Times New Roman" w:cs="Times New Roman"/>
          <w:sz w:val="24"/>
          <w:szCs w:val="20"/>
        </w:rPr>
        <w:footnoteReference w:id="49"/>
      </w:r>
      <w:r w:rsidR="00580476" w:rsidRPr="00A22656">
        <w:rPr>
          <w:rFonts w:ascii="Times New Roman" w:hAnsi="Times New Roman" w:cs="Times New Roman"/>
          <w:sz w:val="24"/>
          <w:szCs w:val="20"/>
        </w:rPr>
        <w:t xml:space="preserve"> in which</w:t>
      </w:r>
      <w:r w:rsidR="008708C0" w:rsidRPr="00A22656">
        <w:rPr>
          <w:rFonts w:ascii="Times New Roman" w:hAnsi="Times New Roman" w:cs="Times New Roman"/>
          <w:sz w:val="24"/>
          <w:szCs w:val="20"/>
        </w:rPr>
        <w:t xml:space="preserve"> third country national carers </w:t>
      </w:r>
      <w:r w:rsidR="008E7370" w:rsidRPr="00A22656">
        <w:rPr>
          <w:rFonts w:ascii="Times New Roman" w:hAnsi="Times New Roman" w:cs="Times New Roman"/>
          <w:sz w:val="24"/>
          <w:szCs w:val="20"/>
        </w:rPr>
        <w:t>were</w:t>
      </w:r>
      <w:r w:rsidR="008708C0" w:rsidRPr="00A22656">
        <w:rPr>
          <w:rFonts w:ascii="Times New Roman" w:hAnsi="Times New Roman" w:cs="Times New Roman"/>
          <w:sz w:val="24"/>
          <w:szCs w:val="20"/>
        </w:rPr>
        <w:t xml:space="preserve"> able to derive residence </w:t>
      </w:r>
      <w:r w:rsidR="00580476" w:rsidRPr="00A22656">
        <w:rPr>
          <w:rFonts w:ascii="Times New Roman" w:hAnsi="Times New Roman" w:cs="Times New Roman"/>
          <w:sz w:val="24"/>
          <w:szCs w:val="20"/>
        </w:rPr>
        <w:t>entitlements</w:t>
      </w:r>
      <w:r w:rsidR="008708C0" w:rsidRPr="00A22656">
        <w:rPr>
          <w:rFonts w:ascii="Times New Roman" w:hAnsi="Times New Roman" w:cs="Times New Roman"/>
          <w:sz w:val="24"/>
          <w:szCs w:val="20"/>
        </w:rPr>
        <w:t xml:space="preserve"> from the Union citizenship right</w:t>
      </w:r>
      <w:r w:rsidRPr="00A22656">
        <w:rPr>
          <w:rFonts w:ascii="Times New Roman" w:hAnsi="Times New Roman" w:cs="Times New Roman"/>
          <w:sz w:val="24"/>
          <w:szCs w:val="20"/>
        </w:rPr>
        <w:t>s of their children, despite</w:t>
      </w:r>
      <w:r w:rsidR="008708C0" w:rsidRPr="00A22656">
        <w:rPr>
          <w:rFonts w:ascii="Times New Roman" w:hAnsi="Times New Roman" w:cs="Times New Roman"/>
          <w:sz w:val="24"/>
          <w:szCs w:val="20"/>
        </w:rPr>
        <w:t xml:space="preserve"> falling</w:t>
      </w:r>
      <w:r w:rsidRPr="00A22656">
        <w:rPr>
          <w:rFonts w:ascii="Times New Roman" w:hAnsi="Times New Roman" w:cs="Times New Roman"/>
          <w:sz w:val="24"/>
          <w:szCs w:val="20"/>
        </w:rPr>
        <w:t xml:space="preserve"> </w:t>
      </w:r>
      <w:proofErr w:type="spellStart"/>
      <w:r w:rsidRPr="00A22656">
        <w:rPr>
          <w:rFonts w:ascii="Times New Roman" w:hAnsi="Times New Roman" w:cs="Times New Roman"/>
          <w:sz w:val="24"/>
          <w:szCs w:val="20"/>
        </w:rPr>
        <w:t>outwith</w:t>
      </w:r>
      <w:proofErr w:type="spellEnd"/>
      <w:r w:rsidR="008708C0" w:rsidRPr="00A22656">
        <w:rPr>
          <w:rFonts w:ascii="Times New Roman" w:hAnsi="Times New Roman" w:cs="Times New Roman"/>
          <w:sz w:val="24"/>
          <w:szCs w:val="20"/>
        </w:rPr>
        <w:t xml:space="preserve"> the scope of Directive 2004/38.</w:t>
      </w:r>
      <w:r w:rsidR="008708C0" w:rsidRPr="00A22656">
        <w:rPr>
          <w:rStyle w:val="FootnoteReference"/>
          <w:rFonts w:ascii="Times New Roman" w:hAnsi="Times New Roman" w:cs="Times New Roman"/>
          <w:sz w:val="24"/>
          <w:szCs w:val="20"/>
        </w:rPr>
        <w:footnoteReference w:id="50"/>
      </w:r>
      <w:r w:rsidR="008708C0" w:rsidRPr="00A22656">
        <w:rPr>
          <w:rFonts w:ascii="Times New Roman" w:hAnsi="Times New Roman" w:cs="Times New Roman"/>
          <w:sz w:val="24"/>
          <w:szCs w:val="20"/>
        </w:rPr>
        <w:t xml:space="preserve"> </w:t>
      </w:r>
      <w:r w:rsidRPr="00A22656">
        <w:rPr>
          <w:rFonts w:ascii="Times New Roman" w:hAnsi="Times New Roman" w:cs="Times New Roman"/>
          <w:sz w:val="24"/>
          <w:szCs w:val="20"/>
        </w:rPr>
        <w:t>I</w:t>
      </w:r>
      <w:r w:rsidR="008708C0" w:rsidRPr="00A22656">
        <w:rPr>
          <w:rFonts w:ascii="Times New Roman" w:hAnsi="Times New Roman" w:cs="Times New Roman"/>
          <w:sz w:val="24"/>
          <w:szCs w:val="20"/>
        </w:rPr>
        <w:t xml:space="preserve">n the </w:t>
      </w:r>
      <w:r w:rsidR="008E7370" w:rsidRPr="00A22656">
        <w:rPr>
          <w:rFonts w:ascii="Times New Roman" w:hAnsi="Times New Roman" w:cs="Times New Roman"/>
          <w:sz w:val="24"/>
          <w:szCs w:val="20"/>
        </w:rPr>
        <w:t>area</w:t>
      </w:r>
      <w:r w:rsidR="008708C0" w:rsidRPr="00A22656">
        <w:rPr>
          <w:rFonts w:ascii="Times New Roman" w:hAnsi="Times New Roman" w:cs="Times New Roman"/>
          <w:sz w:val="24"/>
          <w:szCs w:val="20"/>
        </w:rPr>
        <w:t xml:space="preserve"> of the cross-border provision of healthcare, the Court has effectively created a parallel system of rights</w:t>
      </w:r>
      <w:r w:rsidR="00580476" w:rsidRPr="00A22656">
        <w:rPr>
          <w:rFonts w:ascii="Times New Roman" w:hAnsi="Times New Roman" w:cs="Times New Roman"/>
          <w:sz w:val="24"/>
          <w:szCs w:val="20"/>
        </w:rPr>
        <w:t xml:space="preserve"> directly under Article 56 TFEU</w:t>
      </w:r>
      <w:r w:rsidR="008708C0" w:rsidRPr="00A22656">
        <w:rPr>
          <w:rFonts w:ascii="Times New Roman" w:hAnsi="Times New Roman" w:cs="Times New Roman"/>
          <w:sz w:val="24"/>
          <w:szCs w:val="20"/>
        </w:rPr>
        <w:t>, with more easily met conditions than</w:t>
      </w:r>
      <w:r w:rsidR="00580476" w:rsidRPr="00A22656">
        <w:rPr>
          <w:rFonts w:ascii="Times New Roman" w:hAnsi="Times New Roman" w:cs="Times New Roman"/>
          <w:sz w:val="24"/>
          <w:szCs w:val="20"/>
        </w:rPr>
        <w:t xml:space="preserve"> those operating </w:t>
      </w:r>
      <w:r w:rsidR="008708C0" w:rsidRPr="00A22656">
        <w:rPr>
          <w:rFonts w:ascii="Times New Roman" w:hAnsi="Times New Roman" w:cs="Times New Roman"/>
          <w:sz w:val="24"/>
          <w:szCs w:val="20"/>
        </w:rPr>
        <w:t xml:space="preserve">under the more restrictive framework created by </w:t>
      </w:r>
      <w:r w:rsidR="00BA016C" w:rsidRPr="00A22656">
        <w:rPr>
          <w:rFonts w:ascii="Times New Roman" w:hAnsi="Times New Roman" w:cs="Times New Roman"/>
          <w:sz w:val="24"/>
          <w:szCs w:val="20"/>
        </w:rPr>
        <w:t>secondary Union legislation</w:t>
      </w:r>
      <w:r w:rsidR="008708C0" w:rsidRPr="00A22656">
        <w:rPr>
          <w:rFonts w:ascii="Times New Roman" w:hAnsi="Times New Roman" w:cs="Times New Roman"/>
          <w:sz w:val="24"/>
          <w:szCs w:val="20"/>
        </w:rPr>
        <w:t>.</w:t>
      </w:r>
      <w:r w:rsidR="008708C0" w:rsidRPr="00A22656">
        <w:rPr>
          <w:rStyle w:val="FootnoteReference"/>
          <w:rFonts w:ascii="Times New Roman" w:hAnsi="Times New Roman" w:cs="Times New Roman"/>
          <w:sz w:val="24"/>
          <w:szCs w:val="20"/>
        </w:rPr>
        <w:footnoteReference w:id="51"/>
      </w:r>
      <w:r w:rsidR="008708C0" w:rsidRPr="00A22656">
        <w:rPr>
          <w:rFonts w:ascii="Times New Roman" w:hAnsi="Times New Roman" w:cs="Times New Roman"/>
          <w:sz w:val="24"/>
          <w:szCs w:val="20"/>
        </w:rPr>
        <w:t xml:space="preserve"> </w:t>
      </w:r>
      <w:r w:rsidR="003001C1" w:rsidRPr="00A22656">
        <w:rPr>
          <w:rFonts w:ascii="Times New Roman" w:hAnsi="Times New Roman" w:cs="Times New Roman"/>
          <w:sz w:val="24"/>
          <w:szCs w:val="20"/>
        </w:rPr>
        <w:t>Such</w:t>
      </w:r>
      <w:r w:rsidR="00467A00" w:rsidRPr="00A22656">
        <w:rPr>
          <w:rFonts w:ascii="Times New Roman" w:hAnsi="Times New Roman" w:cs="Times New Roman"/>
          <w:sz w:val="24"/>
          <w:szCs w:val="20"/>
        </w:rPr>
        <w:t xml:space="preserve"> an approach</w:t>
      </w:r>
      <w:r w:rsidRPr="00A22656">
        <w:rPr>
          <w:rFonts w:ascii="Times New Roman" w:hAnsi="Times New Roman" w:cs="Times New Roman"/>
          <w:sz w:val="24"/>
          <w:szCs w:val="20"/>
        </w:rPr>
        <w:t xml:space="preserve"> to the safeguard</w:t>
      </w:r>
      <w:r w:rsidR="00467A00" w:rsidRPr="00A22656">
        <w:rPr>
          <w:rFonts w:ascii="Times New Roman" w:hAnsi="Times New Roman" w:cs="Times New Roman"/>
          <w:sz w:val="24"/>
          <w:szCs w:val="20"/>
        </w:rPr>
        <w:t xml:space="preserve"> seems unlikely</w:t>
      </w:r>
      <w:r w:rsidR="003001C1" w:rsidRPr="00A22656">
        <w:rPr>
          <w:rFonts w:ascii="Times New Roman" w:hAnsi="Times New Roman" w:cs="Times New Roman"/>
          <w:sz w:val="24"/>
          <w:szCs w:val="20"/>
        </w:rPr>
        <w:t>, however, given the CJEU’s recent decision</w:t>
      </w:r>
      <w:r w:rsidR="00865777" w:rsidRPr="00A22656">
        <w:rPr>
          <w:rFonts w:ascii="Times New Roman" w:hAnsi="Times New Roman" w:cs="Times New Roman"/>
          <w:sz w:val="24"/>
          <w:szCs w:val="20"/>
        </w:rPr>
        <w:t>s</w:t>
      </w:r>
      <w:r w:rsidR="003001C1" w:rsidRPr="00A22656">
        <w:rPr>
          <w:rFonts w:ascii="Times New Roman" w:hAnsi="Times New Roman" w:cs="Times New Roman"/>
          <w:sz w:val="24"/>
          <w:szCs w:val="20"/>
        </w:rPr>
        <w:t xml:space="preserve"> in</w:t>
      </w:r>
      <w:r w:rsidRPr="00A22656">
        <w:rPr>
          <w:rFonts w:ascii="Times New Roman" w:hAnsi="Times New Roman" w:cs="Times New Roman"/>
          <w:sz w:val="24"/>
          <w:szCs w:val="20"/>
        </w:rPr>
        <w:t xml:space="preserve"> cases such as </w:t>
      </w:r>
      <w:proofErr w:type="spellStart"/>
      <w:r w:rsidRPr="00A22656">
        <w:rPr>
          <w:rFonts w:ascii="Times New Roman" w:hAnsi="Times New Roman" w:cs="Times New Roman"/>
          <w:i/>
          <w:sz w:val="24"/>
          <w:szCs w:val="20"/>
        </w:rPr>
        <w:t>Dano</w:t>
      </w:r>
      <w:proofErr w:type="spellEnd"/>
      <w:r w:rsidRPr="00A22656">
        <w:rPr>
          <w:rFonts w:ascii="Times New Roman" w:hAnsi="Times New Roman" w:cs="Times New Roman"/>
          <w:sz w:val="24"/>
          <w:szCs w:val="20"/>
        </w:rPr>
        <w:t xml:space="preserve"> or</w:t>
      </w:r>
      <w:r w:rsidR="003001C1" w:rsidRPr="00A22656">
        <w:rPr>
          <w:rFonts w:ascii="Times New Roman" w:hAnsi="Times New Roman" w:cs="Times New Roman"/>
          <w:sz w:val="24"/>
          <w:szCs w:val="20"/>
        </w:rPr>
        <w:t xml:space="preserve"> </w:t>
      </w:r>
      <w:r w:rsidR="003001C1" w:rsidRPr="00A22656">
        <w:rPr>
          <w:rFonts w:ascii="Times New Roman" w:hAnsi="Times New Roman" w:cs="Times New Roman"/>
          <w:i/>
          <w:sz w:val="24"/>
          <w:szCs w:val="20"/>
        </w:rPr>
        <w:t>Commission v UK</w:t>
      </w:r>
      <w:r w:rsidRPr="00A22656">
        <w:rPr>
          <w:rFonts w:ascii="Times New Roman" w:hAnsi="Times New Roman" w:cs="Times New Roman"/>
          <w:sz w:val="24"/>
          <w:szCs w:val="20"/>
        </w:rPr>
        <w:t xml:space="preserve">, in which </w:t>
      </w:r>
      <w:r w:rsidR="00865777" w:rsidRPr="00A22656">
        <w:rPr>
          <w:rFonts w:ascii="Times New Roman" w:hAnsi="Times New Roman" w:cs="Times New Roman"/>
          <w:sz w:val="24"/>
          <w:szCs w:val="20"/>
        </w:rPr>
        <w:t>it</w:t>
      </w:r>
      <w:r w:rsidRPr="00A22656">
        <w:rPr>
          <w:rFonts w:ascii="Times New Roman" w:hAnsi="Times New Roman" w:cs="Times New Roman"/>
          <w:sz w:val="24"/>
          <w:szCs w:val="20"/>
        </w:rPr>
        <w:t xml:space="preserve"> has taken a literal</w:t>
      </w:r>
      <w:r w:rsidR="00BA016C" w:rsidRPr="00A22656">
        <w:rPr>
          <w:rFonts w:ascii="Times New Roman" w:hAnsi="Times New Roman" w:cs="Times New Roman"/>
          <w:sz w:val="24"/>
          <w:szCs w:val="20"/>
        </w:rPr>
        <w:t>, rather than Treaty-infused teleological,</w:t>
      </w:r>
      <w:r w:rsidRPr="00A22656">
        <w:rPr>
          <w:rFonts w:ascii="Times New Roman" w:hAnsi="Times New Roman" w:cs="Times New Roman"/>
          <w:sz w:val="24"/>
          <w:szCs w:val="20"/>
        </w:rPr>
        <w:t xml:space="preserve"> approac</w:t>
      </w:r>
      <w:r w:rsidR="00865777" w:rsidRPr="00A22656">
        <w:rPr>
          <w:rFonts w:ascii="Times New Roman" w:hAnsi="Times New Roman" w:cs="Times New Roman"/>
          <w:sz w:val="24"/>
          <w:szCs w:val="20"/>
        </w:rPr>
        <w:t>h to Union secondary legislation</w:t>
      </w:r>
      <w:r w:rsidRPr="00A22656">
        <w:rPr>
          <w:rFonts w:ascii="Times New Roman" w:hAnsi="Times New Roman" w:cs="Times New Roman"/>
          <w:sz w:val="24"/>
          <w:szCs w:val="20"/>
        </w:rPr>
        <w:t xml:space="preserve"> and sidestepped</w:t>
      </w:r>
      <w:r w:rsidR="00865777" w:rsidRPr="00A22656">
        <w:rPr>
          <w:rFonts w:ascii="Times New Roman" w:hAnsi="Times New Roman" w:cs="Times New Roman"/>
          <w:sz w:val="24"/>
          <w:szCs w:val="20"/>
        </w:rPr>
        <w:t xml:space="preserve"> the opportunity to bypass its</w:t>
      </w:r>
      <w:r w:rsidRPr="00A22656">
        <w:rPr>
          <w:rFonts w:ascii="Times New Roman" w:hAnsi="Times New Roman" w:cs="Times New Roman"/>
          <w:sz w:val="24"/>
          <w:szCs w:val="20"/>
        </w:rPr>
        <w:t xml:space="preserve"> requirements by means of the primary free movement and non-discrimination rules</w:t>
      </w:r>
      <w:r w:rsidR="00865777" w:rsidRPr="00A22656">
        <w:rPr>
          <w:rFonts w:ascii="Times New Roman" w:hAnsi="Times New Roman" w:cs="Times New Roman"/>
          <w:sz w:val="24"/>
          <w:szCs w:val="20"/>
        </w:rPr>
        <w:t>.</w:t>
      </w:r>
      <w:r w:rsidR="003001C1" w:rsidRPr="00A22656">
        <w:rPr>
          <w:rStyle w:val="FootnoteReference"/>
          <w:rFonts w:ascii="Times New Roman" w:hAnsi="Times New Roman" w:cs="Times New Roman"/>
          <w:sz w:val="24"/>
          <w:szCs w:val="20"/>
        </w:rPr>
        <w:footnoteReference w:id="52"/>
      </w:r>
      <w:r w:rsidR="003001C1" w:rsidRPr="00A22656">
        <w:rPr>
          <w:rFonts w:ascii="Times New Roman" w:hAnsi="Times New Roman" w:cs="Times New Roman"/>
          <w:sz w:val="24"/>
          <w:szCs w:val="20"/>
        </w:rPr>
        <w:t xml:space="preserve"> </w:t>
      </w:r>
    </w:p>
    <w:p w:rsidR="009D7B06" w:rsidRPr="00A22656" w:rsidRDefault="009D7B06" w:rsidP="005F768F">
      <w:pPr>
        <w:pStyle w:val="NoSpacing"/>
        <w:spacing w:line="360" w:lineRule="auto"/>
        <w:jc w:val="both"/>
        <w:rPr>
          <w:rFonts w:ascii="Times New Roman" w:hAnsi="Times New Roman" w:cs="Times New Roman"/>
          <w:sz w:val="24"/>
          <w:szCs w:val="20"/>
        </w:rPr>
      </w:pPr>
    </w:p>
    <w:p w:rsidR="00B267CA" w:rsidRPr="00A22656" w:rsidRDefault="009D7B06"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Indeed,</w:t>
      </w:r>
      <w:r w:rsidR="00A03BB7" w:rsidRPr="00A22656">
        <w:rPr>
          <w:rFonts w:ascii="Times New Roman" w:hAnsi="Times New Roman" w:cs="Times New Roman"/>
          <w:sz w:val="24"/>
          <w:szCs w:val="20"/>
        </w:rPr>
        <w:t xml:space="preserve"> when the C</w:t>
      </w:r>
      <w:r w:rsidR="00E90660" w:rsidRPr="00A22656">
        <w:rPr>
          <w:rFonts w:ascii="Times New Roman" w:hAnsi="Times New Roman" w:cs="Times New Roman"/>
          <w:sz w:val="24"/>
          <w:szCs w:val="20"/>
        </w:rPr>
        <w:t>ourt</w:t>
      </w:r>
      <w:r w:rsidR="00A03BB7" w:rsidRPr="00A22656">
        <w:rPr>
          <w:rFonts w:ascii="Times New Roman" w:hAnsi="Times New Roman" w:cs="Times New Roman"/>
          <w:sz w:val="24"/>
          <w:szCs w:val="20"/>
        </w:rPr>
        <w:t>’</w:t>
      </w:r>
      <w:r w:rsidR="00E90660" w:rsidRPr="00A22656">
        <w:rPr>
          <w:rFonts w:ascii="Times New Roman" w:hAnsi="Times New Roman" w:cs="Times New Roman"/>
          <w:sz w:val="24"/>
          <w:szCs w:val="20"/>
        </w:rPr>
        <w:t xml:space="preserve">s most recent citizenship case-law is considered, judicial receptivity to the safeguard seems increasingly probable. </w:t>
      </w:r>
      <w:r w:rsidR="00A03BB7" w:rsidRPr="00A22656">
        <w:rPr>
          <w:rFonts w:ascii="Times New Roman" w:hAnsi="Times New Roman" w:cs="Times New Roman"/>
          <w:sz w:val="24"/>
          <w:szCs w:val="20"/>
        </w:rPr>
        <w:t>In</w:t>
      </w:r>
      <w:r w:rsidR="000F1714" w:rsidRPr="00A22656">
        <w:rPr>
          <w:rFonts w:ascii="Times New Roman" w:hAnsi="Times New Roman" w:cs="Times New Roman"/>
          <w:sz w:val="24"/>
          <w:szCs w:val="20"/>
        </w:rPr>
        <w:t xml:space="preserve"> </w:t>
      </w:r>
      <w:proofErr w:type="spellStart"/>
      <w:r w:rsidR="000F1714" w:rsidRPr="00A22656">
        <w:rPr>
          <w:rFonts w:ascii="Times New Roman" w:hAnsi="Times New Roman" w:cs="Times New Roman"/>
          <w:i/>
          <w:sz w:val="24"/>
          <w:szCs w:val="20"/>
        </w:rPr>
        <w:t>Alimanovic</w:t>
      </w:r>
      <w:proofErr w:type="spellEnd"/>
      <w:r w:rsidR="000F1714" w:rsidRPr="00A22656">
        <w:rPr>
          <w:rFonts w:ascii="Times New Roman" w:hAnsi="Times New Roman" w:cs="Times New Roman"/>
          <w:i/>
          <w:sz w:val="24"/>
          <w:szCs w:val="20"/>
        </w:rPr>
        <w:t xml:space="preserve"> </w:t>
      </w:r>
      <w:r w:rsidR="000F1714" w:rsidRPr="00A22656">
        <w:rPr>
          <w:rFonts w:ascii="Times New Roman" w:hAnsi="Times New Roman" w:cs="Times New Roman"/>
          <w:sz w:val="24"/>
          <w:szCs w:val="20"/>
        </w:rPr>
        <w:t xml:space="preserve">and </w:t>
      </w:r>
      <w:proofErr w:type="spellStart"/>
      <w:r w:rsidR="00A03BB7" w:rsidRPr="00A22656">
        <w:rPr>
          <w:rFonts w:ascii="Times New Roman" w:hAnsi="Times New Roman" w:cs="Times New Roman"/>
          <w:i/>
          <w:sz w:val="24"/>
          <w:szCs w:val="20"/>
        </w:rPr>
        <w:t>García</w:t>
      </w:r>
      <w:proofErr w:type="spellEnd"/>
      <w:r w:rsidR="00A03BB7" w:rsidRPr="00A22656">
        <w:rPr>
          <w:rFonts w:ascii="Times New Roman" w:hAnsi="Times New Roman" w:cs="Times New Roman"/>
          <w:i/>
          <w:sz w:val="24"/>
          <w:szCs w:val="20"/>
        </w:rPr>
        <w:t>-Nieto</w:t>
      </w:r>
      <w:r w:rsidR="00E548A1" w:rsidRPr="00A22656">
        <w:rPr>
          <w:rFonts w:ascii="Times New Roman" w:hAnsi="Times New Roman" w:cs="Times New Roman"/>
          <w:sz w:val="24"/>
          <w:szCs w:val="20"/>
        </w:rPr>
        <w:t>,</w:t>
      </w:r>
      <w:r w:rsidR="00E548A1" w:rsidRPr="00A22656">
        <w:rPr>
          <w:rStyle w:val="FootnoteReference"/>
          <w:rFonts w:ascii="Times New Roman" w:hAnsi="Times New Roman" w:cs="Times New Roman"/>
          <w:sz w:val="24"/>
          <w:szCs w:val="20"/>
        </w:rPr>
        <w:footnoteReference w:id="53"/>
      </w:r>
      <w:r w:rsidR="00E548A1" w:rsidRPr="00A22656">
        <w:rPr>
          <w:rFonts w:ascii="Times New Roman" w:hAnsi="Times New Roman" w:cs="Times New Roman"/>
          <w:sz w:val="24"/>
          <w:szCs w:val="20"/>
        </w:rPr>
        <w:t xml:space="preserve"> </w:t>
      </w:r>
      <w:r w:rsidR="00A03BB7" w:rsidRPr="00A22656">
        <w:rPr>
          <w:rFonts w:ascii="Times New Roman" w:hAnsi="Times New Roman" w:cs="Times New Roman"/>
          <w:sz w:val="24"/>
          <w:szCs w:val="20"/>
        </w:rPr>
        <w:t xml:space="preserve">in which it was unclear where the social support in question was ‘minimum subsistence’ – for which Member States may derogate from equal treatment in respect of jobseekers – or ‘financial </w:t>
      </w:r>
      <w:r w:rsidR="00A03BB7" w:rsidRPr="00A22656">
        <w:rPr>
          <w:rFonts w:ascii="Times New Roman" w:hAnsi="Times New Roman" w:cs="Times New Roman"/>
          <w:sz w:val="24"/>
          <w:szCs w:val="20"/>
        </w:rPr>
        <w:lastRenderedPageBreak/>
        <w:t>assistance facilitating access to employment’ – for which they may not, the Court was deferential to domestic definitions</w:t>
      </w:r>
      <w:r w:rsidR="005E0A7D" w:rsidRPr="00A22656">
        <w:rPr>
          <w:rFonts w:ascii="Times New Roman" w:hAnsi="Times New Roman" w:cs="Times New Roman"/>
          <w:sz w:val="24"/>
          <w:szCs w:val="20"/>
        </w:rPr>
        <w:t>.</w:t>
      </w:r>
      <w:r w:rsidR="006C1631" w:rsidRPr="00A22656">
        <w:rPr>
          <w:rFonts w:ascii="Times New Roman" w:hAnsi="Times New Roman" w:cs="Times New Roman"/>
          <w:sz w:val="24"/>
          <w:szCs w:val="20"/>
        </w:rPr>
        <w:t xml:space="preserve"> This cast</w:t>
      </w:r>
      <w:r w:rsidR="001D3D25" w:rsidRPr="00A22656">
        <w:rPr>
          <w:rFonts w:ascii="Times New Roman" w:hAnsi="Times New Roman" w:cs="Times New Roman"/>
          <w:sz w:val="24"/>
          <w:szCs w:val="20"/>
        </w:rPr>
        <w:t>s doubt on the suggestion</w:t>
      </w:r>
      <w:r w:rsidR="00B267CA" w:rsidRPr="00A22656">
        <w:rPr>
          <w:rFonts w:ascii="Times New Roman" w:hAnsi="Times New Roman" w:cs="Times New Roman"/>
          <w:sz w:val="24"/>
          <w:szCs w:val="20"/>
        </w:rPr>
        <w:t xml:space="preserve"> above that, in line with </w:t>
      </w:r>
      <w:proofErr w:type="spellStart"/>
      <w:r w:rsidR="006C1631" w:rsidRPr="00A22656">
        <w:rPr>
          <w:rFonts w:ascii="Times New Roman" w:hAnsi="Times New Roman" w:cs="Times New Roman"/>
          <w:i/>
          <w:sz w:val="24"/>
          <w:szCs w:val="20"/>
        </w:rPr>
        <w:t>Vat</w:t>
      </w:r>
      <w:r w:rsidR="00B267CA" w:rsidRPr="00A22656">
        <w:rPr>
          <w:rFonts w:ascii="Times New Roman" w:hAnsi="Times New Roman" w:cs="Times New Roman"/>
          <w:i/>
          <w:sz w:val="24"/>
          <w:szCs w:val="20"/>
        </w:rPr>
        <w:t>s</w:t>
      </w:r>
      <w:r w:rsidR="006C1631" w:rsidRPr="00A22656">
        <w:rPr>
          <w:rFonts w:ascii="Times New Roman" w:hAnsi="Times New Roman" w:cs="Times New Roman"/>
          <w:i/>
          <w:sz w:val="24"/>
          <w:szCs w:val="20"/>
        </w:rPr>
        <w:t>o</w:t>
      </w:r>
      <w:r w:rsidR="00B267CA" w:rsidRPr="00A22656">
        <w:rPr>
          <w:rFonts w:ascii="Times New Roman" w:hAnsi="Times New Roman" w:cs="Times New Roman"/>
          <w:i/>
          <w:sz w:val="24"/>
          <w:szCs w:val="20"/>
        </w:rPr>
        <w:t>uras</w:t>
      </w:r>
      <w:proofErr w:type="spellEnd"/>
      <w:r w:rsidR="006C1631" w:rsidRPr="00A22656">
        <w:rPr>
          <w:rFonts w:ascii="Times New Roman" w:hAnsi="Times New Roman" w:cs="Times New Roman"/>
          <w:sz w:val="24"/>
          <w:szCs w:val="20"/>
        </w:rPr>
        <w:t>, the Court might have</w:t>
      </w:r>
      <w:r w:rsidR="003F06CE" w:rsidRPr="00A22656">
        <w:rPr>
          <w:rFonts w:ascii="Times New Roman" w:hAnsi="Times New Roman" w:cs="Times New Roman"/>
          <w:sz w:val="24"/>
          <w:szCs w:val="20"/>
        </w:rPr>
        <w:t xml:space="preserve"> claimed</w:t>
      </w:r>
      <w:r w:rsidR="00B267CA" w:rsidRPr="00A22656">
        <w:rPr>
          <w:rFonts w:ascii="Times New Roman" w:hAnsi="Times New Roman" w:cs="Times New Roman"/>
          <w:sz w:val="24"/>
          <w:szCs w:val="20"/>
        </w:rPr>
        <w:t xml:space="preserve"> definitional authority over the concept of</w:t>
      </w:r>
      <w:r w:rsidR="003F06CE" w:rsidRPr="00A22656">
        <w:rPr>
          <w:rFonts w:ascii="Times New Roman" w:hAnsi="Times New Roman" w:cs="Times New Roman"/>
          <w:sz w:val="24"/>
          <w:szCs w:val="20"/>
        </w:rPr>
        <w:t xml:space="preserve"> ‘in-work benefits’ and defined</w:t>
      </w:r>
      <w:r w:rsidR="00B267CA" w:rsidRPr="00A22656">
        <w:rPr>
          <w:rFonts w:ascii="Times New Roman" w:hAnsi="Times New Roman" w:cs="Times New Roman"/>
          <w:sz w:val="24"/>
          <w:szCs w:val="20"/>
        </w:rPr>
        <w:t xml:space="preserve"> them narrowly.</w:t>
      </w:r>
    </w:p>
    <w:p w:rsidR="00C23526" w:rsidRPr="00A22656" w:rsidRDefault="00C23526" w:rsidP="005F768F">
      <w:pPr>
        <w:pStyle w:val="NoSpacing"/>
        <w:spacing w:line="360" w:lineRule="auto"/>
        <w:jc w:val="both"/>
        <w:rPr>
          <w:rFonts w:ascii="Times New Roman" w:hAnsi="Times New Roman" w:cs="Times New Roman"/>
          <w:sz w:val="24"/>
          <w:szCs w:val="20"/>
        </w:rPr>
      </w:pPr>
    </w:p>
    <w:p w:rsidR="006D65B5" w:rsidRPr="00A22656" w:rsidRDefault="001D3D25"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Moreover</w:t>
      </w:r>
      <w:r w:rsidR="00C23526" w:rsidRPr="00A22656">
        <w:rPr>
          <w:rFonts w:ascii="Times New Roman" w:hAnsi="Times New Roman" w:cs="Times New Roman"/>
          <w:sz w:val="24"/>
          <w:szCs w:val="20"/>
        </w:rPr>
        <w:t>, in</w:t>
      </w:r>
      <w:r w:rsidRPr="00A22656">
        <w:rPr>
          <w:rFonts w:ascii="Times New Roman" w:hAnsi="Times New Roman" w:cs="Times New Roman"/>
          <w:sz w:val="24"/>
          <w:szCs w:val="20"/>
        </w:rPr>
        <w:t xml:space="preserve"> both</w:t>
      </w:r>
      <w:r w:rsidR="00C23526" w:rsidRPr="00A22656">
        <w:rPr>
          <w:rFonts w:ascii="Times New Roman" w:hAnsi="Times New Roman" w:cs="Times New Roman"/>
          <w:sz w:val="24"/>
          <w:szCs w:val="20"/>
        </w:rPr>
        <w:t xml:space="preserve"> </w:t>
      </w:r>
      <w:proofErr w:type="spellStart"/>
      <w:r w:rsidR="00792641" w:rsidRPr="00A22656">
        <w:rPr>
          <w:rFonts w:ascii="Times New Roman" w:hAnsi="Times New Roman" w:cs="Times New Roman"/>
          <w:i/>
          <w:sz w:val="24"/>
          <w:szCs w:val="20"/>
        </w:rPr>
        <w:t>Alimanovic</w:t>
      </w:r>
      <w:proofErr w:type="spellEnd"/>
      <w:r w:rsidRPr="00A22656">
        <w:rPr>
          <w:rFonts w:ascii="Times New Roman" w:hAnsi="Times New Roman" w:cs="Times New Roman"/>
          <w:i/>
          <w:sz w:val="24"/>
          <w:szCs w:val="20"/>
        </w:rPr>
        <w:t xml:space="preserve"> </w:t>
      </w:r>
      <w:r w:rsidRPr="00A22656">
        <w:rPr>
          <w:rFonts w:ascii="Times New Roman" w:hAnsi="Times New Roman" w:cs="Times New Roman"/>
          <w:sz w:val="24"/>
          <w:szCs w:val="20"/>
        </w:rPr>
        <w:t xml:space="preserve">and </w:t>
      </w:r>
      <w:r w:rsidRPr="00A22656">
        <w:rPr>
          <w:rFonts w:ascii="Times New Roman" w:hAnsi="Times New Roman" w:cs="Times New Roman"/>
          <w:i/>
          <w:sz w:val="24"/>
          <w:szCs w:val="20"/>
        </w:rPr>
        <w:t>Garcia-Nieto</w:t>
      </w:r>
      <w:r w:rsidRPr="00A22656">
        <w:rPr>
          <w:rFonts w:ascii="Times New Roman" w:hAnsi="Times New Roman" w:cs="Times New Roman"/>
          <w:sz w:val="24"/>
          <w:szCs w:val="20"/>
        </w:rPr>
        <w:t>, the Court took a literal approach to Directive 2004/38, using it to confirm temporally-defined categories of residence, with consequent impact on equal treatment rights.</w:t>
      </w:r>
      <w:r w:rsidR="00792641" w:rsidRPr="00A22656">
        <w:rPr>
          <w:rStyle w:val="FootnoteReference"/>
          <w:rFonts w:ascii="Times New Roman" w:hAnsi="Times New Roman" w:cs="Times New Roman"/>
          <w:sz w:val="24"/>
          <w:szCs w:val="20"/>
        </w:rPr>
        <w:footnoteReference w:id="54"/>
      </w:r>
      <w:r w:rsidRPr="00A22656">
        <w:rPr>
          <w:rFonts w:ascii="Times New Roman" w:hAnsi="Times New Roman" w:cs="Times New Roman"/>
          <w:sz w:val="24"/>
          <w:szCs w:val="20"/>
        </w:rPr>
        <w:t xml:space="preserve"> </w:t>
      </w:r>
      <w:r w:rsidR="006C1631" w:rsidRPr="00A22656">
        <w:rPr>
          <w:rFonts w:ascii="Times New Roman" w:hAnsi="Times New Roman" w:cs="Times New Roman"/>
          <w:sz w:val="24"/>
          <w:szCs w:val="20"/>
        </w:rPr>
        <w:t>Accordingly, the CJEU might well have accept</w:t>
      </w:r>
      <w:r w:rsidRPr="00A22656">
        <w:rPr>
          <w:rFonts w:ascii="Times New Roman" w:hAnsi="Times New Roman" w:cs="Times New Roman"/>
          <w:sz w:val="24"/>
          <w:szCs w:val="20"/>
        </w:rPr>
        <w:t>ed both the seven year period for</w:t>
      </w:r>
      <w:r w:rsidR="006C1631" w:rsidRPr="00A22656">
        <w:rPr>
          <w:rFonts w:ascii="Times New Roman" w:hAnsi="Times New Roman" w:cs="Times New Roman"/>
          <w:sz w:val="24"/>
          <w:szCs w:val="20"/>
        </w:rPr>
        <w:t xml:space="preserve"> the safeguard’s overall </w:t>
      </w:r>
      <w:r w:rsidR="006D65B5" w:rsidRPr="00A22656">
        <w:rPr>
          <w:rFonts w:ascii="Times New Roman" w:hAnsi="Times New Roman" w:cs="Times New Roman"/>
          <w:sz w:val="24"/>
          <w:szCs w:val="20"/>
        </w:rPr>
        <w:t>application and any potent</w:t>
      </w:r>
      <w:r w:rsidRPr="00A22656">
        <w:rPr>
          <w:rFonts w:ascii="Times New Roman" w:hAnsi="Times New Roman" w:cs="Times New Roman"/>
          <w:sz w:val="24"/>
          <w:szCs w:val="20"/>
        </w:rPr>
        <w:t>ial</w:t>
      </w:r>
      <w:r w:rsidR="006D65B5" w:rsidRPr="00A22656">
        <w:rPr>
          <w:rFonts w:ascii="Times New Roman" w:hAnsi="Times New Roman" w:cs="Times New Roman"/>
          <w:sz w:val="24"/>
          <w:szCs w:val="20"/>
        </w:rPr>
        <w:t xml:space="preserve"> timeframe for demonstrating the gro</w:t>
      </w:r>
      <w:r w:rsidRPr="00A22656">
        <w:rPr>
          <w:rFonts w:ascii="Times New Roman" w:hAnsi="Times New Roman" w:cs="Times New Roman"/>
          <w:sz w:val="24"/>
          <w:szCs w:val="20"/>
        </w:rPr>
        <w:t>wing links to the host State labour market</w:t>
      </w:r>
      <w:r w:rsidR="006D65B5" w:rsidRPr="00A22656">
        <w:rPr>
          <w:rFonts w:ascii="Times New Roman" w:hAnsi="Times New Roman" w:cs="Times New Roman"/>
          <w:sz w:val="24"/>
          <w:szCs w:val="20"/>
        </w:rPr>
        <w:t xml:space="preserve"> required to unlock gradual acces</w:t>
      </w:r>
      <w:r w:rsidRPr="00A22656">
        <w:rPr>
          <w:rFonts w:ascii="Times New Roman" w:hAnsi="Times New Roman" w:cs="Times New Roman"/>
          <w:sz w:val="24"/>
          <w:szCs w:val="20"/>
        </w:rPr>
        <w:t>s to welfare over a citizen’s four years’</w:t>
      </w:r>
      <w:r w:rsidR="006D65B5" w:rsidRPr="00A22656">
        <w:rPr>
          <w:rFonts w:ascii="Times New Roman" w:hAnsi="Times New Roman" w:cs="Times New Roman"/>
          <w:sz w:val="24"/>
          <w:szCs w:val="20"/>
        </w:rPr>
        <w:t xml:space="preserve"> employment</w:t>
      </w:r>
      <w:r w:rsidRPr="00A22656">
        <w:rPr>
          <w:rFonts w:ascii="Times New Roman" w:hAnsi="Times New Roman" w:cs="Times New Roman"/>
          <w:sz w:val="24"/>
          <w:szCs w:val="20"/>
        </w:rPr>
        <w:t xml:space="preserve"> there.</w:t>
      </w:r>
    </w:p>
    <w:p w:rsidR="002004B8" w:rsidRPr="00A22656" w:rsidRDefault="002004B8" w:rsidP="005F768F">
      <w:pPr>
        <w:pStyle w:val="NoSpacing"/>
        <w:spacing w:line="360" w:lineRule="auto"/>
        <w:jc w:val="both"/>
        <w:rPr>
          <w:rFonts w:ascii="Times New Roman" w:hAnsi="Times New Roman" w:cs="Times New Roman"/>
          <w:sz w:val="24"/>
          <w:szCs w:val="20"/>
        </w:rPr>
      </w:pPr>
    </w:p>
    <w:p w:rsidR="00653A21" w:rsidRPr="00A22656" w:rsidRDefault="003C539B"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R</w:t>
      </w:r>
      <w:r w:rsidR="00D24DFC" w:rsidRPr="00A22656">
        <w:rPr>
          <w:rFonts w:ascii="Times New Roman" w:hAnsi="Times New Roman" w:cs="Times New Roman"/>
          <w:sz w:val="24"/>
          <w:szCs w:val="20"/>
        </w:rPr>
        <w:t>ecent CJEU decision</w:t>
      </w:r>
      <w:r w:rsidR="0031521C" w:rsidRPr="00A22656">
        <w:rPr>
          <w:rFonts w:ascii="Times New Roman" w:hAnsi="Times New Roman" w:cs="Times New Roman"/>
          <w:sz w:val="24"/>
          <w:szCs w:val="20"/>
        </w:rPr>
        <w:t>s</w:t>
      </w:r>
      <w:r w:rsidR="008C7CF4" w:rsidRPr="00A22656">
        <w:rPr>
          <w:rFonts w:ascii="Times New Roman" w:hAnsi="Times New Roman" w:cs="Times New Roman"/>
          <w:sz w:val="24"/>
          <w:szCs w:val="20"/>
        </w:rPr>
        <w:t xml:space="preserve"> on Uni</w:t>
      </w:r>
      <w:r w:rsidR="00046FB9" w:rsidRPr="00A22656">
        <w:rPr>
          <w:rFonts w:ascii="Times New Roman" w:hAnsi="Times New Roman" w:cs="Times New Roman"/>
          <w:sz w:val="24"/>
          <w:szCs w:val="20"/>
        </w:rPr>
        <w:t xml:space="preserve">on citizenship </w:t>
      </w:r>
      <w:r w:rsidR="00D24DFC" w:rsidRPr="00A22656">
        <w:rPr>
          <w:rFonts w:ascii="Times New Roman" w:hAnsi="Times New Roman" w:cs="Times New Roman"/>
          <w:sz w:val="24"/>
          <w:szCs w:val="20"/>
        </w:rPr>
        <w:t>also</w:t>
      </w:r>
      <w:r w:rsidR="00046FB9" w:rsidRPr="00A22656">
        <w:rPr>
          <w:rFonts w:ascii="Times New Roman" w:hAnsi="Times New Roman" w:cs="Times New Roman"/>
          <w:sz w:val="24"/>
          <w:szCs w:val="20"/>
        </w:rPr>
        <w:t xml:space="preserve"> indicate</w:t>
      </w:r>
      <w:r w:rsidR="00D24DFC" w:rsidRPr="00A22656">
        <w:rPr>
          <w:rFonts w:ascii="Times New Roman" w:hAnsi="Times New Roman" w:cs="Times New Roman"/>
          <w:sz w:val="24"/>
          <w:szCs w:val="20"/>
        </w:rPr>
        <w:t xml:space="preserve"> a</w:t>
      </w:r>
      <w:r w:rsidR="00046FB9" w:rsidRPr="00A22656">
        <w:rPr>
          <w:rFonts w:ascii="Times New Roman" w:hAnsi="Times New Roman" w:cs="Times New Roman"/>
          <w:sz w:val="24"/>
          <w:szCs w:val="20"/>
        </w:rPr>
        <w:t xml:space="preserve"> sea change in respect of</w:t>
      </w:r>
      <w:r w:rsidR="00D24DFC" w:rsidRPr="00A22656">
        <w:rPr>
          <w:rFonts w:ascii="Times New Roman" w:hAnsi="Times New Roman" w:cs="Times New Roman"/>
          <w:sz w:val="24"/>
          <w:szCs w:val="20"/>
        </w:rPr>
        <w:t xml:space="preserve"> key definitional methodologies affecting the operati</w:t>
      </w:r>
      <w:r w:rsidR="00341997" w:rsidRPr="00A22656">
        <w:rPr>
          <w:rFonts w:ascii="Times New Roman" w:hAnsi="Times New Roman" w:cs="Times New Roman"/>
          <w:sz w:val="24"/>
          <w:szCs w:val="20"/>
        </w:rPr>
        <w:t xml:space="preserve">on of primary free movement law: specifically, the manner in which direct </w:t>
      </w:r>
      <w:r w:rsidR="00CF2212" w:rsidRPr="00A22656">
        <w:rPr>
          <w:rFonts w:ascii="Times New Roman" w:hAnsi="Times New Roman" w:cs="Times New Roman"/>
          <w:sz w:val="24"/>
          <w:szCs w:val="20"/>
        </w:rPr>
        <w:t>discrimination an</w:t>
      </w:r>
      <w:r w:rsidR="00046FB9" w:rsidRPr="00A22656">
        <w:rPr>
          <w:rFonts w:ascii="Times New Roman" w:hAnsi="Times New Roman" w:cs="Times New Roman"/>
          <w:sz w:val="24"/>
          <w:szCs w:val="20"/>
        </w:rPr>
        <w:t>d other forms of market barrier</w:t>
      </w:r>
      <w:r w:rsidR="00CF2212" w:rsidRPr="00A22656">
        <w:rPr>
          <w:rFonts w:ascii="Times New Roman" w:hAnsi="Times New Roman" w:cs="Times New Roman"/>
          <w:sz w:val="24"/>
          <w:szCs w:val="20"/>
        </w:rPr>
        <w:t xml:space="preserve"> ar</w:t>
      </w:r>
      <w:r w:rsidR="00341997" w:rsidRPr="00A22656">
        <w:rPr>
          <w:rFonts w:ascii="Times New Roman" w:hAnsi="Times New Roman" w:cs="Times New Roman"/>
          <w:sz w:val="24"/>
          <w:szCs w:val="20"/>
        </w:rPr>
        <w:t>e differentiated.</w:t>
      </w:r>
      <w:r w:rsidR="00CF2212" w:rsidRPr="00A22656">
        <w:rPr>
          <w:rFonts w:ascii="Times New Roman" w:hAnsi="Times New Roman" w:cs="Times New Roman"/>
          <w:sz w:val="24"/>
          <w:szCs w:val="20"/>
        </w:rPr>
        <w:t xml:space="preserve"> </w:t>
      </w:r>
      <w:r w:rsidR="00341997" w:rsidRPr="00A22656">
        <w:rPr>
          <w:rFonts w:ascii="Times New Roman" w:hAnsi="Times New Roman" w:cs="Times New Roman"/>
          <w:sz w:val="24"/>
          <w:szCs w:val="20"/>
        </w:rPr>
        <w:t>The Decision itself</w:t>
      </w:r>
      <w:r w:rsidR="00CF2212" w:rsidRPr="00A22656">
        <w:rPr>
          <w:rFonts w:ascii="Times New Roman" w:hAnsi="Times New Roman" w:cs="Times New Roman"/>
          <w:sz w:val="24"/>
          <w:szCs w:val="20"/>
        </w:rPr>
        <w:t xml:space="preserve"> openly</w:t>
      </w:r>
      <w:r w:rsidR="00341997" w:rsidRPr="00A22656">
        <w:rPr>
          <w:rFonts w:ascii="Times New Roman" w:hAnsi="Times New Roman" w:cs="Times New Roman"/>
          <w:sz w:val="24"/>
          <w:szCs w:val="20"/>
        </w:rPr>
        <w:t xml:space="preserve"> acknowledged that the safeguard mechanism w</w:t>
      </w:r>
      <w:r w:rsidRPr="00A22656">
        <w:rPr>
          <w:rFonts w:ascii="Times New Roman" w:hAnsi="Times New Roman" w:cs="Times New Roman"/>
          <w:sz w:val="24"/>
          <w:szCs w:val="20"/>
        </w:rPr>
        <w:t>as discriminatory but</w:t>
      </w:r>
      <w:r w:rsidR="00341997" w:rsidRPr="00A22656">
        <w:rPr>
          <w:rFonts w:ascii="Times New Roman" w:hAnsi="Times New Roman" w:cs="Times New Roman"/>
          <w:sz w:val="24"/>
          <w:szCs w:val="20"/>
        </w:rPr>
        <w:t xml:space="preserve"> denied that this discrimination was direct in nature. Rather, it stat</w:t>
      </w:r>
      <w:r w:rsidRPr="00A22656">
        <w:rPr>
          <w:rFonts w:ascii="Times New Roman" w:hAnsi="Times New Roman" w:cs="Times New Roman"/>
          <w:sz w:val="24"/>
          <w:szCs w:val="20"/>
        </w:rPr>
        <w:t xml:space="preserve">ed that the safeguard </w:t>
      </w:r>
      <w:r w:rsidR="00341997" w:rsidRPr="00A22656">
        <w:rPr>
          <w:rFonts w:ascii="Times New Roman" w:hAnsi="Times New Roman" w:cs="Times New Roman"/>
          <w:sz w:val="24"/>
          <w:szCs w:val="20"/>
        </w:rPr>
        <w:t xml:space="preserve">would be based on ‘objective consideration </w:t>
      </w:r>
      <w:r w:rsidR="001F6C91" w:rsidRPr="00A22656">
        <w:rPr>
          <w:rFonts w:ascii="Times New Roman" w:hAnsi="Times New Roman" w:cs="Times New Roman"/>
          <w:sz w:val="24"/>
          <w:szCs w:val="20"/>
        </w:rPr>
        <w:t>independent of the nationality of the persons concerned</w:t>
      </w:r>
      <w:r w:rsidR="00CF2212" w:rsidRPr="00A22656">
        <w:rPr>
          <w:rFonts w:ascii="Times New Roman" w:hAnsi="Times New Roman" w:cs="Times New Roman"/>
          <w:sz w:val="24"/>
          <w:szCs w:val="20"/>
        </w:rPr>
        <w:t>’.</w:t>
      </w:r>
      <w:r w:rsidR="0031521C" w:rsidRPr="00A22656">
        <w:rPr>
          <w:rStyle w:val="FootnoteReference"/>
          <w:rFonts w:ascii="Times New Roman" w:hAnsi="Times New Roman" w:cs="Times New Roman"/>
          <w:sz w:val="24"/>
          <w:szCs w:val="20"/>
        </w:rPr>
        <w:footnoteReference w:id="55"/>
      </w:r>
      <w:r w:rsidR="0031521C" w:rsidRPr="00A22656">
        <w:rPr>
          <w:rFonts w:ascii="Times New Roman" w:hAnsi="Times New Roman" w:cs="Times New Roman"/>
          <w:sz w:val="24"/>
          <w:szCs w:val="20"/>
        </w:rPr>
        <w:t xml:space="preserve"> The importance of this </w:t>
      </w:r>
      <w:r w:rsidR="00CF2212" w:rsidRPr="00A22656">
        <w:rPr>
          <w:rFonts w:ascii="Times New Roman" w:hAnsi="Times New Roman" w:cs="Times New Roman"/>
          <w:sz w:val="24"/>
          <w:szCs w:val="20"/>
        </w:rPr>
        <w:t>distinction is obvious</w:t>
      </w:r>
      <w:r w:rsidR="000E6197" w:rsidRPr="00A22656">
        <w:rPr>
          <w:rFonts w:ascii="Times New Roman" w:hAnsi="Times New Roman" w:cs="Times New Roman"/>
          <w:sz w:val="24"/>
          <w:szCs w:val="20"/>
        </w:rPr>
        <w:t>: it opens up the range of justificatory options for overcoming a prima facie</w:t>
      </w:r>
      <w:r w:rsidR="000E6197" w:rsidRPr="00A22656">
        <w:rPr>
          <w:rFonts w:ascii="Times New Roman" w:hAnsi="Times New Roman" w:cs="Times New Roman"/>
          <w:i/>
          <w:sz w:val="24"/>
          <w:szCs w:val="20"/>
        </w:rPr>
        <w:t xml:space="preserve"> </w:t>
      </w:r>
      <w:r w:rsidR="000E6197" w:rsidRPr="00A22656">
        <w:rPr>
          <w:rFonts w:ascii="Times New Roman" w:hAnsi="Times New Roman" w:cs="Times New Roman"/>
          <w:sz w:val="24"/>
          <w:szCs w:val="20"/>
        </w:rPr>
        <w:t>breach of free movement</w:t>
      </w:r>
      <w:r w:rsidR="00CF2212" w:rsidRPr="00A22656">
        <w:rPr>
          <w:rFonts w:ascii="Times New Roman" w:hAnsi="Times New Roman" w:cs="Times New Roman"/>
          <w:sz w:val="24"/>
          <w:szCs w:val="20"/>
        </w:rPr>
        <w:t xml:space="preserve">. Thus, the Decision </w:t>
      </w:r>
      <w:r w:rsidR="000E6197" w:rsidRPr="00A22656">
        <w:rPr>
          <w:rFonts w:ascii="Times New Roman" w:hAnsi="Times New Roman" w:cs="Times New Roman"/>
          <w:sz w:val="24"/>
          <w:szCs w:val="20"/>
        </w:rPr>
        <w:t>makes reference to a range of overriding requirements, in addition to the public policy derogations provided by Article 45(3) TFEU.</w:t>
      </w:r>
      <w:r w:rsidR="00ED1828" w:rsidRPr="00A22656">
        <w:rPr>
          <w:rStyle w:val="FootnoteReference"/>
          <w:rFonts w:ascii="Times New Roman" w:hAnsi="Times New Roman" w:cs="Times New Roman"/>
          <w:sz w:val="24"/>
          <w:szCs w:val="20"/>
        </w:rPr>
        <w:footnoteReference w:id="56"/>
      </w:r>
    </w:p>
    <w:p w:rsidR="00653A21" w:rsidRPr="00A22656" w:rsidRDefault="00653A21" w:rsidP="005F768F">
      <w:pPr>
        <w:pStyle w:val="NoSpacing"/>
        <w:spacing w:line="360" w:lineRule="auto"/>
        <w:jc w:val="both"/>
        <w:rPr>
          <w:rFonts w:ascii="Times New Roman" w:hAnsi="Times New Roman" w:cs="Times New Roman"/>
          <w:sz w:val="24"/>
          <w:szCs w:val="20"/>
        </w:rPr>
      </w:pPr>
    </w:p>
    <w:p w:rsidR="001F6C91" w:rsidRPr="00A22656" w:rsidRDefault="00653A21"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Yet a legal mechanism that</w:t>
      </w:r>
      <w:r w:rsidR="00754188" w:rsidRPr="00A22656">
        <w:rPr>
          <w:rFonts w:ascii="Times New Roman" w:hAnsi="Times New Roman" w:cs="Times New Roman"/>
          <w:sz w:val="24"/>
          <w:szCs w:val="20"/>
        </w:rPr>
        <w:t xml:space="preserve"> requires non-national workers to demonstrate some supplementary link to the job market, beyond employment, which national workers need not establish, before</w:t>
      </w:r>
      <w:r w:rsidR="00482BA9" w:rsidRPr="00A22656">
        <w:rPr>
          <w:rFonts w:ascii="Times New Roman" w:hAnsi="Times New Roman" w:cs="Times New Roman"/>
          <w:sz w:val="24"/>
          <w:szCs w:val="20"/>
        </w:rPr>
        <w:t xml:space="preserve"> they may access social support seems</w:t>
      </w:r>
      <w:r w:rsidR="00754188" w:rsidRPr="00A22656">
        <w:rPr>
          <w:rFonts w:ascii="Times New Roman" w:hAnsi="Times New Roman" w:cs="Times New Roman"/>
          <w:sz w:val="24"/>
          <w:szCs w:val="20"/>
        </w:rPr>
        <w:t xml:space="preserve"> directly discriminatory.</w:t>
      </w:r>
      <w:r w:rsidRPr="00A22656">
        <w:rPr>
          <w:rFonts w:ascii="Times New Roman" w:hAnsi="Times New Roman" w:cs="Times New Roman"/>
          <w:sz w:val="24"/>
          <w:szCs w:val="20"/>
        </w:rPr>
        <w:t xml:space="preserve"> </w:t>
      </w:r>
      <w:r w:rsidR="003E439E" w:rsidRPr="00A22656">
        <w:rPr>
          <w:rFonts w:ascii="Times New Roman" w:hAnsi="Times New Roman" w:cs="Times New Roman"/>
          <w:sz w:val="24"/>
          <w:szCs w:val="20"/>
        </w:rPr>
        <w:t xml:space="preserve">Indeed, in its early case-law, the Court expressly forbade </w:t>
      </w:r>
      <w:r w:rsidR="00380683" w:rsidRPr="00A22656">
        <w:rPr>
          <w:rFonts w:ascii="Times New Roman" w:hAnsi="Times New Roman" w:cs="Times New Roman"/>
          <w:sz w:val="24"/>
          <w:szCs w:val="20"/>
        </w:rPr>
        <w:t>secondary</w:t>
      </w:r>
      <w:r w:rsidR="003E439E" w:rsidRPr="00A22656">
        <w:rPr>
          <w:rFonts w:ascii="Times New Roman" w:hAnsi="Times New Roman" w:cs="Times New Roman"/>
          <w:sz w:val="24"/>
          <w:szCs w:val="20"/>
        </w:rPr>
        <w:t xml:space="preserve"> EU</w:t>
      </w:r>
      <w:r w:rsidR="00380683" w:rsidRPr="00A22656">
        <w:rPr>
          <w:rFonts w:ascii="Times New Roman" w:hAnsi="Times New Roman" w:cs="Times New Roman"/>
          <w:sz w:val="24"/>
          <w:szCs w:val="20"/>
        </w:rPr>
        <w:t xml:space="preserve"> legislation </w:t>
      </w:r>
      <w:r w:rsidR="00482BA9" w:rsidRPr="00A22656">
        <w:rPr>
          <w:rFonts w:ascii="Times New Roman" w:hAnsi="Times New Roman" w:cs="Times New Roman"/>
          <w:sz w:val="24"/>
          <w:szCs w:val="20"/>
        </w:rPr>
        <w:t xml:space="preserve">authorising </w:t>
      </w:r>
      <w:r w:rsidR="00754188" w:rsidRPr="00A22656">
        <w:rPr>
          <w:rFonts w:ascii="Times New Roman" w:hAnsi="Times New Roman" w:cs="Times New Roman"/>
          <w:sz w:val="24"/>
          <w:szCs w:val="20"/>
        </w:rPr>
        <w:t>particular</w:t>
      </w:r>
      <w:r w:rsidR="003E439E" w:rsidRPr="00A22656">
        <w:rPr>
          <w:rFonts w:ascii="Times New Roman" w:hAnsi="Times New Roman" w:cs="Times New Roman"/>
          <w:sz w:val="24"/>
          <w:szCs w:val="20"/>
        </w:rPr>
        <w:t xml:space="preserve"> </w:t>
      </w:r>
      <w:r w:rsidR="00380683" w:rsidRPr="00A22656">
        <w:rPr>
          <w:rFonts w:ascii="Times New Roman" w:hAnsi="Times New Roman" w:cs="Times New Roman"/>
          <w:sz w:val="24"/>
          <w:szCs w:val="20"/>
        </w:rPr>
        <w:t>Mem</w:t>
      </w:r>
      <w:r w:rsidR="003E439E" w:rsidRPr="00A22656">
        <w:rPr>
          <w:rFonts w:ascii="Times New Roman" w:hAnsi="Times New Roman" w:cs="Times New Roman"/>
          <w:sz w:val="24"/>
          <w:szCs w:val="20"/>
        </w:rPr>
        <w:t>ber State</w:t>
      </w:r>
      <w:r w:rsidR="0075620A" w:rsidRPr="00A22656">
        <w:rPr>
          <w:rFonts w:ascii="Times New Roman" w:hAnsi="Times New Roman" w:cs="Times New Roman"/>
          <w:sz w:val="24"/>
          <w:szCs w:val="20"/>
        </w:rPr>
        <w:t>s</w:t>
      </w:r>
      <w:r w:rsidR="003E439E" w:rsidRPr="00A22656">
        <w:rPr>
          <w:rFonts w:ascii="Times New Roman" w:hAnsi="Times New Roman" w:cs="Times New Roman"/>
          <w:sz w:val="24"/>
          <w:szCs w:val="20"/>
        </w:rPr>
        <w:t xml:space="preserve"> to discriminate against non-nation</w:t>
      </w:r>
      <w:r w:rsidR="00F31B86" w:rsidRPr="00A22656">
        <w:rPr>
          <w:rFonts w:ascii="Times New Roman" w:hAnsi="Times New Roman" w:cs="Times New Roman"/>
          <w:sz w:val="24"/>
          <w:szCs w:val="20"/>
        </w:rPr>
        <w:t xml:space="preserve">al Union workers, even </w:t>
      </w:r>
      <w:r w:rsidR="00FA17D4" w:rsidRPr="00A22656">
        <w:rPr>
          <w:rFonts w:ascii="Times New Roman" w:hAnsi="Times New Roman" w:cs="Times New Roman"/>
          <w:sz w:val="24"/>
          <w:szCs w:val="20"/>
        </w:rPr>
        <w:t>where there was</w:t>
      </w:r>
      <w:r w:rsidR="00380683" w:rsidRPr="00A22656">
        <w:rPr>
          <w:rFonts w:ascii="Times New Roman" w:hAnsi="Times New Roman" w:cs="Times New Roman"/>
          <w:sz w:val="24"/>
          <w:szCs w:val="20"/>
        </w:rPr>
        <w:t xml:space="preserve"> no overt reference to nationality in its text.</w:t>
      </w:r>
      <w:r w:rsidR="00380683" w:rsidRPr="00A22656">
        <w:rPr>
          <w:rStyle w:val="FootnoteReference"/>
          <w:rFonts w:ascii="Times New Roman" w:hAnsi="Times New Roman" w:cs="Times New Roman"/>
          <w:sz w:val="24"/>
          <w:szCs w:val="20"/>
        </w:rPr>
        <w:footnoteReference w:id="57"/>
      </w:r>
      <w:r w:rsidR="00380683" w:rsidRPr="00A22656">
        <w:rPr>
          <w:rFonts w:ascii="Times New Roman" w:hAnsi="Times New Roman" w:cs="Times New Roman"/>
          <w:sz w:val="24"/>
          <w:szCs w:val="20"/>
        </w:rPr>
        <w:t xml:space="preserve"> </w:t>
      </w:r>
      <w:r w:rsidRPr="00A22656">
        <w:rPr>
          <w:rFonts w:ascii="Times New Roman" w:hAnsi="Times New Roman" w:cs="Times New Roman"/>
          <w:sz w:val="24"/>
          <w:szCs w:val="20"/>
        </w:rPr>
        <w:t xml:space="preserve">  </w:t>
      </w:r>
      <w:r w:rsidR="001F6C91" w:rsidRPr="00A22656">
        <w:rPr>
          <w:rFonts w:ascii="Times New Roman" w:hAnsi="Times New Roman" w:cs="Times New Roman"/>
          <w:sz w:val="24"/>
          <w:szCs w:val="24"/>
        </w:rPr>
        <w:t xml:space="preserve"> </w:t>
      </w:r>
    </w:p>
    <w:p w:rsidR="0037406D" w:rsidRPr="00A22656" w:rsidRDefault="0037406D" w:rsidP="005F768F">
      <w:pPr>
        <w:pStyle w:val="NoSpacing"/>
        <w:spacing w:line="360" w:lineRule="auto"/>
        <w:jc w:val="both"/>
        <w:rPr>
          <w:rFonts w:ascii="Times New Roman" w:hAnsi="Times New Roman" w:cs="Times New Roman"/>
          <w:sz w:val="24"/>
          <w:szCs w:val="24"/>
        </w:rPr>
      </w:pPr>
    </w:p>
    <w:p w:rsidR="00C429F1" w:rsidRPr="00A22656" w:rsidRDefault="00F442F6"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lastRenderedPageBreak/>
        <w:t xml:space="preserve">On the other hand, the Court has proven itself capable of legal acrobatics in </w:t>
      </w:r>
      <w:r w:rsidR="002004B8" w:rsidRPr="00A22656">
        <w:rPr>
          <w:rFonts w:ascii="Times New Roman" w:hAnsi="Times New Roman" w:cs="Times New Roman"/>
          <w:sz w:val="24"/>
          <w:szCs w:val="20"/>
        </w:rPr>
        <w:t>other internal market contexts</w:t>
      </w:r>
      <w:r w:rsidR="00BC3FDA" w:rsidRPr="00A22656">
        <w:rPr>
          <w:rFonts w:ascii="Times New Roman" w:hAnsi="Times New Roman" w:cs="Times New Roman"/>
          <w:sz w:val="24"/>
          <w:szCs w:val="20"/>
        </w:rPr>
        <w:t xml:space="preserve"> where it was strategically expedient </w:t>
      </w:r>
      <w:r w:rsidRPr="00A22656">
        <w:rPr>
          <w:rFonts w:ascii="Times New Roman" w:hAnsi="Times New Roman" w:cs="Times New Roman"/>
          <w:sz w:val="24"/>
          <w:szCs w:val="20"/>
        </w:rPr>
        <w:t>to widen the range of justificatory options by categorising direct discrimination as indirect.</w:t>
      </w:r>
      <w:r w:rsidRPr="00A22656">
        <w:rPr>
          <w:rStyle w:val="FootnoteReference"/>
          <w:rFonts w:ascii="Times New Roman" w:hAnsi="Times New Roman" w:cs="Times New Roman"/>
          <w:sz w:val="24"/>
          <w:szCs w:val="20"/>
        </w:rPr>
        <w:footnoteReference w:id="58"/>
      </w:r>
      <w:r w:rsidR="00754188" w:rsidRPr="00A22656">
        <w:rPr>
          <w:rFonts w:ascii="Times New Roman" w:hAnsi="Times New Roman" w:cs="Times New Roman"/>
          <w:sz w:val="24"/>
          <w:szCs w:val="20"/>
        </w:rPr>
        <w:t xml:space="preserve"> </w:t>
      </w:r>
      <w:r w:rsidR="003F562D" w:rsidRPr="00A22656">
        <w:rPr>
          <w:rFonts w:ascii="Times New Roman" w:hAnsi="Times New Roman" w:cs="Times New Roman"/>
          <w:i/>
          <w:sz w:val="24"/>
          <w:szCs w:val="20"/>
        </w:rPr>
        <w:t xml:space="preserve">Commission v UK </w:t>
      </w:r>
      <w:r w:rsidR="009D5219" w:rsidRPr="00A22656">
        <w:rPr>
          <w:rFonts w:ascii="Times New Roman" w:hAnsi="Times New Roman" w:cs="Times New Roman"/>
          <w:sz w:val="24"/>
          <w:szCs w:val="20"/>
        </w:rPr>
        <w:t>is particularly</w:t>
      </w:r>
      <w:r w:rsidR="00426545" w:rsidRPr="00A22656">
        <w:rPr>
          <w:rFonts w:ascii="Times New Roman" w:hAnsi="Times New Roman" w:cs="Times New Roman"/>
          <w:sz w:val="24"/>
          <w:szCs w:val="20"/>
        </w:rPr>
        <w:t xml:space="preserve"> instructive here</w:t>
      </w:r>
      <w:r w:rsidR="003D1851" w:rsidRPr="00A22656">
        <w:rPr>
          <w:rFonts w:ascii="Times New Roman" w:hAnsi="Times New Roman" w:cs="Times New Roman"/>
          <w:sz w:val="24"/>
          <w:szCs w:val="20"/>
        </w:rPr>
        <w:t>.</w:t>
      </w:r>
      <w:r w:rsidR="00FA17D4" w:rsidRPr="00A22656">
        <w:rPr>
          <w:rStyle w:val="FootnoteReference"/>
          <w:rFonts w:ascii="Times New Roman" w:hAnsi="Times New Roman" w:cs="Times New Roman"/>
          <w:sz w:val="24"/>
          <w:szCs w:val="20"/>
        </w:rPr>
        <w:footnoteReference w:id="59"/>
      </w:r>
      <w:r w:rsidR="003F562D" w:rsidRPr="00A22656">
        <w:rPr>
          <w:rFonts w:ascii="Times New Roman" w:hAnsi="Times New Roman" w:cs="Times New Roman"/>
          <w:sz w:val="24"/>
          <w:szCs w:val="20"/>
        </w:rPr>
        <w:t xml:space="preserve"> The case concerned the </w:t>
      </w:r>
      <w:r w:rsidR="00911473" w:rsidRPr="00A22656">
        <w:rPr>
          <w:rFonts w:ascii="Times New Roman" w:hAnsi="Times New Roman" w:cs="Times New Roman"/>
          <w:sz w:val="24"/>
          <w:szCs w:val="20"/>
        </w:rPr>
        <w:t>UK’s use</w:t>
      </w:r>
      <w:r w:rsidR="003F562D" w:rsidRPr="00A22656">
        <w:rPr>
          <w:rFonts w:ascii="Times New Roman" w:hAnsi="Times New Roman" w:cs="Times New Roman"/>
          <w:sz w:val="24"/>
          <w:szCs w:val="20"/>
        </w:rPr>
        <w:t xml:space="preserve"> of a ‘right to reside’ test for access to certa</w:t>
      </w:r>
      <w:r w:rsidR="00911473" w:rsidRPr="00A22656">
        <w:rPr>
          <w:rFonts w:ascii="Times New Roman" w:hAnsi="Times New Roman" w:cs="Times New Roman"/>
          <w:sz w:val="24"/>
          <w:szCs w:val="20"/>
        </w:rPr>
        <w:t>in forms of social security</w:t>
      </w:r>
      <w:r w:rsidR="003F562D" w:rsidRPr="00A22656">
        <w:rPr>
          <w:rFonts w:ascii="Times New Roman" w:hAnsi="Times New Roman" w:cs="Times New Roman"/>
          <w:sz w:val="24"/>
          <w:szCs w:val="20"/>
        </w:rPr>
        <w:t xml:space="preserve">. </w:t>
      </w:r>
      <w:r w:rsidR="0057536A" w:rsidRPr="00A22656">
        <w:rPr>
          <w:rFonts w:ascii="Times New Roman" w:hAnsi="Times New Roman" w:cs="Times New Roman"/>
          <w:sz w:val="24"/>
          <w:szCs w:val="20"/>
        </w:rPr>
        <w:t xml:space="preserve">The test formed part of a wider assessment of whether an individual was ‘habitually resident’ in the UK, applicable to both nationals and EU citizens. However, while British nationals overcome this threshold through nationality and residence, non-national EU citizens had to demonstrate a ‘right to reside’ via residence in accordance with Directive 2004/38. </w:t>
      </w:r>
      <w:r w:rsidR="00AC2681" w:rsidRPr="00A22656">
        <w:rPr>
          <w:rFonts w:ascii="Times New Roman" w:hAnsi="Times New Roman" w:cs="Times New Roman"/>
          <w:sz w:val="24"/>
          <w:szCs w:val="20"/>
        </w:rPr>
        <w:t xml:space="preserve">Generally speaking, this meant that non-national EU citizens had to be workers or self-employed to be eligible, since an application for social support would suggest that non-economically active Union citizens did not meet the Directive’s self-sufficiency requirements. Ultimately, the Commission simply conceded that, since </w:t>
      </w:r>
      <w:r w:rsidR="00805072" w:rsidRPr="00A22656">
        <w:rPr>
          <w:rFonts w:ascii="Times New Roman" w:hAnsi="Times New Roman" w:cs="Times New Roman"/>
          <w:sz w:val="24"/>
          <w:szCs w:val="20"/>
        </w:rPr>
        <w:t xml:space="preserve">the </w:t>
      </w:r>
      <w:r w:rsidR="00AC2681" w:rsidRPr="00A22656">
        <w:rPr>
          <w:rFonts w:ascii="Times New Roman" w:hAnsi="Times New Roman" w:cs="Times New Roman"/>
          <w:sz w:val="24"/>
          <w:szCs w:val="20"/>
        </w:rPr>
        <w:t xml:space="preserve">habitual residence test was applied to all, this was not direct discrimination but it remains of interest that the Court did not consider whether the ‘right to reside’ component constituted an additional, directly discriminatory, burden. </w:t>
      </w:r>
      <w:r w:rsidR="006F09B1" w:rsidRPr="00A22656">
        <w:rPr>
          <w:rFonts w:ascii="Times New Roman" w:hAnsi="Times New Roman" w:cs="Times New Roman"/>
          <w:sz w:val="24"/>
          <w:szCs w:val="20"/>
        </w:rPr>
        <w:t xml:space="preserve">Instead, the Court simply </w:t>
      </w:r>
      <w:r w:rsidR="00AC2681" w:rsidRPr="00A22656">
        <w:rPr>
          <w:rFonts w:ascii="Times New Roman" w:hAnsi="Times New Roman" w:cs="Times New Roman"/>
          <w:sz w:val="24"/>
          <w:szCs w:val="20"/>
        </w:rPr>
        <w:t>focused on the fact that ‘habitual residence’ was more easily satisfied by host State nationals and, thus, that indirect discrimination was established.</w:t>
      </w:r>
      <w:r w:rsidR="006F09B1" w:rsidRPr="00A22656">
        <w:rPr>
          <w:rStyle w:val="FootnoteReference"/>
          <w:rFonts w:ascii="Times New Roman" w:hAnsi="Times New Roman" w:cs="Times New Roman"/>
          <w:sz w:val="24"/>
          <w:szCs w:val="20"/>
        </w:rPr>
        <w:footnoteReference w:id="60"/>
      </w:r>
      <w:r w:rsidR="006F09B1" w:rsidRPr="00A22656">
        <w:rPr>
          <w:rFonts w:ascii="Times New Roman" w:hAnsi="Times New Roman" w:cs="Times New Roman"/>
          <w:sz w:val="24"/>
          <w:szCs w:val="20"/>
        </w:rPr>
        <w:t xml:space="preserve"> </w:t>
      </w:r>
      <w:r w:rsidR="001C5FB0" w:rsidRPr="00A22656">
        <w:rPr>
          <w:rFonts w:ascii="Times New Roman" w:hAnsi="Times New Roman" w:cs="Times New Roman"/>
          <w:sz w:val="24"/>
          <w:szCs w:val="20"/>
        </w:rPr>
        <w:t xml:space="preserve"> </w:t>
      </w:r>
    </w:p>
    <w:p w:rsidR="00C429F1" w:rsidRPr="00A22656" w:rsidRDefault="00C429F1" w:rsidP="005F768F">
      <w:pPr>
        <w:pStyle w:val="NoSpacing"/>
        <w:spacing w:line="360" w:lineRule="auto"/>
        <w:jc w:val="both"/>
        <w:rPr>
          <w:rFonts w:ascii="Times New Roman" w:hAnsi="Times New Roman" w:cs="Times New Roman"/>
          <w:sz w:val="24"/>
          <w:szCs w:val="20"/>
        </w:rPr>
      </w:pPr>
    </w:p>
    <w:p w:rsidR="0021302D" w:rsidRPr="00A22656" w:rsidRDefault="00680CEF"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The cursory manner with which the Court deals with</w:t>
      </w:r>
      <w:r w:rsidR="00BD5B7B" w:rsidRPr="00A22656">
        <w:rPr>
          <w:rFonts w:ascii="Times New Roman" w:hAnsi="Times New Roman" w:cs="Times New Roman"/>
          <w:sz w:val="24"/>
          <w:szCs w:val="20"/>
        </w:rPr>
        <w:t xml:space="preserve"> this issue</w:t>
      </w:r>
      <w:r w:rsidRPr="00A22656">
        <w:rPr>
          <w:rFonts w:ascii="Times New Roman" w:hAnsi="Times New Roman" w:cs="Times New Roman"/>
          <w:sz w:val="24"/>
          <w:szCs w:val="20"/>
        </w:rPr>
        <w:t xml:space="preserve"> can be illustrated through an examination of the dissenting judgment of Lord Walker in the previous domestic case of </w:t>
      </w:r>
      <w:proofErr w:type="spellStart"/>
      <w:r w:rsidR="0021302D" w:rsidRPr="00A22656">
        <w:rPr>
          <w:rFonts w:ascii="Times New Roman" w:hAnsi="Times New Roman" w:cs="Times New Roman"/>
          <w:i/>
          <w:sz w:val="24"/>
          <w:szCs w:val="20"/>
        </w:rPr>
        <w:t>Patmalniece</w:t>
      </w:r>
      <w:proofErr w:type="spellEnd"/>
      <w:r w:rsidR="0021302D" w:rsidRPr="00A22656">
        <w:rPr>
          <w:rFonts w:ascii="Times New Roman" w:hAnsi="Times New Roman" w:cs="Times New Roman"/>
          <w:i/>
          <w:sz w:val="24"/>
          <w:szCs w:val="20"/>
        </w:rPr>
        <w:t>,</w:t>
      </w:r>
      <w:r w:rsidR="0021302D" w:rsidRPr="00A22656">
        <w:rPr>
          <w:rStyle w:val="FootnoteReference"/>
          <w:rFonts w:ascii="Times New Roman" w:hAnsi="Times New Roman" w:cs="Times New Roman"/>
          <w:sz w:val="24"/>
          <w:szCs w:val="20"/>
        </w:rPr>
        <w:footnoteReference w:id="61"/>
      </w:r>
      <w:r w:rsidR="00BD5B7B" w:rsidRPr="00A22656">
        <w:rPr>
          <w:rFonts w:ascii="Times New Roman" w:hAnsi="Times New Roman" w:cs="Times New Roman"/>
          <w:i/>
          <w:sz w:val="24"/>
          <w:szCs w:val="20"/>
        </w:rPr>
        <w:t xml:space="preserve"> </w:t>
      </w:r>
      <w:r w:rsidR="00BD5B7B" w:rsidRPr="00A22656">
        <w:rPr>
          <w:rFonts w:ascii="Times New Roman" w:hAnsi="Times New Roman" w:cs="Times New Roman"/>
          <w:sz w:val="24"/>
          <w:szCs w:val="20"/>
        </w:rPr>
        <w:t>also</w:t>
      </w:r>
      <w:r w:rsidR="0021302D" w:rsidRPr="00A22656">
        <w:rPr>
          <w:rFonts w:ascii="Times New Roman" w:hAnsi="Times New Roman" w:cs="Times New Roman"/>
          <w:i/>
          <w:sz w:val="24"/>
          <w:szCs w:val="20"/>
        </w:rPr>
        <w:t xml:space="preserve"> </w:t>
      </w:r>
      <w:r w:rsidR="0021302D" w:rsidRPr="00A22656">
        <w:rPr>
          <w:rFonts w:ascii="Times New Roman" w:hAnsi="Times New Roman" w:cs="Times New Roman"/>
          <w:sz w:val="24"/>
          <w:szCs w:val="20"/>
        </w:rPr>
        <w:t>concerning the</w:t>
      </w:r>
      <w:r w:rsidR="00BD5B7B" w:rsidRPr="00A22656">
        <w:rPr>
          <w:rFonts w:ascii="Times New Roman" w:hAnsi="Times New Roman" w:cs="Times New Roman"/>
          <w:sz w:val="24"/>
          <w:szCs w:val="20"/>
        </w:rPr>
        <w:t xml:space="preserve"> right to reside test.</w:t>
      </w:r>
      <w:r w:rsidRPr="00A22656">
        <w:rPr>
          <w:rFonts w:ascii="Times New Roman" w:hAnsi="Times New Roman" w:cs="Times New Roman"/>
          <w:sz w:val="24"/>
          <w:szCs w:val="20"/>
        </w:rPr>
        <w:t xml:space="preserve"> </w:t>
      </w:r>
      <w:r w:rsidR="00FA17D4" w:rsidRPr="00A22656">
        <w:rPr>
          <w:rFonts w:ascii="Times New Roman" w:hAnsi="Times New Roman" w:cs="Times New Roman"/>
          <w:sz w:val="24"/>
          <w:szCs w:val="20"/>
        </w:rPr>
        <w:t>His L</w:t>
      </w:r>
      <w:r w:rsidR="00BD5B7B" w:rsidRPr="00A22656">
        <w:rPr>
          <w:rFonts w:ascii="Times New Roman" w:hAnsi="Times New Roman" w:cs="Times New Roman"/>
          <w:sz w:val="24"/>
          <w:szCs w:val="20"/>
        </w:rPr>
        <w:t>ordship accepted</w:t>
      </w:r>
      <w:r w:rsidR="00F705E2" w:rsidRPr="00A22656">
        <w:rPr>
          <w:rFonts w:ascii="Times New Roman" w:hAnsi="Times New Roman" w:cs="Times New Roman"/>
          <w:sz w:val="24"/>
          <w:szCs w:val="20"/>
        </w:rPr>
        <w:t xml:space="preserve"> the</w:t>
      </w:r>
      <w:r w:rsidR="00BD5B7B" w:rsidRPr="00A22656">
        <w:rPr>
          <w:rFonts w:ascii="Times New Roman" w:hAnsi="Times New Roman" w:cs="Times New Roman"/>
          <w:sz w:val="24"/>
          <w:szCs w:val="20"/>
        </w:rPr>
        <w:t xml:space="preserve"> test</w:t>
      </w:r>
      <w:r w:rsidR="00F705E2" w:rsidRPr="00A22656">
        <w:rPr>
          <w:rFonts w:ascii="Times New Roman" w:hAnsi="Times New Roman" w:cs="Times New Roman"/>
          <w:sz w:val="24"/>
          <w:szCs w:val="20"/>
        </w:rPr>
        <w:t xml:space="preserve"> constituted indirect discrimination </w:t>
      </w:r>
      <w:r w:rsidR="00BD5B7B" w:rsidRPr="00A22656">
        <w:rPr>
          <w:rFonts w:ascii="Times New Roman" w:hAnsi="Times New Roman" w:cs="Times New Roman"/>
          <w:sz w:val="24"/>
          <w:szCs w:val="20"/>
        </w:rPr>
        <w:t xml:space="preserve">following </w:t>
      </w:r>
      <w:r w:rsidR="00F705E2" w:rsidRPr="00A22656">
        <w:rPr>
          <w:rFonts w:ascii="Times New Roman" w:hAnsi="Times New Roman" w:cs="Times New Roman"/>
          <w:sz w:val="24"/>
          <w:szCs w:val="20"/>
        </w:rPr>
        <w:t xml:space="preserve">the CJEU’s previous approach to cumulative conditions in </w:t>
      </w:r>
      <w:proofErr w:type="spellStart"/>
      <w:r w:rsidR="00F705E2" w:rsidRPr="00A22656">
        <w:rPr>
          <w:rFonts w:ascii="Times New Roman" w:hAnsi="Times New Roman" w:cs="Times New Roman"/>
          <w:i/>
          <w:sz w:val="24"/>
          <w:szCs w:val="20"/>
        </w:rPr>
        <w:t>Bressol</w:t>
      </w:r>
      <w:proofErr w:type="spellEnd"/>
      <w:r w:rsidR="00BD5B7B" w:rsidRPr="00A22656">
        <w:rPr>
          <w:rFonts w:ascii="Times New Roman" w:hAnsi="Times New Roman" w:cs="Times New Roman"/>
          <w:sz w:val="24"/>
          <w:szCs w:val="20"/>
        </w:rPr>
        <w:t>.</w:t>
      </w:r>
      <w:r w:rsidR="00FB228A" w:rsidRPr="00A22656">
        <w:rPr>
          <w:rStyle w:val="FootnoteReference"/>
          <w:rFonts w:ascii="Times New Roman" w:hAnsi="Times New Roman" w:cs="Times New Roman"/>
          <w:sz w:val="24"/>
          <w:szCs w:val="20"/>
        </w:rPr>
        <w:footnoteReference w:id="62"/>
      </w:r>
      <w:r w:rsidR="00BD5B7B" w:rsidRPr="00A22656">
        <w:rPr>
          <w:rFonts w:ascii="Times New Roman" w:hAnsi="Times New Roman" w:cs="Times New Roman"/>
          <w:sz w:val="24"/>
          <w:szCs w:val="20"/>
        </w:rPr>
        <w:t xml:space="preserve"> </w:t>
      </w:r>
      <w:r w:rsidR="00FB228A" w:rsidRPr="00A22656">
        <w:rPr>
          <w:rFonts w:ascii="Times New Roman" w:hAnsi="Times New Roman" w:cs="Times New Roman"/>
          <w:sz w:val="24"/>
          <w:szCs w:val="20"/>
        </w:rPr>
        <w:t xml:space="preserve"> </w:t>
      </w:r>
      <w:r w:rsidR="00A26921" w:rsidRPr="00A22656">
        <w:rPr>
          <w:rFonts w:ascii="Times New Roman" w:hAnsi="Times New Roman" w:cs="Times New Roman"/>
          <w:sz w:val="24"/>
          <w:szCs w:val="20"/>
        </w:rPr>
        <w:t xml:space="preserve">However, he </w:t>
      </w:r>
      <w:r w:rsidR="00FB228A" w:rsidRPr="00A22656">
        <w:rPr>
          <w:rFonts w:ascii="Times New Roman" w:hAnsi="Times New Roman" w:cs="Times New Roman"/>
          <w:sz w:val="24"/>
          <w:szCs w:val="20"/>
        </w:rPr>
        <w:t>questioned this</w:t>
      </w:r>
      <w:r w:rsidR="00F705E2" w:rsidRPr="00A22656">
        <w:rPr>
          <w:rFonts w:ascii="Times New Roman" w:hAnsi="Times New Roman" w:cs="Times New Roman"/>
          <w:sz w:val="24"/>
          <w:szCs w:val="20"/>
        </w:rPr>
        <w:t xml:space="preserve"> classification </w:t>
      </w:r>
      <w:r w:rsidR="00A26921" w:rsidRPr="00A22656">
        <w:rPr>
          <w:rFonts w:ascii="Times New Roman" w:hAnsi="Times New Roman" w:cs="Times New Roman"/>
          <w:sz w:val="24"/>
          <w:szCs w:val="20"/>
        </w:rPr>
        <w:t>since the right to reside</w:t>
      </w:r>
      <w:r w:rsidR="00F705E2" w:rsidRPr="00A22656">
        <w:rPr>
          <w:rFonts w:ascii="Times New Roman" w:hAnsi="Times New Roman" w:cs="Times New Roman"/>
          <w:sz w:val="24"/>
          <w:szCs w:val="20"/>
        </w:rPr>
        <w:t xml:space="preserve"> assessment was ‘a necessary condition</w:t>
      </w:r>
      <w:r w:rsidR="00A26921" w:rsidRPr="00A22656">
        <w:rPr>
          <w:rFonts w:ascii="Times New Roman" w:hAnsi="Times New Roman" w:cs="Times New Roman"/>
          <w:sz w:val="24"/>
          <w:szCs w:val="20"/>
        </w:rPr>
        <w:t>…</w:t>
      </w:r>
      <w:r w:rsidR="00F705E2" w:rsidRPr="00A22656">
        <w:rPr>
          <w:rFonts w:ascii="Times New Roman" w:hAnsi="Times New Roman" w:cs="Times New Roman"/>
          <w:sz w:val="24"/>
          <w:szCs w:val="20"/>
        </w:rPr>
        <w:t>automatically satisfied by every British national’.</w:t>
      </w:r>
      <w:r w:rsidR="00F705E2" w:rsidRPr="00A22656">
        <w:rPr>
          <w:rStyle w:val="FootnoteReference"/>
          <w:rFonts w:ascii="Times New Roman" w:hAnsi="Times New Roman" w:cs="Times New Roman"/>
          <w:sz w:val="24"/>
          <w:szCs w:val="20"/>
        </w:rPr>
        <w:footnoteReference w:id="63"/>
      </w:r>
      <w:r w:rsidR="00FB228A" w:rsidRPr="00A22656">
        <w:rPr>
          <w:rFonts w:ascii="Times New Roman" w:hAnsi="Times New Roman" w:cs="Times New Roman"/>
          <w:sz w:val="24"/>
          <w:szCs w:val="20"/>
        </w:rPr>
        <w:t xml:space="preserve"> </w:t>
      </w:r>
      <w:r w:rsidR="00A26921" w:rsidRPr="00A22656">
        <w:rPr>
          <w:rFonts w:ascii="Times New Roman" w:hAnsi="Times New Roman" w:cs="Times New Roman"/>
          <w:sz w:val="24"/>
          <w:szCs w:val="20"/>
        </w:rPr>
        <w:t xml:space="preserve">Drawing on a similar rationale for the test as used for the safeguard, </w:t>
      </w:r>
      <w:r w:rsidR="00FB228A" w:rsidRPr="00A22656">
        <w:rPr>
          <w:rFonts w:ascii="Times New Roman" w:hAnsi="Times New Roman" w:cs="Times New Roman"/>
          <w:sz w:val="24"/>
          <w:szCs w:val="20"/>
        </w:rPr>
        <w:t xml:space="preserve">the Secretary of State argued in </w:t>
      </w:r>
      <w:proofErr w:type="spellStart"/>
      <w:r w:rsidR="00FA17D4" w:rsidRPr="00A22656">
        <w:rPr>
          <w:rFonts w:ascii="Times New Roman" w:hAnsi="Times New Roman" w:cs="Times New Roman"/>
          <w:i/>
          <w:sz w:val="24"/>
          <w:szCs w:val="20"/>
        </w:rPr>
        <w:t>Patmalniece</w:t>
      </w:r>
      <w:proofErr w:type="spellEnd"/>
      <w:r w:rsidR="00A26921" w:rsidRPr="00A22656">
        <w:rPr>
          <w:rFonts w:ascii="Times New Roman" w:hAnsi="Times New Roman" w:cs="Times New Roman"/>
          <w:sz w:val="24"/>
          <w:szCs w:val="20"/>
        </w:rPr>
        <w:t xml:space="preserve"> that the ‘right to reside’ threshold</w:t>
      </w:r>
      <w:r w:rsidR="00FB228A" w:rsidRPr="00A22656">
        <w:rPr>
          <w:rFonts w:ascii="Times New Roman" w:hAnsi="Times New Roman" w:cs="Times New Roman"/>
          <w:sz w:val="24"/>
          <w:szCs w:val="20"/>
        </w:rPr>
        <w:t xml:space="preserve"> </w:t>
      </w:r>
      <w:r w:rsidR="00B975DE" w:rsidRPr="00A22656">
        <w:rPr>
          <w:rFonts w:ascii="Times New Roman" w:hAnsi="Times New Roman" w:cs="Times New Roman"/>
          <w:sz w:val="24"/>
          <w:szCs w:val="20"/>
        </w:rPr>
        <w:t>was</w:t>
      </w:r>
      <w:r w:rsidR="00A26921" w:rsidRPr="00A22656">
        <w:rPr>
          <w:rFonts w:ascii="Times New Roman" w:hAnsi="Times New Roman" w:cs="Times New Roman"/>
          <w:sz w:val="24"/>
          <w:szCs w:val="20"/>
        </w:rPr>
        <w:t xml:space="preserve"> a justifiable means </w:t>
      </w:r>
      <w:r w:rsidR="001B1282" w:rsidRPr="00A22656">
        <w:rPr>
          <w:rFonts w:ascii="Times New Roman" w:hAnsi="Times New Roman" w:cs="Times New Roman"/>
          <w:sz w:val="24"/>
          <w:szCs w:val="20"/>
        </w:rPr>
        <w:t>of assessing economic or social integration in the UK and</w:t>
      </w:r>
      <w:r w:rsidR="00B975DE" w:rsidRPr="00A22656">
        <w:rPr>
          <w:rFonts w:ascii="Times New Roman" w:hAnsi="Times New Roman" w:cs="Times New Roman"/>
          <w:sz w:val="24"/>
          <w:szCs w:val="20"/>
        </w:rPr>
        <w:t xml:space="preserve"> of protecting the public purse against exploitation</w:t>
      </w:r>
      <w:r w:rsidR="00A26921" w:rsidRPr="00A22656">
        <w:rPr>
          <w:rFonts w:ascii="Times New Roman" w:hAnsi="Times New Roman" w:cs="Times New Roman"/>
          <w:sz w:val="24"/>
          <w:szCs w:val="20"/>
        </w:rPr>
        <w:t>,</w:t>
      </w:r>
      <w:r w:rsidR="00B975DE" w:rsidRPr="00A22656">
        <w:rPr>
          <w:rFonts w:ascii="Times New Roman" w:hAnsi="Times New Roman" w:cs="Times New Roman"/>
          <w:sz w:val="24"/>
          <w:szCs w:val="20"/>
        </w:rPr>
        <w:t xml:space="preserve"> irrespective of nationality.</w:t>
      </w:r>
      <w:r w:rsidR="00527DF1" w:rsidRPr="00A22656">
        <w:rPr>
          <w:rStyle w:val="FootnoteReference"/>
          <w:rFonts w:ascii="Times New Roman" w:hAnsi="Times New Roman" w:cs="Times New Roman"/>
          <w:sz w:val="24"/>
          <w:szCs w:val="20"/>
        </w:rPr>
        <w:footnoteReference w:id="64"/>
      </w:r>
      <w:r w:rsidR="00527DF1" w:rsidRPr="00A22656">
        <w:rPr>
          <w:rFonts w:ascii="Times New Roman" w:hAnsi="Times New Roman" w:cs="Times New Roman"/>
          <w:sz w:val="24"/>
          <w:szCs w:val="20"/>
        </w:rPr>
        <w:t xml:space="preserve"> </w:t>
      </w:r>
      <w:r w:rsidR="00FB228A" w:rsidRPr="00A22656">
        <w:rPr>
          <w:rFonts w:ascii="Times New Roman" w:hAnsi="Times New Roman" w:cs="Times New Roman"/>
          <w:sz w:val="24"/>
          <w:szCs w:val="20"/>
        </w:rPr>
        <w:t>For Lord Walker,</w:t>
      </w:r>
      <w:r w:rsidR="00A21BD7" w:rsidRPr="00A22656">
        <w:rPr>
          <w:rFonts w:ascii="Times New Roman" w:hAnsi="Times New Roman" w:cs="Times New Roman"/>
          <w:sz w:val="24"/>
          <w:szCs w:val="20"/>
        </w:rPr>
        <w:t xml:space="preserve"> this argument was disingenuous. The test was rooted in nationality, since</w:t>
      </w:r>
      <w:r w:rsidR="00FB228A" w:rsidRPr="00A22656">
        <w:rPr>
          <w:rFonts w:ascii="Times New Roman" w:hAnsi="Times New Roman" w:cs="Times New Roman"/>
          <w:sz w:val="24"/>
          <w:szCs w:val="20"/>
        </w:rPr>
        <w:t xml:space="preserve"> </w:t>
      </w:r>
      <w:r w:rsidR="00FB228A" w:rsidRPr="00A22656">
        <w:rPr>
          <w:rFonts w:ascii="Times New Roman" w:hAnsi="Times New Roman" w:cs="Times New Roman"/>
          <w:i/>
          <w:sz w:val="24"/>
          <w:szCs w:val="20"/>
        </w:rPr>
        <w:t xml:space="preserve">every </w:t>
      </w:r>
      <w:r w:rsidR="00FB228A" w:rsidRPr="00A22656">
        <w:rPr>
          <w:rFonts w:ascii="Times New Roman" w:hAnsi="Times New Roman" w:cs="Times New Roman"/>
          <w:sz w:val="24"/>
          <w:szCs w:val="20"/>
        </w:rPr>
        <w:t xml:space="preserve">British national had a right to reside </w:t>
      </w:r>
      <w:r w:rsidR="00FB228A" w:rsidRPr="00A22656">
        <w:rPr>
          <w:rFonts w:ascii="Times New Roman" w:hAnsi="Times New Roman" w:cs="Times New Roman"/>
          <w:sz w:val="24"/>
          <w:szCs w:val="20"/>
        </w:rPr>
        <w:lastRenderedPageBreak/>
        <w:t>automatically, while non-nationals had to meet the set criteria of specific categories.</w:t>
      </w:r>
      <w:r w:rsidR="00FB228A" w:rsidRPr="00A22656">
        <w:rPr>
          <w:rStyle w:val="FootnoteReference"/>
          <w:rFonts w:ascii="Times New Roman" w:hAnsi="Times New Roman" w:cs="Times New Roman"/>
          <w:sz w:val="24"/>
          <w:szCs w:val="20"/>
        </w:rPr>
        <w:footnoteReference w:id="65"/>
      </w:r>
      <w:r w:rsidR="00FB228A" w:rsidRPr="00A22656">
        <w:rPr>
          <w:rFonts w:ascii="Times New Roman" w:hAnsi="Times New Roman" w:cs="Times New Roman"/>
          <w:sz w:val="24"/>
          <w:szCs w:val="20"/>
        </w:rPr>
        <w:t xml:space="preserve"> </w:t>
      </w:r>
      <w:r w:rsidR="00F23385" w:rsidRPr="00A22656">
        <w:rPr>
          <w:rFonts w:ascii="Times New Roman" w:hAnsi="Times New Roman" w:cs="Times New Roman"/>
          <w:sz w:val="24"/>
          <w:szCs w:val="20"/>
        </w:rPr>
        <w:t>He noted, by way of example, that a non-economically active British citizen, recently arrived in the UK from Latvia, with no family or social connections, or financial resources in the UK would be automatically entitled to the social security in question; a recently arrived Latvian in the same situation would not.</w:t>
      </w:r>
      <w:r w:rsidR="00687BCD" w:rsidRPr="00A22656">
        <w:rPr>
          <w:rFonts w:ascii="Times New Roman" w:hAnsi="Times New Roman" w:cs="Times New Roman"/>
          <w:sz w:val="24"/>
          <w:szCs w:val="20"/>
        </w:rPr>
        <w:t xml:space="preserve"> As a result, Lord Walker argued that the ‘right to reside’ test could not be justified.</w:t>
      </w:r>
      <w:r w:rsidR="000F0FDC" w:rsidRPr="00A22656">
        <w:rPr>
          <w:rStyle w:val="FootnoteReference"/>
          <w:rFonts w:ascii="Times New Roman" w:hAnsi="Times New Roman" w:cs="Times New Roman"/>
          <w:sz w:val="24"/>
          <w:szCs w:val="20"/>
        </w:rPr>
        <w:footnoteReference w:id="66"/>
      </w:r>
    </w:p>
    <w:p w:rsidR="0021302D" w:rsidRPr="00A22656" w:rsidRDefault="0021302D" w:rsidP="005F768F">
      <w:pPr>
        <w:pStyle w:val="NoSpacing"/>
        <w:spacing w:line="360" w:lineRule="auto"/>
        <w:jc w:val="both"/>
        <w:rPr>
          <w:rFonts w:ascii="Times New Roman" w:hAnsi="Times New Roman" w:cs="Times New Roman"/>
          <w:sz w:val="24"/>
          <w:szCs w:val="20"/>
        </w:rPr>
      </w:pPr>
    </w:p>
    <w:p w:rsidR="00190C59" w:rsidRPr="00A22656" w:rsidRDefault="0021302D" w:rsidP="005F768F">
      <w:pPr>
        <w:pStyle w:val="NoSpacing"/>
        <w:spacing w:line="360" w:lineRule="auto"/>
        <w:jc w:val="both"/>
      </w:pPr>
      <w:r w:rsidRPr="00A22656">
        <w:rPr>
          <w:rFonts w:ascii="Times New Roman" w:hAnsi="Times New Roman" w:cs="Times New Roman"/>
          <w:sz w:val="24"/>
          <w:szCs w:val="20"/>
        </w:rPr>
        <w:t xml:space="preserve">Ultimately, the majority in </w:t>
      </w:r>
      <w:proofErr w:type="spellStart"/>
      <w:r w:rsidRPr="00A22656">
        <w:rPr>
          <w:rFonts w:ascii="Times New Roman" w:hAnsi="Times New Roman" w:cs="Times New Roman"/>
          <w:i/>
          <w:sz w:val="24"/>
          <w:szCs w:val="20"/>
        </w:rPr>
        <w:t>Patmalniece</w:t>
      </w:r>
      <w:proofErr w:type="spellEnd"/>
      <w:r w:rsidRPr="00A22656">
        <w:rPr>
          <w:rFonts w:ascii="Times New Roman" w:hAnsi="Times New Roman" w:cs="Times New Roman"/>
          <w:i/>
          <w:sz w:val="24"/>
          <w:szCs w:val="20"/>
        </w:rPr>
        <w:t xml:space="preserve"> </w:t>
      </w:r>
      <w:r w:rsidRPr="00A22656">
        <w:rPr>
          <w:rFonts w:ascii="Times New Roman" w:hAnsi="Times New Roman" w:cs="Times New Roman"/>
          <w:sz w:val="24"/>
          <w:szCs w:val="20"/>
        </w:rPr>
        <w:t>disagreed</w:t>
      </w:r>
      <w:r w:rsidR="008567BD" w:rsidRPr="00A22656">
        <w:rPr>
          <w:rFonts w:ascii="Times New Roman" w:hAnsi="Times New Roman" w:cs="Times New Roman"/>
          <w:sz w:val="24"/>
          <w:szCs w:val="20"/>
        </w:rPr>
        <w:t>,</w:t>
      </w:r>
      <w:r w:rsidR="0036598C" w:rsidRPr="00A22656">
        <w:rPr>
          <w:rFonts w:ascii="Times New Roman" w:hAnsi="Times New Roman" w:cs="Times New Roman"/>
          <w:sz w:val="24"/>
          <w:szCs w:val="20"/>
        </w:rPr>
        <w:t xml:space="preserve"> finding the ‘right to reside’ component to be justified by the need to protect the public purse.</w:t>
      </w:r>
      <w:r w:rsidR="008567BD" w:rsidRPr="00A22656">
        <w:rPr>
          <w:rFonts w:ascii="Times New Roman" w:hAnsi="Times New Roman" w:cs="Times New Roman"/>
          <w:sz w:val="24"/>
          <w:szCs w:val="20"/>
        </w:rPr>
        <w:t xml:space="preserve"> </w:t>
      </w:r>
      <w:r w:rsidR="00980934" w:rsidRPr="00A22656">
        <w:rPr>
          <w:rFonts w:ascii="Times New Roman" w:hAnsi="Times New Roman" w:cs="Times New Roman"/>
          <w:sz w:val="24"/>
          <w:szCs w:val="20"/>
        </w:rPr>
        <w:t>As we have seen, t</w:t>
      </w:r>
      <w:r w:rsidR="008567BD" w:rsidRPr="00A22656">
        <w:rPr>
          <w:rFonts w:ascii="Times New Roman" w:hAnsi="Times New Roman" w:cs="Times New Roman"/>
          <w:sz w:val="24"/>
          <w:szCs w:val="20"/>
        </w:rPr>
        <w:t>he CJEU</w:t>
      </w:r>
      <w:r w:rsidR="00BE568A" w:rsidRPr="00A22656">
        <w:rPr>
          <w:rFonts w:ascii="Times New Roman" w:hAnsi="Times New Roman" w:cs="Times New Roman"/>
          <w:sz w:val="24"/>
          <w:szCs w:val="20"/>
        </w:rPr>
        <w:t xml:space="preserve">, in </w:t>
      </w:r>
      <w:r w:rsidR="00BE568A" w:rsidRPr="00A22656">
        <w:rPr>
          <w:rFonts w:ascii="Times New Roman" w:hAnsi="Times New Roman" w:cs="Times New Roman"/>
          <w:i/>
          <w:sz w:val="24"/>
          <w:szCs w:val="20"/>
        </w:rPr>
        <w:t>Commission v UK,</w:t>
      </w:r>
      <w:r w:rsidR="008567BD" w:rsidRPr="00A22656">
        <w:rPr>
          <w:rFonts w:ascii="Times New Roman" w:hAnsi="Times New Roman" w:cs="Times New Roman"/>
          <w:sz w:val="24"/>
          <w:szCs w:val="20"/>
        </w:rPr>
        <w:t xml:space="preserve"> did not torture itself with these definitional anxieties</w:t>
      </w:r>
      <w:r w:rsidR="00AD2878" w:rsidRPr="00A22656">
        <w:rPr>
          <w:rFonts w:ascii="Times New Roman" w:hAnsi="Times New Roman" w:cs="Times New Roman"/>
          <w:sz w:val="24"/>
          <w:szCs w:val="20"/>
        </w:rPr>
        <w:t xml:space="preserve"> in any case.</w:t>
      </w:r>
      <w:r w:rsidR="00FA17D4" w:rsidRPr="00A22656">
        <w:rPr>
          <w:rFonts w:ascii="Times New Roman" w:hAnsi="Times New Roman" w:cs="Times New Roman"/>
          <w:sz w:val="24"/>
          <w:szCs w:val="20"/>
        </w:rPr>
        <w:t xml:space="preserve"> Crucially, while the Advocate-</w:t>
      </w:r>
      <w:r w:rsidR="00A46482" w:rsidRPr="00A22656">
        <w:rPr>
          <w:rFonts w:ascii="Times New Roman" w:hAnsi="Times New Roman" w:cs="Times New Roman"/>
          <w:sz w:val="24"/>
          <w:szCs w:val="20"/>
        </w:rPr>
        <w:t>General engaged more deeply with the issue, his examination suggested growing ac</w:t>
      </w:r>
      <w:r w:rsidR="001F098C" w:rsidRPr="00A22656">
        <w:rPr>
          <w:rFonts w:ascii="Times New Roman" w:hAnsi="Times New Roman" w:cs="Times New Roman"/>
          <w:sz w:val="24"/>
          <w:szCs w:val="20"/>
        </w:rPr>
        <w:t xml:space="preserve">ceptance of </w:t>
      </w:r>
      <w:r w:rsidR="00A46482" w:rsidRPr="00A22656">
        <w:rPr>
          <w:rFonts w:ascii="Times New Roman" w:hAnsi="Times New Roman" w:cs="Times New Roman"/>
          <w:sz w:val="24"/>
          <w:szCs w:val="20"/>
        </w:rPr>
        <w:t>unavoidable difference in treatment based on the fact that ‘as EU law currently stands, being a national of a particular Member State is not irrelevant when it comes to exercising fre</w:t>
      </w:r>
      <w:r w:rsidR="001F098C" w:rsidRPr="00A22656">
        <w:rPr>
          <w:rFonts w:ascii="Times New Roman" w:hAnsi="Times New Roman" w:cs="Times New Roman"/>
          <w:sz w:val="24"/>
          <w:szCs w:val="20"/>
        </w:rPr>
        <w:t>edom of movement and residence’,</w:t>
      </w:r>
      <w:r w:rsidR="00A46482" w:rsidRPr="00A22656">
        <w:rPr>
          <w:rStyle w:val="FootnoteReference"/>
          <w:rFonts w:ascii="Times New Roman" w:hAnsi="Times New Roman" w:cs="Times New Roman"/>
          <w:sz w:val="24"/>
          <w:szCs w:val="20"/>
        </w:rPr>
        <w:footnoteReference w:id="67"/>
      </w:r>
      <w:r w:rsidR="001F098C" w:rsidRPr="00A22656">
        <w:rPr>
          <w:rFonts w:ascii="Times New Roman" w:hAnsi="Times New Roman" w:cs="Times New Roman"/>
          <w:sz w:val="24"/>
          <w:szCs w:val="20"/>
        </w:rPr>
        <w:t xml:space="preserve"> echoing a similar conclusion by the Court</w:t>
      </w:r>
      <w:r w:rsidR="00440658" w:rsidRPr="00A22656">
        <w:rPr>
          <w:rFonts w:ascii="Times New Roman" w:hAnsi="Times New Roman" w:cs="Times New Roman"/>
          <w:sz w:val="24"/>
          <w:szCs w:val="20"/>
        </w:rPr>
        <w:t>, in relation to Directive 2004</w:t>
      </w:r>
      <w:r w:rsidR="001F098C" w:rsidRPr="00A22656">
        <w:rPr>
          <w:rFonts w:ascii="Times New Roman" w:hAnsi="Times New Roman" w:cs="Times New Roman"/>
          <w:sz w:val="24"/>
          <w:szCs w:val="20"/>
        </w:rPr>
        <w:t xml:space="preserve">/38, in </w:t>
      </w:r>
      <w:proofErr w:type="spellStart"/>
      <w:r w:rsidR="001F098C" w:rsidRPr="00A22656">
        <w:rPr>
          <w:rFonts w:ascii="Times New Roman" w:hAnsi="Times New Roman" w:cs="Times New Roman"/>
          <w:i/>
          <w:sz w:val="24"/>
          <w:szCs w:val="20"/>
        </w:rPr>
        <w:t>Dano</w:t>
      </w:r>
      <w:proofErr w:type="spellEnd"/>
      <w:r w:rsidR="001F098C" w:rsidRPr="00A22656">
        <w:rPr>
          <w:rFonts w:ascii="Times New Roman" w:hAnsi="Times New Roman" w:cs="Times New Roman"/>
          <w:sz w:val="24"/>
          <w:szCs w:val="20"/>
        </w:rPr>
        <w:t>.</w:t>
      </w:r>
      <w:r w:rsidR="00E90B92" w:rsidRPr="00A22656">
        <w:rPr>
          <w:rStyle w:val="FootnoteReference"/>
          <w:rFonts w:ascii="Times New Roman" w:hAnsi="Times New Roman" w:cs="Times New Roman"/>
          <w:sz w:val="24"/>
          <w:szCs w:val="20"/>
        </w:rPr>
        <w:footnoteReference w:id="68"/>
      </w:r>
      <w:r w:rsidR="00E90B92" w:rsidRPr="00A22656">
        <w:rPr>
          <w:rFonts w:ascii="Times New Roman" w:hAnsi="Times New Roman" w:cs="Times New Roman"/>
          <w:sz w:val="24"/>
          <w:szCs w:val="20"/>
        </w:rPr>
        <w:t xml:space="preserve"> </w:t>
      </w:r>
    </w:p>
    <w:p w:rsidR="00190C59" w:rsidRPr="00A22656" w:rsidRDefault="00190C59" w:rsidP="005F768F">
      <w:pPr>
        <w:pStyle w:val="NoSpacing"/>
        <w:spacing w:line="360" w:lineRule="auto"/>
        <w:jc w:val="both"/>
        <w:rPr>
          <w:rFonts w:ascii="Times New Roman" w:hAnsi="Times New Roman" w:cs="Times New Roman"/>
          <w:sz w:val="24"/>
          <w:szCs w:val="20"/>
        </w:rPr>
      </w:pPr>
    </w:p>
    <w:p w:rsidR="00910BC9" w:rsidRPr="00A22656" w:rsidRDefault="004527C4" w:rsidP="005F768F">
      <w:pPr>
        <w:pStyle w:val="NoSpacing"/>
        <w:spacing w:line="360" w:lineRule="auto"/>
        <w:jc w:val="both"/>
        <w:rPr>
          <w:rFonts w:ascii="Times New Roman" w:hAnsi="Times New Roman" w:cs="Times New Roman"/>
          <w:i/>
          <w:sz w:val="24"/>
          <w:szCs w:val="20"/>
        </w:rPr>
      </w:pPr>
      <w:r w:rsidRPr="00A22656">
        <w:rPr>
          <w:rFonts w:ascii="Times New Roman" w:hAnsi="Times New Roman" w:cs="Times New Roman"/>
          <w:sz w:val="24"/>
          <w:szCs w:val="20"/>
        </w:rPr>
        <w:t>T</w:t>
      </w:r>
      <w:r w:rsidR="00190C59" w:rsidRPr="00A22656">
        <w:rPr>
          <w:rFonts w:ascii="Times New Roman" w:hAnsi="Times New Roman" w:cs="Times New Roman"/>
          <w:sz w:val="24"/>
          <w:szCs w:val="20"/>
        </w:rPr>
        <w:t>here are important parallels b</w:t>
      </w:r>
      <w:r w:rsidRPr="00A22656">
        <w:rPr>
          <w:rFonts w:ascii="Times New Roman" w:hAnsi="Times New Roman" w:cs="Times New Roman"/>
          <w:sz w:val="24"/>
          <w:szCs w:val="20"/>
        </w:rPr>
        <w:t xml:space="preserve">etween the </w:t>
      </w:r>
      <w:r w:rsidR="00440658" w:rsidRPr="00A22656">
        <w:rPr>
          <w:rFonts w:ascii="Times New Roman" w:hAnsi="Times New Roman" w:cs="Times New Roman"/>
          <w:sz w:val="24"/>
          <w:szCs w:val="20"/>
        </w:rPr>
        <w:t>conclusions drawn</w:t>
      </w:r>
      <w:r w:rsidRPr="00A22656">
        <w:rPr>
          <w:rFonts w:ascii="Times New Roman" w:hAnsi="Times New Roman" w:cs="Times New Roman"/>
          <w:sz w:val="24"/>
          <w:szCs w:val="20"/>
        </w:rPr>
        <w:t xml:space="preserve"> in </w:t>
      </w:r>
      <w:r w:rsidR="00482402" w:rsidRPr="00A22656">
        <w:rPr>
          <w:rFonts w:ascii="Times New Roman" w:hAnsi="Times New Roman" w:cs="Times New Roman"/>
          <w:i/>
          <w:sz w:val="24"/>
          <w:szCs w:val="20"/>
        </w:rPr>
        <w:t>Commission v UK</w:t>
      </w:r>
      <w:r w:rsidR="00190C59" w:rsidRPr="00A22656">
        <w:rPr>
          <w:rFonts w:ascii="Times New Roman" w:hAnsi="Times New Roman" w:cs="Times New Roman"/>
          <w:sz w:val="24"/>
          <w:szCs w:val="20"/>
        </w:rPr>
        <w:t xml:space="preserve"> and the strongest arguments against the leg</w:t>
      </w:r>
      <w:r w:rsidR="00482402" w:rsidRPr="00A22656">
        <w:rPr>
          <w:rFonts w:ascii="Times New Roman" w:hAnsi="Times New Roman" w:cs="Times New Roman"/>
          <w:sz w:val="24"/>
          <w:szCs w:val="20"/>
        </w:rPr>
        <w:t>ality of the safeguard</w:t>
      </w:r>
      <w:r w:rsidR="00190C59" w:rsidRPr="00A22656">
        <w:rPr>
          <w:rFonts w:ascii="Times New Roman" w:hAnsi="Times New Roman" w:cs="Times New Roman"/>
          <w:sz w:val="24"/>
          <w:szCs w:val="20"/>
        </w:rPr>
        <w:t xml:space="preserve">. </w:t>
      </w:r>
      <w:r w:rsidR="00482402" w:rsidRPr="00A22656">
        <w:rPr>
          <w:rFonts w:ascii="Times New Roman" w:hAnsi="Times New Roman" w:cs="Times New Roman"/>
          <w:sz w:val="24"/>
          <w:szCs w:val="20"/>
        </w:rPr>
        <w:t>O</w:t>
      </w:r>
      <w:r w:rsidR="00190C59" w:rsidRPr="00A22656">
        <w:rPr>
          <w:rFonts w:ascii="Times New Roman" w:hAnsi="Times New Roman" w:cs="Times New Roman"/>
          <w:sz w:val="24"/>
          <w:szCs w:val="20"/>
        </w:rPr>
        <w:t>ne might instinctively categorise the safeguard mechanism as directly discriminatory. Presumably, if</w:t>
      </w:r>
      <w:r w:rsidR="006302F0" w:rsidRPr="00A22656">
        <w:rPr>
          <w:rFonts w:ascii="Times New Roman" w:hAnsi="Times New Roman" w:cs="Times New Roman"/>
          <w:sz w:val="24"/>
          <w:szCs w:val="20"/>
        </w:rPr>
        <w:t xml:space="preserve"> the requirement to demonstrate a ‘real link’ to the Member State’s labour market were applied exclusively to non-national EU workers, this would indeed be the case.</w:t>
      </w:r>
      <w:r w:rsidR="0024346B" w:rsidRPr="00A22656">
        <w:rPr>
          <w:rFonts w:ascii="Times New Roman" w:hAnsi="Times New Roman" w:cs="Times New Roman"/>
          <w:sz w:val="24"/>
          <w:szCs w:val="20"/>
        </w:rPr>
        <w:t xml:space="preserve"> However, following </w:t>
      </w:r>
      <w:r w:rsidR="0024346B" w:rsidRPr="00A22656">
        <w:rPr>
          <w:rFonts w:ascii="Times New Roman" w:hAnsi="Times New Roman" w:cs="Times New Roman"/>
          <w:i/>
          <w:sz w:val="24"/>
          <w:szCs w:val="20"/>
        </w:rPr>
        <w:t>Commission v UK</w:t>
      </w:r>
      <w:r w:rsidR="0024346B" w:rsidRPr="00A22656">
        <w:rPr>
          <w:rFonts w:ascii="Times New Roman" w:hAnsi="Times New Roman" w:cs="Times New Roman"/>
          <w:sz w:val="24"/>
          <w:szCs w:val="20"/>
        </w:rPr>
        <w:t>, should the safeguard mechanism</w:t>
      </w:r>
      <w:r w:rsidR="006302F0" w:rsidRPr="00A22656">
        <w:rPr>
          <w:rFonts w:ascii="Times New Roman" w:hAnsi="Times New Roman" w:cs="Times New Roman"/>
          <w:sz w:val="24"/>
          <w:szCs w:val="20"/>
        </w:rPr>
        <w:t xml:space="preserve">, or its domestic implementing instrument, </w:t>
      </w:r>
      <w:r w:rsidR="0024346B" w:rsidRPr="00A22656">
        <w:rPr>
          <w:rFonts w:ascii="Times New Roman" w:hAnsi="Times New Roman" w:cs="Times New Roman"/>
          <w:sz w:val="24"/>
          <w:szCs w:val="20"/>
        </w:rPr>
        <w:t xml:space="preserve">instead require that </w:t>
      </w:r>
      <w:r w:rsidR="0024346B" w:rsidRPr="00A22656">
        <w:rPr>
          <w:rFonts w:ascii="Times New Roman" w:hAnsi="Times New Roman" w:cs="Times New Roman"/>
          <w:i/>
          <w:sz w:val="24"/>
          <w:szCs w:val="20"/>
        </w:rPr>
        <w:t>all</w:t>
      </w:r>
      <w:r w:rsidR="0024346B" w:rsidRPr="00A22656">
        <w:rPr>
          <w:rFonts w:ascii="Times New Roman" w:hAnsi="Times New Roman" w:cs="Times New Roman"/>
          <w:sz w:val="24"/>
          <w:szCs w:val="20"/>
        </w:rPr>
        <w:t xml:space="preserve"> </w:t>
      </w:r>
      <w:r w:rsidR="006302F0" w:rsidRPr="00A22656">
        <w:rPr>
          <w:rFonts w:ascii="Times New Roman" w:hAnsi="Times New Roman" w:cs="Times New Roman"/>
          <w:sz w:val="24"/>
          <w:szCs w:val="20"/>
        </w:rPr>
        <w:t>applicants</w:t>
      </w:r>
      <w:r w:rsidR="0024346B" w:rsidRPr="00A22656">
        <w:rPr>
          <w:rFonts w:ascii="Times New Roman" w:hAnsi="Times New Roman" w:cs="Times New Roman"/>
          <w:sz w:val="24"/>
          <w:szCs w:val="20"/>
        </w:rPr>
        <w:t xml:space="preserve"> for in-work benefits demonstrate a ‘real </w:t>
      </w:r>
      <w:r w:rsidR="006302F0" w:rsidRPr="00A22656">
        <w:rPr>
          <w:rFonts w:ascii="Times New Roman" w:hAnsi="Times New Roman" w:cs="Times New Roman"/>
          <w:sz w:val="24"/>
          <w:szCs w:val="20"/>
        </w:rPr>
        <w:t>link’ to the labour market, the discrimination would become indirect.</w:t>
      </w:r>
      <w:r w:rsidR="0024346B" w:rsidRPr="00A22656">
        <w:rPr>
          <w:rFonts w:ascii="Times New Roman" w:hAnsi="Times New Roman" w:cs="Times New Roman"/>
          <w:sz w:val="24"/>
          <w:szCs w:val="20"/>
        </w:rPr>
        <w:t xml:space="preserve"> This would be </w:t>
      </w:r>
      <w:r w:rsidR="006302F0" w:rsidRPr="00A22656">
        <w:rPr>
          <w:rFonts w:ascii="Times New Roman" w:hAnsi="Times New Roman" w:cs="Times New Roman"/>
          <w:sz w:val="24"/>
          <w:szCs w:val="20"/>
        </w:rPr>
        <w:t>so</w:t>
      </w:r>
      <w:r w:rsidR="0024346B" w:rsidRPr="00A22656">
        <w:rPr>
          <w:rFonts w:ascii="Times New Roman" w:hAnsi="Times New Roman" w:cs="Times New Roman"/>
          <w:sz w:val="24"/>
          <w:szCs w:val="20"/>
        </w:rPr>
        <w:t xml:space="preserve"> even if national workers were able to establish a sufficient connection simply by reference to their nationality</w:t>
      </w:r>
      <w:r w:rsidR="00471AFD" w:rsidRPr="00A22656">
        <w:rPr>
          <w:rFonts w:ascii="Times New Roman" w:hAnsi="Times New Roman" w:cs="Times New Roman"/>
          <w:sz w:val="24"/>
          <w:szCs w:val="20"/>
        </w:rPr>
        <w:t xml:space="preserve"> and residence</w:t>
      </w:r>
      <w:r w:rsidR="0024346B" w:rsidRPr="00A22656">
        <w:rPr>
          <w:rFonts w:ascii="Times New Roman" w:hAnsi="Times New Roman" w:cs="Times New Roman"/>
          <w:sz w:val="24"/>
          <w:szCs w:val="20"/>
        </w:rPr>
        <w:t xml:space="preserve">, while non-national Union workers were required to proffer something more. Indeed, in light of </w:t>
      </w:r>
      <w:r w:rsidR="0024346B" w:rsidRPr="00A22656">
        <w:rPr>
          <w:rFonts w:ascii="Times New Roman" w:hAnsi="Times New Roman" w:cs="Times New Roman"/>
          <w:i/>
          <w:sz w:val="24"/>
          <w:szCs w:val="20"/>
        </w:rPr>
        <w:t xml:space="preserve">Commission v UK, </w:t>
      </w:r>
      <w:r w:rsidR="0024346B" w:rsidRPr="00A22656">
        <w:rPr>
          <w:rFonts w:ascii="Times New Roman" w:hAnsi="Times New Roman" w:cs="Times New Roman"/>
          <w:sz w:val="24"/>
          <w:szCs w:val="20"/>
        </w:rPr>
        <w:t xml:space="preserve">presumably, </w:t>
      </w:r>
      <w:r w:rsidRPr="00A22656">
        <w:rPr>
          <w:rFonts w:ascii="Times New Roman" w:hAnsi="Times New Roman" w:cs="Times New Roman"/>
          <w:sz w:val="24"/>
          <w:szCs w:val="20"/>
        </w:rPr>
        <w:t xml:space="preserve">it would not be problematic if </w:t>
      </w:r>
      <w:r w:rsidR="006302F0" w:rsidRPr="00A22656">
        <w:rPr>
          <w:rFonts w:ascii="Times New Roman" w:hAnsi="Times New Roman" w:cs="Times New Roman"/>
          <w:sz w:val="24"/>
          <w:szCs w:val="20"/>
        </w:rPr>
        <w:t xml:space="preserve">even </w:t>
      </w:r>
      <w:r w:rsidR="0024346B" w:rsidRPr="00A22656">
        <w:rPr>
          <w:rFonts w:ascii="Times New Roman" w:hAnsi="Times New Roman" w:cs="Times New Roman"/>
          <w:sz w:val="24"/>
          <w:szCs w:val="20"/>
        </w:rPr>
        <w:t xml:space="preserve">national workers returning to the labour market after a period abroad would </w:t>
      </w:r>
      <w:r w:rsidR="006302F0" w:rsidRPr="00A22656">
        <w:rPr>
          <w:rFonts w:ascii="Times New Roman" w:hAnsi="Times New Roman" w:cs="Times New Roman"/>
          <w:sz w:val="24"/>
          <w:szCs w:val="20"/>
        </w:rPr>
        <w:t xml:space="preserve">also </w:t>
      </w:r>
      <w:r w:rsidR="0024346B" w:rsidRPr="00A22656">
        <w:rPr>
          <w:rFonts w:ascii="Times New Roman" w:hAnsi="Times New Roman" w:cs="Times New Roman"/>
          <w:sz w:val="24"/>
          <w:szCs w:val="20"/>
        </w:rPr>
        <w:t>automatically pass the test</w:t>
      </w:r>
      <w:r w:rsidR="006302F0" w:rsidRPr="00A22656">
        <w:rPr>
          <w:rFonts w:ascii="Times New Roman" w:hAnsi="Times New Roman" w:cs="Times New Roman"/>
          <w:sz w:val="24"/>
          <w:szCs w:val="20"/>
        </w:rPr>
        <w:t xml:space="preserve">. </w:t>
      </w:r>
      <w:r w:rsidR="00910BC9" w:rsidRPr="00A22656">
        <w:rPr>
          <w:rFonts w:ascii="Times New Roman" w:hAnsi="Times New Roman" w:cs="Times New Roman"/>
          <w:sz w:val="24"/>
          <w:szCs w:val="20"/>
        </w:rPr>
        <w:t xml:space="preserve">As Lord Walker noted in </w:t>
      </w:r>
      <w:proofErr w:type="spellStart"/>
      <w:r w:rsidR="00910BC9" w:rsidRPr="00A22656">
        <w:rPr>
          <w:rFonts w:ascii="Times New Roman" w:hAnsi="Times New Roman" w:cs="Times New Roman"/>
          <w:i/>
          <w:sz w:val="24"/>
          <w:szCs w:val="20"/>
        </w:rPr>
        <w:t>Patmalniece</w:t>
      </w:r>
      <w:proofErr w:type="spellEnd"/>
      <w:r w:rsidR="00910BC9" w:rsidRPr="00A22656">
        <w:rPr>
          <w:rFonts w:ascii="Times New Roman" w:hAnsi="Times New Roman" w:cs="Times New Roman"/>
          <w:sz w:val="24"/>
          <w:szCs w:val="20"/>
        </w:rPr>
        <w:t>:</w:t>
      </w:r>
      <w:r w:rsidR="00910BC9" w:rsidRPr="00A22656">
        <w:rPr>
          <w:rFonts w:ascii="Times New Roman" w:hAnsi="Times New Roman" w:cs="Times New Roman"/>
          <w:i/>
          <w:sz w:val="24"/>
          <w:szCs w:val="20"/>
        </w:rPr>
        <w:t xml:space="preserve"> </w:t>
      </w:r>
    </w:p>
    <w:p w:rsidR="00910BC9" w:rsidRPr="00A22656" w:rsidRDefault="00910BC9" w:rsidP="005F768F">
      <w:pPr>
        <w:pStyle w:val="NoSpacing"/>
        <w:spacing w:line="360" w:lineRule="auto"/>
        <w:jc w:val="both"/>
        <w:rPr>
          <w:rFonts w:ascii="Times New Roman" w:hAnsi="Times New Roman" w:cs="Times New Roman"/>
          <w:i/>
          <w:sz w:val="24"/>
          <w:szCs w:val="20"/>
        </w:rPr>
      </w:pPr>
    </w:p>
    <w:p w:rsidR="00C24646" w:rsidRPr="00A22656" w:rsidRDefault="00910BC9" w:rsidP="005F768F">
      <w:pPr>
        <w:pStyle w:val="NoSpacing"/>
        <w:spacing w:line="360" w:lineRule="auto"/>
        <w:jc w:val="both"/>
        <w:rPr>
          <w:rFonts w:ascii="Times New Roman" w:hAnsi="Times New Roman" w:cs="Times New Roman"/>
          <w:i/>
          <w:sz w:val="20"/>
          <w:szCs w:val="20"/>
        </w:rPr>
      </w:pPr>
      <w:r w:rsidRPr="00A22656">
        <w:rPr>
          <w:rFonts w:ascii="Times New Roman" w:hAnsi="Times New Roman" w:cs="Times New Roman"/>
          <w:sz w:val="20"/>
          <w:szCs w:val="20"/>
        </w:rPr>
        <w:lastRenderedPageBreak/>
        <w:t>‘</w:t>
      </w:r>
      <w:proofErr w:type="gramStart"/>
      <w:r w:rsidRPr="00A22656">
        <w:rPr>
          <w:rFonts w:ascii="Times New Roman" w:hAnsi="Times New Roman" w:cs="Times New Roman"/>
          <w:sz w:val="20"/>
          <w:szCs w:val="20"/>
        </w:rPr>
        <w:t>it</w:t>
      </w:r>
      <w:proofErr w:type="gramEnd"/>
      <w:r w:rsidRPr="00A22656">
        <w:rPr>
          <w:rFonts w:ascii="Times New Roman" w:hAnsi="Times New Roman" w:cs="Times New Roman"/>
          <w:sz w:val="20"/>
          <w:szCs w:val="20"/>
        </w:rPr>
        <w:t xml:space="preserve"> seems a discriminatory purpose does not, on the present state of the law, prevent unequal treatment being regarded as no more than indirect discrimination, which is capable of justification. There is an obvious temptation for governments, in face of understandable popular feeling (in this case, against “benefit tourism”) to try to draft their way out of direct into indirect discrimination, with a </w:t>
      </w:r>
      <w:r w:rsidR="00677CE1" w:rsidRPr="00A22656">
        <w:rPr>
          <w:rFonts w:ascii="Times New Roman" w:hAnsi="Times New Roman" w:cs="Times New Roman"/>
          <w:sz w:val="20"/>
          <w:szCs w:val="20"/>
        </w:rPr>
        <w:t>view to avoiding having to distribute large sums out of public funds…to beneficiaries whom their electors would not regard as deserving’.</w:t>
      </w:r>
      <w:r w:rsidR="00677CE1" w:rsidRPr="00A22656">
        <w:rPr>
          <w:rStyle w:val="FootnoteReference"/>
          <w:rFonts w:ascii="Times New Roman" w:hAnsi="Times New Roman" w:cs="Times New Roman"/>
          <w:sz w:val="20"/>
          <w:szCs w:val="20"/>
        </w:rPr>
        <w:footnoteReference w:id="69"/>
      </w:r>
      <w:r w:rsidRPr="00A22656">
        <w:rPr>
          <w:rFonts w:ascii="Times New Roman" w:hAnsi="Times New Roman" w:cs="Times New Roman"/>
          <w:sz w:val="20"/>
          <w:szCs w:val="20"/>
        </w:rPr>
        <w:t xml:space="preserve"> </w:t>
      </w:r>
      <w:r w:rsidRPr="00A22656">
        <w:rPr>
          <w:rFonts w:ascii="Times New Roman" w:hAnsi="Times New Roman" w:cs="Times New Roman"/>
          <w:i/>
          <w:sz w:val="20"/>
          <w:szCs w:val="20"/>
        </w:rPr>
        <w:t xml:space="preserve"> </w:t>
      </w:r>
    </w:p>
    <w:p w:rsidR="00C24646" w:rsidRPr="00A22656" w:rsidRDefault="00C24646" w:rsidP="005F768F">
      <w:pPr>
        <w:pStyle w:val="NoSpacing"/>
        <w:spacing w:line="360" w:lineRule="auto"/>
        <w:jc w:val="both"/>
        <w:rPr>
          <w:rFonts w:ascii="Times New Roman" w:hAnsi="Times New Roman" w:cs="Times New Roman"/>
          <w:i/>
          <w:sz w:val="20"/>
          <w:szCs w:val="20"/>
        </w:rPr>
      </w:pPr>
    </w:p>
    <w:p w:rsidR="00270BC8" w:rsidRPr="00A22656" w:rsidRDefault="00ED1CBB" w:rsidP="005F768F">
      <w:pPr>
        <w:pStyle w:val="NoSpacing"/>
        <w:spacing w:line="360" w:lineRule="auto"/>
        <w:jc w:val="both"/>
        <w:rPr>
          <w:rFonts w:ascii="Times New Roman" w:hAnsi="Times New Roman" w:cs="Times New Roman"/>
          <w:i/>
          <w:sz w:val="20"/>
          <w:szCs w:val="20"/>
        </w:rPr>
      </w:pPr>
      <w:r w:rsidRPr="00A22656">
        <w:rPr>
          <w:rFonts w:ascii="Times New Roman" w:hAnsi="Times New Roman" w:cs="Times New Roman"/>
          <w:i/>
          <w:sz w:val="24"/>
          <w:szCs w:val="20"/>
        </w:rPr>
        <w:t>3.1.4. The relevance of Union citizenship case-law to</w:t>
      </w:r>
      <w:r w:rsidR="00524FDA" w:rsidRPr="00A22656">
        <w:rPr>
          <w:rFonts w:ascii="Times New Roman" w:hAnsi="Times New Roman" w:cs="Times New Roman"/>
          <w:i/>
          <w:sz w:val="24"/>
          <w:szCs w:val="20"/>
        </w:rPr>
        <w:t xml:space="preserve"> EU workers’ rights</w:t>
      </w:r>
    </w:p>
    <w:p w:rsidR="000D2430" w:rsidRPr="00A22656" w:rsidRDefault="000D2430" w:rsidP="005F768F">
      <w:pPr>
        <w:pStyle w:val="NoSpacing"/>
        <w:spacing w:line="360" w:lineRule="auto"/>
        <w:jc w:val="both"/>
        <w:rPr>
          <w:rFonts w:ascii="Times New Roman" w:hAnsi="Times New Roman" w:cs="Times New Roman"/>
          <w:i/>
          <w:sz w:val="24"/>
          <w:szCs w:val="20"/>
        </w:rPr>
      </w:pPr>
    </w:p>
    <w:p w:rsidR="00FC05A1" w:rsidRPr="00A22656" w:rsidRDefault="00E742D3"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Of course,</w:t>
      </w:r>
      <w:r w:rsidR="001E0572" w:rsidRPr="00A22656">
        <w:rPr>
          <w:rFonts w:ascii="Times New Roman" w:hAnsi="Times New Roman" w:cs="Times New Roman"/>
          <w:sz w:val="24"/>
          <w:szCs w:val="20"/>
        </w:rPr>
        <w:t xml:space="preserve"> in one potentially crucial way,</w:t>
      </w:r>
      <w:r w:rsidRPr="00A22656">
        <w:rPr>
          <w:rFonts w:ascii="Times New Roman" w:hAnsi="Times New Roman" w:cs="Times New Roman"/>
          <w:sz w:val="24"/>
          <w:szCs w:val="20"/>
        </w:rPr>
        <w:t xml:space="preserve"> the safeguard</w:t>
      </w:r>
      <w:r w:rsidR="00DC4016" w:rsidRPr="00A22656">
        <w:rPr>
          <w:rFonts w:ascii="Times New Roman" w:hAnsi="Times New Roman" w:cs="Times New Roman"/>
          <w:sz w:val="24"/>
          <w:szCs w:val="20"/>
        </w:rPr>
        <w:t xml:space="preserve"> mechanism</w:t>
      </w:r>
      <w:r w:rsidR="001E0572" w:rsidRPr="00A22656">
        <w:rPr>
          <w:rFonts w:ascii="Times New Roman" w:hAnsi="Times New Roman" w:cs="Times New Roman"/>
          <w:sz w:val="24"/>
          <w:szCs w:val="20"/>
        </w:rPr>
        <w:t xml:space="preserve"> went further than </w:t>
      </w:r>
      <w:r w:rsidR="00DC4016" w:rsidRPr="00A22656">
        <w:rPr>
          <w:rFonts w:ascii="Times New Roman" w:hAnsi="Times New Roman" w:cs="Times New Roman"/>
          <w:sz w:val="24"/>
          <w:szCs w:val="20"/>
        </w:rPr>
        <w:t xml:space="preserve">the recent </w:t>
      </w:r>
      <w:r w:rsidR="00FB60F0" w:rsidRPr="00A22656">
        <w:rPr>
          <w:rFonts w:ascii="Times New Roman" w:hAnsi="Times New Roman" w:cs="Times New Roman"/>
          <w:sz w:val="24"/>
          <w:szCs w:val="20"/>
        </w:rPr>
        <w:t>citizenship case-law</w:t>
      </w:r>
      <w:r w:rsidR="000D2430" w:rsidRPr="00A22656">
        <w:rPr>
          <w:rFonts w:ascii="Times New Roman" w:hAnsi="Times New Roman" w:cs="Times New Roman"/>
          <w:sz w:val="24"/>
          <w:szCs w:val="20"/>
        </w:rPr>
        <w:t>.</w:t>
      </w:r>
      <w:r w:rsidR="00C66674" w:rsidRPr="00A22656">
        <w:rPr>
          <w:rFonts w:ascii="Times New Roman" w:hAnsi="Times New Roman" w:cs="Times New Roman"/>
          <w:sz w:val="24"/>
          <w:szCs w:val="20"/>
        </w:rPr>
        <w:t xml:space="preserve"> </w:t>
      </w:r>
      <w:r w:rsidR="00BE706F" w:rsidRPr="00A22656">
        <w:rPr>
          <w:rFonts w:ascii="Times New Roman" w:hAnsi="Times New Roman" w:cs="Times New Roman"/>
          <w:sz w:val="24"/>
          <w:szCs w:val="20"/>
        </w:rPr>
        <w:t>Focused on the rights of non-economically active EU citizens, t</w:t>
      </w:r>
      <w:r w:rsidR="00C66674" w:rsidRPr="00A22656">
        <w:rPr>
          <w:rFonts w:ascii="Times New Roman" w:hAnsi="Times New Roman" w:cs="Times New Roman"/>
          <w:sz w:val="24"/>
          <w:szCs w:val="20"/>
        </w:rPr>
        <w:t>hat line of jurisprudence implicitly relies on the fact that</w:t>
      </w:r>
      <w:r w:rsidR="00BF12ED" w:rsidRPr="00A22656">
        <w:rPr>
          <w:rFonts w:ascii="Times New Roman" w:hAnsi="Times New Roman" w:cs="Times New Roman"/>
          <w:sz w:val="24"/>
          <w:szCs w:val="20"/>
        </w:rPr>
        <w:t>,</w:t>
      </w:r>
      <w:r w:rsidR="000D2430" w:rsidRPr="00A22656">
        <w:rPr>
          <w:rFonts w:ascii="Times New Roman" w:hAnsi="Times New Roman" w:cs="Times New Roman"/>
          <w:sz w:val="24"/>
          <w:szCs w:val="20"/>
        </w:rPr>
        <w:t xml:space="preserve"> since Article 21 TFEU allows conditions to be placed on free movement by secondary law, non-compliance with Directive 2004/38 may take EU citizens </w:t>
      </w:r>
      <w:proofErr w:type="spellStart"/>
      <w:r w:rsidR="000D2430" w:rsidRPr="00A22656">
        <w:rPr>
          <w:rFonts w:ascii="Times New Roman" w:hAnsi="Times New Roman" w:cs="Times New Roman"/>
          <w:sz w:val="24"/>
          <w:szCs w:val="20"/>
        </w:rPr>
        <w:t>outwith</w:t>
      </w:r>
      <w:proofErr w:type="spellEnd"/>
      <w:r w:rsidR="000D2430" w:rsidRPr="00A22656">
        <w:rPr>
          <w:rFonts w:ascii="Times New Roman" w:hAnsi="Times New Roman" w:cs="Times New Roman"/>
          <w:sz w:val="24"/>
          <w:szCs w:val="20"/>
        </w:rPr>
        <w:t xml:space="preserve"> the scope of that provision, and therefore outside the ambit of the prohibition of nationality-based discrimination in Article 18 TFEU. </w:t>
      </w:r>
      <w:r w:rsidR="00BF12ED" w:rsidRPr="00A22656">
        <w:rPr>
          <w:rFonts w:ascii="Times New Roman" w:hAnsi="Times New Roman" w:cs="Times New Roman"/>
          <w:sz w:val="24"/>
          <w:szCs w:val="20"/>
        </w:rPr>
        <w:t>By contrast, EU workers reside in their host State in accordance with the Directive and therefore clearly fall within the</w:t>
      </w:r>
      <w:r w:rsidR="00ED12E9" w:rsidRPr="00A22656">
        <w:rPr>
          <w:rFonts w:ascii="Times New Roman" w:hAnsi="Times New Roman" w:cs="Times New Roman"/>
          <w:sz w:val="24"/>
          <w:szCs w:val="20"/>
        </w:rPr>
        <w:t xml:space="preserve"> scope</w:t>
      </w:r>
      <w:r w:rsidR="00BF12ED" w:rsidRPr="00A22656">
        <w:rPr>
          <w:rFonts w:ascii="Times New Roman" w:hAnsi="Times New Roman" w:cs="Times New Roman"/>
          <w:sz w:val="24"/>
          <w:szCs w:val="20"/>
        </w:rPr>
        <w:t xml:space="preserve"> of Article 18 TFEU. </w:t>
      </w:r>
      <w:r w:rsidR="00D82EA9" w:rsidRPr="00A22656">
        <w:rPr>
          <w:rFonts w:ascii="Times New Roman" w:hAnsi="Times New Roman" w:cs="Times New Roman"/>
          <w:sz w:val="24"/>
          <w:szCs w:val="20"/>
        </w:rPr>
        <w:t xml:space="preserve">Article 45(2) TFEU also prohibits nationality-based discrimination against Union workers, specifically, in relation to employment, remuneration and other conditions of work </w:t>
      </w:r>
      <w:r w:rsidR="00ED12E9" w:rsidRPr="00A22656">
        <w:rPr>
          <w:rFonts w:ascii="Times New Roman" w:hAnsi="Times New Roman" w:cs="Times New Roman"/>
          <w:sz w:val="24"/>
          <w:szCs w:val="20"/>
        </w:rPr>
        <w:t>and employment.</w:t>
      </w:r>
      <w:r w:rsidR="00D82EA9" w:rsidRPr="00A22656">
        <w:rPr>
          <w:rFonts w:ascii="Times New Roman" w:hAnsi="Times New Roman" w:cs="Times New Roman"/>
          <w:sz w:val="24"/>
          <w:szCs w:val="20"/>
        </w:rPr>
        <w:t xml:space="preserve"> </w:t>
      </w:r>
      <w:r w:rsidR="00FC05A1" w:rsidRPr="00A22656">
        <w:rPr>
          <w:rFonts w:ascii="Times New Roman" w:hAnsi="Times New Roman" w:cs="Times New Roman"/>
          <w:sz w:val="24"/>
          <w:szCs w:val="20"/>
        </w:rPr>
        <w:t>In short, there are question marks over the extent to which the</w:t>
      </w:r>
      <w:r w:rsidR="00C80857" w:rsidRPr="00A22656">
        <w:rPr>
          <w:rFonts w:ascii="Times New Roman" w:hAnsi="Times New Roman" w:cs="Times New Roman"/>
          <w:sz w:val="24"/>
          <w:szCs w:val="20"/>
        </w:rPr>
        <w:t xml:space="preserve"> citizenship</w:t>
      </w:r>
      <w:r w:rsidR="00FC05A1" w:rsidRPr="00A22656">
        <w:rPr>
          <w:rFonts w:ascii="Times New Roman" w:hAnsi="Times New Roman" w:cs="Times New Roman"/>
          <w:sz w:val="24"/>
          <w:szCs w:val="20"/>
        </w:rPr>
        <w:t xml:space="preserve"> case-law – centred on the rights of non-economically active citizens – can be used as evidence that restrictions on the equal treatment rights of Union </w:t>
      </w:r>
      <w:r w:rsidR="00FC05A1" w:rsidRPr="00A22656">
        <w:rPr>
          <w:rFonts w:ascii="Times New Roman" w:hAnsi="Times New Roman" w:cs="Times New Roman"/>
          <w:i/>
          <w:sz w:val="24"/>
          <w:szCs w:val="20"/>
        </w:rPr>
        <w:t>workers</w:t>
      </w:r>
      <w:r w:rsidR="00FC05A1" w:rsidRPr="00A22656">
        <w:rPr>
          <w:rFonts w:ascii="Times New Roman" w:hAnsi="Times New Roman" w:cs="Times New Roman"/>
          <w:sz w:val="24"/>
          <w:szCs w:val="20"/>
        </w:rPr>
        <w:t xml:space="preserve"> would be legally acceptable to the Court. </w:t>
      </w:r>
    </w:p>
    <w:p w:rsidR="00FC05A1" w:rsidRPr="00A22656" w:rsidRDefault="00FC05A1" w:rsidP="005F768F">
      <w:pPr>
        <w:pStyle w:val="NoSpacing"/>
        <w:spacing w:line="360" w:lineRule="auto"/>
        <w:jc w:val="both"/>
        <w:rPr>
          <w:rFonts w:ascii="Times New Roman" w:hAnsi="Times New Roman" w:cs="Times New Roman"/>
          <w:sz w:val="24"/>
          <w:szCs w:val="20"/>
        </w:rPr>
      </w:pPr>
    </w:p>
    <w:p w:rsidR="00424F8F" w:rsidRPr="00A22656" w:rsidRDefault="000023A4"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 xml:space="preserve">And yet, </w:t>
      </w:r>
      <w:r w:rsidR="006B52EB" w:rsidRPr="00A22656">
        <w:rPr>
          <w:rFonts w:ascii="Times New Roman" w:hAnsi="Times New Roman" w:cs="Times New Roman"/>
          <w:sz w:val="24"/>
          <w:szCs w:val="20"/>
        </w:rPr>
        <w:t>nationality-based discrimination is a surprisingly frequent feature of the Union legal framework. Four pertinent examples offer useful illustra</w:t>
      </w:r>
      <w:r w:rsidR="003D6719" w:rsidRPr="00A22656">
        <w:rPr>
          <w:rFonts w:ascii="Times New Roman" w:hAnsi="Times New Roman" w:cs="Times New Roman"/>
          <w:sz w:val="24"/>
          <w:szCs w:val="20"/>
        </w:rPr>
        <w:t>tions.</w:t>
      </w:r>
      <w:r w:rsidR="00190057" w:rsidRPr="00A22656">
        <w:rPr>
          <w:rFonts w:ascii="Times New Roman" w:hAnsi="Times New Roman" w:cs="Times New Roman"/>
          <w:sz w:val="24"/>
          <w:szCs w:val="20"/>
        </w:rPr>
        <w:t xml:space="preserve"> </w:t>
      </w:r>
      <w:r w:rsidR="002B57E2" w:rsidRPr="00A22656">
        <w:rPr>
          <w:rFonts w:ascii="Times New Roman" w:hAnsi="Times New Roman" w:cs="Times New Roman"/>
          <w:sz w:val="24"/>
          <w:szCs w:val="20"/>
        </w:rPr>
        <w:t>First, t</w:t>
      </w:r>
      <w:r w:rsidR="006625EF" w:rsidRPr="00A22656">
        <w:rPr>
          <w:rFonts w:ascii="Times New Roman" w:hAnsi="Times New Roman" w:cs="Times New Roman"/>
          <w:sz w:val="24"/>
          <w:szCs w:val="20"/>
        </w:rPr>
        <w:t xml:space="preserve">here is little denying that the </w:t>
      </w:r>
      <w:r w:rsidR="004D06D8" w:rsidRPr="00A22656">
        <w:rPr>
          <w:rFonts w:ascii="Times New Roman" w:hAnsi="Times New Roman" w:cs="Times New Roman"/>
          <w:sz w:val="24"/>
          <w:szCs w:val="20"/>
        </w:rPr>
        <w:t>post-</w:t>
      </w:r>
      <w:proofErr w:type="spellStart"/>
      <w:r w:rsidR="006625EF" w:rsidRPr="00A22656">
        <w:rPr>
          <w:rFonts w:ascii="Times New Roman" w:hAnsi="Times New Roman" w:cs="Times New Roman"/>
          <w:i/>
          <w:sz w:val="24"/>
          <w:szCs w:val="20"/>
        </w:rPr>
        <w:t>Dano</w:t>
      </w:r>
      <w:proofErr w:type="spellEnd"/>
      <w:r w:rsidR="006625EF" w:rsidRPr="00A22656">
        <w:rPr>
          <w:rFonts w:ascii="Times New Roman" w:hAnsi="Times New Roman" w:cs="Times New Roman"/>
          <w:sz w:val="24"/>
          <w:szCs w:val="20"/>
        </w:rPr>
        <w:t xml:space="preserve"> </w:t>
      </w:r>
      <w:r w:rsidR="004D06D8" w:rsidRPr="00A22656">
        <w:rPr>
          <w:rFonts w:ascii="Times New Roman" w:hAnsi="Times New Roman" w:cs="Times New Roman"/>
          <w:sz w:val="24"/>
          <w:szCs w:val="20"/>
        </w:rPr>
        <w:t>c</w:t>
      </w:r>
      <w:r w:rsidR="006625EF" w:rsidRPr="00A22656">
        <w:rPr>
          <w:rFonts w:ascii="Times New Roman" w:hAnsi="Times New Roman" w:cs="Times New Roman"/>
          <w:sz w:val="24"/>
          <w:szCs w:val="20"/>
        </w:rPr>
        <w:t>ase-law differs fundamentally from the Court’s early citizenship jurisprudence.</w:t>
      </w:r>
      <w:r w:rsidR="00DD2746" w:rsidRPr="00A22656">
        <w:rPr>
          <w:rFonts w:ascii="Times New Roman" w:hAnsi="Times New Roman" w:cs="Times New Roman"/>
          <w:sz w:val="24"/>
          <w:szCs w:val="20"/>
        </w:rPr>
        <w:t xml:space="preserve"> </w:t>
      </w:r>
      <w:r w:rsidR="004F4A68" w:rsidRPr="00A22656">
        <w:rPr>
          <w:rFonts w:ascii="Times New Roman" w:hAnsi="Times New Roman" w:cs="Times New Roman"/>
          <w:i/>
          <w:sz w:val="24"/>
          <w:szCs w:val="20"/>
        </w:rPr>
        <w:t>Martinez Sala</w:t>
      </w:r>
      <w:r w:rsidR="004F4A68" w:rsidRPr="00A22656">
        <w:rPr>
          <w:rFonts w:ascii="Times New Roman" w:hAnsi="Times New Roman" w:cs="Times New Roman"/>
          <w:sz w:val="24"/>
          <w:szCs w:val="20"/>
        </w:rPr>
        <w:t xml:space="preserve"> and </w:t>
      </w:r>
      <w:r w:rsidR="004F4A68" w:rsidRPr="00A22656">
        <w:rPr>
          <w:rFonts w:ascii="Times New Roman" w:hAnsi="Times New Roman" w:cs="Times New Roman"/>
          <w:i/>
          <w:sz w:val="24"/>
          <w:szCs w:val="20"/>
        </w:rPr>
        <w:t>Grzelczyk</w:t>
      </w:r>
      <w:r w:rsidR="004D06D8" w:rsidRPr="00A22656">
        <w:rPr>
          <w:rStyle w:val="FootnoteReference"/>
          <w:rFonts w:ascii="Times New Roman" w:hAnsi="Times New Roman" w:cs="Times New Roman"/>
          <w:sz w:val="24"/>
          <w:szCs w:val="20"/>
        </w:rPr>
        <w:footnoteReference w:id="70"/>
      </w:r>
      <w:r w:rsidR="006625EF" w:rsidRPr="00A22656">
        <w:rPr>
          <w:rFonts w:ascii="Times New Roman" w:hAnsi="Times New Roman" w:cs="Times New Roman"/>
          <w:sz w:val="24"/>
          <w:szCs w:val="20"/>
        </w:rPr>
        <w:t xml:space="preserve"> </w:t>
      </w:r>
      <w:r w:rsidR="004D06D8" w:rsidRPr="00A22656">
        <w:rPr>
          <w:rFonts w:ascii="Times New Roman" w:hAnsi="Times New Roman" w:cs="Times New Roman"/>
          <w:sz w:val="24"/>
          <w:szCs w:val="20"/>
        </w:rPr>
        <w:t>made</w:t>
      </w:r>
      <w:r w:rsidR="002F76F5" w:rsidRPr="00A22656">
        <w:rPr>
          <w:rFonts w:ascii="Times New Roman" w:hAnsi="Times New Roman" w:cs="Times New Roman"/>
          <w:sz w:val="24"/>
          <w:szCs w:val="20"/>
        </w:rPr>
        <w:t xml:space="preserve"> cl</w:t>
      </w:r>
      <w:r w:rsidR="00862B2C" w:rsidRPr="00A22656">
        <w:rPr>
          <w:rFonts w:ascii="Times New Roman" w:hAnsi="Times New Roman" w:cs="Times New Roman"/>
          <w:sz w:val="24"/>
          <w:szCs w:val="20"/>
        </w:rPr>
        <w:t>ear that individuals resident</w:t>
      </w:r>
      <w:r w:rsidR="002F76F5" w:rsidRPr="00A22656">
        <w:rPr>
          <w:rFonts w:ascii="Times New Roman" w:hAnsi="Times New Roman" w:cs="Times New Roman"/>
          <w:sz w:val="24"/>
          <w:szCs w:val="20"/>
        </w:rPr>
        <w:t xml:space="preserve"> in the host State</w:t>
      </w:r>
      <w:r w:rsidR="00DA0739" w:rsidRPr="00A22656">
        <w:rPr>
          <w:rFonts w:ascii="Times New Roman" w:hAnsi="Times New Roman" w:cs="Times New Roman"/>
          <w:sz w:val="24"/>
          <w:szCs w:val="20"/>
        </w:rPr>
        <w:t xml:space="preserve"> </w:t>
      </w:r>
      <w:r w:rsidR="00862B2C" w:rsidRPr="00A22656">
        <w:rPr>
          <w:rFonts w:ascii="Times New Roman" w:hAnsi="Times New Roman" w:cs="Times New Roman"/>
          <w:sz w:val="24"/>
          <w:szCs w:val="20"/>
        </w:rPr>
        <w:t>exercis</w:t>
      </w:r>
      <w:r w:rsidR="00DA0739" w:rsidRPr="00A22656">
        <w:rPr>
          <w:rFonts w:ascii="Times New Roman" w:hAnsi="Times New Roman" w:cs="Times New Roman"/>
          <w:sz w:val="24"/>
          <w:szCs w:val="20"/>
        </w:rPr>
        <w:t xml:space="preserve">e </w:t>
      </w:r>
      <w:r w:rsidR="00862B2C" w:rsidRPr="00A22656">
        <w:rPr>
          <w:rFonts w:ascii="Times New Roman" w:hAnsi="Times New Roman" w:cs="Times New Roman"/>
          <w:sz w:val="24"/>
          <w:szCs w:val="20"/>
        </w:rPr>
        <w:t xml:space="preserve">their free movement rights under Article 21 TFEU, and therefore benefit from the principle of non-discrimination under Article 18 TFEU. The logical presumption arising from </w:t>
      </w:r>
      <w:proofErr w:type="spellStart"/>
      <w:r w:rsidR="004D06D8" w:rsidRPr="00A22656">
        <w:rPr>
          <w:rFonts w:ascii="Times New Roman" w:hAnsi="Times New Roman" w:cs="Times New Roman"/>
          <w:i/>
          <w:sz w:val="24"/>
          <w:szCs w:val="20"/>
        </w:rPr>
        <w:t>Grzelczyk</w:t>
      </w:r>
      <w:proofErr w:type="spellEnd"/>
      <w:r w:rsidR="00862B2C" w:rsidRPr="00A22656">
        <w:rPr>
          <w:rFonts w:ascii="Times New Roman" w:hAnsi="Times New Roman" w:cs="Times New Roman"/>
          <w:i/>
          <w:sz w:val="24"/>
          <w:szCs w:val="20"/>
        </w:rPr>
        <w:t xml:space="preserve"> </w:t>
      </w:r>
      <w:r w:rsidR="00B92224" w:rsidRPr="00A22656">
        <w:rPr>
          <w:rFonts w:ascii="Times New Roman" w:hAnsi="Times New Roman" w:cs="Times New Roman"/>
          <w:sz w:val="24"/>
          <w:szCs w:val="20"/>
        </w:rPr>
        <w:t>and</w:t>
      </w:r>
      <w:r w:rsidR="00862B2C" w:rsidRPr="00A22656">
        <w:rPr>
          <w:rFonts w:ascii="Times New Roman" w:hAnsi="Times New Roman" w:cs="Times New Roman"/>
          <w:sz w:val="24"/>
          <w:szCs w:val="20"/>
        </w:rPr>
        <w:t xml:space="preserve"> </w:t>
      </w:r>
      <w:proofErr w:type="spellStart"/>
      <w:r w:rsidR="00862B2C" w:rsidRPr="00A22656">
        <w:rPr>
          <w:rFonts w:ascii="Times New Roman" w:hAnsi="Times New Roman" w:cs="Times New Roman"/>
          <w:i/>
          <w:sz w:val="24"/>
          <w:szCs w:val="20"/>
        </w:rPr>
        <w:t>Trojani</w:t>
      </w:r>
      <w:proofErr w:type="spellEnd"/>
      <w:r w:rsidR="004D06D8" w:rsidRPr="00A22656">
        <w:rPr>
          <w:rStyle w:val="FootnoteReference"/>
          <w:rFonts w:ascii="Times New Roman" w:hAnsi="Times New Roman" w:cs="Times New Roman"/>
          <w:sz w:val="24"/>
          <w:szCs w:val="20"/>
        </w:rPr>
        <w:footnoteReference w:id="71"/>
      </w:r>
      <w:r w:rsidR="00862B2C" w:rsidRPr="00A22656">
        <w:rPr>
          <w:rFonts w:ascii="Times New Roman" w:hAnsi="Times New Roman" w:cs="Times New Roman"/>
          <w:sz w:val="24"/>
          <w:szCs w:val="20"/>
        </w:rPr>
        <w:t xml:space="preserve"> is that, should an EU </w:t>
      </w:r>
      <w:r w:rsidR="002F326E" w:rsidRPr="00A22656">
        <w:rPr>
          <w:rFonts w:ascii="Times New Roman" w:hAnsi="Times New Roman" w:cs="Times New Roman"/>
          <w:sz w:val="24"/>
          <w:szCs w:val="20"/>
        </w:rPr>
        <w:t xml:space="preserve">citizen </w:t>
      </w:r>
      <w:r w:rsidR="004D06D8" w:rsidRPr="00A22656">
        <w:rPr>
          <w:rFonts w:ascii="Times New Roman" w:hAnsi="Times New Roman" w:cs="Times New Roman"/>
          <w:sz w:val="24"/>
          <w:szCs w:val="20"/>
        </w:rPr>
        <w:t xml:space="preserve">not meet </w:t>
      </w:r>
      <w:r w:rsidR="007544B0" w:rsidRPr="00A22656">
        <w:rPr>
          <w:rFonts w:ascii="Times New Roman" w:hAnsi="Times New Roman" w:cs="Times New Roman"/>
          <w:sz w:val="24"/>
          <w:szCs w:val="20"/>
        </w:rPr>
        <w:t>residence conditions</w:t>
      </w:r>
      <w:r w:rsidR="002F326E" w:rsidRPr="00A22656">
        <w:rPr>
          <w:rFonts w:ascii="Times New Roman" w:hAnsi="Times New Roman" w:cs="Times New Roman"/>
          <w:sz w:val="24"/>
          <w:szCs w:val="20"/>
        </w:rPr>
        <w:t>, steps may</w:t>
      </w:r>
      <w:r w:rsidR="004D06D8" w:rsidRPr="00A22656">
        <w:rPr>
          <w:rFonts w:ascii="Times New Roman" w:hAnsi="Times New Roman" w:cs="Times New Roman"/>
          <w:sz w:val="24"/>
          <w:szCs w:val="20"/>
        </w:rPr>
        <w:t xml:space="preserve"> (sometimes)</w:t>
      </w:r>
      <w:r w:rsidR="004D06D8" w:rsidRPr="00A22656">
        <w:rPr>
          <w:rStyle w:val="FootnoteReference"/>
          <w:rFonts w:ascii="Times New Roman" w:hAnsi="Times New Roman" w:cs="Times New Roman"/>
          <w:sz w:val="24"/>
          <w:szCs w:val="20"/>
        </w:rPr>
        <w:footnoteReference w:id="72"/>
      </w:r>
      <w:r w:rsidR="002F326E" w:rsidRPr="00A22656">
        <w:rPr>
          <w:rFonts w:ascii="Times New Roman" w:hAnsi="Times New Roman" w:cs="Times New Roman"/>
          <w:sz w:val="24"/>
          <w:szCs w:val="20"/>
        </w:rPr>
        <w:t xml:space="preserve"> be taken to remove them</w:t>
      </w:r>
      <w:r w:rsidR="004D06D8" w:rsidRPr="00A22656">
        <w:rPr>
          <w:rFonts w:ascii="Times New Roman" w:hAnsi="Times New Roman" w:cs="Times New Roman"/>
          <w:sz w:val="24"/>
          <w:szCs w:val="20"/>
        </w:rPr>
        <w:t>. Until</w:t>
      </w:r>
      <w:r w:rsidR="002F326E" w:rsidRPr="00A22656">
        <w:rPr>
          <w:rFonts w:ascii="Times New Roman" w:hAnsi="Times New Roman" w:cs="Times New Roman"/>
          <w:sz w:val="24"/>
          <w:szCs w:val="20"/>
        </w:rPr>
        <w:t xml:space="preserve"> that point they benefit from the right to equal treatment by virtue of their citizenship</w:t>
      </w:r>
      <w:r w:rsidR="004D06D8" w:rsidRPr="00A22656">
        <w:rPr>
          <w:rFonts w:ascii="Times New Roman" w:hAnsi="Times New Roman" w:cs="Times New Roman"/>
          <w:sz w:val="24"/>
          <w:szCs w:val="20"/>
        </w:rPr>
        <w:t>.</w:t>
      </w:r>
      <w:r w:rsidR="00DA0739" w:rsidRPr="00A22656">
        <w:rPr>
          <w:rFonts w:ascii="Times New Roman" w:hAnsi="Times New Roman" w:cs="Times New Roman"/>
          <w:sz w:val="24"/>
          <w:szCs w:val="20"/>
        </w:rPr>
        <w:t xml:space="preserve"> What </w:t>
      </w:r>
      <w:proofErr w:type="spellStart"/>
      <w:r w:rsidR="004D06D8" w:rsidRPr="00A22656">
        <w:rPr>
          <w:rFonts w:ascii="Times New Roman" w:hAnsi="Times New Roman" w:cs="Times New Roman"/>
          <w:i/>
          <w:sz w:val="24"/>
          <w:szCs w:val="20"/>
        </w:rPr>
        <w:t>Dano</w:t>
      </w:r>
      <w:proofErr w:type="spellEnd"/>
      <w:r w:rsidR="004D06D8" w:rsidRPr="00A22656">
        <w:rPr>
          <w:rFonts w:ascii="Times New Roman" w:hAnsi="Times New Roman" w:cs="Times New Roman"/>
          <w:i/>
          <w:sz w:val="24"/>
          <w:szCs w:val="20"/>
        </w:rPr>
        <w:t xml:space="preserve"> et al </w:t>
      </w:r>
      <w:r w:rsidR="00DA0739" w:rsidRPr="00A22656">
        <w:rPr>
          <w:rFonts w:ascii="Times New Roman" w:hAnsi="Times New Roman" w:cs="Times New Roman"/>
          <w:sz w:val="24"/>
          <w:szCs w:val="20"/>
        </w:rPr>
        <w:t xml:space="preserve">indicate is a tendency among some Member States to accept the presence of EU citizens on their territory - </w:t>
      </w:r>
      <w:r w:rsidR="00DA0739" w:rsidRPr="00A22656">
        <w:rPr>
          <w:rFonts w:ascii="Times New Roman" w:hAnsi="Times New Roman" w:cs="Times New Roman"/>
          <w:sz w:val="24"/>
          <w:szCs w:val="20"/>
        </w:rPr>
        <w:lastRenderedPageBreak/>
        <w:t>regardless of whether they meet the formal requirements of Directive 2004/38 and without taking steps to remove them – while discriminating against them in terms of equal access to social assistance.</w:t>
      </w:r>
      <w:r w:rsidR="00ED43FC" w:rsidRPr="00A22656">
        <w:rPr>
          <w:rStyle w:val="FootnoteReference"/>
          <w:rFonts w:ascii="Times New Roman" w:hAnsi="Times New Roman" w:cs="Times New Roman"/>
          <w:sz w:val="24"/>
          <w:szCs w:val="20"/>
        </w:rPr>
        <w:footnoteReference w:id="73"/>
      </w:r>
      <w:r w:rsidR="00561441" w:rsidRPr="00A22656">
        <w:rPr>
          <w:rFonts w:ascii="Times New Roman" w:hAnsi="Times New Roman" w:cs="Times New Roman"/>
          <w:sz w:val="24"/>
          <w:szCs w:val="20"/>
        </w:rPr>
        <w:t xml:space="preserve"> Crucially</w:t>
      </w:r>
      <w:r w:rsidR="00DA0739" w:rsidRPr="00A22656">
        <w:rPr>
          <w:rFonts w:ascii="Times New Roman" w:hAnsi="Times New Roman" w:cs="Times New Roman"/>
          <w:sz w:val="24"/>
          <w:szCs w:val="20"/>
        </w:rPr>
        <w:t>, th</w:t>
      </w:r>
      <w:r w:rsidR="00B92224" w:rsidRPr="00A22656">
        <w:rPr>
          <w:rFonts w:ascii="Times New Roman" w:hAnsi="Times New Roman" w:cs="Times New Roman"/>
          <w:sz w:val="24"/>
          <w:szCs w:val="20"/>
        </w:rPr>
        <w:t>e Court’s closer alignment of the scope of Articles 21 and 18 TFEU with the requirements of the Directive in those judgments makes such an</w:t>
      </w:r>
      <w:r w:rsidR="00561441" w:rsidRPr="00A22656">
        <w:rPr>
          <w:rFonts w:ascii="Times New Roman" w:hAnsi="Times New Roman" w:cs="Times New Roman"/>
          <w:sz w:val="24"/>
          <w:szCs w:val="20"/>
        </w:rPr>
        <w:t xml:space="preserve"> approach </w:t>
      </w:r>
      <w:r w:rsidR="00B92224" w:rsidRPr="00A22656">
        <w:rPr>
          <w:rFonts w:ascii="Times New Roman" w:hAnsi="Times New Roman" w:cs="Times New Roman"/>
          <w:sz w:val="24"/>
          <w:szCs w:val="20"/>
        </w:rPr>
        <w:t>permissible.</w:t>
      </w:r>
      <w:r w:rsidR="00AB43B0" w:rsidRPr="00A22656">
        <w:rPr>
          <w:rFonts w:ascii="Times New Roman" w:hAnsi="Times New Roman" w:cs="Times New Roman"/>
          <w:sz w:val="24"/>
          <w:szCs w:val="20"/>
        </w:rPr>
        <w:t xml:space="preserve"> </w:t>
      </w:r>
      <w:r w:rsidR="00B72475" w:rsidRPr="00A22656">
        <w:rPr>
          <w:rFonts w:ascii="Times New Roman" w:hAnsi="Times New Roman" w:cs="Times New Roman"/>
          <w:sz w:val="24"/>
          <w:szCs w:val="20"/>
        </w:rPr>
        <w:t>Accordingly, it is not beyond the realms of possibility that</w:t>
      </w:r>
      <w:r w:rsidR="00834F02" w:rsidRPr="00A22656">
        <w:rPr>
          <w:rFonts w:ascii="Times New Roman" w:hAnsi="Times New Roman" w:cs="Times New Roman"/>
          <w:sz w:val="24"/>
          <w:szCs w:val="20"/>
        </w:rPr>
        <w:t xml:space="preserve"> a similar sea change could occur in respect of workers.</w:t>
      </w:r>
      <w:r w:rsidR="00B72475" w:rsidRPr="00A22656">
        <w:rPr>
          <w:rFonts w:ascii="Times New Roman" w:hAnsi="Times New Roman" w:cs="Times New Roman"/>
          <w:sz w:val="24"/>
          <w:szCs w:val="20"/>
        </w:rPr>
        <w:t xml:space="preserve"> </w:t>
      </w:r>
      <w:r w:rsidR="00834F02" w:rsidRPr="00A22656">
        <w:rPr>
          <w:rFonts w:ascii="Times New Roman" w:hAnsi="Times New Roman" w:cs="Times New Roman"/>
          <w:sz w:val="24"/>
          <w:szCs w:val="20"/>
        </w:rPr>
        <w:t>E</w:t>
      </w:r>
      <w:r w:rsidR="00AB43B0" w:rsidRPr="00A22656">
        <w:rPr>
          <w:rFonts w:ascii="Times New Roman" w:hAnsi="Times New Roman" w:cs="Times New Roman"/>
          <w:sz w:val="24"/>
          <w:szCs w:val="20"/>
        </w:rPr>
        <w:t xml:space="preserve">xisting </w:t>
      </w:r>
      <w:r w:rsidR="00642E0B" w:rsidRPr="00A22656">
        <w:rPr>
          <w:rFonts w:ascii="Times New Roman" w:hAnsi="Times New Roman" w:cs="Times New Roman"/>
          <w:sz w:val="24"/>
          <w:szCs w:val="20"/>
        </w:rPr>
        <w:t xml:space="preserve">worker </w:t>
      </w:r>
      <w:r w:rsidR="00AB43B0" w:rsidRPr="00A22656">
        <w:rPr>
          <w:rFonts w:ascii="Times New Roman" w:hAnsi="Times New Roman" w:cs="Times New Roman"/>
          <w:sz w:val="24"/>
          <w:szCs w:val="20"/>
        </w:rPr>
        <w:t>case-law aside</w:t>
      </w:r>
      <w:r w:rsidR="00B72475" w:rsidRPr="00A22656">
        <w:rPr>
          <w:rFonts w:ascii="Times New Roman" w:hAnsi="Times New Roman" w:cs="Times New Roman"/>
          <w:sz w:val="24"/>
          <w:szCs w:val="20"/>
        </w:rPr>
        <w:t>, the Court might accept</w:t>
      </w:r>
      <w:r w:rsidR="007D75D3" w:rsidRPr="00A22656">
        <w:rPr>
          <w:rFonts w:ascii="Times New Roman" w:hAnsi="Times New Roman" w:cs="Times New Roman"/>
          <w:sz w:val="24"/>
          <w:szCs w:val="20"/>
        </w:rPr>
        <w:t xml:space="preserve"> a narrowing of the material scope of Art</w:t>
      </w:r>
      <w:r w:rsidR="00B92224" w:rsidRPr="00A22656">
        <w:rPr>
          <w:rFonts w:ascii="Times New Roman" w:hAnsi="Times New Roman" w:cs="Times New Roman"/>
          <w:sz w:val="24"/>
          <w:szCs w:val="20"/>
        </w:rPr>
        <w:t>icle 45(2) TFEU. I</w:t>
      </w:r>
      <w:r w:rsidR="007D75D3" w:rsidRPr="00A22656">
        <w:rPr>
          <w:rFonts w:ascii="Times New Roman" w:hAnsi="Times New Roman" w:cs="Times New Roman"/>
          <w:sz w:val="24"/>
          <w:szCs w:val="20"/>
        </w:rPr>
        <w:t>n-work benefits do not relat</w:t>
      </w:r>
      <w:r w:rsidR="00805072" w:rsidRPr="00A22656">
        <w:rPr>
          <w:rFonts w:ascii="Times New Roman" w:hAnsi="Times New Roman" w:cs="Times New Roman"/>
          <w:sz w:val="24"/>
          <w:szCs w:val="20"/>
        </w:rPr>
        <w:t>e to employment or remuneration</w:t>
      </w:r>
      <w:r w:rsidR="007D75D3" w:rsidRPr="00A22656">
        <w:rPr>
          <w:rFonts w:ascii="Times New Roman" w:hAnsi="Times New Roman" w:cs="Times New Roman"/>
          <w:sz w:val="24"/>
          <w:szCs w:val="20"/>
        </w:rPr>
        <w:t xml:space="preserve"> </w:t>
      </w:r>
      <w:proofErr w:type="spellStart"/>
      <w:r w:rsidR="00805072" w:rsidRPr="00A22656">
        <w:rPr>
          <w:rFonts w:ascii="Times New Roman" w:hAnsi="Times New Roman" w:cs="Times New Roman"/>
          <w:sz w:val="24"/>
          <w:szCs w:val="20"/>
        </w:rPr>
        <w:t>stricto</w:t>
      </w:r>
      <w:proofErr w:type="spellEnd"/>
      <w:r w:rsidR="00805072" w:rsidRPr="00A22656">
        <w:rPr>
          <w:rFonts w:ascii="Times New Roman" w:hAnsi="Times New Roman" w:cs="Times New Roman"/>
          <w:sz w:val="24"/>
          <w:szCs w:val="20"/>
        </w:rPr>
        <w:t xml:space="preserve"> </w:t>
      </w:r>
      <w:proofErr w:type="spellStart"/>
      <w:r w:rsidR="00805072" w:rsidRPr="00A22656">
        <w:rPr>
          <w:rFonts w:ascii="Times New Roman" w:hAnsi="Times New Roman" w:cs="Times New Roman"/>
          <w:sz w:val="24"/>
          <w:szCs w:val="20"/>
        </w:rPr>
        <w:t>sensu</w:t>
      </w:r>
      <w:proofErr w:type="spellEnd"/>
      <w:r w:rsidR="00805072" w:rsidRPr="00A22656">
        <w:rPr>
          <w:rFonts w:ascii="Times New Roman" w:hAnsi="Times New Roman" w:cs="Times New Roman"/>
          <w:i/>
          <w:sz w:val="24"/>
          <w:szCs w:val="20"/>
        </w:rPr>
        <w:t xml:space="preserve"> </w:t>
      </w:r>
      <w:r w:rsidR="00AB43B0" w:rsidRPr="00A22656">
        <w:rPr>
          <w:rFonts w:ascii="Times New Roman" w:hAnsi="Times New Roman" w:cs="Times New Roman"/>
          <w:sz w:val="24"/>
          <w:szCs w:val="20"/>
        </w:rPr>
        <w:t>while the Court could accept the restrictive influence of any amendments to Regulation No 492/2011 on the definition of ‘other conditions of work and employment’. Indeed, t</w:t>
      </w:r>
      <w:r w:rsidR="00B92224" w:rsidRPr="00A22656">
        <w:rPr>
          <w:rFonts w:ascii="Times New Roman" w:hAnsi="Times New Roman" w:cs="Times New Roman"/>
          <w:sz w:val="24"/>
          <w:szCs w:val="20"/>
        </w:rPr>
        <w:t xml:space="preserve">his </w:t>
      </w:r>
      <w:r w:rsidR="005A7D93" w:rsidRPr="00A22656">
        <w:rPr>
          <w:rFonts w:ascii="Times New Roman" w:hAnsi="Times New Roman" w:cs="Times New Roman"/>
          <w:sz w:val="24"/>
          <w:szCs w:val="20"/>
        </w:rPr>
        <w:t>would be in line with the Court’s contemporary approach to Directive 2004/38</w:t>
      </w:r>
      <w:r w:rsidR="00B92224" w:rsidRPr="00A22656">
        <w:rPr>
          <w:rFonts w:ascii="Times New Roman" w:hAnsi="Times New Roman" w:cs="Times New Roman"/>
          <w:sz w:val="24"/>
          <w:szCs w:val="20"/>
        </w:rPr>
        <w:t>.</w:t>
      </w:r>
      <w:r w:rsidR="00A14B29" w:rsidRPr="00A22656">
        <w:rPr>
          <w:rStyle w:val="FootnoteReference"/>
          <w:rFonts w:ascii="Times New Roman" w:hAnsi="Times New Roman" w:cs="Times New Roman"/>
          <w:sz w:val="24"/>
          <w:szCs w:val="20"/>
        </w:rPr>
        <w:footnoteReference w:id="74"/>
      </w:r>
      <w:r w:rsidR="00372A5B" w:rsidRPr="00A22656">
        <w:rPr>
          <w:rFonts w:ascii="Times New Roman" w:hAnsi="Times New Roman" w:cs="Times New Roman"/>
          <w:sz w:val="24"/>
          <w:szCs w:val="20"/>
        </w:rPr>
        <w:t xml:space="preserve"> </w:t>
      </w:r>
    </w:p>
    <w:p w:rsidR="00424F8F" w:rsidRPr="00A22656" w:rsidRDefault="00424F8F" w:rsidP="005F768F">
      <w:pPr>
        <w:pStyle w:val="NoSpacing"/>
        <w:spacing w:line="360" w:lineRule="auto"/>
        <w:jc w:val="both"/>
        <w:rPr>
          <w:rFonts w:ascii="Times New Roman" w:hAnsi="Times New Roman" w:cs="Times New Roman"/>
          <w:sz w:val="24"/>
          <w:szCs w:val="20"/>
        </w:rPr>
      </w:pPr>
    </w:p>
    <w:p w:rsidR="00913549" w:rsidRPr="00A22656" w:rsidRDefault="00D70988"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C</w:t>
      </w:r>
      <w:r w:rsidR="00016B4E" w:rsidRPr="00A22656">
        <w:rPr>
          <w:rFonts w:ascii="Times New Roman" w:hAnsi="Times New Roman" w:cs="Times New Roman"/>
          <w:sz w:val="24"/>
          <w:szCs w:val="20"/>
        </w:rPr>
        <w:t>omplian</w:t>
      </w:r>
      <w:r w:rsidR="00021BE4" w:rsidRPr="00A22656">
        <w:rPr>
          <w:rFonts w:ascii="Times New Roman" w:hAnsi="Times New Roman" w:cs="Times New Roman"/>
          <w:sz w:val="24"/>
          <w:szCs w:val="20"/>
        </w:rPr>
        <w:t>ce</w:t>
      </w:r>
      <w:r w:rsidRPr="00A22656">
        <w:rPr>
          <w:rFonts w:ascii="Times New Roman" w:hAnsi="Times New Roman" w:cs="Times New Roman"/>
          <w:sz w:val="24"/>
          <w:szCs w:val="20"/>
        </w:rPr>
        <w:t xml:space="preserve"> with</w:t>
      </w:r>
      <w:r w:rsidR="00021BE4" w:rsidRPr="00A22656">
        <w:rPr>
          <w:rFonts w:ascii="Times New Roman" w:hAnsi="Times New Roman" w:cs="Times New Roman"/>
          <w:sz w:val="24"/>
          <w:szCs w:val="20"/>
        </w:rPr>
        <w:t xml:space="preserve"> Article 18 TFEU appears</w:t>
      </w:r>
      <w:r w:rsidR="00016B4E" w:rsidRPr="00A22656">
        <w:rPr>
          <w:rFonts w:ascii="Times New Roman" w:hAnsi="Times New Roman" w:cs="Times New Roman"/>
          <w:sz w:val="24"/>
          <w:szCs w:val="20"/>
        </w:rPr>
        <w:t xml:space="preserve"> less obvious</w:t>
      </w:r>
      <w:r w:rsidR="00A95843" w:rsidRPr="00A22656">
        <w:rPr>
          <w:rFonts w:ascii="Times New Roman" w:hAnsi="Times New Roman" w:cs="Times New Roman"/>
          <w:sz w:val="24"/>
          <w:szCs w:val="20"/>
        </w:rPr>
        <w:t>, since that provision</w:t>
      </w:r>
      <w:r w:rsidR="008A728E" w:rsidRPr="00A22656">
        <w:rPr>
          <w:rFonts w:ascii="Times New Roman" w:hAnsi="Times New Roman" w:cs="Times New Roman"/>
          <w:sz w:val="24"/>
          <w:szCs w:val="20"/>
        </w:rPr>
        <w:t xml:space="preserve"> offers a more general prohibition of discrimination.</w:t>
      </w:r>
      <w:r w:rsidR="00597AA9" w:rsidRPr="00A22656">
        <w:rPr>
          <w:rFonts w:ascii="Times New Roman" w:hAnsi="Times New Roman" w:cs="Times New Roman"/>
          <w:sz w:val="24"/>
          <w:szCs w:val="20"/>
        </w:rPr>
        <w:t xml:space="preserve"> </w:t>
      </w:r>
      <w:r w:rsidR="00DC74E1" w:rsidRPr="00A22656">
        <w:rPr>
          <w:rFonts w:ascii="Times New Roman" w:hAnsi="Times New Roman" w:cs="Times New Roman"/>
          <w:sz w:val="24"/>
          <w:szCs w:val="20"/>
        </w:rPr>
        <w:t xml:space="preserve">Nevertheless, </w:t>
      </w:r>
      <w:r w:rsidR="00597AA9" w:rsidRPr="00A22656">
        <w:rPr>
          <w:rFonts w:ascii="Times New Roman" w:hAnsi="Times New Roman" w:cs="Times New Roman"/>
          <w:sz w:val="24"/>
          <w:szCs w:val="20"/>
        </w:rPr>
        <w:t>Article 45 TFEU</w:t>
      </w:r>
      <w:r w:rsidR="00DC74E1" w:rsidRPr="00A22656">
        <w:rPr>
          <w:rFonts w:ascii="Times New Roman" w:hAnsi="Times New Roman" w:cs="Times New Roman"/>
          <w:sz w:val="24"/>
          <w:szCs w:val="20"/>
        </w:rPr>
        <w:t xml:space="preserve"> could</w:t>
      </w:r>
      <w:r w:rsidR="00225260" w:rsidRPr="00A22656">
        <w:rPr>
          <w:rFonts w:ascii="Times New Roman" w:hAnsi="Times New Roman" w:cs="Times New Roman"/>
          <w:sz w:val="24"/>
          <w:szCs w:val="20"/>
        </w:rPr>
        <w:t xml:space="preserve"> represent</w:t>
      </w:r>
      <w:r w:rsidR="00597AA9" w:rsidRPr="00A22656">
        <w:rPr>
          <w:rFonts w:ascii="Times New Roman" w:hAnsi="Times New Roman" w:cs="Times New Roman"/>
          <w:sz w:val="24"/>
          <w:szCs w:val="20"/>
        </w:rPr>
        <w:t xml:space="preserve"> a </w:t>
      </w:r>
      <w:proofErr w:type="spellStart"/>
      <w:r w:rsidR="00597AA9" w:rsidRPr="00A22656">
        <w:rPr>
          <w:rFonts w:ascii="Times New Roman" w:hAnsi="Times New Roman" w:cs="Times New Roman"/>
          <w:i/>
          <w:sz w:val="24"/>
          <w:szCs w:val="20"/>
        </w:rPr>
        <w:t>lex</w:t>
      </w:r>
      <w:proofErr w:type="spellEnd"/>
      <w:r w:rsidR="00597AA9" w:rsidRPr="00A22656">
        <w:rPr>
          <w:rFonts w:ascii="Times New Roman" w:hAnsi="Times New Roman" w:cs="Times New Roman"/>
          <w:i/>
          <w:sz w:val="24"/>
          <w:szCs w:val="20"/>
        </w:rPr>
        <w:t xml:space="preserve"> </w:t>
      </w:r>
      <w:proofErr w:type="spellStart"/>
      <w:r w:rsidR="00597AA9" w:rsidRPr="00A22656">
        <w:rPr>
          <w:rFonts w:ascii="Times New Roman" w:hAnsi="Times New Roman" w:cs="Times New Roman"/>
          <w:i/>
          <w:sz w:val="24"/>
          <w:szCs w:val="20"/>
        </w:rPr>
        <w:t>specialis</w:t>
      </w:r>
      <w:proofErr w:type="spellEnd"/>
      <w:r w:rsidR="00597AA9" w:rsidRPr="00A22656">
        <w:rPr>
          <w:rFonts w:ascii="Times New Roman" w:hAnsi="Times New Roman" w:cs="Times New Roman"/>
          <w:sz w:val="24"/>
          <w:szCs w:val="20"/>
        </w:rPr>
        <w:t xml:space="preserve"> of that provision, given that Article 18 is explicitly without prejudice to more focused</w:t>
      </w:r>
      <w:r w:rsidR="008E17D7" w:rsidRPr="00A22656">
        <w:rPr>
          <w:rFonts w:ascii="Times New Roman" w:hAnsi="Times New Roman" w:cs="Times New Roman"/>
          <w:sz w:val="24"/>
          <w:szCs w:val="20"/>
        </w:rPr>
        <w:t xml:space="preserve"> provi</w:t>
      </w:r>
      <w:r w:rsidR="00523BC0" w:rsidRPr="00A22656">
        <w:rPr>
          <w:rFonts w:ascii="Times New Roman" w:hAnsi="Times New Roman" w:cs="Times New Roman"/>
          <w:sz w:val="24"/>
          <w:szCs w:val="20"/>
        </w:rPr>
        <w:t>sions. A similar argument might</w:t>
      </w:r>
      <w:r w:rsidR="00E267E0" w:rsidRPr="00A22656">
        <w:rPr>
          <w:rFonts w:ascii="Times New Roman" w:hAnsi="Times New Roman" w:cs="Times New Roman"/>
          <w:sz w:val="24"/>
          <w:szCs w:val="20"/>
        </w:rPr>
        <w:t xml:space="preserve"> </w:t>
      </w:r>
      <w:r w:rsidR="008E17D7" w:rsidRPr="00A22656">
        <w:rPr>
          <w:rFonts w:ascii="Times New Roman" w:hAnsi="Times New Roman" w:cs="Times New Roman"/>
          <w:sz w:val="24"/>
          <w:szCs w:val="20"/>
        </w:rPr>
        <w:t xml:space="preserve">be made in relation to Article 21 and 34 </w:t>
      </w:r>
      <w:r w:rsidR="00651236" w:rsidRPr="00A22656">
        <w:rPr>
          <w:rFonts w:ascii="Times New Roman" w:hAnsi="Times New Roman" w:cs="Times New Roman"/>
          <w:sz w:val="24"/>
          <w:szCs w:val="20"/>
        </w:rPr>
        <w:t>CFR</w:t>
      </w:r>
      <w:r w:rsidR="003C07DC" w:rsidRPr="00A22656">
        <w:rPr>
          <w:rFonts w:ascii="Times New Roman" w:hAnsi="Times New Roman" w:cs="Times New Roman"/>
          <w:sz w:val="24"/>
          <w:szCs w:val="20"/>
        </w:rPr>
        <w:t>.</w:t>
      </w:r>
      <w:r w:rsidR="000A756D" w:rsidRPr="00A22656">
        <w:rPr>
          <w:rFonts w:ascii="Times New Roman" w:hAnsi="Times New Roman" w:cs="Times New Roman"/>
          <w:sz w:val="24"/>
          <w:szCs w:val="20"/>
        </w:rPr>
        <w:t xml:space="preserve"> </w:t>
      </w:r>
      <w:r w:rsidR="00DC74E1" w:rsidRPr="00A22656">
        <w:rPr>
          <w:rFonts w:ascii="Times New Roman" w:hAnsi="Times New Roman" w:cs="Times New Roman"/>
          <w:sz w:val="24"/>
          <w:szCs w:val="20"/>
        </w:rPr>
        <w:t xml:space="preserve">Alternatively, as is the case for non-economically active Union citizens, emphasis could have been placed on the fact that free movement rights under Article 21 TFEU, which bring an EU citizen within the scope of Article 18 TFEU, are themselves </w:t>
      </w:r>
      <w:r w:rsidR="008B5520" w:rsidRPr="00A22656">
        <w:rPr>
          <w:rFonts w:ascii="Times New Roman" w:hAnsi="Times New Roman" w:cs="Times New Roman"/>
          <w:sz w:val="24"/>
          <w:szCs w:val="20"/>
        </w:rPr>
        <w:t xml:space="preserve">subject to limitations in secondary </w:t>
      </w:r>
      <w:r w:rsidR="00DC74E1" w:rsidRPr="00A22656">
        <w:rPr>
          <w:rFonts w:ascii="Times New Roman" w:hAnsi="Times New Roman" w:cs="Times New Roman"/>
          <w:sz w:val="24"/>
          <w:szCs w:val="20"/>
        </w:rPr>
        <w:t>law. I</w:t>
      </w:r>
      <w:r w:rsidR="008B5520" w:rsidRPr="00A22656">
        <w:rPr>
          <w:rFonts w:ascii="Times New Roman" w:hAnsi="Times New Roman" w:cs="Times New Roman"/>
          <w:sz w:val="24"/>
          <w:szCs w:val="20"/>
        </w:rPr>
        <w:t xml:space="preserve">n those States relying on the </w:t>
      </w:r>
      <w:r w:rsidR="00DC74E1" w:rsidRPr="00A22656">
        <w:rPr>
          <w:rFonts w:ascii="Times New Roman" w:hAnsi="Times New Roman" w:cs="Times New Roman"/>
          <w:sz w:val="24"/>
          <w:szCs w:val="20"/>
        </w:rPr>
        <w:t>s</w:t>
      </w:r>
      <w:r w:rsidR="008B5520" w:rsidRPr="00A22656">
        <w:rPr>
          <w:rFonts w:ascii="Times New Roman" w:hAnsi="Times New Roman" w:cs="Times New Roman"/>
          <w:sz w:val="24"/>
          <w:szCs w:val="20"/>
        </w:rPr>
        <w:t>afeg</w:t>
      </w:r>
      <w:r w:rsidR="009B0288" w:rsidRPr="00A22656">
        <w:rPr>
          <w:rFonts w:ascii="Times New Roman" w:hAnsi="Times New Roman" w:cs="Times New Roman"/>
          <w:sz w:val="24"/>
          <w:szCs w:val="20"/>
        </w:rPr>
        <w:t xml:space="preserve">uard, </w:t>
      </w:r>
      <w:r w:rsidR="00DC74E1" w:rsidRPr="00A22656">
        <w:rPr>
          <w:rFonts w:ascii="Times New Roman" w:hAnsi="Times New Roman" w:cs="Times New Roman"/>
          <w:sz w:val="24"/>
          <w:szCs w:val="20"/>
        </w:rPr>
        <w:t>related secondary Union legislation would then form</w:t>
      </w:r>
      <w:r w:rsidR="008B5520" w:rsidRPr="00A22656">
        <w:rPr>
          <w:rFonts w:ascii="Times New Roman" w:hAnsi="Times New Roman" w:cs="Times New Roman"/>
          <w:sz w:val="24"/>
          <w:szCs w:val="20"/>
        </w:rPr>
        <w:t xml:space="preserve"> part of the definitio</w:t>
      </w:r>
      <w:r w:rsidR="00225260" w:rsidRPr="00A22656">
        <w:rPr>
          <w:rFonts w:ascii="Times New Roman" w:hAnsi="Times New Roman" w:cs="Times New Roman"/>
          <w:sz w:val="24"/>
          <w:szCs w:val="20"/>
        </w:rPr>
        <w:t>nal framework of Article 21</w:t>
      </w:r>
      <w:r w:rsidR="008B5520" w:rsidRPr="00A22656">
        <w:rPr>
          <w:rFonts w:ascii="Times New Roman" w:hAnsi="Times New Roman" w:cs="Times New Roman"/>
          <w:sz w:val="24"/>
          <w:szCs w:val="20"/>
        </w:rPr>
        <w:t xml:space="preserve">. Those seeking to reside in their host State </w:t>
      </w:r>
      <w:proofErr w:type="spellStart"/>
      <w:r w:rsidR="008B5520" w:rsidRPr="00A22656">
        <w:rPr>
          <w:rFonts w:ascii="Times New Roman" w:hAnsi="Times New Roman" w:cs="Times New Roman"/>
          <w:sz w:val="24"/>
          <w:szCs w:val="20"/>
        </w:rPr>
        <w:t>outwith</w:t>
      </w:r>
      <w:proofErr w:type="spellEnd"/>
      <w:r w:rsidR="008B5520" w:rsidRPr="00A22656">
        <w:rPr>
          <w:rFonts w:ascii="Times New Roman" w:hAnsi="Times New Roman" w:cs="Times New Roman"/>
          <w:sz w:val="24"/>
          <w:szCs w:val="20"/>
        </w:rPr>
        <w:t xml:space="preserve"> the confines of the safeguard would</w:t>
      </w:r>
      <w:r w:rsidR="00DC74E1" w:rsidRPr="00A22656">
        <w:rPr>
          <w:rFonts w:ascii="Times New Roman" w:hAnsi="Times New Roman" w:cs="Times New Roman"/>
          <w:sz w:val="24"/>
          <w:szCs w:val="20"/>
        </w:rPr>
        <w:t xml:space="preserve"> </w:t>
      </w:r>
      <w:r w:rsidR="008B5520" w:rsidRPr="00A22656">
        <w:rPr>
          <w:rFonts w:ascii="Times New Roman" w:hAnsi="Times New Roman" w:cs="Times New Roman"/>
          <w:sz w:val="24"/>
          <w:szCs w:val="20"/>
        </w:rPr>
        <w:t>not</w:t>
      </w:r>
      <w:r w:rsidR="00DC74E1" w:rsidRPr="00A22656">
        <w:rPr>
          <w:rFonts w:ascii="Times New Roman" w:hAnsi="Times New Roman" w:cs="Times New Roman"/>
          <w:sz w:val="24"/>
          <w:szCs w:val="20"/>
        </w:rPr>
        <w:t xml:space="preserve"> be</w:t>
      </w:r>
      <w:r w:rsidR="008B5520" w:rsidRPr="00A22656">
        <w:rPr>
          <w:rFonts w:ascii="Times New Roman" w:hAnsi="Times New Roman" w:cs="Times New Roman"/>
          <w:sz w:val="24"/>
          <w:szCs w:val="20"/>
        </w:rPr>
        <w:t xml:space="preserve"> exercising free movement rights. This might have seemed legally tenuous in the days of </w:t>
      </w:r>
      <w:r w:rsidR="00DC74E1" w:rsidRPr="00A22656">
        <w:rPr>
          <w:rFonts w:ascii="Times New Roman" w:hAnsi="Times New Roman" w:cs="Times New Roman"/>
          <w:i/>
          <w:sz w:val="24"/>
          <w:szCs w:val="20"/>
        </w:rPr>
        <w:t xml:space="preserve">Even </w:t>
      </w:r>
      <w:r w:rsidR="00DC74E1" w:rsidRPr="00A22656">
        <w:rPr>
          <w:rFonts w:ascii="Times New Roman" w:hAnsi="Times New Roman" w:cs="Times New Roman"/>
          <w:sz w:val="24"/>
          <w:szCs w:val="20"/>
        </w:rPr>
        <w:t>or</w:t>
      </w:r>
      <w:r w:rsidR="0070576C" w:rsidRPr="00A22656">
        <w:rPr>
          <w:rFonts w:ascii="Times New Roman" w:hAnsi="Times New Roman" w:cs="Times New Roman"/>
          <w:i/>
          <w:sz w:val="24"/>
          <w:szCs w:val="20"/>
        </w:rPr>
        <w:t xml:space="preserve"> </w:t>
      </w:r>
      <w:r w:rsidR="008B5520" w:rsidRPr="00A22656">
        <w:rPr>
          <w:rFonts w:ascii="Times New Roman" w:hAnsi="Times New Roman" w:cs="Times New Roman"/>
          <w:i/>
          <w:sz w:val="24"/>
          <w:szCs w:val="20"/>
        </w:rPr>
        <w:t>Grzelczyk</w:t>
      </w:r>
      <w:r w:rsidR="00913549" w:rsidRPr="00A22656">
        <w:rPr>
          <w:rFonts w:ascii="Times New Roman" w:hAnsi="Times New Roman" w:cs="Times New Roman"/>
          <w:sz w:val="24"/>
          <w:szCs w:val="20"/>
        </w:rPr>
        <w:t xml:space="preserve">. Yet, when viewed against the contemporary </w:t>
      </w:r>
      <w:r w:rsidR="009B0288" w:rsidRPr="00A22656">
        <w:rPr>
          <w:rFonts w:ascii="Times New Roman" w:hAnsi="Times New Roman" w:cs="Times New Roman"/>
          <w:sz w:val="24"/>
          <w:szCs w:val="20"/>
        </w:rPr>
        <w:t>picture</w:t>
      </w:r>
      <w:r w:rsidR="00913549" w:rsidRPr="00A22656">
        <w:rPr>
          <w:rFonts w:ascii="Times New Roman" w:hAnsi="Times New Roman" w:cs="Times New Roman"/>
          <w:sz w:val="24"/>
          <w:szCs w:val="20"/>
        </w:rPr>
        <w:t xml:space="preserve"> painted by </w:t>
      </w:r>
      <w:proofErr w:type="spellStart"/>
      <w:r w:rsidR="0070576C" w:rsidRPr="00A22656">
        <w:rPr>
          <w:rFonts w:ascii="Times New Roman" w:hAnsi="Times New Roman" w:cs="Times New Roman"/>
          <w:i/>
          <w:sz w:val="24"/>
          <w:szCs w:val="20"/>
        </w:rPr>
        <w:t>Dano</w:t>
      </w:r>
      <w:proofErr w:type="spellEnd"/>
      <w:r w:rsidR="0070576C" w:rsidRPr="00A22656">
        <w:rPr>
          <w:rFonts w:ascii="Times New Roman" w:hAnsi="Times New Roman" w:cs="Times New Roman"/>
          <w:i/>
          <w:sz w:val="24"/>
          <w:szCs w:val="20"/>
        </w:rPr>
        <w:t xml:space="preserve"> et al</w:t>
      </w:r>
      <w:r w:rsidR="00DC74E1" w:rsidRPr="00A22656">
        <w:rPr>
          <w:rFonts w:ascii="Times New Roman" w:hAnsi="Times New Roman" w:cs="Times New Roman"/>
          <w:i/>
          <w:sz w:val="24"/>
          <w:szCs w:val="20"/>
        </w:rPr>
        <w:t>,</w:t>
      </w:r>
      <w:r w:rsidR="00913549" w:rsidRPr="00A22656">
        <w:rPr>
          <w:rFonts w:ascii="Times New Roman" w:hAnsi="Times New Roman" w:cs="Times New Roman"/>
          <w:i/>
          <w:sz w:val="24"/>
          <w:szCs w:val="20"/>
        </w:rPr>
        <w:t xml:space="preserve"> </w:t>
      </w:r>
      <w:r w:rsidR="00913549" w:rsidRPr="00A22656">
        <w:rPr>
          <w:rFonts w:ascii="Times New Roman" w:hAnsi="Times New Roman" w:cs="Times New Roman"/>
          <w:sz w:val="24"/>
          <w:szCs w:val="20"/>
        </w:rPr>
        <w:t xml:space="preserve">it seems </w:t>
      </w:r>
      <w:r w:rsidR="009B0288" w:rsidRPr="00A22656">
        <w:rPr>
          <w:rFonts w:ascii="Times New Roman" w:hAnsi="Times New Roman" w:cs="Times New Roman"/>
          <w:sz w:val="24"/>
          <w:szCs w:val="20"/>
        </w:rPr>
        <w:t xml:space="preserve">rather </w:t>
      </w:r>
      <w:r w:rsidR="00662CF7" w:rsidRPr="00A22656">
        <w:rPr>
          <w:rFonts w:ascii="Times New Roman" w:hAnsi="Times New Roman" w:cs="Times New Roman"/>
          <w:sz w:val="24"/>
          <w:szCs w:val="20"/>
        </w:rPr>
        <w:t>more plausible.</w:t>
      </w:r>
      <w:r w:rsidR="00913549" w:rsidRPr="00A22656">
        <w:rPr>
          <w:rFonts w:ascii="Times New Roman" w:hAnsi="Times New Roman" w:cs="Times New Roman"/>
          <w:sz w:val="24"/>
          <w:szCs w:val="20"/>
        </w:rPr>
        <w:t xml:space="preserve"> </w:t>
      </w:r>
    </w:p>
    <w:p w:rsidR="000D3E22" w:rsidRPr="00A22656" w:rsidRDefault="000D3E22" w:rsidP="005F768F">
      <w:pPr>
        <w:pStyle w:val="NoSpacing"/>
        <w:spacing w:line="360" w:lineRule="auto"/>
        <w:jc w:val="both"/>
        <w:rPr>
          <w:rFonts w:ascii="Times New Roman" w:hAnsi="Times New Roman" w:cs="Times New Roman"/>
          <w:sz w:val="24"/>
          <w:szCs w:val="20"/>
        </w:rPr>
      </w:pPr>
    </w:p>
    <w:p w:rsidR="00A033FF" w:rsidRPr="00A22656" w:rsidRDefault="00A033FF"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Our second example</w:t>
      </w:r>
      <w:r w:rsidR="00787B6C" w:rsidRPr="00A22656">
        <w:rPr>
          <w:rFonts w:ascii="Times New Roman" w:hAnsi="Times New Roman" w:cs="Times New Roman"/>
          <w:sz w:val="24"/>
          <w:szCs w:val="20"/>
        </w:rPr>
        <w:t xml:space="preserve"> of discrimination</w:t>
      </w:r>
      <w:r w:rsidR="000D0411" w:rsidRPr="00A22656">
        <w:rPr>
          <w:rFonts w:ascii="Times New Roman" w:hAnsi="Times New Roman" w:cs="Times New Roman"/>
          <w:sz w:val="24"/>
          <w:szCs w:val="20"/>
        </w:rPr>
        <w:t xml:space="preserve"> relates to the political rights of EU citizens. </w:t>
      </w:r>
      <w:r w:rsidR="0053531A" w:rsidRPr="00A22656">
        <w:rPr>
          <w:rFonts w:ascii="Times New Roman" w:hAnsi="Times New Roman" w:cs="Times New Roman"/>
          <w:sz w:val="24"/>
          <w:szCs w:val="20"/>
        </w:rPr>
        <w:t xml:space="preserve">Despite the prohibition of </w:t>
      </w:r>
      <w:r w:rsidR="0053531A" w:rsidRPr="00A22656">
        <w:rPr>
          <w:rFonts w:ascii="Times New Roman" w:hAnsi="Times New Roman" w:cs="Times New Roman"/>
          <w:i/>
          <w:sz w:val="24"/>
          <w:szCs w:val="20"/>
        </w:rPr>
        <w:t xml:space="preserve">any </w:t>
      </w:r>
      <w:r w:rsidR="00787B6C" w:rsidRPr="00A22656">
        <w:rPr>
          <w:rFonts w:ascii="Times New Roman" w:hAnsi="Times New Roman" w:cs="Times New Roman"/>
          <w:sz w:val="24"/>
          <w:szCs w:val="20"/>
        </w:rPr>
        <w:t xml:space="preserve">nationality-based </w:t>
      </w:r>
      <w:r w:rsidR="0053531A" w:rsidRPr="00A22656">
        <w:rPr>
          <w:rFonts w:ascii="Times New Roman" w:hAnsi="Times New Roman" w:cs="Times New Roman"/>
          <w:sz w:val="24"/>
          <w:szCs w:val="20"/>
        </w:rPr>
        <w:t xml:space="preserve">discrimination by Article 18 TFEU, Union citizens, including EU workers, </w:t>
      </w:r>
      <w:r w:rsidR="00894A8E" w:rsidRPr="00A22656">
        <w:rPr>
          <w:rFonts w:ascii="Times New Roman" w:hAnsi="Times New Roman" w:cs="Times New Roman"/>
          <w:sz w:val="24"/>
          <w:szCs w:val="20"/>
        </w:rPr>
        <w:t xml:space="preserve">may be excluded from </w:t>
      </w:r>
      <w:r w:rsidR="00787B6C" w:rsidRPr="00A22656">
        <w:rPr>
          <w:rFonts w:ascii="Times New Roman" w:hAnsi="Times New Roman" w:cs="Times New Roman"/>
          <w:sz w:val="24"/>
          <w:szCs w:val="20"/>
        </w:rPr>
        <w:t>voting in national elections in their host State</w:t>
      </w:r>
      <w:r w:rsidR="00894A8E" w:rsidRPr="00A22656">
        <w:rPr>
          <w:rFonts w:ascii="Times New Roman" w:hAnsi="Times New Roman" w:cs="Times New Roman"/>
          <w:sz w:val="24"/>
          <w:szCs w:val="20"/>
        </w:rPr>
        <w:t>.</w:t>
      </w:r>
      <w:r w:rsidR="007F2FC7" w:rsidRPr="00A22656">
        <w:rPr>
          <w:rFonts w:ascii="Times New Roman" w:hAnsi="Times New Roman" w:cs="Times New Roman"/>
          <w:sz w:val="24"/>
          <w:szCs w:val="20"/>
        </w:rPr>
        <w:t xml:space="preserve"> On the one hand, </w:t>
      </w:r>
      <w:r w:rsidR="00F92190" w:rsidRPr="00A22656">
        <w:rPr>
          <w:rFonts w:ascii="Times New Roman" w:hAnsi="Times New Roman" w:cs="Times New Roman"/>
          <w:sz w:val="24"/>
          <w:szCs w:val="20"/>
        </w:rPr>
        <w:t>such voting rights</w:t>
      </w:r>
      <w:r w:rsidR="007F2FC7" w:rsidRPr="00A22656">
        <w:rPr>
          <w:rFonts w:ascii="Times New Roman" w:hAnsi="Times New Roman" w:cs="Times New Roman"/>
          <w:sz w:val="24"/>
          <w:szCs w:val="20"/>
        </w:rPr>
        <w:t xml:space="preserve"> might be comfortably excluded from</w:t>
      </w:r>
      <w:r w:rsidR="00F92190" w:rsidRPr="00A22656">
        <w:rPr>
          <w:rFonts w:ascii="Times New Roman" w:hAnsi="Times New Roman" w:cs="Times New Roman"/>
          <w:sz w:val="24"/>
          <w:szCs w:val="20"/>
        </w:rPr>
        <w:t xml:space="preserve"> the scope of the Treaties, which is required to trigger Article 18.</w:t>
      </w:r>
      <w:r w:rsidR="007F2FC7" w:rsidRPr="00A22656">
        <w:rPr>
          <w:rFonts w:ascii="Times New Roman" w:hAnsi="Times New Roman" w:cs="Times New Roman"/>
          <w:sz w:val="24"/>
          <w:szCs w:val="20"/>
        </w:rPr>
        <w:t xml:space="preserve"> </w:t>
      </w:r>
      <w:r w:rsidR="00F92190" w:rsidRPr="00A22656">
        <w:rPr>
          <w:rFonts w:ascii="Times New Roman" w:hAnsi="Times New Roman" w:cs="Times New Roman"/>
          <w:sz w:val="24"/>
          <w:szCs w:val="20"/>
        </w:rPr>
        <w:t>On the other hand,</w:t>
      </w:r>
      <w:r w:rsidR="00A54680" w:rsidRPr="00A22656">
        <w:rPr>
          <w:rFonts w:ascii="Times New Roman" w:hAnsi="Times New Roman" w:cs="Times New Roman"/>
          <w:sz w:val="24"/>
          <w:szCs w:val="20"/>
        </w:rPr>
        <w:t xml:space="preserve"> writers have cogently </w:t>
      </w:r>
      <w:r w:rsidR="00A54680" w:rsidRPr="00A22656">
        <w:rPr>
          <w:rFonts w:ascii="Times New Roman" w:hAnsi="Times New Roman" w:cs="Times New Roman"/>
          <w:sz w:val="24"/>
          <w:szCs w:val="20"/>
        </w:rPr>
        <w:lastRenderedPageBreak/>
        <w:t>argued that political disenfranchisement constitutes a clear barrier to movement, particularly since non-national EU c</w:t>
      </w:r>
      <w:r w:rsidRPr="00A22656">
        <w:rPr>
          <w:rFonts w:ascii="Times New Roman" w:hAnsi="Times New Roman" w:cs="Times New Roman"/>
          <w:sz w:val="24"/>
          <w:szCs w:val="20"/>
        </w:rPr>
        <w:t>itizens will have no say over the</w:t>
      </w:r>
      <w:r w:rsidR="00A54680" w:rsidRPr="00A22656">
        <w:rPr>
          <w:rFonts w:ascii="Times New Roman" w:hAnsi="Times New Roman" w:cs="Times New Roman"/>
          <w:sz w:val="24"/>
          <w:szCs w:val="20"/>
        </w:rPr>
        <w:t xml:space="preserve"> </w:t>
      </w:r>
      <w:r w:rsidR="00F92190" w:rsidRPr="00A22656">
        <w:rPr>
          <w:rFonts w:ascii="Times New Roman" w:hAnsi="Times New Roman" w:cs="Times New Roman"/>
          <w:sz w:val="24"/>
          <w:szCs w:val="20"/>
        </w:rPr>
        <w:t>political institutions that</w:t>
      </w:r>
      <w:r w:rsidR="00A54680" w:rsidRPr="00A22656">
        <w:rPr>
          <w:rFonts w:ascii="Times New Roman" w:hAnsi="Times New Roman" w:cs="Times New Roman"/>
          <w:sz w:val="24"/>
          <w:szCs w:val="20"/>
        </w:rPr>
        <w:t xml:space="preserve">, </w:t>
      </w:r>
      <w:r w:rsidR="00A54680" w:rsidRPr="00A22656">
        <w:rPr>
          <w:rFonts w:ascii="Times New Roman" w:hAnsi="Times New Roman" w:cs="Times New Roman"/>
          <w:i/>
          <w:sz w:val="24"/>
          <w:szCs w:val="20"/>
        </w:rPr>
        <w:t>inter alia</w:t>
      </w:r>
      <w:r w:rsidR="00A54680" w:rsidRPr="00A22656">
        <w:rPr>
          <w:rFonts w:ascii="Times New Roman" w:hAnsi="Times New Roman" w:cs="Times New Roman"/>
          <w:sz w:val="24"/>
          <w:szCs w:val="20"/>
        </w:rPr>
        <w:t>,</w:t>
      </w:r>
      <w:r w:rsidR="00F92190" w:rsidRPr="00A22656">
        <w:rPr>
          <w:rFonts w:ascii="Times New Roman" w:hAnsi="Times New Roman" w:cs="Times New Roman"/>
          <w:sz w:val="24"/>
          <w:szCs w:val="20"/>
        </w:rPr>
        <w:t xml:space="preserve"> control taxation and social security systems.</w:t>
      </w:r>
      <w:r w:rsidR="00A54680" w:rsidRPr="00A22656">
        <w:rPr>
          <w:rStyle w:val="FootnoteReference"/>
          <w:rFonts w:ascii="Times New Roman" w:hAnsi="Times New Roman" w:cs="Times New Roman"/>
          <w:sz w:val="24"/>
          <w:szCs w:val="20"/>
        </w:rPr>
        <w:footnoteReference w:id="75"/>
      </w:r>
      <w:r w:rsidRPr="00A22656">
        <w:rPr>
          <w:rFonts w:ascii="Times New Roman" w:hAnsi="Times New Roman" w:cs="Times New Roman"/>
          <w:sz w:val="24"/>
          <w:szCs w:val="20"/>
        </w:rPr>
        <w:t xml:space="preserve"> Indeed, given the, at times, ephemeral connections found by the Court between domestic rules and free movement,</w:t>
      </w:r>
      <w:r w:rsidR="00A14B29" w:rsidRPr="00A22656">
        <w:rPr>
          <w:rFonts w:ascii="Times New Roman" w:hAnsi="Times New Roman" w:cs="Times New Roman"/>
          <w:sz w:val="24"/>
          <w:szCs w:val="20"/>
        </w:rPr>
        <w:t xml:space="preserve"> in order to bring, for example,</w:t>
      </w:r>
      <w:r w:rsidRPr="00A22656">
        <w:rPr>
          <w:rFonts w:ascii="Times New Roman" w:hAnsi="Times New Roman" w:cs="Times New Roman"/>
          <w:sz w:val="24"/>
          <w:szCs w:val="20"/>
        </w:rPr>
        <w:t xml:space="preserve"> national immigration law</w:t>
      </w:r>
      <w:r w:rsidR="00CC6F9A" w:rsidRPr="00A22656">
        <w:rPr>
          <w:rStyle w:val="FootnoteReference"/>
          <w:rFonts w:ascii="Times New Roman" w:hAnsi="Times New Roman" w:cs="Times New Roman"/>
          <w:sz w:val="24"/>
          <w:szCs w:val="20"/>
        </w:rPr>
        <w:footnoteReference w:id="76"/>
      </w:r>
      <w:r w:rsidRPr="00A22656">
        <w:rPr>
          <w:rFonts w:ascii="Times New Roman" w:hAnsi="Times New Roman" w:cs="Times New Roman"/>
          <w:sz w:val="24"/>
          <w:szCs w:val="20"/>
        </w:rPr>
        <w:t xml:space="preserve"> or even legislative instruments relating to names,</w:t>
      </w:r>
      <w:r w:rsidR="00CC6F9A" w:rsidRPr="00A22656">
        <w:rPr>
          <w:rStyle w:val="FootnoteReference"/>
          <w:rFonts w:ascii="Times New Roman" w:hAnsi="Times New Roman" w:cs="Times New Roman"/>
          <w:sz w:val="24"/>
          <w:szCs w:val="20"/>
        </w:rPr>
        <w:footnoteReference w:id="77"/>
      </w:r>
      <w:r w:rsidRPr="00A22656">
        <w:rPr>
          <w:rFonts w:ascii="Times New Roman" w:hAnsi="Times New Roman" w:cs="Times New Roman"/>
          <w:sz w:val="24"/>
          <w:szCs w:val="20"/>
        </w:rPr>
        <w:t xml:space="preserve"> within the scope of Union law, the position in relation to political rights appears somewhat arbitrary</w:t>
      </w:r>
      <w:r w:rsidR="00AD6F3A" w:rsidRPr="00A22656">
        <w:rPr>
          <w:rFonts w:ascii="Times New Roman" w:hAnsi="Times New Roman" w:cs="Times New Roman"/>
          <w:sz w:val="24"/>
          <w:szCs w:val="20"/>
        </w:rPr>
        <w:t>, at least from legal perspectives</w:t>
      </w:r>
      <w:r w:rsidRPr="00A22656">
        <w:rPr>
          <w:rFonts w:ascii="Times New Roman" w:hAnsi="Times New Roman" w:cs="Times New Roman"/>
          <w:sz w:val="24"/>
          <w:szCs w:val="20"/>
        </w:rPr>
        <w:t>.</w:t>
      </w:r>
    </w:p>
    <w:p w:rsidR="00A033FF" w:rsidRPr="00A22656" w:rsidRDefault="00A033FF" w:rsidP="005F768F">
      <w:pPr>
        <w:pStyle w:val="NoSpacing"/>
        <w:spacing w:line="360" w:lineRule="auto"/>
        <w:jc w:val="both"/>
        <w:rPr>
          <w:rFonts w:ascii="Times New Roman" w:hAnsi="Times New Roman" w:cs="Times New Roman"/>
          <w:sz w:val="24"/>
          <w:szCs w:val="20"/>
        </w:rPr>
      </w:pPr>
    </w:p>
    <w:p w:rsidR="00676782" w:rsidRPr="00A22656" w:rsidRDefault="00A03A26"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A third</w:t>
      </w:r>
      <w:r w:rsidR="003542BA" w:rsidRPr="00A22656">
        <w:rPr>
          <w:rFonts w:ascii="Times New Roman" w:hAnsi="Times New Roman" w:cs="Times New Roman"/>
          <w:sz w:val="24"/>
          <w:szCs w:val="20"/>
        </w:rPr>
        <w:t xml:space="preserve"> example arises in the context of EU enlargement</w:t>
      </w:r>
      <w:r w:rsidR="002F0A1E" w:rsidRPr="00A22656">
        <w:rPr>
          <w:rFonts w:ascii="Times New Roman" w:hAnsi="Times New Roman" w:cs="Times New Roman"/>
          <w:sz w:val="24"/>
          <w:szCs w:val="20"/>
        </w:rPr>
        <w:t>. Direct discrimination</w:t>
      </w:r>
      <w:r w:rsidR="00CC6F9A" w:rsidRPr="00A22656">
        <w:rPr>
          <w:rFonts w:ascii="Times New Roman" w:hAnsi="Times New Roman" w:cs="Times New Roman"/>
          <w:sz w:val="24"/>
          <w:szCs w:val="20"/>
        </w:rPr>
        <w:t>, in relation to employment or equal treat</w:t>
      </w:r>
      <w:r w:rsidR="00556097" w:rsidRPr="00A22656">
        <w:rPr>
          <w:rFonts w:ascii="Times New Roman" w:hAnsi="Times New Roman" w:cs="Times New Roman"/>
          <w:sz w:val="24"/>
          <w:szCs w:val="20"/>
        </w:rPr>
        <w:t>ment</w:t>
      </w:r>
      <w:r w:rsidR="00CC6F9A" w:rsidRPr="00A22656">
        <w:rPr>
          <w:rFonts w:ascii="Times New Roman" w:hAnsi="Times New Roman" w:cs="Times New Roman"/>
          <w:sz w:val="24"/>
          <w:szCs w:val="20"/>
        </w:rPr>
        <w:t>,</w:t>
      </w:r>
      <w:r w:rsidR="002F0A1E" w:rsidRPr="00A22656">
        <w:rPr>
          <w:rFonts w:ascii="Times New Roman" w:hAnsi="Times New Roman" w:cs="Times New Roman"/>
          <w:sz w:val="24"/>
          <w:szCs w:val="20"/>
        </w:rPr>
        <w:t xml:space="preserve"> against workers from newly acceding Member States</w:t>
      </w:r>
      <w:r w:rsidR="00C53CBD" w:rsidRPr="00A22656">
        <w:rPr>
          <w:rFonts w:ascii="Times New Roman" w:hAnsi="Times New Roman" w:cs="Times New Roman"/>
          <w:sz w:val="24"/>
          <w:szCs w:val="20"/>
        </w:rPr>
        <w:t>,</w:t>
      </w:r>
      <w:r w:rsidR="003542BA" w:rsidRPr="00A22656">
        <w:rPr>
          <w:rFonts w:ascii="Times New Roman" w:hAnsi="Times New Roman" w:cs="Times New Roman"/>
          <w:sz w:val="24"/>
          <w:szCs w:val="20"/>
        </w:rPr>
        <w:t xml:space="preserve"> is</w:t>
      </w:r>
      <w:r w:rsidR="00556097" w:rsidRPr="00A22656">
        <w:rPr>
          <w:rFonts w:ascii="Times New Roman" w:hAnsi="Times New Roman" w:cs="Times New Roman"/>
          <w:sz w:val="24"/>
          <w:szCs w:val="20"/>
        </w:rPr>
        <w:t xml:space="preserve"> now a permanent feature of </w:t>
      </w:r>
      <w:r w:rsidR="003542BA" w:rsidRPr="00A22656">
        <w:rPr>
          <w:rFonts w:ascii="Times New Roman" w:hAnsi="Times New Roman" w:cs="Times New Roman"/>
          <w:sz w:val="24"/>
          <w:szCs w:val="20"/>
        </w:rPr>
        <w:t xml:space="preserve">accession agreements purportedly </w:t>
      </w:r>
      <w:r w:rsidR="00D104CC" w:rsidRPr="00A22656">
        <w:rPr>
          <w:rFonts w:ascii="Times New Roman" w:hAnsi="Times New Roman" w:cs="Times New Roman"/>
          <w:sz w:val="24"/>
          <w:szCs w:val="20"/>
        </w:rPr>
        <w:t>in order to take account of the scale of accession and the differences between Member State economies.</w:t>
      </w:r>
      <w:r w:rsidRPr="00A22656">
        <w:rPr>
          <w:rStyle w:val="FootnoteReference"/>
          <w:rFonts w:ascii="Times New Roman" w:hAnsi="Times New Roman" w:cs="Times New Roman"/>
          <w:sz w:val="24"/>
          <w:szCs w:val="20"/>
        </w:rPr>
        <w:footnoteReference w:id="78"/>
      </w:r>
      <w:r w:rsidR="00D104CC" w:rsidRPr="00A22656">
        <w:rPr>
          <w:rFonts w:ascii="Times New Roman" w:hAnsi="Times New Roman" w:cs="Times New Roman"/>
          <w:sz w:val="24"/>
          <w:szCs w:val="20"/>
        </w:rPr>
        <w:t xml:space="preserve"> </w:t>
      </w:r>
      <w:r w:rsidR="003542BA" w:rsidRPr="00A22656">
        <w:rPr>
          <w:rFonts w:ascii="Times New Roman" w:hAnsi="Times New Roman" w:cs="Times New Roman"/>
          <w:sz w:val="24"/>
          <w:szCs w:val="20"/>
        </w:rPr>
        <w:t>Indeed, th</w:t>
      </w:r>
      <w:r w:rsidR="002F0A1E" w:rsidRPr="00A22656">
        <w:rPr>
          <w:rFonts w:ascii="Times New Roman" w:hAnsi="Times New Roman" w:cs="Times New Roman"/>
          <w:sz w:val="24"/>
          <w:szCs w:val="20"/>
        </w:rPr>
        <w:t xml:space="preserve">e </w:t>
      </w:r>
      <w:r w:rsidR="00556097" w:rsidRPr="00A22656">
        <w:rPr>
          <w:rFonts w:ascii="Times New Roman" w:hAnsi="Times New Roman" w:cs="Times New Roman"/>
          <w:sz w:val="24"/>
          <w:szCs w:val="20"/>
        </w:rPr>
        <w:t xml:space="preserve">Decision drew links between </w:t>
      </w:r>
      <w:r w:rsidR="00E03E8E" w:rsidRPr="00A22656">
        <w:rPr>
          <w:rFonts w:ascii="Times New Roman" w:hAnsi="Times New Roman" w:cs="Times New Roman"/>
          <w:sz w:val="24"/>
          <w:szCs w:val="20"/>
        </w:rPr>
        <w:t>the</w:t>
      </w:r>
      <w:r w:rsidR="002F0A1E" w:rsidRPr="00A22656">
        <w:rPr>
          <w:rFonts w:ascii="Times New Roman" w:hAnsi="Times New Roman" w:cs="Times New Roman"/>
          <w:sz w:val="24"/>
          <w:szCs w:val="20"/>
        </w:rPr>
        <w:t xml:space="preserve"> purported exceptional inflow of workers into the U</w:t>
      </w:r>
      <w:r w:rsidR="00556097" w:rsidRPr="00A22656">
        <w:rPr>
          <w:rFonts w:ascii="Times New Roman" w:hAnsi="Times New Roman" w:cs="Times New Roman"/>
          <w:sz w:val="24"/>
          <w:szCs w:val="20"/>
        </w:rPr>
        <w:t>K,</w:t>
      </w:r>
      <w:r w:rsidR="002F0A1E" w:rsidRPr="00A22656">
        <w:rPr>
          <w:rFonts w:ascii="Times New Roman" w:hAnsi="Times New Roman" w:cs="Times New Roman"/>
          <w:sz w:val="24"/>
          <w:szCs w:val="20"/>
        </w:rPr>
        <w:t xml:space="preserve"> and the fact that it has not always made full use of the transitional per</w:t>
      </w:r>
      <w:r w:rsidR="00556097" w:rsidRPr="00A22656">
        <w:rPr>
          <w:rFonts w:ascii="Times New Roman" w:hAnsi="Times New Roman" w:cs="Times New Roman"/>
          <w:sz w:val="24"/>
          <w:szCs w:val="20"/>
        </w:rPr>
        <w:t>iods</w:t>
      </w:r>
      <w:r w:rsidR="002F0A1E" w:rsidRPr="00A22656">
        <w:rPr>
          <w:rFonts w:ascii="Times New Roman" w:hAnsi="Times New Roman" w:cs="Times New Roman"/>
          <w:sz w:val="24"/>
          <w:szCs w:val="20"/>
        </w:rPr>
        <w:t xml:space="preserve"> provided by recent accession frameworks.</w:t>
      </w:r>
      <w:r w:rsidR="00E03E8E" w:rsidRPr="00A22656">
        <w:rPr>
          <w:rStyle w:val="FootnoteReference"/>
          <w:rFonts w:ascii="Times New Roman" w:hAnsi="Times New Roman" w:cs="Times New Roman"/>
          <w:sz w:val="24"/>
          <w:szCs w:val="20"/>
        </w:rPr>
        <w:footnoteReference w:id="79"/>
      </w:r>
      <w:r w:rsidR="00BB5746" w:rsidRPr="00A22656">
        <w:rPr>
          <w:rFonts w:ascii="Times New Roman" w:hAnsi="Times New Roman" w:cs="Times New Roman"/>
          <w:sz w:val="24"/>
          <w:szCs w:val="20"/>
        </w:rPr>
        <w:t xml:space="preserve"> Of course, </w:t>
      </w:r>
      <w:r w:rsidR="00556097" w:rsidRPr="00A22656">
        <w:rPr>
          <w:rFonts w:ascii="Times New Roman" w:hAnsi="Times New Roman" w:cs="Times New Roman"/>
          <w:sz w:val="24"/>
          <w:szCs w:val="20"/>
        </w:rPr>
        <w:t xml:space="preserve">such </w:t>
      </w:r>
      <w:r w:rsidR="00BB5746" w:rsidRPr="00A22656">
        <w:rPr>
          <w:rFonts w:ascii="Times New Roman" w:hAnsi="Times New Roman" w:cs="Times New Roman"/>
          <w:sz w:val="24"/>
          <w:szCs w:val="20"/>
        </w:rPr>
        <w:t xml:space="preserve">arrangements </w:t>
      </w:r>
      <w:r w:rsidR="00C118CF" w:rsidRPr="00A22656">
        <w:rPr>
          <w:rFonts w:ascii="Times New Roman" w:hAnsi="Times New Roman" w:cs="Times New Roman"/>
          <w:sz w:val="24"/>
          <w:szCs w:val="20"/>
        </w:rPr>
        <w:t>function</w:t>
      </w:r>
      <w:r w:rsidR="00BB5746" w:rsidRPr="00A22656">
        <w:rPr>
          <w:rFonts w:ascii="Times New Roman" w:hAnsi="Times New Roman" w:cs="Times New Roman"/>
          <w:sz w:val="24"/>
          <w:szCs w:val="20"/>
        </w:rPr>
        <w:t xml:space="preserve"> at the level of primary Union </w:t>
      </w:r>
      <w:r w:rsidR="00556097" w:rsidRPr="00A22656">
        <w:rPr>
          <w:rFonts w:ascii="Times New Roman" w:hAnsi="Times New Roman" w:cs="Times New Roman"/>
          <w:sz w:val="24"/>
          <w:szCs w:val="20"/>
        </w:rPr>
        <w:t>law. Nevertheless, they</w:t>
      </w:r>
      <w:r w:rsidRPr="00A22656">
        <w:rPr>
          <w:rFonts w:ascii="Times New Roman" w:hAnsi="Times New Roman" w:cs="Times New Roman"/>
          <w:sz w:val="24"/>
          <w:szCs w:val="20"/>
        </w:rPr>
        <w:t xml:space="preserve"> highlight that </w:t>
      </w:r>
      <w:r w:rsidR="00C118CF" w:rsidRPr="00A22656">
        <w:rPr>
          <w:rFonts w:ascii="Times New Roman" w:hAnsi="Times New Roman" w:cs="Times New Roman"/>
          <w:sz w:val="24"/>
          <w:szCs w:val="20"/>
        </w:rPr>
        <w:t xml:space="preserve">the principle of </w:t>
      </w:r>
      <w:r w:rsidRPr="00A22656">
        <w:rPr>
          <w:rFonts w:ascii="Times New Roman" w:hAnsi="Times New Roman" w:cs="Times New Roman"/>
          <w:sz w:val="24"/>
          <w:szCs w:val="20"/>
        </w:rPr>
        <w:t>non-</w:t>
      </w:r>
      <w:r w:rsidR="00D104CC" w:rsidRPr="00A22656">
        <w:rPr>
          <w:rFonts w:ascii="Times New Roman" w:hAnsi="Times New Roman" w:cs="Times New Roman"/>
          <w:sz w:val="24"/>
          <w:szCs w:val="20"/>
        </w:rPr>
        <w:t xml:space="preserve">discrimination against </w:t>
      </w:r>
      <w:r w:rsidR="00BB5746" w:rsidRPr="00A22656">
        <w:rPr>
          <w:rFonts w:ascii="Times New Roman" w:hAnsi="Times New Roman" w:cs="Times New Roman"/>
          <w:sz w:val="24"/>
          <w:szCs w:val="20"/>
        </w:rPr>
        <w:t>E</w:t>
      </w:r>
      <w:r w:rsidR="00D104CC" w:rsidRPr="00A22656">
        <w:rPr>
          <w:rFonts w:ascii="Times New Roman" w:hAnsi="Times New Roman" w:cs="Times New Roman"/>
          <w:sz w:val="24"/>
          <w:szCs w:val="20"/>
        </w:rPr>
        <w:t>U</w:t>
      </w:r>
      <w:r w:rsidR="00BB5746" w:rsidRPr="00A22656">
        <w:rPr>
          <w:rFonts w:ascii="Times New Roman" w:hAnsi="Times New Roman" w:cs="Times New Roman"/>
          <w:sz w:val="24"/>
          <w:szCs w:val="20"/>
        </w:rPr>
        <w:t xml:space="preserve"> </w:t>
      </w:r>
      <w:r w:rsidR="00D104CC" w:rsidRPr="00A22656">
        <w:rPr>
          <w:rFonts w:ascii="Times New Roman" w:hAnsi="Times New Roman" w:cs="Times New Roman"/>
          <w:sz w:val="24"/>
          <w:szCs w:val="20"/>
        </w:rPr>
        <w:t xml:space="preserve">workers </w:t>
      </w:r>
      <w:r w:rsidR="00A95843" w:rsidRPr="00A22656">
        <w:rPr>
          <w:rFonts w:ascii="Times New Roman" w:hAnsi="Times New Roman" w:cs="Times New Roman"/>
          <w:sz w:val="24"/>
          <w:szCs w:val="20"/>
        </w:rPr>
        <w:t>is</w:t>
      </w:r>
      <w:r w:rsidR="00C118CF" w:rsidRPr="00A22656">
        <w:rPr>
          <w:rFonts w:ascii="Times New Roman" w:hAnsi="Times New Roman" w:cs="Times New Roman"/>
          <w:sz w:val="24"/>
          <w:szCs w:val="20"/>
        </w:rPr>
        <w:t xml:space="preserve"> more nuanced</w:t>
      </w:r>
      <w:r w:rsidR="00D104CC" w:rsidRPr="00A22656">
        <w:rPr>
          <w:rFonts w:ascii="Times New Roman" w:hAnsi="Times New Roman" w:cs="Times New Roman"/>
          <w:sz w:val="24"/>
          <w:szCs w:val="20"/>
        </w:rPr>
        <w:t xml:space="preserve"> than the simple prohibition</w:t>
      </w:r>
      <w:r w:rsidR="00BB5746" w:rsidRPr="00A22656">
        <w:rPr>
          <w:rFonts w:ascii="Times New Roman" w:hAnsi="Times New Roman" w:cs="Times New Roman"/>
          <w:sz w:val="24"/>
          <w:szCs w:val="20"/>
        </w:rPr>
        <w:t>s</w:t>
      </w:r>
      <w:r w:rsidR="00D104CC" w:rsidRPr="00A22656">
        <w:rPr>
          <w:rFonts w:ascii="Times New Roman" w:hAnsi="Times New Roman" w:cs="Times New Roman"/>
          <w:sz w:val="24"/>
          <w:szCs w:val="20"/>
        </w:rPr>
        <w:t xml:space="preserve"> contained in Articles 18</w:t>
      </w:r>
      <w:r w:rsidR="00BB5746" w:rsidRPr="00A22656">
        <w:rPr>
          <w:rFonts w:ascii="Times New Roman" w:hAnsi="Times New Roman" w:cs="Times New Roman"/>
          <w:sz w:val="24"/>
          <w:szCs w:val="20"/>
        </w:rPr>
        <w:t xml:space="preserve"> and 45(2) TFEU.</w:t>
      </w:r>
    </w:p>
    <w:p w:rsidR="00676782" w:rsidRPr="00A22656" w:rsidRDefault="00676782" w:rsidP="005F768F">
      <w:pPr>
        <w:pStyle w:val="NoSpacing"/>
        <w:spacing w:line="360" w:lineRule="auto"/>
        <w:jc w:val="both"/>
        <w:rPr>
          <w:rFonts w:ascii="Times New Roman" w:hAnsi="Times New Roman" w:cs="Times New Roman"/>
          <w:sz w:val="24"/>
          <w:szCs w:val="20"/>
        </w:rPr>
      </w:pPr>
    </w:p>
    <w:p w:rsidR="00821FF4" w:rsidRPr="00A22656" w:rsidRDefault="00676782"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H</w:t>
      </w:r>
      <w:r w:rsidR="00664353" w:rsidRPr="00A22656">
        <w:rPr>
          <w:rFonts w:ascii="Times New Roman" w:hAnsi="Times New Roman" w:cs="Times New Roman"/>
          <w:sz w:val="24"/>
          <w:szCs w:val="20"/>
        </w:rPr>
        <w:t>owever, our final</w:t>
      </w:r>
      <w:r w:rsidR="001E2FE3" w:rsidRPr="00A22656">
        <w:rPr>
          <w:rFonts w:ascii="Times New Roman" w:hAnsi="Times New Roman" w:cs="Times New Roman"/>
          <w:sz w:val="24"/>
          <w:szCs w:val="20"/>
        </w:rPr>
        <w:t>,</w:t>
      </w:r>
      <w:r w:rsidRPr="00A22656">
        <w:rPr>
          <w:rFonts w:ascii="Times New Roman" w:hAnsi="Times New Roman" w:cs="Times New Roman"/>
          <w:sz w:val="24"/>
          <w:szCs w:val="20"/>
        </w:rPr>
        <w:t xml:space="preserve"> most significant, example appears at the</w:t>
      </w:r>
      <w:r w:rsidR="00211E92" w:rsidRPr="00A22656">
        <w:rPr>
          <w:rFonts w:ascii="Times New Roman" w:hAnsi="Times New Roman" w:cs="Times New Roman"/>
          <w:sz w:val="24"/>
          <w:szCs w:val="20"/>
        </w:rPr>
        <w:t xml:space="preserve"> point at which Union citizenship and the internal market converge</w:t>
      </w:r>
      <w:r w:rsidR="002928CA" w:rsidRPr="00A22656">
        <w:rPr>
          <w:rFonts w:ascii="Times New Roman" w:hAnsi="Times New Roman" w:cs="Times New Roman"/>
          <w:sz w:val="24"/>
          <w:szCs w:val="20"/>
        </w:rPr>
        <w:t>;</w:t>
      </w:r>
      <w:r w:rsidR="00A0741D" w:rsidRPr="00A22656">
        <w:rPr>
          <w:rFonts w:ascii="Times New Roman" w:hAnsi="Times New Roman" w:cs="Times New Roman"/>
          <w:sz w:val="24"/>
          <w:szCs w:val="20"/>
        </w:rPr>
        <w:t xml:space="preserve"> specifically in the Court’s treatment of jobseekers. Following the formalisation of Union citizenship at Maastricht, the CJEU explicitly held in </w:t>
      </w:r>
      <w:r w:rsidR="00A0741D" w:rsidRPr="00A22656">
        <w:rPr>
          <w:rFonts w:ascii="Times New Roman" w:hAnsi="Times New Roman" w:cs="Times New Roman"/>
          <w:i/>
          <w:sz w:val="24"/>
          <w:szCs w:val="20"/>
        </w:rPr>
        <w:t>Collins</w:t>
      </w:r>
      <w:r w:rsidR="00A0741D" w:rsidRPr="00A22656">
        <w:rPr>
          <w:rStyle w:val="FootnoteReference"/>
          <w:rFonts w:ascii="Times New Roman" w:hAnsi="Times New Roman" w:cs="Times New Roman"/>
          <w:sz w:val="24"/>
          <w:szCs w:val="20"/>
        </w:rPr>
        <w:footnoteReference w:id="80"/>
      </w:r>
      <w:r w:rsidR="007708CB" w:rsidRPr="00A22656">
        <w:rPr>
          <w:rFonts w:ascii="Times New Roman" w:hAnsi="Times New Roman" w:cs="Times New Roman"/>
          <w:sz w:val="24"/>
          <w:szCs w:val="20"/>
        </w:rPr>
        <w:t xml:space="preserve"> that jobseekers resided in their host State legally</w:t>
      </w:r>
      <w:r w:rsidR="00DC0AC7" w:rsidRPr="00A22656">
        <w:rPr>
          <w:rFonts w:ascii="Times New Roman" w:hAnsi="Times New Roman" w:cs="Times New Roman"/>
          <w:sz w:val="24"/>
          <w:szCs w:val="20"/>
        </w:rPr>
        <w:t xml:space="preserve"> under Article 45 TFEU and</w:t>
      </w:r>
      <w:r w:rsidR="007708CB" w:rsidRPr="00A22656">
        <w:rPr>
          <w:rFonts w:ascii="Times New Roman" w:hAnsi="Times New Roman" w:cs="Times New Roman"/>
          <w:sz w:val="24"/>
          <w:szCs w:val="20"/>
        </w:rPr>
        <w:t xml:space="preserve"> that this brought them with the scope of the </w:t>
      </w:r>
      <w:r w:rsidR="00BD6884" w:rsidRPr="00A22656">
        <w:rPr>
          <w:rFonts w:ascii="Times New Roman" w:hAnsi="Times New Roman" w:cs="Times New Roman"/>
          <w:sz w:val="24"/>
          <w:szCs w:val="20"/>
        </w:rPr>
        <w:t>Article 18 TFEU</w:t>
      </w:r>
      <w:r w:rsidR="007708CB" w:rsidRPr="00A22656">
        <w:rPr>
          <w:rFonts w:ascii="Times New Roman" w:hAnsi="Times New Roman" w:cs="Times New Roman"/>
          <w:sz w:val="24"/>
          <w:szCs w:val="20"/>
        </w:rPr>
        <w:t>.</w:t>
      </w:r>
      <w:r w:rsidR="007708CB" w:rsidRPr="00A22656">
        <w:rPr>
          <w:rStyle w:val="FootnoteReference"/>
          <w:rFonts w:ascii="Times New Roman" w:hAnsi="Times New Roman" w:cs="Times New Roman"/>
          <w:sz w:val="24"/>
          <w:szCs w:val="20"/>
        </w:rPr>
        <w:footnoteReference w:id="81"/>
      </w:r>
      <w:r w:rsidR="00B97D5B" w:rsidRPr="00A22656">
        <w:rPr>
          <w:rFonts w:ascii="Times New Roman" w:hAnsi="Times New Roman" w:cs="Times New Roman"/>
          <w:sz w:val="24"/>
          <w:szCs w:val="20"/>
        </w:rPr>
        <w:t xml:space="preserve"> </w:t>
      </w:r>
      <w:r w:rsidR="00960393" w:rsidRPr="00A22656">
        <w:rPr>
          <w:rFonts w:ascii="Times New Roman" w:hAnsi="Times New Roman" w:cs="Times New Roman"/>
          <w:sz w:val="24"/>
          <w:szCs w:val="20"/>
        </w:rPr>
        <w:t xml:space="preserve">Consequently, the UK’s use of </w:t>
      </w:r>
      <w:proofErr w:type="gramStart"/>
      <w:r w:rsidR="00960393" w:rsidRPr="00A22656">
        <w:rPr>
          <w:rFonts w:ascii="Times New Roman" w:hAnsi="Times New Roman" w:cs="Times New Roman"/>
          <w:sz w:val="24"/>
          <w:szCs w:val="20"/>
        </w:rPr>
        <w:t>an</w:t>
      </w:r>
      <w:proofErr w:type="gramEnd"/>
      <w:r w:rsidR="00960393" w:rsidRPr="00A22656">
        <w:rPr>
          <w:rFonts w:ascii="Times New Roman" w:hAnsi="Times New Roman" w:cs="Times New Roman"/>
          <w:sz w:val="24"/>
          <w:szCs w:val="20"/>
        </w:rPr>
        <w:t xml:space="preserve"> habitual residence test to restrict access to jobseekers’ allowance was permissible only because it applied ‘independently of nationality’.</w:t>
      </w:r>
      <w:r w:rsidR="00960393" w:rsidRPr="00A22656">
        <w:rPr>
          <w:rStyle w:val="FootnoteReference"/>
          <w:rFonts w:ascii="Times New Roman" w:hAnsi="Times New Roman" w:cs="Times New Roman"/>
          <w:sz w:val="24"/>
          <w:szCs w:val="20"/>
        </w:rPr>
        <w:footnoteReference w:id="82"/>
      </w:r>
      <w:r w:rsidR="00960393" w:rsidRPr="00A22656">
        <w:rPr>
          <w:rFonts w:ascii="Times New Roman" w:hAnsi="Times New Roman" w:cs="Times New Roman"/>
          <w:sz w:val="24"/>
          <w:szCs w:val="20"/>
        </w:rPr>
        <w:t xml:space="preserve"> </w:t>
      </w:r>
      <w:r w:rsidR="00BD6884" w:rsidRPr="00A22656">
        <w:rPr>
          <w:rFonts w:ascii="Times New Roman" w:hAnsi="Times New Roman" w:cs="Times New Roman"/>
          <w:sz w:val="24"/>
          <w:szCs w:val="20"/>
        </w:rPr>
        <w:t>Though indirectly discriminatory</w:t>
      </w:r>
      <w:r w:rsidR="00960393" w:rsidRPr="00A22656">
        <w:rPr>
          <w:rFonts w:ascii="Times New Roman" w:hAnsi="Times New Roman" w:cs="Times New Roman"/>
          <w:sz w:val="24"/>
          <w:szCs w:val="20"/>
        </w:rPr>
        <w:t>,</w:t>
      </w:r>
      <w:r w:rsidR="00BD6884" w:rsidRPr="00A22656">
        <w:rPr>
          <w:rFonts w:ascii="Times New Roman" w:hAnsi="Times New Roman" w:cs="Times New Roman"/>
          <w:sz w:val="24"/>
          <w:szCs w:val="20"/>
        </w:rPr>
        <w:t xml:space="preserve"> it</w:t>
      </w:r>
      <w:r w:rsidR="00960393" w:rsidRPr="00A22656">
        <w:rPr>
          <w:rFonts w:ascii="Times New Roman" w:hAnsi="Times New Roman" w:cs="Times New Roman"/>
          <w:sz w:val="24"/>
          <w:szCs w:val="20"/>
        </w:rPr>
        <w:t xml:space="preserve"> could be justified by the</w:t>
      </w:r>
      <w:r w:rsidR="008F0716" w:rsidRPr="00A22656">
        <w:rPr>
          <w:rFonts w:ascii="Times New Roman" w:hAnsi="Times New Roman" w:cs="Times New Roman"/>
          <w:sz w:val="24"/>
          <w:szCs w:val="20"/>
        </w:rPr>
        <w:t xml:space="preserve"> legitimate need to establish a ‘real link’ between the host State job market and the EU citizen</w:t>
      </w:r>
      <w:r w:rsidR="00B26DA1" w:rsidRPr="00A22656">
        <w:rPr>
          <w:rFonts w:ascii="Times New Roman" w:hAnsi="Times New Roman" w:cs="Times New Roman"/>
          <w:sz w:val="24"/>
          <w:szCs w:val="20"/>
        </w:rPr>
        <w:t>.</w:t>
      </w:r>
      <w:r w:rsidR="008F0716" w:rsidRPr="00A22656">
        <w:rPr>
          <w:rFonts w:ascii="Times New Roman" w:hAnsi="Times New Roman" w:cs="Times New Roman"/>
          <w:sz w:val="24"/>
          <w:szCs w:val="20"/>
        </w:rPr>
        <w:t xml:space="preserve"> </w:t>
      </w:r>
    </w:p>
    <w:p w:rsidR="00821FF4" w:rsidRPr="00A22656" w:rsidRDefault="00821FF4" w:rsidP="005F768F">
      <w:pPr>
        <w:pStyle w:val="NoSpacing"/>
        <w:spacing w:line="360" w:lineRule="auto"/>
        <w:jc w:val="both"/>
        <w:rPr>
          <w:rFonts w:ascii="Times New Roman" w:hAnsi="Times New Roman" w:cs="Times New Roman"/>
          <w:sz w:val="24"/>
          <w:szCs w:val="20"/>
        </w:rPr>
      </w:pPr>
    </w:p>
    <w:p w:rsidR="0055173D" w:rsidRPr="00A22656" w:rsidRDefault="008F0716"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This very precise route to</w:t>
      </w:r>
      <w:r w:rsidR="00821FF4" w:rsidRPr="00A22656">
        <w:rPr>
          <w:rFonts w:ascii="Times New Roman" w:hAnsi="Times New Roman" w:cs="Times New Roman"/>
          <w:sz w:val="24"/>
          <w:szCs w:val="20"/>
        </w:rPr>
        <w:t xml:space="preserve"> </w:t>
      </w:r>
      <w:r w:rsidR="006C4C68" w:rsidRPr="00A22656">
        <w:rPr>
          <w:rFonts w:ascii="Times New Roman" w:hAnsi="Times New Roman" w:cs="Times New Roman"/>
          <w:sz w:val="24"/>
          <w:szCs w:val="20"/>
        </w:rPr>
        <w:t xml:space="preserve">justification </w:t>
      </w:r>
      <w:r w:rsidRPr="00A22656">
        <w:rPr>
          <w:rFonts w:ascii="Times New Roman" w:hAnsi="Times New Roman" w:cs="Times New Roman"/>
          <w:sz w:val="24"/>
          <w:szCs w:val="20"/>
        </w:rPr>
        <w:t xml:space="preserve">appears, however, to have been forgotten in </w:t>
      </w:r>
      <w:proofErr w:type="spellStart"/>
      <w:r w:rsidRPr="00A22656">
        <w:rPr>
          <w:rFonts w:ascii="Times New Roman" w:hAnsi="Times New Roman" w:cs="Times New Roman"/>
          <w:i/>
          <w:sz w:val="24"/>
          <w:szCs w:val="20"/>
        </w:rPr>
        <w:t>Vatsouras</w:t>
      </w:r>
      <w:proofErr w:type="spellEnd"/>
      <w:r w:rsidR="006C4C68" w:rsidRPr="00A22656">
        <w:rPr>
          <w:rFonts w:ascii="Times New Roman" w:hAnsi="Times New Roman" w:cs="Times New Roman"/>
          <w:sz w:val="24"/>
          <w:szCs w:val="20"/>
        </w:rPr>
        <w:t>.</w:t>
      </w:r>
      <w:r w:rsidR="00132ABD" w:rsidRPr="00A22656">
        <w:rPr>
          <w:rStyle w:val="FootnoteReference"/>
          <w:rFonts w:ascii="Times New Roman" w:hAnsi="Times New Roman" w:cs="Times New Roman"/>
          <w:sz w:val="24"/>
          <w:szCs w:val="20"/>
        </w:rPr>
        <w:footnoteReference w:id="83"/>
      </w:r>
      <w:r w:rsidR="006C4C68" w:rsidRPr="00A22656">
        <w:rPr>
          <w:rFonts w:ascii="Times New Roman" w:hAnsi="Times New Roman" w:cs="Times New Roman"/>
          <w:sz w:val="24"/>
          <w:szCs w:val="20"/>
        </w:rPr>
        <w:t xml:space="preserve"> </w:t>
      </w:r>
      <w:r w:rsidR="00E9181D" w:rsidRPr="00A22656">
        <w:rPr>
          <w:rFonts w:ascii="Times New Roman" w:hAnsi="Times New Roman" w:cs="Times New Roman"/>
          <w:sz w:val="24"/>
          <w:szCs w:val="20"/>
        </w:rPr>
        <w:t xml:space="preserve">It will be recalled that </w:t>
      </w:r>
      <w:r w:rsidRPr="00A22656">
        <w:rPr>
          <w:rFonts w:ascii="Times New Roman" w:hAnsi="Times New Roman" w:cs="Times New Roman"/>
          <w:sz w:val="24"/>
          <w:szCs w:val="20"/>
        </w:rPr>
        <w:t>the Court was</w:t>
      </w:r>
      <w:r w:rsidR="00132ABD" w:rsidRPr="00A22656">
        <w:rPr>
          <w:rFonts w:ascii="Times New Roman" w:hAnsi="Times New Roman" w:cs="Times New Roman"/>
          <w:sz w:val="24"/>
          <w:szCs w:val="20"/>
        </w:rPr>
        <w:t xml:space="preserve"> required to assess the validity of Article 24(2) Directive 2004/38 – which, for jobseekers, derogated from the requirement of equal access to social assistance – against its interpretation of Articles 20 and 45 TFEU in </w:t>
      </w:r>
      <w:r w:rsidR="00132ABD" w:rsidRPr="00A22656">
        <w:rPr>
          <w:rFonts w:ascii="Times New Roman" w:hAnsi="Times New Roman" w:cs="Times New Roman"/>
          <w:i/>
          <w:sz w:val="24"/>
          <w:szCs w:val="20"/>
        </w:rPr>
        <w:t>Collins</w:t>
      </w:r>
      <w:r w:rsidR="00132ABD" w:rsidRPr="00A22656">
        <w:rPr>
          <w:rFonts w:ascii="Times New Roman" w:hAnsi="Times New Roman" w:cs="Times New Roman"/>
          <w:sz w:val="24"/>
          <w:szCs w:val="20"/>
        </w:rPr>
        <w:t xml:space="preserve">. </w:t>
      </w:r>
      <w:r w:rsidRPr="00A22656">
        <w:rPr>
          <w:rFonts w:ascii="Times New Roman" w:hAnsi="Times New Roman" w:cs="Times New Roman"/>
          <w:sz w:val="24"/>
          <w:szCs w:val="20"/>
        </w:rPr>
        <w:t>Rather than find the measure invalid,</w:t>
      </w:r>
      <w:r w:rsidR="00BB7477" w:rsidRPr="00A22656">
        <w:rPr>
          <w:rFonts w:ascii="Times New Roman" w:hAnsi="Times New Roman" w:cs="Times New Roman"/>
          <w:sz w:val="24"/>
          <w:szCs w:val="20"/>
        </w:rPr>
        <w:t xml:space="preserve"> the CJEU</w:t>
      </w:r>
      <w:r w:rsidR="00E9181D" w:rsidRPr="00A22656">
        <w:rPr>
          <w:rFonts w:ascii="Times New Roman" w:hAnsi="Times New Roman" w:cs="Times New Roman"/>
          <w:sz w:val="24"/>
          <w:szCs w:val="20"/>
        </w:rPr>
        <w:t xml:space="preserve"> </w:t>
      </w:r>
      <w:r w:rsidR="00BB7477" w:rsidRPr="00A22656">
        <w:rPr>
          <w:rFonts w:ascii="Times New Roman" w:hAnsi="Times New Roman" w:cs="Times New Roman"/>
          <w:sz w:val="24"/>
          <w:szCs w:val="20"/>
        </w:rPr>
        <w:t>held that</w:t>
      </w:r>
      <w:r w:rsidRPr="00A22656">
        <w:rPr>
          <w:rFonts w:ascii="Times New Roman" w:hAnsi="Times New Roman" w:cs="Times New Roman"/>
          <w:sz w:val="24"/>
          <w:szCs w:val="20"/>
        </w:rPr>
        <w:t xml:space="preserve"> jobseekers’ allowance </w:t>
      </w:r>
      <w:r w:rsidR="00BB7477" w:rsidRPr="00A22656">
        <w:rPr>
          <w:rFonts w:ascii="Times New Roman" w:hAnsi="Times New Roman" w:cs="Times New Roman"/>
          <w:sz w:val="24"/>
          <w:szCs w:val="20"/>
        </w:rPr>
        <w:t>did not constitute social assistance</w:t>
      </w:r>
      <w:r w:rsidR="00E9181D" w:rsidRPr="00A22656">
        <w:rPr>
          <w:rFonts w:ascii="Times New Roman" w:hAnsi="Times New Roman" w:cs="Times New Roman"/>
          <w:sz w:val="24"/>
          <w:szCs w:val="20"/>
        </w:rPr>
        <w:t xml:space="preserve"> but was</w:t>
      </w:r>
      <w:r w:rsidR="00BB7477" w:rsidRPr="00A22656">
        <w:rPr>
          <w:rFonts w:ascii="Times New Roman" w:hAnsi="Times New Roman" w:cs="Times New Roman"/>
          <w:sz w:val="24"/>
          <w:szCs w:val="20"/>
        </w:rPr>
        <w:t xml:space="preserve"> </w:t>
      </w:r>
      <w:r w:rsidR="00E9181D" w:rsidRPr="00A22656">
        <w:rPr>
          <w:rFonts w:ascii="Times New Roman" w:hAnsi="Times New Roman" w:cs="Times New Roman"/>
          <w:sz w:val="24"/>
          <w:szCs w:val="20"/>
        </w:rPr>
        <w:t>‘</w:t>
      </w:r>
      <w:r w:rsidR="00BB7477" w:rsidRPr="00A22656">
        <w:rPr>
          <w:rFonts w:ascii="Times New Roman" w:hAnsi="Times New Roman" w:cs="Times New Roman"/>
          <w:sz w:val="24"/>
          <w:szCs w:val="20"/>
        </w:rPr>
        <w:t>financial support intended to facilitate access to the job market</w:t>
      </w:r>
      <w:r w:rsidR="00E9181D" w:rsidRPr="00A22656">
        <w:rPr>
          <w:rFonts w:ascii="Times New Roman" w:hAnsi="Times New Roman" w:cs="Times New Roman"/>
          <w:sz w:val="24"/>
          <w:szCs w:val="20"/>
        </w:rPr>
        <w:t>’</w:t>
      </w:r>
      <w:r w:rsidR="00BB7477" w:rsidRPr="00A22656">
        <w:rPr>
          <w:rFonts w:ascii="Times New Roman" w:hAnsi="Times New Roman" w:cs="Times New Roman"/>
          <w:sz w:val="24"/>
          <w:szCs w:val="20"/>
        </w:rPr>
        <w:t xml:space="preserve">. </w:t>
      </w:r>
      <w:r w:rsidR="00132ABD" w:rsidRPr="00A22656">
        <w:rPr>
          <w:rFonts w:ascii="Times New Roman" w:hAnsi="Times New Roman" w:cs="Times New Roman"/>
          <w:sz w:val="24"/>
          <w:szCs w:val="20"/>
        </w:rPr>
        <w:t xml:space="preserve">This </w:t>
      </w:r>
      <w:r w:rsidR="00684173" w:rsidRPr="00A22656">
        <w:rPr>
          <w:rFonts w:ascii="Times New Roman" w:hAnsi="Times New Roman" w:cs="Times New Roman"/>
          <w:sz w:val="24"/>
          <w:szCs w:val="20"/>
        </w:rPr>
        <w:t>focus</w:t>
      </w:r>
      <w:r w:rsidR="00E11807" w:rsidRPr="00A22656">
        <w:rPr>
          <w:rFonts w:ascii="Times New Roman" w:hAnsi="Times New Roman" w:cs="Times New Roman"/>
          <w:sz w:val="24"/>
          <w:szCs w:val="20"/>
        </w:rPr>
        <w:t xml:space="preserve"> on maintaining access to jobseekers’</w:t>
      </w:r>
      <w:r w:rsidR="00684173" w:rsidRPr="00A22656">
        <w:rPr>
          <w:rFonts w:ascii="Times New Roman" w:hAnsi="Times New Roman" w:cs="Times New Roman"/>
          <w:sz w:val="24"/>
          <w:szCs w:val="20"/>
        </w:rPr>
        <w:t xml:space="preserve"> allowanc</w:t>
      </w:r>
      <w:r w:rsidR="00B21308" w:rsidRPr="00A22656">
        <w:rPr>
          <w:rFonts w:ascii="Times New Roman" w:hAnsi="Times New Roman" w:cs="Times New Roman"/>
          <w:sz w:val="24"/>
          <w:szCs w:val="20"/>
        </w:rPr>
        <w:t>e</w:t>
      </w:r>
      <w:r w:rsidR="007A0738" w:rsidRPr="00A22656">
        <w:rPr>
          <w:rFonts w:ascii="Times New Roman" w:hAnsi="Times New Roman" w:cs="Times New Roman"/>
          <w:sz w:val="24"/>
          <w:szCs w:val="20"/>
        </w:rPr>
        <w:t xml:space="preserve"> in fact</w:t>
      </w:r>
      <w:r w:rsidR="00B21308" w:rsidRPr="00A22656">
        <w:rPr>
          <w:rFonts w:ascii="Times New Roman" w:hAnsi="Times New Roman" w:cs="Times New Roman"/>
          <w:sz w:val="24"/>
          <w:szCs w:val="20"/>
        </w:rPr>
        <w:t xml:space="preserve"> permit</w:t>
      </w:r>
      <w:r w:rsidR="00684173" w:rsidRPr="00A22656">
        <w:rPr>
          <w:rFonts w:ascii="Times New Roman" w:hAnsi="Times New Roman" w:cs="Times New Roman"/>
          <w:sz w:val="24"/>
          <w:szCs w:val="20"/>
        </w:rPr>
        <w:t>s</w:t>
      </w:r>
      <w:r w:rsidR="00E11807" w:rsidRPr="00A22656">
        <w:rPr>
          <w:rFonts w:ascii="Times New Roman" w:hAnsi="Times New Roman" w:cs="Times New Roman"/>
          <w:sz w:val="24"/>
          <w:szCs w:val="20"/>
        </w:rPr>
        <w:t xml:space="preserve"> nationality-b</w:t>
      </w:r>
      <w:r w:rsidR="00132ABD" w:rsidRPr="00A22656">
        <w:rPr>
          <w:rFonts w:ascii="Times New Roman" w:hAnsi="Times New Roman" w:cs="Times New Roman"/>
          <w:sz w:val="24"/>
          <w:szCs w:val="20"/>
        </w:rPr>
        <w:t>ased discrimination against job</w:t>
      </w:r>
      <w:r w:rsidR="00E11807" w:rsidRPr="00A22656">
        <w:rPr>
          <w:rFonts w:ascii="Times New Roman" w:hAnsi="Times New Roman" w:cs="Times New Roman"/>
          <w:sz w:val="24"/>
          <w:szCs w:val="20"/>
        </w:rPr>
        <w:t>seekers</w:t>
      </w:r>
      <w:r w:rsidR="00E9181D" w:rsidRPr="00A22656">
        <w:rPr>
          <w:rFonts w:ascii="Times New Roman" w:hAnsi="Times New Roman" w:cs="Times New Roman"/>
          <w:sz w:val="24"/>
          <w:szCs w:val="20"/>
        </w:rPr>
        <w:t xml:space="preserve"> in relation to all other forms of social assistance to slip through unnoticed and, critically, via secondary Union legislation. This despite the fact that, post-</w:t>
      </w:r>
      <w:r w:rsidR="00E9181D" w:rsidRPr="00A22656">
        <w:rPr>
          <w:rFonts w:ascii="Times New Roman" w:hAnsi="Times New Roman" w:cs="Times New Roman"/>
          <w:i/>
          <w:sz w:val="24"/>
          <w:szCs w:val="20"/>
        </w:rPr>
        <w:t>Collins</w:t>
      </w:r>
      <w:r w:rsidR="00E9181D" w:rsidRPr="00A22656">
        <w:rPr>
          <w:rFonts w:ascii="Times New Roman" w:hAnsi="Times New Roman" w:cs="Times New Roman"/>
          <w:sz w:val="24"/>
          <w:szCs w:val="20"/>
        </w:rPr>
        <w:t>, jobseekers fall within</w:t>
      </w:r>
      <w:r w:rsidR="00E11807" w:rsidRPr="00A22656">
        <w:rPr>
          <w:rFonts w:ascii="Times New Roman" w:hAnsi="Times New Roman" w:cs="Times New Roman"/>
          <w:sz w:val="24"/>
          <w:szCs w:val="20"/>
        </w:rPr>
        <w:t xml:space="preserve"> the scope of Article 45 TFEU, and therefore within</w:t>
      </w:r>
      <w:r w:rsidR="00132ABD" w:rsidRPr="00A22656">
        <w:rPr>
          <w:rFonts w:ascii="Times New Roman" w:hAnsi="Times New Roman" w:cs="Times New Roman"/>
          <w:sz w:val="24"/>
          <w:szCs w:val="20"/>
        </w:rPr>
        <w:t xml:space="preserve"> the Article 18 general</w:t>
      </w:r>
      <w:r w:rsidR="00E9181D" w:rsidRPr="00A22656">
        <w:rPr>
          <w:rFonts w:ascii="Times New Roman" w:hAnsi="Times New Roman" w:cs="Times New Roman"/>
          <w:sz w:val="24"/>
          <w:szCs w:val="20"/>
        </w:rPr>
        <w:t xml:space="preserve"> prohibition of nationality-based discrimination</w:t>
      </w:r>
      <w:r w:rsidR="00132ABD" w:rsidRPr="00A22656">
        <w:rPr>
          <w:rFonts w:ascii="Times New Roman" w:hAnsi="Times New Roman" w:cs="Times New Roman"/>
          <w:sz w:val="24"/>
          <w:szCs w:val="20"/>
        </w:rPr>
        <w:t>.</w:t>
      </w:r>
    </w:p>
    <w:p w:rsidR="00123532" w:rsidRPr="00A22656" w:rsidRDefault="00123532" w:rsidP="005F768F">
      <w:pPr>
        <w:pStyle w:val="NoSpacing"/>
        <w:spacing w:line="360" w:lineRule="auto"/>
        <w:jc w:val="both"/>
        <w:rPr>
          <w:rFonts w:ascii="Times New Roman" w:hAnsi="Times New Roman" w:cs="Times New Roman"/>
          <w:sz w:val="24"/>
          <w:szCs w:val="20"/>
        </w:rPr>
      </w:pPr>
    </w:p>
    <w:p w:rsidR="00123532" w:rsidRPr="00A22656" w:rsidRDefault="0055173D"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i/>
          <w:sz w:val="24"/>
          <w:szCs w:val="20"/>
        </w:rPr>
        <w:t xml:space="preserve">Collins </w:t>
      </w:r>
      <w:r w:rsidRPr="00A22656">
        <w:rPr>
          <w:rFonts w:ascii="Times New Roman" w:hAnsi="Times New Roman" w:cs="Times New Roman"/>
          <w:sz w:val="24"/>
          <w:szCs w:val="20"/>
        </w:rPr>
        <w:t xml:space="preserve">and </w:t>
      </w:r>
      <w:proofErr w:type="spellStart"/>
      <w:r w:rsidR="00132ABD" w:rsidRPr="00A22656">
        <w:rPr>
          <w:rFonts w:ascii="Times New Roman" w:hAnsi="Times New Roman" w:cs="Times New Roman"/>
          <w:i/>
          <w:sz w:val="24"/>
          <w:szCs w:val="20"/>
        </w:rPr>
        <w:t>Vatsouras</w:t>
      </w:r>
      <w:proofErr w:type="spellEnd"/>
      <w:r w:rsidRPr="00A22656">
        <w:rPr>
          <w:rFonts w:ascii="Times New Roman" w:hAnsi="Times New Roman" w:cs="Times New Roman"/>
          <w:sz w:val="24"/>
          <w:szCs w:val="20"/>
        </w:rPr>
        <w:t xml:space="preserve"> accordingly provide </w:t>
      </w:r>
      <w:r w:rsidR="00D72B0C" w:rsidRPr="00A22656">
        <w:rPr>
          <w:rFonts w:ascii="Times New Roman" w:hAnsi="Times New Roman" w:cs="Times New Roman"/>
          <w:sz w:val="24"/>
          <w:szCs w:val="20"/>
        </w:rPr>
        <w:t>critical insights into the legality of key aspects of t</w:t>
      </w:r>
      <w:r w:rsidR="00C35EF1" w:rsidRPr="00A22656">
        <w:rPr>
          <w:rFonts w:ascii="Times New Roman" w:hAnsi="Times New Roman" w:cs="Times New Roman"/>
          <w:sz w:val="24"/>
          <w:szCs w:val="20"/>
        </w:rPr>
        <w:t>he safeguard mechanism. H</w:t>
      </w:r>
      <w:r w:rsidR="00D72B0C" w:rsidRPr="00A22656">
        <w:rPr>
          <w:rFonts w:ascii="Times New Roman" w:hAnsi="Times New Roman" w:cs="Times New Roman"/>
          <w:sz w:val="24"/>
          <w:szCs w:val="20"/>
        </w:rPr>
        <w:t xml:space="preserve">ad the safeguard been applied exclusively to non-national Union workers, </w:t>
      </w:r>
      <w:proofErr w:type="spellStart"/>
      <w:r w:rsidR="00132ABD" w:rsidRPr="00A22656">
        <w:rPr>
          <w:rFonts w:ascii="Times New Roman" w:hAnsi="Times New Roman" w:cs="Times New Roman"/>
          <w:i/>
          <w:sz w:val="24"/>
          <w:szCs w:val="20"/>
        </w:rPr>
        <w:t>Vatsouras</w:t>
      </w:r>
      <w:proofErr w:type="spellEnd"/>
      <w:r w:rsidR="00132ABD" w:rsidRPr="00A22656">
        <w:rPr>
          <w:rFonts w:ascii="Times New Roman" w:hAnsi="Times New Roman" w:cs="Times New Roman"/>
          <w:i/>
          <w:sz w:val="24"/>
          <w:szCs w:val="20"/>
        </w:rPr>
        <w:t xml:space="preserve"> </w:t>
      </w:r>
      <w:r w:rsidR="00132ABD" w:rsidRPr="00A22656">
        <w:rPr>
          <w:rFonts w:ascii="Times New Roman" w:hAnsi="Times New Roman" w:cs="Times New Roman"/>
          <w:sz w:val="24"/>
          <w:szCs w:val="20"/>
        </w:rPr>
        <w:t>already offers limited</w:t>
      </w:r>
      <w:r w:rsidR="00D72B0C" w:rsidRPr="00A22656">
        <w:rPr>
          <w:rFonts w:ascii="Times New Roman" w:hAnsi="Times New Roman" w:cs="Times New Roman"/>
          <w:sz w:val="24"/>
          <w:szCs w:val="20"/>
        </w:rPr>
        <w:t xml:space="preserve"> precedent for permitted dir</w:t>
      </w:r>
      <w:r w:rsidR="00132ABD" w:rsidRPr="00A22656">
        <w:rPr>
          <w:rFonts w:ascii="Times New Roman" w:hAnsi="Times New Roman" w:cs="Times New Roman"/>
          <w:sz w:val="24"/>
          <w:szCs w:val="20"/>
        </w:rPr>
        <w:t>ect discrimination against</w:t>
      </w:r>
      <w:r w:rsidR="00D72B0C" w:rsidRPr="00A22656">
        <w:rPr>
          <w:rFonts w:ascii="Times New Roman" w:hAnsi="Times New Roman" w:cs="Times New Roman"/>
          <w:sz w:val="24"/>
          <w:szCs w:val="20"/>
        </w:rPr>
        <w:t xml:space="preserve"> Union citizens</w:t>
      </w:r>
      <w:r w:rsidR="00CB4616" w:rsidRPr="00A22656">
        <w:rPr>
          <w:rFonts w:ascii="Times New Roman" w:hAnsi="Times New Roman" w:cs="Times New Roman"/>
          <w:sz w:val="24"/>
          <w:szCs w:val="20"/>
        </w:rPr>
        <w:t xml:space="preserve"> covered by</w:t>
      </w:r>
      <w:r w:rsidR="00D72B0C" w:rsidRPr="00A22656">
        <w:rPr>
          <w:rFonts w:ascii="Times New Roman" w:hAnsi="Times New Roman" w:cs="Times New Roman"/>
          <w:sz w:val="24"/>
          <w:szCs w:val="20"/>
        </w:rPr>
        <w:t xml:space="preserve"> Articles 45 and 18 TFEU,</w:t>
      </w:r>
      <w:r w:rsidR="00132ABD" w:rsidRPr="00A22656">
        <w:rPr>
          <w:rFonts w:ascii="Times New Roman" w:hAnsi="Times New Roman" w:cs="Times New Roman"/>
          <w:sz w:val="24"/>
          <w:szCs w:val="20"/>
        </w:rPr>
        <w:t xml:space="preserve"> via secondary legislation, and without, as yet, much in the way of justificatory requirements.</w:t>
      </w:r>
      <w:r w:rsidR="00D72B0C" w:rsidRPr="00A22656">
        <w:rPr>
          <w:rFonts w:ascii="Times New Roman" w:hAnsi="Times New Roman" w:cs="Times New Roman"/>
          <w:sz w:val="24"/>
          <w:szCs w:val="20"/>
        </w:rPr>
        <w:t xml:space="preserve"> </w:t>
      </w:r>
      <w:r w:rsidR="00955192" w:rsidRPr="00A22656">
        <w:rPr>
          <w:rFonts w:ascii="Times New Roman" w:hAnsi="Times New Roman" w:cs="Times New Roman"/>
          <w:i/>
          <w:sz w:val="24"/>
          <w:szCs w:val="20"/>
        </w:rPr>
        <w:t>Collins</w:t>
      </w:r>
      <w:r w:rsidR="00955192" w:rsidRPr="00A22656">
        <w:rPr>
          <w:rFonts w:ascii="Times New Roman" w:hAnsi="Times New Roman" w:cs="Times New Roman"/>
          <w:sz w:val="24"/>
          <w:szCs w:val="20"/>
        </w:rPr>
        <w:t xml:space="preserve"> and </w:t>
      </w:r>
      <w:proofErr w:type="spellStart"/>
      <w:r w:rsidR="00955192" w:rsidRPr="00A22656">
        <w:rPr>
          <w:rFonts w:ascii="Times New Roman" w:hAnsi="Times New Roman" w:cs="Times New Roman"/>
          <w:i/>
          <w:sz w:val="24"/>
          <w:szCs w:val="20"/>
        </w:rPr>
        <w:t>Vatsouras</w:t>
      </w:r>
      <w:proofErr w:type="spellEnd"/>
      <w:r w:rsidR="00955192" w:rsidRPr="00A22656">
        <w:rPr>
          <w:rFonts w:ascii="Times New Roman" w:hAnsi="Times New Roman" w:cs="Times New Roman"/>
          <w:sz w:val="24"/>
          <w:szCs w:val="20"/>
        </w:rPr>
        <w:t>, also provide stronger authority for host States to discriminate indirectl</w:t>
      </w:r>
      <w:r w:rsidR="00CB4616" w:rsidRPr="00A22656">
        <w:rPr>
          <w:rFonts w:ascii="Times New Roman" w:hAnsi="Times New Roman" w:cs="Times New Roman"/>
          <w:sz w:val="24"/>
          <w:szCs w:val="20"/>
        </w:rPr>
        <w:t>y against individuals included within</w:t>
      </w:r>
      <w:r w:rsidR="00955192" w:rsidRPr="00A22656">
        <w:rPr>
          <w:rFonts w:ascii="Times New Roman" w:hAnsi="Times New Roman" w:cs="Times New Roman"/>
          <w:sz w:val="24"/>
          <w:szCs w:val="20"/>
        </w:rPr>
        <w:t xml:space="preserve"> Articles 45 and 18 TFEU, in order to ensure a ‘real link’ between the applicant and the host State employment market</w:t>
      </w:r>
      <w:r w:rsidR="000E2B84" w:rsidRPr="00A22656">
        <w:rPr>
          <w:rFonts w:ascii="Times New Roman" w:hAnsi="Times New Roman" w:cs="Times New Roman"/>
          <w:sz w:val="24"/>
          <w:szCs w:val="20"/>
        </w:rPr>
        <w:t xml:space="preserve"> and protect the public purse</w:t>
      </w:r>
      <w:r w:rsidR="00955192" w:rsidRPr="00A22656">
        <w:rPr>
          <w:rFonts w:ascii="Times New Roman" w:hAnsi="Times New Roman" w:cs="Times New Roman"/>
          <w:sz w:val="24"/>
          <w:szCs w:val="20"/>
        </w:rPr>
        <w:t xml:space="preserve">. </w:t>
      </w:r>
      <w:r w:rsidR="000E2B84" w:rsidRPr="00A22656">
        <w:rPr>
          <w:rFonts w:ascii="Times New Roman" w:hAnsi="Times New Roman" w:cs="Times New Roman"/>
          <w:sz w:val="24"/>
          <w:szCs w:val="20"/>
        </w:rPr>
        <w:t xml:space="preserve">Indeed, the application of a ‘real link’ test to workers – rather than </w:t>
      </w:r>
      <w:proofErr w:type="spellStart"/>
      <w:r w:rsidR="000E2B84" w:rsidRPr="00A22656">
        <w:rPr>
          <w:rFonts w:ascii="Times New Roman" w:hAnsi="Times New Roman" w:cs="Times New Roman"/>
          <w:sz w:val="24"/>
          <w:szCs w:val="20"/>
        </w:rPr>
        <w:t>workseekers</w:t>
      </w:r>
      <w:proofErr w:type="spellEnd"/>
      <w:r w:rsidR="000E2B84" w:rsidRPr="00A22656">
        <w:rPr>
          <w:rFonts w:ascii="Times New Roman" w:hAnsi="Times New Roman" w:cs="Times New Roman"/>
          <w:sz w:val="24"/>
          <w:szCs w:val="20"/>
        </w:rPr>
        <w:t xml:space="preserve"> - has already been permitted by the CJEU in </w:t>
      </w:r>
      <w:proofErr w:type="spellStart"/>
      <w:r w:rsidR="000E2B84" w:rsidRPr="00A22656">
        <w:rPr>
          <w:rFonts w:ascii="Times New Roman" w:hAnsi="Times New Roman" w:cs="Times New Roman"/>
          <w:i/>
          <w:sz w:val="24"/>
          <w:szCs w:val="20"/>
        </w:rPr>
        <w:t>Geven</w:t>
      </w:r>
      <w:proofErr w:type="spellEnd"/>
      <w:r w:rsidR="000E2B84" w:rsidRPr="00A22656">
        <w:rPr>
          <w:rFonts w:ascii="Times New Roman" w:hAnsi="Times New Roman" w:cs="Times New Roman"/>
          <w:i/>
          <w:sz w:val="24"/>
          <w:szCs w:val="20"/>
        </w:rPr>
        <w:t xml:space="preserve"> </w:t>
      </w:r>
      <w:r w:rsidR="000E2B84" w:rsidRPr="00A22656">
        <w:rPr>
          <w:rFonts w:ascii="Times New Roman" w:hAnsi="Times New Roman" w:cs="Times New Roman"/>
          <w:sz w:val="24"/>
          <w:szCs w:val="20"/>
        </w:rPr>
        <w:t xml:space="preserve">and </w:t>
      </w:r>
      <w:r w:rsidR="000E2B84" w:rsidRPr="00A22656">
        <w:rPr>
          <w:rFonts w:ascii="Times New Roman" w:hAnsi="Times New Roman" w:cs="Times New Roman"/>
          <w:i/>
          <w:sz w:val="24"/>
          <w:szCs w:val="20"/>
        </w:rPr>
        <w:t>Hartmann</w:t>
      </w:r>
      <w:r w:rsidR="000E2B84" w:rsidRPr="00A22656">
        <w:rPr>
          <w:rFonts w:ascii="Times New Roman" w:hAnsi="Times New Roman" w:cs="Times New Roman"/>
          <w:sz w:val="24"/>
          <w:szCs w:val="20"/>
        </w:rPr>
        <w:t>.</w:t>
      </w:r>
      <w:r w:rsidR="000E2B84" w:rsidRPr="00A22656">
        <w:rPr>
          <w:rStyle w:val="FootnoteReference"/>
          <w:rFonts w:ascii="Times New Roman" w:hAnsi="Times New Roman" w:cs="Times New Roman"/>
          <w:sz w:val="24"/>
          <w:szCs w:val="20"/>
        </w:rPr>
        <w:footnoteReference w:id="84"/>
      </w:r>
      <w:r w:rsidR="00F95981" w:rsidRPr="00A22656">
        <w:rPr>
          <w:rFonts w:ascii="Times New Roman" w:hAnsi="Times New Roman" w:cs="Times New Roman"/>
          <w:sz w:val="24"/>
          <w:szCs w:val="20"/>
        </w:rPr>
        <w:t xml:space="preserve"> Thus, </w:t>
      </w:r>
      <w:r w:rsidR="00DD40C5" w:rsidRPr="00A22656">
        <w:rPr>
          <w:rFonts w:ascii="Times New Roman" w:hAnsi="Times New Roman" w:cs="Times New Roman"/>
          <w:sz w:val="24"/>
          <w:szCs w:val="20"/>
        </w:rPr>
        <w:t>a</w:t>
      </w:r>
      <w:r w:rsidR="00F95981" w:rsidRPr="00A22656">
        <w:rPr>
          <w:rFonts w:ascii="Times New Roman" w:hAnsi="Times New Roman" w:cs="Times New Roman"/>
          <w:sz w:val="24"/>
          <w:szCs w:val="20"/>
        </w:rPr>
        <w:t xml:space="preserve"> safeguard mechanism</w:t>
      </w:r>
      <w:r w:rsidR="00DD40C5" w:rsidRPr="00A22656">
        <w:rPr>
          <w:rFonts w:ascii="Times New Roman" w:hAnsi="Times New Roman" w:cs="Times New Roman"/>
          <w:sz w:val="24"/>
          <w:szCs w:val="20"/>
        </w:rPr>
        <w:t xml:space="preserve"> requiring</w:t>
      </w:r>
      <w:r w:rsidR="00F95981" w:rsidRPr="00A22656">
        <w:rPr>
          <w:rFonts w:ascii="Times New Roman" w:hAnsi="Times New Roman" w:cs="Times New Roman"/>
          <w:sz w:val="24"/>
          <w:szCs w:val="20"/>
        </w:rPr>
        <w:t xml:space="preserve"> all applicants for in-work benefits – whether nationals or (other) EU citizens</w:t>
      </w:r>
      <w:r w:rsidR="00123532" w:rsidRPr="00A22656">
        <w:rPr>
          <w:rFonts w:ascii="Times New Roman" w:hAnsi="Times New Roman" w:cs="Times New Roman"/>
          <w:sz w:val="24"/>
          <w:szCs w:val="20"/>
        </w:rPr>
        <w:t xml:space="preserve"> – to demonstrate a real link to the employment market</w:t>
      </w:r>
      <w:r w:rsidR="00DD40C5" w:rsidRPr="00A22656">
        <w:rPr>
          <w:rFonts w:ascii="Times New Roman" w:hAnsi="Times New Roman" w:cs="Times New Roman"/>
          <w:sz w:val="24"/>
          <w:szCs w:val="20"/>
        </w:rPr>
        <w:t xml:space="preserve"> could have relied on existing case-law for its justification.</w:t>
      </w:r>
      <w:r w:rsidR="00F95981" w:rsidRPr="00A22656">
        <w:rPr>
          <w:rFonts w:ascii="Times New Roman" w:hAnsi="Times New Roman" w:cs="Times New Roman"/>
          <w:sz w:val="24"/>
          <w:szCs w:val="20"/>
        </w:rPr>
        <w:t xml:space="preserve"> </w:t>
      </w:r>
    </w:p>
    <w:p w:rsidR="00123532" w:rsidRPr="00A22656" w:rsidRDefault="00123532" w:rsidP="005F768F">
      <w:pPr>
        <w:pStyle w:val="NoSpacing"/>
        <w:spacing w:line="360" w:lineRule="auto"/>
        <w:jc w:val="both"/>
        <w:rPr>
          <w:rFonts w:ascii="Times New Roman" w:hAnsi="Times New Roman" w:cs="Times New Roman"/>
          <w:sz w:val="24"/>
          <w:szCs w:val="20"/>
        </w:rPr>
      </w:pPr>
    </w:p>
    <w:p w:rsidR="00D72B0C" w:rsidRPr="00A22656" w:rsidRDefault="00F95981"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The only notable difference between those judgments and the safeguard would be whe</w:t>
      </w:r>
      <w:r w:rsidR="00CB4616" w:rsidRPr="00A22656">
        <w:rPr>
          <w:rFonts w:ascii="Times New Roman" w:hAnsi="Times New Roman" w:cs="Times New Roman"/>
          <w:sz w:val="24"/>
          <w:szCs w:val="20"/>
        </w:rPr>
        <w:t>ther the manner of assessing</w:t>
      </w:r>
      <w:r w:rsidRPr="00A22656">
        <w:rPr>
          <w:rFonts w:ascii="Times New Roman" w:hAnsi="Times New Roman" w:cs="Times New Roman"/>
          <w:sz w:val="24"/>
          <w:szCs w:val="20"/>
        </w:rPr>
        <w:t xml:space="preserve"> a ‘real link’ was truly indirectly discriminatory. The</w:t>
      </w:r>
      <w:r w:rsidR="00F35621" w:rsidRPr="00A22656">
        <w:rPr>
          <w:rFonts w:ascii="Times New Roman" w:hAnsi="Times New Roman" w:cs="Times New Roman"/>
          <w:sz w:val="24"/>
          <w:szCs w:val="20"/>
        </w:rPr>
        <w:t xml:space="preserve"> residence requirements in </w:t>
      </w:r>
      <w:r w:rsidR="00F35621" w:rsidRPr="00A22656">
        <w:rPr>
          <w:rFonts w:ascii="Times New Roman" w:hAnsi="Times New Roman" w:cs="Times New Roman"/>
          <w:i/>
          <w:sz w:val="24"/>
          <w:szCs w:val="20"/>
        </w:rPr>
        <w:t xml:space="preserve">Collins, </w:t>
      </w:r>
      <w:proofErr w:type="spellStart"/>
      <w:r w:rsidR="00F35621" w:rsidRPr="00A22656">
        <w:rPr>
          <w:rFonts w:ascii="Times New Roman" w:hAnsi="Times New Roman" w:cs="Times New Roman"/>
          <w:i/>
          <w:sz w:val="24"/>
          <w:szCs w:val="20"/>
        </w:rPr>
        <w:t>Geven</w:t>
      </w:r>
      <w:proofErr w:type="spellEnd"/>
      <w:r w:rsidR="00F35621" w:rsidRPr="00A22656">
        <w:rPr>
          <w:rFonts w:ascii="Times New Roman" w:hAnsi="Times New Roman" w:cs="Times New Roman"/>
          <w:i/>
          <w:sz w:val="24"/>
          <w:szCs w:val="20"/>
        </w:rPr>
        <w:t xml:space="preserve"> </w:t>
      </w:r>
      <w:r w:rsidR="00F35621" w:rsidRPr="00A22656">
        <w:rPr>
          <w:rFonts w:ascii="Times New Roman" w:hAnsi="Times New Roman" w:cs="Times New Roman"/>
          <w:sz w:val="24"/>
          <w:szCs w:val="20"/>
        </w:rPr>
        <w:t xml:space="preserve">and </w:t>
      </w:r>
      <w:r w:rsidR="00F35621" w:rsidRPr="00A22656">
        <w:rPr>
          <w:rFonts w:ascii="Times New Roman" w:hAnsi="Times New Roman" w:cs="Times New Roman"/>
          <w:i/>
          <w:sz w:val="24"/>
          <w:szCs w:val="20"/>
        </w:rPr>
        <w:t>Hartmann</w:t>
      </w:r>
      <w:r w:rsidR="00F35621" w:rsidRPr="00A22656">
        <w:rPr>
          <w:rFonts w:ascii="Times New Roman" w:hAnsi="Times New Roman" w:cs="Times New Roman"/>
          <w:sz w:val="24"/>
          <w:szCs w:val="20"/>
        </w:rPr>
        <w:t xml:space="preserve"> were applied to </w:t>
      </w:r>
      <w:r w:rsidRPr="00A22656">
        <w:rPr>
          <w:rFonts w:ascii="Times New Roman" w:hAnsi="Times New Roman" w:cs="Times New Roman"/>
          <w:sz w:val="24"/>
          <w:szCs w:val="20"/>
        </w:rPr>
        <w:t>both national and non-national EU citizens, with it simply being inherently easier for the former to meet that</w:t>
      </w:r>
      <w:r w:rsidR="00F35621" w:rsidRPr="00A22656">
        <w:rPr>
          <w:rFonts w:ascii="Times New Roman" w:hAnsi="Times New Roman" w:cs="Times New Roman"/>
          <w:sz w:val="24"/>
          <w:szCs w:val="20"/>
        </w:rPr>
        <w:t xml:space="preserve"> condition</w:t>
      </w:r>
      <w:r w:rsidRPr="00A22656">
        <w:rPr>
          <w:rFonts w:ascii="Times New Roman" w:hAnsi="Times New Roman" w:cs="Times New Roman"/>
          <w:sz w:val="24"/>
          <w:szCs w:val="20"/>
        </w:rPr>
        <w:t xml:space="preserve">. By contrast, presumably, under the safeguard mechanism, national workers would be able to demonstrate a ‘real link’ to the host State job market by virtue of employment and residence, </w:t>
      </w:r>
      <w:r w:rsidRPr="00A22656">
        <w:rPr>
          <w:rFonts w:ascii="Times New Roman" w:hAnsi="Times New Roman" w:cs="Times New Roman"/>
          <w:sz w:val="24"/>
          <w:szCs w:val="20"/>
        </w:rPr>
        <w:lastRenderedPageBreak/>
        <w:t>while non-national EU workers would be required to demonstrate something more; a growing connection over time.</w:t>
      </w:r>
      <w:r w:rsidR="007A433B" w:rsidRPr="00A22656">
        <w:rPr>
          <w:rFonts w:ascii="Times New Roman" w:hAnsi="Times New Roman" w:cs="Times New Roman"/>
          <w:sz w:val="24"/>
          <w:szCs w:val="20"/>
        </w:rPr>
        <w:t xml:space="preserve"> </w:t>
      </w:r>
      <w:r w:rsidR="00F35621" w:rsidRPr="00A22656">
        <w:rPr>
          <w:rFonts w:ascii="Times New Roman" w:hAnsi="Times New Roman" w:cs="Times New Roman"/>
          <w:sz w:val="24"/>
          <w:szCs w:val="20"/>
        </w:rPr>
        <w:t>However, t</w:t>
      </w:r>
      <w:r w:rsidR="00CB4616" w:rsidRPr="00A22656">
        <w:rPr>
          <w:rFonts w:ascii="Times New Roman" w:hAnsi="Times New Roman" w:cs="Times New Roman"/>
          <w:sz w:val="24"/>
          <w:szCs w:val="20"/>
        </w:rPr>
        <w:t>hrough the link</w:t>
      </w:r>
      <w:r w:rsidRPr="00A22656">
        <w:rPr>
          <w:rFonts w:ascii="Times New Roman" w:hAnsi="Times New Roman" w:cs="Times New Roman"/>
          <w:sz w:val="24"/>
          <w:szCs w:val="20"/>
        </w:rPr>
        <w:t xml:space="preserve">s between </w:t>
      </w:r>
      <w:r w:rsidR="007A433B" w:rsidRPr="00A22656">
        <w:rPr>
          <w:rFonts w:ascii="Times New Roman" w:hAnsi="Times New Roman" w:cs="Times New Roman"/>
          <w:sz w:val="24"/>
          <w:szCs w:val="20"/>
        </w:rPr>
        <w:t xml:space="preserve">the internal </w:t>
      </w:r>
      <w:r w:rsidR="00123532" w:rsidRPr="00A22656">
        <w:rPr>
          <w:rFonts w:ascii="Times New Roman" w:hAnsi="Times New Roman" w:cs="Times New Roman"/>
          <w:sz w:val="24"/>
          <w:szCs w:val="20"/>
        </w:rPr>
        <w:t>market and citizenship case-law</w:t>
      </w:r>
      <w:r w:rsidR="00CB4616" w:rsidRPr="00A22656">
        <w:rPr>
          <w:rFonts w:ascii="Times New Roman" w:hAnsi="Times New Roman" w:cs="Times New Roman"/>
          <w:sz w:val="24"/>
          <w:szCs w:val="20"/>
        </w:rPr>
        <w:t xml:space="preserve"> forged in</w:t>
      </w:r>
      <w:r w:rsidR="007A433B" w:rsidRPr="00A22656">
        <w:rPr>
          <w:rFonts w:ascii="Times New Roman" w:hAnsi="Times New Roman" w:cs="Times New Roman"/>
          <w:sz w:val="24"/>
          <w:szCs w:val="20"/>
        </w:rPr>
        <w:t xml:space="preserve"> cases like </w:t>
      </w:r>
      <w:r w:rsidR="007A433B" w:rsidRPr="00A22656">
        <w:rPr>
          <w:rFonts w:ascii="Times New Roman" w:hAnsi="Times New Roman" w:cs="Times New Roman"/>
          <w:i/>
          <w:sz w:val="24"/>
          <w:szCs w:val="20"/>
        </w:rPr>
        <w:t>Collins</w:t>
      </w:r>
      <w:r w:rsidR="007A433B" w:rsidRPr="00A22656">
        <w:rPr>
          <w:rFonts w:ascii="Times New Roman" w:hAnsi="Times New Roman" w:cs="Times New Roman"/>
          <w:sz w:val="24"/>
          <w:szCs w:val="20"/>
        </w:rPr>
        <w:t xml:space="preserve"> and </w:t>
      </w:r>
      <w:proofErr w:type="spellStart"/>
      <w:r w:rsidR="007A433B" w:rsidRPr="00A22656">
        <w:rPr>
          <w:rFonts w:ascii="Times New Roman" w:hAnsi="Times New Roman" w:cs="Times New Roman"/>
          <w:i/>
          <w:sz w:val="24"/>
          <w:szCs w:val="20"/>
        </w:rPr>
        <w:t>Vatsouras</w:t>
      </w:r>
      <w:proofErr w:type="spellEnd"/>
      <w:r w:rsidR="007A433B" w:rsidRPr="00A22656">
        <w:rPr>
          <w:rFonts w:ascii="Times New Roman" w:hAnsi="Times New Roman" w:cs="Times New Roman"/>
          <w:sz w:val="24"/>
          <w:szCs w:val="20"/>
        </w:rPr>
        <w:t>,</w:t>
      </w:r>
      <w:r w:rsidR="00123532" w:rsidRPr="00A22656">
        <w:rPr>
          <w:rFonts w:ascii="Times New Roman" w:hAnsi="Times New Roman" w:cs="Times New Roman"/>
          <w:sz w:val="24"/>
          <w:szCs w:val="20"/>
        </w:rPr>
        <w:t xml:space="preserve"> </w:t>
      </w:r>
      <w:r w:rsidR="00123532" w:rsidRPr="00A22656">
        <w:rPr>
          <w:rFonts w:ascii="Times New Roman" w:hAnsi="Times New Roman" w:cs="Times New Roman"/>
          <w:i/>
          <w:sz w:val="24"/>
          <w:szCs w:val="20"/>
        </w:rPr>
        <w:t xml:space="preserve">Commission v UK </w:t>
      </w:r>
      <w:r w:rsidR="00123532" w:rsidRPr="00A22656">
        <w:rPr>
          <w:rFonts w:ascii="Times New Roman" w:hAnsi="Times New Roman" w:cs="Times New Roman"/>
          <w:sz w:val="24"/>
          <w:szCs w:val="20"/>
        </w:rPr>
        <w:t>could be used as au</w:t>
      </w:r>
      <w:r w:rsidR="00F35621" w:rsidRPr="00A22656">
        <w:rPr>
          <w:rFonts w:ascii="Times New Roman" w:hAnsi="Times New Roman" w:cs="Times New Roman"/>
          <w:sz w:val="24"/>
          <w:szCs w:val="20"/>
        </w:rPr>
        <w:t xml:space="preserve">thority to find that </w:t>
      </w:r>
      <w:r w:rsidR="00123532" w:rsidRPr="00A22656">
        <w:rPr>
          <w:rFonts w:ascii="Times New Roman" w:hAnsi="Times New Roman" w:cs="Times New Roman"/>
          <w:sz w:val="24"/>
          <w:szCs w:val="20"/>
        </w:rPr>
        <w:t>sub-requirements</w:t>
      </w:r>
      <w:r w:rsidR="00F35621" w:rsidRPr="00A22656">
        <w:rPr>
          <w:rFonts w:ascii="Times New Roman" w:hAnsi="Times New Roman" w:cs="Times New Roman"/>
          <w:sz w:val="24"/>
          <w:szCs w:val="20"/>
        </w:rPr>
        <w:t xml:space="preserve">, additional to </w:t>
      </w:r>
      <w:r w:rsidR="00123532" w:rsidRPr="00A22656">
        <w:rPr>
          <w:rFonts w:ascii="Times New Roman" w:hAnsi="Times New Roman" w:cs="Times New Roman"/>
          <w:sz w:val="24"/>
          <w:szCs w:val="20"/>
        </w:rPr>
        <w:t>the ‘real link’ test, imposed solely on EU nationals, are noneth</w:t>
      </w:r>
      <w:r w:rsidR="00F35621" w:rsidRPr="00A22656">
        <w:rPr>
          <w:rFonts w:ascii="Times New Roman" w:hAnsi="Times New Roman" w:cs="Times New Roman"/>
          <w:sz w:val="24"/>
          <w:szCs w:val="20"/>
        </w:rPr>
        <w:t>eless indirectly discriminatory.</w:t>
      </w:r>
      <w:r w:rsidR="007A433B" w:rsidRPr="00A22656">
        <w:rPr>
          <w:rFonts w:ascii="Times New Roman" w:hAnsi="Times New Roman" w:cs="Times New Roman"/>
          <w:sz w:val="24"/>
          <w:szCs w:val="20"/>
        </w:rPr>
        <w:t xml:space="preserve"> </w:t>
      </w:r>
      <w:r w:rsidRPr="00A22656">
        <w:rPr>
          <w:rFonts w:ascii="Times New Roman" w:hAnsi="Times New Roman" w:cs="Times New Roman"/>
          <w:sz w:val="24"/>
          <w:szCs w:val="20"/>
        </w:rPr>
        <w:t xml:space="preserve">    </w:t>
      </w:r>
      <w:r w:rsidR="000E2B84" w:rsidRPr="00A22656">
        <w:rPr>
          <w:rFonts w:ascii="Times New Roman" w:hAnsi="Times New Roman" w:cs="Times New Roman"/>
          <w:sz w:val="24"/>
          <w:szCs w:val="20"/>
        </w:rPr>
        <w:t xml:space="preserve">  </w:t>
      </w:r>
    </w:p>
    <w:p w:rsidR="00D72B0C" w:rsidRPr="00A22656" w:rsidRDefault="00D72B0C" w:rsidP="005F768F">
      <w:pPr>
        <w:pStyle w:val="NoSpacing"/>
        <w:spacing w:line="360" w:lineRule="auto"/>
        <w:jc w:val="both"/>
        <w:rPr>
          <w:rFonts w:ascii="Times New Roman" w:hAnsi="Times New Roman" w:cs="Times New Roman"/>
          <w:sz w:val="24"/>
          <w:szCs w:val="20"/>
        </w:rPr>
      </w:pPr>
    </w:p>
    <w:p w:rsidR="00427BA2" w:rsidRPr="00A22656" w:rsidRDefault="007A720E"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 xml:space="preserve">Ultimately, then, despite the mixed picture painted by the Court’s jurisprudence, its most recent case-law on Union citizenship indicates that it would have accepted the safeguard mechanism as legal. </w:t>
      </w:r>
      <w:r w:rsidR="00427BA2" w:rsidRPr="00A22656">
        <w:rPr>
          <w:rFonts w:ascii="Times New Roman" w:hAnsi="Times New Roman" w:cs="Times New Roman"/>
          <w:sz w:val="24"/>
          <w:szCs w:val="20"/>
        </w:rPr>
        <w:t xml:space="preserve">While the safeguard mechanism </w:t>
      </w:r>
      <w:r w:rsidR="00816108" w:rsidRPr="00A22656">
        <w:rPr>
          <w:rFonts w:ascii="Times New Roman" w:hAnsi="Times New Roman" w:cs="Times New Roman"/>
          <w:sz w:val="24"/>
          <w:szCs w:val="20"/>
        </w:rPr>
        <w:t xml:space="preserve">would </w:t>
      </w:r>
      <w:r w:rsidR="00427BA2" w:rsidRPr="00A22656">
        <w:rPr>
          <w:rFonts w:ascii="Times New Roman" w:hAnsi="Times New Roman" w:cs="Times New Roman"/>
          <w:sz w:val="24"/>
          <w:szCs w:val="20"/>
        </w:rPr>
        <w:t>clearly</w:t>
      </w:r>
      <w:r w:rsidR="00816108" w:rsidRPr="00A22656">
        <w:rPr>
          <w:rFonts w:ascii="Times New Roman" w:hAnsi="Times New Roman" w:cs="Times New Roman"/>
          <w:sz w:val="24"/>
          <w:szCs w:val="20"/>
        </w:rPr>
        <w:t xml:space="preserve"> have gone </w:t>
      </w:r>
      <w:r w:rsidR="00427BA2" w:rsidRPr="00A22656">
        <w:rPr>
          <w:rFonts w:ascii="Times New Roman" w:hAnsi="Times New Roman" w:cs="Times New Roman"/>
          <w:sz w:val="24"/>
          <w:szCs w:val="20"/>
        </w:rPr>
        <w:t xml:space="preserve">further than the restrictions on free movement operating in the context of Union citizenship – since it imposes barriers to the movement of EU </w:t>
      </w:r>
      <w:r w:rsidR="00427BA2" w:rsidRPr="00A22656">
        <w:rPr>
          <w:rFonts w:ascii="Times New Roman" w:hAnsi="Times New Roman" w:cs="Times New Roman"/>
          <w:i/>
          <w:sz w:val="24"/>
          <w:szCs w:val="20"/>
        </w:rPr>
        <w:t>workers</w:t>
      </w:r>
      <w:r w:rsidR="00D90A51" w:rsidRPr="00A22656">
        <w:rPr>
          <w:rFonts w:ascii="Times New Roman" w:hAnsi="Times New Roman" w:cs="Times New Roman"/>
          <w:sz w:val="24"/>
          <w:szCs w:val="20"/>
        </w:rPr>
        <w:t xml:space="preserve"> – the</w:t>
      </w:r>
      <w:r w:rsidR="000E4DD4" w:rsidRPr="00A22656">
        <w:rPr>
          <w:rFonts w:ascii="Times New Roman" w:hAnsi="Times New Roman" w:cs="Times New Roman"/>
          <w:sz w:val="24"/>
          <w:szCs w:val="20"/>
        </w:rPr>
        <w:t xml:space="preserve"> detailed examination of</w:t>
      </w:r>
      <w:r w:rsidR="00427BA2" w:rsidRPr="00A22656">
        <w:rPr>
          <w:rFonts w:ascii="Times New Roman" w:hAnsi="Times New Roman" w:cs="Times New Roman"/>
          <w:sz w:val="24"/>
          <w:szCs w:val="20"/>
        </w:rPr>
        <w:t xml:space="preserve"> the case-law</w:t>
      </w:r>
      <w:r w:rsidR="00D90A51" w:rsidRPr="00A22656">
        <w:rPr>
          <w:rFonts w:ascii="Times New Roman" w:hAnsi="Times New Roman" w:cs="Times New Roman"/>
          <w:sz w:val="24"/>
          <w:szCs w:val="20"/>
        </w:rPr>
        <w:t xml:space="preserve"> conducted here</w:t>
      </w:r>
      <w:r w:rsidR="00427BA2" w:rsidRPr="00A22656">
        <w:rPr>
          <w:rFonts w:ascii="Times New Roman" w:hAnsi="Times New Roman" w:cs="Times New Roman"/>
          <w:sz w:val="24"/>
          <w:szCs w:val="20"/>
        </w:rPr>
        <w:t xml:space="preserve"> demonstrat</w:t>
      </w:r>
      <w:r w:rsidR="00F35621" w:rsidRPr="00A22656">
        <w:rPr>
          <w:rFonts w:ascii="Times New Roman" w:hAnsi="Times New Roman" w:cs="Times New Roman"/>
          <w:sz w:val="24"/>
          <w:szCs w:val="20"/>
        </w:rPr>
        <w:t xml:space="preserve">es that this does not </w:t>
      </w:r>
      <w:r w:rsidR="00427BA2" w:rsidRPr="00A22656">
        <w:rPr>
          <w:rFonts w:ascii="Times New Roman" w:hAnsi="Times New Roman" w:cs="Times New Roman"/>
          <w:sz w:val="24"/>
          <w:szCs w:val="20"/>
        </w:rPr>
        <w:t>cast doubt, on the influence and authority of that body of judgments on legal assessments of the safeguard.</w:t>
      </w:r>
      <w:r w:rsidR="00816108" w:rsidRPr="00A22656">
        <w:rPr>
          <w:rFonts w:ascii="Times New Roman" w:hAnsi="Times New Roman" w:cs="Times New Roman"/>
          <w:sz w:val="24"/>
          <w:szCs w:val="20"/>
        </w:rPr>
        <w:t xml:space="preserve"> In fact, what emerges from the above </w:t>
      </w:r>
      <w:r w:rsidR="00816108" w:rsidRPr="00A22656">
        <w:rPr>
          <w:rFonts w:ascii="Times New Roman" w:hAnsi="Times New Roman" w:cs="Times New Roman"/>
          <w:i/>
          <w:sz w:val="24"/>
          <w:szCs w:val="20"/>
        </w:rPr>
        <w:t>technical</w:t>
      </w:r>
      <w:r w:rsidR="00816108" w:rsidRPr="00A22656">
        <w:rPr>
          <w:rFonts w:ascii="Times New Roman" w:hAnsi="Times New Roman" w:cs="Times New Roman"/>
          <w:sz w:val="24"/>
          <w:szCs w:val="20"/>
        </w:rPr>
        <w:t xml:space="preserve"> assessment of </w:t>
      </w:r>
      <w:r w:rsidR="00F35621" w:rsidRPr="00A22656">
        <w:rPr>
          <w:rFonts w:ascii="Times New Roman" w:hAnsi="Times New Roman" w:cs="Times New Roman"/>
          <w:sz w:val="24"/>
          <w:szCs w:val="20"/>
        </w:rPr>
        <w:t>safeguard’s legality i</w:t>
      </w:r>
      <w:r w:rsidR="00816108" w:rsidRPr="00A22656">
        <w:rPr>
          <w:rFonts w:ascii="Times New Roman" w:hAnsi="Times New Roman" w:cs="Times New Roman"/>
          <w:sz w:val="24"/>
          <w:szCs w:val="20"/>
        </w:rPr>
        <w:t xml:space="preserve">s a more profound </w:t>
      </w:r>
      <w:r w:rsidR="00816108" w:rsidRPr="00A22656">
        <w:rPr>
          <w:rFonts w:ascii="Times New Roman" w:hAnsi="Times New Roman" w:cs="Times New Roman"/>
          <w:i/>
          <w:sz w:val="24"/>
          <w:szCs w:val="20"/>
        </w:rPr>
        <w:t xml:space="preserve">constitutional </w:t>
      </w:r>
      <w:r w:rsidR="00816108" w:rsidRPr="00A22656">
        <w:rPr>
          <w:rFonts w:ascii="Times New Roman" w:hAnsi="Times New Roman" w:cs="Times New Roman"/>
          <w:sz w:val="24"/>
          <w:szCs w:val="20"/>
        </w:rPr>
        <w:t>finding: that</w:t>
      </w:r>
      <w:r w:rsidR="00FD1D2F" w:rsidRPr="00A22656">
        <w:rPr>
          <w:rFonts w:ascii="Times New Roman" w:hAnsi="Times New Roman" w:cs="Times New Roman"/>
          <w:sz w:val="24"/>
          <w:szCs w:val="20"/>
        </w:rPr>
        <w:t>, while traditionally seeking to find means of securing greater rights for Union citizens,</w:t>
      </w:r>
      <w:r w:rsidR="00816108" w:rsidRPr="00A22656">
        <w:rPr>
          <w:rFonts w:ascii="Times New Roman" w:hAnsi="Times New Roman" w:cs="Times New Roman"/>
          <w:sz w:val="24"/>
          <w:szCs w:val="20"/>
        </w:rPr>
        <w:t xml:space="preserve"> </w:t>
      </w:r>
      <w:r w:rsidR="00FD1D2F" w:rsidRPr="00A22656">
        <w:rPr>
          <w:rFonts w:ascii="Times New Roman" w:hAnsi="Times New Roman" w:cs="Times New Roman"/>
          <w:sz w:val="24"/>
          <w:szCs w:val="20"/>
        </w:rPr>
        <w:t>ironically, the historical development of Union citizenship</w:t>
      </w:r>
      <w:r w:rsidR="0076094E" w:rsidRPr="00A22656">
        <w:rPr>
          <w:rFonts w:ascii="Times New Roman" w:hAnsi="Times New Roman" w:cs="Times New Roman"/>
          <w:sz w:val="24"/>
          <w:szCs w:val="20"/>
        </w:rPr>
        <w:t xml:space="preserve"> rights</w:t>
      </w:r>
      <w:r w:rsidR="00D90A51" w:rsidRPr="00A22656">
        <w:rPr>
          <w:rFonts w:ascii="Times New Roman" w:hAnsi="Times New Roman" w:cs="Times New Roman"/>
          <w:sz w:val="24"/>
          <w:szCs w:val="20"/>
        </w:rPr>
        <w:t xml:space="preserve"> – principally by the C</w:t>
      </w:r>
      <w:r w:rsidR="00ED470F" w:rsidRPr="00A22656">
        <w:rPr>
          <w:rFonts w:ascii="Times New Roman" w:hAnsi="Times New Roman" w:cs="Times New Roman"/>
          <w:sz w:val="24"/>
          <w:szCs w:val="20"/>
        </w:rPr>
        <w:t>JEU</w:t>
      </w:r>
      <w:r w:rsidR="00D90A51" w:rsidRPr="00A22656">
        <w:rPr>
          <w:rFonts w:ascii="Times New Roman" w:hAnsi="Times New Roman" w:cs="Times New Roman"/>
          <w:sz w:val="24"/>
          <w:szCs w:val="20"/>
        </w:rPr>
        <w:t xml:space="preserve"> -</w:t>
      </w:r>
      <w:r w:rsidR="0076094E" w:rsidRPr="00A22656">
        <w:rPr>
          <w:rFonts w:ascii="Times New Roman" w:hAnsi="Times New Roman" w:cs="Times New Roman"/>
          <w:sz w:val="24"/>
          <w:szCs w:val="20"/>
        </w:rPr>
        <w:t xml:space="preserve"> </w:t>
      </w:r>
      <w:r w:rsidR="000275B4" w:rsidRPr="00A22656">
        <w:rPr>
          <w:rFonts w:ascii="Times New Roman" w:hAnsi="Times New Roman" w:cs="Times New Roman"/>
          <w:sz w:val="24"/>
          <w:szCs w:val="20"/>
        </w:rPr>
        <w:t>furnishes the safeguard mechanism with its legal foundations.</w:t>
      </w:r>
      <w:r w:rsidR="00802ACC" w:rsidRPr="00A22656">
        <w:rPr>
          <w:rFonts w:ascii="Times New Roman" w:hAnsi="Times New Roman" w:cs="Times New Roman"/>
          <w:sz w:val="24"/>
          <w:szCs w:val="20"/>
        </w:rPr>
        <w:t xml:space="preserve">  </w:t>
      </w:r>
    </w:p>
    <w:p w:rsidR="00B07E45" w:rsidRPr="00A22656" w:rsidRDefault="007A720E"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 xml:space="preserve">  </w:t>
      </w:r>
    </w:p>
    <w:p w:rsidR="007A720E" w:rsidRPr="00A22656" w:rsidRDefault="00063622" w:rsidP="005F768F">
      <w:pPr>
        <w:pStyle w:val="NoSpacing"/>
        <w:numPr>
          <w:ilvl w:val="1"/>
          <w:numId w:val="2"/>
        </w:numPr>
        <w:spacing w:line="360" w:lineRule="auto"/>
        <w:jc w:val="both"/>
        <w:rPr>
          <w:rFonts w:ascii="Times New Roman" w:hAnsi="Times New Roman" w:cs="Times New Roman"/>
          <w:b/>
          <w:i/>
          <w:sz w:val="24"/>
          <w:szCs w:val="24"/>
        </w:rPr>
      </w:pPr>
      <w:r w:rsidRPr="00A22656">
        <w:rPr>
          <w:rFonts w:ascii="Times New Roman" w:hAnsi="Times New Roman" w:cs="Times New Roman"/>
          <w:b/>
          <w:i/>
          <w:sz w:val="24"/>
          <w:szCs w:val="24"/>
        </w:rPr>
        <w:t xml:space="preserve">The historical and constitutional </w:t>
      </w:r>
      <w:r w:rsidR="00524FDA" w:rsidRPr="00A22656">
        <w:rPr>
          <w:rFonts w:ascii="Times New Roman" w:hAnsi="Times New Roman" w:cs="Times New Roman"/>
          <w:b/>
          <w:i/>
          <w:sz w:val="24"/>
          <w:szCs w:val="24"/>
        </w:rPr>
        <w:t>roots of the safeguard</w:t>
      </w:r>
    </w:p>
    <w:p w:rsidR="007A720E" w:rsidRPr="00A22656" w:rsidRDefault="007A720E" w:rsidP="005F768F">
      <w:pPr>
        <w:pStyle w:val="NoSpacing"/>
        <w:spacing w:line="360" w:lineRule="auto"/>
        <w:jc w:val="both"/>
        <w:rPr>
          <w:rFonts w:ascii="Times New Roman" w:hAnsi="Times New Roman" w:cs="Times New Roman"/>
          <w:b/>
          <w:i/>
          <w:sz w:val="24"/>
          <w:szCs w:val="24"/>
        </w:rPr>
      </w:pPr>
    </w:p>
    <w:p w:rsidR="00186A64" w:rsidRPr="00A22656" w:rsidRDefault="00B34912"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While the internal market origins of Union citizenship are well-known,</w:t>
      </w:r>
      <w:r w:rsidR="00D36791" w:rsidRPr="00A22656">
        <w:rPr>
          <w:rStyle w:val="FootnoteReference"/>
          <w:rFonts w:ascii="Times New Roman" w:hAnsi="Times New Roman" w:cs="Times New Roman"/>
          <w:sz w:val="24"/>
          <w:szCs w:val="24"/>
        </w:rPr>
        <w:footnoteReference w:id="85"/>
      </w:r>
      <w:r w:rsidRPr="00A22656">
        <w:rPr>
          <w:rFonts w:ascii="Times New Roman" w:hAnsi="Times New Roman" w:cs="Times New Roman"/>
          <w:sz w:val="24"/>
          <w:szCs w:val="24"/>
        </w:rPr>
        <w:t xml:space="preserve"> these foundations are traditionally, and pertinently,</w:t>
      </w:r>
      <w:r w:rsidR="00745E00" w:rsidRPr="00A22656">
        <w:rPr>
          <w:rFonts w:ascii="Times New Roman" w:hAnsi="Times New Roman" w:cs="Times New Roman"/>
          <w:sz w:val="24"/>
          <w:szCs w:val="24"/>
        </w:rPr>
        <w:t xml:space="preserve"> used within the literature </w:t>
      </w:r>
      <w:r w:rsidRPr="00A22656">
        <w:rPr>
          <w:rFonts w:ascii="Times New Roman" w:hAnsi="Times New Roman" w:cs="Times New Roman"/>
          <w:sz w:val="24"/>
          <w:szCs w:val="24"/>
        </w:rPr>
        <w:t>to question the ability of EU citizenship to recognise the personhood of non-economically active Union citizens when it still vests, largely, in movement and economic activity.</w:t>
      </w:r>
      <w:bookmarkStart w:id="1" w:name="_Ref387408448"/>
      <w:r w:rsidRPr="00A22656">
        <w:rPr>
          <w:rStyle w:val="FootnoteReference"/>
          <w:rFonts w:ascii="Times New Roman" w:hAnsi="Times New Roman" w:cs="Times New Roman"/>
          <w:sz w:val="24"/>
        </w:rPr>
        <w:footnoteReference w:id="86"/>
      </w:r>
      <w:bookmarkEnd w:id="1"/>
      <w:r w:rsidR="00745E00" w:rsidRPr="00A22656">
        <w:rPr>
          <w:rFonts w:ascii="Times New Roman" w:hAnsi="Times New Roman" w:cs="Times New Roman"/>
          <w:sz w:val="24"/>
          <w:szCs w:val="24"/>
        </w:rPr>
        <w:t xml:space="preserve"> By contrast, </w:t>
      </w:r>
      <w:r w:rsidR="00485907" w:rsidRPr="00A22656">
        <w:rPr>
          <w:rFonts w:ascii="Times New Roman" w:hAnsi="Times New Roman" w:cs="Times New Roman"/>
          <w:sz w:val="24"/>
          <w:szCs w:val="24"/>
        </w:rPr>
        <w:t>analysis of the safeguard mechanism demonstrates the potentially</w:t>
      </w:r>
      <w:r w:rsidR="00745E00" w:rsidRPr="00A22656">
        <w:rPr>
          <w:rFonts w:ascii="Times New Roman" w:hAnsi="Times New Roman" w:cs="Times New Roman"/>
          <w:sz w:val="24"/>
          <w:szCs w:val="24"/>
        </w:rPr>
        <w:t xml:space="preserve"> restrictive influen</w:t>
      </w:r>
      <w:r w:rsidR="00A603E7" w:rsidRPr="00A22656">
        <w:rPr>
          <w:rFonts w:ascii="Times New Roman" w:hAnsi="Times New Roman" w:cs="Times New Roman"/>
          <w:sz w:val="24"/>
          <w:szCs w:val="24"/>
        </w:rPr>
        <w:t>ce of</w:t>
      </w:r>
      <w:r w:rsidR="006C7849" w:rsidRPr="00A22656">
        <w:rPr>
          <w:rFonts w:ascii="Times New Roman" w:hAnsi="Times New Roman" w:cs="Times New Roman"/>
          <w:sz w:val="24"/>
          <w:szCs w:val="24"/>
        </w:rPr>
        <w:t xml:space="preserve"> rules developed by the Court during its development of</w:t>
      </w:r>
      <w:r w:rsidR="00A603E7" w:rsidRPr="00A22656">
        <w:rPr>
          <w:rFonts w:ascii="Times New Roman" w:hAnsi="Times New Roman" w:cs="Times New Roman"/>
          <w:sz w:val="24"/>
          <w:szCs w:val="24"/>
        </w:rPr>
        <w:t xml:space="preserve"> Union citizenship</w:t>
      </w:r>
      <w:r w:rsidR="00745E00" w:rsidRPr="00A22656">
        <w:rPr>
          <w:rFonts w:ascii="Times New Roman" w:hAnsi="Times New Roman" w:cs="Times New Roman"/>
          <w:sz w:val="24"/>
          <w:szCs w:val="24"/>
        </w:rPr>
        <w:t xml:space="preserve"> on the more generous principles</w:t>
      </w:r>
      <w:r w:rsidR="006C7849" w:rsidRPr="00A22656">
        <w:rPr>
          <w:rFonts w:ascii="Times New Roman" w:hAnsi="Times New Roman" w:cs="Times New Roman"/>
          <w:sz w:val="24"/>
          <w:szCs w:val="24"/>
        </w:rPr>
        <w:t xml:space="preserve"> operating</w:t>
      </w:r>
      <w:r w:rsidR="00745E00" w:rsidRPr="00A22656">
        <w:rPr>
          <w:rFonts w:ascii="Times New Roman" w:hAnsi="Times New Roman" w:cs="Times New Roman"/>
          <w:sz w:val="24"/>
          <w:szCs w:val="24"/>
        </w:rPr>
        <w:t xml:space="preserve"> in the context of the internal market.</w:t>
      </w:r>
      <w:r w:rsidR="00A603E7" w:rsidRPr="00A22656">
        <w:rPr>
          <w:rFonts w:ascii="Times New Roman" w:hAnsi="Times New Roman" w:cs="Times New Roman"/>
          <w:sz w:val="24"/>
          <w:szCs w:val="24"/>
        </w:rPr>
        <w:t xml:space="preserve"> </w:t>
      </w:r>
      <w:r w:rsidR="00916D95" w:rsidRPr="00A22656">
        <w:rPr>
          <w:rFonts w:ascii="Times New Roman" w:hAnsi="Times New Roman" w:cs="Times New Roman"/>
          <w:sz w:val="24"/>
          <w:szCs w:val="24"/>
        </w:rPr>
        <w:t>In particular, while the Court sought to extend the free movement provisions to a wider range of actors in its early (market) citizenship jurisprudence, it also offered a number of placatory limitations on these rights to allay potential Member State concerns about over-extension. However,</w:t>
      </w:r>
      <w:r w:rsidR="00642789" w:rsidRPr="00A22656">
        <w:rPr>
          <w:rFonts w:ascii="Times New Roman" w:hAnsi="Times New Roman" w:cs="Times New Roman"/>
          <w:sz w:val="24"/>
          <w:szCs w:val="24"/>
        </w:rPr>
        <w:t xml:space="preserve"> the internal market </w:t>
      </w:r>
      <w:r w:rsidR="00642789" w:rsidRPr="00A22656">
        <w:rPr>
          <w:rFonts w:ascii="Times New Roman" w:hAnsi="Times New Roman" w:cs="Times New Roman"/>
          <w:sz w:val="24"/>
          <w:szCs w:val="24"/>
        </w:rPr>
        <w:lastRenderedPageBreak/>
        <w:t>fou</w:t>
      </w:r>
      <w:r w:rsidR="004F7054" w:rsidRPr="00A22656">
        <w:rPr>
          <w:rFonts w:ascii="Times New Roman" w:hAnsi="Times New Roman" w:cs="Times New Roman"/>
          <w:sz w:val="24"/>
          <w:szCs w:val="24"/>
        </w:rPr>
        <w:t>n</w:t>
      </w:r>
      <w:r w:rsidR="00642789" w:rsidRPr="00A22656">
        <w:rPr>
          <w:rFonts w:ascii="Times New Roman" w:hAnsi="Times New Roman" w:cs="Times New Roman"/>
          <w:sz w:val="24"/>
          <w:szCs w:val="24"/>
        </w:rPr>
        <w:t>dations</w:t>
      </w:r>
      <w:r w:rsidR="00A603E7" w:rsidRPr="00A22656">
        <w:rPr>
          <w:rFonts w:ascii="Times New Roman" w:hAnsi="Times New Roman" w:cs="Times New Roman"/>
          <w:sz w:val="24"/>
          <w:szCs w:val="24"/>
        </w:rPr>
        <w:t xml:space="preserve"> of </w:t>
      </w:r>
      <w:r w:rsidR="005942F0" w:rsidRPr="00A22656">
        <w:rPr>
          <w:rFonts w:ascii="Times New Roman" w:hAnsi="Times New Roman" w:cs="Times New Roman"/>
          <w:sz w:val="24"/>
          <w:szCs w:val="24"/>
        </w:rPr>
        <w:t>Union citizenship allow</w:t>
      </w:r>
      <w:r w:rsidR="00A603E7" w:rsidRPr="00A22656">
        <w:rPr>
          <w:rFonts w:ascii="Times New Roman" w:hAnsi="Times New Roman" w:cs="Times New Roman"/>
          <w:sz w:val="24"/>
          <w:szCs w:val="24"/>
        </w:rPr>
        <w:t xml:space="preserve"> for the cross-pollination of certain</w:t>
      </w:r>
      <w:r w:rsidR="00916D95" w:rsidRPr="00A22656">
        <w:rPr>
          <w:rFonts w:ascii="Times New Roman" w:hAnsi="Times New Roman" w:cs="Times New Roman"/>
          <w:sz w:val="24"/>
          <w:szCs w:val="24"/>
        </w:rPr>
        <w:t xml:space="preserve"> of these restrictions </w:t>
      </w:r>
      <w:r w:rsidR="00233128" w:rsidRPr="00A22656">
        <w:rPr>
          <w:rFonts w:ascii="Times New Roman" w:hAnsi="Times New Roman" w:cs="Times New Roman"/>
          <w:sz w:val="24"/>
          <w:szCs w:val="24"/>
        </w:rPr>
        <w:t>– developed in the particular</w:t>
      </w:r>
      <w:r w:rsidR="00A603E7" w:rsidRPr="00A22656">
        <w:rPr>
          <w:rFonts w:ascii="Times New Roman" w:hAnsi="Times New Roman" w:cs="Times New Roman"/>
          <w:sz w:val="24"/>
          <w:szCs w:val="24"/>
        </w:rPr>
        <w:t xml:space="preserve"> context of economic inactivity</w:t>
      </w:r>
      <w:r w:rsidR="00EB21AC" w:rsidRPr="00A22656">
        <w:rPr>
          <w:rFonts w:ascii="Times New Roman" w:hAnsi="Times New Roman" w:cs="Times New Roman"/>
          <w:sz w:val="24"/>
          <w:szCs w:val="24"/>
        </w:rPr>
        <w:t xml:space="preserve"> – across</w:t>
      </w:r>
      <w:r w:rsidR="00233128" w:rsidRPr="00A22656">
        <w:rPr>
          <w:rFonts w:ascii="Times New Roman" w:hAnsi="Times New Roman" w:cs="Times New Roman"/>
          <w:sz w:val="24"/>
          <w:szCs w:val="24"/>
        </w:rPr>
        <w:t xml:space="preserve"> legal structures shared by the internal market and citizenship</w:t>
      </w:r>
      <w:r w:rsidR="00186A64" w:rsidRPr="00A22656">
        <w:rPr>
          <w:rFonts w:ascii="Times New Roman" w:hAnsi="Times New Roman" w:cs="Times New Roman"/>
          <w:sz w:val="24"/>
          <w:szCs w:val="24"/>
        </w:rPr>
        <w:t xml:space="preserve"> alike. </w:t>
      </w:r>
      <w:r w:rsidR="00514C1E" w:rsidRPr="00A22656">
        <w:rPr>
          <w:rFonts w:ascii="Times New Roman" w:hAnsi="Times New Roman" w:cs="Times New Roman"/>
          <w:sz w:val="24"/>
          <w:szCs w:val="24"/>
        </w:rPr>
        <w:t xml:space="preserve">This is particularly </w:t>
      </w:r>
      <w:r w:rsidR="00186A64" w:rsidRPr="00A22656">
        <w:rPr>
          <w:rFonts w:ascii="Times New Roman" w:hAnsi="Times New Roman" w:cs="Times New Roman"/>
          <w:sz w:val="24"/>
          <w:szCs w:val="24"/>
        </w:rPr>
        <w:t>visible within two categories of EU citizen – the service recipient and the jobseeker –</w:t>
      </w:r>
      <w:r w:rsidR="00514C1E" w:rsidRPr="00A22656">
        <w:rPr>
          <w:rFonts w:ascii="Times New Roman" w:hAnsi="Times New Roman" w:cs="Times New Roman"/>
          <w:sz w:val="24"/>
          <w:szCs w:val="24"/>
        </w:rPr>
        <w:t xml:space="preserve"> since they most clearly</w:t>
      </w:r>
      <w:r w:rsidR="00186A64" w:rsidRPr="00A22656">
        <w:rPr>
          <w:rFonts w:ascii="Times New Roman" w:hAnsi="Times New Roman" w:cs="Times New Roman"/>
          <w:sz w:val="24"/>
          <w:szCs w:val="24"/>
        </w:rPr>
        <w:t xml:space="preserve"> straddle the divide between internal market and Union citizenship.</w:t>
      </w:r>
      <w:r w:rsidR="003869A6" w:rsidRPr="00A22656">
        <w:rPr>
          <w:rFonts w:ascii="Times New Roman" w:hAnsi="Times New Roman" w:cs="Times New Roman"/>
          <w:sz w:val="24"/>
          <w:szCs w:val="24"/>
        </w:rPr>
        <w:t xml:space="preserve"> H</w:t>
      </w:r>
      <w:r w:rsidR="00485907" w:rsidRPr="00A22656">
        <w:rPr>
          <w:rFonts w:ascii="Times New Roman" w:hAnsi="Times New Roman" w:cs="Times New Roman"/>
          <w:sz w:val="24"/>
          <w:szCs w:val="24"/>
        </w:rPr>
        <w:t xml:space="preserve">owever, since </w:t>
      </w:r>
      <w:r w:rsidR="004B33DD" w:rsidRPr="00A22656">
        <w:rPr>
          <w:rFonts w:ascii="Times New Roman" w:hAnsi="Times New Roman" w:cs="Times New Roman"/>
          <w:sz w:val="24"/>
          <w:szCs w:val="24"/>
        </w:rPr>
        <w:t xml:space="preserve">Union workers are </w:t>
      </w:r>
      <w:r w:rsidR="004B33DD" w:rsidRPr="00A22656">
        <w:rPr>
          <w:rFonts w:ascii="Times New Roman" w:hAnsi="Times New Roman" w:cs="Times New Roman"/>
          <w:i/>
          <w:sz w:val="24"/>
          <w:szCs w:val="24"/>
        </w:rPr>
        <w:t>also</w:t>
      </w:r>
      <w:r w:rsidR="004B33DD" w:rsidRPr="00A22656">
        <w:rPr>
          <w:rFonts w:ascii="Times New Roman" w:hAnsi="Times New Roman" w:cs="Times New Roman"/>
          <w:sz w:val="24"/>
          <w:szCs w:val="24"/>
        </w:rPr>
        <w:t xml:space="preserve"> EU citizens, they too exercise their free movement rights simultaneously under Articles 45 and 21 TFEU. </w:t>
      </w:r>
      <w:r w:rsidR="008F6F5A" w:rsidRPr="00A22656">
        <w:rPr>
          <w:rFonts w:ascii="Times New Roman" w:hAnsi="Times New Roman" w:cs="Times New Roman"/>
          <w:sz w:val="24"/>
          <w:szCs w:val="24"/>
        </w:rPr>
        <w:t>As a result, t</w:t>
      </w:r>
      <w:r w:rsidR="004B33DD" w:rsidRPr="00A22656">
        <w:rPr>
          <w:rFonts w:ascii="Times New Roman" w:hAnsi="Times New Roman" w:cs="Times New Roman"/>
          <w:sz w:val="24"/>
          <w:szCs w:val="24"/>
        </w:rPr>
        <w:t>he reciprocal</w:t>
      </w:r>
      <w:r w:rsidR="008F6F5A" w:rsidRPr="00A22656">
        <w:rPr>
          <w:rFonts w:ascii="Times New Roman" w:hAnsi="Times New Roman" w:cs="Times New Roman"/>
          <w:sz w:val="24"/>
          <w:szCs w:val="24"/>
        </w:rPr>
        <w:t xml:space="preserve"> influence of the two spheres </w:t>
      </w:r>
      <w:r w:rsidR="00485907" w:rsidRPr="00A22656">
        <w:rPr>
          <w:rFonts w:ascii="Times New Roman" w:hAnsi="Times New Roman" w:cs="Times New Roman"/>
          <w:sz w:val="24"/>
          <w:szCs w:val="24"/>
        </w:rPr>
        <w:t xml:space="preserve">is </w:t>
      </w:r>
      <w:r w:rsidR="004B33DD" w:rsidRPr="00A22656">
        <w:rPr>
          <w:rFonts w:ascii="Times New Roman" w:hAnsi="Times New Roman" w:cs="Times New Roman"/>
          <w:sz w:val="24"/>
          <w:szCs w:val="24"/>
        </w:rPr>
        <w:t>inevitable</w:t>
      </w:r>
      <w:r w:rsidR="00485907" w:rsidRPr="00A22656">
        <w:rPr>
          <w:rFonts w:ascii="Times New Roman" w:hAnsi="Times New Roman" w:cs="Times New Roman"/>
          <w:sz w:val="24"/>
          <w:szCs w:val="24"/>
        </w:rPr>
        <w:t>.</w:t>
      </w:r>
      <w:r w:rsidR="004B33DD" w:rsidRPr="00A22656">
        <w:rPr>
          <w:rFonts w:ascii="Times New Roman" w:hAnsi="Times New Roman" w:cs="Times New Roman"/>
          <w:sz w:val="24"/>
          <w:szCs w:val="24"/>
        </w:rPr>
        <w:t xml:space="preserve">  </w:t>
      </w:r>
      <w:r w:rsidR="00186A64" w:rsidRPr="00A22656">
        <w:rPr>
          <w:rFonts w:ascii="Times New Roman" w:hAnsi="Times New Roman" w:cs="Times New Roman"/>
          <w:sz w:val="24"/>
          <w:szCs w:val="24"/>
        </w:rPr>
        <w:t xml:space="preserve"> </w:t>
      </w:r>
    </w:p>
    <w:p w:rsidR="00186A64" w:rsidRPr="00A22656" w:rsidRDefault="00186A64" w:rsidP="005F768F">
      <w:pPr>
        <w:pStyle w:val="NoSpacing"/>
        <w:spacing w:line="360" w:lineRule="auto"/>
        <w:jc w:val="both"/>
        <w:rPr>
          <w:rFonts w:ascii="Times New Roman" w:hAnsi="Times New Roman" w:cs="Times New Roman"/>
          <w:sz w:val="24"/>
          <w:szCs w:val="24"/>
        </w:rPr>
      </w:pPr>
    </w:p>
    <w:p w:rsidR="008F2A2A" w:rsidRPr="00A22656" w:rsidRDefault="00186A64"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The Court, </w:t>
      </w:r>
      <w:r w:rsidR="003869A6" w:rsidRPr="00A22656">
        <w:rPr>
          <w:rFonts w:ascii="Times New Roman" w:hAnsi="Times New Roman" w:cs="Times New Roman"/>
          <w:sz w:val="24"/>
          <w:szCs w:val="24"/>
        </w:rPr>
        <w:t>alongside</w:t>
      </w:r>
      <w:r w:rsidRPr="00A22656">
        <w:rPr>
          <w:rFonts w:ascii="Times New Roman" w:hAnsi="Times New Roman" w:cs="Times New Roman"/>
          <w:sz w:val="24"/>
          <w:szCs w:val="24"/>
        </w:rPr>
        <w:t xml:space="preserve"> the Union legislature, recognised in the internal market’s</w:t>
      </w:r>
      <w:r w:rsidR="00741A4E" w:rsidRPr="00A22656">
        <w:rPr>
          <w:rFonts w:ascii="Times New Roman" w:hAnsi="Times New Roman" w:cs="Times New Roman"/>
          <w:sz w:val="24"/>
          <w:szCs w:val="24"/>
        </w:rPr>
        <w:t xml:space="preserve"> infancy that free movement would be inhibited if the human needs of </w:t>
      </w:r>
      <w:r w:rsidR="003869A6" w:rsidRPr="00A22656">
        <w:rPr>
          <w:rFonts w:ascii="Times New Roman" w:hAnsi="Times New Roman" w:cs="Times New Roman"/>
          <w:sz w:val="24"/>
          <w:szCs w:val="24"/>
        </w:rPr>
        <w:t xml:space="preserve">the </w:t>
      </w:r>
      <w:r w:rsidR="00741A4E" w:rsidRPr="00A22656">
        <w:rPr>
          <w:rFonts w:ascii="Times New Roman" w:hAnsi="Times New Roman" w:cs="Times New Roman"/>
          <w:sz w:val="24"/>
          <w:szCs w:val="24"/>
        </w:rPr>
        <w:t>EU</w:t>
      </w:r>
      <w:r w:rsidR="003869A6" w:rsidRPr="00A22656">
        <w:rPr>
          <w:rFonts w:ascii="Times New Roman" w:hAnsi="Times New Roman" w:cs="Times New Roman"/>
          <w:sz w:val="24"/>
          <w:szCs w:val="24"/>
        </w:rPr>
        <w:t>’s economic actors</w:t>
      </w:r>
      <w:r w:rsidR="00741A4E" w:rsidRPr="00A22656">
        <w:rPr>
          <w:rFonts w:ascii="Times New Roman" w:hAnsi="Times New Roman" w:cs="Times New Roman"/>
          <w:sz w:val="24"/>
          <w:szCs w:val="24"/>
        </w:rPr>
        <w:t xml:space="preserve"> were not met.</w:t>
      </w:r>
      <w:r w:rsidR="00741A4E" w:rsidRPr="00A22656">
        <w:rPr>
          <w:rStyle w:val="FootnoteReference"/>
          <w:rFonts w:ascii="Times New Roman" w:hAnsi="Times New Roman" w:cs="Times New Roman"/>
          <w:sz w:val="24"/>
          <w:szCs w:val="24"/>
        </w:rPr>
        <w:footnoteReference w:id="87"/>
      </w:r>
      <w:r w:rsidR="00642789" w:rsidRPr="00A22656">
        <w:rPr>
          <w:rFonts w:ascii="Times New Roman" w:hAnsi="Times New Roman" w:cs="Times New Roman"/>
          <w:sz w:val="24"/>
          <w:szCs w:val="24"/>
        </w:rPr>
        <w:t xml:space="preserve"> Therefore</w:t>
      </w:r>
      <w:r w:rsidR="007C0CFE" w:rsidRPr="00A22656">
        <w:rPr>
          <w:rFonts w:ascii="Times New Roman" w:hAnsi="Times New Roman" w:cs="Times New Roman"/>
          <w:sz w:val="24"/>
          <w:szCs w:val="24"/>
        </w:rPr>
        <w:t xml:space="preserve">, as is well-known, </w:t>
      </w:r>
      <w:r w:rsidR="003869A6" w:rsidRPr="00A22656">
        <w:rPr>
          <w:rFonts w:ascii="Times New Roman" w:hAnsi="Times New Roman" w:cs="Times New Roman"/>
          <w:sz w:val="24"/>
          <w:szCs w:val="24"/>
        </w:rPr>
        <w:t>in addition to their ri</w:t>
      </w:r>
      <w:r w:rsidR="007C0CFE" w:rsidRPr="00A22656">
        <w:rPr>
          <w:rFonts w:ascii="Times New Roman" w:hAnsi="Times New Roman" w:cs="Times New Roman"/>
          <w:sz w:val="24"/>
          <w:szCs w:val="24"/>
        </w:rPr>
        <w:t>ght to carry out their economic activity, actors became able, for instance, to access social and tax advantages on an equal basis with host State nationals and</w:t>
      </w:r>
      <w:r w:rsidR="00E80B2E" w:rsidRPr="00A22656">
        <w:rPr>
          <w:rFonts w:ascii="Times New Roman" w:hAnsi="Times New Roman" w:cs="Times New Roman"/>
          <w:sz w:val="24"/>
          <w:szCs w:val="24"/>
        </w:rPr>
        <w:t xml:space="preserve"> to</w:t>
      </w:r>
      <w:r w:rsidR="007C0CFE" w:rsidRPr="00A22656">
        <w:rPr>
          <w:rFonts w:ascii="Times New Roman" w:hAnsi="Times New Roman" w:cs="Times New Roman"/>
          <w:sz w:val="24"/>
          <w:szCs w:val="24"/>
        </w:rPr>
        <w:t xml:space="preserve"> bring certain of their family members with them</w:t>
      </w:r>
      <w:r w:rsidR="006D3E00" w:rsidRPr="00A22656">
        <w:rPr>
          <w:rFonts w:ascii="Times New Roman" w:hAnsi="Times New Roman" w:cs="Times New Roman"/>
          <w:sz w:val="24"/>
          <w:szCs w:val="24"/>
        </w:rPr>
        <w:t>. Through this form of ‘market citizenship’, free movement emerged as a means by which a wider fo</w:t>
      </w:r>
      <w:r w:rsidR="003869A6" w:rsidRPr="00A22656">
        <w:rPr>
          <w:rFonts w:ascii="Times New Roman" w:hAnsi="Times New Roman" w:cs="Times New Roman"/>
          <w:sz w:val="24"/>
          <w:szCs w:val="24"/>
        </w:rPr>
        <w:t>rm of integration, beyond</w:t>
      </w:r>
      <w:r w:rsidR="006D3E00" w:rsidRPr="00A22656">
        <w:rPr>
          <w:rFonts w:ascii="Times New Roman" w:hAnsi="Times New Roman" w:cs="Times New Roman"/>
          <w:sz w:val="24"/>
          <w:szCs w:val="24"/>
        </w:rPr>
        <w:t xml:space="preserve"> the economic, might be achieved.</w:t>
      </w:r>
      <w:r w:rsidR="00972C40" w:rsidRPr="00A22656">
        <w:rPr>
          <w:rStyle w:val="FootnoteReference"/>
          <w:rFonts w:ascii="Times New Roman" w:hAnsi="Times New Roman" w:cs="Times New Roman"/>
          <w:sz w:val="24"/>
          <w:szCs w:val="24"/>
        </w:rPr>
        <w:footnoteReference w:id="88"/>
      </w:r>
      <w:r w:rsidR="006D3E00" w:rsidRPr="00A22656">
        <w:rPr>
          <w:rFonts w:ascii="Times New Roman" w:hAnsi="Times New Roman" w:cs="Times New Roman"/>
          <w:sz w:val="24"/>
          <w:szCs w:val="24"/>
        </w:rPr>
        <w:t xml:space="preserve"> Nevertheless, since these benefits could only be enjoyed by those falling within the scope of the internal market’s free movement provisions</w:t>
      </w:r>
      <w:r w:rsidR="00E80B2E" w:rsidRPr="00A22656">
        <w:rPr>
          <w:rFonts w:ascii="Times New Roman" w:hAnsi="Times New Roman" w:cs="Times New Roman"/>
          <w:sz w:val="24"/>
          <w:szCs w:val="24"/>
        </w:rPr>
        <w:t>, the Court sought to bring a wider range of individuals within t</w:t>
      </w:r>
      <w:r w:rsidR="008F2A2A" w:rsidRPr="00A22656">
        <w:rPr>
          <w:rFonts w:ascii="Times New Roman" w:hAnsi="Times New Roman" w:cs="Times New Roman"/>
          <w:sz w:val="24"/>
          <w:szCs w:val="24"/>
        </w:rPr>
        <w:t xml:space="preserve">heir scope. </w:t>
      </w:r>
      <w:r w:rsidR="006C7849" w:rsidRPr="00A22656">
        <w:rPr>
          <w:rFonts w:ascii="Times New Roman" w:hAnsi="Times New Roman" w:cs="Times New Roman"/>
          <w:sz w:val="24"/>
          <w:szCs w:val="24"/>
        </w:rPr>
        <w:t>For example, its</w:t>
      </w:r>
      <w:r w:rsidR="00E80B2E" w:rsidRPr="00A22656">
        <w:rPr>
          <w:rFonts w:ascii="Times New Roman" w:hAnsi="Times New Roman" w:cs="Times New Roman"/>
          <w:sz w:val="24"/>
          <w:szCs w:val="24"/>
        </w:rPr>
        <w:t xml:space="preserve"> inclusion of the service </w:t>
      </w:r>
      <w:r w:rsidR="00E80B2E" w:rsidRPr="00A22656">
        <w:rPr>
          <w:rFonts w:ascii="Times New Roman" w:hAnsi="Times New Roman" w:cs="Times New Roman"/>
          <w:i/>
          <w:sz w:val="24"/>
          <w:szCs w:val="24"/>
        </w:rPr>
        <w:t>recipient</w:t>
      </w:r>
      <w:r w:rsidR="00E80B2E" w:rsidRPr="00A22656">
        <w:rPr>
          <w:rFonts w:ascii="Times New Roman" w:hAnsi="Times New Roman" w:cs="Times New Roman"/>
          <w:sz w:val="24"/>
          <w:szCs w:val="24"/>
        </w:rPr>
        <w:t xml:space="preserve"> within the a</w:t>
      </w:r>
      <w:r w:rsidR="008F2A2A" w:rsidRPr="00A22656">
        <w:rPr>
          <w:rFonts w:ascii="Times New Roman" w:hAnsi="Times New Roman" w:cs="Times New Roman"/>
          <w:sz w:val="24"/>
          <w:szCs w:val="24"/>
        </w:rPr>
        <w:t xml:space="preserve">mbit of Article 56 TFEU on </w:t>
      </w:r>
      <w:r w:rsidR="00E80B2E" w:rsidRPr="00A22656">
        <w:rPr>
          <w:rFonts w:ascii="Times New Roman" w:hAnsi="Times New Roman" w:cs="Times New Roman"/>
          <w:sz w:val="24"/>
          <w:szCs w:val="24"/>
        </w:rPr>
        <w:t>service provision ensured access to the principle of non-discrimination to Member State na</w:t>
      </w:r>
      <w:r w:rsidR="00514C1E" w:rsidRPr="00A22656">
        <w:rPr>
          <w:rFonts w:ascii="Times New Roman" w:hAnsi="Times New Roman" w:cs="Times New Roman"/>
          <w:sz w:val="24"/>
          <w:szCs w:val="24"/>
        </w:rPr>
        <w:t>tionals who would otherwise not</w:t>
      </w:r>
      <w:r w:rsidR="00E80B2E" w:rsidRPr="00A22656">
        <w:rPr>
          <w:rFonts w:ascii="Times New Roman" w:hAnsi="Times New Roman" w:cs="Times New Roman"/>
          <w:sz w:val="24"/>
          <w:szCs w:val="24"/>
        </w:rPr>
        <w:t xml:space="preserve"> benefit from it.</w:t>
      </w:r>
      <w:r w:rsidR="00E80B2E" w:rsidRPr="00A22656">
        <w:rPr>
          <w:rStyle w:val="FootnoteReference"/>
          <w:rFonts w:ascii="Times New Roman" w:hAnsi="Times New Roman" w:cs="Times New Roman"/>
          <w:sz w:val="24"/>
          <w:szCs w:val="24"/>
        </w:rPr>
        <w:footnoteReference w:id="89"/>
      </w:r>
      <w:r w:rsidR="00E80B2E" w:rsidRPr="00A22656">
        <w:rPr>
          <w:rFonts w:ascii="Times New Roman" w:hAnsi="Times New Roman" w:cs="Times New Roman"/>
          <w:sz w:val="24"/>
          <w:szCs w:val="24"/>
        </w:rPr>
        <w:t xml:space="preserve"> </w:t>
      </w:r>
    </w:p>
    <w:p w:rsidR="008F2A2A" w:rsidRPr="00A22656" w:rsidRDefault="008F2A2A" w:rsidP="005F768F">
      <w:pPr>
        <w:pStyle w:val="NoSpacing"/>
        <w:spacing w:line="360" w:lineRule="auto"/>
        <w:jc w:val="both"/>
        <w:rPr>
          <w:rFonts w:ascii="Times New Roman" w:hAnsi="Times New Roman" w:cs="Times New Roman"/>
          <w:sz w:val="24"/>
          <w:szCs w:val="24"/>
        </w:rPr>
      </w:pPr>
    </w:p>
    <w:p w:rsidR="006D3E00" w:rsidRPr="00A22656" w:rsidRDefault="00E80B2E"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Developments such as thi</w:t>
      </w:r>
      <w:r w:rsidR="00D73B0A" w:rsidRPr="00A22656">
        <w:rPr>
          <w:rFonts w:ascii="Times New Roman" w:hAnsi="Times New Roman" w:cs="Times New Roman"/>
          <w:sz w:val="24"/>
          <w:szCs w:val="24"/>
        </w:rPr>
        <w:t>s paved a crucial road</w:t>
      </w:r>
      <w:r w:rsidRPr="00A22656">
        <w:rPr>
          <w:rFonts w:ascii="Times New Roman" w:hAnsi="Times New Roman" w:cs="Times New Roman"/>
          <w:sz w:val="24"/>
          <w:szCs w:val="24"/>
        </w:rPr>
        <w:t xml:space="preserve"> to the formal Union citizenship recognised at Maastricht. And yet, this same historical evolution forms the b</w:t>
      </w:r>
      <w:r w:rsidR="008F2A2A" w:rsidRPr="00A22656">
        <w:rPr>
          <w:rFonts w:ascii="Times New Roman" w:hAnsi="Times New Roman" w:cs="Times New Roman"/>
          <w:sz w:val="24"/>
          <w:szCs w:val="24"/>
        </w:rPr>
        <w:t>asis for legitimate criticism that</w:t>
      </w:r>
      <w:r w:rsidRPr="00A22656">
        <w:rPr>
          <w:rFonts w:ascii="Times New Roman" w:hAnsi="Times New Roman" w:cs="Times New Roman"/>
          <w:sz w:val="24"/>
          <w:szCs w:val="24"/>
        </w:rPr>
        <w:t xml:space="preserve"> Union citizenship is</w:t>
      </w:r>
      <w:r w:rsidR="008F2A2A" w:rsidRPr="00A22656">
        <w:rPr>
          <w:rFonts w:ascii="Times New Roman" w:hAnsi="Times New Roman" w:cs="Times New Roman"/>
          <w:sz w:val="24"/>
          <w:szCs w:val="24"/>
        </w:rPr>
        <w:t xml:space="preserve"> intrinsically limited in what it can</w:t>
      </w:r>
      <w:r w:rsidR="003869A6" w:rsidRPr="00A22656">
        <w:rPr>
          <w:rFonts w:ascii="Times New Roman" w:hAnsi="Times New Roman" w:cs="Times New Roman"/>
          <w:sz w:val="24"/>
          <w:szCs w:val="24"/>
        </w:rPr>
        <w:t xml:space="preserve"> offer </w:t>
      </w:r>
      <w:r w:rsidRPr="00A22656">
        <w:rPr>
          <w:rFonts w:ascii="Times New Roman" w:hAnsi="Times New Roman" w:cs="Times New Roman"/>
          <w:sz w:val="24"/>
          <w:szCs w:val="24"/>
        </w:rPr>
        <w:t>non-economically active Union citizen</w:t>
      </w:r>
      <w:r w:rsidR="003869A6" w:rsidRPr="00A22656">
        <w:rPr>
          <w:rFonts w:ascii="Times New Roman" w:hAnsi="Times New Roman" w:cs="Times New Roman"/>
          <w:sz w:val="24"/>
          <w:szCs w:val="24"/>
        </w:rPr>
        <w:t>s</w:t>
      </w:r>
      <w:r w:rsidRPr="00A22656">
        <w:rPr>
          <w:rFonts w:ascii="Times New Roman" w:hAnsi="Times New Roman" w:cs="Times New Roman"/>
          <w:sz w:val="24"/>
          <w:szCs w:val="24"/>
        </w:rPr>
        <w:t>. Conversel</w:t>
      </w:r>
      <w:r w:rsidR="00AF3717" w:rsidRPr="00A22656">
        <w:rPr>
          <w:rFonts w:ascii="Times New Roman" w:hAnsi="Times New Roman" w:cs="Times New Roman"/>
          <w:sz w:val="24"/>
          <w:szCs w:val="24"/>
        </w:rPr>
        <w:t xml:space="preserve">y, </w:t>
      </w:r>
      <w:r w:rsidRPr="00A22656">
        <w:rPr>
          <w:rFonts w:ascii="Times New Roman" w:hAnsi="Times New Roman" w:cs="Times New Roman"/>
          <w:sz w:val="24"/>
          <w:szCs w:val="24"/>
        </w:rPr>
        <w:t>it is also at the heart of emerging res</w:t>
      </w:r>
      <w:r w:rsidR="00916D95" w:rsidRPr="00A22656">
        <w:rPr>
          <w:rFonts w:ascii="Times New Roman" w:hAnsi="Times New Roman" w:cs="Times New Roman"/>
          <w:sz w:val="24"/>
          <w:szCs w:val="24"/>
        </w:rPr>
        <w:t>trictions on the rights of EU</w:t>
      </w:r>
      <w:r w:rsidRPr="00A22656">
        <w:rPr>
          <w:rFonts w:ascii="Times New Roman" w:hAnsi="Times New Roman" w:cs="Times New Roman"/>
          <w:sz w:val="24"/>
          <w:szCs w:val="24"/>
        </w:rPr>
        <w:t xml:space="preserve"> workers. Specifically, </w:t>
      </w:r>
      <w:r w:rsidR="00514C1E" w:rsidRPr="00A22656">
        <w:rPr>
          <w:rFonts w:ascii="Times New Roman" w:hAnsi="Times New Roman" w:cs="Times New Roman"/>
          <w:sz w:val="24"/>
          <w:szCs w:val="24"/>
        </w:rPr>
        <w:t>in recognition of its</w:t>
      </w:r>
      <w:r w:rsidRPr="00A22656">
        <w:rPr>
          <w:rFonts w:ascii="Times New Roman" w:hAnsi="Times New Roman" w:cs="Times New Roman"/>
          <w:sz w:val="24"/>
          <w:szCs w:val="24"/>
        </w:rPr>
        <w:t xml:space="preserve"> own boundary pushing, the </w:t>
      </w:r>
      <w:r w:rsidR="00514C1E" w:rsidRPr="00A22656">
        <w:rPr>
          <w:rFonts w:ascii="Times New Roman" w:hAnsi="Times New Roman" w:cs="Times New Roman"/>
          <w:sz w:val="24"/>
          <w:szCs w:val="24"/>
        </w:rPr>
        <w:t xml:space="preserve">Court’s </w:t>
      </w:r>
      <w:r w:rsidRPr="00A22656">
        <w:rPr>
          <w:rFonts w:ascii="Times New Roman" w:hAnsi="Times New Roman" w:cs="Times New Roman"/>
          <w:sz w:val="24"/>
          <w:szCs w:val="24"/>
        </w:rPr>
        <w:t>introduction of the concept of service recipient was accompanied by the arrival and extensio</w:t>
      </w:r>
      <w:r w:rsidR="00514C1E" w:rsidRPr="00A22656">
        <w:rPr>
          <w:rFonts w:ascii="Times New Roman" w:hAnsi="Times New Roman" w:cs="Times New Roman"/>
          <w:sz w:val="24"/>
          <w:szCs w:val="24"/>
        </w:rPr>
        <w:t>n of a new justification – the risk of seriously undermining the financial balance of the social security system – where previously purely economic justifications had not</w:t>
      </w:r>
      <w:r w:rsidR="00D36791" w:rsidRPr="00A22656">
        <w:rPr>
          <w:rFonts w:ascii="Times New Roman" w:hAnsi="Times New Roman" w:cs="Times New Roman"/>
          <w:sz w:val="24"/>
          <w:szCs w:val="24"/>
        </w:rPr>
        <w:t xml:space="preserve"> generally</w:t>
      </w:r>
      <w:r w:rsidR="00514C1E" w:rsidRPr="00A22656">
        <w:rPr>
          <w:rFonts w:ascii="Times New Roman" w:hAnsi="Times New Roman" w:cs="Times New Roman"/>
          <w:sz w:val="24"/>
          <w:szCs w:val="24"/>
        </w:rPr>
        <w:t xml:space="preserve"> been </w:t>
      </w:r>
      <w:r w:rsidR="00514C1E" w:rsidRPr="00A22656">
        <w:rPr>
          <w:rFonts w:ascii="Times New Roman" w:hAnsi="Times New Roman" w:cs="Times New Roman"/>
          <w:sz w:val="24"/>
          <w:szCs w:val="24"/>
        </w:rPr>
        <w:lastRenderedPageBreak/>
        <w:t>permissible.</w:t>
      </w:r>
      <w:r w:rsidR="00514C1E" w:rsidRPr="00A22656">
        <w:rPr>
          <w:rStyle w:val="FootnoteReference"/>
          <w:rFonts w:ascii="Times New Roman" w:hAnsi="Times New Roman" w:cs="Times New Roman"/>
          <w:sz w:val="24"/>
          <w:szCs w:val="24"/>
        </w:rPr>
        <w:footnoteReference w:id="90"/>
      </w:r>
      <w:r w:rsidRPr="00A22656">
        <w:rPr>
          <w:rFonts w:ascii="Times New Roman" w:hAnsi="Times New Roman" w:cs="Times New Roman"/>
          <w:sz w:val="24"/>
          <w:szCs w:val="24"/>
        </w:rPr>
        <w:t xml:space="preserve"> </w:t>
      </w:r>
      <w:r w:rsidR="00F82F90" w:rsidRPr="00A22656">
        <w:rPr>
          <w:rFonts w:ascii="Times New Roman" w:hAnsi="Times New Roman" w:cs="Times New Roman"/>
          <w:sz w:val="24"/>
          <w:szCs w:val="24"/>
        </w:rPr>
        <w:t>More broadly, s</w:t>
      </w:r>
      <w:r w:rsidR="00A26310" w:rsidRPr="00A22656">
        <w:rPr>
          <w:rFonts w:ascii="Times New Roman" w:hAnsi="Times New Roman" w:cs="Times New Roman"/>
          <w:sz w:val="24"/>
          <w:szCs w:val="24"/>
        </w:rPr>
        <w:t>ince the formalisation of Union citizenship, the need to avoid ‘unreasonable burde</w:t>
      </w:r>
      <w:r w:rsidR="00F82F90" w:rsidRPr="00A22656">
        <w:rPr>
          <w:rFonts w:ascii="Times New Roman" w:hAnsi="Times New Roman" w:cs="Times New Roman"/>
          <w:sz w:val="24"/>
          <w:szCs w:val="24"/>
        </w:rPr>
        <w:t>n’ on host State social assistance</w:t>
      </w:r>
      <w:r w:rsidR="00A26310" w:rsidRPr="00A22656">
        <w:rPr>
          <w:rFonts w:ascii="Times New Roman" w:hAnsi="Times New Roman" w:cs="Times New Roman"/>
          <w:sz w:val="24"/>
          <w:szCs w:val="24"/>
        </w:rPr>
        <w:t xml:space="preserve"> systems has become an </w:t>
      </w:r>
      <w:r w:rsidR="00F82F90" w:rsidRPr="00A22656">
        <w:rPr>
          <w:rFonts w:ascii="Times New Roman" w:hAnsi="Times New Roman" w:cs="Times New Roman"/>
          <w:sz w:val="24"/>
          <w:szCs w:val="24"/>
        </w:rPr>
        <w:t>ever-present</w:t>
      </w:r>
      <w:r w:rsidR="00A26310" w:rsidRPr="00A22656">
        <w:rPr>
          <w:rFonts w:ascii="Times New Roman" w:hAnsi="Times New Roman" w:cs="Times New Roman"/>
          <w:sz w:val="24"/>
          <w:szCs w:val="24"/>
        </w:rPr>
        <w:t xml:space="preserve"> justification for denying access to social support for non-economically active Union citizens.</w:t>
      </w:r>
      <w:r w:rsidR="00A26310" w:rsidRPr="00A22656">
        <w:rPr>
          <w:rStyle w:val="FootnoteReference"/>
          <w:rFonts w:ascii="Times New Roman" w:hAnsi="Times New Roman" w:cs="Times New Roman"/>
          <w:sz w:val="24"/>
          <w:szCs w:val="24"/>
        </w:rPr>
        <w:footnoteReference w:id="91"/>
      </w:r>
      <w:r w:rsidR="00A26310" w:rsidRPr="00A22656">
        <w:rPr>
          <w:rFonts w:ascii="Times New Roman" w:hAnsi="Times New Roman" w:cs="Times New Roman"/>
          <w:sz w:val="24"/>
          <w:szCs w:val="24"/>
        </w:rPr>
        <w:t xml:space="preserve"> </w:t>
      </w:r>
      <w:r w:rsidR="00642789" w:rsidRPr="00A22656">
        <w:rPr>
          <w:rFonts w:ascii="Times New Roman" w:hAnsi="Times New Roman" w:cs="Times New Roman"/>
          <w:sz w:val="24"/>
          <w:szCs w:val="24"/>
        </w:rPr>
        <w:t xml:space="preserve">As the service recipient – who continues to have one foot in the internal market and the other in Union citizenship – demonstrates, the construction of Union citizenship </w:t>
      </w:r>
      <w:r w:rsidR="00F82F90" w:rsidRPr="00A22656">
        <w:rPr>
          <w:rFonts w:ascii="Times New Roman" w:hAnsi="Times New Roman" w:cs="Times New Roman"/>
          <w:sz w:val="24"/>
          <w:szCs w:val="24"/>
        </w:rPr>
        <w:t>up</w:t>
      </w:r>
      <w:r w:rsidR="00642789" w:rsidRPr="00A22656">
        <w:rPr>
          <w:rFonts w:ascii="Times New Roman" w:hAnsi="Times New Roman" w:cs="Times New Roman"/>
          <w:sz w:val="24"/>
          <w:szCs w:val="24"/>
        </w:rPr>
        <w:t>on</w:t>
      </w:r>
      <w:r w:rsidR="00D73B0A" w:rsidRPr="00A22656">
        <w:rPr>
          <w:rFonts w:ascii="Times New Roman" w:hAnsi="Times New Roman" w:cs="Times New Roman"/>
          <w:sz w:val="24"/>
          <w:szCs w:val="24"/>
        </w:rPr>
        <w:t xml:space="preserve"> internal market foundations pro</w:t>
      </w:r>
      <w:r w:rsidR="00642789" w:rsidRPr="00A22656">
        <w:rPr>
          <w:rFonts w:ascii="Times New Roman" w:hAnsi="Times New Roman" w:cs="Times New Roman"/>
          <w:sz w:val="24"/>
          <w:szCs w:val="24"/>
        </w:rPr>
        <w:t>vides an historical synapse across wh</w:t>
      </w:r>
      <w:r w:rsidR="00F82F90" w:rsidRPr="00A22656">
        <w:rPr>
          <w:rFonts w:ascii="Times New Roman" w:hAnsi="Times New Roman" w:cs="Times New Roman"/>
          <w:sz w:val="24"/>
          <w:szCs w:val="24"/>
        </w:rPr>
        <w:t>ich justifications can move back and forth</w:t>
      </w:r>
      <w:r w:rsidR="00642789" w:rsidRPr="00A22656">
        <w:rPr>
          <w:rFonts w:ascii="Times New Roman" w:hAnsi="Times New Roman" w:cs="Times New Roman"/>
          <w:sz w:val="24"/>
          <w:szCs w:val="24"/>
        </w:rPr>
        <w:t>.</w:t>
      </w:r>
      <w:r w:rsidR="00D36791" w:rsidRPr="00A22656">
        <w:rPr>
          <w:rFonts w:ascii="Times New Roman" w:hAnsi="Times New Roman" w:cs="Times New Roman"/>
          <w:sz w:val="24"/>
          <w:szCs w:val="24"/>
        </w:rPr>
        <w:t xml:space="preserve"> Accordingly</w:t>
      </w:r>
      <w:r w:rsidR="00F82F90" w:rsidRPr="00A22656">
        <w:rPr>
          <w:rFonts w:ascii="Times New Roman" w:hAnsi="Times New Roman" w:cs="Times New Roman"/>
          <w:sz w:val="24"/>
          <w:szCs w:val="24"/>
        </w:rPr>
        <w:t xml:space="preserve">, while many might </w:t>
      </w:r>
      <w:r w:rsidR="00642789" w:rsidRPr="00A22656">
        <w:rPr>
          <w:rFonts w:ascii="Times New Roman" w:hAnsi="Times New Roman" w:cs="Times New Roman"/>
          <w:sz w:val="24"/>
          <w:szCs w:val="24"/>
        </w:rPr>
        <w:t xml:space="preserve">reasonably have considered protection of </w:t>
      </w:r>
      <w:r w:rsidR="00F82F90" w:rsidRPr="00A22656">
        <w:rPr>
          <w:rFonts w:ascii="Times New Roman" w:hAnsi="Times New Roman" w:cs="Times New Roman"/>
          <w:sz w:val="24"/>
          <w:szCs w:val="24"/>
        </w:rPr>
        <w:t>public funds</w:t>
      </w:r>
      <w:r w:rsidR="00642789" w:rsidRPr="00A22656">
        <w:rPr>
          <w:rFonts w:ascii="Times New Roman" w:hAnsi="Times New Roman" w:cs="Times New Roman"/>
          <w:sz w:val="24"/>
          <w:szCs w:val="24"/>
        </w:rPr>
        <w:t xml:space="preserve"> to be a legally </w:t>
      </w:r>
      <w:r w:rsidR="00D36791" w:rsidRPr="00A22656">
        <w:rPr>
          <w:rFonts w:ascii="Times New Roman" w:hAnsi="Times New Roman" w:cs="Times New Roman"/>
          <w:sz w:val="24"/>
          <w:szCs w:val="24"/>
        </w:rPr>
        <w:t>unav</w:t>
      </w:r>
      <w:r w:rsidR="006B2073" w:rsidRPr="00A22656">
        <w:rPr>
          <w:rFonts w:ascii="Times New Roman" w:hAnsi="Times New Roman" w:cs="Times New Roman"/>
          <w:sz w:val="24"/>
          <w:szCs w:val="24"/>
        </w:rPr>
        <w:t>a</w:t>
      </w:r>
      <w:r w:rsidR="00D36791" w:rsidRPr="00A22656">
        <w:rPr>
          <w:rFonts w:ascii="Times New Roman" w:hAnsi="Times New Roman" w:cs="Times New Roman"/>
          <w:sz w:val="24"/>
          <w:szCs w:val="24"/>
        </w:rPr>
        <w:t>ilable</w:t>
      </w:r>
      <w:r w:rsidR="00642789" w:rsidRPr="00A22656">
        <w:rPr>
          <w:rFonts w:ascii="Times New Roman" w:hAnsi="Times New Roman" w:cs="Times New Roman"/>
          <w:sz w:val="24"/>
          <w:szCs w:val="24"/>
        </w:rPr>
        <w:t xml:space="preserve"> rationale for the application of the safeguard mechanism to EU workers, it is firmly rooted in the historical development of, and interrelationship between, the internal market and Union citizenship.    </w:t>
      </w:r>
    </w:p>
    <w:p w:rsidR="00514C1E" w:rsidRPr="00A22656" w:rsidRDefault="00514C1E" w:rsidP="005F768F">
      <w:pPr>
        <w:pStyle w:val="NoSpacing"/>
        <w:spacing w:line="360" w:lineRule="auto"/>
        <w:jc w:val="both"/>
        <w:rPr>
          <w:rFonts w:ascii="Times New Roman" w:hAnsi="Times New Roman" w:cs="Times New Roman"/>
          <w:sz w:val="24"/>
          <w:szCs w:val="24"/>
        </w:rPr>
      </w:pPr>
    </w:p>
    <w:p w:rsidR="005942F0" w:rsidRPr="00A22656" w:rsidRDefault="00D36791"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Similarly, t</w:t>
      </w:r>
      <w:r w:rsidR="00EB21AC" w:rsidRPr="00A22656">
        <w:rPr>
          <w:rFonts w:ascii="Times New Roman" w:hAnsi="Times New Roman" w:cs="Times New Roman"/>
          <w:sz w:val="24"/>
          <w:szCs w:val="24"/>
        </w:rPr>
        <w:t>he immediate effect of the Court’s decision</w:t>
      </w:r>
      <w:r w:rsidR="008A48BE" w:rsidRPr="00A22656">
        <w:rPr>
          <w:rFonts w:ascii="Times New Roman" w:hAnsi="Times New Roman" w:cs="Times New Roman"/>
          <w:sz w:val="24"/>
          <w:szCs w:val="24"/>
        </w:rPr>
        <w:t xml:space="preserve">, in </w:t>
      </w:r>
      <w:r w:rsidR="008A48BE" w:rsidRPr="00A22656">
        <w:rPr>
          <w:rFonts w:ascii="Times New Roman" w:hAnsi="Times New Roman" w:cs="Times New Roman"/>
          <w:i/>
          <w:sz w:val="24"/>
          <w:szCs w:val="24"/>
        </w:rPr>
        <w:t>Collins</w:t>
      </w:r>
      <w:r w:rsidR="008A48BE" w:rsidRPr="00A22656">
        <w:rPr>
          <w:rFonts w:ascii="Times New Roman" w:hAnsi="Times New Roman" w:cs="Times New Roman"/>
          <w:sz w:val="24"/>
          <w:szCs w:val="24"/>
        </w:rPr>
        <w:t>,</w:t>
      </w:r>
      <w:r w:rsidR="00EB21AC" w:rsidRPr="00A22656">
        <w:rPr>
          <w:rFonts w:ascii="Times New Roman" w:hAnsi="Times New Roman" w:cs="Times New Roman"/>
          <w:sz w:val="24"/>
          <w:szCs w:val="24"/>
        </w:rPr>
        <w:t xml:space="preserve"> to bring </w:t>
      </w:r>
      <w:proofErr w:type="spellStart"/>
      <w:r w:rsidR="00EB21AC" w:rsidRPr="00A22656">
        <w:rPr>
          <w:rFonts w:ascii="Times New Roman" w:hAnsi="Times New Roman" w:cs="Times New Roman"/>
          <w:sz w:val="24"/>
          <w:szCs w:val="24"/>
        </w:rPr>
        <w:t>workseekers</w:t>
      </w:r>
      <w:proofErr w:type="spellEnd"/>
      <w:r w:rsidR="00EB21AC" w:rsidRPr="00A22656">
        <w:rPr>
          <w:rFonts w:ascii="Times New Roman" w:hAnsi="Times New Roman" w:cs="Times New Roman"/>
          <w:sz w:val="24"/>
          <w:szCs w:val="24"/>
        </w:rPr>
        <w:t xml:space="preserve"> within the scope of Article 45 TFEU as a direct result of Union citizenship is greater</w:t>
      </w:r>
      <w:r w:rsidR="008A48BE" w:rsidRPr="00A22656">
        <w:rPr>
          <w:rFonts w:ascii="Times New Roman" w:hAnsi="Times New Roman" w:cs="Times New Roman"/>
          <w:sz w:val="24"/>
          <w:szCs w:val="24"/>
        </w:rPr>
        <w:t xml:space="preserve"> access to social support for individual Union citizens and, </w:t>
      </w:r>
      <w:r w:rsidR="00EB21AC" w:rsidRPr="00A22656">
        <w:rPr>
          <w:rFonts w:ascii="Times New Roman" w:hAnsi="Times New Roman" w:cs="Times New Roman"/>
          <w:sz w:val="24"/>
          <w:szCs w:val="24"/>
        </w:rPr>
        <w:t>therefore, the apparent adding of flesh to the bones of Union citizenship. The novelty</w:t>
      </w:r>
      <w:r w:rsidR="005942F0" w:rsidRPr="00A22656">
        <w:rPr>
          <w:rFonts w:ascii="Times New Roman" w:hAnsi="Times New Roman" w:cs="Times New Roman"/>
          <w:sz w:val="24"/>
          <w:szCs w:val="24"/>
        </w:rPr>
        <w:t xml:space="preserve"> </w:t>
      </w:r>
      <w:r w:rsidR="00EB21AC" w:rsidRPr="00A22656">
        <w:rPr>
          <w:rFonts w:ascii="Times New Roman" w:hAnsi="Times New Roman" w:cs="Times New Roman"/>
          <w:sz w:val="24"/>
          <w:szCs w:val="24"/>
        </w:rPr>
        <w:t>of the judgment nevertheless led, also, to the</w:t>
      </w:r>
      <w:r w:rsidR="008A48BE" w:rsidRPr="00A22656">
        <w:rPr>
          <w:rFonts w:ascii="Times New Roman" w:hAnsi="Times New Roman" w:cs="Times New Roman"/>
          <w:sz w:val="24"/>
          <w:szCs w:val="24"/>
        </w:rPr>
        <w:t xml:space="preserve"> CJEU’s acceptance</w:t>
      </w:r>
      <w:r w:rsidR="00EB21AC" w:rsidRPr="00A22656">
        <w:rPr>
          <w:rFonts w:ascii="Times New Roman" w:hAnsi="Times New Roman" w:cs="Times New Roman"/>
          <w:sz w:val="24"/>
          <w:szCs w:val="24"/>
        </w:rPr>
        <w:t xml:space="preserve"> of the host State’s</w:t>
      </w:r>
      <w:r w:rsidR="002B2DCF" w:rsidRPr="00A22656">
        <w:rPr>
          <w:rFonts w:ascii="Times New Roman" w:hAnsi="Times New Roman" w:cs="Times New Roman"/>
          <w:sz w:val="24"/>
          <w:szCs w:val="24"/>
        </w:rPr>
        <w:t xml:space="preserve"> professed</w:t>
      </w:r>
      <w:r w:rsidR="00EB21AC" w:rsidRPr="00A22656">
        <w:rPr>
          <w:rFonts w:ascii="Times New Roman" w:hAnsi="Times New Roman" w:cs="Times New Roman"/>
          <w:sz w:val="24"/>
          <w:szCs w:val="24"/>
        </w:rPr>
        <w:t xml:space="preserve"> need to protect its social assistance schemes</w:t>
      </w:r>
      <w:r w:rsidR="002B2DCF" w:rsidRPr="00A22656">
        <w:rPr>
          <w:rFonts w:ascii="Times New Roman" w:hAnsi="Times New Roman" w:cs="Times New Roman"/>
          <w:sz w:val="24"/>
          <w:szCs w:val="24"/>
        </w:rPr>
        <w:t xml:space="preserve"> and to the introduction of the ‘real link’ criterion. </w:t>
      </w:r>
      <w:r w:rsidR="008A48BE" w:rsidRPr="00A22656">
        <w:rPr>
          <w:rFonts w:ascii="Times New Roman" w:hAnsi="Times New Roman" w:cs="Times New Roman"/>
          <w:sz w:val="24"/>
          <w:szCs w:val="24"/>
        </w:rPr>
        <w:t>Consequently,</w:t>
      </w:r>
      <w:r w:rsidR="002B2DCF" w:rsidRPr="00A22656">
        <w:rPr>
          <w:rFonts w:ascii="Times New Roman" w:hAnsi="Times New Roman" w:cs="Times New Roman"/>
          <w:sz w:val="24"/>
          <w:szCs w:val="24"/>
        </w:rPr>
        <w:t xml:space="preserve"> </w:t>
      </w:r>
      <w:r w:rsidR="007B18AE" w:rsidRPr="00A22656">
        <w:rPr>
          <w:rFonts w:ascii="Times New Roman" w:hAnsi="Times New Roman" w:cs="Times New Roman"/>
          <w:i/>
          <w:sz w:val="24"/>
          <w:szCs w:val="24"/>
        </w:rPr>
        <w:t>Collins</w:t>
      </w:r>
      <w:r w:rsidR="007B18AE" w:rsidRPr="00A22656">
        <w:rPr>
          <w:rFonts w:ascii="Times New Roman" w:hAnsi="Times New Roman" w:cs="Times New Roman"/>
          <w:sz w:val="24"/>
          <w:szCs w:val="24"/>
        </w:rPr>
        <w:t xml:space="preserve"> in fact leaves jobseekers straddl</w:t>
      </w:r>
      <w:r w:rsidR="008A48BE" w:rsidRPr="00A22656">
        <w:rPr>
          <w:rFonts w:ascii="Times New Roman" w:hAnsi="Times New Roman" w:cs="Times New Roman"/>
          <w:sz w:val="24"/>
          <w:szCs w:val="24"/>
        </w:rPr>
        <w:t>ing</w:t>
      </w:r>
      <w:r w:rsidR="007B18AE" w:rsidRPr="00A22656">
        <w:rPr>
          <w:rFonts w:ascii="Times New Roman" w:hAnsi="Times New Roman" w:cs="Times New Roman"/>
          <w:sz w:val="24"/>
          <w:szCs w:val="24"/>
        </w:rPr>
        <w:t xml:space="preserve"> Article 45 TFEU, under which Union workers</w:t>
      </w:r>
      <w:r w:rsidR="008A48BE" w:rsidRPr="00A22656">
        <w:rPr>
          <w:rFonts w:ascii="Times New Roman" w:hAnsi="Times New Roman" w:cs="Times New Roman"/>
          <w:sz w:val="24"/>
          <w:szCs w:val="24"/>
        </w:rPr>
        <w:t xml:space="preserve"> are entitled to access social assistance on the same basis as national workers</w:t>
      </w:r>
      <w:r w:rsidR="007B18AE" w:rsidRPr="00A22656">
        <w:rPr>
          <w:rFonts w:ascii="Times New Roman" w:hAnsi="Times New Roman" w:cs="Times New Roman"/>
          <w:sz w:val="24"/>
          <w:szCs w:val="24"/>
        </w:rPr>
        <w:t xml:space="preserve"> by virtue of their free movement rights, and Article 21 TFEU, pursuant to which the free movement and, therefore equal treatment rights, of non-economically active Union citizens may traditionally be limited.</w:t>
      </w:r>
      <w:r w:rsidR="00F9387E" w:rsidRPr="00A22656">
        <w:rPr>
          <w:rFonts w:ascii="Times New Roman" w:hAnsi="Times New Roman" w:cs="Times New Roman"/>
          <w:sz w:val="24"/>
          <w:szCs w:val="24"/>
        </w:rPr>
        <w:t xml:space="preserve"> By reinforcing the links between the rights enjoyed as a Union citizen and those conferred by internal market rules, </w:t>
      </w:r>
      <w:r w:rsidR="00F9387E" w:rsidRPr="00A22656">
        <w:rPr>
          <w:rFonts w:ascii="Times New Roman" w:hAnsi="Times New Roman" w:cs="Times New Roman"/>
          <w:i/>
          <w:sz w:val="24"/>
          <w:szCs w:val="24"/>
        </w:rPr>
        <w:t>Collins</w:t>
      </w:r>
      <w:r w:rsidR="00F9387E" w:rsidRPr="00A22656">
        <w:rPr>
          <w:rFonts w:ascii="Times New Roman" w:hAnsi="Times New Roman" w:cs="Times New Roman"/>
          <w:sz w:val="24"/>
          <w:szCs w:val="24"/>
        </w:rPr>
        <w:t xml:space="preserve"> offers a means by which rules designed in relation to economically inactive or not yet active EU citizens could transfer into the operation of the equal treatment rights of economic actors.</w:t>
      </w:r>
    </w:p>
    <w:p w:rsidR="005942F0" w:rsidRPr="00A22656" w:rsidRDefault="005942F0" w:rsidP="005F768F">
      <w:pPr>
        <w:pStyle w:val="NoSpacing"/>
        <w:spacing w:line="360" w:lineRule="auto"/>
        <w:jc w:val="both"/>
        <w:rPr>
          <w:rFonts w:ascii="Times New Roman" w:hAnsi="Times New Roman" w:cs="Times New Roman"/>
          <w:sz w:val="24"/>
          <w:szCs w:val="24"/>
        </w:rPr>
      </w:pPr>
    </w:p>
    <w:p w:rsidR="008F2A2A" w:rsidRPr="00A22656" w:rsidRDefault="005942F0"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As noted a</w:t>
      </w:r>
      <w:r w:rsidR="008F2A2A" w:rsidRPr="00A22656">
        <w:rPr>
          <w:rFonts w:ascii="Times New Roman" w:hAnsi="Times New Roman" w:cs="Times New Roman"/>
          <w:sz w:val="24"/>
          <w:szCs w:val="24"/>
        </w:rPr>
        <w:t>bove, this in fact happe</w:t>
      </w:r>
      <w:r w:rsidR="007A3B2A" w:rsidRPr="00A22656">
        <w:rPr>
          <w:rFonts w:ascii="Times New Roman" w:hAnsi="Times New Roman" w:cs="Times New Roman"/>
          <w:sz w:val="24"/>
          <w:szCs w:val="24"/>
        </w:rPr>
        <w:t>ne</w:t>
      </w:r>
      <w:r w:rsidR="008F2A2A" w:rsidRPr="00A22656">
        <w:rPr>
          <w:rFonts w:ascii="Times New Roman" w:hAnsi="Times New Roman" w:cs="Times New Roman"/>
          <w:sz w:val="24"/>
          <w:szCs w:val="24"/>
        </w:rPr>
        <w:t>d in</w:t>
      </w:r>
      <w:r w:rsidRPr="00A22656">
        <w:rPr>
          <w:rFonts w:ascii="Times New Roman" w:hAnsi="Times New Roman" w:cs="Times New Roman"/>
          <w:sz w:val="24"/>
          <w:szCs w:val="24"/>
        </w:rPr>
        <w:t xml:space="preserve"> </w:t>
      </w:r>
      <w:proofErr w:type="spellStart"/>
      <w:r w:rsidRPr="00A22656">
        <w:rPr>
          <w:rFonts w:ascii="Times New Roman" w:hAnsi="Times New Roman" w:cs="Times New Roman"/>
          <w:i/>
          <w:sz w:val="24"/>
          <w:szCs w:val="24"/>
        </w:rPr>
        <w:t>Geven</w:t>
      </w:r>
      <w:proofErr w:type="spellEnd"/>
      <w:r w:rsidRPr="00A22656">
        <w:rPr>
          <w:rFonts w:ascii="Times New Roman" w:hAnsi="Times New Roman" w:cs="Times New Roman"/>
          <w:sz w:val="24"/>
          <w:szCs w:val="24"/>
        </w:rPr>
        <w:t xml:space="preserve"> and </w:t>
      </w:r>
      <w:r w:rsidRPr="00A22656">
        <w:rPr>
          <w:rFonts w:ascii="Times New Roman" w:hAnsi="Times New Roman" w:cs="Times New Roman"/>
          <w:i/>
          <w:sz w:val="24"/>
          <w:szCs w:val="24"/>
        </w:rPr>
        <w:t>Hartmann</w:t>
      </w:r>
      <w:r w:rsidR="007A3B2A" w:rsidRPr="00A22656">
        <w:rPr>
          <w:rFonts w:ascii="Times New Roman" w:hAnsi="Times New Roman" w:cs="Times New Roman"/>
          <w:sz w:val="24"/>
          <w:szCs w:val="24"/>
        </w:rPr>
        <w:t>.</w:t>
      </w:r>
      <w:r w:rsidR="00730EB0" w:rsidRPr="00A22656">
        <w:rPr>
          <w:rStyle w:val="FootnoteReference"/>
          <w:rFonts w:ascii="Times New Roman" w:hAnsi="Times New Roman" w:cs="Times New Roman"/>
          <w:sz w:val="24"/>
          <w:szCs w:val="24"/>
        </w:rPr>
        <w:footnoteReference w:id="92"/>
      </w:r>
      <w:r w:rsidR="007A3B2A" w:rsidRPr="00A22656">
        <w:rPr>
          <w:rFonts w:ascii="Times New Roman" w:hAnsi="Times New Roman" w:cs="Times New Roman"/>
          <w:sz w:val="24"/>
          <w:szCs w:val="24"/>
        </w:rPr>
        <w:t xml:space="preserve"> There, national rules that required evidence of ‘substantial work’ before frontier workers could access child benefit, were permissible </w:t>
      </w:r>
      <w:r w:rsidR="00730EB0" w:rsidRPr="00A22656">
        <w:rPr>
          <w:rFonts w:ascii="Times New Roman" w:hAnsi="Times New Roman" w:cs="Times New Roman"/>
          <w:sz w:val="24"/>
          <w:szCs w:val="24"/>
        </w:rPr>
        <w:t xml:space="preserve">based on the </w:t>
      </w:r>
      <w:r w:rsidR="007A3B2A" w:rsidRPr="00A22656">
        <w:rPr>
          <w:rFonts w:ascii="Times New Roman" w:hAnsi="Times New Roman" w:cs="Times New Roman"/>
          <w:sz w:val="24"/>
          <w:szCs w:val="24"/>
        </w:rPr>
        <w:t xml:space="preserve">need to demonstrate a ‘real link’ to the host State labour market. </w:t>
      </w:r>
      <w:r w:rsidR="00270D7A" w:rsidRPr="00A22656">
        <w:rPr>
          <w:rFonts w:ascii="Times New Roman" w:hAnsi="Times New Roman" w:cs="Times New Roman"/>
          <w:sz w:val="24"/>
          <w:szCs w:val="24"/>
        </w:rPr>
        <w:t xml:space="preserve">This approach contradicted the otherwise well-established rule that individuals are to </w:t>
      </w:r>
      <w:r w:rsidR="00270D7A" w:rsidRPr="00A22656">
        <w:rPr>
          <w:rFonts w:ascii="Times New Roman" w:hAnsi="Times New Roman" w:cs="Times New Roman"/>
          <w:sz w:val="24"/>
          <w:szCs w:val="24"/>
        </w:rPr>
        <w:lastRenderedPageBreak/>
        <w:t xml:space="preserve">be defined as workers, and have full access to ensuing rights, </w:t>
      </w:r>
      <w:r w:rsidR="007A3B2A" w:rsidRPr="00A22656">
        <w:rPr>
          <w:rFonts w:ascii="Times New Roman" w:hAnsi="Times New Roman" w:cs="Times New Roman"/>
          <w:sz w:val="24"/>
          <w:szCs w:val="24"/>
        </w:rPr>
        <w:t>where</w:t>
      </w:r>
      <w:r w:rsidR="00270D7A" w:rsidRPr="00A22656">
        <w:rPr>
          <w:rFonts w:ascii="Times New Roman" w:hAnsi="Times New Roman" w:cs="Times New Roman"/>
          <w:sz w:val="24"/>
          <w:szCs w:val="24"/>
        </w:rPr>
        <w:t xml:space="preserve"> their work is ‘genuine and effective’ and not ‘marginal and ancillary’.</w:t>
      </w:r>
      <w:r w:rsidR="00270D7A" w:rsidRPr="00A22656">
        <w:rPr>
          <w:rStyle w:val="FootnoteReference"/>
          <w:rFonts w:ascii="Times New Roman" w:hAnsi="Times New Roman" w:cs="Times New Roman"/>
          <w:sz w:val="24"/>
          <w:szCs w:val="24"/>
        </w:rPr>
        <w:footnoteReference w:id="93"/>
      </w:r>
      <w:r w:rsidR="00270D7A" w:rsidRPr="00A22656">
        <w:rPr>
          <w:rFonts w:ascii="Times New Roman" w:hAnsi="Times New Roman" w:cs="Times New Roman"/>
          <w:sz w:val="24"/>
          <w:szCs w:val="24"/>
        </w:rPr>
        <w:t xml:space="preserve"> </w:t>
      </w:r>
      <w:r w:rsidR="008F2A2A" w:rsidRPr="00A22656">
        <w:rPr>
          <w:rFonts w:ascii="Times New Roman" w:hAnsi="Times New Roman" w:cs="Times New Roman"/>
          <w:sz w:val="24"/>
          <w:szCs w:val="24"/>
        </w:rPr>
        <w:t>T</w:t>
      </w:r>
      <w:r w:rsidR="00990425" w:rsidRPr="00A22656">
        <w:rPr>
          <w:rFonts w:ascii="Times New Roman" w:hAnsi="Times New Roman" w:cs="Times New Roman"/>
          <w:sz w:val="24"/>
          <w:szCs w:val="24"/>
        </w:rPr>
        <w:t>he</w:t>
      </w:r>
      <w:r w:rsidR="008F2A2A" w:rsidRPr="00A22656">
        <w:rPr>
          <w:rFonts w:ascii="Times New Roman" w:hAnsi="Times New Roman" w:cs="Times New Roman"/>
          <w:sz w:val="24"/>
          <w:szCs w:val="24"/>
        </w:rPr>
        <w:t xml:space="preserve"> transfer </w:t>
      </w:r>
      <w:r w:rsidR="00990425" w:rsidRPr="00A22656">
        <w:rPr>
          <w:rFonts w:ascii="Times New Roman" w:hAnsi="Times New Roman" w:cs="Times New Roman"/>
          <w:sz w:val="24"/>
          <w:szCs w:val="24"/>
        </w:rPr>
        <w:t xml:space="preserve">of Union citizenship mechanisms </w:t>
      </w:r>
      <w:r w:rsidR="00B93D6E" w:rsidRPr="00A22656">
        <w:rPr>
          <w:rFonts w:ascii="Times New Roman" w:hAnsi="Times New Roman" w:cs="Times New Roman"/>
          <w:sz w:val="24"/>
          <w:szCs w:val="24"/>
        </w:rPr>
        <w:t xml:space="preserve">has therefore already, at times, </w:t>
      </w:r>
      <w:r w:rsidR="00990425" w:rsidRPr="00A22656">
        <w:rPr>
          <w:rFonts w:ascii="Times New Roman" w:hAnsi="Times New Roman" w:cs="Times New Roman"/>
          <w:sz w:val="24"/>
          <w:szCs w:val="24"/>
        </w:rPr>
        <w:t>reverse</w:t>
      </w:r>
      <w:r w:rsidR="00B93D6E" w:rsidRPr="00A22656">
        <w:rPr>
          <w:rFonts w:ascii="Times New Roman" w:hAnsi="Times New Roman" w:cs="Times New Roman"/>
          <w:sz w:val="24"/>
          <w:szCs w:val="24"/>
        </w:rPr>
        <w:t>d</w:t>
      </w:r>
      <w:r w:rsidR="007A3B2A" w:rsidRPr="00A22656">
        <w:rPr>
          <w:rFonts w:ascii="Times New Roman" w:hAnsi="Times New Roman" w:cs="Times New Roman"/>
          <w:sz w:val="24"/>
          <w:szCs w:val="24"/>
        </w:rPr>
        <w:t xml:space="preserve"> </w:t>
      </w:r>
      <w:r w:rsidR="00990425" w:rsidRPr="00A22656">
        <w:rPr>
          <w:rFonts w:ascii="Times New Roman" w:hAnsi="Times New Roman" w:cs="Times New Roman"/>
          <w:sz w:val="24"/>
          <w:szCs w:val="24"/>
        </w:rPr>
        <w:t>more inclusive approaches established</w:t>
      </w:r>
      <w:r w:rsidR="007A3B2A" w:rsidRPr="00A22656">
        <w:rPr>
          <w:rFonts w:ascii="Times New Roman" w:hAnsi="Times New Roman" w:cs="Times New Roman"/>
          <w:sz w:val="24"/>
          <w:szCs w:val="24"/>
        </w:rPr>
        <w:t xml:space="preserve"> in the free movement of worker context</w:t>
      </w:r>
      <w:r w:rsidR="00B93D6E" w:rsidRPr="00A22656">
        <w:rPr>
          <w:rFonts w:ascii="Times New Roman" w:hAnsi="Times New Roman" w:cs="Times New Roman"/>
          <w:sz w:val="24"/>
          <w:szCs w:val="24"/>
        </w:rPr>
        <w:t>.</w:t>
      </w:r>
      <w:r w:rsidR="00990425" w:rsidRPr="00A22656">
        <w:rPr>
          <w:rStyle w:val="FootnoteReference"/>
          <w:rFonts w:ascii="Times New Roman" w:hAnsi="Times New Roman" w:cs="Times New Roman"/>
          <w:sz w:val="24"/>
          <w:szCs w:val="24"/>
        </w:rPr>
        <w:footnoteReference w:id="94"/>
      </w:r>
      <w:r w:rsidR="00664F4D" w:rsidRPr="00A22656">
        <w:rPr>
          <w:rFonts w:ascii="Times New Roman" w:hAnsi="Times New Roman" w:cs="Times New Roman"/>
          <w:sz w:val="24"/>
          <w:szCs w:val="24"/>
        </w:rPr>
        <w:t xml:space="preserve"> </w:t>
      </w:r>
    </w:p>
    <w:p w:rsidR="008F2A2A" w:rsidRPr="00A22656" w:rsidRDefault="008F2A2A" w:rsidP="005F768F">
      <w:pPr>
        <w:pStyle w:val="NoSpacing"/>
        <w:spacing w:line="360" w:lineRule="auto"/>
        <w:jc w:val="both"/>
        <w:rPr>
          <w:rFonts w:ascii="Times New Roman" w:hAnsi="Times New Roman" w:cs="Times New Roman"/>
          <w:sz w:val="24"/>
          <w:szCs w:val="24"/>
        </w:rPr>
      </w:pPr>
    </w:p>
    <w:p w:rsidR="000F706C" w:rsidRPr="00A22656" w:rsidRDefault="008F2A2A"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S</w:t>
      </w:r>
      <w:r w:rsidR="00664F4D" w:rsidRPr="00A22656">
        <w:rPr>
          <w:rFonts w:ascii="Times New Roman" w:hAnsi="Times New Roman" w:cs="Times New Roman"/>
          <w:sz w:val="24"/>
          <w:szCs w:val="24"/>
        </w:rPr>
        <w:t xml:space="preserve">ince </w:t>
      </w:r>
      <w:proofErr w:type="spellStart"/>
      <w:r w:rsidR="00664F4D" w:rsidRPr="00A22656">
        <w:rPr>
          <w:rFonts w:ascii="Times New Roman" w:hAnsi="Times New Roman" w:cs="Times New Roman"/>
          <w:i/>
          <w:sz w:val="24"/>
          <w:szCs w:val="24"/>
        </w:rPr>
        <w:t>Geven</w:t>
      </w:r>
      <w:proofErr w:type="spellEnd"/>
      <w:r w:rsidR="00664F4D" w:rsidRPr="00A22656">
        <w:rPr>
          <w:rFonts w:ascii="Times New Roman" w:hAnsi="Times New Roman" w:cs="Times New Roman"/>
          <w:i/>
          <w:sz w:val="24"/>
          <w:szCs w:val="24"/>
        </w:rPr>
        <w:t xml:space="preserve"> </w:t>
      </w:r>
      <w:r w:rsidR="00664F4D" w:rsidRPr="00A22656">
        <w:rPr>
          <w:rFonts w:ascii="Times New Roman" w:hAnsi="Times New Roman" w:cs="Times New Roman"/>
          <w:sz w:val="24"/>
          <w:szCs w:val="24"/>
        </w:rPr>
        <w:t xml:space="preserve">and </w:t>
      </w:r>
      <w:r w:rsidR="00664F4D" w:rsidRPr="00A22656">
        <w:rPr>
          <w:rFonts w:ascii="Times New Roman" w:hAnsi="Times New Roman" w:cs="Times New Roman"/>
          <w:i/>
          <w:sz w:val="24"/>
          <w:szCs w:val="24"/>
        </w:rPr>
        <w:t>Hartmann</w:t>
      </w:r>
      <w:r w:rsidR="00664F4D" w:rsidRPr="00A22656">
        <w:rPr>
          <w:rFonts w:ascii="Times New Roman" w:hAnsi="Times New Roman" w:cs="Times New Roman"/>
          <w:sz w:val="24"/>
          <w:szCs w:val="24"/>
        </w:rPr>
        <w:t xml:space="preserve">, </w:t>
      </w:r>
      <w:r w:rsidR="00A74EEB" w:rsidRPr="00A22656">
        <w:rPr>
          <w:rFonts w:ascii="Times New Roman" w:hAnsi="Times New Roman" w:cs="Times New Roman"/>
          <w:sz w:val="24"/>
          <w:szCs w:val="24"/>
        </w:rPr>
        <w:t>the Court has sought to minimise</w:t>
      </w:r>
      <w:r w:rsidR="00664F4D" w:rsidRPr="00A22656">
        <w:rPr>
          <w:rFonts w:ascii="Times New Roman" w:hAnsi="Times New Roman" w:cs="Times New Roman"/>
          <w:sz w:val="24"/>
          <w:szCs w:val="24"/>
        </w:rPr>
        <w:t xml:space="preserve"> the application of the ‘real link’ criteria to Union workers. </w:t>
      </w:r>
      <w:r w:rsidR="00E276F3" w:rsidRPr="00A22656">
        <w:rPr>
          <w:rFonts w:ascii="Times New Roman" w:hAnsi="Times New Roman" w:cs="Times New Roman"/>
          <w:sz w:val="24"/>
          <w:szCs w:val="24"/>
        </w:rPr>
        <w:t xml:space="preserve">Thus, in </w:t>
      </w:r>
      <w:r w:rsidR="00E276F3" w:rsidRPr="00A22656">
        <w:rPr>
          <w:rFonts w:ascii="Times New Roman" w:hAnsi="Times New Roman" w:cs="Times New Roman"/>
          <w:i/>
          <w:sz w:val="24"/>
          <w:szCs w:val="24"/>
        </w:rPr>
        <w:t>Commission v Netherlands,</w:t>
      </w:r>
      <w:r w:rsidR="00E276F3" w:rsidRPr="00A22656">
        <w:rPr>
          <w:rStyle w:val="FootnoteReference"/>
          <w:rFonts w:ascii="Times New Roman" w:hAnsi="Times New Roman" w:cs="Times New Roman"/>
          <w:sz w:val="24"/>
          <w:szCs w:val="24"/>
        </w:rPr>
        <w:footnoteReference w:id="95"/>
      </w:r>
      <w:r w:rsidR="00E276F3" w:rsidRPr="00A22656">
        <w:rPr>
          <w:rFonts w:ascii="Times New Roman" w:hAnsi="Times New Roman" w:cs="Times New Roman"/>
          <w:sz w:val="24"/>
          <w:szCs w:val="24"/>
        </w:rPr>
        <w:t xml:space="preserve"> participation in the labour market was found ‘in principle’ to offer a sufficient link to the host State to grant equal treatment rights.</w:t>
      </w:r>
      <w:r w:rsidR="0013511C" w:rsidRPr="00A22656">
        <w:rPr>
          <w:rStyle w:val="FootnoteReference"/>
          <w:rFonts w:ascii="Times New Roman" w:hAnsi="Times New Roman" w:cs="Times New Roman"/>
          <w:sz w:val="24"/>
          <w:szCs w:val="24"/>
        </w:rPr>
        <w:footnoteReference w:id="96"/>
      </w:r>
      <w:r w:rsidR="00C00CDC" w:rsidRPr="00A22656">
        <w:rPr>
          <w:rFonts w:ascii="Times New Roman" w:hAnsi="Times New Roman" w:cs="Times New Roman"/>
          <w:sz w:val="24"/>
          <w:szCs w:val="24"/>
        </w:rPr>
        <w:t xml:space="preserve"> </w:t>
      </w:r>
      <w:r w:rsidR="00D252B5" w:rsidRPr="00A22656">
        <w:rPr>
          <w:rFonts w:ascii="Times New Roman" w:hAnsi="Times New Roman" w:cs="Times New Roman"/>
          <w:sz w:val="24"/>
          <w:szCs w:val="24"/>
        </w:rPr>
        <w:t xml:space="preserve"> </w:t>
      </w:r>
      <w:r w:rsidR="00E276F3" w:rsidRPr="00A22656">
        <w:rPr>
          <w:rFonts w:ascii="Times New Roman" w:hAnsi="Times New Roman" w:cs="Times New Roman"/>
          <w:sz w:val="24"/>
          <w:szCs w:val="24"/>
        </w:rPr>
        <w:t>Yet</w:t>
      </w:r>
      <w:r w:rsidR="00896D8C" w:rsidRPr="00A22656">
        <w:rPr>
          <w:rFonts w:ascii="Times New Roman" w:hAnsi="Times New Roman" w:cs="Times New Roman"/>
          <w:sz w:val="24"/>
          <w:szCs w:val="24"/>
        </w:rPr>
        <w:t xml:space="preserve"> t</w:t>
      </w:r>
      <w:r w:rsidR="001867F7" w:rsidRPr="00A22656">
        <w:rPr>
          <w:rFonts w:ascii="Times New Roman" w:hAnsi="Times New Roman" w:cs="Times New Roman"/>
          <w:sz w:val="24"/>
          <w:szCs w:val="24"/>
        </w:rPr>
        <w:t xml:space="preserve">he consequence of the Court’s decision not to overrule </w:t>
      </w:r>
      <w:proofErr w:type="spellStart"/>
      <w:r w:rsidR="001867F7" w:rsidRPr="00A22656">
        <w:rPr>
          <w:rFonts w:ascii="Times New Roman" w:hAnsi="Times New Roman" w:cs="Times New Roman"/>
          <w:i/>
          <w:sz w:val="24"/>
          <w:szCs w:val="24"/>
        </w:rPr>
        <w:t>Geven</w:t>
      </w:r>
      <w:proofErr w:type="spellEnd"/>
      <w:r w:rsidR="001867F7" w:rsidRPr="00A22656">
        <w:rPr>
          <w:rFonts w:ascii="Times New Roman" w:hAnsi="Times New Roman" w:cs="Times New Roman"/>
          <w:sz w:val="24"/>
          <w:szCs w:val="24"/>
        </w:rPr>
        <w:t xml:space="preserve"> and </w:t>
      </w:r>
      <w:r w:rsidR="001867F7" w:rsidRPr="00A22656">
        <w:rPr>
          <w:rFonts w:ascii="Times New Roman" w:hAnsi="Times New Roman" w:cs="Times New Roman"/>
          <w:i/>
          <w:sz w:val="24"/>
          <w:szCs w:val="24"/>
        </w:rPr>
        <w:t>Hartmann</w:t>
      </w:r>
      <w:r w:rsidR="001867F7" w:rsidRPr="00A22656">
        <w:rPr>
          <w:rFonts w:ascii="Times New Roman" w:hAnsi="Times New Roman" w:cs="Times New Roman"/>
          <w:sz w:val="24"/>
          <w:szCs w:val="24"/>
        </w:rPr>
        <w:t>, but to hold, ins</w:t>
      </w:r>
      <w:r w:rsidR="00E276F3" w:rsidRPr="00A22656">
        <w:rPr>
          <w:rFonts w:ascii="Times New Roman" w:hAnsi="Times New Roman" w:cs="Times New Roman"/>
          <w:sz w:val="24"/>
          <w:szCs w:val="24"/>
        </w:rPr>
        <w:t>tead, that</w:t>
      </w:r>
      <w:r w:rsidR="001867F7" w:rsidRPr="00A22656">
        <w:rPr>
          <w:rFonts w:ascii="Times New Roman" w:hAnsi="Times New Roman" w:cs="Times New Roman"/>
          <w:sz w:val="24"/>
          <w:szCs w:val="24"/>
        </w:rPr>
        <w:t xml:space="preserve"> work ‘in principle’ meets the requirements of the real link test is that the door is left open for that test to </w:t>
      </w:r>
      <w:r w:rsidRPr="00A22656">
        <w:rPr>
          <w:rFonts w:ascii="Times New Roman" w:hAnsi="Times New Roman" w:cs="Times New Roman"/>
          <w:sz w:val="24"/>
          <w:szCs w:val="24"/>
        </w:rPr>
        <w:t xml:space="preserve">restrict the </w:t>
      </w:r>
      <w:r w:rsidR="001867F7" w:rsidRPr="00A22656">
        <w:rPr>
          <w:rFonts w:ascii="Times New Roman" w:hAnsi="Times New Roman" w:cs="Times New Roman"/>
          <w:sz w:val="24"/>
          <w:szCs w:val="24"/>
        </w:rPr>
        <w:t xml:space="preserve">rights of Union workers in the future. </w:t>
      </w:r>
      <w:r w:rsidRPr="00A22656">
        <w:rPr>
          <w:rFonts w:ascii="Times New Roman" w:hAnsi="Times New Roman" w:cs="Times New Roman"/>
          <w:sz w:val="24"/>
          <w:szCs w:val="24"/>
        </w:rPr>
        <w:t>Interestingly</w:t>
      </w:r>
      <w:r w:rsidR="00896D8C" w:rsidRPr="00A22656">
        <w:rPr>
          <w:rFonts w:ascii="Times New Roman" w:hAnsi="Times New Roman" w:cs="Times New Roman"/>
          <w:sz w:val="24"/>
          <w:szCs w:val="24"/>
        </w:rPr>
        <w:t xml:space="preserve">, </w:t>
      </w:r>
      <w:r w:rsidR="001867F7" w:rsidRPr="00A22656">
        <w:rPr>
          <w:rFonts w:ascii="Times New Roman" w:hAnsi="Times New Roman" w:cs="Times New Roman"/>
          <w:sz w:val="24"/>
          <w:szCs w:val="24"/>
        </w:rPr>
        <w:t>the Court also stated</w:t>
      </w:r>
      <w:r w:rsidR="00896D8C" w:rsidRPr="00A22656">
        <w:rPr>
          <w:rFonts w:ascii="Times New Roman" w:hAnsi="Times New Roman" w:cs="Times New Roman"/>
          <w:sz w:val="24"/>
          <w:szCs w:val="24"/>
        </w:rPr>
        <w:t xml:space="preserve"> in </w:t>
      </w:r>
      <w:r w:rsidR="00896D8C" w:rsidRPr="00A22656">
        <w:rPr>
          <w:rFonts w:ascii="Times New Roman" w:hAnsi="Times New Roman" w:cs="Times New Roman"/>
          <w:i/>
          <w:sz w:val="24"/>
          <w:szCs w:val="24"/>
        </w:rPr>
        <w:t>Commission v Netherlands</w:t>
      </w:r>
      <w:r w:rsidR="00E276F3" w:rsidRPr="00A22656">
        <w:rPr>
          <w:rFonts w:ascii="Times New Roman" w:hAnsi="Times New Roman" w:cs="Times New Roman"/>
          <w:sz w:val="24"/>
          <w:szCs w:val="24"/>
        </w:rPr>
        <w:t xml:space="preserve"> that the</w:t>
      </w:r>
      <w:r w:rsidR="00896D8C" w:rsidRPr="00A22656">
        <w:rPr>
          <w:rFonts w:ascii="Times New Roman" w:hAnsi="Times New Roman" w:cs="Times New Roman"/>
          <w:sz w:val="24"/>
          <w:szCs w:val="24"/>
        </w:rPr>
        <w:t xml:space="preserve"> sufficient</w:t>
      </w:r>
      <w:r w:rsidR="001867F7" w:rsidRPr="00A22656">
        <w:rPr>
          <w:rFonts w:ascii="Times New Roman" w:hAnsi="Times New Roman" w:cs="Times New Roman"/>
          <w:sz w:val="24"/>
          <w:szCs w:val="24"/>
        </w:rPr>
        <w:t xml:space="preserve"> link arose from ‘the fact that, through the taxes which he pays the host Member State by virtue of his employment, the migrant worker also contributes to the financing of the social policies of that State’.</w:t>
      </w:r>
      <w:r w:rsidR="001867F7" w:rsidRPr="00A22656">
        <w:rPr>
          <w:rStyle w:val="FootnoteReference"/>
          <w:rFonts w:ascii="Times New Roman" w:hAnsi="Times New Roman" w:cs="Times New Roman"/>
          <w:sz w:val="24"/>
          <w:szCs w:val="24"/>
        </w:rPr>
        <w:footnoteReference w:id="97"/>
      </w:r>
      <w:r w:rsidR="00397049" w:rsidRPr="00A22656">
        <w:rPr>
          <w:rFonts w:ascii="Times New Roman" w:hAnsi="Times New Roman" w:cs="Times New Roman"/>
          <w:sz w:val="24"/>
          <w:szCs w:val="24"/>
        </w:rPr>
        <w:t xml:space="preserve"> </w:t>
      </w:r>
      <w:r w:rsidR="00896D8C" w:rsidRPr="00A22656">
        <w:rPr>
          <w:rFonts w:ascii="Times New Roman" w:hAnsi="Times New Roman" w:cs="Times New Roman"/>
          <w:sz w:val="24"/>
          <w:szCs w:val="24"/>
        </w:rPr>
        <w:t xml:space="preserve">Arguably, </w:t>
      </w:r>
      <w:r w:rsidR="00397049" w:rsidRPr="00A22656">
        <w:rPr>
          <w:rFonts w:ascii="Times New Roman" w:hAnsi="Times New Roman" w:cs="Times New Roman"/>
          <w:sz w:val="24"/>
          <w:szCs w:val="24"/>
        </w:rPr>
        <w:t>the connection forged</w:t>
      </w:r>
      <w:r w:rsidR="0018223C" w:rsidRPr="00A22656">
        <w:rPr>
          <w:rFonts w:ascii="Times New Roman" w:hAnsi="Times New Roman" w:cs="Times New Roman"/>
          <w:sz w:val="24"/>
          <w:szCs w:val="24"/>
        </w:rPr>
        <w:t xml:space="preserve"> in this judgment, between the establishment of a ‘real link’ and one’s financial contributions to the host State’s social security system</w:t>
      </w:r>
      <w:r w:rsidR="00911650" w:rsidRPr="00A22656">
        <w:rPr>
          <w:rFonts w:ascii="Times New Roman" w:hAnsi="Times New Roman" w:cs="Times New Roman"/>
          <w:sz w:val="24"/>
          <w:szCs w:val="24"/>
        </w:rPr>
        <w:t>,</w:t>
      </w:r>
      <w:r w:rsidR="00E276F3" w:rsidRPr="00A22656">
        <w:rPr>
          <w:rFonts w:ascii="Times New Roman" w:hAnsi="Times New Roman" w:cs="Times New Roman"/>
          <w:sz w:val="24"/>
          <w:szCs w:val="24"/>
        </w:rPr>
        <w:t xml:space="preserve"> is mirrored</w:t>
      </w:r>
      <w:r w:rsidR="0018223C" w:rsidRPr="00A22656">
        <w:rPr>
          <w:rFonts w:ascii="Times New Roman" w:hAnsi="Times New Roman" w:cs="Times New Roman"/>
          <w:sz w:val="24"/>
          <w:szCs w:val="24"/>
        </w:rPr>
        <w:t xml:space="preserve"> in the safeguard</w:t>
      </w:r>
      <w:r w:rsidR="00911650" w:rsidRPr="00A22656">
        <w:rPr>
          <w:rFonts w:ascii="Times New Roman" w:hAnsi="Times New Roman" w:cs="Times New Roman"/>
          <w:sz w:val="24"/>
          <w:szCs w:val="24"/>
        </w:rPr>
        <w:t xml:space="preserve">’s </w:t>
      </w:r>
      <w:r w:rsidR="00E276F3" w:rsidRPr="00A22656">
        <w:rPr>
          <w:rFonts w:ascii="Times New Roman" w:hAnsi="Times New Roman" w:cs="Times New Roman"/>
          <w:sz w:val="24"/>
          <w:szCs w:val="24"/>
        </w:rPr>
        <w:t>‘gradual’ access to welfare to reflect a ‘growing connection’ to the host State.</w:t>
      </w:r>
      <w:r w:rsidR="000F706C" w:rsidRPr="00A22656">
        <w:rPr>
          <w:rFonts w:ascii="Times New Roman" w:hAnsi="Times New Roman" w:cs="Times New Roman"/>
          <w:sz w:val="24"/>
          <w:szCs w:val="24"/>
        </w:rPr>
        <w:t xml:space="preserve">   </w:t>
      </w:r>
    </w:p>
    <w:p w:rsidR="00A74EEB" w:rsidRPr="00A22656" w:rsidRDefault="00A74EEB" w:rsidP="005F768F">
      <w:pPr>
        <w:pStyle w:val="NoSpacing"/>
        <w:spacing w:line="360" w:lineRule="auto"/>
        <w:jc w:val="both"/>
        <w:rPr>
          <w:rFonts w:ascii="Times New Roman" w:hAnsi="Times New Roman" w:cs="Times New Roman"/>
          <w:sz w:val="24"/>
          <w:szCs w:val="24"/>
        </w:rPr>
      </w:pPr>
    </w:p>
    <w:p w:rsidR="00FC4705" w:rsidRPr="00A22656" w:rsidRDefault="00AF3717"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Ironically, then, the Court’s constitutional boundary pushing during the evolution of Union citizenship – which historically endeavoured to extend free movement rights – now appears, through the introduction of placatory limitations on those expansions, to provide a framework for their </w:t>
      </w:r>
      <w:r w:rsidR="008C382B" w:rsidRPr="00A22656">
        <w:rPr>
          <w:rFonts w:ascii="Times New Roman" w:hAnsi="Times New Roman" w:cs="Times New Roman"/>
          <w:sz w:val="24"/>
          <w:szCs w:val="24"/>
        </w:rPr>
        <w:t>restriction</w:t>
      </w:r>
      <w:r w:rsidRPr="00A22656">
        <w:rPr>
          <w:rFonts w:ascii="Times New Roman" w:hAnsi="Times New Roman" w:cs="Times New Roman"/>
          <w:sz w:val="24"/>
          <w:szCs w:val="24"/>
        </w:rPr>
        <w:t>.</w:t>
      </w:r>
      <w:r w:rsidR="003A7B41" w:rsidRPr="00A22656">
        <w:rPr>
          <w:rFonts w:ascii="Times New Roman" w:hAnsi="Times New Roman" w:cs="Times New Roman"/>
          <w:sz w:val="24"/>
          <w:szCs w:val="24"/>
        </w:rPr>
        <w:t xml:space="preserve"> Similarly,</w:t>
      </w:r>
      <w:r w:rsidR="008C382B" w:rsidRPr="00A22656">
        <w:rPr>
          <w:rFonts w:ascii="Times New Roman" w:hAnsi="Times New Roman" w:cs="Times New Roman"/>
          <w:sz w:val="24"/>
          <w:szCs w:val="24"/>
        </w:rPr>
        <w:t xml:space="preserve"> the CJEU’s institutional boundary pushing, whilst initially of clear benefit to</w:t>
      </w:r>
      <w:r w:rsidR="000E169C" w:rsidRPr="00A22656">
        <w:rPr>
          <w:rFonts w:ascii="Times New Roman" w:hAnsi="Times New Roman" w:cs="Times New Roman"/>
          <w:sz w:val="24"/>
          <w:szCs w:val="24"/>
        </w:rPr>
        <w:t xml:space="preserve"> Union citizens’ enjoyment of free movement rights</w:t>
      </w:r>
      <w:r w:rsidR="00B76770" w:rsidRPr="00A22656">
        <w:rPr>
          <w:rFonts w:ascii="Times New Roman" w:hAnsi="Times New Roman" w:cs="Times New Roman"/>
          <w:sz w:val="24"/>
          <w:szCs w:val="24"/>
        </w:rPr>
        <w:t xml:space="preserve"> might</w:t>
      </w:r>
      <w:r w:rsidR="003147A9" w:rsidRPr="00A22656">
        <w:rPr>
          <w:rFonts w:ascii="Times New Roman" w:hAnsi="Times New Roman" w:cs="Times New Roman"/>
          <w:sz w:val="24"/>
          <w:szCs w:val="24"/>
        </w:rPr>
        <w:t>,</w:t>
      </w:r>
      <w:r w:rsidR="00B76770" w:rsidRPr="00A22656">
        <w:rPr>
          <w:rFonts w:ascii="Times New Roman" w:hAnsi="Times New Roman" w:cs="Times New Roman"/>
          <w:sz w:val="24"/>
          <w:szCs w:val="24"/>
        </w:rPr>
        <w:t xml:space="preserve"> nevertheless, and </w:t>
      </w:r>
      <w:r w:rsidR="00CE133D" w:rsidRPr="00A22656">
        <w:rPr>
          <w:rFonts w:ascii="Times New Roman" w:hAnsi="Times New Roman" w:cs="Times New Roman"/>
          <w:sz w:val="24"/>
          <w:szCs w:val="24"/>
        </w:rPr>
        <w:t xml:space="preserve">paradoxically, </w:t>
      </w:r>
      <w:r w:rsidR="009811D8" w:rsidRPr="00A22656">
        <w:rPr>
          <w:rFonts w:ascii="Times New Roman" w:hAnsi="Times New Roman" w:cs="Times New Roman"/>
          <w:sz w:val="24"/>
          <w:szCs w:val="24"/>
        </w:rPr>
        <w:t>has</w:t>
      </w:r>
      <w:r w:rsidR="008C382B" w:rsidRPr="00A22656">
        <w:rPr>
          <w:rFonts w:ascii="Times New Roman" w:hAnsi="Times New Roman" w:cs="Times New Roman"/>
          <w:sz w:val="24"/>
          <w:szCs w:val="24"/>
        </w:rPr>
        <w:t xml:space="preserve"> contributed to the growing political pressure to limit</w:t>
      </w:r>
      <w:r w:rsidR="00B76770" w:rsidRPr="00A22656">
        <w:rPr>
          <w:rFonts w:ascii="Times New Roman" w:hAnsi="Times New Roman" w:cs="Times New Roman"/>
          <w:sz w:val="24"/>
          <w:szCs w:val="24"/>
        </w:rPr>
        <w:t xml:space="preserve"> them.</w:t>
      </w:r>
      <w:r w:rsidR="007A3134" w:rsidRPr="00A22656">
        <w:rPr>
          <w:rFonts w:ascii="Times New Roman" w:hAnsi="Times New Roman" w:cs="Times New Roman"/>
          <w:sz w:val="24"/>
          <w:szCs w:val="24"/>
        </w:rPr>
        <w:t xml:space="preserve"> Specifically</w:t>
      </w:r>
      <w:r w:rsidR="00CD0555" w:rsidRPr="00A22656">
        <w:rPr>
          <w:rFonts w:ascii="Times New Roman" w:hAnsi="Times New Roman" w:cs="Times New Roman"/>
          <w:sz w:val="24"/>
          <w:szCs w:val="24"/>
        </w:rPr>
        <w:t>,</w:t>
      </w:r>
      <w:r w:rsidR="00FC4705" w:rsidRPr="00A22656">
        <w:rPr>
          <w:rFonts w:ascii="Times New Roman" w:hAnsi="Times New Roman" w:cs="Times New Roman"/>
          <w:sz w:val="24"/>
          <w:szCs w:val="24"/>
        </w:rPr>
        <w:t xml:space="preserve"> the achievement of a functioning internal market and an increasingly meaningful Union citizensh</w:t>
      </w:r>
      <w:r w:rsidR="00EA5987" w:rsidRPr="00A22656">
        <w:rPr>
          <w:rFonts w:ascii="Times New Roman" w:hAnsi="Times New Roman" w:cs="Times New Roman"/>
          <w:sz w:val="24"/>
          <w:szCs w:val="24"/>
        </w:rPr>
        <w:t xml:space="preserve">ip through the </w:t>
      </w:r>
      <w:proofErr w:type="spellStart"/>
      <w:r w:rsidR="00EA5987" w:rsidRPr="00A22656">
        <w:rPr>
          <w:rFonts w:ascii="Times New Roman" w:hAnsi="Times New Roman" w:cs="Times New Roman"/>
          <w:sz w:val="24"/>
          <w:szCs w:val="24"/>
        </w:rPr>
        <w:t>constitutionalisation</w:t>
      </w:r>
      <w:proofErr w:type="spellEnd"/>
      <w:r w:rsidR="00EA5987" w:rsidRPr="00A22656">
        <w:rPr>
          <w:rFonts w:ascii="Times New Roman" w:hAnsi="Times New Roman" w:cs="Times New Roman"/>
          <w:sz w:val="24"/>
          <w:szCs w:val="24"/>
        </w:rPr>
        <w:t xml:space="preserve"> of EU primary and secondary law frequently</w:t>
      </w:r>
      <w:r w:rsidR="00FC4705" w:rsidRPr="00A22656">
        <w:rPr>
          <w:rFonts w:ascii="Times New Roman" w:hAnsi="Times New Roman" w:cs="Times New Roman"/>
          <w:sz w:val="24"/>
          <w:szCs w:val="24"/>
        </w:rPr>
        <w:t xml:space="preserve"> transfer</w:t>
      </w:r>
      <w:r w:rsidR="00EA5987" w:rsidRPr="00A22656">
        <w:rPr>
          <w:rFonts w:ascii="Times New Roman" w:hAnsi="Times New Roman" w:cs="Times New Roman"/>
          <w:sz w:val="24"/>
          <w:szCs w:val="24"/>
        </w:rPr>
        <w:t xml:space="preserve">s </w:t>
      </w:r>
      <w:r w:rsidR="00FC4705" w:rsidRPr="00A22656">
        <w:rPr>
          <w:rFonts w:ascii="Times New Roman" w:hAnsi="Times New Roman" w:cs="Times New Roman"/>
          <w:sz w:val="24"/>
          <w:szCs w:val="24"/>
        </w:rPr>
        <w:t>essentially political decision-mak</w:t>
      </w:r>
      <w:r w:rsidR="00EA5987" w:rsidRPr="00A22656">
        <w:rPr>
          <w:rFonts w:ascii="Times New Roman" w:hAnsi="Times New Roman" w:cs="Times New Roman"/>
          <w:sz w:val="24"/>
          <w:szCs w:val="24"/>
        </w:rPr>
        <w:t>ing to non-political institutions</w:t>
      </w:r>
      <w:r w:rsidR="00FC4705" w:rsidRPr="00A22656">
        <w:rPr>
          <w:rFonts w:ascii="Times New Roman" w:hAnsi="Times New Roman" w:cs="Times New Roman"/>
          <w:sz w:val="24"/>
          <w:szCs w:val="24"/>
        </w:rPr>
        <w:t xml:space="preserve">, whilst limiting the </w:t>
      </w:r>
      <w:r w:rsidR="00FC4705" w:rsidRPr="00A22656">
        <w:rPr>
          <w:rFonts w:ascii="Times New Roman" w:hAnsi="Times New Roman" w:cs="Times New Roman"/>
          <w:sz w:val="24"/>
          <w:szCs w:val="24"/>
        </w:rPr>
        <w:lastRenderedPageBreak/>
        <w:t>capacity of legislative organs to respond.</w:t>
      </w:r>
      <w:r w:rsidR="00C46A3F" w:rsidRPr="00A22656">
        <w:rPr>
          <w:rStyle w:val="FootnoteReference"/>
          <w:rFonts w:ascii="Times New Roman" w:hAnsi="Times New Roman" w:cs="Times New Roman"/>
          <w:sz w:val="24"/>
          <w:szCs w:val="24"/>
        </w:rPr>
        <w:footnoteReference w:id="98"/>
      </w:r>
      <w:r w:rsidR="00FC4705" w:rsidRPr="00A22656">
        <w:rPr>
          <w:rFonts w:ascii="Times New Roman" w:hAnsi="Times New Roman" w:cs="Times New Roman"/>
          <w:sz w:val="24"/>
          <w:szCs w:val="24"/>
        </w:rPr>
        <w:t xml:space="preserve"> In the longer-term, </w:t>
      </w:r>
      <w:r w:rsidR="00EA5987" w:rsidRPr="00A22656">
        <w:rPr>
          <w:rFonts w:ascii="Times New Roman" w:hAnsi="Times New Roman" w:cs="Times New Roman"/>
          <w:sz w:val="24"/>
          <w:szCs w:val="24"/>
        </w:rPr>
        <w:t>this approach might actually serve to damage, rather than strengthen</w:t>
      </w:r>
      <w:r w:rsidR="00B76770" w:rsidRPr="00A22656">
        <w:rPr>
          <w:rFonts w:ascii="Times New Roman" w:hAnsi="Times New Roman" w:cs="Times New Roman"/>
          <w:sz w:val="24"/>
          <w:szCs w:val="24"/>
        </w:rPr>
        <w:t>,</w:t>
      </w:r>
      <w:r w:rsidR="00EA5987" w:rsidRPr="00A22656">
        <w:rPr>
          <w:rFonts w:ascii="Times New Roman" w:hAnsi="Times New Roman" w:cs="Times New Roman"/>
          <w:sz w:val="24"/>
          <w:szCs w:val="24"/>
        </w:rPr>
        <w:t xml:space="preserve"> connections between the EU and its citizenry, particularly since the Court tends not to relinquish its institutional dominance even as it seeks to pacify the Member States.  </w:t>
      </w:r>
      <w:r w:rsidR="00FC4705" w:rsidRPr="00A22656">
        <w:rPr>
          <w:rFonts w:ascii="Times New Roman" w:hAnsi="Times New Roman" w:cs="Times New Roman"/>
          <w:sz w:val="24"/>
          <w:szCs w:val="24"/>
        </w:rPr>
        <w:t xml:space="preserve"> </w:t>
      </w:r>
    </w:p>
    <w:p w:rsidR="00063622" w:rsidRPr="00A22656" w:rsidRDefault="00063622" w:rsidP="000E169C">
      <w:pPr>
        <w:spacing w:line="360" w:lineRule="auto"/>
        <w:rPr>
          <w:rFonts w:ascii="Times New Roman" w:hAnsi="Times New Roman" w:cs="Times New Roman"/>
          <w:b/>
          <w:i/>
          <w:sz w:val="24"/>
          <w:szCs w:val="24"/>
        </w:rPr>
      </w:pPr>
    </w:p>
    <w:p w:rsidR="00F41CF9" w:rsidRPr="00A22656" w:rsidRDefault="00063622" w:rsidP="005F768F">
      <w:pPr>
        <w:pStyle w:val="ListParagraph"/>
        <w:numPr>
          <w:ilvl w:val="1"/>
          <w:numId w:val="2"/>
        </w:numPr>
        <w:spacing w:line="360" w:lineRule="auto"/>
        <w:rPr>
          <w:rFonts w:ascii="Times New Roman" w:hAnsi="Times New Roman" w:cs="Times New Roman"/>
          <w:b/>
          <w:sz w:val="24"/>
          <w:szCs w:val="24"/>
        </w:rPr>
      </w:pPr>
      <w:r w:rsidRPr="00A22656">
        <w:rPr>
          <w:rFonts w:ascii="Times New Roman" w:hAnsi="Times New Roman" w:cs="Times New Roman"/>
          <w:b/>
          <w:i/>
          <w:sz w:val="24"/>
          <w:szCs w:val="24"/>
        </w:rPr>
        <w:t>The institutional roots of the safeguard</w:t>
      </w:r>
    </w:p>
    <w:p w:rsidR="00F26CAA" w:rsidRPr="00A22656" w:rsidRDefault="00C03258"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Almost since its inception, the EU has faced accusations of democratic deficit. Questions over the Union’s democratic legitimacy are, however, most commonly levelled at its political institutions, in particular the </w:t>
      </w:r>
      <w:r w:rsidR="00942176" w:rsidRPr="00A22656">
        <w:rPr>
          <w:rFonts w:ascii="Times New Roman" w:hAnsi="Times New Roman" w:cs="Times New Roman"/>
          <w:sz w:val="24"/>
          <w:szCs w:val="24"/>
        </w:rPr>
        <w:t>historically</w:t>
      </w:r>
      <w:r w:rsidR="003147A9" w:rsidRPr="00A22656">
        <w:rPr>
          <w:rFonts w:ascii="Times New Roman" w:hAnsi="Times New Roman" w:cs="Times New Roman"/>
          <w:sz w:val="24"/>
          <w:szCs w:val="24"/>
        </w:rPr>
        <w:t xml:space="preserve"> weak, </w:t>
      </w:r>
      <w:r w:rsidRPr="00A22656">
        <w:rPr>
          <w:rFonts w:ascii="Times New Roman" w:hAnsi="Times New Roman" w:cs="Times New Roman"/>
          <w:sz w:val="24"/>
          <w:szCs w:val="24"/>
        </w:rPr>
        <w:t>through growing</w:t>
      </w:r>
      <w:r w:rsidR="003147A9" w:rsidRPr="00A22656">
        <w:rPr>
          <w:rFonts w:ascii="Times New Roman" w:hAnsi="Times New Roman" w:cs="Times New Roman"/>
          <w:sz w:val="24"/>
          <w:szCs w:val="24"/>
        </w:rPr>
        <w:t>,</w:t>
      </w:r>
      <w:r w:rsidRPr="00A22656">
        <w:rPr>
          <w:rFonts w:ascii="Times New Roman" w:hAnsi="Times New Roman" w:cs="Times New Roman"/>
          <w:sz w:val="24"/>
          <w:szCs w:val="24"/>
        </w:rPr>
        <w:t xml:space="preserve"> power of the European Parliament.</w:t>
      </w:r>
      <w:r w:rsidR="00B76770" w:rsidRPr="00A22656">
        <w:rPr>
          <w:rStyle w:val="FootnoteReference"/>
          <w:rFonts w:ascii="Times New Roman" w:hAnsi="Times New Roman" w:cs="Times New Roman"/>
          <w:sz w:val="24"/>
          <w:szCs w:val="24"/>
        </w:rPr>
        <w:footnoteReference w:id="99"/>
      </w:r>
      <w:r w:rsidR="00B76770" w:rsidRPr="00A22656">
        <w:rPr>
          <w:rFonts w:ascii="Times New Roman" w:hAnsi="Times New Roman" w:cs="Times New Roman"/>
          <w:sz w:val="24"/>
          <w:szCs w:val="24"/>
        </w:rPr>
        <w:t xml:space="preserve"> H</w:t>
      </w:r>
      <w:r w:rsidR="00EB38BF" w:rsidRPr="00A22656">
        <w:rPr>
          <w:rFonts w:ascii="Times New Roman" w:hAnsi="Times New Roman" w:cs="Times New Roman"/>
          <w:sz w:val="24"/>
          <w:szCs w:val="24"/>
        </w:rPr>
        <w:t>owever,</w:t>
      </w:r>
      <w:r w:rsidR="00A77CB4" w:rsidRPr="00A22656">
        <w:rPr>
          <w:rFonts w:ascii="Times New Roman" w:hAnsi="Times New Roman" w:cs="Times New Roman"/>
          <w:sz w:val="24"/>
          <w:szCs w:val="24"/>
        </w:rPr>
        <w:t xml:space="preserve"> </w:t>
      </w:r>
      <w:r w:rsidR="00423ED9" w:rsidRPr="00A22656">
        <w:rPr>
          <w:rFonts w:ascii="Times New Roman" w:hAnsi="Times New Roman" w:cs="Times New Roman"/>
          <w:sz w:val="24"/>
          <w:szCs w:val="24"/>
        </w:rPr>
        <w:t>the constitutional and institutional roots of the safeguard offer a significant example of what Grimm argues is an often over-looked factor in the Union’s legitimacy deficit: the over-</w:t>
      </w:r>
      <w:proofErr w:type="spellStart"/>
      <w:r w:rsidR="00423ED9" w:rsidRPr="00A22656">
        <w:rPr>
          <w:rFonts w:ascii="Times New Roman" w:hAnsi="Times New Roman" w:cs="Times New Roman"/>
          <w:sz w:val="24"/>
          <w:szCs w:val="24"/>
        </w:rPr>
        <w:t>constitutionalisation</w:t>
      </w:r>
      <w:proofErr w:type="spellEnd"/>
      <w:r w:rsidR="00423ED9" w:rsidRPr="00A22656">
        <w:rPr>
          <w:rFonts w:ascii="Times New Roman" w:hAnsi="Times New Roman" w:cs="Times New Roman"/>
          <w:sz w:val="24"/>
          <w:szCs w:val="24"/>
        </w:rPr>
        <w:t xml:space="preserve"> of both primary and secondary Union law by the CJEU.</w:t>
      </w:r>
      <w:r w:rsidR="00423ED9" w:rsidRPr="00A22656">
        <w:rPr>
          <w:rStyle w:val="FootnoteReference"/>
          <w:rFonts w:ascii="Times New Roman" w:hAnsi="Times New Roman" w:cs="Times New Roman"/>
          <w:sz w:val="24"/>
          <w:szCs w:val="24"/>
        </w:rPr>
        <w:footnoteReference w:id="100"/>
      </w:r>
      <w:r w:rsidR="00423ED9" w:rsidRPr="00A22656">
        <w:rPr>
          <w:rFonts w:ascii="Times New Roman" w:hAnsi="Times New Roman" w:cs="Times New Roman"/>
          <w:sz w:val="24"/>
          <w:szCs w:val="24"/>
        </w:rPr>
        <w:t xml:space="preserve"> </w:t>
      </w:r>
      <w:r w:rsidR="0032516C" w:rsidRPr="00A22656">
        <w:rPr>
          <w:rFonts w:ascii="Times New Roman" w:hAnsi="Times New Roman" w:cs="Times New Roman"/>
          <w:sz w:val="24"/>
          <w:szCs w:val="24"/>
        </w:rPr>
        <w:t>For Grimm, constitutions serve to furnish the basic structure and lasting principles for politics, while politics fills the spaces constitutions leave behind according to changing political preferences and circumstances.</w:t>
      </w:r>
      <w:r w:rsidR="0032516C" w:rsidRPr="00A22656">
        <w:rPr>
          <w:rStyle w:val="FootnoteReference"/>
          <w:rFonts w:ascii="Times New Roman" w:hAnsi="Times New Roman" w:cs="Times New Roman"/>
          <w:sz w:val="24"/>
          <w:szCs w:val="24"/>
        </w:rPr>
        <w:footnoteReference w:id="101"/>
      </w:r>
      <w:r w:rsidR="0032516C" w:rsidRPr="00A22656">
        <w:rPr>
          <w:rFonts w:ascii="Times New Roman" w:hAnsi="Times New Roman" w:cs="Times New Roman"/>
          <w:sz w:val="24"/>
          <w:szCs w:val="24"/>
        </w:rPr>
        <w:t xml:space="preserve"> </w:t>
      </w:r>
      <w:r w:rsidR="009811D8" w:rsidRPr="00A22656">
        <w:rPr>
          <w:rFonts w:ascii="Times New Roman" w:hAnsi="Times New Roman" w:cs="Times New Roman"/>
          <w:sz w:val="24"/>
          <w:szCs w:val="24"/>
        </w:rPr>
        <w:t>Yet</w:t>
      </w:r>
      <w:r w:rsidR="006B2757" w:rsidRPr="00A22656">
        <w:rPr>
          <w:rFonts w:ascii="Times New Roman" w:hAnsi="Times New Roman" w:cs="Times New Roman"/>
          <w:sz w:val="24"/>
          <w:szCs w:val="24"/>
        </w:rPr>
        <w:t xml:space="preserve">, </w:t>
      </w:r>
      <w:r w:rsidR="0032516C" w:rsidRPr="00A22656">
        <w:rPr>
          <w:rFonts w:ascii="Times New Roman" w:hAnsi="Times New Roman" w:cs="Times New Roman"/>
          <w:sz w:val="24"/>
          <w:szCs w:val="24"/>
        </w:rPr>
        <w:t>the often open-textured nature of constitutional norms</w:t>
      </w:r>
      <w:r w:rsidR="006B2757" w:rsidRPr="00A22656">
        <w:rPr>
          <w:rFonts w:ascii="Times New Roman" w:hAnsi="Times New Roman" w:cs="Times New Roman"/>
          <w:sz w:val="24"/>
          <w:szCs w:val="24"/>
        </w:rPr>
        <w:t>, he notes,</w:t>
      </w:r>
      <w:r w:rsidR="0032516C" w:rsidRPr="00A22656">
        <w:rPr>
          <w:rFonts w:ascii="Times New Roman" w:hAnsi="Times New Roman" w:cs="Times New Roman"/>
          <w:sz w:val="24"/>
          <w:szCs w:val="24"/>
        </w:rPr>
        <w:t xml:space="preserve"> creates the potent</w:t>
      </w:r>
      <w:r w:rsidR="00350D83" w:rsidRPr="00A22656">
        <w:rPr>
          <w:rFonts w:ascii="Times New Roman" w:hAnsi="Times New Roman" w:cs="Times New Roman"/>
          <w:sz w:val="24"/>
          <w:szCs w:val="24"/>
        </w:rPr>
        <w:t xml:space="preserve">ial for courts to interpret </w:t>
      </w:r>
      <w:r w:rsidR="0032516C" w:rsidRPr="00A22656">
        <w:rPr>
          <w:rFonts w:ascii="Times New Roman" w:hAnsi="Times New Roman" w:cs="Times New Roman"/>
          <w:sz w:val="24"/>
          <w:szCs w:val="24"/>
        </w:rPr>
        <w:t xml:space="preserve">them in a manner which reduces </w:t>
      </w:r>
      <w:r w:rsidR="00350D83" w:rsidRPr="00A22656">
        <w:rPr>
          <w:rFonts w:ascii="Times New Roman" w:hAnsi="Times New Roman" w:cs="Times New Roman"/>
          <w:sz w:val="24"/>
          <w:szCs w:val="24"/>
        </w:rPr>
        <w:t>this</w:t>
      </w:r>
      <w:r w:rsidR="0032516C" w:rsidRPr="00A22656">
        <w:rPr>
          <w:rFonts w:ascii="Times New Roman" w:hAnsi="Times New Roman" w:cs="Times New Roman"/>
          <w:sz w:val="24"/>
          <w:szCs w:val="24"/>
        </w:rPr>
        <w:t xml:space="preserve"> political space</w:t>
      </w:r>
      <w:r w:rsidR="00350D83" w:rsidRPr="00A22656">
        <w:rPr>
          <w:rFonts w:ascii="Times New Roman" w:hAnsi="Times New Roman" w:cs="Times New Roman"/>
          <w:sz w:val="24"/>
          <w:szCs w:val="24"/>
        </w:rPr>
        <w:t>, with consequential</w:t>
      </w:r>
      <w:r w:rsidR="0032516C" w:rsidRPr="00A22656">
        <w:rPr>
          <w:rFonts w:ascii="Times New Roman" w:hAnsi="Times New Roman" w:cs="Times New Roman"/>
          <w:sz w:val="24"/>
          <w:szCs w:val="24"/>
        </w:rPr>
        <w:t xml:space="preserve"> cementing effects on the law</w:t>
      </w:r>
      <w:r w:rsidR="000A3A9E" w:rsidRPr="00A22656">
        <w:rPr>
          <w:rFonts w:ascii="Times New Roman" w:hAnsi="Times New Roman" w:cs="Times New Roman"/>
          <w:sz w:val="24"/>
          <w:szCs w:val="24"/>
        </w:rPr>
        <w:t xml:space="preserve"> and marginalisation of the legislature</w:t>
      </w:r>
      <w:r w:rsidR="0032516C" w:rsidRPr="00A22656">
        <w:rPr>
          <w:rFonts w:ascii="Times New Roman" w:hAnsi="Times New Roman" w:cs="Times New Roman"/>
          <w:sz w:val="24"/>
          <w:szCs w:val="24"/>
        </w:rPr>
        <w:t>.</w:t>
      </w:r>
      <w:r w:rsidR="0032516C" w:rsidRPr="00A22656">
        <w:rPr>
          <w:rStyle w:val="FootnoteReference"/>
          <w:rFonts w:ascii="Times New Roman" w:hAnsi="Times New Roman" w:cs="Times New Roman"/>
          <w:sz w:val="24"/>
          <w:szCs w:val="24"/>
        </w:rPr>
        <w:footnoteReference w:id="102"/>
      </w:r>
      <w:r w:rsidR="009811D8" w:rsidRPr="00A22656">
        <w:rPr>
          <w:rFonts w:ascii="Times New Roman" w:hAnsi="Times New Roman" w:cs="Times New Roman"/>
          <w:sz w:val="24"/>
          <w:szCs w:val="24"/>
        </w:rPr>
        <w:t xml:space="preserve"> Schmidt identifies the CJEU as one such court and its </w:t>
      </w:r>
      <w:proofErr w:type="spellStart"/>
      <w:r w:rsidR="009811D8" w:rsidRPr="00A22656">
        <w:rPr>
          <w:rFonts w:ascii="Times New Roman" w:hAnsi="Times New Roman" w:cs="Times New Roman"/>
          <w:sz w:val="24"/>
          <w:szCs w:val="24"/>
        </w:rPr>
        <w:t>overconstitutionalisation</w:t>
      </w:r>
      <w:proofErr w:type="spellEnd"/>
      <w:r w:rsidR="009811D8" w:rsidRPr="00A22656">
        <w:rPr>
          <w:rFonts w:ascii="Times New Roman" w:hAnsi="Times New Roman" w:cs="Times New Roman"/>
          <w:sz w:val="24"/>
          <w:szCs w:val="24"/>
        </w:rPr>
        <w:t xml:space="preserve"> of Union norms as one of the causes of disconnection between the EU and its citizenry. For her, this is particularly pertinent in the contemporary context of Brexit, since ‘non-majoritarian decision-making weakens ‘voice’ and strengthens the relevance of exit.</w:t>
      </w:r>
      <w:r w:rsidR="009811D8" w:rsidRPr="00A22656">
        <w:rPr>
          <w:rStyle w:val="FootnoteReference"/>
          <w:rFonts w:ascii="Times New Roman" w:hAnsi="Times New Roman" w:cs="Times New Roman"/>
          <w:sz w:val="24"/>
          <w:szCs w:val="24"/>
        </w:rPr>
        <w:footnoteReference w:id="103"/>
      </w:r>
      <w:r w:rsidR="009811D8" w:rsidRPr="00A22656">
        <w:rPr>
          <w:rFonts w:ascii="Times New Roman" w:hAnsi="Times New Roman" w:cs="Times New Roman"/>
          <w:sz w:val="24"/>
          <w:szCs w:val="24"/>
        </w:rPr>
        <w:t xml:space="preserve"> Crucially, the evolution of the safeguard represents a clear means of charting this phenomenon.</w:t>
      </w:r>
    </w:p>
    <w:p w:rsidR="00F26CAA" w:rsidRPr="00A22656" w:rsidRDefault="00F26CAA" w:rsidP="005F768F">
      <w:pPr>
        <w:pStyle w:val="NoSpacing"/>
        <w:spacing w:line="360" w:lineRule="auto"/>
        <w:jc w:val="both"/>
        <w:rPr>
          <w:rFonts w:ascii="Times New Roman" w:hAnsi="Times New Roman" w:cs="Times New Roman"/>
          <w:sz w:val="24"/>
          <w:szCs w:val="24"/>
        </w:rPr>
      </w:pPr>
    </w:p>
    <w:p w:rsidR="003672A4" w:rsidRPr="00A22656" w:rsidRDefault="00F26CAA"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The pivotal role played by the Court of Justice in the </w:t>
      </w:r>
      <w:proofErr w:type="spellStart"/>
      <w:r w:rsidRPr="00A22656">
        <w:rPr>
          <w:rFonts w:ascii="Times New Roman" w:hAnsi="Times New Roman" w:cs="Times New Roman"/>
          <w:sz w:val="24"/>
          <w:szCs w:val="24"/>
        </w:rPr>
        <w:t>constitutionalisation</w:t>
      </w:r>
      <w:proofErr w:type="spellEnd"/>
      <w:r w:rsidRPr="00A22656">
        <w:rPr>
          <w:rFonts w:ascii="Times New Roman" w:hAnsi="Times New Roman" w:cs="Times New Roman"/>
          <w:sz w:val="24"/>
          <w:szCs w:val="24"/>
        </w:rPr>
        <w:t xml:space="preserve"> of the EU Treaties - via assertions as to the status of EU law as a ‘new legal order’ that is supreme and may have </w:t>
      </w:r>
      <w:r w:rsidRPr="00A22656">
        <w:rPr>
          <w:rFonts w:ascii="Times New Roman" w:hAnsi="Times New Roman" w:cs="Times New Roman"/>
          <w:sz w:val="24"/>
          <w:szCs w:val="24"/>
        </w:rPr>
        <w:lastRenderedPageBreak/>
        <w:t>direct effects in national legal systems</w:t>
      </w:r>
      <w:r w:rsidR="00730EB0" w:rsidRPr="00A22656">
        <w:rPr>
          <w:rFonts w:ascii="Times New Roman" w:hAnsi="Times New Roman" w:cs="Times New Roman"/>
          <w:sz w:val="24"/>
          <w:szCs w:val="24"/>
        </w:rPr>
        <w:t>,</w:t>
      </w:r>
      <w:r w:rsidRPr="00A22656">
        <w:rPr>
          <w:rStyle w:val="FootnoteReference"/>
          <w:rFonts w:ascii="Times New Roman" w:hAnsi="Times New Roman" w:cs="Times New Roman"/>
          <w:sz w:val="24"/>
          <w:szCs w:val="24"/>
        </w:rPr>
        <w:footnoteReference w:id="104"/>
      </w:r>
      <w:r w:rsidR="00730EB0" w:rsidRPr="00A22656">
        <w:rPr>
          <w:rFonts w:ascii="Times New Roman" w:hAnsi="Times New Roman" w:cs="Times New Roman"/>
          <w:sz w:val="24"/>
          <w:szCs w:val="24"/>
        </w:rPr>
        <w:t xml:space="preserve"> as well</w:t>
      </w:r>
      <w:r w:rsidR="004F61D9" w:rsidRPr="00A22656">
        <w:rPr>
          <w:rFonts w:ascii="Times New Roman" w:hAnsi="Times New Roman" w:cs="Times New Roman"/>
          <w:sz w:val="24"/>
          <w:szCs w:val="24"/>
        </w:rPr>
        <w:t xml:space="preserve"> as to the far-reaching obligations arising directly under the free movement provisions</w:t>
      </w:r>
      <w:r w:rsidR="004F61D9" w:rsidRPr="00A22656">
        <w:rPr>
          <w:rStyle w:val="FootnoteReference"/>
          <w:rFonts w:ascii="Times New Roman" w:hAnsi="Times New Roman" w:cs="Times New Roman"/>
          <w:sz w:val="24"/>
          <w:szCs w:val="24"/>
        </w:rPr>
        <w:footnoteReference w:id="105"/>
      </w:r>
      <w:r w:rsidRPr="00A22656">
        <w:rPr>
          <w:rFonts w:ascii="Times New Roman" w:hAnsi="Times New Roman" w:cs="Times New Roman"/>
          <w:sz w:val="24"/>
          <w:szCs w:val="24"/>
        </w:rPr>
        <w:t xml:space="preserve"> – is well-known. The benefits of this route to economic integration over the slower path, grounded in legislative harmonisation, arguably envisaged by the Treaties themselves,</w:t>
      </w:r>
      <w:r w:rsidRPr="00A22656">
        <w:rPr>
          <w:rStyle w:val="FootnoteReference"/>
          <w:rFonts w:ascii="Times New Roman" w:hAnsi="Times New Roman" w:cs="Times New Roman"/>
          <w:sz w:val="24"/>
          <w:szCs w:val="24"/>
        </w:rPr>
        <w:footnoteReference w:id="106"/>
      </w:r>
      <w:r w:rsidR="00B76770" w:rsidRPr="00A22656">
        <w:rPr>
          <w:rFonts w:ascii="Times New Roman" w:hAnsi="Times New Roman" w:cs="Times New Roman"/>
          <w:sz w:val="24"/>
          <w:szCs w:val="24"/>
        </w:rPr>
        <w:t xml:space="preserve"> are</w:t>
      </w:r>
      <w:r w:rsidR="007C6F21" w:rsidRPr="00A22656">
        <w:rPr>
          <w:rFonts w:ascii="Times New Roman" w:hAnsi="Times New Roman" w:cs="Times New Roman"/>
          <w:sz w:val="24"/>
          <w:szCs w:val="24"/>
        </w:rPr>
        <w:t xml:space="preserve"> evident in the contemporary functioning of the internal market. The resultant changing dynamic between the Union’s legislative organs, on the one hand, and its administrative and judicial </w:t>
      </w:r>
      <w:r w:rsidR="0090195F" w:rsidRPr="00A22656">
        <w:rPr>
          <w:rFonts w:ascii="Times New Roman" w:hAnsi="Times New Roman" w:cs="Times New Roman"/>
          <w:sz w:val="24"/>
          <w:szCs w:val="24"/>
        </w:rPr>
        <w:t>branche</w:t>
      </w:r>
      <w:r w:rsidR="007C6F21" w:rsidRPr="00A22656">
        <w:rPr>
          <w:rFonts w:ascii="Times New Roman" w:hAnsi="Times New Roman" w:cs="Times New Roman"/>
          <w:sz w:val="24"/>
          <w:szCs w:val="24"/>
        </w:rPr>
        <w:t>s on the other, h</w:t>
      </w:r>
      <w:r w:rsidR="00A95E44" w:rsidRPr="00A22656">
        <w:rPr>
          <w:rFonts w:ascii="Times New Roman" w:hAnsi="Times New Roman" w:cs="Times New Roman"/>
          <w:sz w:val="24"/>
          <w:szCs w:val="24"/>
        </w:rPr>
        <w:t>owever, is also clear.</w:t>
      </w:r>
      <w:r w:rsidR="00987A9B" w:rsidRPr="00A22656">
        <w:rPr>
          <w:rFonts w:ascii="Times New Roman" w:hAnsi="Times New Roman" w:cs="Times New Roman"/>
          <w:sz w:val="24"/>
          <w:szCs w:val="24"/>
        </w:rPr>
        <w:t xml:space="preserve"> Moreover, a</w:t>
      </w:r>
      <w:r w:rsidR="007C6F21" w:rsidRPr="00A22656">
        <w:rPr>
          <w:rFonts w:ascii="Times New Roman" w:hAnsi="Times New Roman" w:cs="Times New Roman"/>
          <w:sz w:val="24"/>
          <w:szCs w:val="24"/>
        </w:rPr>
        <w:t>s Grimm notes, an immediate consequence of the Court’</w:t>
      </w:r>
      <w:r w:rsidR="007C39B2" w:rsidRPr="00A22656">
        <w:rPr>
          <w:rFonts w:ascii="Times New Roman" w:hAnsi="Times New Roman" w:cs="Times New Roman"/>
          <w:sz w:val="24"/>
          <w:szCs w:val="24"/>
        </w:rPr>
        <w:t>s famous</w:t>
      </w:r>
      <w:r w:rsidR="007C6F21" w:rsidRPr="00A22656">
        <w:rPr>
          <w:rFonts w:ascii="Times New Roman" w:hAnsi="Times New Roman" w:cs="Times New Roman"/>
          <w:sz w:val="24"/>
          <w:szCs w:val="24"/>
        </w:rPr>
        <w:t xml:space="preserve"> </w:t>
      </w:r>
      <w:r w:rsidR="007C6F21" w:rsidRPr="00A22656">
        <w:rPr>
          <w:rFonts w:ascii="Times New Roman" w:hAnsi="Times New Roman" w:cs="Times New Roman"/>
          <w:i/>
          <w:sz w:val="24"/>
          <w:szCs w:val="24"/>
        </w:rPr>
        <w:t xml:space="preserve">Van </w:t>
      </w:r>
      <w:proofErr w:type="spellStart"/>
      <w:r w:rsidR="007C6F21" w:rsidRPr="00A22656">
        <w:rPr>
          <w:rFonts w:ascii="Times New Roman" w:hAnsi="Times New Roman" w:cs="Times New Roman"/>
          <w:i/>
          <w:sz w:val="24"/>
          <w:szCs w:val="24"/>
        </w:rPr>
        <w:t>Gend</w:t>
      </w:r>
      <w:proofErr w:type="spellEnd"/>
      <w:r w:rsidR="007C6F21" w:rsidRPr="00A22656">
        <w:rPr>
          <w:rFonts w:ascii="Times New Roman" w:hAnsi="Times New Roman" w:cs="Times New Roman"/>
          <w:i/>
          <w:sz w:val="24"/>
          <w:szCs w:val="24"/>
        </w:rPr>
        <w:t xml:space="preserve"> </w:t>
      </w:r>
      <w:r w:rsidR="007C6F21" w:rsidRPr="00A22656">
        <w:rPr>
          <w:rFonts w:ascii="Times New Roman" w:hAnsi="Times New Roman" w:cs="Times New Roman"/>
          <w:sz w:val="24"/>
          <w:szCs w:val="24"/>
        </w:rPr>
        <w:t xml:space="preserve">and </w:t>
      </w:r>
      <w:r w:rsidR="007C6F21" w:rsidRPr="00A22656">
        <w:rPr>
          <w:rFonts w:ascii="Times New Roman" w:hAnsi="Times New Roman" w:cs="Times New Roman"/>
          <w:i/>
          <w:sz w:val="24"/>
          <w:szCs w:val="24"/>
        </w:rPr>
        <w:t xml:space="preserve">Costa </w:t>
      </w:r>
      <w:r w:rsidR="007C6F21" w:rsidRPr="00A22656">
        <w:rPr>
          <w:rFonts w:ascii="Times New Roman" w:hAnsi="Times New Roman" w:cs="Times New Roman"/>
          <w:sz w:val="24"/>
          <w:szCs w:val="24"/>
        </w:rPr>
        <w:t>judgments is that the direct participation of the Member States</w:t>
      </w:r>
      <w:r w:rsidR="003C7ABA" w:rsidRPr="00A22656">
        <w:rPr>
          <w:rFonts w:ascii="Times New Roman" w:hAnsi="Times New Roman" w:cs="Times New Roman"/>
          <w:sz w:val="24"/>
          <w:szCs w:val="24"/>
        </w:rPr>
        <w:t xml:space="preserve"> in the development of the internal market</w:t>
      </w:r>
      <w:r w:rsidR="007C6F21" w:rsidRPr="00A22656">
        <w:rPr>
          <w:rFonts w:ascii="Times New Roman" w:hAnsi="Times New Roman" w:cs="Times New Roman"/>
          <w:sz w:val="24"/>
          <w:szCs w:val="24"/>
        </w:rPr>
        <w:t xml:space="preserve"> through the EU’s political institutions is no longer </w:t>
      </w:r>
      <w:r w:rsidR="00350D83" w:rsidRPr="00A22656">
        <w:rPr>
          <w:rFonts w:ascii="Times New Roman" w:hAnsi="Times New Roman" w:cs="Times New Roman"/>
          <w:sz w:val="24"/>
          <w:szCs w:val="24"/>
        </w:rPr>
        <w:t xml:space="preserve">as </w:t>
      </w:r>
      <w:r w:rsidR="00DB6522" w:rsidRPr="00A22656">
        <w:rPr>
          <w:rFonts w:ascii="Times New Roman" w:hAnsi="Times New Roman" w:cs="Times New Roman"/>
          <w:sz w:val="24"/>
          <w:szCs w:val="24"/>
        </w:rPr>
        <w:t>central</w:t>
      </w:r>
      <w:r w:rsidR="007C6F21" w:rsidRPr="00A22656">
        <w:rPr>
          <w:rFonts w:ascii="Times New Roman" w:hAnsi="Times New Roman" w:cs="Times New Roman"/>
          <w:sz w:val="24"/>
          <w:szCs w:val="24"/>
        </w:rPr>
        <w:t>.</w:t>
      </w:r>
      <w:r w:rsidR="007C6F21" w:rsidRPr="00A22656">
        <w:rPr>
          <w:rStyle w:val="FootnoteReference"/>
          <w:rFonts w:ascii="Times New Roman" w:hAnsi="Times New Roman" w:cs="Times New Roman"/>
          <w:sz w:val="24"/>
          <w:szCs w:val="24"/>
        </w:rPr>
        <w:footnoteReference w:id="107"/>
      </w:r>
      <w:r w:rsidR="007D259C" w:rsidRPr="00A22656">
        <w:rPr>
          <w:rFonts w:ascii="Times New Roman" w:hAnsi="Times New Roman" w:cs="Times New Roman"/>
          <w:sz w:val="24"/>
          <w:szCs w:val="24"/>
        </w:rPr>
        <w:t xml:space="preserve"> </w:t>
      </w:r>
    </w:p>
    <w:p w:rsidR="00526F87" w:rsidRPr="00A22656" w:rsidRDefault="00526F87" w:rsidP="005F768F">
      <w:pPr>
        <w:pStyle w:val="NoSpacing"/>
        <w:spacing w:line="360" w:lineRule="auto"/>
        <w:jc w:val="both"/>
        <w:rPr>
          <w:rFonts w:ascii="Times New Roman" w:hAnsi="Times New Roman" w:cs="Times New Roman"/>
          <w:sz w:val="24"/>
          <w:szCs w:val="24"/>
        </w:rPr>
      </w:pPr>
    </w:p>
    <w:p w:rsidR="00DA4885" w:rsidRPr="00A22656" w:rsidRDefault="00A95E44" w:rsidP="00E75B5E">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The tensions that arise from this judicially-driven evolution of the Union constitution are starkly visible in the</w:t>
      </w:r>
      <w:r w:rsidR="00AF5AF9" w:rsidRPr="00A22656">
        <w:rPr>
          <w:rFonts w:ascii="Times New Roman" w:hAnsi="Times New Roman" w:cs="Times New Roman"/>
          <w:sz w:val="24"/>
          <w:szCs w:val="24"/>
        </w:rPr>
        <w:t xml:space="preserve"> Court’s</w:t>
      </w:r>
      <w:r w:rsidR="003C7ABA" w:rsidRPr="00A22656">
        <w:rPr>
          <w:rFonts w:ascii="Times New Roman" w:hAnsi="Times New Roman" w:cs="Times New Roman"/>
          <w:sz w:val="24"/>
          <w:szCs w:val="24"/>
        </w:rPr>
        <w:t xml:space="preserve"> (in)famous</w:t>
      </w:r>
      <w:r w:rsidR="007D259C" w:rsidRPr="00A22656">
        <w:rPr>
          <w:rFonts w:ascii="Times New Roman" w:hAnsi="Times New Roman" w:cs="Times New Roman"/>
          <w:sz w:val="24"/>
          <w:szCs w:val="24"/>
        </w:rPr>
        <w:t xml:space="preserve"> </w:t>
      </w:r>
      <w:r w:rsidR="007D259C" w:rsidRPr="00A22656">
        <w:rPr>
          <w:rFonts w:ascii="Times New Roman" w:hAnsi="Times New Roman" w:cs="Times New Roman"/>
          <w:i/>
          <w:sz w:val="24"/>
          <w:szCs w:val="24"/>
        </w:rPr>
        <w:t>Laval</w:t>
      </w:r>
      <w:r w:rsidR="00526F87" w:rsidRPr="00A22656">
        <w:rPr>
          <w:rFonts w:ascii="Times New Roman" w:hAnsi="Times New Roman" w:cs="Times New Roman"/>
          <w:i/>
          <w:sz w:val="24"/>
          <w:szCs w:val="24"/>
        </w:rPr>
        <w:t xml:space="preserve"> </w:t>
      </w:r>
      <w:r w:rsidR="000B2F62" w:rsidRPr="00A22656">
        <w:rPr>
          <w:rFonts w:ascii="Times New Roman" w:hAnsi="Times New Roman" w:cs="Times New Roman"/>
          <w:sz w:val="24"/>
          <w:szCs w:val="24"/>
        </w:rPr>
        <w:t>line of case-law</w:t>
      </w:r>
      <w:r w:rsidR="00987A9B" w:rsidRPr="00A22656">
        <w:rPr>
          <w:rFonts w:ascii="Times New Roman" w:hAnsi="Times New Roman" w:cs="Times New Roman"/>
          <w:sz w:val="24"/>
          <w:szCs w:val="24"/>
        </w:rPr>
        <w:t xml:space="preserve">, which, when viewed </w:t>
      </w:r>
      <w:r w:rsidR="008D551A" w:rsidRPr="00A22656">
        <w:rPr>
          <w:rFonts w:ascii="Times New Roman" w:hAnsi="Times New Roman" w:cs="Times New Roman"/>
          <w:sz w:val="24"/>
          <w:szCs w:val="24"/>
        </w:rPr>
        <w:t>through this lens, also establishes</w:t>
      </w:r>
      <w:r w:rsidR="00987A9B" w:rsidRPr="00A22656">
        <w:rPr>
          <w:rFonts w:ascii="Times New Roman" w:hAnsi="Times New Roman" w:cs="Times New Roman"/>
          <w:sz w:val="24"/>
          <w:szCs w:val="24"/>
        </w:rPr>
        <w:t xml:space="preserve"> the safeguard mechanism</w:t>
      </w:r>
      <w:r w:rsidR="004434F9" w:rsidRPr="00A22656">
        <w:rPr>
          <w:rFonts w:ascii="Times New Roman" w:hAnsi="Times New Roman" w:cs="Times New Roman"/>
          <w:sz w:val="24"/>
          <w:szCs w:val="24"/>
        </w:rPr>
        <w:t>, similarly,</w:t>
      </w:r>
      <w:r w:rsidR="00987A9B" w:rsidRPr="00A22656">
        <w:rPr>
          <w:rFonts w:ascii="Times New Roman" w:hAnsi="Times New Roman" w:cs="Times New Roman"/>
          <w:sz w:val="24"/>
          <w:szCs w:val="24"/>
        </w:rPr>
        <w:t xml:space="preserve"> as the product of such tensions</w:t>
      </w:r>
      <w:r w:rsidR="00526F87" w:rsidRPr="00A22656">
        <w:rPr>
          <w:rFonts w:ascii="Times New Roman" w:hAnsi="Times New Roman" w:cs="Times New Roman"/>
          <w:sz w:val="24"/>
          <w:szCs w:val="24"/>
        </w:rPr>
        <w:t>.</w:t>
      </w:r>
      <w:r w:rsidR="001E5680" w:rsidRPr="00A22656">
        <w:rPr>
          <w:rStyle w:val="FootnoteReference"/>
          <w:rFonts w:ascii="Times New Roman" w:hAnsi="Times New Roman" w:cs="Times New Roman"/>
          <w:sz w:val="24"/>
          <w:szCs w:val="24"/>
        </w:rPr>
        <w:footnoteReference w:id="108"/>
      </w:r>
      <w:r w:rsidR="0090195F" w:rsidRPr="00A22656">
        <w:rPr>
          <w:rFonts w:ascii="Times New Roman" w:hAnsi="Times New Roman" w:cs="Times New Roman"/>
          <w:sz w:val="24"/>
          <w:szCs w:val="24"/>
        </w:rPr>
        <w:t xml:space="preserve"> </w:t>
      </w:r>
      <w:r w:rsidR="00B501F2" w:rsidRPr="00A22656">
        <w:rPr>
          <w:rFonts w:ascii="Times New Roman" w:hAnsi="Times New Roman" w:cs="Times New Roman"/>
          <w:sz w:val="24"/>
          <w:szCs w:val="24"/>
        </w:rPr>
        <w:t>In</w:t>
      </w:r>
      <w:r w:rsidR="000B2F62" w:rsidRPr="00A22656">
        <w:rPr>
          <w:rFonts w:ascii="Times New Roman" w:hAnsi="Times New Roman" w:cs="Times New Roman"/>
          <w:sz w:val="24"/>
          <w:szCs w:val="24"/>
        </w:rPr>
        <w:t xml:space="preserve"> these judgments</w:t>
      </w:r>
      <w:r w:rsidR="00B501F2" w:rsidRPr="00A22656">
        <w:rPr>
          <w:rFonts w:ascii="Times New Roman" w:hAnsi="Times New Roman" w:cs="Times New Roman"/>
          <w:sz w:val="24"/>
          <w:szCs w:val="24"/>
        </w:rPr>
        <w:t>, the Court held that the Posted Workers’ Directive</w:t>
      </w:r>
      <w:r w:rsidR="00B501F2" w:rsidRPr="00A22656">
        <w:rPr>
          <w:rStyle w:val="FootnoteReference"/>
          <w:rFonts w:ascii="Times New Roman" w:hAnsi="Times New Roman" w:cs="Times New Roman"/>
          <w:sz w:val="24"/>
          <w:szCs w:val="24"/>
        </w:rPr>
        <w:footnoteReference w:id="109"/>
      </w:r>
      <w:r w:rsidR="000B2F62" w:rsidRPr="00A22656">
        <w:rPr>
          <w:rFonts w:ascii="Times New Roman" w:hAnsi="Times New Roman" w:cs="Times New Roman"/>
          <w:sz w:val="24"/>
          <w:szCs w:val="24"/>
        </w:rPr>
        <w:t xml:space="preserve"> (PWD)</w:t>
      </w:r>
      <w:r w:rsidR="00B501F2" w:rsidRPr="00A22656">
        <w:rPr>
          <w:rFonts w:ascii="Times New Roman" w:hAnsi="Times New Roman" w:cs="Times New Roman"/>
          <w:sz w:val="24"/>
          <w:szCs w:val="24"/>
        </w:rPr>
        <w:t xml:space="preserve"> </w:t>
      </w:r>
      <w:r w:rsidR="000B2F62" w:rsidRPr="00A22656">
        <w:rPr>
          <w:rFonts w:ascii="Times New Roman" w:hAnsi="Times New Roman" w:cs="Times New Roman"/>
          <w:sz w:val="24"/>
          <w:szCs w:val="24"/>
        </w:rPr>
        <w:t>offers</w:t>
      </w:r>
      <w:r w:rsidR="00B501F2" w:rsidRPr="00A22656">
        <w:rPr>
          <w:rFonts w:ascii="Times New Roman" w:hAnsi="Times New Roman" w:cs="Times New Roman"/>
          <w:sz w:val="24"/>
          <w:szCs w:val="24"/>
        </w:rPr>
        <w:t xml:space="preserve"> a ceiling, rather than a floor, of protection for posted workers, despite the widely-held view that the Union legislature had adopted that instrument principally as an anti-social-dumping measure.</w:t>
      </w:r>
      <w:r w:rsidR="00526F87" w:rsidRPr="00A22656">
        <w:rPr>
          <w:rStyle w:val="FootnoteReference"/>
          <w:rFonts w:ascii="Times New Roman" w:hAnsi="Times New Roman" w:cs="Times New Roman"/>
          <w:sz w:val="24"/>
          <w:szCs w:val="24"/>
        </w:rPr>
        <w:footnoteReference w:id="110"/>
      </w:r>
      <w:r w:rsidR="00B501F2" w:rsidRPr="00A22656">
        <w:rPr>
          <w:rFonts w:ascii="Times New Roman" w:hAnsi="Times New Roman" w:cs="Times New Roman"/>
          <w:sz w:val="24"/>
          <w:szCs w:val="24"/>
        </w:rPr>
        <w:t xml:space="preserve"> </w:t>
      </w:r>
      <w:r w:rsidR="000B2F62" w:rsidRPr="00A22656">
        <w:rPr>
          <w:rFonts w:ascii="Times New Roman" w:hAnsi="Times New Roman" w:cs="Times New Roman"/>
          <w:sz w:val="24"/>
          <w:szCs w:val="24"/>
        </w:rPr>
        <w:t>For the Court, the PWD gave concrete expression to the freedom to provide services,</w:t>
      </w:r>
      <w:r w:rsidR="00A51067" w:rsidRPr="00A22656">
        <w:rPr>
          <w:rFonts w:ascii="Times New Roman" w:hAnsi="Times New Roman" w:cs="Times New Roman"/>
          <w:sz w:val="24"/>
          <w:szCs w:val="24"/>
        </w:rPr>
        <w:t xml:space="preserve"> which</w:t>
      </w:r>
      <w:r w:rsidR="000B2F62" w:rsidRPr="00A22656">
        <w:rPr>
          <w:rFonts w:ascii="Times New Roman" w:hAnsi="Times New Roman" w:cs="Times New Roman"/>
          <w:sz w:val="24"/>
          <w:szCs w:val="24"/>
        </w:rPr>
        <w:t xml:space="preserve"> represented a ‘fundamental principle of the Union’.</w:t>
      </w:r>
      <w:r w:rsidR="000B2F62" w:rsidRPr="00A22656">
        <w:rPr>
          <w:rStyle w:val="FootnoteReference"/>
          <w:rFonts w:ascii="Times New Roman" w:hAnsi="Times New Roman" w:cs="Times New Roman"/>
          <w:sz w:val="24"/>
          <w:szCs w:val="24"/>
        </w:rPr>
        <w:footnoteReference w:id="111"/>
      </w:r>
      <w:r w:rsidR="007A31B1" w:rsidRPr="00A22656">
        <w:rPr>
          <w:rFonts w:ascii="Times New Roman" w:hAnsi="Times New Roman" w:cs="Times New Roman"/>
          <w:sz w:val="24"/>
          <w:szCs w:val="24"/>
        </w:rPr>
        <w:t xml:space="preserve"> C</w:t>
      </w:r>
      <w:r w:rsidR="00A51067" w:rsidRPr="00A22656">
        <w:rPr>
          <w:rFonts w:ascii="Times New Roman" w:hAnsi="Times New Roman" w:cs="Times New Roman"/>
          <w:sz w:val="24"/>
          <w:szCs w:val="24"/>
        </w:rPr>
        <w:t>onsequently, c</w:t>
      </w:r>
      <w:r w:rsidR="007A31B1" w:rsidRPr="00A22656">
        <w:rPr>
          <w:rFonts w:ascii="Times New Roman" w:hAnsi="Times New Roman" w:cs="Times New Roman"/>
          <w:sz w:val="24"/>
          <w:szCs w:val="24"/>
        </w:rPr>
        <w:t xml:space="preserve">ollective action seeking terms and conditions of employment going above and beyond the core nucleus of protection contained in the PWD was a prima facie breach of Union law. </w:t>
      </w:r>
      <w:r w:rsidR="00A51067" w:rsidRPr="00A22656">
        <w:rPr>
          <w:rFonts w:ascii="Times New Roman" w:hAnsi="Times New Roman" w:cs="Times New Roman"/>
          <w:sz w:val="24"/>
          <w:szCs w:val="24"/>
        </w:rPr>
        <w:t>In other words, as a result of Article 56’s status as a directly effective fundamental principle of EU primary law, the social objectives clearly inherent to the PWD could not contribute to the definitional framework of that broad-brush provision. Of course, the Court examined the legitimate interest in worker protection as a justification to the prima facie bre</w:t>
      </w:r>
      <w:r w:rsidR="00730EB0" w:rsidRPr="00A22656">
        <w:rPr>
          <w:rFonts w:ascii="Times New Roman" w:hAnsi="Times New Roman" w:cs="Times New Roman"/>
          <w:sz w:val="24"/>
          <w:szCs w:val="24"/>
        </w:rPr>
        <w:t xml:space="preserve">ach of Article </w:t>
      </w:r>
      <w:r w:rsidR="00730EB0" w:rsidRPr="00A22656">
        <w:rPr>
          <w:rFonts w:ascii="Times New Roman" w:hAnsi="Times New Roman" w:cs="Times New Roman"/>
          <w:sz w:val="24"/>
          <w:szCs w:val="24"/>
        </w:rPr>
        <w:lastRenderedPageBreak/>
        <w:t>56 but, critically</w:t>
      </w:r>
      <w:r w:rsidR="00A51067" w:rsidRPr="00A22656">
        <w:rPr>
          <w:rFonts w:ascii="Times New Roman" w:hAnsi="Times New Roman" w:cs="Times New Roman"/>
          <w:sz w:val="24"/>
          <w:szCs w:val="24"/>
        </w:rPr>
        <w:t>, this transfers the definitional scope of cross-border service provision from the legislature to the judiciary.</w:t>
      </w:r>
      <w:r w:rsidR="006B62A4" w:rsidRPr="00A22656">
        <w:rPr>
          <w:rFonts w:ascii="Times New Roman" w:hAnsi="Times New Roman" w:cs="Times New Roman"/>
          <w:sz w:val="24"/>
          <w:szCs w:val="24"/>
        </w:rPr>
        <w:t xml:space="preserve"> </w:t>
      </w:r>
    </w:p>
    <w:p w:rsidR="00E75B5E" w:rsidRPr="00A22656" w:rsidRDefault="00E75B5E" w:rsidP="005F768F">
      <w:pPr>
        <w:pStyle w:val="NoSpacing"/>
        <w:spacing w:line="360" w:lineRule="auto"/>
        <w:ind w:right="-23"/>
        <w:jc w:val="both"/>
        <w:rPr>
          <w:rFonts w:ascii="Times New Roman" w:hAnsi="Times New Roman"/>
          <w:sz w:val="24"/>
          <w:szCs w:val="24"/>
        </w:rPr>
      </w:pPr>
    </w:p>
    <w:p w:rsidR="004224C2" w:rsidRPr="00A22656" w:rsidRDefault="00987A9B" w:rsidP="004434F9">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Importantly,</w:t>
      </w:r>
      <w:r w:rsidR="003C7ABA" w:rsidRPr="00A22656">
        <w:rPr>
          <w:rFonts w:ascii="Times New Roman" w:hAnsi="Times New Roman"/>
          <w:sz w:val="24"/>
          <w:szCs w:val="24"/>
        </w:rPr>
        <w:t xml:space="preserve"> ‘since an interpretation of the Treaty effectively </w:t>
      </w:r>
      <w:r w:rsidR="003C7ABA" w:rsidRPr="00A22656">
        <w:rPr>
          <w:rFonts w:ascii="Times New Roman" w:hAnsi="Times New Roman"/>
          <w:i/>
          <w:sz w:val="24"/>
          <w:szCs w:val="24"/>
        </w:rPr>
        <w:t>becomes</w:t>
      </w:r>
      <w:r w:rsidR="003C7ABA" w:rsidRPr="00A22656">
        <w:rPr>
          <w:rFonts w:ascii="Times New Roman" w:hAnsi="Times New Roman"/>
          <w:sz w:val="24"/>
          <w:szCs w:val="24"/>
        </w:rPr>
        <w:t xml:space="preserve"> the Treaty’,</w:t>
      </w:r>
      <w:r w:rsidRPr="00A22656">
        <w:rPr>
          <w:rFonts w:ascii="Times New Roman" w:hAnsi="Times New Roman"/>
          <w:sz w:val="24"/>
          <w:szCs w:val="24"/>
        </w:rPr>
        <w:t xml:space="preserve"> as Davies reflects,</w:t>
      </w:r>
      <w:r w:rsidR="003C7ABA" w:rsidRPr="00A22656">
        <w:rPr>
          <w:rStyle w:val="FootnoteReference"/>
          <w:rFonts w:ascii="Times New Roman" w:hAnsi="Times New Roman"/>
          <w:sz w:val="24"/>
          <w:szCs w:val="24"/>
        </w:rPr>
        <w:footnoteReference w:id="112"/>
      </w:r>
      <w:r w:rsidR="003C7ABA" w:rsidRPr="00A22656">
        <w:rPr>
          <w:rFonts w:ascii="Times New Roman" w:hAnsi="Times New Roman"/>
          <w:sz w:val="24"/>
          <w:szCs w:val="24"/>
        </w:rPr>
        <w:t xml:space="preserve"> it can become difficult for </w:t>
      </w:r>
      <w:r w:rsidR="00E75B5E" w:rsidRPr="00A22656">
        <w:rPr>
          <w:rFonts w:ascii="Times New Roman" w:hAnsi="Times New Roman"/>
          <w:sz w:val="24"/>
          <w:szCs w:val="24"/>
        </w:rPr>
        <w:t>the</w:t>
      </w:r>
      <w:r w:rsidR="003C7ABA" w:rsidRPr="00A22656">
        <w:rPr>
          <w:rFonts w:ascii="Times New Roman" w:hAnsi="Times New Roman"/>
          <w:sz w:val="24"/>
          <w:szCs w:val="24"/>
        </w:rPr>
        <w:t xml:space="preserve"> Union legislature to respond to the political consequences of</w:t>
      </w:r>
      <w:r w:rsidR="00B8566B" w:rsidRPr="00A22656">
        <w:rPr>
          <w:rFonts w:ascii="Times New Roman" w:hAnsi="Times New Roman"/>
          <w:sz w:val="24"/>
          <w:szCs w:val="24"/>
        </w:rPr>
        <w:t xml:space="preserve"> CJEU judgments.</w:t>
      </w:r>
      <w:r w:rsidR="00373557" w:rsidRPr="00A22656">
        <w:rPr>
          <w:rFonts w:ascii="Times New Roman" w:hAnsi="Times New Roman"/>
          <w:sz w:val="24"/>
          <w:szCs w:val="24"/>
        </w:rPr>
        <w:t xml:space="preserve"> </w:t>
      </w:r>
      <w:r w:rsidR="004224C2" w:rsidRPr="00A22656">
        <w:rPr>
          <w:rFonts w:ascii="Times New Roman" w:hAnsi="Times New Roman"/>
          <w:sz w:val="24"/>
          <w:szCs w:val="24"/>
        </w:rPr>
        <w:t>Union e</w:t>
      </w:r>
      <w:r w:rsidR="009030FB" w:rsidRPr="00A22656">
        <w:rPr>
          <w:rFonts w:ascii="Times New Roman" w:hAnsi="Times New Roman"/>
          <w:sz w:val="24"/>
          <w:szCs w:val="24"/>
        </w:rPr>
        <w:t xml:space="preserve">fforts to address the </w:t>
      </w:r>
      <w:r w:rsidR="00B8566B" w:rsidRPr="00A22656">
        <w:rPr>
          <w:rFonts w:ascii="Times New Roman" w:hAnsi="Times New Roman"/>
          <w:sz w:val="24"/>
          <w:szCs w:val="24"/>
        </w:rPr>
        <w:t>aftermath of</w:t>
      </w:r>
      <w:r w:rsidR="00730EB0" w:rsidRPr="00A22656">
        <w:rPr>
          <w:rFonts w:ascii="Times New Roman" w:hAnsi="Times New Roman"/>
          <w:sz w:val="24"/>
          <w:szCs w:val="24"/>
        </w:rPr>
        <w:t xml:space="preserve"> the</w:t>
      </w:r>
      <w:r w:rsidR="00B8566B" w:rsidRPr="00A22656">
        <w:rPr>
          <w:rFonts w:ascii="Times New Roman" w:hAnsi="Times New Roman"/>
          <w:sz w:val="24"/>
          <w:szCs w:val="24"/>
        </w:rPr>
        <w:t xml:space="preserve"> </w:t>
      </w:r>
      <w:r w:rsidR="00B8566B" w:rsidRPr="00A22656">
        <w:rPr>
          <w:rFonts w:ascii="Times New Roman" w:hAnsi="Times New Roman"/>
          <w:i/>
          <w:sz w:val="24"/>
          <w:szCs w:val="24"/>
        </w:rPr>
        <w:t xml:space="preserve">Laval </w:t>
      </w:r>
      <w:r w:rsidR="00730EB0" w:rsidRPr="00A22656">
        <w:rPr>
          <w:rFonts w:ascii="Times New Roman" w:hAnsi="Times New Roman"/>
          <w:sz w:val="24"/>
          <w:szCs w:val="24"/>
        </w:rPr>
        <w:t>case-law</w:t>
      </w:r>
      <w:r w:rsidR="00B8566B" w:rsidRPr="00A22656">
        <w:rPr>
          <w:rFonts w:ascii="Times New Roman" w:hAnsi="Times New Roman"/>
          <w:sz w:val="24"/>
          <w:szCs w:val="24"/>
        </w:rPr>
        <w:t xml:space="preserve"> </w:t>
      </w:r>
      <w:r w:rsidR="00AE3766" w:rsidRPr="00A22656">
        <w:rPr>
          <w:rFonts w:ascii="Times New Roman" w:hAnsi="Times New Roman"/>
          <w:sz w:val="24"/>
          <w:szCs w:val="24"/>
        </w:rPr>
        <w:t xml:space="preserve">have </w:t>
      </w:r>
      <w:r w:rsidR="004224C2" w:rsidRPr="00A22656">
        <w:rPr>
          <w:rFonts w:ascii="Times New Roman" w:hAnsi="Times New Roman"/>
          <w:sz w:val="24"/>
          <w:szCs w:val="24"/>
        </w:rPr>
        <w:t>been unsuccessful</w:t>
      </w:r>
      <w:r w:rsidR="00AE3766" w:rsidRPr="00A22656">
        <w:rPr>
          <w:rFonts w:ascii="Times New Roman" w:hAnsi="Times New Roman"/>
          <w:sz w:val="24"/>
          <w:szCs w:val="24"/>
        </w:rPr>
        <w:t>, somewhat ironically,</w:t>
      </w:r>
      <w:r w:rsidR="004224C2" w:rsidRPr="00A22656">
        <w:rPr>
          <w:rFonts w:ascii="Times New Roman" w:hAnsi="Times New Roman"/>
          <w:sz w:val="24"/>
          <w:szCs w:val="24"/>
        </w:rPr>
        <w:t xml:space="preserve"> after national parliaments made their first use of the Lisbon Treaty’s ‘yellow card’ procedure to question, inter alia</w:t>
      </w:r>
      <w:r w:rsidR="009030FB" w:rsidRPr="00A22656">
        <w:rPr>
          <w:rFonts w:ascii="Times New Roman" w:hAnsi="Times New Roman"/>
          <w:sz w:val="24"/>
          <w:szCs w:val="24"/>
        </w:rPr>
        <w:t>, whether the</w:t>
      </w:r>
      <w:r w:rsidR="004224C2" w:rsidRPr="00A22656">
        <w:rPr>
          <w:rFonts w:ascii="Times New Roman" w:hAnsi="Times New Roman"/>
          <w:sz w:val="24"/>
          <w:szCs w:val="24"/>
        </w:rPr>
        <w:t xml:space="preserve"> proposed Regulation on the exercise of the right to take collective action adequately respected the division of competences between the Union and its Member States.</w:t>
      </w:r>
      <w:r w:rsidR="00AE3766" w:rsidRPr="00A22656">
        <w:rPr>
          <w:rStyle w:val="FootnoteReference"/>
          <w:rFonts w:ascii="Times New Roman" w:hAnsi="Times New Roman"/>
          <w:sz w:val="24"/>
          <w:szCs w:val="24"/>
        </w:rPr>
        <w:footnoteReference w:id="113"/>
      </w:r>
      <w:r w:rsidR="004224C2" w:rsidRPr="00A22656">
        <w:rPr>
          <w:rFonts w:ascii="Times New Roman" w:hAnsi="Times New Roman"/>
          <w:sz w:val="24"/>
          <w:szCs w:val="24"/>
        </w:rPr>
        <w:t xml:space="preserve">  </w:t>
      </w:r>
    </w:p>
    <w:p w:rsidR="003C7ABA" w:rsidRPr="00A22656" w:rsidRDefault="003C7ABA" w:rsidP="005F768F">
      <w:pPr>
        <w:pStyle w:val="NoSpacing"/>
        <w:spacing w:line="360" w:lineRule="auto"/>
        <w:ind w:right="-23"/>
        <w:jc w:val="both"/>
        <w:rPr>
          <w:rFonts w:ascii="Times New Roman" w:hAnsi="Times New Roman" w:cs="Times New Roman"/>
          <w:sz w:val="20"/>
          <w:szCs w:val="24"/>
        </w:rPr>
      </w:pPr>
    </w:p>
    <w:p w:rsidR="009030FB" w:rsidRPr="00A22656" w:rsidRDefault="008C3572" w:rsidP="005F768F">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R</w:t>
      </w:r>
      <w:r w:rsidR="00401B1A" w:rsidRPr="00A22656">
        <w:rPr>
          <w:rFonts w:ascii="Times New Roman" w:hAnsi="Times New Roman"/>
          <w:sz w:val="24"/>
          <w:szCs w:val="24"/>
        </w:rPr>
        <w:t>egardless of whether one would agree with the factual outcome of individual cases,</w:t>
      </w:r>
      <w:r w:rsidR="00AE3766" w:rsidRPr="00A22656">
        <w:rPr>
          <w:rFonts w:ascii="Times New Roman" w:hAnsi="Times New Roman"/>
          <w:sz w:val="24"/>
          <w:szCs w:val="24"/>
        </w:rPr>
        <w:t xml:space="preserve"> similar institutional dynamics</w:t>
      </w:r>
      <w:r w:rsidR="00401B1A" w:rsidRPr="00A22656">
        <w:rPr>
          <w:rFonts w:ascii="Times New Roman" w:hAnsi="Times New Roman"/>
          <w:sz w:val="24"/>
          <w:szCs w:val="24"/>
        </w:rPr>
        <w:t xml:space="preserve"> are</w:t>
      </w:r>
      <w:r w:rsidR="00D010B6" w:rsidRPr="00A22656">
        <w:rPr>
          <w:rFonts w:ascii="Times New Roman" w:hAnsi="Times New Roman"/>
          <w:sz w:val="24"/>
          <w:szCs w:val="24"/>
        </w:rPr>
        <w:t xml:space="preserve"> equally</w:t>
      </w:r>
      <w:r w:rsidR="00AE3766" w:rsidRPr="00A22656">
        <w:rPr>
          <w:rFonts w:ascii="Times New Roman" w:hAnsi="Times New Roman"/>
          <w:sz w:val="24"/>
          <w:szCs w:val="24"/>
        </w:rPr>
        <w:t xml:space="preserve"> visible in the</w:t>
      </w:r>
      <w:r w:rsidR="00401B1A" w:rsidRPr="00A22656">
        <w:rPr>
          <w:rFonts w:ascii="Times New Roman" w:hAnsi="Times New Roman"/>
          <w:sz w:val="24"/>
          <w:szCs w:val="24"/>
        </w:rPr>
        <w:t xml:space="preserve"> evolution of Union citizenship</w:t>
      </w:r>
      <w:r w:rsidR="00EA0BCA" w:rsidRPr="00A22656">
        <w:rPr>
          <w:rFonts w:ascii="Times New Roman" w:hAnsi="Times New Roman"/>
          <w:sz w:val="24"/>
          <w:szCs w:val="24"/>
        </w:rPr>
        <w:t xml:space="preserve"> - that forms the backdrop to the safeguard -</w:t>
      </w:r>
      <w:r w:rsidR="00401B1A" w:rsidRPr="00A22656">
        <w:rPr>
          <w:rFonts w:ascii="Times New Roman" w:hAnsi="Times New Roman"/>
          <w:sz w:val="24"/>
          <w:szCs w:val="24"/>
        </w:rPr>
        <w:t xml:space="preserve"> by means of the Court’s (clearly pivotal)</w:t>
      </w:r>
      <w:r w:rsidR="00AE3766" w:rsidRPr="00A22656">
        <w:rPr>
          <w:rFonts w:ascii="Times New Roman" w:hAnsi="Times New Roman"/>
          <w:sz w:val="24"/>
          <w:szCs w:val="24"/>
        </w:rPr>
        <w:t xml:space="preserve"> teleological approach to</w:t>
      </w:r>
      <w:r w:rsidR="00401B1A" w:rsidRPr="00A22656">
        <w:rPr>
          <w:rFonts w:ascii="Times New Roman" w:hAnsi="Times New Roman"/>
          <w:sz w:val="24"/>
          <w:szCs w:val="24"/>
        </w:rPr>
        <w:t xml:space="preserve"> the Treaty’s citizenship provisions.</w:t>
      </w:r>
      <w:r w:rsidR="00654B57" w:rsidRPr="00A22656">
        <w:rPr>
          <w:rFonts w:ascii="Times New Roman" w:hAnsi="Times New Roman"/>
          <w:sz w:val="24"/>
          <w:szCs w:val="24"/>
        </w:rPr>
        <w:t xml:space="preserve"> For instance, despite the fact that Article 21 TFEU makes plain that free movement rights may be limited by secondary legislation, the Court considered in</w:t>
      </w:r>
      <w:r w:rsidR="00D010B6" w:rsidRPr="00A22656">
        <w:rPr>
          <w:rFonts w:ascii="Times New Roman" w:hAnsi="Times New Roman"/>
          <w:sz w:val="24"/>
          <w:szCs w:val="24"/>
        </w:rPr>
        <w:t xml:space="preserve"> </w:t>
      </w:r>
      <w:proofErr w:type="spellStart"/>
      <w:r w:rsidR="00D010B6" w:rsidRPr="00A22656">
        <w:rPr>
          <w:rFonts w:ascii="Times New Roman" w:hAnsi="Times New Roman"/>
          <w:i/>
          <w:sz w:val="24"/>
          <w:szCs w:val="24"/>
        </w:rPr>
        <w:t>Grzelczyk</w:t>
      </w:r>
      <w:proofErr w:type="spellEnd"/>
      <w:r w:rsidR="00D010B6" w:rsidRPr="00A22656">
        <w:rPr>
          <w:rFonts w:ascii="Times New Roman" w:hAnsi="Times New Roman"/>
          <w:i/>
          <w:sz w:val="24"/>
          <w:szCs w:val="24"/>
        </w:rPr>
        <w:t xml:space="preserve"> </w:t>
      </w:r>
      <w:r w:rsidR="00D010B6" w:rsidRPr="00A22656">
        <w:rPr>
          <w:rFonts w:ascii="Times New Roman" w:hAnsi="Times New Roman"/>
          <w:sz w:val="24"/>
          <w:szCs w:val="24"/>
        </w:rPr>
        <w:t>and</w:t>
      </w:r>
      <w:r w:rsidR="00654B57" w:rsidRPr="00A22656">
        <w:rPr>
          <w:rFonts w:ascii="Times New Roman" w:hAnsi="Times New Roman"/>
          <w:sz w:val="24"/>
          <w:szCs w:val="24"/>
        </w:rPr>
        <w:t xml:space="preserve"> </w:t>
      </w:r>
      <w:proofErr w:type="spellStart"/>
      <w:r w:rsidR="00654B57" w:rsidRPr="00A22656">
        <w:rPr>
          <w:rFonts w:ascii="Times New Roman" w:hAnsi="Times New Roman"/>
          <w:i/>
          <w:sz w:val="24"/>
          <w:szCs w:val="24"/>
        </w:rPr>
        <w:t>Baumbast</w:t>
      </w:r>
      <w:proofErr w:type="spellEnd"/>
      <w:r w:rsidR="00654B57" w:rsidRPr="00A22656">
        <w:rPr>
          <w:rFonts w:ascii="Times New Roman" w:hAnsi="Times New Roman"/>
          <w:i/>
          <w:sz w:val="24"/>
          <w:szCs w:val="24"/>
        </w:rPr>
        <w:t xml:space="preserve"> </w:t>
      </w:r>
      <w:r w:rsidR="00654B57" w:rsidRPr="00A22656">
        <w:rPr>
          <w:rFonts w:ascii="Times New Roman" w:hAnsi="Times New Roman"/>
          <w:sz w:val="24"/>
          <w:szCs w:val="24"/>
        </w:rPr>
        <w:t>that</w:t>
      </w:r>
      <w:r w:rsidR="00A260BC" w:rsidRPr="00A22656">
        <w:rPr>
          <w:rFonts w:ascii="Times New Roman" w:hAnsi="Times New Roman"/>
          <w:sz w:val="24"/>
          <w:szCs w:val="24"/>
        </w:rPr>
        <w:t>, as a result of Union citizenship, any secondary law restrictions</w:t>
      </w:r>
      <w:r w:rsidR="00373557" w:rsidRPr="00A22656">
        <w:rPr>
          <w:rFonts w:ascii="Times New Roman" w:hAnsi="Times New Roman"/>
          <w:sz w:val="24"/>
          <w:szCs w:val="24"/>
        </w:rPr>
        <w:t>, as limitations on directly effective Treaty provisions,</w:t>
      </w:r>
      <w:r w:rsidR="00D010B6" w:rsidRPr="00A22656">
        <w:rPr>
          <w:rFonts w:ascii="Times New Roman" w:hAnsi="Times New Roman"/>
          <w:sz w:val="24"/>
          <w:szCs w:val="24"/>
        </w:rPr>
        <w:t xml:space="preserve"> were </w:t>
      </w:r>
      <w:r w:rsidR="00A260BC" w:rsidRPr="00A22656">
        <w:rPr>
          <w:rFonts w:ascii="Times New Roman" w:hAnsi="Times New Roman"/>
          <w:sz w:val="24"/>
          <w:szCs w:val="24"/>
        </w:rPr>
        <w:t>subject to proportionality.</w:t>
      </w:r>
      <w:r w:rsidR="000404AE" w:rsidRPr="00A22656">
        <w:rPr>
          <w:rFonts w:ascii="Times New Roman" w:hAnsi="Times New Roman"/>
          <w:sz w:val="24"/>
          <w:szCs w:val="24"/>
        </w:rPr>
        <w:t xml:space="preserve"> Accordingly, a non-economically active</w:t>
      </w:r>
      <w:r w:rsidR="00654B57" w:rsidRPr="00A22656">
        <w:rPr>
          <w:rFonts w:ascii="Times New Roman" w:hAnsi="Times New Roman"/>
          <w:sz w:val="24"/>
          <w:szCs w:val="24"/>
        </w:rPr>
        <w:t xml:space="preserve"> EU citizen might still be legally resident, and entitled </w:t>
      </w:r>
      <w:r w:rsidR="00D010B6" w:rsidRPr="00A22656">
        <w:rPr>
          <w:rFonts w:ascii="Times New Roman" w:hAnsi="Times New Roman"/>
          <w:sz w:val="24"/>
          <w:szCs w:val="24"/>
        </w:rPr>
        <w:t>to equal treatment, even if she/he</w:t>
      </w:r>
      <w:r w:rsidR="00654B57" w:rsidRPr="00A22656">
        <w:rPr>
          <w:rFonts w:ascii="Times New Roman" w:hAnsi="Times New Roman"/>
          <w:sz w:val="24"/>
          <w:szCs w:val="24"/>
        </w:rPr>
        <w:t xml:space="preserve"> do</w:t>
      </w:r>
      <w:r w:rsidR="00D010B6" w:rsidRPr="00A22656">
        <w:rPr>
          <w:rFonts w:ascii="Times New Roman" w:hAnsi="Times New Roman"/>
          <w:sz w:val="24"/>
          <w:szCs w:val="24"/>
        </w:rPr>
        <w:t>es</w:t>
      </w:r>
      <w:r w:rsidR="00654B57" w:rsidRPr="00A22656">
        <w:rPr>
          <w:rFonts w:ascii="Times New Roman" w:hAnsi="Times New Roman"/>
          <w:sz w:val="24"/>
          <w:szCs w:val="24"/>
        </w:rPr>
        <w:t xml:space="preserve"> n</w:t>
      </w:r>
      <w:r w:rsidR="00474081" w:rsidRPr="00A22656">
        <w:rPr>
          <w:rFonts w:ascii="Times New Roman" w:hAnsi="Times New Roman"/>
          <w:sz w:val="24"/>
          <w:szCs w:val="24"/>
        </w:rPr>
        <w:t>ot have sufficient resources,</w:t>
      </w:r>
      <w:r w:rsidR="00474081" w:rsidRPr="00A22656">
        <w:rPr>
          <w:rStyle w:val="FootnoteReference"/>
          <w:rFonts w:ascii="Times New Roman" w:hAnsi="Times New Roman"/>
          <w:sz w:val="24"/>
          <w:szCs w:val="24"/>
        </w:rPr>
        <w:footnoteReference w:id="114"/>
      </w:r>
      <w:r w:rsidR="00474081" w:rsidRPr="00A22656">
        <w:rPr>
          <w:rFonts w:ascii="Times New Roman" w:hAnsi="Times New Roman"/>
          <w:sz w:val="24"/>
          <w:szCs w:val="24"/>
        </w:rPr>
        <w:t xml:space="preserve"> or entir</w:t>
      </w:r>
      <w:r w:rsidR="00A260BC" w:rsidRPr="00A22656">
        <w:rPr>
          <w:rFonts w:ascii="Times New Roman" w:hAnsi="Times New Roman"/>
          <w:sz w:val="24"/>
          <w:szCs w:val="24"/>
        </w:rPr>
        <w:t>ely comprehensive medical cover</w:t>
      </w:r>
      <w:r w:rsidR="00474081" w:rsidRPr="00A22656">
        <w:rPr>
          <w:rStyle w:val="FootnoteReference"/>
          <w:rFonts w:ascii="Times New Roman" w:hAnsi="Times New Roman"/>
          <w:sz w:val="24"/>
          <w:szCs w:val="24"/>
        </w:rPr>
        <w:footnoteReference w:id="115"/>
      </w:r>
      <w:r w:rsidR="000404AE" w:rsidRPr="00A22656">
        <w:rPr>
          <w:rFonts w:ascii="Times New Roman" w:hAnsi="Times New Roman"/>
          <w:sz w:val="24"/>
          <w:szCs w:val="24"/>
        </w:rPr>
        <w:t xml:space="preserve"> as</w:t>
      </w:r>
      <w:r w:rsidR="00A260BC" w:rsidRPr="00A22656">
        <w:rPr>
          <w:rFonts w:ascii="Times New Roman" w:hAnsi="Times New Roman"/>
          <w:sz w:val="24"/>
          <w:szCs w:val="24"/>
        </w:rPr>
        <w:t xml:space="preserve"> required by secondary Union law. </w:t>
      </w:r>
    </w:p>
    <w:p w:rsidR="009030FB" w:rsidRPr="00A22656" w:rsidRDefault="009030FB" w:rsidP="005F768F">
      <w:pPr>
        <w:pStyle w:val="NoSpacing"/>
        <w:spacing w:line="360" w:lineRule="auto"/>
        <w:ind w:right="-23"/>
        <w:jc w:val="both"/>
        <w:rPr>
          <w:rFonts w:ascii="Times New Roman" w:hAnsi="Times New Roman"/>
          <w:sz w:val="24"/>
          <w:szCs w:val="24"/>
        </w:rPr>
      </w:pPr>
    </w:p>
    <w:p w:rsidR="00C54252" w:rsidRPr="00A22656" w:rsidRDefault="00A260BC" w:rsidP="005F768F">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Those cases could, of course, be explained by the game-changing introduction of formally recognised EU citizenship into the Treaties after th</w:t>
      </w:r>
      <w:r w:rsidR="00077865" w:rsidRPr="00A22656">
        <w:rPr>
          <w:rFonts w:ascii="Times New Roman" w:hAnsi="Times New Roman"/>
          <w:sz w:val="24"/>
          <w:szCs w:val="24"/>
        </w:rPr>
        <w:t>e secondary law instruments in questions entered into force. These restrictions were n</w:t>
      </w:r>
      <w:r w:rsidR="00DE6BF0" w:rsidRPr="00A22656">
        <w:rPr>
          <w:rFonts w:ascii="Times New Roman" w:hAnsi="Times New Roman"/>
          <w:sz w:val="24"/>
          <w:szCs w:val="24"/>
        </w:rPr>
        <w:t xml:space="preserve">evertheless retained by </w:t>
      </w:r>
      <w:r w:rsidRPr="00A22656">
        <w:rPr>
          <w:rFonts w:ascii="Times New Roman" w:hAnsi="Times New Roman"/>
          <w:sz w:val="24"/>
          <w:szCs w:val="24"/>
        </w:rPr>
        <w:t>subsequent Di</w:t>
      </w:r>
      <w:r w:rsidR="004434F9" w:rsidRPr="00A22656">
        <w:rPr>
          <w:rFonts w:ascii="Times New Roman" w:hAnsi="Times New Roman"/>
          <w:sz w:val="24"/>
          <w:szCs w:val="24"/>
        </w:rPr>
        <w:t>rective 2004/38. As Davies reports</w:t>
      </w:r>
      <w:r w:rsidRPr="00A22656">
        <w:rPr>
          <w:rFonts w:ascii="Times New Roman" w:hAnsi="Times New Roman"/>
          <w:sz w:val="24"/>
          <w:szCs w:val="24"/>
        </w:rPr>
        <w:t xml:space="preserve">, the process of </w:t>
      </w:r>
      <w:r w:rsidR="00077865" w:rsidRPr="00A22656">
        <w:rPr>
          <w:rFonts w:ascii="Times New Roman" w:hAnsi="Times New Roman"/>
          <w:sz w:val="24"/>
          <w:szCs w:val="24"/>
        </w:rPr>
        <w:t>r</w:t>
      </w:r>
      <w:r w:rsidRPr="00A22656">
        <w:rPr>
          <w:rFonts w:ascii="Times New Roman" w:hAnsi="Times New Roman"/>
          <w:sz w:val="24"/>
          <w:szCs w:val="24"/>
        </w:rPr>
        <w:t>eplacing the pre-citizenship free movement directives took place amid quite some debate</w:t>
      </w:r>
      <w:r w:rsidR="00EC0FC7" w:rsidRPr="00A22656">
        <w:rPr>
          <w:rFonts w:ascii="Times New Roman" w:hAnsi="Times New Roman"/>
          <w:sz w:val="24"/>
          <w:szCs w:val="24"/>
        </w:rPr>
        <w:t xml:space="preserve"> about how far Union citizens’ free movement rights should go</w:t>
      </w:r>
      <w:r w:rsidRPr="00A22656">
        <w:rPr>
          <w:rFonts w:ascii="Times New Roman" w:hAnsi="Times New Roman"/>
          <w:sz w:val="24"/>
          <w:szCs w:val="24"/>
        </w:rPr>
        <w:t xml:space="preserve"> and in knowledge of the existing</w:t>
      </w:r>
      <w:r w:rsidR="00077865" w:rsidRPr="00A22656">
        <w:rPr>
          <w:rFonts w:ascii="Times New Roman" w:hAnsi="Times New Roman"/>
          <w:sz w:val="24"/>
          <w:szCs w:val="24"/>
        </w:rPr>
        <w:t xml:space="preserve"> ca</w:t>
      </w:r>
      <w:r w:rsidRPr="00A22656">
        <w:rPr>
          <w:rFonts w:ascii="Times New Roman" w:hAnsi="Times New Roman"/>
          <w:sz w:val="24"/>
          <w:szCs w:val="24"/>
        </w:rPr>
        <w:t>se-law.</w:t>
      </w:r>
      <w:r w:rsidRPr="00A22656">
        <w:rPr>
          <w:rStyle w:val="FootnoteReference"/>
          <w:rFonts w:ascii="Times New Roman" w:hAnsi="Times New Roman"/>
          <w:sz w:val="24"/>
          <w:szCs w:val="24"/>
        </w:rPr>
        <w:footnoteReference w:id="116"/>
      </w:r>
      <w:r w:rsidRPr="00A22656">
        <w:rPr>
          <w:rFonts w:ascii="Times New Roman" w:hAnsi="Times New Roman"/>
          <w:sz w:val="24"/>
          <w:szCs w:val="24"/>
        </w:rPr>
        <w:t xml:space="preserve"> </w:t>
      </w:r>
      <w:r w:rsidR="00EC0FC7" w:rsidRPr="00A22656">
        <w:rPr>
          <w:rFonts w:ascii="Times New Roman" w:hAnsi="Times New Roman"/>
          <w:sz w:val="24"/>
          <w:szCs w:val="24"/>
        </w:rPr>
        <w:t>Since Article 21 TFEU itself</w:t>
      </w:r>
      <w:r w:rsidR="00EB7A83" w:rsidRPr="00A22656">
        <w:rPr>
          <w:rFonts w:ascii="Times New Roman" w:hAnsi="Times New Roman"/>
          <w:sz w:val="24"/>
          <w:szCs w:val="24"/>
        </w:rPr>
        <w:t xml:space="preserve"> </w:t>
      </w:r>
      <w:r w:rsidR="00EB7A83" w:rsidRPr="00A22656">
        <w:rPr>
          <w:rFonts w:ascii="Times New Roman" w:hAnsi="Times New Roman"/>
          <w:sz w:val="24"/>
          <w:szCs w:val="24"/>
        </w:rPr>
        <w:lastRenderedPageBreak/>
        <w:t>allows limits on free movement via secondary legislation</w:t>
      </w:r>
      <w:r w:rsidR="00EC0FC7" w:rsidRPr="00A22656">
        <w:rPr>
          <w:rFonts w:ascii="Times New Roman" w:hAnsi="Times New Roman"/>
          <w:sz w:val="24"/>
          <w:szCs w:val="24"/>
        </w:rPr>
        <w:t>,</w:t>
      </w:r>
      <w:r w:rsidR="00EB7A83" w:rsidRPr="00A22656">
        <w:rPr>
          <w:rFonts w:ascii="Times New Roman" w:hAnsi="Times New Roman"/>
          <w:sz w:val="24"/>
          <w:szCs w:val="24"/>
        </w:rPr>
        <w:t xml:space="preserve"> suggesting judicial deference,</w:t>
      </w:r>
      <w:r w:rsidR="00EA0BCA" w:rsidRPr="00A22656">
        <w:rPr>
          <w:rFonts w:ascii="Times New Roman" w:hAnsi="Times New Roman"/>
          <w:sz w:val="24"/>
          <w:szCs w:val="24"/>
        </w:rPr>
        <w:t xml:space="preserve"> </w:t>
      </w:r>
      <w:r w:rsidR="00EC0FC7" w:rsidRPr="00A22656">
        <w:rPr>
          <w:rFonts w:ascii="Times New Roman" w:hAnsi="Times New Roman"/>
          <w:sz w:val="24"/>
          <w:szCs w:val="24"/>
        </w:rPr>
        <w:t xml:space="preserve">Directive 2004/38 </w:t>
      </w:r>
      <w:r w:rsidR="00EB7A83" w:rsidRPr="00A22656">
        <w:rPr>
          <w:rFonts w:ascii="Times New Roman" w:hAnsi="Times New Roman"/>
          <w:sz w:val="24"/>
          <w:szCs w:val="24"/>
        </w:rPr>
        <w:t>might</w:t>
      </w:r>
      <w:r w:rsidR="0088279B" w:rsidRPr="00A22656">
        <w:rPr>
          <w:rFonts w:ascii="Times New Roman" w:hAnsi="Times New Roman"/>
          <w:sz w:val="24"/>
          <w:szCs w:val="24"/>
        </w:rPr>
        <w:t xml:space="preserve"> have been understood as a comprehensive statement</w:t>
      </w:r>
      <w:r w:rsidR="00A92854" w:rsidRPr="00A22656">
        <w:rPr>
          <w:rFonts w:ascii="Times New Roman" w:hAnsi="Times New Roman"/>
          <w:sz w:val="24"/>
          <w:szCs w:val="24"/>
        </w:rPr>
        <w:t xml:space="preserve"> of movement rights: </w:t>
      </w:r>
      <w:r w:rsidR="0088279B" w:rsidRPr="00A22656">
        <w:rPr>
          <w:rFonts w:ascii="Times New Roman" w:hAnsi="Times New Roman"/>
          <w:sz w:val="24"/>
          <w:szCs w:val="24"/>
        </w:rPr>
        <w:t>‘the legislature had spoken on a subject where their authority is not in doubt, [and] where the policy context is complex and politicised’.</w:t>
      </w:r>
      <w:r w:rsidR="0088279B" w:rsidRPr="00A22656">
        <w:rPr>
          <w:rStyle w:val="FootnoteReference"/>
          <w:rFonts w:ascii="Times New Roman" w:hAnsi="Times New Roman"/>
          <w:sz w:val="24"/>
          <w:szCs w:val="24"/>
        </w:rPr>
        <w:footnoteReference w:id="117"/>
      </w:r>
      <w:r w:rsidR="00EC0FC7" w:rsidRPr="00A22656">
        <w:rPr>
          <w:rFonts w:ascii="Times New Roman" w:hAnsi="Times New Roman"/>
          <w:sz w:val="24"/>
          <w:szCs w:val="24"/>
        </w:rPr>
        <w:t xml:space="preserve"> </w:t>
      </w:r>
      <w:r w:rsidR="00F3739B" w:rsidRPr="00A22656">
        <w:rPr>
          <w:rFonts w:ascii="Times New Roman" w:hAnsi="Times New Roman"/>
          <w:sz w:val="24"/>
          <w:szCs w:val="24"/>
        </w:rPr>
        <w:t>Nevertheless, while some cases appeared to</w:t>
      </w:r>
      <w:r w:rsidR="00E27E62" w:rsidRPr="00A22656">
        <w:rPr>
          <w:rFonts w:ascii="Times New Roman" w:hAnsi="Times New Roman"/>
          <w:sz w:val="24"/>
          <w:szCs w:val="24"/>
        </w:rPr>
        <w:t xml:space="preserve"> show</w:t>
      </w:r>
      <w:r w:rsidR="00F3739B" w:rsidRPr="00A22656">
        <w:rPr>
          <w:rFonts w:ascii="Times New Roman" w:hAnsi="Times New Roman"/>
          <w:sz w:val="24"/>
          <w:szCs w:val="24"/>
        </w:rPr>
        <w:t xml:space="preserve"> judicial responsiveness to legislative policy choices,</w:t>
      </w:r>
      <w:r w:rsidR="00F3739B" w:rsidRPr="00A22656">
        <w:rPr>
          <w:rStyle w:val="FootnoteReference"/>
          <w:rFonts w:ascii="Times New Roman" w:hAnsi="Times New Roman"/>
          <w:sz w:val="24"/>
          <w:szCs w:val="24"/>
        </w:rPr>
        <w:footnoteReference w:id="118"/>
      </w:r>
      <w:r w:rsidR="009030FB" w:rsidRPr="00A22656">
        <w:rPr>
          <w:rFonts w:ascii="Times New Roman" w:hAnsi="Times New Roman"/>
          <w:sz w:val="24"/>
          <w:szCs w:val="24"/>
        </w:rPr>
        <w:t xml:space="preserve"> others appear</w:t>
      </w:r>
      <w:r w:rsidR="00E27E62" w:rsidRPr="00A22656">
        <w:rPr>
          <w:rFonts w:ascii="Times New Roman" w:hAnsi="Times New Roman"/>
          <w:sz w:val="24"/>
          <w:szCs w:val="24"/>
        </w:rPr>
        <w:t xml:space="preserve"> to deprive the Directive of its intended consequence</w:t>
      </w:r>
      <w:r w:rsidR="009030FB" w:rsidRPr="00A22656">
        <w:rPr>
          <w:rFonts w:ascii="Times New Roman" w:hAnsi="Times New Roman"/>
          <w:sz w:val="24"/>
          <w:szCs w:val="24"/>
        </w:rPr>
        <w:t>, subordinating it to the</w:t>
      </w:r>
      <w:r w:rsidR="00E27E62" w:rsidRPr="00A22656">
        <w:rPr>
          <w:rFonts w:ascii="Times New Roman" w:hAnsi="Times New Roman"/>
          <w:sz w:val="24"/>
          <w:szCs w:val="24"/>
        </w:rPr>
        <w:t xml:space="preserve"> open-textured, judicially-refined primary citizenship framework.</w:t>
      </w:r>
    </w:p>
    <w:p w:rsidR="00C54252" w:rsidRPr="00A22656" w:rsidRDefault="00C54252" w:rsidP="005F768F">
      <w:pPr>
        <w:pStyle w:val="NoSpacing"/>
        <w:spacing w:line="360" w:lineRule="auto"/>
        <w:ind w:right="-23"/>
        <w:jc w:val="both"/>
        <w:rPr>
          <w:rFonts w:ascii="Times New Roman" w:hAnsi="Times New Roman"/>
          <w:sz w:val="24"/>
          <w:szCs w:val="24"/>
        </w:rPr>
      </w:pPr>
    </w:p>
    <w:p w:rsidR="00A92854" w:rsidRPr="00A22656" w:rsidRDefault="004434F9" w:rsidP="005F768F">
      <w:pPr>
        <w:pStyle w:val="NoSpacing"/>
        <w:spacing w:line="360" w:lineRule="auto"/>
        <w:jc w:val="both"/>
        <w:rPr>
          <w:rFonts w:ascii="Times New Roman" w:hAnsi="Times New Roman"/>
          <w:sz w:val="24"/>
          <w:szCs w:val="24"/>
        </w:rPr>
      </w:pPr>
      <w:r w:rsidRPr="00A22656">
        <w:rPr>
          <w:rFonts w:ascii="Times New Roman" w:hAnsi="Times New Roman"/>
          <w:sz w:val="24"/>
          <w:szCs w:val="24"/>
        </w:rPr>
        <w:t xml:space="preserve">Our consideration, above, of how the Court might have bypassed some of the restrictive aspects of the safeguard via its approach in </w:t>
      </w:r>
      <w:proofErr w:type="spellStart"/>
      <w:r w:rsidRPr="00A22656">
        <w:rPr>
          <w:rFonts w:ascii="Times New Roman" w:hAnsi="Times New Roman"/>
          <w:i/>
          <w:sz w:val="24"/>
          <w:szCs w:val="24"/>
        </w:rPr>
        <w:t>Vatsouras</w:t>
      </w:r>
      <w:proofErr w:type="spellEnd"/>
      <w:r w:rsidRPr="00A22656">
        <w:rPr>
          <w:rFonts w:ascii="Times New Roman" w:hAnsi="Times New Roman"/>
          <w:sz w:val="24"/>
          <w:szCs w:val="24"/>
        </w:rPr>
        <w:t>, offers</w:t>
      </w:r>
      <w:r w:rsidR="00EA0BCA" w:rsidRPr="00A22656">
        <w:rPr>
          <w:rFonts w:ascii="Times New Roman" w:hAnsi="Times New Roman"/>
          <w:sz w:val="24"/>
          <w:szCs w:val="24"/>
        </w:rPr>
        <w:t xml:space="preserve"> a striking example of this.</w:t>
      </w:r>
      <w:r w:rsidR="00C54252" w:rsidRPr="00A22656">
        <w:rPr>
          <w:rFonts w:ascii="Times New Roman" w:hAnsi="Times New Roman"/>
          <w:sz w:val="24"/>
          <w:szCs w:val="24"/>
        </w:rPr>
        <w:t xml:space="preserve"> </w:t>
      </w:r>
      <w:r w:rsidRPr="00A22656">
        <w:rPr>
          <w:rFonts w:ascii="Times New Roman" w:hAnsi="Times New Roman"/>
          <w:sz w:val="24"/>
          <w:szCs w:val="24"/>
        </w:rPr>
        <w:t xml:space="preserve">In </w:t>
      </w:r>
      <w:proofErr w:type="spellStart"/>
      <w:r w:rsidRPr="00A22656">
        <w:rPr>
          <w:rFonts w:ascii="Times New Roman" w:hAnsi="Times New Roman"/>
          <w:i/>
          <w:sz w:val="24"/>
          <w:szCs w:val="24"/>
        </w:rPr>
        <w:t>Vatsouras</w:t>
      </w:r>
      <w:proofErr w:type="spellEnd"/>
      <w:r w:rsidRPr="00A22656">
        <w:rPr>
          <w:rFonts w:ascii="Times New Roman" w:hAnsi="Times New Roman"/>
          <w:i/>
          <w:sz w:val="24"/>
          <w:szCs w:val="24"/>
        </w:rPr>
        <w:t xml:space="preserve">, </w:t>
      </w:r>
      <w:r w:rsidRPr="00A22656">
        <w:rPr>
          <w:rFonts w:ascii="Times New Roman" w:hAnsi="Times New Roman"/>
          <w:sz w:val="24"/>
          <w:szCs w:val="24"/>
        </w:rPr>
        <w:t>i</w:t>
      </w:r>
      <w:r w:rsidR="00C54252" w:rsidRPr="00A22656">
        <w:rPr>
          <w:rFonts w:ascii="Times New Roman" w:hAnsi="Times New Roman"/>
          <w:sz w:val="24"/>
          <w:szCs w:val="24"/>
        </w:rPr>
        <w:t xml:space="preserve">t seemed clear from the explicit exclusion of jobseekers from equal access to social assistance in Article 24(2) CRD that the Union legislature sought to override the Court’s earlier </w:t>
      </w:r>
      <w:r w:rsidR="00C54252" w:rsidRPr="00A22656">
        <w:rPr>
          <w:rFonts w:ascii="Times New Roman" w:hAnsi="Times New Roman"/>
          <w:i/>
          <w:sz w:val="24"/>
          <w:szCs w:val="24"/>
        </w:rPr>
        <w:t>Collins</w:t>
      </w:r>
      <w:r w:rsidR="00C54252" w:rsidRPr="00A22656">
        <w:rPr>
          <w:rFonts w:ascii="Times New Roman" w:hAnsi="Times New Roman"/>
          <w:sz w:val="24"/>
          <w:szCs w:val="24"/>
        </w:rPr>
        <w:t xml:space="preserve"> judgment.</w:t>
      </w:r>
      <w:r w:rsidR="00A260BC" w:rsidRPr="00A22656">
        <w:rPr>
          <w:rFonts w:ascii="Times New Roman" w:hAnsi="Times New Roman"/>
          <w:sz w:val="24"/>
          <w:szCs w:val="24"/>
        </w:rPr>
        <w:t xml:space="preserve"> </w:t>
      </w:r>
      <w:r w:rsidR="00AA644A" w:rsidRPr="00A22656">
        <w:rPr>
          <w:rFonts w:ascii="Times New Roman" w:hAnsi="Times New Roman"/>
          <w:sz w:val="24"/>
          <w:szCs w:val="24"/>
        </w:rPr>
        <w:t>In preserving its own case-law, t</w:t>
      </w:r>
      <w:r w:rsidR="00A92854" w:rsidRPr="00A22656">
        <w:rPr>
          <w:rFonts w:ascii="Times New Roman" w:hAnsi="Times New Roman"/>
          <w:sz w:val="24"/>
          <w:szCs w:val="24"/>
        </w:rPr>
        <w:t xml:space="preserve">he CJEU </w:t>
      </w:r>
      <w:r w:rsidR="00C54252" w:rsidRPr="00A22656">
        <w:rPr>
          <w:rFonts w:ascii="Times New Roman" w:hAnsi="Times New Roman"/>
          <w:sz w:val="24"/>
          <w:szCs w:val="24"/>
        </w:rPr>
        <w:t>clearly frustrated</w:t>
      </w:r>
      <w:r w:rsidR="00A323A2" w:rsidRPr="00A22656">
        <w:rPr>
          <w:rFonts w:ascii="Times New Roman" w:hAnsi="Times New Roman"/>
          <w:sz w:val="24"/>
          <w:szCs w:val="24"/>
        </w:rPr>
        <w:t xml:space="preserve"> the</w:t>
      </w:r>
      <w:r w:rsidR="00C54252" w:rsidRPr="00A22656">
        <w:rPr>
          <w:rFonts w:ascii="Times New Roman" w:hAnsi="Times New Roman"/>
          <w:sz w:val="24"/>
          <w:szCs w:val="24"/>
        </w:rPr>
        <w:t xml:space="preserve"> intent of the Union legislature by placing jobseekers’ allowance </w:t>
      </w:r>
      <w:proofErr w:type="spellStart"/>
      <w:r w:rsidR="00C54252" w:rsidRPr="00A22656">
        <w:rPr>
          <w:rFonts w:ascii="Times New Roman" w:hAnsi="Times New Roman"/>
          <w:sz w:val="24"/>
          <w:szCs w:val="24"/>
        </w:rPr>
        <w:t>outwith</w:t>
      </w:r>
      <w:proofErr w:type="spellEnd"/>
      <w:r w:rsidR="00C54252" w:rsidRPr="00A22656">
        <w:rPr>
          <w:rFonts w:ascii="Times New Roman" w:hAnsi="Times New Roman"/>
          <w:sz w:val="24"/>
          <w:szCs w:val="24"/>
        </w:rPr>
        <w:t xml:space="preserve"> the concept of </w:t>
      </w:r>
      <w:r w:rsidR="00774B2B" w:rsidRPr="00A22656">
        <w:rPr>
          <w:rFonts w:ascii="Times New Roman" w:hAnsi="Times New Roman"/>
          <w:sz w:val="24"/>
          <w:szCs w:val="24"/>
        </w:rPr>
        <w:t>social assistance</w:t>
      </w:r>
      <w:r w:rsidR="00AA644A" w:rsidRPr="00A22656">
        <w:rPr>
          <w:rFonts w:ascii="Times New Roman" w:hAnsi="Times New Roman"/>
          <w:sz w:val="24"/>
          <w:szCs w:val="24"/>
        </w:rPr>
        <w:t>.</w:t>
      </w:r>
      <w:r w:rsidR="00A323A2" w:rsidRPr="00A22656">
        <w:rPr>
          <w:rFonts w:ascii="Times New Roman" w:hAnsi="Times New Roman"/>
          <w:sz w:val="24"/>
          <w:szCs w:val="24"/>
        </w:rPr>
        <w:t xml:space="preserve"> As</w:t>
      </w:r>
      <w:r w:rsidR="00A92854" w:rsidRPr="00A22656">
        <w:rPr>
          <w:rFonts w:ascii="Times New Roman" w:hAnsi="Times New Roman"/>
          <w:sz w:val="24"/>
          <w:szCs w:val="24"/>
        </w:rPr>
        <w:t xml:space="preserve"> Davies argues:</w:t>
      </w:r>
      <w:r w:rsidR="00C54252" w:rsidRPr="00A22656">
        <w:rPr>
          <w:rFonts w:ascii="Times New Roman" w:hAnsi="Times New Roman"/>
          <w:sz w:val="24"/>
          <w:szCs w:val="24"/>
        </w:rPr>
        <w:t xml:space="preserve"> </w:t>
      </w:r>
    </w:p>
    <w:p w:rsidR="00A92854" w:rsidRPr="00A22656" w:rsidRDefault="00A92854" w:rsidP="005F768F">
      <w:pPr>
        <w:pStyle w:val="NoSpacing"/>
        <w:spacing w:line="360" w:lineRule="auto"/>
        <w:jc w:val="both"/>
        <w:rPr>
          <w:rFonts w:ascii="Times New Roman" w:hAnsi="Times New Roman"/>
          <w:sz w:val="24"/>
          <w:szCs w:val="24"/>
        </w:rPr>
      </w:pPr>
    </w:p>
    <w:p w:rsidR="00AA644A" w:rsidRPr="00A22656" w:rsidRDefault="00A92854" w:rsidP="00A92854">
      <w:pPr>
        <w:pStyle w:val="NoSpacing"/>
        <w:spacing w:line="360" w:lineRule="auto"/>
        <w:ind w:left="720"/>
        <w:jc w:val="both"/>
        <w:rPr>
          <w:rFonts w:ascii="Times New Roman" w:hAnsi="Times New Roman"/>
          <w:sz w:val="20"/>
          <w:szCs w:val="20"/>
        </w:rPr>
      </w:pPr>
      <w:r w:rsidRPr="00A22656">
        <w:rPr>
          <w:rFonts w:ascii="Times New Roman" w:hAnsi="Times New Roman"/>
          <w:sz w:val="20"/>
          <w:szCs w:val="20"/>
        </w:rPr>
        <w:t>[W]</w:t>
      </w:r>
      <w:proofErr w:type="spellStart"/>
      <w:r w:rsidR="00C54252" w:rsidRPr="00A22656">
        <w:rPr>
          <w:rFonts w:ascii="Times New Roman" w:hAnsi="Times New Roman"/>
          <w:sz w:val="20"/>
          <w:szCs w:val="20"/>
        </w:rPr>
        <w:t>hile</w:t>
      </w:r>
      <w:proofErr w:type="spellEnd"/>
      <w:r w:rsidR="00C54252" w:rsidRPr="00A22656">
        <w:rPr>
          <w:rFonts w:ascii="Times New Roman" w:hAnsi="Times New Roman"/>
          <w:sz w:val="20"/>
          <w:szCs w:val="20"/>
        </w:rPr>
        <w:t xml:space="preserve"> it may seem reasonable that secondary legislation is subject to primary law, it should be remembered that the Treaty says nothing about work-seekers. When the Court speaks of interpreting in the light of Article 45 TFEU, it really means interpreting in light of the castle of principles and ideas that it has built’.</w:t>
      </w:r>
      <w:r w:rsidR="00C54252" w:rsidRPr="00A22656">
        <w:rPr>
          <w:rStyle w:val="FootnoteReference"/>
          <w:rFonts w:ascii="Times New Roman" w:hAnsi="Times New Roman"/>
          <w:sz w:val="20"/>
          <w:szCs w:val="20"/>
        </w:rPr>
        <w:footnoteReference w:id="119"/>
      </w:r>
      <w:r w:rsidR="00C54252" w:rsidRPr="00A22656">
        <w:rPr>
          <w:rFonts w:ascii="Times New Roman" w:hAnsi="Times New Roman"/>
          <w:sz w:val="20"/>
          <w:szCs w:val="20"/>
        </w:rPr>
        <w:t xml:space="preserve"> </w:t>
      </w:r>
    </w:p>
    <w:p w:rsidR="00AA644A" w:rsidRPr="00A22656" w:rsidRDefault="00AA644A" w:rsidP="005F768F">
      <w:pPr>
        <w:pStyle w:val="NoSpacing"/>
        <w:spacing w:line="360" w:lineRule="auto"/>
        <w:jc w:val="both"/>
        <w:rPr>
          <w:rFonts w:ascii="Times New Roman" w:hAnsi="Times New Roman"/>
          <w:sz w:val="24"/>
          <w:szCs w:val="24"/>
        </w:rPr>
      </w:pPr>
    </w:p>
    <w:p w:rsidR="001E6CF8" w:rsidRPr="00A22656" w:rsidRDefault="00774B2B" w:rsidP="005F768F">
      <w:pPr>
        <w:pStyle w:val="NoSpacing"/>
        <w:spacing w:line="360" w:lineRule="auto"/>
        <w:jc w:val="both"/>
        <w:rPr>
          <w:rFonts w:ascii="Times New Roman" w:hAnsi="Times New Roman" w:cs="Times New Roman"/>
          <w:sz w:val="24"/>
          <w:szCs w:val="20"/>
        </w:rPr>
      </w:pPr>
      <w:r w:rsidRPr="00A22656">
        <w:rPr>
          <w:rFonts w:ascii="Times New Roman" w:hAnsi="Times New Roman"/>
          <w:i/>
          <w:sz w:val="24"/>
          <w:szCs w:val="24"/>
        </w:rPr>
        <w:t xml:space="preserve">Chen </w:t>
      </w:r>
      <w:r w:rsidRPr="00A22656">
        <w:rPr>
          <w:rFonts w:ascii="Times New Roman" w:hAnsi="Times New Roman"/>
          <w:sz w:val="24"/>
          <w:szCs w:val="24"/>
        </w:rPr>
        <w:t xml:space="preserve">and </w:t>
      </w:r>
      <w:r w:rsidRPr="00A22656">
        <w:rPr>
          <w:rFonts w:ascii="Times New Roman" w:hAnsi="Times New Roman"/>
          <w:i/>
          <w:sz w:val="24"/>
          <w:szCs w:val="24"/>
        </w:rPr>
        <w:t>Ruiz Zambrano</w:t>
      </w:r>
      <w:r w:rsidR="00EA0BCA" w:rsidRPr="00A22656">
        <w:rPr>
          <w:rFonts w:ascii="Times New Roman" w:hAnsi="Times New Roman"/>
          <w:sz w:val="24"/>
          <w:szCs w:val="24"/>
        </w:rPr>
        <w:t xml:space="preserve"> were also explored abo</w:t>
      </w:r>
      <w:r w:rsidR="005922B4" w:rsidRPr="00A22656">
        <w:rPr>
          <w:rFonts w:ascii="Times New Roman" w:hAnsi="Times New Roman"/>
          <w:sz w:val="24"/>
          <w:szCs w:val="24"/>
        </w:rPr>
        <w:t xml:space="preserve">ve as offering a potential </w:t>
      </w:r>
      <w:r w:rsidR="008D551A" w:rsidRPr="00A22656">
        <w:rPr>
          <w:rFonts w:ascii="Times New Roman" w:hAnsi="Times New Roman"/>
          <w:sz w:val="24"/>
          <w:szCs w:val="24"/>
        </w:rPr>
        <w:t xml:space="preserve">route around the requirements of the safeguard </w:t>
      </w:r>
      <w:r w:rsidR="00EA0BCA" w:rsidRPr="00A22656">
        <w:rPr>
          <w:rFonts w:ascii="Times New Roman" w:hAnsi="Times New Roman"/>
          <w:sz w:val="24"/>
          <w:szCs w:val="24"/>
        </w:rPr>
        <w:t>and thus also provide further examples of the dominance of principles developed by the CJEU</w:t>
      </w:r>
      <w:r w:rsidRPr="00A22656">
        <w:rPr>
          <w:rFonts w:ascii="Times New Roman" w:hAnsi="Times New Roman"/>
          <w:sz w:val="24"/>
          <w:szCs w:val="24"/>
        </w:rPr>
        <w:t>.</w:t>
      </w:r>
      <w:r w:rsidRPr="00A22656">
        <w:rPr>
          <w:rStyle w:val="FootnoteReference"/>
          <w:rFonts w:ascii="Times New Roman" w:hAnsi="Times New Roman"/>
          <w:sz w:val="24"/>
          <w:szCs w:val="24"/>
        </w:rPr>
        <w:footnoteReference w:id="120"/>
      </w:r>
      <w:r w:rsidRPr="00A22656">
        <w:rPr>
          <w:rFonts w:ascii="Times New Roman" w:hAnsi="Times New Roman"/>
          <w:sz w:val="24"/>
          <w:szCs w:val="24"/>
        </w:rPr>
        <w:t xml:space="preserve"> </w:t>
      </w:r>
      <w:r w:rsidR="00AA644A" w:rsidRPr="00A22656">
        <w:rPr>
          <w:rFonts w:ascii="Times New Roman" w:hAnsi="Times New Roman"/>
          <w:sz w:val="24"/>
          <w:szCs w:val="24"/>
        </w:rPr>
        <w:t>W</w:t>
      </w:r>
      <w:r w:rsidR="005922B4" w:rsidRPr="00A22656">
        <w:rPr>
          <w:rFonts w:ascii="Times New Roman" w:hAnsi="Times New Roman"/>
          <w:sz w:val="24"/>
          <w:szCs w:val="24"/>
        </w:rPr>
        <w:t>hile clearly contributing</w:t>
      </w:r>
      <w:r w:rsidR="00AB3AAA" w:rsidRPr="00A22656">
        <w:rPr>
          <w:rFonts w:ascii="Times New Roman" w:hAnsi="Times New Roman"/>
          <w:sz w:val="24"/>
          <w:szCs w:val="24"/>
        </w:rPr>
        <w:t xml:space="preserve"> a route to </w:t>
      </w:r>
      <w:r w:rsidRPr="00A22656">
        <w:rPr>
          <w:rFonts w:ascii="Times New Roman" w:hAnsi="Times New Roman"/>
          <w:sz w:val="24"/>
          <w:szCs w:val="24"/>
        </w:rPr>
        <w:t>residence rights</w:t>
      </w:r>
      <w:r w:rsidR="00AB3AAA" w:rsidRPr="00A22656">
        <w:rPr>
          <w:rFonts w:ascii="Times New Roman" w:hAnsi="Times New Roman"/>
          <w:sz w:val="24"/>
          <w:szCs w:val="24"/>
        </w:rPr>
        <w:t xml:space="preserve"> cruci</w:t>
      </w:r>
      <w:r w:rsidRPr="00A22656">
        <w:rPr>
          <w:rFonts w:ascii="Times New Roman" w:hAnsi="Times New Roman"/>
          <w:sz w:val="24"/>
          <w:szCs w:val="24"/>
        </w:rPr>
        <w:t>al at the individual level, those judgments</w:t>
      </w:r>
      <w:r w:rsidR="00AB3AAA" w:rsidRPr="00A22656">
        <w:rPr>
          <w:rFonts w:ascii="Times New Roman" w:hAnsi="Times New Roman"/>
          <w:sz w:val="24"/>
          <w:szCs w:val="24"/>
        </w:rPr>
        <w:t xml:space="preserve"> also suggest a rejection by the CJEU of arguably very clear policy choices by the EU legislature: that non-dependent ascendants are not beneficiaries of derived residence entitlements; or that, regardless of long-standing, fervent criticism, cross-border movement remains decisive in trigger</w:t>
      </w:r>
      <w:r w:rsidR="005B0505" w:rsidRPr="00A22656">
        <w:rPr>
          <w:rFonts w:ascii="Times New Roman" w:hAnsi="Times New Roman"/>
          <w:sz w:val="24"/>
          <w:szCs w:val="24"/>
        </w:rPr>
        <w:t>ing</w:t>
      </w:r>
      <w:r w:rsidR="00AB3AAA" w:rsidRPr="00A22656">
        <w:rPr>
          <w:rFonts w:ascii="Times New Roman" w:hAnsi="Times New Roman"/>
          <w:sz w:val="24"/>
          <w:szCs w:val="24"/>
        </w:rPr>
        <w:t xml:space="preserve"> Union citizenship rights.</w:t>
      </w:r>
      <w:r w:rsidRPr="00A22656">
        <w:rPr>
          <w:rStyle w:val="FootnoteReference"/>
          <w:rFonts w:ascii="Times New Roman" w:hAnsi="Times New Roman"/>
          <w:sz w:val="24"/>
          <w:szCs w:val="24"/>
        </w:rPr>
        <w:footnoteReference w:id="121"/>
      </w:r>
      <w:r w:rsidR="00EA0BCA" w:rsidRPr="00A22656">
        <w:rPr>
          <w:rFonts w:ascii="Times New Roman" w:hAnsi="Times New Roman"/>
          <w:sz w:val="24"/>
          <w:szCs w:val="24"/>
        </w:rPr>
        <w:t xml:space="preserve"> </w:t>
      </w:r>
      <w:r w:rsidR="008D551A" w:rsidRPr="00A22656">
        <w:rPr>
          <w:rFonts w:ascii="Times New Roman" w:hAnsi="Times New Roman"/>
          <w:sz w:val="24"/>
          <w:szCs w:val="24"/>
        </w:rPr>
        <w:t>T</w:t>
      </w:r>
      <w:r w:rsidR="005922B4" w:rsidRPr="00A22656">
        <w:rPr>
          <w:rFonts w:ascii="Times New Roman" w:hAnsi="Times New Roman"/>
          <w:sz w:val="24"/>
          <w:szCs w:val="24"/>
        </w:rPr>
        <w:t>he</w:t>
      </w:r>
      <w:r w:rsidR="00EA0BCA" w:rsidRPr="00A22656">
        <w:rPr>
          <w:rFonts w:ascii="Times New Roman" w:hAnsi="Times New Roman"/>
          <w:sz w:val="24"/>
          <w:szCs w:val="24"/>
        </w:rPr>
        <w:t xml:space="preserve"> non-political mode of decision-making</w:t>
      </w:r>
      <w:r w:rsidR="005922B4" w:rsidRPr="00A22656">
        <w:rPr>
          <w:rFonts w:ascii="Times New Roman" w:hAnsi="Times New Roman"/>
          <w:sz w:val="24"/>
          <w:szCs w:val="24"/>
        </w:rPr>
        <w:t xml:space="preserve"> visible in this case-law</w:t>
      </w:r>
      <w:r w:rsidR="00EA0BCA" w:rsidRPr="00A22656">
        <w:rPr>
          <w:rFonts w:ascii="Times New Roman" w:hAnsi="Times New Roman"/>
          <w:sz w:val="24"/>
          <w:szCs w:val="24"/>
        </w:rPr>
        <w:t xml:space="preserve"> does not alter </w:t>
      </w:r>
      <w:r w:rsidR="00EA0BCA" w:rsidRPr="00A22656">
        <w:rPr>
          <w:rFonts w:ascii="Times New Roman" w:hAnsi="Times New Roman"/>
          <w:sz w:val="24"/>
          <w:szCs w:val="24"/>
        </w:rPr>
        <w:lastRenderedPageBreak/>
        <w:t>the political character of the decisions made</w:t>
      </w:r>
      <w:r w:rsidR="008D551A" w:rsidRPr="00A22656">
        <w:rPr>
          <w:rFonts w:ascii="Times New Roman" w:hAnsi="Times New Roman"/>
          <w:sz w:val="24"/>
          <w:szCs w:val="24"/>
        </w:rPr>
        <w:t xml:space="preserve"> and yet</w:t>
      </w:r>
      <w:r w:rsidR="004434F9" w:rsidRPr="00A22656">
        <w:rPr>
          <w:rFonts w:ascii="Times New Roman" w:hAnsi="Times New Roman"/>
          <w:sz w:val="24"/>
          <w:szCs w:val="24"/>
        </w:rPr>
        <w:t xml:space="preserve"> importantly</w:t>
      </w:r>
      <w:r w:rsidR="008D551A" w:rsidRPr="00A22656">
        <w:rPr>
          <w:rFonts w:ascii="Times New Roman" w:hAnsi="Times New Roman"/>
          <w:sz w:val="24"/>
          <w:szCs w:val="24"/>
        </w:rPr>
        <w:t>, as Grimm notes,</w:t>
      </w:r>
      <w:r w:rsidR="00EA0BCA" w:rsidRPr="00A22656">
        <w:rPr>
          <w:rFonts w:ascii="Times New Roman" w:hAnsi="Times New Roman"/>
          <w:sz w:val="24"/>
          <w:szCs w:val="24"/>
        </w:rPr>
        <w:t xml:space="preserve"> ‘the political means to secure democratic legitimacy and accountability are rendered inoperative’.</w:t>
      </w:r>
      <w:r w:rsidR="00EA0BCA" w:rsidRPr="00A22656">
        <w:rPr>
          <w:rStyle w:val="FootnoteReference"/>
          <w:rFonts w:ascii="Times New Roman" w:hAnsi="Times New Roman"/>
          <w:sz w:val="24"/>
          <w:szCs w:val="24"/>
        </w:rPr>
        <w:footnoteReference w:id="122"/>
      </w:r>
    </w:p>
    <w:p w:rsidR="001E6CF8" w:rsidRPr="00A22656" w:rsidRDefault="001E6CF8" w:rsidP="005F768F">
      <w:pPr>
        <w:pStyle w:val="NoSpacing"/>
        <w:spacing w:line="360" w:lineRule="auto"/>
        <w:ind w:right="-23"/>
        <w:jc w:val="both"/>
        <w:rPr>
          <w:rFonts w:ascii="Times New Roman" w:hAnsi="Times New Roman"/>
          <w:sz w:val="24"/>
          <w:szCs w:val="24"/>
        </w:rPr>
      </w:pPr>
    </w:p>
    <w:p w:rsidR="00F2572A" w:rsidRPr="00A22656" w:rsidRDefault="009A0434" w:rsidP="005F768F">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Further</w:t>
      </w:r>
      <w:r w:rsidR="0050079F" w:rsidRPr="00A22656">
        <w:rPr>
          <w:rFonts w:ascii="Times New Roman" w:hAnsi="Times New Roman"/>
          <w:sz w:val="24"/>
          <w:szCs w:val="24"/>
        </w:rPr>
        <w:t xml:space="preserve">, </w:t>
      </w:r>
      <w:r w:rsidR="001E6CF8" w:rsidRPr="00A22656">
        <w:rPr>
          <w:rFonts w:ascii="Times New Roman" w:hAnsi="Times New Roman"/>
          <w:sz w:val="24"/>
          <w:szCs w:val="24"/>
        </w:rPr>
        <w:t>where the EU legislature has added flesh to the bones of the Treaties via secondary legislation, it also risks the ‘</w:t>
      </w:r>
      <w:r w:rsidR="007F66D6" w:rsidRPr="00A22656">
        <w:rPr>
          <w:rFonts w:ascii="Times New Roman" w:hAnsi="Times New Roman"/>
          <w:sz w:val="24"/>
          <w:szCs w:val="24"/>
        </w:rPr>
        <w:t>legislative ossification</w:t>
      </w:r>
      <w:r w:rsidR="001E6CF8" w:rsidRPr="00A22656">
        <w:rPr>
          <w:rFonts w:ascii="Times New Roman" w:hAnsi="Times New Roman"/>
          <w:sz w:val="24"/>
          <w:szCs w:val="24"/>
        </w:rPr>
        <w:t>’ of these policy choices,</w:t>
      </w:r>
      <w:r w:rsidR="00AA644A" w:rsidRPr="00A22656">
        <w:rPr>
          <w:rFonts w:ascii="Times New Roman" w:hAnsi="Times New Roman"/>
          <w:sz w:val="24"/>
          <w:szCs w:val="24"/>
        </w:rPr>
        <w:t xml:space="preserve"> and</w:t>
      </w:r>
      <w:r w:rsidR="0050079F" w:rsidRPr="00A22656">
        <w:rPr>
          <w:rFonts w:ascii="Times New Roman" w:hAnsi="Times New Roman"/>
          <w:sz w:val="24"/>
          <w:szCs w:val="24"/>
        </w:rPr>
        <w:t xml:space="preserve"> may</w:t>
      </w:r>
      <w:r w:rsidR="00AA644A" w:rsidRPr="00A22656">
        <w:rPr>
          <w:rFonts w:ascii="Times New Roman" w:hAnsi="Times New Roman"/>
          <w:sz w:val="24"/>
          <w:szCs w:val="24"/>
        </w:rPr>
        <w:t xml:space="preserve"> subsequently </w:t>
      </w:r>
      <w:r w:rsidR="001E6CF8" w:rsidRPr="00A22656">
        <w:rPr>
          <w:rFonts w:ascii="Times New Roman" w:hAnsi="Times New Roman"/>
          <w:sz w:val="24"/>
          <w:szCs w:val="24"/>
        </w:rPr>
        <w:t xml:space="preserve">find it hard to </w:t>
      </w:r>
      <w:r w:rsidR="0050079F" w:rsidRPr="00A22656">
        <w:rPr>
          <w:rFonts w:ascii="Times New Roman" w:hAnsi="Times New Roman"/>
          <w:sz w:val="24"/>
          <w:szCs w:val="24"/>
        </w:rPr>
        <w:t>chang</w:t>
      </w:r>
      <w:r w:rsidR="001E6CF8" w:rsidRPr="00A22656">
        <w:rPr>
          <w:rFonts w:ascii="Times New Roman" w:hAnsi="Times New Roman"/>
          <w:sz w:val="24"/>
          <w:szCs w:val="24"/>
        </w:rPr>
        <w:t xml:space="preserve">e direction should </w:t>
      </w:r>
      <w:r w:rsidR="0050079F" w:rsidRPr="00A22656">
        <w:rPr>
          <w:rFonts w:ascii="Times New Roman" w:hAnsi="Times New Roman"/>
          <w:sz w:val="24"/>
          <w:szCs w:val="24"/>
        </w:rPr>
        <w:t>the political environment alter</w:t>
      </w:r>
      <w:r w:rsidR="001E6CF8" w:rsidRPr="00A22656">
        <w:rPr>
          <w:rFonts w:ascii="Times New Roman" w:hAnsi="Times New Roman"/>
          <w:sz w:val="24"/>
          <w:szCs w:val="24"/>
        </w:rPr>
        <w:t>.</w:t>
      </w:r>
      <w:r w:rsidR="00F268A2" w:rsidRPr="00A22656">
        <w:rPr>
          <w:rStyle w:val="FootnoteReference"/>
          <w:rFonts w:ascii="Times New Roman" w:hAnsi="Times New Roman"/>
          <w:sz w:val="24"/>
          <w:szCs w:val="24"/>
        </w:rPr>
        <w:footnoteReference w:id="123"/>
      </w:r>
      <w:r w:rsidR="001E6CF8" w:rsidRPr="00A22656">
        <w:rPr>
          <w:rFonts w:ascii="Times New Roman" w:hAnsi="Times New Roman"/>
          <w:sz w:val="24"/>
          <w:szCs w:val="24"/>
        </w:rPr>
        <w:t xml:space="preserve"> </w:t>
      </w:r>
      <w:r w:rsidR="00F268A2" w:rsidRPr="00A22656">
        <w:rPr>
          <w:rFonts w:ascii="Times New Roman" w:hAnsi="Times New Roman"/>
          <w:sz w:val="24"/>
          <w:szCs w:val="24"/>
        </w:rPr>
        <w:t xml:space="preserve">Indeed, </w:t>
      </w:r>
      <w:r w:rsidR="00315D25" w:rsidRPr="00A22656">
        <w:rPr>
          <w:rFonts w:ascii="Times New Roman" w:hAnsi="Times New Roman"/>
          <w:sz w:val="24"/>
          <w:szCs w:val="24"/>
        </w:rPr>
        <w:t xml:space="preserve">the largest </w:t>
      </w:r>
      <w:r w:rsidR="001515EB" w:rsidRPr="00A22656">
        <w:rPr>
          <w:rFonts w:ascii="Times New Roman" w:hAnsi="Times New Roman"/>
          <w:sz w:val="24"/>
          <w:szCs w:val="24"/>
        </w:rPr>
        <w:t>question</w:t>
      </w:r>
      <w:r w:rsidR="005904B5" w:rsidRPr="00A22656">
        <w:rPr>
          <w:rFonts w:ascii="Times New Roman" w:hAnsi="Times New Roman"/>
          <w:sz w:val="24"/>
          <w:szCs w:val="24"/>
        </w:rPr>
        <w:t xml:space="preserve"> mark</w:t>
      </w:r>
      <w:r w:rsidR="00F268A2" w:rsidRPr="00A22656">
        <w:rPr>
          <w:rFonts w:ascii="Times New Roman" w:hAnsi="Times New Roman"/>
          <w:sz w:val="24"/>
          <w:szCs w:val="24"/>
        </w:rPr>
        <w:t xml:space="preserve"> over the legality of the safeguard mechanism</w:t>
      </w:r>
      <w:r w:rsidR="00AA644A" w:rsidRPr="00A22656">
        <w:rPr>
          <w:rFonts w:ascii="Times New Roman" w:hAnsi="Times New Roman"/>
          <w:sz w:val="24"/>
          <w:szCs w:val="24"/>
        </w:rPr>
        <w:t xml:space="preserve"> arguably</w:t>
      </w:r>
      <w:r w:rsidR="00315D25" w:rsidRPr="00A22656">
        <w:rPr>
          <w:rFonts w:ascii="Times New Roman" w:hAnsi="Times New Roman"/>
          <w:sz w:val="24"/>
          <w:szCs w:val="24"/>
        </w:rPr>
        <w:t xml:space="preserve"> </w:t>
      </w:r>
      <w:r w:rsidR="00AA644A" w:rsidRPr="00A22656">
        <w:rPr>
          <w:rFonts w:ascii="Times New Roman" w:hAnsi="Times New Roman"/>
          <w:sz w:val="24"/>
          <w:szCs w:val="24"/>
        </w:rPr>
        <w:t xml:space="preserve">arose from </w:t>
      </w:r>
      <w:r w:rsidR="00315D25" w:rsidRPr="00A22656">
        <w:rPr>
          <w:rFonts w:ascii="Times New Roman" w:hAnsi="Times New Roman"/>
          <w:sz w:val="24"/>
          <w:szCs w:val="24"/>
        </w:rPr>
        <w:t>the</w:t>
      </w:r>
      <w:r w:rsidR="004A56C0" w:rsidRPr="00A22656">
        <w:rPr>
          <w:rFonts w:ascii="Times New Roman" w:hAnsi="Times New Roman"/>
          <w:sz w:val="24"/>
          <w:szCs w:val="24"/>
        </w:rPr>
        <w:t xml:space="preserve"> </w:t>
      </w:r>
      <w:proofErr w:type="spellStart"/>
      <w:r w:rsidR="004A56C0" w:rsidRPr="00A22656">
        <w:rPr>
          <w:rFonts w:ascii="Times New Roman" w:hAnsi="Times New Roman"/>
          <w:sz w:val="24"/>
          <w:szCs w:val="24"/>
        </w:rPr>
        <w:t>constitutionalisation</w:t>
      </w:r>
      <w:proofErr w:type="spellEnd"/>
      <w:r w:rsidR="004A56C0" w:rsidRPr="00A22656">
        <w:rPr>
          <w:rFonts w:ascii="Times New Roman" w:hAnsi="Times New Roman"/>
          <w:sz w:val="24"/>
          <w:szCs w:val="24"/>
        </w:rPr>
        <w:t xml:space="preserve"> </w:t>
      </w:r>
      <w:r w:rsidR="001515EB" w:rsidRPr="00A22656">
        <w:rPr>
          <w:rFonts w:ascii="Times New Roman" w:hAnsi="Times New Roman"/>
          <w:sz w:val="24"/>
          <w:szCs w:val="24"/>
        </w:rPr>
        <w:t>of Article 7</w:t>
      </w:r>
      <w:r w:rsidR="00AA644A" w:rsidRPr="00A22656">
        <w:rPr>
          <w:rFonts w:ascii="Times New Roman" w:hAnsi="Times New Roman"/>
          <w:sz w:val="24"/>
          <w:szCs w:val="24"/>
        </w:rPr>
        <w:t>, Regulation</w:t>
      </w:r>
      <w:r w:rsidR="001515EB" w:rsidRPr="00A22656">
        <w:rPr>
          <w:rFonts w:ascii="Times New Roman" w:hAnsi="Times New Roman"/>
          <w:sz w:val="24"/>
          <w:szCs w:val="24"/>
        </w:rPr>
        <w:t xml:space="preserve"> No 492/2011, as a concrete expression</w:t>
      </w:r>
      <w:r w:rsidR="004A56C0" w:rsidRPr="00A22656">
        <w:rPr>
          <w:rFonts w:ascii="Times New Roman" w:hAnsi="Times New Roman"/>
          <w:sz w:val="24"/>
          <w:szCs w:val="24"/>
        </w:rPr>
        <w:t xml:space="preserve"> of Article 45(2) TFEU i</w:t>
      </w:r>
      <w:r w:rsidR="00F2572A" w:rsidRPr="00A22656">
        <w:rPr>
          <w:rFonts w:ascii="Times New Roman" w:hAnsi="Times New Roman"/>
          <w:sz w:val="24"/>
          <w:szCs w:val="24"/>
        </w:rPr>
        <w:t xml:space="preserve">n </w:t>
      </w:r>
      <w:r w:rsidR="00F2572A" w:rsidRPr="00A22656">
        <w:rPr>
          <w:rFonts w:ascii="Times New Roman" w:hAnsi="Times New Roman"/>
          <w:i/>
          <w:sz w:val="24"/>
          <w:szCs w:val="24"/>
        </w:rPr>
        <w:t>Even</w:t>
      </w:r>
      <w:r w:rsidR="00F2572A" w:rsidRPr="00A22656">
        <w:rPr>
          <w:rFonts w:ascii="Times New Roman" w:hAnsi="Times New Roman"/>
          <w:sz w:val="24"/>
          <w:szCs w:val="24"/>
        </w:rPr>
        <w:t xml:space="preserve">. Thus, </w:t>
      </w:r>
      <w:r w:rsidR="005904B5" w:rsidRPr="00A22656">
        <w:rPr>
          <w:rFonts w:ascii="Times New Roman" w:hAnsi="Times New Roman"/>
          <w:sz w:val="24"/>
          <w:szCs w:val="24"/>
        </w:rPr>
        <w:t>although</w:t>
      </w:r>
      <w:r w:rsidR="007F66D6" w:rsidRPr="00A22656">
        <w:rPr>
          <w:rFonts w:ascii="Times New Roman" w:hAnsi="Times New Roman"/>
          <w:sz w:val="24"/>
          <w:szCs w:val="24"/>
        </w:rPr>
        <w:t xml:space="preserve"> it was always open to the Member States to amend the Treaties to allow for </w:t>
      </w:r>
      <w:r w:rsidR="005904B5" w:rsidRPr="00A22656">
        <w:rPr>
          <w:rFonts w:ascii="Times New Roman" w:hAnsi="Times New Roman"/>
          <w:sz w:val="24"/>
          <w:szCs w:val="24"/>
        </w:rPr>
        <w:t>discrimination against</w:t>
      </w:r>
      <w:r w:rsidR="007F66D6" w:rsidRPr="00A22656">
        <w:rPr>
          <w:rFonts w:ascii="Times New Roman" w:hAnsi="Times New Roman"/>
          <w:sz w:val="24"/>
          <w:szCs w:val="24"/>
        </w:rPr>
        <w:t xml:space="preserve"> Union worker</w:t>
      </w:r>
      <w:r w:rsidR="003D366A" w:rsidRPr="00A22656">
        <w:rPr>
          <w:rFonts w:ascii="Times New Roman" w:hAnsi="Times New Roman"/>
          <w:sz w:val="24"/>
          <w:szCs w:val="24"/>
        </w:rPr>
        <w:t xml:space="preserve">s – admittedly with </w:t>
      </w:r>
      <w:r w:rsidR="007F66D6" w:rsidRPr="00A22656">
        <w:rPr>
          <w:rFonts w:ascii="Times New Roman" w:hAnsi="Times New Roman"/>
          <w:sz w:val="24"/>
          <w:szCs w:val="24"/>
        </w:rPr>
        <w:t>significant legal and political obstacles along the way –</w:t>
      </w:r>
      <w:r w:rsidR="004A56C0" w:rsidRPr="00A22656">
        <w:rPr>
          <w:rFonts w:ascii="Times New Roman" w:hAnsi="Times New Roman"/>
          <w:sz w:val="24"/>
          <w:szCs w:val="24"/>
        </w:rPr>
        <w:t xml:space="preserve"> and irrespective of the fac</w:t>
      </w:r>
      <w:r w:rsidR="002413F6" w:rsidRPr="00A22656">
        <w:rPr>
          <w:rFonts w:ascii="Times New Roman" w:hAnsi="Times New Roman"/>
          <w:sz w:val="24"/>
          <w:szCs w:val="24"/>
        </w:rPr>
        <w:t>t that the safeguard struck</w:t>
      </w:r>
      <w:r w:rsidR="004A56C0" w:rsidRPr="00A22656">
        <w:rPr>
          <w:rFonts w:ascii="Times New Roman" w:hAnsi="Times New Roman"/>
          <w:sz w:val="24"/>
          <w:szCs w:val="24"/>
        </w:rPr>
        <w:t xml:space="preserve"> at the heart of foundational Union goals,</w:t>
      </w:r>
      <w:r w:rsidR="007F66D6" w:rsidRPr="00A22656">
        <w:rPr>
          <w:rFonts w:ascii="Times New Roman" w:hAnsi="Times New Roman"/>
          <w:sz w:val="24"/>
          <w:szCs w:val="24"/>
        </w:rPr>
        <w:t xml:space="preserve"> </w:t>
      </w:r>
      <w:r w:rsidR="00F2572A" w:rsidRPr="00A22656">
        <w:rPr>
          <w:rFonts w:ascii="Times New Roman" w:hAnsi="Times New Roman"/>
          <w:sz w:val="24"/>
          <w:szCs w:val="24"/>
        </w:rPr>
        <w:t>doubt as to</w:t>
      </w:r>
      <w:r w:rsidR="004A56C0" w:rsidRPr="00A22656">
        <w:rPr>
          <w:rFonts w:ascii="Times New Roman" w:hAnsi="Times New Roman"/>
          <w:sz w:val="24"/>
          <w:szCs w:val="24"/>
        </w:rPr>
        <w:t xml:space="preserve"> its</w:t>
      </w:r>
      <w:r w:rsidR="00F2572A" w:rsidRPr="00A22656">
        <w:rPr>
          <w:rFonts w:ascii="Times New Roman" w:hAnsi="Times New Roman"/>
          <w:sz w:val="24"/>
          <w:szCs w:val="24"/>
        </w:rPr>
        <w:t xml:space="preserve"> legality can itself provide ammunition to those who argue that the ‘Masters of the Treaties’ in fact operate within a judicial straitjacket.  </w:t>
      </w:r>
    </w:p>
    <w:p w:rsidR="00F2572A" w:rsidRPr="00A22656" w:rsidRDefault="00F2572A" w:rsidP="005F768F">
      <w:pPr>
        <w:pStyle w:val="NoSpacing"/>
        <w:spacing w:line="360" w:lineRule="auto"/>
        <w:ind w:right="-23"/>
        <w:jc w:val="both"/>
        <w:rPr>
          <w:rFonts w:ascii="Times New Roman" w:hAnsi="Times New Roman"/>
          <w:sz w:val="24"/>
          <w:szCs w:val="24"/>
        </w:rPr>
      </w:pPr>
    </w:p>
    <w:p w:rsidR="00583456" w:rsidRPr="00A22656" w:rsidRDefault="00AA644A" w:rsidP="005F768F">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In sum</w:t>
      </w:r>
      <w:r w:rsidR="008C3572" w:rsidRPr="00A22656">
        <w:rPr>
          <w:rFonts w:ascii="Times New Roman" w:hAnsi="Times New Roman"/>
          <w:sz w:val="24"/>
          <w:szCs w:val="24"/>
        </w:rPr>
        <w:t>, the CJEU’s teleological approach has done much to ensure that EU citizenship offers meaningful right</w:t>
      </w:r>
      <w:r w:rsidR="00136436" w:rsidRPr="00A22656">
        <w:rPr>
          <w:rFonts w:ascii="Times New Roman" w:hAnsi="Times New Roman"/>
          <w:sz w:val="24"/>
          <w:szCs w:val="24"/>
        </w:rPr>
        <w:t>s to Union citizens. F</w:t>
      </w:r>
      <w:r w:rsidR="008C3572" w:rsidRPr="00A22656">
        <w:rPr>
          <w:rFonts w:ascii="Times New Roman" w:hAnsi="Times New Roman"/>
          <w:sz w:val="24"/>
          <w:szCs w:val="24"/>
        </w:rPr>
        <w:t xml:space="preserve">rom principled and moral perspectives, </w:t>
      </w:r>
      <w:r w:rsidR="008C7AAB" w:rsidRPr="00A22656">
        <w:rPr>
          <w:rFonts w:ascii="Times New Roman" w:hAnsi="Times New Roman"/>
          <w:sz w:val="24"/>
          <w:szCs w:val="24"/>
        </w:rPr>
        <w:t>we might both wel</w:t>
      </w:r>
      <w:r w:rsidR="00D27AB6" w:rsidRPr="00A22656">
        <w:rPr>
          <w:rFonts w:ascii="Times New Roman" w:hAnsi="Times New Roman"/>
          <w:sz w:val="24"/>
          <w:szCs w:val="24"/>
        </w:rPr>
        <w:t>come these developments</w:t>
      </w:r>
      <w:r w:rsidR="008C7AAB" w:rsidRPr="00A22656">
        <w:rPr>
          <w:rFonts w:ascii="Times New Roman" w:hAnsi="Times New Roman"/>
          <w:sz w:val="24"/>
          <w:szCs w:val="24"/>
        </w:rPr>
        <w:t xml:space="preserve"> and question whether they go far enough</w:t>
      </w:r>
      <w:r w:rsidR="008C3572" w:rsidRPr="00A22656">
        <w:rPr>
          <w:rFonts w:ascii="Times New Roman" w:hAnsi="Times New Roman"/>
          <w:sz w:val="24"/>
          <w:szCs w:val="24"/>
        </w:rPr>
        <w:t>.</w:t>
      </w:r>
      <w:r w:rsidR="006D31FF" w:rsidRPr="00A22656">
        <w:rPr>
          <w:rFonts w:ascii="Times New Roman" w:hAnsi="Times New Roman"/>
          <w:sz w:val="24"/>
          <w:szCs w:val="24"/>
        </w:rPr>
        <w:t xml:space="preserve"> Yet, when viewed through an </w:t>
      </w:r>
      <w:r w:rsidR="006D31FF" w:rsidRPr="00A22656">
        <w:rPr>
          <w:rFonts w:ascii="Times New Roman" w:hAnsi="Times New Roman"/>
          <w:i/>
          <w:sz w:val="24"/>
          <w:szCs w:val="24"/>
        </w:rPr>
        <w:t xml:space="preserve">institutional </w:t>
      </w:r>
      <w:r w:rsidR="006D31FF" w:rsidRPr="00A22656">
        <w:rPr>
          <w:rFonts w:ascii="Times New Roman" w:hAnsi="Times New Roman"/>
          <w:sz w:val="24"/>
          <w:szCs w:val="24"/>
        </w:rPr>
        <w:t>lens, the judicial evolution of Union citizenship, and more broadly the internal market, has left itself open to criticism in terms of democratic legitimacy: ‘when [the] legislature constructs a limited regime, and it is widely accepted that there is no political will to extend [it], this does not disturb the path…of the case-law…the Court, in practice, trumps the law-maker’.</w:t>
      </w:r>
      <w:r w:rsidR="006D31FF" w:rsidRPr="00A22656">
        <w:rPr>
          <w:rStyle w:val="FootnoteReference"/>
          <w:rFonts w:ascii="Times New Roman" w:hAnsi="Times New Roman"/>
          <w:sz w:val="24"/>
          <w:szCs w:val="24"/>
        </w:rPr>
        <w:footnoteReference w:id="124"/>
      </w:r>
      <w:r w:rsidR="00A323A2" w:rsidRPr="00A22656">
        <w:rPr>
          <w:rFonts w:ascii="Times New Roman" w:hAnsi="Times New Roman"/>
          <w:sz w:val="24"/>
          <w:szCs w:val="24"/>
        </w:rPr>
        <w:t xml:space="preserve"> Accordingly, while the judicial evolution of Union citizenship might have been critical in coming to the aid of EU citizens in the short and medium-term, the manner of its development might ironically undermine </w:t>
      </w:r>
      <w:r w:rsidR="00D27AB6" w:rsidRPr="00A22656">
        <w:rPr>
          <w:rFonts w:ascii="Times New Roman" w:hAnsi="Times New Roman"/>
          <w:sz w:val="24"/>
          <w:szCs w:val="24"/>
        </w:rPr>
        <w:t>the Union’s connection with its citizens</w:t>
      </w:r>
      <w:r w:rsidR="00B528EC" w:rsidRPr="00A22656">
        <w:rPr>
          <w:rFonts w:ascii="Times New Roman" w:hAnsi="Times New Roman"/>
          <w:sz w:val="24"/>
          <w:szCs w:val="24"/>
        </w:rPr>
        <w:t xml:space="preserve"> in the longer-term</w:t>
      </w:r>
      <w:r w:rsidR="003D366A" w:rsidRPr="00A22656">
        <w:rPr>
          <w:rFonts w:ascii="Times New Roman" w:hAnsi="Times New Roman"/>
          <w:sz w:val="24"/>
          <w:szCs w:val="24"/>
        </w:rPr>
        <w:t>.</w:t>
      </w:r>
      <w:r w:rsidR="009B2F56" w:rsidRPr="00A22656">
        <w:rPr>
          <w:rStyle w:val="FootnoteReference"/>
          <w:rFonts w:ascii="Times New Roman" w:hAnsi="Times New Roman"/>
          <w:sz w:val="24"/>
          <w:szCs w:val="24"/>
        </w:rPr>
        <w:footnoteReference w:id="125"/>
      </w:r>
      <w:r w:rsidR="008D3F94" w:rsidRPr="00A22656">
        <w:rPr>
          <w:rFonts w:ascii="Times New Roman" w:hAnsi="Times New Roman"/>
          <w:sz w:val="24"/>
          <w:szCs w:val="24"/>
        </w:rPr>
        <w:t xml:space="preserve"> </w:t>
      </w:r>
      <w:r w:rsidR="00B528EC" w:rsidRPr="00A22656">
        <w:rPr>
          <w:rFonts w:ascii="Times New Roman" w:hAnsi="Times New Roman"/>
          <w:sz w:val="24"/>
          <w:szCs w:val="24"/>
        </w:rPr>
        <w:t xml:space="preserve">Indeed, research conducted by </w:t>
      </w:r>
      <w:proofErr w:type="spellStart"/>
      <w:r w:rsidR="00B528EC" w:rsidRPr="00A22656">
        <w:rPr>
          <w:rFonts w:ascii="Times New Roman" w:hAnsi="Times New Roman"/>
          <w:sz w:val="24"/>
          <w:szCs w:val="24"/>
        </w:rPr>
        <w:t>Blauberger</w:t>
      </w:r>
      <w:proofErr w:type="spellEnd"/>
      <w:r w:rsidR="00B528EC" w:rsidRPr="00A22656">
        <w:rPr>
          <w:rFonts w:ascii="Times New Roman" w:hAnsi="Times New Roman"/>
          <w:sz w:val="24"/>
          <w:szCs w:val="24"/>
        </w:rPr>
        <w:t xml:space="preserve"> and Schmidt indicates that</w:t>
      </w:r>
      <w:r w:rsidR="00A9300F" w:rsidRPr="00A22656">
        <w:rPr>
          <w:rFonts w:ascii="Times New Roman" w:hAnsi="Times New Roman"/>
          <w:sz w:val="24"/>
          <w:szCs w:val="24"/>
        </w:rPr>
        <w:t xml:space="preserve"> </w:t>
      </w:r>
      <w:r w:rsidR="00136436" w:rsidRPr="00A22656">
        <w:rPr>
          <w:rFonts w:ascii="Times New Roman" w:hAnsi="Times New Roman"/>
          <w:sz w:val="24"/>
          <w:szCs w:val="24"/>
        </w:rPr>
        <w:t>Union</w:t>
      </w:r>
      <w:r w:rsidR="00583456" w:rsidRPr="00A22656">
        <w:rPr>
          <w:rFonts w:ascii="Times New Roman" w:hAnsi="Times New Roman"/>
          <w:sz w:val="24"/>
          <w:szCs w:val="24"/>
        </w:rPr>
        <w:t xml:space="preserve"> citizenship rules: </w:t>
      </w:r>
    </w:p>
    <w:p w:rsidR="00583456" w:rsidRPr="00A22656" w:rsidRDefault="00583456" w:rsidP="005F768F">
      <w:pPr>
        <w:pStyle w:val="NoSpacing"/>
        <w:spacing w:line="360" w:lineRule="auto"/>
        <w:ind w:right="-23"/>
        <w:jc w:val="both"/>
        <w:rPr>
          <w:rFonts w:ascii="Times New Roman" w:hAnsi="Times New Roman"/>
          <w:sz w:val="24"/>
          <w:szCs w:val="24"/>
        </w:rPr>
      </w:pPr>
    </w:p>
    <w:p w:rsidR="00121EB0" w:rsidRPr="00A22656" w:rsidRDefault="004434F9" w:rsidP="00583456">
      <w:pPr>
        <w:pStyle w:val="NoSpacing"/>
        <w:spacing w:line="360" w:lineRule="auto"/>
        <w:ind w:left="720" w:right="-23"/>
        <w:jc w:val="both"/>
        <w:rPr>
          <w:rFonts w:ascii="Times New Roman" w:hAnsi="Times New Roman"/>
          <w:sz w:val="20"/>
          <w:szCs w:val="24"/>
        </w:rPr>
      </w:pPr>
      <w:r w:rsidRPr="00A22656">
        <w:rPr>
          <w:rFonts w:ascii="Times New Roman" w:hAnsi="Times New Roman"/>
          <w:sz w:val="20"/>
          <w:szCs w:val="24"/>
        </w:rPr>
        <w:lastRenderedPageBreak/>
        <w:t>[P]</w:t>
      </w:r>
      <w:proofErr w:type="spellStart"/>
      <w:r w:rsidR="00B528EC" w:rsidRPr="00A22656">
        <w:rPr>
          <w:rFonts w:ascii="Times New Roman" w:hAnsi="Times New Roman"/>
          <w:sz w:val="20"/>
          <w:szCs w:val="24"/>
        </w:rPr>
        <w:t>romising</w:t>
      </w:r>
      <w:proofErr w:type="spellEnd"/>
      <w:r w:rsidR="00B528EC" w:rsidRPr="00A22656">
        <w:rPr>
          <w:rFonts w:ascii="Times New Roman" w:hAnsi="Times New Roman"/>
          <w:sz w:val="20"/>
          <w:szCs w:val="24"/>
        </w:rPr>
        <w:t xml:space="preserve"> to build the Union from below on the basis of equal legal entitlements</w:t>
      </w:r>
      <w:r w:rsidR="00A9300F" w:rsidRPr="00A22656">
        <w:rPr>
          <w:rFonts w:ascii="Times New Roman" w:hAnsi="Times New Roman"/>
          <w:sz w:val="20"/>
          <w:szCs w:val="24"/>
        </w:rPr>
        <w:t>, may, in fact, risk rousing further nationalism and decrease solidarity across the Union. The welfare state relies on reciprocity and court-driven rights cannot legitimate entitlements, whic</w:t>
      </w:r>
      <w:r w:rsidR="00583456" w:rsidRPr="00A22656">
        <w:rPr>
          <w:rFonts w:ascii="Times New Roman" w:hAnsi="Times New Roman"/>
          <w:sz w:val="20"/>
          <w:szCs w:val="24"/>
        </w:rPr>
        <w:t>h require legislative decisions</w:t>
      </w:r>
      <w:r w:rsidR="00A9300F" w:rsidRPr="00A22656">
        <w:rPr>
          <w:rFonts w:ascii="Times New Roman" w:hAnsi="Times New Roman"/>
          <w:sz w:val="20"/>
          <w:szCs w:val="24"/>
        </w:rPr>
        <w:t>.</w:t>
      </w:r>
      <w:r w:rsidR="00A9300F" w:rsidRPr="00A22656">
        <w:rPr>
          <w:rStyle w:val="FootnoteReference"/>
          <w:rFonts w:ascii="Times New Roman" w:hAnsi="Times New Roman"/>
          <w:sz w:val="20"/>
          <w:szCs w:val="24"/>
        </w:rPr>
        <w:footnoteReference w:id="126"/>
      </w:r>
      <w:r w:rsidR="00121EB0" w:rsidRPr="00A22656">
        <w:rPr>
          <w:rFonts w:ascii="Times New Roman" w:hAnsi="Times New Roman"/>
          <w:sz w:val="20"/>
          <w:szCs w:val="24"/>
        </w:rPr>
        <w:t xml:space="preserve"> </w:t>
      </w:r>
    </w:p>
    <w:p w:rsidR="00121EB0" w:rsidRPr="00A22656" w:rsidRDefault="00121EB0" w:rsidP="005F768F">
      <w:pPr>
        <w:pStyle w:val="NoSpacing"/>
        <w:spacing w:line="360" w:lineRule="auto"/>
        <w:ind w:right="-23"/>
        <w:jc w:val="both"/>
        <w:rPr>
          <w:rFonts w:ascii="Times New Roman" w:hAnsi="Times New Roman"/>
          <w:sz w:val="24"/>
          <w:szCs w:val="24"/>
        </w:rPr>
      </w:pPr>
    </w:p>
    <w:p w:rsidR="00774E00" w:rsidRPr="00A22656" w:rsidRDefault="00121EB0" w:rsidP="005F768F">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 xml:space="preserve">Of course, arguably the citizenship rights under the Treaties, much </w:t>
      </w:r>
      <w:r w:rsidR="008C1448" w:rsidRPr="00A22656">
        <w:rPr>
          <w:rFonts w:ascii="Times New Roman" w:hAnsi="Times New Roman"/>
          <w:sz w:val="24"/>
          <w:szCs w:val="24"/>
        </w:rPr>
        <w:t>like fundamental rights, exist</w:t>
      </w:r>
      <w:r w:rsidRPr="00A22656">
        <w:rPr>
          <w:rFonts w:ascii="Times New Roman" w:hAnsi="Times New Roman"/>
          <w:sz w:val="24"/>
          <w:szCs w:val="24"/>
        </w:rPr>
        <w:t xml:space="preserve"> to offer crucial basic protections against changing politi</w:t>
      </w:r>
      <w:r w:rsidR="008C1448" w:rsidRPr="00A22656">
        <w:rPr>
          <w:rFonts w:ascii="Times New Roman" w:hAnsi="Times New Roman"/>
          <w:sz w:val="24"/>
          <w:szCs w:val="24"/>
        </w:rPr>
        <w:t>cal winds. O</w:t>
      </w:r>
      <w:r w:rsidR="00FC1249" w:rsidRPr="00A22656">
        <w:rPr>
          <w:rFonts w:ascii="Times New Roman" w:hAnsi="Times New Roman"/>
          <w:sz w:val="24"/>
          <w:szCs w:val="24"/>
        </w:rPr>
        <w:t>ne could rightly</w:t>
      </w:r>
      <w:r w:rsidRPr="00A22656">
        <w:rPr>
          <w:rFonts w:ascii="Times New Roman" w:hAnsi="Times New Roman"/>
          <w:sz w:val="24"/>
          <w:szCs w:val="24"/>
        </w:rPr>
        <w:t xml:space="preserve"> argue that greater responsibility lies with other actors, particularly politicians and the media, to withstand and/or cease the perpetual othering of non-nationals within domestic</w:t>
      </w:r>
      <w:r w:rsidR="00730B98" w:rsidRPr="00A22656">
        <w:rPr>
          <w:rFonts w:ascii="Times New Roman" w:hAnsi="Times New Roman"/>
          <w:sz w:val="24"/>
          <w:szCs w:val="24"/>
        </w:rPr>
        <w:t xml:space="preserve"> debate</w:t>
      </w:r>
      <w:r w:rsidR="008D3F94" w:rsidRPr="00A22656">
        <w:rPr>
          <w:rFonts w:ascii="Times New Roman" w:hAnsi="Times New Roman"/>
          <w:sz w:val="24"/>
          <w:szCs w:val="24"/>
        </w:rPr>
        <w:t>s</w:t>
      </w:r>
      <w:r w:rsidRPr="00A22656">
        <w:rPr>
          <w:rFonts w:ascii="Times New Roman" w:hAnsi="Times New Roman"/>
          <w:sz w:val="24"/>
          <w:szCs w:val="24"/>
        </w:rPr>
        <w:t>. Despite</w:t>
      </w:r>
      <w:r w:rsidR="003D366A" w:rsidRPr="00A22656">
        <w:rPr>
          <w:rFonts w:ascii="Times New Roman" w:hAnsi="Times New Roman"/>
          <w:sz w:val="24"/>
          <w:szCs w:val="24"/>
        </w:rPr>
        <w:t xml:space="preserve"> the fact that academic research continues to indicate that</w:t>
      </w:r>
      <w:r w:rsidRPr="00A22656">
        <w:rPr>
          <w:rFonts w:ascii="Times New Roman" w:hAnsi="Times New Roman"/>
          <w:sz w:val="24"/>
          <w:szCs w:val="24"/>
        </w:rPr>
        <w:t xml:space="preserve"> </w:t>
      </w:r>
      <w:r w:rsidR="003D366A" w:rsidRPr="00A22656">
        <w:rPr>
          <w:rFonts w:ascii="Times New Roman" w:hAnsi="Times New Roman"/>
          <w:sz w:val="24"/>
          <w:szCs w:val="24"/>
        </w:rPr>
        <w:t>non-national EU citizens are net contributors to the UK, while their take up of benefits is disproportionately lower than the national population,</w:t>
      </w:r>
      <w:r w:rsidR="003D366A" w:rsidRPr="00A22656">
        <w:rPr>
          <w:rStyle w:val="FootnoteReference"/>
          <w:rFonts w:ascii="Times New Roman" w:hAnsi="Times New Roman"/>
          <w:sz w:val="24"/>
          <w:szCs w:val="24"/>
        </w:rPr>
        <w:footnoteReference w:id="127"/>
      </w:r>
      <w:r w:rsidR="003D366A" w:rsidRPr="00A22656">
        <w:rPr>
          <w:rFonts w:ascii="Times New Roman" w:hAnsi="Times New Roman"/>
          <w:sz w:val="24"/>
          <w:szCs w:val="24"/>
        </w:rPr>
        <w:t xml:space="preserve"> there is, generally speaking, political consensus in the UK on the need to address EU immigration. This was visible in Cameron’s renegotiation</w:t>
      </w:r>
      <w:r w:rsidRPr="00A22656">
        <w:rPr>
          <w:rFonts w:ascii="Times New Roman" w:hAnsi="Times New Roman"/>
          <w:sz w:val="24"/>
          <w:szCs w:val="24"/>
        </w:rPr>
        <w:t xml:space="preserve"> and by both the Remain and Leave campaigns </w:t>
      </w:r>
      <w:r w:rsidR="003D366A" w:rsidRPr="00A22656">
        <w:rPr>
          <w:rFonts w:ascii="Times New Roman" w:hAnsi="Times New Roman"/>
          <w:sz w:val="24"/>
          <w:szCs w:val="24"/>
        </w:rPr>
        <w:t>in the run-up to the referendum.</w:t>
      </w:r>
      <w:r w:rsidRPr="00A22656">
        <w:rPr>
          <w:rStyle w:val="FootnoteReference"/>
          <w:rFonts w:ascii="Times New Roman" w:hAnsi="Times New Roman"/>
          <w:sz w:val="24"/>
          <w:szCs w:val="24"/>
        </w:rPr>
        <w:footnoteReference w:id="128"/>
      </w:r>
      <w:r w:rsidRPr="00A22656">
        <w:rPr>
          <w:rFonts w:ascii="Times New Roman" w:hAnsi="Times New Roman"/>
          <w:sz w:val="24"/>
          <w:szCs w:val="24"/>
        </w:rPr>
        <w:t xml:space="preserve"> </w:t>
      </w:r>
    </w:p>
    <w:p w:rsidR="00774E00" w:rsidRPr="00A22656" w:rsidRDefault="00774E00" w:rsidP="005F768F">
      <w:pPr>
        <w:pStyle w:val="NoSpacing"/>
        <w:spacing w:line="360" w:lineRule="auto"/>
        <w:ind w:right="-23"/>
        <w:jc w:val="both"/>
        <w:rPr>
          <w:rFonts w:ascii="Times New Roman" w:hAnsi="Times New Roman"/>
          <w:sz w:val="24"/>
          <w:szCs w:val="24"/>
        </w:rPr>
      </w:pPr>
    </w:p>
    <w:p w:rsidR="00774E00" w:rsidRPr="00A22656" w:rsidRDefault="00FC1249" w:rsidP="005F768F">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Yet</w:t>
      </w:r>
      <w:r w:rsidR="000D3789" w:rsidRPr="00A22656">
        <w:rPr>
          <w:rFonts w:ascii="Times New Roman" w:hAnsi="Times New Roman"/>
          <w:sz w:val="24"/>
          <w:szCs w:val="24"/>
        </w:rPr>
        <w:t>, the Court has played its</w:t>
      </w:r>
      <w:r w:rsidRPr="00A22656">
        <w:rPr>
          <w:rFonts w:ascii="Times New Roman" w:hAnsi="Times New Roman"/>
          <w:sz w:val="24"/>
          <w:szCs w:val="24"/>
        </w:rPr>
        <w:t xml:space="preserve"> own</w:t>
      </w:r>
      <w:r w:rsidR="000D3789" w:rsidRPr="00A22656">
        <w:rPr>
          <w:rFonts w:ascii="Times New Roman" w:hAnsi="Times New Roman"/>
          <w:sz w:val="24"/>
          <w:szCs w:val="24"/>
        </w:rPr>
        <w:t xml:space="preserve"> part here too. The CJEU’s constitutional and institutional boundary pushing has often been accompanied by placatory limitations on those expansions</w:t>
      </w:r>
      <w:r w:rsidR="004434F9" w:rsidRPr="00A22656">
        <w:rPr>
          <w:rFonts w:ascii="Times New Roman" w:hAnsi="Times New Roman"/>
          <w:sz w:val="24"/>
          <w:szCs w:val="24"/>
        </w:rPr>
        <w:t>, thus, at least in part, confirming popular concerns about so-called benefit tourism</w:t>
      </w:r>
      <w:r w:rsidR="000D3789" w:rsidRPr="00A22656">
        <w:rPr>
          <w:rFonts w:ascii="Times New Roman" w:hAnsi="Times New Roman"/>
          <w:sz w:val="24"/>
          <w:szCs w:val="24"/>
        </w:rPr>
        <w:t>.</w:t>
      </w:r>
      <w:r w:rsidR="00774E00" w:rsidRPr="00A22656">
        <w:rPr>
          <w:rFonts w:ascii="Times New Roman" w:hAnsi="Times New Roman"/>
          <w:sz w:val="24"/>
          <w:szCs w:val="24"/>
        </w:rPr>
        <w:t xml:space="preserve"> </w:t>
      </w:r>
      <w:r w:rsidR="004434F9" w:rsidRPr="00A22656">
        <w:rPr>
          <w:rFonts w:ascii="Times New Roman" w:hAnsi="Times New Roman"/>
          <w:sz w:val="24"/>
          <w:szCs w:val="24"/>
        </w:rPr>
        <w:t>Yet, c</w:t>
      </w:r>
      <w:r w:rsidR="00774E00" w:rsidRPr="00A22656">
        <w:rPr>
          <w:rFonts w:ascii="Times New Roman" w:hAnsi="Times New Roman"/>
          <w:sz w:val="24"/>
          <w:szCs w:val="24"/>
        </w:rPr>
        <w:t>rucially, rather than offering flexibility to the Member States in their implementation of CJEU-derived rules – which might serve to lessen the impact of over-</w:t>
      </w:r>
      <w:proofErr w:type="spellStart"/>
      <w:r w:rsidR="00774E00" w:rsidRPr="00A22656">
        <w:rPr>
          <w:rFonts w:ascii="Times New Roman" w:hAnsi="Times New Roman"/>
          <w:sz w:val="24"/>
          <w:szCs w:val="24"/>
        </w:rPr>
        <w:t>constitutionalisation</w:t>
      </w:r>
      <w:proofErr w:type="spellEnd"/>
      <w:r w:rsidR="00774E00" w:rsidRPr="00A22656">
        <w:rPr>
          <w:rFonts w:ascii="Times New Roman" w:hAnsi="Times New Roman"/>
          <w:sz w:val="24"/>
          <w:szCs w:val="24"/>
        </w:rPr>
        <w:t xml:space="preserve"> – the terms of the Court-proffered leeway are uncertain and ultimately remain within the control of the Union judiciary. </w:t>
      </w:r>
      <w:r w:rsidR="004434F9" w:rsidRPr="00A22656">
        <w:rPr>
          <w:rFonts w:ascii="Times New Roman" w:hAnsi="Times New Roman"/>
          <w:sz w:val="24"/>
          <w:szCs w:val="24"/>
        </w:rPr>
        <w:t>Ultimately, this serves only to increase the administrative burden placed on Member States and mobile EU citizens, whilst not being particularly visible to voters</w:t>
      </w:r>
      <w:r w:rsidR="00774E00" w:rsidRPr="00A22656">
        <w:rPr>
          <w:rFonts w:ascii="Times New Roman" w:hAnsi="Times New Roman"/>
          <w:sz w:val="24"/>
          <w:szCs w:val="24"/>
        </w:rPr>
        <w:t>.</w:t>
      </w:r>
      <w:r w:rsidR="00774E00" w:rsidRPr="00A22656">
        <w:rPr>
          <w:rStyle w:val="FootnoteReference"/>
          <w:rFonts w:ascii="Times New Roman" w:hAnsi="Times New Roman"/>
          <w:sz w:val="24"/>
          <w:szCs w:val="24"/>
        </w:rPr>
        <w:footnoteReference w:id="129"/>
      </w:r>
    </w:p>
    <w:p w:rsidR="00774E00" w:rsidRPr="00A22656" w:rsidRDefault="00774E00" w:rsidP="005F768F">
      <w:pPr>
        <w:pStyle w:val="NoSpacing"/>
        <w:spacing w:line="360" w:lineRule="auto"/>
        <w:ind w:right="-23"/>
        <w:jc w:val="both"/>
        <w:rPr>
          <w:rFonts w:ascii="Times New Roman" w:hAnsi="Times New Roman"/>
          <w:sz w:val="24"/>
          <w:szCs w:val="24"/>
        </w:rPr>
      </w:pPr>
    </w:p>
    <w:p w:rsidR="00002105" w:rsidRPr="00A22656" w:rsidRDefault="000D3789" w:rsidP="005F768F">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 xml:space="preserve">The previous </w:t>
      </w:r>
      <w:r w:rsidR="004D58DE" w:rsidRPr="00A22656">
        <w:rPr>
          <w:rFonts w:ascii="Times New Roman" w:hAnsi="Times New Roman"/>
          <w:sz w:val="24"/>
          <w:szCs w:val="24"/>
        </w:rPr>
        <w:t>sub-section</w:t>
      </w:r>
      <w:r w:rsidRPr="00A22656">
        <w:rPr>
          <w:rFonts w:ascii="Times New Roman" w:hAnsi="Times New Roman"/>
          <w:sz w:val="24"/>
          <w:szCs w:val="24"/>
        </w:rPr>
        <w:t xml:space="preserve"> provided the ‘real link’ test as a pertinent example</w:t>
      </w:r>
      <w:r w:rsidR="00774E00" w:rsidRPr="00A22656">
        <w:rPr>
          <w:rFonts w:ascii="Times New Roman" w:hAnsi="Times New Roman"/>
          <w:sz w:val="24"/>
          <w:szCs w:val="24"/>
        </w:rPr>
        <w:t xml:space="preserve"> of this development</w:t>
      </w:r>
      <w:r w:rsidRPr="00A22656">
        <w:rPr>
          <w:rFonts w:ascii="Times New Roman" w:hAnsi="Times New Roman"/>
          <w:sz w:val="24"/>
          <w:szCs w:val="24"/>
        </w:rPr>
        <w:t>. To this we can add the introduction of the concept of ‘</w:t>
      </w:r>
      <w:r w:rsidR="004B0481" w:rsidRPr="00A22656">
        <w:rPr>
          <w:rFonts w:ascii="Times New Roman" w:hAnsi="Times New Roman"/>
          <w:sz w:val="24"/>
          <w:szCs w:val="24"/>
        </w:rPr>
        <w:t>social</w:t>
      </w:r>
      <w:r w:rsidRPr="00A22656">
        <w:rPr>
          <w:rFonts w:ascii="Times New Roman" w:hAnsi="Times New Roman"/>
          <w:sz w:val="24"/>
          <w:szCs w:val="24"/>
        </w:rPr>
        <w:t xml:space="preserve"> tourism’</w:t>
      </w:r>
      <w:r w:rsidR="008C1448" w:rsidRPr="00A22656">
        <w:rPr>
          <w:rFonts w:ascii="Times New Roman" w:hAnsi="Times New Roman"/>
          <w:sz w:val="24"/>
          <w:szCs w:val="24"/>
        </w:rPr>
        <w:t xml:space="preserve"> by </w:t>
      </w:r>
      <w:r w:rsidR="008C1448" w:rsidRPr="00A22656">
        <w:rPr>
          <w:rFonts w:ascii="Times New Roman" w:hAnsi="Times New Roman"/>
          <w:sz w:val="24"/>
          <w:szCs w:val="24"/>
        </w:rPr>
        <w:lastRenderedPageBreak/>
        <w:t>Advocate-</w:t>
      </w:r>
      <w:r w:rsidR="004B0481" w:rsidRPr="00A22656">
        <w:rPr>
          <w:rFonts w:ascii="Times New Roman" w:hAnsi="Times New Roman"/>
          <w:sz w:val="24"/>
          <w:szCs w:val="24"/>
        </w:rPr>
        <w:t xml:space="preserve">General </w:t>
      </w:r>
      <w:proofErr w:type="spellStart"/>
      <w:r w:rsidR="004B0481" w:rsidRPr="00A22656">
        <w:rPr>
          <w:rFonts w:ascii="Times New Roman" w:hAnsi="Times New Roman"/>
          <w:sz w:val="24"/>
          <w:szCs w:val="24"/>
        </w:rPr>
        <w:t>Geelhoed</w:t>
      </w:r>
      <w:proofErr w:type="spellEnd"/>
      <w:r w:rsidR="004B0481" w:rsidRPr="00A22656">
        <w:rPr>
          <w:rFonts w:ascii="Times New Roman" w:hAnsi="Times New Roman"/>
          <w:sz w:val="24"/>
          <w:szCs w:val="24"/>
        </w:rPr>
        <w:t>.</w:t>
      </w:r>
      <w:r w:rsidR="004B0481" w:rsidRPr="00A22656">
        <w:rPr>
          <w:rStyle w:val="FootnoteReference"/>
          <w:rFonts w:ascii="Times New Roman" w:hAnsi="Times New Roman"/>
          <w:sz w:val="24"/>
          <w:szCs w:val="24"/>
        </w:rPr>
        <w:footnoteReference w:id="130"/>
      </w:r>
      <w:r w:rsidR="004B0481" w:rsidRPr="00A22656">
        <w:rPr>
          <w:rFonts w:ascii="Times New Roman" w:hAnsi="Times New Roman"/>
          <w:sz w:val="24"/>
          <w:szCs w:val="24"/>
        </w:rPr>
        <w:t xml:space="preserve"> </w:t>
      </w:r>
      <w:r w:rsidR="004D58DE" w:rsidRPr="00A22656">
        <w:rPr>
          <w:rFonts w:ascii="Times New Roman" w:hAnsi="Times New Roman"/>
          <w:sz w:val="24"/>
          <w:szCs w:val="24"/>
        </w:rPr>
        <w:t xml:space="preserve">Indeed, </w:t>
      </w:r>
      <w:r w:rsidR="00583456" w:rsidRPr="00A22656">
        <w:rPr>
          <w:rFonts w:ascii="Times New Roman" w:hAnsi="Times New Roman"/>
          <w:sz w:val="24"/>
          <w:szCs w:val="24"/>
        </w:rPr>
        <w:t>the causal link the Advocate-</w:t>
      </w:r>
      <w:r w:rsidR="00730B98" w:rsidRPr="00A22656">
        <w:rPr>
          <w:rFonts w:ascii="Times New Roman" w:hAnsi="Times New Roman"/>
          <w:sz w:val="24"/>
          <w:szCs w:val="24"/>
        </w:rPr>
        <w:t xml:space="preserve">General drew between the lack </w:t>
      </w:r>
      <w:r w:rsidR="009F2F41" w:rsidRPr="00A22656">
        <w:rPr>
          <w:rFonts w:ascii="Times New Roman" w:hAnsi="Times New Roman"/>
          <w:sz w:val="24"/>
          <w:szCs w:val="24"/>
        </w:rPr>
        <w:t xml:space="preserve">of </w:t>
      </w:r>
      <w:r w:rsidR="00730B98" w:rsidRPr="00A22656">
        <w:rPr>
          <w:rFonts w:ascii="Times New Roman" w:hAnsi="Times New Roman"/>
          <w:sz w:val="24"/>
          <w:szCs w:val="24"/>
        </w:rPr>
        <w:t>harmonisation in the area of social security and the risk of social tourism</w:t>
      </w:r>
      <w:r w:rsidR="00730B98" w:rsidRPr="00A22656">
        <w:rPr>
          <w:rStyle w:val="FootnoteReference"/>
          <w:rFonts w:ascii="Times New Roman" w:hAnsi="Times New Roman"/>
          <w:sz w:val="24"/>
          <w:szCs w:val="24"/>
        </w:rPr>
        <w:footnoteReference w:id="131"/>
      </w:r>
      <w:r w:rsidR="003D366A" w:rsidRPr="00A22656">
        <w:rPr>
          <w:rFonts w:ascii="Times New Roman" w:hAnsi="Times New Roman"/>
          <w:sz w:val="24"/>
          <w:szCs w:val="24"/>
        </w:rPr>
        <w:t xml:space="preserve"> is replicated</w:t>
      </w:r>
      <w:r w:rsidR="00730B98" w:rsidRPr="00A22656">
        <w:rPr>
          <w:rFonts w:ascii="Times New Roman" w:hAnsi="Times New Roman"/>
          <w:sz w:val="24"/>
          <w:szCs w:val="24"/>
        </w:rPr>
        <w:t xml:space="preserve"> in the safeguard mechanism, which asserts that the diverse structures of Member States’ social security systems ‘may [themselves] attract workers to certain Member States’.</w:t>
      </w:r>
      <w:r w:rsidR="00730B98" w:rsidRPr="00A22656">
        <w:rPr>
          <w:rStyle w:val="FootnoteReference"/>
          <w:rFonts w:ascii="Times New Roman" w:hAnsi="Times New Roman"/>
          <w:sz w:val="24"/>
          <w:szCs w:val="24"/>
        </w:rPr>
        <w:footnoteReference w:id="132"/>
      </w:r>
      <w:r w:rsidR="00002105" w:rsidRPr="00A22656">
        <w:rPr>
          <w:rFonts w:ascii="Times New Roman" w:hAnsi="Times New Roman"/>
          <w:sz w:val="24"/>
          <w:szCs w:val="24"/>
        </w:rPr>
        <w:t xml:space="preserve"> </w:t>
      </w:r>
    </w:p>
    <w:p w:rsidR="00002105" w:rsidRPr="00A22656" w:rsidRDefault="00002105" w:rsidP="005F768F">
      <w:pPr>
        <w:pStyle w:val="NoSpacing"/>
        <w:spacing w:line="360" w:lineRule="auto"/>
        <w:ind w:right="-23"/>
        <w:jc w:val="both"/>
        <w:rPr>
          <w:rFonts w:ascii="Times New Roman" w:hAnsi="Times New Roman"/>
          <w:sz w:val="24"/>
          <w:szCs w:val="24"/>
        </w:rPr>
      </w:pPr>
    </w:p>
    <w:p w:rsidR="008C1448" w:rsidRPr="00A22656" w:rsidRDefault="00002105" w:rsidP="005F768F">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Most recently,</w:t>
      </w:r>
      <w:r w:rsidR="00FD6EAF" w:rsidRPr="00A22656">
        <w:rPr>
          <w:rFonts w:ascii="Times New Roman" w:hAnsi="Times New Roman"/>
          <w:sz w:val="24"/>
          <w:szCs w:val="24"/>
        </w:rPr>
        <w:t xml:space="preserve"> of course,</w:t>
      </w:r>
      <w:r w:rsidRPr="00A22656">
        <w:rPr>
          <w:rFonts w:ascii="Times New Roman" w:hAnsi="Times New Roman"/>
          <w:sz w:val="24"/>
          <w:szCs w:val="24"/>
        </w:rPr>
        <w:t xml:space="preserve"> we have seen the CJEU </w:t>
      </w:r>
      <w:r w:rsidR="00814711" w:rsidRPr="00A22656">
        <w:rPr>
          <w:rFonts w:ascii="Times New Roman" w:hAnsi="Times New Roman"/>
          <w:sz w:val="24"/>
          <w:szCs w:val="24"/>
        </w:rPr>
        <w:t>demonstrate further</w:t>
      </w:r>
      <w:r w:rsidR="00FD6EAF" w:rsidRPr="00A22656">
        <w:rPr>
          <w:rFonts w:ascii="Times New Roman" w:hAnsi="Times New Roman"/>
          <w:sz w:val="24"/>
          <w:szCs w:val="24"/>
        </w:rPr>
        <w:t xml:space="preserve"> receptivity to </w:t>
      </w:r>
      <w:r w:rsidRPr="00A22656">
        <w:rPr>
          <w:rFonts w:ascii="Times New Roman" w:hAnsi="Times New Roman"/>
          <w:sz w:val="24"/>
          <w:szCs w:val="24"/>
        </w:rPr>
        <w:t>changing political sentiment in Europe</w:t>
      </w:r>
      <w:r w:rsidR="00FD6EAF" w:rsidRPr="00A22656">
        <w:rPr>
          <w:rFonts w:ascii="Times New Roman" w:hAnsi="Times New Roman"/>
          <w:sz w:val="24"/>
          <w:szCs w:val="24"/>
        </w:rPr>
        <w:t xml:space="preserve">. The </w:t>
      </w:r>
      <w:proofErr w:type="spellStart"/>
      <w:r w:rsidR="00FD6EAF" w:rsidRPr="00A22656">
        <w:rPr>
          <w:rFonts w:ascii="Times New Roman" w:hAnsi="Times New Roman"/>
          <w:i/>
          <w:sz w:val="24"/>
          <w:szCs w:val="24"/>
        </w:rPr>
        <w:t>Dano</w:t>
      </w:r>
      <w:proofErr w:type="spellEnd"/>
      <w:r w:rsidR="00065071" w:rsidRPr="00A22656">
        <w:rPr>
          <w:rFonts w:ascii="Times New Roman" w:hAnsi="Times New Roman"/>
          <w:i/>
          <w:sz w:val="24"/>
          <w:szCs w:val="24"/>
        </w:rPr>
        <w:t xml:space="preserve"> </w:t>
      </w:r>
      <w:r w:rsidR="00065071" w:rsidRPr="00A22656">
        <w:rPr>
          <w:rFonts w:ascii="Times New Roman" w:hAnsi="Times New Roman"/>
          <w:sz w:val="24"/>
          <w:szCs w:val="24"/>
        </w:rPr>
        <w:t>line of case-law</w:t>
      </w:r>
      <w:r w:rsidR="00FD6EAF" w:rsidRPr="00A22656">
        <w:rPr>
          <w:rFonts w:ascii="Times New Roman" w:hAnsi="Times New Roman"/>
          <w:sz w:val="24"/>
          <w:szCs w:val="24"/>
        </w:rPr>
        <w:t xml:space="preserve"> see</w:t>
      </w:r>
      <w:r w:rsidR="00065071" w:rsidRPr="00A22656">
        <w:rPr>
          <w:rFonts w:ascii="Times New Roman" w:hAnsi="Times New Roman"/>
          <w:sz w:val="24"/>
          <w:szCs w:val="24"/>
        </w:rPr>
        <w:t>s</w:t>
      </w:r>
      <w:r w:rsidR="00FD6EAF" w:rsidRPr="00A22656">
        <w:rPr>
          <w:rFonts w:ascii="Times New Roman" w:hAnsi="Times New Roman"/>
          <w:sz w:val="24"/>
          <w:szCs w:val="24"/>
        </w:rPr>
        <w:t xml:space="preserve"> a</w:t>
      </w:r>
      <w:r w:rsidR="00A47E25" w:rsidRPr="00A22656">
        <w:rPr>
          <w:rFonts w:ascii="Times New Roman" w:hAnsi="Times New Roman"/>
          <w:sz w:val="24"/>
          <w:szCs w:val="24"/>
        </w:rPr>
        <w:t xml:space="preserve"> more literal approach to Directive 2004/38 and a</w:t>
      </w:r>
      <w:r w:rsidR="00FD6EAF" w:rsidRPr="00A22656">
        <w:rPr>
          <w:rFonts w:ascii="Times New Roman" w:hAnsi="Times New Roman"/>
          <w:sz w:val="24"/>
          <w:szCs w:val="24"/>
        </w:rPr>
        <w:t xml:space="preserve"> growing permissiveness to restrictions on the equal treatment rights of non-economically active Union citizens</w:t>
      </w:r>
      <w:r w:rsidR="00A47E25" w:rsidRPr="00A22656">
        <w:rPr>
          <w:rFonts w:ascii="Times New Roman" w:hAnsi="Times New Roman"/>
          <w:sz w:val="24"/>
          <w:szCs w:val="24"/>
        </w:rPr>
        <w:t>,</w:t>
      </w:r>
      <w:r w:rsidR="001720D5" w:rsidRPr="00A22656">
        <w:rPr>
          <w:rFonts w:ascii="Times New Roman" w:hAnsi="Times New Roman"/>
          <w:sz w:val="24"/>
          <w:szCs w:val="24"/>
        </w:rPr>
        <w:t xml:space="preserve"> which often</w:t>
      </w:r>
      <w:r w:rsidR="00814711" w:rsidRPr="00A22656">
        <w:rPr>
          <w:rFonts w:ascii="Times New Roman" w:hAnsi="Times New Roman"/>
          <w:sz w:val="24"/>
          <w:szCs w:val="24"/>
        </w:rPr>
        <w:t xml:space="preserve"> appear</w:t>
      </w:r>
      <w:r w:rsidR="00382A49" w:rsidRPr="00A22656">
        <w:rPr>
          <w:rFonts w:ascii="Times New Roman" w:hAnsi="Times New Roman"/>
          <w:sz w:val="24"/>
          <w:szCs w:val="24"/>
        </w:rPr>
        <w:t>s</w:t>
      </w:r>
      <w:r w:rsidR="00814711" w:rsidRPr="00A22656">
        <w:rPr>
          <w:rFonts w:ascii="Times New Roman" w:hAnsi="Times New Roman"/>
          <w:sz w:val="24"/>
          <w:szCs w:val="24"/>
        </w:rPr>
        <w:t xml:space="preserve"> diametrically opposed to</w:t>
      </w:r>
      <w:r w:rsidR="001720D5" w:rsidRPr="00A22656">
        <w:rPr>
          <w:rFonts w:ascii="Times New Roman" w:hAnsi="Times New Roman"/>
          <w:sz w:val="24"/>
          <w:szCs w:val="24"/>
        </w:rPr>
        <w:t xml:space="preserve"> </w:t>
      </w:r>
      <w:r w:rsidR="002B7A41" w:rsidRPr="00A22656">
        <w:rPr>
          <w:rFonts w:ascii="Times New Roman" w:hAnsi="Times New Roman"/>
          <w:sz w:val="24"/>
          <w:szCs w:val="24"/>
        </w:rPr>
        <w:t>the CJEU’s</w:t>
      </w:r>
      <w:r w:rsidR="003D366A" w:rsidRPr="00A22656">
        <w:rPr>
          <w:rFonts w:ascii="Times New Roman" w:hAnsi="Times New Roman"/>
          <w:sz w:val="24"/>
          <w:szCs w:val="24"/>
        </w:rPr>
        <w:t xml:space="preserve"> </w:t>
      </w:r>
      <w:r w:rsidR="004B5682" w:rsidRPr="00A22656">
        <w:rPr>
          <w:rFonts w:ascii="Times New Roman" w:hAnsi="Times New Roman"/>
          <w:sz w:val="24"/>
          <w:szCs w:val="24"/>
        </w:rPr>
        <w:t>expansive</w:t>
      </w:r>
      <w:r w:rsidR="003D366A" w:rsidRPr="00A22656">
        <w:rPr>
          <w:rFonts w:ascii="Times New Roman" w:hAnsi="Times New Roman"/>
          <w:sz w:val="24"/>
          <w:szCs w:val="24"/>
        </w:rPr>
        <w:t xml:space="preserve"> approach</w:t>
      </w:r>
      <w:r w:rsidR="00814711" w:rsidRPr="00A22656">
        <w:rPr>
          <w:rFonts w:ascii="Times New Roman" w:hAnsi="Times New Roman"/>
          <w:sz w:val="24"/>
          <w:szCs w:val="24"/>
        </w:rPr>
        <w:t xml:space="preserve"> </w:t>
      </w:r>
      <w:r w:rsidR="003D366A" w:rsidRPr="00A22656">
        <w:rPr>
          <w:rFonts w:ascii="Times New Roman" w:hAnsi="Times New Roman"/>
          <w:sz w:val="24"/>
          <w:szCs w:val="24"/>
        </w:rPr>
        <w:t>post-</w:t>
      </w:r>
      <w:proofErr w:type="spellStart"/>
      <w:r w:rsidR="00814711" w:rsidRPr="00A22656">
        <w:rPr>
          <w:rFonts w:ascii="Times New Roman" w:hAnsi="Times New Roman"/>
          <w:i/>
          <w:sz w:val="24"/>
          <w:szCs w:val="24"/>
        </w:rPr>
        <w:t>Grzelczyk</w:t>
      </w:r>
      <w:proofErr w:type="spellEnd"/>
      <w:r w:rsidR="003D366A" w:rsidRPr="00A22656">
        <w:rPr>
          <w:rFonts w:ascii="Times New Roman" w:hAnsi="Times New Roman"/>
          <w:sz w:val="24"/>
          <w:szCs w:val="24"/>
        </w:rPr>
        <w:t>.</w:t>
      </w:r>
      <w:r w:rsidR="00DD058C" w:rsidRPr="00A22656">
        <w:rPr>
          <w:rStyle w:val="FootnoteReference"/>
          <w:rFonts w:ascii="Times New Roman" w:hAnsi="Times New Roman"/>
          <w:sz w:val="24"/>
          <w:szCs w:val="24"/>
        </w:rPr>
        <w:footnoteReference w:id="133"/>
      </w:r>
      <w:r w:rsidR="00FD6EAF" w:rsidRPr="00A22656">
        <w:rPr>
          <w:rFonts w:ascii="Times New Roman" w:hAnsi="Times New Roman"/>
          <w:sz w:val="24"/>
          <w:szCs w:val="24"/>
        </w:rPr>
        <w:t xml:space="preserve"> </w:t>
      </w:r>
      <w:r w:rsidR="004B5682" w:rsidRPr="00A22656">
        <w:rPr>
          <w:rFonts w:ascii="Times New Roman" w:hAnsi="Times New Roman"/>
          <w:sz w:val="24"/>
          <w:szCs w:val="24"/>
        </w:rPr>
        <w:t>T</w:t>
      </w:r>
      <w:r w:rsidR="00814711" w:rsidRPr="00A22656">
        <w:rPr>
          <w:rFonts w:ascii="Times New Roman" w:hAnsi="Times New Roman"/>
          <w:sz w:val="24"/>
          <w:szCs w:val="24"/>
        </w:rPr>
        <w:t>hese</w:t>
      </w:r>
      <w:r w:rsidR="004B5682" w:rsidRPr="00A22656">
        <w:rPr>
          <w:rFonts w:ascii="Times New Roman" w:hAnsi="Times New Roman"/>
          <w:sz w:val="24"/>
          <w:szCs w:val="24"/>
        </w:rPr>
        <w:t xml:space="preserve"> newer</w:t>
      </w:r>
      <w:r w:rsidR="00814711" w:rsidRPr="00A22656">
        <w:rPr>
          <w:rFonts w:ascii="Times New Roman" w:hAnsi="Times New Roman"/>
          <w:sz w:val="24"/>
          <w:szCs w:val="24"/>
        </w:rPr>
        <w:t xml:space="preserve"> cases</w:t>
      </w:r>
      <w:r w:rsidR="004B5682" w:rsidRPr="00A22656">
        <w:rPr>
          <w:rFonts w:ascii="Times New Roman" w:hAnsi="Times New Roman"/>
          <w:sz w:val="24"/>
          <w:szCs w:val="24"/>
        </w:rPr>
        <w:t>, however,</w:t>
      </w:r>
      <w:r w:rsidR="00814711" w:rsidRPr="00A22656">
        <w:rPr>
          <w:rFonts w:ascii="Times New Roman" w:hAnsi="Times New Roman"/>
          <w:sz w:val="24"/>
          <w:szCs w:val="24"/>
        </w:rPr>
        <w:t xml:space="preserve"> offer the worst of both worlds, since they neither maintain the claim that the ‘fundamental status’ of Union citizenship is a route to equal treatment, nor enh</w:t>
      </w:r>
      <w:r w:rsidR="00DB6342" w:rsidRPr="00A22656">
        <w:rPr>
          <w:rFonts w:ascii="Times New Roman" w:hAnsi="Times New Roman"/>
          <w:sz w:val="24"/>
          <w:szCs w:val="24"/>
        </w:rPr>
        <w:t>ance its democratic legitimacy.</w:t>
      </w:r>
      <w:r w:rsidR="002B7A41" w:rsidRPr="00A22656">
        <w:rPr>
          <w:rFonts w:ascii="Times New Roman" w:hAnsi="Times New Roman"/>
          <w:sz w:val="24"/>
          <w:szCs w:val="24"/>
        </w:rPr>
        <w:t xml:space="preserve"> </w:t>
      </w:r>
      <w:r w:rsidR="003D366A" w:rsidRPr="00A22656">
        <w:rPr>
          <w:rFonts w:ascii="Times New Roman" w:hAnsi="Times New Roman"/>
          <w:sz w:val="24"/>
          <w:szCs w:val="24"/>
        </w:rPr>
        <w:t xml:space="preserve">Specifically, </w:t>
      </w:r>
      <w:r w:rsidR="008C1448" w:rsidRPr="00A22656">
        <w:rPr>
          <w:rFonts w:ascii="Times New Roman" w:hAnsi="Times New Roman"/>
          <w:sz w:val="24"/>
          <w:szCs w:val="24"/>
        </w:rPr>
        <w:t xml:space="preserve">the more literal approach to Directive 2004/38 visible in recent judgments does not alter wider reliance on broad, and rather vague, principles. </w:t>
      </w:r>
    </w:p>
    <w:p w:rsidR="008C1448" w:rsidRPr="00A22656" w:rsidRDefault="008C1448" w:rsidP="005F768F">
      <w:pPr>
        <w:pStyle w:val="NoSpacing"/>
        <w:spacing w:line="360" w:lineRule="auto"/>
        <w:ind w:right="-23"/>
        <w:jc w:val="both"/>
        <w:rPr>
          <w:rFonts w:ascii="Times New Roman" w:hAnsi="Times New Roman"/>
          <w:sz w:val="24"/>
          <w:szCs w:val="24"/>
        </w:rPr>
      </w:pPr>
    </w:p>
    <w:p w:rsidR="00DD0272" w:rsidRPr="00A22656" w:rsidRDefault="00675765" w:rsidP="005F768F">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Member States are still required to permit the entry and residence o</w:t>
      </w:r>
      <w:r w:rsidR="004902BF" w:rsidRPr="00A22656">
        <w:rPr>
          <w:rFonts w:ascii="Times New Roman" w:hAnsi="Times New Roman"/>
          <w:sz w:val="24"/>
          <w:szCs w:val="24"/>
        </w:rPr>
        <w:t>f employees whose work is</w:t>
      </w:r>
      <w:r w:rsidRPr="00A22656">
        <w:rPr>
          <w:rFonts w:ascii="Times New Roman" w:hAnsi="Times New Roman"/>
          <w:sz w:val="24"/>
          <w:szCs w:val="24"/>
        </w:rPr>
        <w:t xml:space="preserve"> ‘genuine and effective’; of jobseekers who are ‘seeking work and have a</w:t>
      </w:r>
      <w:r w:rsidR="004902BF" w:rsidRPr="00A22656">
        <w:rPr>
          <w:rFonts w:ascii="Times New Roman" w:hAnsi="Times New Roman"/>
          <w:sz w:val="24"/>
          <w:szCs w:val="24"/>
        </w:rPr>
        <w:t xml:space="preserve"> genuine chance of being</w:t>
      </w:r>
      <w:r w:rsidRPr="00A22656">
        <w:rPr>
          <w:rFonts w:ascii="Times New Roman" w:hAnsi="Times New Roman"/>
          <w:sz w:val="24"/>
          <w:szCs w:val="24"/>
        </w:rPr>
        <w:t xml:space="preserve"> engaged</w:t>
      </w:r>
      <w:r w:rsidR="00065071" w:rsidRPr="00A22656">
        <w:rPr>
          <w:rFonts w:ascii="Times New Roman" w:hAnsi="Times New Roman"/>
          <w:sz w:val="24"/>
          <w:szCs w:val="24"/>
        </w:rPr>
        <w:t>’</w:t>
      </w:r>
      <w:r w:rsidRPr="00A22656">
        <w:rPr>
          <w:rFonts w:ascii="Times New Roman" w:hAnsi="Times New Roman"/>
          <w:sz w:val="24"/>
          <w:szCs w:val="24"/>
        </w:rPr>
        <w:t>;</w:t>
      </w:r>
      <w:r w:rsidR="00544E31" w:rsidRPr="00A22656">
        <w:rPr>
          <w:rFonts w:ascii="Times New Roman" w:hAnsi="Times New Roman"/>
          <w:sz w:val="24"/>
          <w:szCs w:val="24"/>
        </w:rPr>
        <w:t xml:space="preserve"> of</w:t>
      </w:r>
      <w:r w:rsidRPr="00A22656">
        <w:rPr>
          <w:rFonts w:ascii="Times New Roman" w:hAnsi="Times New Roman"/>
          <w:sz w:val="24"/>
          <w:szCs w:val="24"/>
        </w:rPr>
        <w:t xml:space="preserve"> non-economically active Union citizens with ‘su</w:t>
      </w:r>
      <w:r w:rsidR="004902BF" w:rsidRPr="00A22656">
        <w:rPr>
          <w:rFonts w:ascii="Times New Roman" w:hAnsi="Times New Roman"/>
          <w:sz w:val="24"/>
          <w:szCs w:val="24"/>
        </w:rPr>
        <w:t xml:space="preserve">fficient resources’; and of </w:t>
      </w:r>
      <w:r w:rsidRPr="00A22656">
        <w:rPr>
          <w:rFonts w:ascii="Times New Roman" w:hAnsi="Times New Roman"/>
          <w:sz w:val="24"/>
          <w:szCs w:val="24"/>
        </w:rPr>
        <w:t xml:space="preserve">family members whose removal would deny a Union citizen ‘the genuine enjoyment’ of the rights arising from that status. </w:t>
      </w:r>
      <w:r w:rsidR="00544E31" w:rsidRPr="00A22656">
        <w:rPr>
          <w:rFonts w:ascii="Times New Roman" w:hAnsi="Times New Roman"/>
          <w:sz w:val="24"/>
          <w:szCs w:val="24"/>
        </w:rPr>
        <w:t xml:space="preserve">Inaction </w:t>
      </w:r>
      <w:r w:rsidR="002D6A0B" w:rsidRPr="00A22656">
        <w:rPr>
          <w:rFonts w:ascii="Times New Roman" w:hAnsi="Times New Roman"/>
          <w:sz w:val="24"/>
          <w:szCs w:val="24"/>
        </w:rPr>
        <w:t>from individual Member States in respect of</w:t>
      </w:r>
      <w:r w:rsidR="00544E31" w:rsidRPr="00A22656">
        <w:rPr>
          <w:rFonts w:ascii="Times New Roman" w:hAnsi="Times New Roman"/>
          <w:sz w:val="24"/>
          <w:szCs w:val="24"/>
        </w:rPr>
        <w:t xml:space="preserve"> such ambiguous </w:t>
      </w:r>
      <w:r w:rsidR="00DD058C" w:rsidRPr="00A22656">
        <w:rPr>
          <w:rFonts w:ascii="Times New Roman" w:hAnsi="Times New Roman"/>
          <w:sz w:val="24"/>
          <w:szCs w:val="24"/>
        </w:rPr>
        <w:t xml:space="preserve">Court-derived </w:t>
      </w:r>
      <w:r w:rsidR="00544E31" w:rsidRPr="00A22656">
        <w:rPr>
          <w:rFonts w:ascii="Times New Roman" w:hAnsi="Times New Roman"/>
          <w:sz w:val="24"/>
          <w:szCs w:val="24"/>
        </w:rPr>
        <w:t>concepts continues to be legally unacceptable</w:t>
      </w:r>
      <w:r w:rsidR="00FE27A4" w:rsidRPr="00A22656">
        <w:rPr>
          <w:rFonts w:ascii="Times New Roman" w:hAnsi="Times New Roman"/>
          <w:sz w:val="24"/>
          <w:szCs w:val="24"/>
        </w:rPr>
        <w:t xml:space="preserve"> yet riddled with political potholes, themselves </w:t>
      </w:r>
      <w:r w:rsidR="00DD0272" w:rsidRPr="00A22656">
        <w:rPr>
          <w:rFonts w:ascii="Times New Roman" w:hAnsi="Times New Roman"/>
          <w:sz w:val="24"/>
          <w:szCs w:val="24"/>
        </w:rPr>
        <w:t>endorsed</w:t>
      </w:r>
      <w:r w:rsidR="00FE27A4" w:rsidRPr="00A22656">
        <w:rPr>
          <w:rFonts w:ascii="Times New Roman" w:hAnsi="Times New Roman"/>
          <w:sz w:val="24"/>
          <w:szCs w:val="24"/>
        </w:rPr>
        <w:t xml:space="preserve"> by the Court’s </w:t>
      </w:r>
      <w:r w:rsidR="004902BF" w:rsidRPr="00A22656">
        <w:rPr>
          <w:rFonts w:ascii="Times New Roman" w:hAnsi="Times New Roman"/>
          <w:sz w:val="24"/>
          <w:szCs w:val="24"/>
        </w:rPr>
        <w:t>increased</w:t>
      </w:r>
      <w:r w:rsidR="00FE27A4" w:rsidRPr="00A22656">
        <w:rPr>
          <w:rFonts w:ascii="Times New Roman" w:hAnsi="Times New Roman"/>
          <w:sz w:val="24"/>
          <w:szCs w:val="24"/>
        </w:rPr>
        <w:t xml:space="preserve"> recognition of apparent social tourism.</w:t>
      </w:r>
      <w:r w:rsidR="00FE27A4" w:rsidRPr="00A22656">
        <w:rPr>
          <w:rStyle w:val="FootnoteReference"/>
          <w:rFonts w:ascii="Times New Roman" w:hAnsi="Times New Roman"/>
          <w:sz w:val="24"/>
          <w:szCs w:val="24"/>
        </w:rPr>
        <w:footnoteReference w:id="134"/>
      </w:r>
      <w:r w:rsidR="003F179D" w:rsidRPr="00A22656">
        <w:rPr>
          <w:rFonts w:ascii="Times New Roman" w:hAnsi="Times New Roman"/>
          <w:sz w:val="24"/>
          <w:szCs w:val="24"/>
        </w:rPr>
        <w:t xml:space="preserve"> As placatory limitations, the CJEU offers the Member States equally ambiguous concepts, such</w:t>
      </w:r>
      <w:r w:rsidR="00792306" w:rsidRPr="00A22656">
        <w:rPr>
          <w:rFonts w:ascii="Times New Roman" w:hAnsi="Times New Roman"/>
          <w:sz w:val="24"/>
          <w:szCs w:val="24"/>
        </w:rPr>
        <w:t xml:space="preserve"> as the ‘real link’ requirement or</w:t>
      </w:r>
      <w:r w:rsidR="003F179D" w:rsidRPr="00A22656">
        <w:rPr>
          <w:rFonts w:ascii="Times New Roman" w:hAnsi="Times New Roman"/>
          <w:sz w:val="24"/>
          <w:szCs w:val="24"/>
        </w:rPr>
        <w:t xml:space="preserve"> the notion of ‘unreasonable burden’</w:t>
      </w:r>
      <w:r w:rsidR="00792306" w:rsidRPr="00A22656">
        <w:rPr>
          <w:rFonts w:ascii="Times New Roman" w:hAnsi="Times New Roman"/>
          <w:sz w:val="24"/>
          <w:szCs w:val="24"/>
        </w:rPr>
        <w:t>.</w:t>
      </w:r>
      <w:r w:rsidR="003F179D" w:rsidRPr="00A22656">
        <w:rPr>
          <w:rFonts w:ascii="Times New Roman" w:hAnsi="Times New Roman"/>
          <w:sz w:val="24"/>
          <w:szCs w:val="24"/>
        </w:rPr>
        <w:t xml:space="preserve"> </w:t>
      </w:r>
      <w:r w:rsidR="00792306" w:rsidRPr="00A22656">
        <w:rPr>
          <w:rFonts w:ascii="Times New Roman" w:hAnsi="Times New Roman"/>
          <w:sz w:val="24"/>
          <w:szCs w:val="24"/>
        </w:rPr>
        <w:t>The Member States’ response is fr</w:t>
      </w:r>
      <w:r w:rsidR="003F179D" w:rsidRPr="00A22656">
        <w:rPr>
          <w:rFonts w:ascii="Times New Roman" w:hAnsi="Times New Roman"/>
          <w:sz w:val="24"/>
          <w:szCs w:val="24"/>
        </w:rPr>
        <w:t>equently administrative</w:t>
      </w:r>
      <w:r w:rsidR="00AD2AED" w:rsidRPr="00A22656">
        <w:rPr>
          <w:rFonts w:ascii="Times New Roman" w:hAnsi="Times New Roman"/>
          <w:sz w:val="24"/>
          <w:szCs w:val="24"/>
        </w:rPr>
        <w:t xml:space="preserve"> in nature,</w:t>
      </w:r>
      <w:r w:rsidR="00792306" w:rsidRPr="00A22656">
        <w:rPr>
          <w:rStyle w:val="FootnoteReference"/>
          <w:rFonts w:ascii="Times New Roman" w:hAnsi="Times New Roman"/>
          <w:sz w:val="24"/>
          <w:szCs w:val="24"/>
        </w:rPr>
        <w:footnoteReference w:id="135"/>
      </w:r>
      <w:r w:rsidR="00AD2AED" w:rsidRPr="00A22656">
        <w:rPr>
          <w:rFonts w:ascii="Times New Roman" w:hAnsi="Times New Roman"/>
          <w:sz w:val="24"/>
          <w:szCs w:val="24"/>
        </w:rPr>
        <w:t xml:space="preserve"> with the burden often transferred to the individual Union</w:t>
      </w:r>
      <w:r w:rsidR="00792306" w:rsidRPr="00A22656">
        <w:rPr>
          <w:rFonts w:ascii="Times New Roman" w:hAnsi="Times New Roman"/>
          <w:sz w:val="24"/>
          <w:szCs w:val="24"/>
        </w:rPr>
        <w:t xml:space="preserve"> citizen, who as part of case-by-case</w:t>
      </w:r>
      <w:r w:rsidR="00AD2AED" w:rsidRPr="00A22656">
        <w:rPr>
          <w:rFonts w:ascii="Times New Roman" w:hAnsi="Times New Roman"/>
          <w:sz w:val="24"/>
          <w:szCs w:val="24"/>
        </w:rPr>
        <w:t xml:space="preserve"> </w:t>
      </w:r>
      <w:r w:rsidR="00AD2AED" w:rsidRPr="00A22656">
        <w:rPr>
          <w:rFonts w:ascii="Times New Roman" w:hAnsi="Times New Roman"/>
          <w:sz w:val="24"/>
          <w:szCs w:val="24"/>
        </w:rPr>
        <w:lastRenderedPageBreak/>
        <w:t>assessment</w:t>
      </w:r>
      <w:r w:rsidR="00792306" w:rsidRPr="00A22656">
        <w:rPr>
          <w:rFonts w:ascii="Times New Roman" w:hAnsi="Times New Roman"/>
          <w:sz w:val="24"/>
          <w:szCs w:val="24"/>
        </w:rPr>
        <w:t>s</w:t>
      </w:r>
      <w:r w:rsidR="00AD2AED" w:rsidRPr="00A22656">
        <w:rPr>
          <w:rFonts w:ascii="Times New Roman" w:hAnsi="Times New Roman"/>
          <w:sz w:val="24"/>
          <w:szCs w:val="24"/>
        </w:rPr>
        <w:t xml:space="preserve"> must provide evidence that their work is ‘genuine and effective’</w:t>
      </w:r>
      <w:r w:rsidR="00470376" w:rsidRPr="00A22656">
        <w:rPr>
          <w:rFonts w:ascii="Times New Roman" w:hAnsi="Times New Roman"/>
          <w:sz w:val="24"/>
          <w:szCs w:val="24"/>
        </w:rPr>
        <w:t>;</w:t>
      </w:r>
      <w:r w:rsidR="00AD2AED" w:rsidRPr="00A22656">
        <w:rPr>
          <w:rStyle w:val="FootnoteReference"/>
          <w:rFonts w:ascii="Times New Roman" w:hAnsi="Times New Roman"/>
          <w:sz w:val="24"/>
          <w:szCs w:val="24"/>
        </w:rPr>
        <w:footnoteReference w:id="136"/>
      </w:r>
      <w:r w:rsidR="00470376" w:rsidRPr="00A22656">
        <w:rPr>
          <w:rFonts w:ascii="Times New Roman" w:hAnsi="Times New Roman"/>
          <w:sz w:val="24"/>
          <w:szCs w:val="24"/>
        </w:rPr>
        <w:t xml:space="preserve"> that they have a ‘genuine chance of becoming employed’; </w:t>
      </w:r>
      <w:r w:rsidR="00792306" w:rsidRPr="00A22656">
        <w:rPr>
          <w:rFonts w:ascii="Times New Roman" w:hAnsi="Times New Roman"/>
          <w:sz w:val="24"/>
          <w:szCs w:val="24"/>
        </w:rPr>
        <w:t xml:space="preserve">or </w:t>
      </w:r>
      <w:r w:rsidR="00470376" w:rsidRPr="00A22656">
        <w:rPr>
          <w:rFonts w:ascii="Times New Roman" w:hAnsi="Times New Roman"/>
          <w:sz w:val="24"/>
          <w:szCs w:val="24"/>
        </w:rPr>
        <w:t xml:space="preserve">that they are ‘legally resident’ </w:t>
      </w:r>
      <w:r w:rsidR="00792306" w:rsidRPr="00A22656">
        <w:rPr>
          <w:rFonts w:ascii="Times New Roman" w:hAnsi="Times New Roman"/>
          <w:sz w:val="24"/>
          <w:szCs w:val="24"/>
        </w:rPr>
        <w:t xml:space="preserve">and not an ‘unreasonable burden’ </w:t>
      </w:r>
      <w:r w:rsidR="00470376" w:rsidRPr="00A22656">
        <w:rPr>
          <w:rFonts w:ascii="Times New Roman" w:hAnsi="Times New Roman"/>
          <w:sz w:val="24"/>
          <w:szCs w:val="24"/>
        </w:rPr>
        <w:t>when applying for social assistance</w:t>
      </w:r>
      <w:r w:rsidR="00792306" w:rsidRPr="00A22656">
        <w:rPr>
          <w:rFonts w:ascii="Times New Roman" w:hAnsi="Times New Roman"/>
          <w:sz w:val="24"/>
          <w:szCs w:val="24"/>
        </w:rPr>
        <w:t>.</w:t>
      </w:r>
      <w:r w:rsidR="00470376" w:rsidRPr="00A22656">
        <w:rPr>
          <w:rStyle w:val="FootnoteReference"/>
          <w:rFonts w:ascii="Times New Roman" w:hAnsi="Times New Roman"/>
          <w:sz w:val="24"/>
          <w:szCs w:val="24"/>
        </w:rPr>
        <w:footnoteReference w:id="137"/>
      </w:r>
      <w:r w:rsidR="00065071" w:rsidRPr="00A22656">
        <w:rPr>
          <w:rFonts w:ascii="Times New Roman" w:hAnsi="Times New Roman"/>
          <w:sz w:val="24"/>
          <w:szCs w:val="24"/>
        </w:rPr>
        <w:t xml:space="preserve"> </w:t>
      </w:r>
    </w:p>
    <w:p w:rsidR="00801FEB" w:rsidRPr="00A22656" w:rsidRDefault="00801FEB" w:rsidP="005F768F">
      <w:pPr>
        <w:pStyle w:val="NoSpacing"/>
        <w:spacing w:line="360" w:lineRule="auto"/>
        <w:ind w:right="-23"/>
        <w:jc w:val="both"/>
        <w:rPr>
          <w:rFonts w:ascii="Times New Roman" w:hAnsi="Times New Roman"/>
          <w:sz w:val="24"/>
          <w:szCs w:val="24"/>
        </w:rPr>
      </w:pPr>
    </w:p>
    <w:p w:rsidR="00887101" w:rsidRPr="00A22656" w:rsidRDefault="00DD0272" w:rsidP="005F768F">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 xml:space="preserve">Since these administrative burdens are generally only visible to those </w:t>
      </w:r>
      <w:r w:rsidR="00C4203E" w:rsidRPr="00A22656">
        <w:rPr>
          <w:rFonts w:ascii="Times New Roman" w:hAnsi="Times New Roman"/>
          <w:sz w:val="24"/>
          <w:szCs w:val="24"/>
        </w:rPr>
        <w:t>who must</w:t>
      </w:r>
      <w:r w:rsidRPr="00A22656">
        <w:rPr>
          <w:rFonts w:ascii="Times New Roman" w:hAnsi="Times New Roman"/>
          <w:sz w:val="24"/>
          <w:szCs w:val="24"/>
        </w:rPr>
        <w:t xml:space="preserve"> endure them, Union citizenship </w:t>
      </w:r>
      <w:r w:rsidR="00D177C1" w:rsidRPr="00A22656">
        <w:rPr>
          <w:rFonts w:ascii="Times New Roman" w:hAnsi="Times New Roman"/>
          <w:sz w:val="24"/>
          <w:szCs w:val="24"/>
        </w:rPr>
        <w:t xml:space="preserve">is doubly undermined: it continues to suffer from a legitimacy deficit at the constitutional and institutional level, whilst exacerbating the othering of Union citizens and making access to equal treatment harder on the ground. </w:t>
      </w:r>
      <w:r w:rsidRPr="00A22656">
        <w:rPr>
          <w:rFonts w:ascii="Times New Roman" w:hAnsi="Times New Roman"/>
          <w:sz w:val="24"/>
          <w:szCs w:val="24"/>
        </w:rPr>
        <w:t xml:space="preserve"> </w:t>
      </w:r>
      <w:r w:rsidR="00D177C1" w:rsidRPr="00A22656">
        <w:rPr>
          <w:rFonts w:ascii="Times New Roman" w:hAnsi="Times New Roman"/>
          <w:sz w:val="24"/>
          <w:szCs w:val="24"/>
        </w:rPr>
        <w:t>As Grimm argues, ‘the stronger the challenges are</w:t>
      </w:r>
      <w:proofErr w:type="gramStart"/>
      <w:r w:rsidR="00D177C1" w:rsidRPr="00A22656">
        <w:rPr>
          <w:rFonts w:ascii="Times New Roman" w:hAnsi="Times New Roman"/>
          <w:sz w:val="24"/>
          <w:szCs w:val="24"/>
        </w:rPr>
        <w:t>,</w:t>
      </w:r>
      <w:proofErr w:type="gramEnd"/>
      <w:r w:rsidR="00D177C1" w:rsidRPr="00A22656">
        <w:rPr>
          <w:rFonts w:ascii="Times New Roman" w:hAnsi="Times New Roman"/>
          <w:sz w:val="24"/>
          <w:szCs w:val="24"/>
        </w:rPr>
        <w:t xml:space="preserve"> the sooner politics will re-appear to circumvent the constitution’</w:t>
      </w:r>
      <w:r w:rsidR="002D6A0B" w:rsidRPr="00A22656">
        <w:rPr>
          <w:rFonts w:ascii="Times New Roman" w:hAnsi="Times New Roman"/>
          <w:sz w:val="24"/>
          <w:szCs w:val="24"/>
        </w:rPr>
        <w:t>.</w:t>
      </w:r>
      <w:r w:rsidR="00D177C1" w:rsidRPr="00A22656">
        <w:rPr>
          <w:rStyle w:val="FootnoteReference"/>
          <w:rFonts w:ascii="Times New Roman" w:hAnsi="Times New Roman"/>
          <w:sz w:val="24"/>
          <w:szCs w:val="24"/>
        </w:rPr>
        <w:footnoteReference w:id="138"/>
      </w:r>
      <w:r w:rsidR="002D6A0B" w:rsidRPr="00A22656">
        <w:rPr>
          <w:rFonts w:ascii="Times New Roman" w:hAnsi="Times New Roman"/>
          <w:sz w:val="24"/>
          <w:szCs w:val="24"/>
        </w:rPr>
        <w:t xml:space="preserve"> </w:t>
      </w:r>
      <w:r w:rsidR="00470BF8" w:rsidRPr="00A22656">
        <w:rPr>
          <w:rFonts w:ascii="Times New Roman" w:hAnsi="Times New Roman"/>
          <w:sz w:val="24"/>
          <w:szCs w:val="24"/>
        </w:rPr>
        <w:t>T</w:t>
      </w:r>
      <w:r w:rsidR="00D177C1" w:rsidRPr="00A22656">
        <w:rPr>
          <w:rFonts w:ascii="Times New Roman" w:hAnsi="Times New Roman"/>
          <w:sz w:val="24"/>
          <w:szCs w:val="24"/>
        </w:rPr>
        <w:t>he safeguard</w:t>
      </w:r>
      <w:r w:rsidR="004548FD" w:rsidRPr="00A22656">
        <w:rPr>
          <w:rFonts w:ascii="Times New Roman" w:hAnsi="Times New Roman"/>
          <w:sz w:val="24"/>
          <w:szCs w:val="24"/>
        </w:rPr>
        <w:t xml:space="preserve"> </w:t>
      </w:r>
      <w:r w:rsidR="00470BF8" w:rsidRPr="00A22656">
        <w:rPr>
          <w:rFonts w:ascii="Times New Roman" w:hAnsi="Times New Roman"/>
          <w:sz w:val="24"/>
          <w:szCs w:val="24"/>
        </w:rPr>
        <w:t>concretely demonstrates this</w:t>
      </w:r>
      <w:r w:rsidR="00D177C1" w:rsidRPr="00A22656">
        <w:rPr>
          <w:rFonts w:ascii="Times New Roman" w:hAnsi="Times New Roman"/>
          <w:sz w:val="24"/>
          <w:szCs w:val="24"/>
        </w:rPr>
        <w:t>: an attemp</w:t>
      </w:r>
      <w:r w:rsidR="00AC19F0" w:rsidRPr="00A22656">
        <w:rPr>
          <w:rFonts w:ascii="Times New Roman" w:hAnsi="Times New Roman"/>
          <w:sz w:val="24"/>
          <w:szCs w:val="24"/>
        </w:rPr>
        <w:t xml:space="preserve">t by the Member States </w:t>
      </w:r>
      <w:r w:rsidR="00D177C1" w:rsidRPr="00A22656">
        <w:rPr>
          <w:rFonts w:ascii="Times New Roman" w:hAnsi="Times New Roman"/>
          <w:sz w:val="24"/>
          <w:szCs w:val="24"/>
        </w:rPr>
        <w:t>to reassert</w:t>
      </w:r>
      <w:r w:rsidR="00AC19F0" w:rsidRPr="00A22656">
        <w:rPr>
          <w:rFonts w:ascii="Times New Roman" w:hAnsi="Times New Roman"/>
          <w:sz w:val="24"/>
          <w:szCs w:val="24"/>
        </w:rPr>
        <w:t xml:space="preserve"> to the citizenry</w:t>
      </w:r>
      <w:r w:rsidR="00D177C1" w:rsidRPr="00A22656">
        <w:rPr>
          <w:rFonts w:ascii="Times New Roman" w:hAnsi="Times New Roman"/>
          <w:sz w:val="24"/>
          <w:szCs w:val="24"/>
        </w:rPr>
        <w:t xml:space="preserve"> their status as ‘Masters o</w:t>
      </w:r>
      <w:r w:rsidR="00AC19F0" w:rsidRPr="00A22656">
        <w:rPr>
          <w:rFonts w:ascii="Times New Roman" w:hAnsi="Times New Roman"/>
          <w:sz w:val="24"/>
          <w:szCs w:val="24"/>
        </w:rPr>
        <w:t>f the Treaties’ and re-assure them of</w:t>
      </w:r>
      <w:r w:rsidR="00D177C1" w:rsidRPr="00A22656">
        <w:rPr>
          <w:rFonts w:ascii="Times New Roman" w:hAnsi="Times New Roman"/>
          <w:sz w:val="24"/>
          <w:szCs w:val="24"/>
        </w:rPr>
        <w:t xml:space="preserve"> their ability to respond politically.</w:t>
      </w:r>
      <w:r w:rsidR="00887101" w:rsidRPr="00A22656">
        <w:rPr>
          <w:rFonts w:ascii="Times New Roman" w:hAnsi="Times New Roman"/>
          <w:sz w:val="24"/>
          <w:szCs w:val="24"/>
        </w:rPr>
        <w:t xml:space="preserve"> </w:t>
      </w:r>
    </w:p>
    <w:p w:rsidR="00887101" w:rsidRPr="00A22656" w:rsidRDefault="00887101" w:rsidP="005F768F">
      <w:pPr>
        <w:pStyle w:val="NoSpacing"/>
        <w:spacing w:line="360" w:lineRule="auto"/>
        <w:ind w:right="-23"/>
        <w:jc w:val="both"/>
        <w:rPr>
          <w:rFonts w:ascii="Times New Roman" w:hAnsi="Times New Roman"/>
          <w:sz w:val="24"/>
          <w:szCs w:val="24"/>
        </w:rPr>
      </w:pPr>
    </w:p>
    <w:p w:rsidR="00BD49E1" w:rsidRPr="00A22656" w:rsidRDefault="00887101" w:rsidP="005F768F">
      <w:pPr>
        <w:pStyle w:val="NoSpacing"/>
        <w:spacing w:line="360" w:lineRule="auto"/>
        <w:ind w:right="-23"/>
        <w:jc w:val="both"/>
        <w:rPr>
          <w:rFonts w:ascii="Times New Roman" w:hAnsi="Times New Roman"/>
          <w:sz w:val="24"/>
          <w:szCs w:val="24"/>
        </w:rPr>
      </w:pPr>
      <w:r w:rsidRPr="00A22656">
        <w:rPr>
          <w:rFonts w:ascii="Times New Roman" w:hAnsi="Times New Roman"/>
          <w:sz w:val="24"/>
          <w:szCs w:val="24"/>
        </w:rPr>
        <w:t xml:space="preserve">Given the historical development of the internal market and of </w:t>
      </w:r>
      <w:r w:rsidR="004548FD" w:rsidRPr="00A22656">
        <w:rPr>
          <w:rFonts w:ascii="Times New Roman" w:hAnsi="Times New Roman"/>
          <w:sz w:val="24"/>
          <w:szCs w:val="24"/>
        </w:rPr>
        <w:t>Union citizenship, however,</w:t>
      </w:r>
      <w:r w:rsidRPr="00A22656">
        <w:rPr>
          <w:rFonts w:ascii="Times New Roman" w:hAnsi="Times New Roman"/>
          <w:sz w:val="24"/>
          <w:szCs w:val="24"/>
        </w:rPr>
        <w:t xml:space="preserve"> the EU’s political institutions w</w:t>
      </w:r>
      <w:r w:rsidR="004548FD" w:rsidRPr="00A22656">
        <w:rPr>
          <w:rFonts w:ascii="Times New Roman" w:hAnsi="Times New Roman"/>
          <w:sz w:val="24"/>
          <w:szCs w:val="24"/>
        </w:rPr>
        <w:t>ere still able</w:t>
      </w:r>
      <w:r w:rsidRPr="00A22656">
        <w:rPr>
          <w:rFonts w:ascii="Times New Roman" w:hAnsi="Times New Roman"/>
          <w:sz w:val="24"/>
          <w:szCs w:val="24"/>
        </w:rPr>
        <w:t xml:space="preserve"> to construct the safeguard in a manner which would have been legally palatable to the Court.</w:t>
      </w:r>
      <w:r w:rsidR="00C25F5D" w:rsidRPr="00A22656">
        <w:rPr>
          <w:rFonts w:ascii="Times New Roman" w:hAnsi="Times New Roman"/>
          <w:sz w:val="24"/>
          <w:szCs w:val="24"/>
        </w:rPr>
        <w:t xml:space="preserve"> Cr</w:t>
      </w:r>
      <w:r w:rsidR="004548FD" w:rsidRPr="00A22656">
        <w:rPr>
          <w:rFonts w:ascii="Times New Roman" w:hAnsi="Times New Roman"/>
          <w:sz w:val="24"/>
          <w:szCs w:val="24"/>
        </w:rPr>
        <w:t xml:space="preserve">ucially, what emerges from the </w:t>
      </w:r>
      <w:r w:rsidR="00C25F5D" w:rsidRPr="00A22656">
        <w:rPr>
          <w:rFonts w:ascii="Times New Roman" w:hAnsi="Times New Roman"/>
          <w:sz w:val="24"/>
          <w:szCs w:val="24"/>
        </w:rPr>
        <w:t>analyses conducted thus far is that the safeguard mechanism did not spring from adversity, tailored to the specific need to convince a Member State teetering on the edge of exit to remain. Rather, both the emergen</w:t>
      </w:r>
      <w:r w:rsidR="00AC19F0" w:rsidRPr="00A22656">
        <w:rPr>
          <w:rFonts w:ascii="Times New Roman" w:hAnsi="Times New Roman"/>
          <w:sz w:val="24"/>
          <w:szCs w:val="24"/>
        </w:rPr>
        <w:t>ce and form of the safeguard have</w:t>
      </w:r>
      <w:r w:rsidR="004548FD" w:rsidRPr="00A22656">
        <w:rPr>
          <w:rFonts w:ascii="Times New Roman" w:hAnsi="Times New Roman"/>
          <w:sz w:val="24"/>
          <w:szCs w:val="24"/>
        </w:rPr>
        <w:t xml:space="preserve"> </w:t>
      </w:r>
      <w:r w:rsidR="00C25F5D" w:rsidRPr="00A22656">
        <w:rPr>
          <w:rFonts w:ascii="Times New Roman" w:hAnsi="Times New Roman"/>
          <w:sz w:val="24"/>
          <w:szCs w:val="24"/>
        </w:rPr>
        <w:t>clear,</w:t>
      </w:r>
      <w:r w:rsidR="004548FD" w:rsidRPr="00A22656">
        <w:rPr>
          <w:rFonts w:ascii="Times New Roman" w:hAnsi="Times New Roman"/>
          <w:sz w:val="24"/>
          <w:szCs w:val="24"/>
        </w:rPr>
        <w:t xml:space="preserve"> and</w:t>
      </w:r>
      <w:r w:rsidR="00C25F5D" w:rsidRPr="00A22656">
        <w:rPr>
          <w:rFonts w:ascii="Times New Roman" w:hAnsi="Times New Roman"/>
          <w:sz w:val="24"/>
          <w:szCs w:val="24"/>
        </w:rPr>
        <w:t xml:space="preserve"> broader, historical foundations. Consequently, regardless of its formal abandonment following the UK</w:t>
      </w:r>
      <w:r w:rsidR="004548FD" w:rsidRPr="00A22656">
        <w:rPr>
          <w:rFonts w:ascii="Times New Roman" w:hAnsi="Times New Roman"/>
          <w:sz w:val="24"/>
          <w:szCs w:val="24"/>
        </w:rPr>
        <w:t xml:space="preserve"> referendum result</w:t>
      </w:r>
      <w:r w:rsidR="00C25F5D" w:rsidRPr="00A22656">
        <w:rPr>
          <w:rFonts w:ascii="Times New Roman" w:hAnsi="Times New Roman"/>
          <w:sz w:val="24"/>
          <w:szCs w:val="24"/>
        </w:rPr>
        <w:t>, the UK renegotiation has demonstrated that something like the safeguard is possible and it now retains the potent</w:t>
      </w:r>
      <w:r w:rsidR="00AC19F0" w:rsidRPr="00A22656">
        <w:rPr>
          <w:rFonts w:ascii="Times New Roman" w:hAnsi="Times New Roman"/>
          <w:sz w:val="24"/>
          <w:szCs w:val="24"/>
        </w:rPr>
        <w:t>ial energy to reappear</w:t>
      </w:r>
      <w:r w:rsidR="00C25F5D" w:rsidRPr="00A22656">
        <w:rPr>
          <w:rFonts w:ascii="Times New Roman" w:hAnsi="Times New Roman"/>
          <w:sz w:val="24"/>
          <w:szCs w:val="24"/>
        </w:rPr>
        <w:t xml:space="preserve"> in the future.  </w:t>
      </w:r>
    </w:p>
    <w:p w:rsidR="00063622" w:rsidRPr="00A22656" w:rsidRDefault="00063622" w:rsidP="008773B7">
      <w:pPr>
        <w:pStyle w:val="NoSpacing"/>
        <w:spacing w:line="360" w:lineRule="auto"/>
        <w:ind w:right="-23"/>
        <w:jc w:val="both"/>
        <w:rPr>
          <w:rFonts w:ascii="Times New Roman" w:hAnsi="Times New Roman" w:cs="Times New Roman"/>
          <w:b/>
          <w:i/>
          <w:sz w:val="24"/>
          <w:szCs w:val="24"/>
        </w:rPr>
      </w:pPr>
      <w:r w:rsidRPr="00A22656">
        <w:rPr>
          <w:rFonts w:ascii="Times New Roman" w:hAnsi="Times New Roman" w:cs="Times New Roman"/>
          <w:b/>
          <w:i/>
          <w:sz w:val="24"/>
          <w:szCs w:val="24"/>
        </w:rPr>
        <w:t xml:space="preserve"> </w:t>
      </w:r>
    </w:p>
    <w:p w:rsidR="008773B7" w:rsidRPr="00A22656" w:rsidRDefault="008773B7" w:rsidP="008773B7">
      <w:pPr>
        <w:pStyle w:val="NoSpacing"/>
        <w:spacing w:line="360" w:lineRule="auto"/>
        <w:ind w:right="-23"/>
        <w:jc w:val="both"/>
        <w:rPr>
          <w:rFonts w:ascii="Times New Roman" w:hAnsi="Times New Roman"/>
          <w:sz w:val="24"/>
          <w:szCs w:val="24"/>
        </w:rPr>
      </w:pPr>
    </w:p>
    <w:p w:rsidR="00063622" w:rsidRPr="00A22656" w:rsidRDefault="00063622" w:rsidP="005F768F">
      <w:pPr>
        <w:pStyle w:val="ListParagraph"/>
        <w:numPr>
          <w:ilvl w:val="0"/>
          <w:numId w:val="2"/>
        </w:numPr>
        <w:spacing w:line="360" w:lineRule="auto"/>
        <w:rPr>
          <w:rFonts w:ascii="Times New Roman" w:hAnsi="Times New Roman" w:cs="Times New Roman"/>
          <w:b/>
          <w:sz w:val="24"/>
          <w:szCs w:val="24"/>
        </w:rPr>
      </w:pPr>
      <w:r w:rsidRPr="00A22656">
        <w:rPr>
          <w:rFonts w:ascii="Times New Roman" w:hAnsi="Times New Roman" w:cs="Times New Roman"/>
          <w:b/>
          <w:sz w:val="24"/>
          <w:szCs w:val="24"/>
        </w:rPr>
        <w:t>Gone but not forgotten? Speculating on the re-emer</w:t>
      </w:r>
      <w:r w:rsidR="00524FDA" w:rsidRPr="00A22656">
        <w:rPr>
          <w:rFonts w:ascii="Times New Roman" w:hAnsi="Times New Roman" w:cs="Times New Roman"/>
          <w:b/>
          <w:sz w:val="24"/>
          <w:szCs w:val="24"/>
        </w:rPr>
        <w:t>gence of the safeguard</w:t>
      </w:r>
    </w:p>
    <w:p w:rsidR="00454BE8" w:rsidRPr="00A22656" w:rsidRDefault="00524FDA" w:rsidP="005F768F">
      <w:pPr>
        <w:pStyle w:val="NoSpacing"/>
        <w:spacing w:line="360" w:lineRule="auto"/>
        <w:jc w:val="both"/>
        <w:rPr>
          <w:rFonts w:ascii="Times New Roman" w:hAnsi="Times New Roman" w:cs="Times New Roman"/>
          <w:sz w:val="24"/>
          <w:szCs w:val="24"/>
        </w:rPr>
      </w:pPr>
      <w:r w:rsidRPr="00A22656">
        <w:rPr>
          <w:rFonts w:ascii="Times New Roman" w:hAnsi="Times New Roman"/>
          <w:sz w:val="24"/>
          <w:szCs w:val="24"/>
        </w:rPr>
        <w:t>T</w:t>
      </w:r>
      <w:r w:rsidR="006C5DCE" w:rsidRPr="00A22656">
        <w:rPr>
          <w:rFonts w:ascii="Times New Roman" w:hAnsi="Times New Roman"/>
          <w:sz w:val="24"/>
          <w:szCs w:val="24"/>
        </w:rPr>
        <w:t>his section cons</w:t>
      </w:r>
      <w:r w:rsidRPr="00A22656">
        <w:rPr>
          <w:rFonts w:ascii="Times New Roman" w:hAnsi="Times New Roman"/>
          <w:sz w:val="24"/>
          <w:szCs w:val="24"/>
        </w:rPr>
        <w:t>iders, first, what a re-emerged</w:t>
      </w:r>
      <w:r w:rsidR="006C5DCE" w:rsidRPr="00A22656">
        <w:rPr>
          <w:rFonts w:ascii="Times New Roman" w:hAnsi="Times New Roman"/>
          <w:sz w:val="24"/>
          <w:szCs w:val="24"/>
        </w:rPr>
        <w:t xml:space="preserve"> safeguard mechanism might look like. </w:t>
      </w:r>
      <w:r w:rsidR="006C5DCE" w:rsidRPr="00A22656">
        <w:rPr>
          <w:rFonts w:ascii="Times New Roman" w:hAnsi="Times New Roman" w:cs="Times New Roman"/>
          <w:sz w:val="24"/>
          <w:szCs w:val="24"/>
        </w:rPr>
        <w:t>Released from the formalities of the D</w:t>
      </w:r>
      <w:r w:rsidRPr="00A22656">
        <w:rPr>
          <w:rFonts w:ascii="Times New Roman" w:hAnsi="Times New Roman" w:cs="Times New Roman"/>
          <w:sz w:val="24"/>
          <w:szCs w:val="24"/>
        </w:rPr>
        <w:t>ecision, the safeguard</w:t>
      </w:r>
      <w:r w:rsidR="006C5DCE" w:rsidRPr="00A22656">
        <w:rPr>
          <w:rFonts w:ascii="Times New Roman" w:hAnsi="Times New Roman" w:cs="Times New Roman"/>
          <w:sz w:val="24"/>
          <w:szCs w:val="24"/>
        </w:rPr>
        <w:t xml:space="preserve"> could now</w:t>
      </w:r>
      <w:r w:rsidRPr="00A22656">
        <w:rPr>
          <w:rFonts w:ascii="Times New Roman" w:hAnsi="Times New Roman" w:cs="Times New Roman"/>
          <w:sz w:val="24"/>
          <w:szCs w:val="24"/>
        </w:rPr>
        <w:t xml:space="preserve"> take a number of shapes. N</w:t>
      </w:r>
      <w:r w:rsidR="006C5DCE" w:rsidRPr="00A22656">
        <w:rPr>
          <w:rFonts w:ascii="Times New Roman" w:hAnsi="Times New Roman" w:cs="Times New Roman"/>
          <w:sz w:val="24"/>
          <w:szCs w:val="24"/>
        </w:rPr>
        <w:t>otably, the content, rather than the form, of</w:t>
      </w:r>
      <w:r w:rsidRPr="00A22656">
        <w:rPr>
          <w:rFonts w:ascii="Times New Roman" w:hAnsi="Times New Roman" w:cs="Times New Roman"/>
          <w:sz w:val="24"/>
          <w:szCs w:val="24"/>
        </w:rPr>
        <w:t xml:space="preserve"> the</w:t>
      </w:r>
      <w:r w:rsidR="006C5DCE" w:rsidRPr="00A22656">
        <w:rPr>
          <w:rFonts w:ascii="Times New Roman" w:hAnsi="Times New Roman" w:cs="Times New Roman"/>
          <w:sz w:val="24"/>
          <w:szCs w:val="24"/>
        </w:rPr>
        <w:t xml:space="preserve"> Decision, indicates that </w:t>
      </w:r>
      <w:r w:rsidR="006C5DCE" w:rsidRPr="00A22656">
        <w:rPr>
          <w:rFonts w:ascii="Times New Roman" w:hAnsi="Times New Roman" w:cs="Times New Roman"/>
          <w:i/>
          <w:sz w:val="24"/>
          <w:szCs w:val="24"/>
        </w:rPr>
        <w:t>unilateral</w:t>
      </w:r>
      <w:r w:rsidR="006C5DCE" w:rsidRPr="00A22656">
        <w:rPr>
          <w:rFonts w:ascii="Times New Roman" w:hAnsi="Times New Roman" w:cs="Times New Roman"/>
          <w:sz w:val="24"/>
          <w:szCs w:val="24"/>
        </w:rPr>
        <w:t xml:space="preserve"> decisions to discriminate against workers are now possible. </w:t>
      </w:r>
      <w:r w:rsidRPr="00A22656">
        <w:rPr>
          <w:rFonts w:ascii="Times New Roman" w:hAnsi="Times New Roman" w:cs="Times New Roman"/>
          <w:sz w:val="24"/>
          <w:szCs w:val="24"/>
        </w:rPr>
        <w:t xml:space="preserve">The section acknowledges, second, </w:t>
      </w:r>
      <w:r w:rsidR="006C5DCE" w:rsidRPr="00A22656">
        <w:rPr>
          <w:rFonts w:ascii="Times New Roman" w:hAnsi="Times New Roman"/>
          <w:sz w:val="24"/>
          <w:szCs w:val="24"/>
        </w:rPr>
        <w:t>that, regardless of</w:t>
      </w:r>
      <w:r w:rsidR="005C22E0" w:rsidRPr="00A22656">
        <w:rPr>
          <w:rFonts w:ascii="Times New Roman" w:hAnsi="Times New Roman"/>
          <w:sz w:val="24"/>
          <w:szCs w:val="24"/>
        </w:rPr>
        <w:t xml:space="preserve"> the fact that it is constitutionally-rooted and politically explainable</w:t>
      </w:r>
      <w:r w:rsidRPr="00A22656">
        <w:rPr>
          <w:rFonts w:ascii="Times New Roman" w:hAnsi="Times New Roman"/>
          <w:sz w:val="24"/>
          <w:szCs w:val="24"/>
        </w:rPr>
        <w:t xml:space="preserve">, </w:t>
      </w:r>
      <w:r w:rsidRPr="00A22656">
        <w:rPr>
          <w:rFonts w:ascii="Times New Roman" w:hAnsi="Times New Roman"/>
          <w:sz w:val="24"/>
          <w:szCs w:val="24"/>
        </w:rPr>
        <w:lastRenderedPageBreak/>
        <w:t xml:space="preserve">the safeguard </w:t>
      </w:r>
      <w:r w:rsidR="005C22E0" w:rsidRPr="00A22656">
        <w:rPr>
          <w:rFonts w:ascii="Times New Roman" w:hAnsi="Times New Roman"/>
          <w:sz w:val="24"/>
          <w:szCs w:val="24"/>
        </w:rPr>
        <w:t xml:space="preserve">would </w:t>
      </w:r>
      <w:r w:rsidRPr="00A22656">
        <w:rPr>
          <w:rFonts w:ascii="Times New Roman" w:hAnsi="Times New Roman"/>
          <w:sz w:val="24"/>
          <w:szCs w:val="24"/>
        </w:rPr>
        <w:t xml:space="preserve">still </w:t>
      </w:r>
      <w:r w:rsidR="006C5DCE" w:rsidRPr="00A22656">
        <w:rPr>
          <w:rFonts w:ascii="Times New Roman" w:hAnsi="Times New Roman"/>
          <w:sz w:val="24"/>
          <w:szCs w:val="24"/>
        </w:rPr>
        <w:t>rep</w:t>
      </w:r>
      <w:r w:rsidR="005C22E0" w:rsidRPr="00A22656">
        <w:rPr>
          <w:rFonts w:ascii="Times New Roman" w:hAnsi="Times New Roman"/>
          <w:sz w:val="24"/>
          <w:szCs w:val="24"/>
        </w:rPr>
        <w:t xml:space="preserve">resent a significant </w:t>
      </w:r>
      <w:r w:rsidR="006C5DCE" w:rsidRPr="00A22656">
        <w:rPr>
          <w:rFonts w:ascii="Times New Roman" w:hAnsi="Times New Roman"/>
          <w:sz w:val="24"/>
          <w:szCs w:val="24"/>
        </w:rPr>
        <w:t xml:space="preserve">change in direction for the EU, </w:t>
      </w:r>
      <w:proofErr w:type="gramStart"/>
      <w:r w:rsidR="006C5DCE" w:rsidRPr="00A22656">
        <w:rPr>
          <w:rFonts w:ascii="Times New Roman" w:hAnsi="Times New Roman"/>
          <w:sz w:val="24"/>
          <w:szCs w:val="24"/>
        </w:rPr>
        <w:t>with</w:t>
      </w:r>
      <w:proofErr w:type="gramEnd"/>
      <w:r w:rsidR="006C5DCE" w:rsidRPr="00A22656">
        <w:rPr>
          <w:rFonts w:ascii="Times New Roman" w:hAnsi="Times New Roman"/>
          <w:sz w:val="24"/>
          <w:szCs w:val="24"/>
        </w:rPr>
        <w:t xml:space="preserve"> far-reaching repercussions should it be employed.</w:t>
      </w:r>
      <w:r w:rsidR="00C25F5D" w:rsidRPr="00A22656">
        <w:rPr>
          <w:rFonts w:ascii="Times New Roman" w:hAnsi="Times New Roman" w:cs="Times New Roman"/>
          <w:sz w:val="24"/>
          <w:szCs w:val="24"/>
        </w:rPr>
        <w:t xml:space="preserve"> </w:t>
      </w:r>
    </w:p>
    <w:p w:rsidR="00063622" w:rsidRPr="00A22656" w:rsidRDefault="00063622" w:rsidP="005F768F">
      <w:pPr>
        <w:spacing w:line="360" w:lineRule="auto"/>
        <w:rPr>
          <w:rFonts w:ascii="Times New Roman" w:hAnsi="Times New Roman" w:cs="Times New Roman"/>
          <w:b/>
          <w:sz w:val="24"/>
          <w:szCs w:val="24"/>
        </w:rPr>
      </w:pPr>
    </w:p>
    <w:p w:rsidR="009673EB" w:rsidRPr="00A22656" w:rsidRDefault="00063622" w:rsidP="005F768F">
      <w:pPr>
        <w:pStyle w:val="ListParagraph"/>
        <w:numPr>
          <w:ilvl w:val="1"/>
          <w:numId w:val="2"/>
        </w:numPr>
        <w:spacing w:line="360" w:lineRule="auto"/>
        <w:rPr>
          <w:rFonts w:ascii="Times New Roman" w:hAnsi="Times New Roman" w:cs="Times New Roman"/>
          <w:b/>
          <w:sz w:val="24"/>
          <w:szCs w:val="24"/>
        </w:rPr>
      </w:pPr>
      <w:r w:rsidRPr="00A22656">
        <w:rPr>
          <w:rFonts w:ascii="Times New Roman" w:hAnsi="Times New Roman" w:cs="Times New Roman"/>
          <w:b/>
          <w:sz w:val="24"/>
          <w:szCs w:val="24"/>
        </w:rPr>
        <w:t xml:space="preserve"> </w:t>
      </w:r>
      <w:r w:rsidR="009673EB" w:rsidRPr="00A22656">
        <w:rPr>
          <w:rFonts w:ascii="Times New Roman" w:hAnsi="Times New Roman" w:cs="Times New Roman"/>
          <w:b/>
          <w:i/>
          <w:sz w:val="24"/>
          <w:szCs w:val="24"/>
        </w:rPr>
        <w:t>Up for grabs: the potential future shape of the safeguard mechanism</w:t>
      </w:r>
    </w:p>
    <w:p w:rsidR="00551049" w:rsidRPr="00A22656" w:rsidRDefault="006C5DCE"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First, given the </w:t>
      </w:r>
      <w:r w:rsidR="00AC19F0" w:rsidRPr="00A22656">
        <w:rPr>
          <w:rFonts w:ascii="Times New Roman" w:hAnsi="Times New Roman" w:cs="Times New Roman"/>
          <w:sz w:val="24"/>
          <w:szCs w:val="24"/>
        </w:rPr>
        <w:t>demonstrated</w:t>
      </w:r>
      <w:r w:rsidRPr="00A22656">
        <w:rPr>
          <w:rFonts w:ascii="Times New Roman" w:hAnsi="Times New Roman" w:cs="Times New Roman"/>
          <w:sz w:val="24"/>
          <w:szCs w:val="24"/>
        </w:rPr>
        <w:t xml:space="preserve"> legality of the safeguard as contained in the </w:t>
      </w:r>
      <w:r w:rsidR="00AC19F0" w:rsidRPr="00A22656">
        <w:rPr>
          <w:rFonts w:ascii="Times New Roman" w:hAnsi="Times New Roman" w:cs="Times New Roman"/>
          <w:sz w:val="24"/>
          <w:szCs w:val="24"/>
        </w:rPr>
        <w:t xml:space="preserve">Decision, </w:t>
      </w:r>
      <w:r w:rsidRPr="00A22656">
        <w:rPr>
          <w:rFonts w:ascii="Times New Roman" w:hAnsi="Times New Roman" w:cs="Times New Roman"/>
          <w:sz w:val="24"/>
          <w:szCs w:val="24"/>
        </w:rPr>
        <w:t>an identi</w:t>
      </w:r>
      <w:r w:rsidR="00D5715C" w:rsidRPr="00A22656">
        <w:rPr>
          <w:rFonts w:ascii="Times New Roman" w:hAnsi="Times New Roman" w:cs="Times New Roman"/>
          <w:sz w:val="24"/>
          <w:szCs w:val="24"/>
        </w:rPr>
        <w:t>cal mechanism</w:t>
      </w:r>
      <w:r w:rsidR="008F2737" w:rsidRPr="00A22656">
        <w:rPr>
          <w:rFonts w:ascii="Times New Roman" w:hAnsi="Times New Roman" w:cs="Times New Roman"/>
          <w:sz w:val="24"/>
          <w:szCs w:val="24"/>
        </w:rPr>
        <w:t xml:space="preserve"> could emerge at the Union-level in the future. On the one h</w:t>
      </w:r>
      <w:r w:rsidR="00D5715C" w:rsidRPr="00A22656">
        <w:rPr>
          <w:rFonts w:ascii="Times New Roman" w:hAnsi="Times New Roman" w:cs="Times New Roman"/>
          <w:sz w:val="24"/>
          <w:szCs w:val="24"/>
        </w:rPr>
        <w:t>and, this seems unl</w:t>
      </w:r>
      <w:r w:rsidR="004C6BE1" w:rsidRPr="00A22656">
        <w:rPr>
          <w:rFonts w:ascii="Times New Roman" w:hAnsi="Times New Roman" w:cs="Times New Roman"/>
          <w:sz w:val="24"/>
          <w:szCs w:val="24"/>
        </w:rPr>
        <w:t>ikely. In the Bratislava Declaration</w:t>
      </w:r>
      <w:r w:rsidR="003D4255" w:rsidRPr="00A22656">
        <w:rPr>
          <w:rFonts w:ascii="Times New Roman" w:hAnsi="Times New Roman" w:cs="Times New Roman"/>
          <w:sz w:val="24"/>
          <w:szCs w:val="24"/>
        </w:rPr>
        <w:t>, published shortly after</w:t>
      </w:r>
      <w:r w:rsidR="003D748E" w:rsidRPr="00A22656">
        <w:rPr>
          <w:rFonts w:ascii="Times New Roman" w:hAnsi="Times New Roman" w:cs="Times New Roman"/>
          <w:sz w:val="24"/>
          <w:szCs w:val="24"/>
        </w:rPr>
        <w:t xml:space="preserve"> the UK vote</w:t>
      </w:r>
      <w:r w:rsidR="00D5715C" w:rsidRPr="00A22656">
        <w:rPr>
          <w:rFonts w:ascii="Times New Roman" w:hAnsi="Times New Roman" w:cs="Times New Roman"/>
          <w:sz w:val="24"/>
          <w:szCs w:val="24"/>
        </w:rPr>
        <w:t>,</w:t>
      </w:r>
      <w:r w:rsidR="003D748E" w:rsidRPr="00A22656">
        <w:rPr>
          <w:rFonts w:ascii="Times New Roman" w:hAnsi="Times New Roman" w:cs="Times New Roman"/>
          <w:sz w:val="24"/>
          <w:szCs w:val="24"/>
        </w:rPr>
        <w:t xml:space="preserve"> the</w:t>
      </w:r>
      <w:r w:rsidR="00D5715C" w:rsidRPr="00A22656">
        <w:rPr>
          <w:rFonts w:ascii="Times New Roman" w:hAnsi="Times New Roman" w:cs="Times New Roman"/>
          <w:sz w:val="24"/>
          <w:szCs w:val="24"/>
        </w:rPr>
        <w:t xml:space="preserve"> other 27 Member States</w:t>
      </w:r>
      <w:r w:rsidR="003D748E" w:rsidRPr="00A22656">
        <w:rPr>
          <w:rFonts w:ascii="Times New Roman" w:hAnsi="Times New Roman" w:cs="Times New Roman"/>
          <w:sz w:val="24"/>
          <w:szCs w:val="24"/>
        </w:rPr>
        <w:t xml:space="preserve"> highlighted the need ‘to serve better the…wishes [of EU citizens] to live study, work, </w:t>
      </w:r>
      <w:proofErr w:type="gramStart"/>
      <w:r w:rsidR="003D748E" w:rsidRPr="00A22656">
        <w:rPr>
          <w:rFonts w:ascii="Times New Roman" w:hAnsi="Times New Roman" w:cs="Times New Roman"/>
          <w:sz w:val="24"/>
          <w:szCs w:val="24"/>
        </w:rPr>
        <w:t>move</w:t>
      </w:r>
      <w:proofErr w:type="gramEnd"/>
      <w:r w:rsidR="003D748E" w:rsidRPr="00A22656">
        <w:rPr>
          <w:rFonts w:ascii="Times New Roman" w:hAnsi="Times New Roman" w:cs="Times New Roman"/>
          <w:sz w:val="24"/>
          <w:szCs w:val="24"/>
        </w:rPr>
        <w:t xml:space="preserve"> and prosper freely across our continent and benefit from the rich European heritage’.</w:t>
      </w:r>
      <w:r w:rsidR="003D748E" w:rsidRPr="00A22656">
        <w:rPr>
          <w:rStyle w:val="FootnoteReference"/>
          <w:rFonts w:ascii="Times New Roman" w:hAnsi="Times New Roman" w:cs="Times New Roman"/>
          <w:sz w:val="24"/>
          <w:szCs w:val="24"/>
        </w:rPr>
        <w:footnoteReference w:id="139"/>
      </w:r>
      <w:r w:rsidR="00551049" w:rsidRPr="00A22656">
        <w:rPr>
          <w:rFonts w:ascii="Times New Roman" w:hAnsi="Times New Roman" w:cs="Times New Roman"/>
          <w:sz w:val="24"/>
          <w:szCs w:val="24"/>
        </w:rPr>
        <w:t xml:space="preserve"> </w:t>
      </w:r>
      <w:r w:rsidR="00D5715C" w:rsidRPr="00A22656">
        <w:rPr>
          <w:rFonts w:ascii="Times New Roman" w:hAnsi="Times New Roman" w:cs="Times New Roman"/>
          <w:sz w:val="24"/>
          <w:szCs w:val="24"/>
        </w:rPr>
        <w:t>In responding to the referendum result, t</w:t>
      </w:r>
      <w:r w:rsidR="00551049" w:rsidRPr="00A22656">
        <w:rPr>
          <w:rFonts w:ascii="Times New Roman" w:hAnsi="Times New Roman" w:cs="Times New Roman"/>
          <w:sz w:val="24"/>
          <w:szCs w:val="24"/>
        </w:rPr>
        <w:t>he emphasis was</w:t>
      </w:r>
      <w:r w:rsidR="003D748E" w:rsidRPr="00A22656">
        <w:rPr>
          <w:rFonts w:ascii="Times New Roman" w:hAnsi="Times New Roman" w:cs="Times New Roman"/>
          <w:sz w:val="24"/>
          <w:szCs w:val="24"/>
        </w:rPr>
        <w:t xml:space="preserve"> on improving communication between the EU institutions, the Me</w:t>
      </w:r>
      <w:r w:rsidR="00D5715C" w:rsidRPr="00A22656">
        <w:rPr>
          <w:rFonts w:ascii="Times New Roman" w:hAnsi="Times New Roman" w:cs="Times New Roman"/>
          <w:sz w:val="24"/>
          <w:szCs w:val="24"/>
        </w:rPr>
        <w:t>mber States, and Union citizens and on challenging the ‘simplistic</w:t>
      </w:r>
      <w:r w:rsidR="003D748E" w:rsidRPr="00A22656">
        <w:rPr>
          <w:rFonts w:ascii="Times New Roman" w:hAnsi="Times New Roman" w:cs="Times New Roman"/>
          <w:sz w:val="24"/>
          <w:szCs w:val="24"/>
        </w:rPr>
        <w:t xml:space="preserve"> solutions of extreme or populist political forces’.</w:t>
      </w:r>
      <w:r w:rsidR="003D748E" w:rsidRPr="00A22656">
        <w:rPr>
          <w:rStyle w:val="FootnoteReference"/>
          <w:rFonts w:ascii="Times New Roman" w:hAnsi="Times New Roman" w:cs="Times New Roman"/>
          <w:sz w:val="24"/>
          <w:szCs w:val="24"/>
        </w:rPr>
        <w:footnoteReference w:id="140"/>
      </w:r>
      <w:r w:rsidR="00517CE3" w:rsidRPr="00A22656">
        <w:rPr>
          <w:rFonts w:ascii="Times New Roman" w:hAnsi="Times New Roman" w:cs="Times New Roman"/>
          <w:sz w:val="24"/>
          <w:szCs w:val="24"/>
        </w:rPr>
        <w:t xml:space="preserve"> On the other</w:t>
      </w:r>
      <w:r w:rsidR="008F2737" w:rsidRPr="00A22656">
        <w:rPr>
          <w:rFonts w:ascii="Times New Roman" w:hAnsi="Times New Roman" w:cs="Times New Roman"/>
          <w:sz w:val="24"/>
          <w:szCs w:val="24"/>
        </w:rPr>
        <w:t xml:space="preserve"> hand, in late 2016</w:t>
      </w:r>
      <w:r w:rsidR="00517CE3" w:rsidRPr="00A22656">
        <w:rPr>
          <w:rFonts w:ascii="Times New Roman" w:hAnsi="Times New Roman" w:cs="Times New Roman"/>
          <w:sz w:val="24"/>
          <w:szCs w:val="24"/>
        </w:rPr>
        <w:t>, the Commission announced</w:t>
      </w:r>
      <w:r w:rsidR="008F2737" w:rsidRPr="00A22656">
        <w:rPr>
          <w:rFonts w:ascii="Times New Roman" w:hAnsi="Times New Roman" w:cs="Times New Roman"/>
          <w:sz w:val="24"/>
          <w:szCs w:val="24"/>
        </w:rPr>
        <w:t xml:space="preserve"> less ambitious</w:t>
      </w:r>
      <w:r w:rsidR="00517CE3" w:rsidRPr="00A22656">
        <w:rPr>
          <w:rFonts w:ascii="Times New Roman" w:hAnsi="Times New Roman" w:cs="Times New Roman"/>
          <w:sz w:val="24"/>
          <w:szCs w:val="24"/>
        </w:rPr>
        <w:t xml:space="preserve"> proposals for reform to the Social Security Regulation that would place some restrictions on EU workers’ ability to aggregate contributions for unemployment benefit across Member States.</w:t>
      </w:r>
      <w:r w:rsidR="00517CE3" w:rsidRPr="00A22656">
        <w:rPr>
          <w:rStyle w:val="FootnoteReference"/>
          <w:rFonts w:ascii="Times New Roman" w:hAnsi="Times New Roman" w:cs="Times New Roman"/>
          <w:sz w:val="24"/>
          <w:szCs w:val="24"/>
        </w:rPr>
        <w:footnoteReference w:id="141"/>
      </w:r>
      <w:r w:rsidR="00517CE3" w:rsidRPr="00A22656">
        <w:rPr>
          <w:rFonts w:ascii="Times New Roman" w:hAnsi="Times New Roman" w:cs="Times New Roman"/>
          <w:sz w:val="24"/>
          <w:szCs w:val="24"/>
        </w:rPr>
        <w:t xml:space="preserve"> </w:t>
      </w:r>
    </w:p>
    <w:p w:rsidR="00551049" w:rsidRPr="00A22656" w:rsidRDefault="00551049" w:rsidP="005F768F">
      <w:pPr>
        <w:pStyle w:val="NoSpacing"/>
        <w:spacing w:line="360" w:lineRule="auto"/>
        <w:jc w:val="both"/>
        <w:rPr>
          <w:rFonts w:ascii="Times New Roman" w:hAnsi="Times New Roman" w:cs="Times New Roman"/>
          <w:sz w:val="24"/>
          <w:szCs w:val="24"/>
        </w:rPr>
      </w:pPr>
    </w:p>
    <w:p w:rsidR="007E0CDC" w:rsidRPr="00A22656" w:rsidRDefault="008F2737"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Crucially,</w:t>
      </w:r>
      <w:r w:rsidR="00551049" w:rsidRPr="00A22656">
        <w:rPr>
          <w:rFonts w:ascii="Times New Roman" w:hAnsi="Times New Roman" w:cs="Times New Roman"/>
          <w:sz w:val="24"/>
          <w:szCs w:val="24"/>
        </w:rPr>
        <w:t xml:space="preserve"> some Member States continue to face pressure domestically to tackle perceived problems with intra-EU migration and, in particular, benefit tourism.</w:t>
      </w:r>
      <w:r w:rsidR="00551049" w:rsidRPr="00A22656">
        <w:rPr>
          <w:rStyle w:val="FootnoteReference"/>
          <w:rFonts w:ascii="Times New Roman" w:hAnsi="Times New Roman" w:cs="Times New Roman"/>
          <w:sz w:val="24"/>
          <w:szCs w:val="24"/>
        </w:rPr>
        <w:footnoteReference w:id="142"/>
      </w:r>
      <w:r w:rsidR="006E4FE0" w:rsidRPr="00A22656">
        <w:rPr>
          <w:rFonts w:ascii="Times New Roman" w:hAnsi="Times New Roman" w:cs="Times New Roman"/>
          <w:sz w:val="24"/>
          <w:szCs w:val="24"/>
        </w:rPr>
        <w:t xml:space="preserve"> </w:t>
      </w:r>
      <w:r w:rsidR="006132C5" w:rsidRPr="00A22656">
        <w:rPr>
          <w:rFonts w:ascii="Times New Roman" w:hAnsi="Times New Roman" w:cs="Times New Roman"/>
          <w:sz w:val="24"/>
          <w:szCs w:val="24"/>
        </w:rPr>
        <w:t>The post-</w:t>
      </w:r>
      <w:proofErr w:type="spellStart"/>
      <w:r w:rsidR="006132C5" w:rsidRPr="00A22656">
        <w:rPr>
          <w:rFonts w:ascii="Times New Roman" w:hAnsi="Times New Roman" w:cs="Times New Roman"/>
          <w:i/>
          <w:sz w:val="24"/>
          <w:szCs w:val="24"/>
        </w:rPr>
        <w:t>Dano</w:t>
      </w:r>
      <w:proofErr w:type="spellEnd"/>
      <w:r w:rsidR="006132C5" w:rsidRPr="00A22656">
        <w:rPr>
          <w:rFonts w:ascii="Times New Roman" w:hAnsi="Times New Roman" w:cs="Times New Roman"/>
          <w:i/>
          <w:sz w:val="24"/>
          <w:szCs w:val="24"/>
        </w:rPr>
        <w:t xml:space="preserve"> </w:t>
      </w:r>
      <w:r w:rsidR="006132C5" w:rsidRPr="00A22656">
        <w:rPr>
          <w:rFonts w:ascii="Times New Roman" w:hAnsi="Times New Roman" w:cs="Times New Roman"/>
          <w:sz w:val="24"/>
          <w:szCs w:val="24"/>
        </w:rPr>
        <w:t>case-law</w:t>
      </w:r>
      <w:r w:rsidR="006E4FE0" w:rsidRPr="00A22656">
        <w:rPr>
          <w:rFonts w:ascii="Times New Roman" w:hAnsi="Times New Roman" w:cs="Times New Roman"/>
          <w:sz w:val="24"/>
          <w:szCs w:val="24"/>
        </w:rPr>
        <w:t xml:space="preserve"> demonstrate</w:t>
      </w:r>
      <w:r w:rsidR="006132C5" w:rsidRPr="00A22656">
        <w:rPr>
          <w:rFonts w:ascii="Times New Roman" w:hAnsi="Times New Roman" w:cs="Times New Roman"/>
          <w:sz w:val="24"/>
          <w:szCs w:val="24"/>
        </w:rPr>
        <w:t>s</w:t>
      </w:r>
      <w:r w:rsidR="006E4FE0" w:rsidRPr="00A22656">
        <w:rPr>
          <w:rFonts w:ascii="Times New Roman" w:hAnsi="Times New Roman" w:cs="Times New Roman"/>
          <w:sz w:val="24"/>
          <w:szCs w:val="24"/>
        </w:rPr>
        <w:t xml:space="preserve"> that some Member States are already testing the water</w:t>
      </w:r>
      <w:r w:rsidR="00B703EE" w:rsidRPr="00A22656">
        <w:rPr>
          <w:rFonts w:ascii="Times New Roman" w:hAnsi="Times New Roman" w:cs="Times New Roman"/>
          <w:sz w:val="24"/>
          <w:szCs w:val="24"/>
        </w:rPr>
        <w:t xml:space="preserve"> in terms of increased restrictions on the free movement rights of non-economically</w:t>
      </w:r>
      <w:r w:rsidR="00252787" w:rsidRPr="00A22656">
        <w:rPr>
          <w:rFonts w:ascii="Times New Roman" w:hAnsi="Times New Roman" w:cs="Times New Roman"/>
          <w:sz w:val="24"/>
          <w:szCs w:val="24"/>
        </w:rPr>
        <w:t xml:space="preserve"> active Union citizens. Indeed, </w:t>
      </w:r>
      <w:r w:rsidR="00B703EE" w:rsidRPr="00A22656">
        <w:rPr>
          <w:rFonts w:ascii="Times New Roman" w:hAnsi="Times New Roman" w:cs="Times New Roman"/>
          <w:sz w:val="24"/>
          <w:szCs w:val="24"/>
        </w:rPr>
        <w:t xml:space="preserve">emboldened by the </w:t>
      </w:r>
      <w:proofErr w:type="spellStart"/>
      <w:r w:rsidR="00B703EE" w:rsidRPr="00A22656">
        <w:rPr>
          <w:rFonts w:ascii="Times New Roman" w:hAnsi="Times New Roman" w:cs="Times New Roman"/>
          <w:i/>
          <w:sz w:val="24"/>
          <w:szCs w:val="24"/>
        </w:rPr>
        <w:t>Alimanovic</w:t>
      </w:r>
      <w:proofErr w:type="spellEnd"/>
      <w:r w:rsidR="005B5354" w:rsidRPr="00A22656">
        <w:rPr>
          <w:rFonts w:ascii="Times New Roman" w:hAnsi="Times New Roman" w:cs="Times New Roman"/>
          <w:i/>
          <w:sz w:val="24"/>
          <w:szCs w:val="24"/>
        </w:rPr>
        <w:t xml:space="preserve"> </w:t>
      </w:r>
      <w:r w:rsidR="005B5354" w:rsidRPr="00A22656">
        <w:rPr>
          <w:rFonts w:ascii="Times New Roman" w:hAnsi="Times New Roman" w:cs="Times New Roman"/>
          <w:sz w:val="24"/>
          <w:szCs w:val="24"/>
        </w:rPr>
        <w:t>ruling</w:t>
      </w:r>
      <w:r w:rsidR="00B703EE" w:rsidRPr="00A22656">
        <w:rPr>
          <w:rFonts w:ascii="Times New Roman" w:hAnsi="Times New Roman" w:cs="Times New Roman"/>
          <w:sz w:val="24"/>
          <w:szCs w:val="24"/>
        </w:rPr>
        <w:t>,</w:t>
      </w:r>
      <w:r w:rsidR="00252787" w:rsidRPr="00A22656">
        <w:rPr>
          <w:rFonts w:ascii="Times New Roman" w:hAnsi="Times New Roman" w:cs="Times New Roman"/>
          <w:sz w:val="24"/>
          <w:szCs w:val="24"/>
        </w:rPr>
        <w:t xml:space="preserve"> in December 2016, Germany adopted new legislation restricting access to a number of social benefits for the unemployed (</w:t>
      </w:r>
      <w:proofErr w:type="spellStart"/>
      <w:r w:rsidR="00252787" w:rsidRPr="00A22656">
        <w:rPr>
          <w:rFonts w:ascii="Times New Roman" w:hAnsi="Times New Roman" w:cs="Times New Roman"/>
          <w:sz w:val="24"/>
          <w:szCs w:val="24"/>
        </w:rPr>
        <w:t>outwith</w:t>
      </w:r>
      <w:proofErr w:type="spellEnd"/>
      <w:r w:rsidR="00252787" w:rsidRPr="00A22656">
        <w:rPr>
          <w:rFonts w:ascii="Times New Roman" w:hAnsi="Times New Roman" w:cs="Times New Roman"/>
          <w:sz w:val="24"/>
          <w:szCs w:val="24"/>
        </w:rPr>
        <w:t xml:space="preserve"> those directly related to facilitating access to the labour market) during the first five years of an EU citizen’s residence there.</w:t>
      </w:r>
      <w:r w:rsidR="00012979" w:rsidRPr="00A22656">
        <w:rPr>
          <w:rStyle w:val="FootnoteReference"/>
          <w:rFonts w:ascii="Times New Roman" w:hAnsi="Times New Roman" w:cs="Times New Roman"/>
          <w:sz w:val="24"/>
          <w:szCs w:val="24"/>
        </w:rPr>
        <w:footnoteReference w:id="143"/>
      </w:r>
      <w:r w:rsidR="005B5354" w:rsidRPr="00A22656">
        <w:rPr>
          <w:rFonts w:ascii="Times New Roman" w:hAnsi="Times New Roman" w:cs="Times New Roman"/>
          <w:sz w:val="24"/>
          <w:szCs w:val="24"/>
        </w:rPr>
        <w:t xml:space="preserve"> The UK renegotiation</w:t>
      </w:r>
      <w:r w:rsidR="004C6BE1" w:rsidRPr="00A22656">
        <w:rPr>
          <w:rFonts w:ascii="Times New Roman" w:hAnsi="Times New Roman" w:cs="Times New Roman"/>
          <w:sz w:val="24"/>
          <w:szCs w:val="24"/>
        </w:rPr>
        <w:t xml:space="preserve"> now</w:t>
      </w:r>
      <w:r w:rsidR="005B5354" w:rsidRPr="00A22656">
        <w:rPr>
          <w:rFonts w:ascii="Times New Roman" w:hAnsi="Times New Roman" w:cs="Times New Roman"/>
          <w:sz w:val="24"/>
          <w:szCs w:val="24"/>
        </w:rPr>
        <w:t xml:space="preserve"> </w:t>
      </w:r>
      <w:r w:rsidR="007F135C" w:rsidRPr="00A22656">
        <w:rPr>
          <w:rFonts w:ascii="Times New Roman" w:hAnsi="Times New Roman" w:cs="Times New Roman"/>
          <w:sz w:val="24"/>
          <w:szCs w:val="24"/>
        </w:rPr>
        <w:t xml:space="preserve">presents a new possibility that might previously have been viewed as untouchable: restrictions on the equal treatment rights of Union </w:t>
      </w:r>
      <w:r w:rsidR="007F135C" w:rsidRPr="00A22656">
        <w:rPr>
          <w:rFonts w:ascii="Times New Roman" w:hAnsi="Times New Roman" w:cs="Times New Roman"/>
          <w:i/>
          <w:sz w:val="24"/>
          <w:szCs w:val="24"/>
        </w:rPr>
        <w:t>workers</w:t>
      </w:r>
      <w:r w:rsidR="009E2B67" w:rsidRPr="00A22656">
        <w:rPr>
          <w:rFonts w:ascii="Times New Roman" w:hAnsi="Times New Roman" w:cs="Times New Roman"/>
          <w:sz w:val="24"/>
          <w:szCs w:val="24"/>
        </w:rPr>
        <w:t>.</w:t>
      </w:r>
      <w:r w:rsidR="006B68A7" w:rsidRPr="00A22656">
        <w:rPr>
          <w:rFonts w:ascii="Times New Roman" w:hAnsi="Times New Roman" w:cs="Times New Roman"/>
          <w:sz w:val="24"/>
          <w:szCs w:val="24"/>
        </w:rPr>
        <w:t xml:space="preserve"> Indeed, Austria has already voiced plans to restrict access to employment for </w:t>
      </w:r>
      <w:r w:rsidR="006B68A7" w:rsidRPr="00A22656">
        <w:rPr>
          <w:rFonts w:ascii="Times New Roman" w:hAnsi="Times New Roman" w:cs="Times New Roman"/>
          <w:sz w:val="24"/>
          <w:szCs w:val="24"/>
        </w:rPr>
        <w:lastRenderedPageBreak/>
        <w:t>(other) EU citizens even if it quickly backtracked.</w:t>
      </w:r>
      <w:r w:rsidR="006B68A7" w:rsidRPr="00A22656">
        <w:rPr>
          <w:rStyle w:val="FootnoteReference"/>
          <w:rFonts w:ascii="Times New Roman" w:hAnsi="Times New Roman" w:cs="Times New Roman"/>
          <w:sz w:val="24"/>
          <w:szCs w:val="24"/>
        </w:rPr>
        <w:footnoteReference w:id="144"/>
      </w:r>
      <w:r w:rsidR="004C6BE1" w:rsidRPr="00A22656">
        <w:rPr>
          <w:rFonts w:ascii="Times New Roman" w:hAnsi="Times New Roman" w:cs="Times New Roman"/>
          <w:sz w:val="24"/>
          <w:szCs w:val="24"/>
        </w:rPr>
        <w:t xml:space="preserve"> </w:t>
      </w:r>
      <w:r w:rsidR="004A201D" w:rsidRPr="00A22656">
        <w:rPr>
          <w:rFonts w:ascii="Times New Roman" w:hAnsi="Times New Roman" w:cs="Times New Roman"/>
          <w:sz w:val="24"/>
          <w:szCs w:val="24"/>
        </w:rPr>
        <w:t>The German government is also putting pressure on the Commission to re-introduce the option for host States to limit exported child-benefit to the amount that would be paid in an EU citizen’s home State;</w:t>
      </w:r>
      <w:r w:rsidR="004A201D" w:rsidRPr="00A22656">
        <w:rPr>
          <w:rStyle w:val="FootnoteReference"/>
          <w:rFonts w:ascii="Times New Roman" w:hAnsi="Times New Roman" w:cs="Times New Roman"/>
          <w:sz w:val="24"/>
          <w:szCs w:val="24"/>
        </w:rPr>
        <w:footnoteReference w:id="145"/>
      </w:r>
      <w:r w:rsidR="004A201D" w:rsidRPr="00A22656">
        <w:rPr>
          <w:rFonts w:ascii="Times New Roman" w:hAnsi="Times New Roman" w:cs="Times New Roman"/>
          <w:sz w:val="24"/>
          <w:szCs w:val="24"/>
        </w:rPr>
        <w:t xml:space="preserve"> a mechanism that first appeared in the UK’s pre-referendum renegotiations.</w:t>
      </w:r>
      <w:r w:rsidR="004A201D" w:rsidRPr="00A22656">
        <w:rPr>
          <w:rStyle w:val="FootnoteReference"/>
          <w:rFonts w:ascii="Times New Roman" w:hAnsi="Times New Roman" w:cs="Times New Roman"/>
          <w:sz w:val="24"/>
          <w:szCs w:val="24"/>
        </w:rPr>
        <w:footnoteReference w:id="146"/>
      </w:r>
      <w:r w:rsidR="004A201D" w:rsidRPr="00A22656">
        <w:rPr>
          <w:rFonts w:ascii="Times New Roman" w:hAnsi="Times New Roman" w:cs="Times New Roman"/>
          <w:sz w:val="24"/>
          <w:szCs w:val="24"/>
        </w:rPr>
        <w:t xml:space="preserve"> </w:t>
      </w:r>
      <w:r w:rsidR="004C6BE1" w:rsidRPr="00A22656">
        <w:rPr>
          <w:rFonts w:ascii="Times New Roman" w:hAnsi="Times New Roman" w:cs="Times New Roman"/>
          <w:sz w:val="24"/>
          <w:szCs w:val="24"/>
        </w:rPr>
        <w:t>Critically</w:t>
      </w:r>
      <w:r w:rsidR="009E2B67" w:rsidRPr="00A22656">
        <w:rPr>
          <w:rFonts w:ascii="Times New Roman" w:hAnsi="Times New Roman" w:cs="Times New Roman"/>
          <w:sz w:val="24"/>
          <w:szCs w:val="24"/>
        </w:rPr>
        <w:t>, while the Decision</w:t>
      </w:r>
      <w:r w:rsidR="00AC19F0" w:rsidRPr="00A22656">
        <w:rPr>
          <w:rFonts w:ascii="Times New Roman" w:hAnsi="Times New Roman" w:cs="Times New Roman"/>
          <w:sz w:val="24"/>
          <w:szCs w:val="24"/>
        </w:rPr>
        <w:t xml:space="preserve"> </w:t>
      </w:r>
      <w:r w:rsidR="007F135C" w:rsidRPr="00A22656">
        <w:rPr>
          <w:rFonts w:ascii="Times New Roman" w:hAnsi="Times New Roman" w:cs="Times New Roman"/>
          <w:sz w:val="24"/>
          <w:szCs w:val="24"/>
        </w:rPr>
        <w:t>spoke</w:t>
      </w:r>
      <w:r w:rsidR="00AC19F0" w:rsidRPr="00A22656">
        <w:rPr>
          <w:rFonts w:ascii="Times New Roman" w:hAnsi="Times New Roman" w:cs="Times New Roman"/>
          <w:sz w:val="24"/>
          <w:szCs w:val="24"/>
        </w:rPr>
        <w:t xml:space="preserve"> also</w:t>
      </w:r>
      <w:r w:rsidR="007F135C" w:rsidRPr="00A22656">
        <w:rPr>
          <w:rFonts w:ascii="Times New Roman" w:hAnsi="Times New Roman" w:cs="Times New Roman"/>
          <w:sz w:val="24"/>
          <w:szCs w:val="24"/>
        </w:rPr>
        <w:t xml:space="preserve"> to older CJEU case-law</w:t>
      </w:r>
      <w:r w:rsidR="00AC19F0" w:rsidRPr="00A22656">
        <w:rPr>
          <w:rFonts w:ascii="Times New Roman" w:hAnsi="Times New Roman" w:cs="Times New Roman"/>
          <w:sz w:val="24"/>
          <w:szCs w:val="24"/>
        </w:rPr>
        <w:t xml:space="preserve"> on Union-level internal market restrictions, our analysis demonstrates</w:t>
      </w:r>
      <w:r w:rsidR="007F135C" w:rsidRPr="00A22656">
        <w:rPr>
          <w:rFonts w:ascii="Times New Roman" w:hAnsi="Times New Roman" w:cs="Times New Roman"/>
          <w:sz w:val="24"/>
          <w:szCs w:val="24"/>
        </w:rPr>
        <w:t xml:space="preserve"> that the safeguard’s legal palatability is</w:t>
      </w:r>
      <w:r w:rsidR="00AC19F0" w:rsidRPr="00A22656">
        <w:rPr>
          <w:rFonts w:ascii="Times New Roman" w:hAnsi="Times New Roman" w:cs="Times New Roman"/>
          <w:sz w:val="24"/>
          <w:szCs w:val="24"/>
        </w:rPr>
        <w:t xml:space="preserve"> largely grounded</w:t>
      </w:r>
      <w:r w:rsidR="007F135C" w:rsidRPr="00A22656">
        <w:rPr>
          <w:rFonts w:ascii="Times New Roman" w:hAnsi="Times New Roman" w:cs="Times New Roman"/>
          <w:sz w:val="24"/>
          <w:szCs w:val="24"/>
        </w:rPr>
        <w:t xml:space="preserve"> in the</w:t>
      </w:r>
      <w:r w:rsidR="009E2B67" w:rsidRPr="00A22656">
        <w:rPr>
          <w:rFonts w:ascii="Times New Roman" w:hAnsi="Times New Roman" w:cs="Times New Roman"/>
          <w:sz w:val="24"/>
          <w:szCs w:val="24"/>
        </w:rPr>
        <w:t xml:space="preserve"> Union citizenship case-law</w:t>
      </w:r>
      <w:r w:rsidR="007F135C" w:rsidRPr="00A22656">
        <w:rPr>
          <w:rFonts w:ascii="Times New Roman" w:hAnsi="Times New Roman" w:cs="Times New Roman"/>
          <w:sz w:val="24"/>
          <w:szCs w:val="24"/>
        </w:rPr>
        <w:t xml:space="preserve">; </w:t>
      </w:r>
      <w:r w:rsidR="009E2B67" w:rsidRPr="00A22656">
        <w:rPr>
          <w:rFonts w:ascii="Times New Roman" w:hAnsi="Times New Roman" w:cs="Times New Roman"/>
          <w:sz w:val="24"/>
          <w:szCs w:val="24"/>
        </w:rPr>
        <w:t>judgments</w:t>
      </w:r>
      <w:r w:rsidR="007F135C" w:rsidRPr="00A22656">
        <w:rPr>
          <w:rFonts w:ascii="Times New Roman" w:hAnsi="Times New Roman" w:cs="Times New Roman"/>
          <w:sz w:val="24"/>
          <w:szCs w:val="24"/>
        </w:rPr>
        <w:t xml:space="preserve"> </w:t>
      </w:r>
      <w:r w:rsidR="00AC19F0" w:rsidRPr="00A22656">
        <w:rPr>
          <w:rFonts w:ascii="Times New Roman" w:hAnsi="Times New Roman" w:cs="Times New Roman"/>
          <w:sz w:val="24"/>
          <w:szCs w:val="24"/>
        </w:rPr>
        <w:t>concerning</w:t>
      </w:r>
      <w:r w:rsidR="007F135C" w:rsidRPr="00A22656">
        <w:rPr>
          <w:rFonts w:ascii="Times New Roman" w:hAnsi="Times New Roman" w:cs="Times New Roman"/>
          <w:sz w:val="24"/>
          <w:szCs w:val="24"/>
        </w:rPr>
        <w:t xml:space="preserve"> </w:t>
      </w:r>
      <w:r w:rsidR="009E2B67" w:rsidRPr="00A22656">
        <w:rPr>
          <w:rFonts w:ascii="Times New Roman" w:hAnsi="Times New Roman" w:cs="Times New Roman"/>
          <w:i/>
          <w:sz w:val="24"/>
          <w:szCs w:val="24"/>
        </w:rPr>
        <w:t>unilateral</w:t>
      </w:r>
      <w:r w:rsidR="007F135C" w:rsidRPr="00A22656">
        <w:rPr>
          <w:rFonts w:ascii="Times New Roman" w:hAnsi="Times New Roman" w:cs="Times New Roman"/>
          <w:sz w:val="24"/>
          <w:szCs w:val="24"/>
        </w:rPr>
        <w:t xml:space="preserve"> Member State restrictions on free movement. Most significantly, the safeguard’s requirement that Union workers demonstrate a ‘real link’ to the host State labour market before gaining graduated access to its social security system, is drawn from domestic limitations on free movement rights in </w:t>
      </w:r>
      <w:r w:rsidR="007F135C" w:rsidRPr="00A22656">
        <w:rPr>
          <w:rFonts w:ascii="Times New Roman" w:hAnsi="Times New Roman" w:cs="Times New Roman"/>
          <w:i/>
          <w:sz w:val="24"/>
          <w:szCs w:val="24"/>
        </w:rPr>
        <w:t xml:space="preserve">Collins, </w:t>
      </w:r>
      <w:proofErr w:type="spellStart"/>
      <w:r w:rsidR="007F135C" w:rsidRPr="00A22656">
        <w:rPr>
          <w:rFonts w:ascii="Times New Roman" w:hAnsi="Times New Roman" w:cs="Times New Roman"/>
          <w:i/>
          <w:sz w:val="24"/>
          <w:szCs w:val="24"/>
        </w:rPr>
        <w:t>Vatsouras</w:t>
      </w:r>
      <w:proofErr w:type="spellEnd"/>
      <w:r w:rsidR="007F135C" w:rsidRPr="00A22656">
        <w:rPr>
          <w:rFonts w:ascii="Times New Roman" w:hAnsi="Times New Roman" w:cs="Times New Roman"/>
          <w:sz w:val="24"/>
          <w:szCs w:val="24"/>
        </w:rPr>
        <w:t xml:space="preserve"> and, </w:t>
      </w:r>
      <w:r w:rsidR="004C6BE1" w:rsidRPr="00A22656">
        <w:rPr>
          <w:rFonts w:ascii="Times New Roman" w:hAnsi="Times New Roman" w:cs="Times New Roman"/>
          <w:sz w:val="24"/>
          <w:szCs w:val="24"/>
        </w:rPr>
        <w:t>importantly</w:t>
      </w:r>
      <w:r w:rsidR="007F135C" w:rsidRPr="00A22656">
        <w:rPr>
          <w:rFonts w:ascii="Times New Roman" w:hAnsi="Times New Roman" w:cs="Times New Roman"/>
          <w:sz w:val="24"/>
          <w:szCs w:val="24"/>
        </w:rPr>
        <w:t xml:space="preserve">, </w:t>
      </w:r>
      <w:proofErr w:type="spellStart"/>
      <w:r w:rsidR="007F135C" w:rsidRPr="00A22656">
        <w:rPr>
          <w:rFonts w:ascii="Times New Roman" w:hAnsi="Times New Roman" w:cs="Times New Roman"/>
          <w:i/>
          <w:sz w:val="24"/>
          <w:szCs w:val="24"/>
        </w:rPr>
        <w:t>Geven</w:t>
      </w:r>
      <w:proofErr w:type="spellEnd"/>
      <w:r w:rsidR="007F135C" w:rsidRPr="00A22656">
        <w:rPr>
          <w:rFonts w:ascii="Times New Roman" w:hAnsi="Times New Roman" w:cs="Times New Roman"/>
          <w:i/>
          <w:sz w:val="24"/>
          <w:szCs w:val="24"/>
        </w:rPr>
        <w:t xml:space="preserve"> </w:t>
      </w:r>
      <w:r w:rsidR="007F135C" w:rsidRPr="00A22656">
        <w:rPr>
          <w:rFonts w:ascii="Times New Roman" w:hAnsi="Times New Roman" w:cs="Times New Roman"/>
          <w:sz w:val="24"/>
          <w:szCs w:val="24"/>
        </w:rPr>
        <w:t xml:space="preserve">and </w:t>
      </w:r>
      <w:r w:rsidR="007F135C" w:rsidRPr="00A22656">
        <w:rPr>
          <w:rFonts w:ascii="Times New Roman" w:hAnsi="Times New Roman" w:cs="Times New Roman"/>
          <w:i/>
          <w:sz w:val="24"/>
          <w:szCs w:val="24"/>
        </w:rPr>
        <w:t>Hartmann</w:t>
      </w:r>
      <w:r w:rsidR="007F135C" w:rsidRPr="00A22656">
        <w:rPr>
          <w:rFonts w:ascii="Times New Roman" w:hAnsi="Times New Roman" w:cs="Times New Roman"/>
          <w:sz w:val="24"/>
          <w:szCs w:val="24"/>
        </w:rPr>
        <w:t>.</w:t>
      </w:r>
      <w:r w:rsidR="00AC19F0" w:rsidRPr="00A22656">
        <w:rPr>
          <w:rFonts w:ascii="Times New Roman" w:hAnsi="Times New Roman" w:cs="Times New Roman"/>
          <w:sz w:val="24"/>
          <w:szCs w:val="24"/>
        </w:rPr>
        <w:t xml:space="preserve"> </w:t>
      </w:r>
      <w:r w:rsidR="007E0CDC" w:rsidRPr="00A22656">
        <w:rPr>
          <w:rFonts w:ascii="Times New Roman" w:hAnsi="Times New Roman" w:cs="Times New Roman"/>
          <w:sz w:val="24"/>
          <w:szCs w:val="24"/>
        </w:rPr>
        <w:t xml:space="preserve">This finding is reinforced by the conceptualisation of </w:t>
      </w:r>
      <w:r w:rsidR="00AC19F0" w:rsidRPr="00A22656">
        <w:rPr>
          <w:rFonts w:ascii="Times New Roman" w:hAnsi="Times New Roman" w:cs="Times New Roman"/>
          <w:sz w:val="24"/>
          <w:szCs w:val="24"/>
        </w:rPr>
        <w:t xml:space="preserve">domestic </w:t>
      </w:r>
      <w:r w:rsidR="007E0CDC" w:rsidRPr="00A22656">
        <w:rPr>
          <w:rFonts w:ascii="Times New Roman" w:hAnsi="Times New Roman" w:cs="Times New Roman"/>
          <w:sz w:val="24"/>
          <w:szCs w:val="24"/>
        </w:rPr>
        <w:t xml:space="preserve">nationality-based discrimination as indirect in nature in </w:t>
      </w:r>
      <w:r w:rsidR="007E0CDC" w:rsidRPr="00A22656">
        <w:rPr>
          <w:rFonts w:ascii="Times New Roman" w:hAnsi="Times New Roman" w:cs="Times New Roman"/>
          <w:i/>
          <w:sz w:val="24"/>
          <w:szCs w:val="24"/>
        </w:rPr>
        <w:t>Commission v UK</w:t>
      </w:r>
      <w:r w:rsidR="009E2B67" w:rsidRPr="00A22656">
        <w:rPr>
          <w:rFonts w:ascii="Times New Roman" w:hAnsi="Times New Roman" w:cs="Times New Roman"/>
          <w:sz w:val="24"/>
          <w:szCs w:val="24"/>
        </w:rPr>
        <w:t>. S</w:t>
      </w:r>
      <w:r w:rsidR="00EA7867" w:rsidRPr="00A22656">
        <w:rPr>
          <w:rFonts w:ascii="Times New Roman" w:hAnsi="Times New Roman" w:cs="Times New Roman"/>
          <w:sz w:val="24"/>
          <w:szCs w:val="24"/>
        </w:rPr>
        <w:t xml:space="preserve">o long as, technically-speaking, </w:t>
      </w:r>
      <w:r w:rsidR="009E2B67" w:rsidRPr="00A22656">
        <w:rPr>
          <w:rFonts w:ascii="Times New Roman" w:hAnsi="Times New Roman" w:cs="Times New Roman"/>
          <w:sz w:val="24"/>
          <w:szCs w:val="24"/>
        </w:rPr>
        <w:t xml:space="preserve">domestic rules require </w:t>
      </w:r>
      <w:r w:rsidR="00EA7867" w:rsidRPr="00A22656">
        <w:rPr>
          <w:rFonts w:ascii="Times New Roman" w:hAnsi="Times New Roman" w:cs="Times New Roman"/>
          <w:sz w:val="24"/>
          <w:szCs w:val="24"/>
        </w:rPr>
        <w:t>all applicants for in-work benefits in a given Member</w:t>
      </w:r>
      <w:r w:rsidR="009E2B67" w:rsidRPr="00A22656">
        <w:rPr>
          <w:rFonts w:ascii="Times New Roman" w:hAnsi="Times New Roman" w:cs="Times New Roman"/>
          <w:sz w:val="24"/>
          <w:szCs w:val="24"/>
        </w:rPr>
        <w:t xml:space="preserve"> State </w:t>
      </w:r>
      <w:r w:rsidR="00EA7867" w:rsidRPr="00A22656">
        <w:rPr>
          <w:rFonts w:ascii="Times New Roman" w:hAnsi="Times New Roman" w:cs="Times New Roman"/>
          <w:sz w:val="24"/>
          <w:szCs w:val="24"/>
        </w:rPr>
        <w:t xml:space="preserve">to demonstrate a ‘real link’ to its employment market, this will be legally acceptable, regardless of </w:t>
      </w:r>
      <w:r w:rsidR="00AC19F0" w:rsidRPr="00A22656">
        <w:rPr>
          <w:rFonts w:ascii="Times New Roman" w:hAnsi="Times New Roman" w:cs="Times New Roman"/>
          <w:sz w:val="24"/>
          <w:szCs w:val="24"/>
        </w:rPr>
        <w:t>whether nationals demonstrate this</w:t>
      </w:r>
      <w:r w:rsidR="00EA7867" w:rsidRPr="00A22656">
        <w:rPr>
          <w:rFonts w:ascii="Times New Roman" w:hAnsi="Times New Roman" w:cs="Times New Roman"/>
          <w:sz w:val="24"/>
          <w:szCs w:val="24"/>
        </w:rPr>
        <w:t xml:space="preserve"> by virtue of their nationality and residence, while other EU citizens have to proffer something more. </w:t>
      </w:r>
      <w:r w:rsidR="00734B21" w:rsidRPr="00A22656">
        <w:rPr>
          <w:rFonts w:ascii="Times New Roman" w:hAnsi="Times New Roman" w:cs="Times New Roman"/>
          <w:sz w:val="24"/>
          <w:szCs w:val="24"/>
        </w:rPr>
        <w:t xml:space="preserve"> </w:t>
      </w:r>
    </w:p>
    <w:p w:rsidR="005E2C60" w:rsidRPr="00A22656" w:rsidRDefault="005E2C60" w:rsidP="005F768F">
      <w:pPr>
        <w:pStyle w:val="NoSpacing"/>
        <w:spacing w:line="360" w:lineRule="auto"/>
        <w:jc w:val="both"/>
        <w:rPr>
          <w:rFonts w:ascii="Times New Roman" w:hAnsi="Times New Roman" w:cs="Times New Roman"/>
          <w:sz w:val="24"/>
          <w:szCs w:val="24"/>
        </w:rPr>
      </w:pPr>
    </w:p>
    <w:p w:rsidR="0033549C" w:rsidRPr="00A22656" w:rsidRDefault="006B68A7"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Unilateral adoption of the safeguard would necessarily neglect the amendment of secondary legislation envisaged by the Decision. Prima facie, domestic restrictions on access to social assistance would seem in conflict with Article 7 Regulation 492/2011, on equal access to social and tax advantages, as well as</w:t>
      </w:r>
      <w:r w:rsidR="00737C78" w:rsidRPr="00A22656">
        <w:rPr>
          <w:rFonts w:ascii="Times New Roman" w:hAnsi="Times New Roman" w:cs="Times New Roman"/>
          <w:sz w:val="24"/>
          <w:szCs w:val="24"/>
        </w:rPr>
        <w:t xml:space="preserve"> Article 24(1) Directive 2004/38, offering a general right to equal treatment. Yet, in </w:t>
      </w:r>
      <w:r w:rsidR="00737C78" w:rsidRPr="00A22656">
        <w:rPr>
          <w:rFonts w:ascii="Times New Roman" w:hAnsi="Times New Roman" w:cs="Times New Roman"/>
          <w:i/>
          <w:sz w:val="24"/>
          <w:szCs w:val="24"/>
        </w:rPr>
        <w:t>Commission v UK</w:t>
      </w:r>
      <w:r w:rsidR="00737C78" w:rsidRPr="00A22656">
        <w:rPr>
          <w:rFonts w:ascii="Times New Roman" w:hAnsi="Times New Roman" w:cs="Times New Roman"/>
          <w:sz w:val="24"/>
          <w:szCs w:val="24"/>
        </w:rPr>
        <w:t xml:space="preserve">, the Court demonstrated a willingness to interpret legal residence as a </w:t>
      </w:r>
      <w:r w:rsidR="00737C78" w:rsidRPr="00A22656">
        <w:rPr>
          <w:rFonts w:ascii="Times New Roman" w:hAnsi="Times New Roman" w:cs="Times New Roman"/>
          <w:i/>
          <w:sz w:val="24"/>
          <w:szCs w:val="24"/>
        </w:rPr>
        <w:t>substantive</w:t>
      </w:r>
      <w:r w:rsidR="004803F7" w:rsidRPr="00A22656">
        <w:rPr>
          <w:rFonts w:ascii="Times New Roman" w:hAnsi="Times New Roman" w:cs="Times New Roman"/>
          <w:i/>
          <w:sz w:val="24"/>
          <w:szCs w:val="24"/>
        </w:rPr>
        <w:t xml:space="preserve">, </w:t>
      </w:r>
      <w:r w:rsidR="004803F7" w:rsidRPr="00A22656">
        <w:rPr>
          <w:rFonts w:ascii="Times New Roman" w:hAnsi="Times New Roman" w:cs="Times New Roman"/>
          <w:sz w:val="24"/>
          <w:szCs w:val="24"/>
        </w:rPr>
        <w:t>internal</w:t>
      </w:r>
      <w:r w:rsidR="00737C78" w:rsidRPr="00A22656">
        <w:rPr>
          <w:rFonts w:ascii="Times New Roman" w:hAnsi="Times New Roman" w:cs="Times New Roman"/>
          <w:sz w:val="24"/>
          <w:szCs w:val="24"/>
        </w:rPr>
        <w:t xml:space="preserve"> condition for access to social security</w:t>
      </w:r>
      <w:r w:rsidR="004803F7" w:rsidRPr="00A22656">
        <w:rPr>
          <w:rFonts w:ascii="Times New Roman" w:hAnsi="Times New Roman" w:cs="Times New Roman"/>
          <w:sz w:val="24"/>
          <w:szCs w:val="24"/>
        </w:rPr>
        <w:t>, rather than as</w:t>
      </w:r>
      <w:r w:rsidRPr="00A22656">
        <w:rPr>
          <w:rFonts w:ascii="Times New Roman" w:hAnsi="Times New Roman" w:cs="Times New Roman"/>
          <w:sz w:val="24"/>
          <w:szCs w:val="24"/>
        </w:rPr>
        <w:t xml:space="preserve"> a</w:t>
      </w:r>
      <w:r w:rsidR="004803F7" w:rsidRPr="00A22656">
        <w:rPr>
          <w:rFonts w:ascii="Times New Roman" w:hAnsi="Times New Roman" w:cs="Times New Roman"/>
          <w:sz w:val="24"/>
          <w:szCs w:val="24"/>
        </w:rPr>
        <w:t xml:space="preserve"> rule potentially in conflict with Union secondary law </w:t>
      </w:r>
      <w:r w:rsidR="00560103" w:rsidRPr="00A22656">
        <w:rPr>
          <w:rFonts w:ascii="Times New Roman" w:hAnsi="Times New Roman" w:cs="Times New Roman"/>
          <w:sz w:val="24"/>
          <w:szCs w:val="24"/>
        </w:rPr>
        <w:t>determining</w:t>
      </w:r>
      <w:r w:rsidR="004803F7" w:rsidRPr="00A22656">
        <w:rPr>
          <w:rFonts w:ascii="Times New Roman" w:hAnsi="Times New Roman" w:cs="Times New Roman"/>
          <w:sz w:val="24"/>
          <w:szCs w:val="24"/>
        </w:rPr>
        <w:t xml:space="preserve"> the Member State responsible for providing specific social security entitlements</w:t>
      </w:r>
      <w:r w:rsidR="00737C78" w:rsidRPr="00A22656">
        <w:rPr>
          <w:rFonts w:ascii="Times New Roman" w:hAnsi="Times New Roman" w:cs="Times New Roman"/>
          <w:sz w:val="24"/>
          <w:szCs w:val="24"/>
        </w:rPr>
        <w:t xml:space="preserve">. </w:t>
      </w:r>
      <w:r w:rsidR="0093226B" w:rsidRPr="00A22656">
        <w:rPr>
          <w:rFonts w:ascii="Times New Roman" w:hAnsi="Times New Roman" w:cs="Times New Roman"/>
          <w:sz w:val="24"/>
          <w:szCs w:val="24"/>
        </w:rPr>
        <w:t>A</w:t>
      </w:r>
      <w:r w:rsidR="00737C78" w:rsidRPr="00A22656">
        <w:rPr>
          <w:rFonts w:ascii="Times New Roman" w:hAnsi="Times New Roman" w:cs="Times New Roman"/>
          <w:sz w:val="24"/>
          <w:szCs w:val="24"/>
        </w:rPr>
        <w:t xml:space="preserve"> ‘real link’ test could be similarly viewed as a substantive condition of access to in-work benefits, applicable to all applicants. </w:t>
      </w:r>
      <w:r w:rsidR="00936CBC" w:rsidRPr="00A22656">
        <w:rPr>
          <w:rFonts w:ascii="Times New Roman" w:hAnsi="Times New Roman" w:cs="Times New Roman"/>
          <w:sz w:val="24"/>
          <w:szCs w:val="24"/>
        </w:rPr>
        <w:t>This would then constitute justifiable indirect discrimination, whether as a matter of primary or secondary law.</w:t>
      </w:r>
    </w:p>
    <w:p w:rsidR="0033549C" w:rsidRPr="00A22656" w:rsidRDefault="0033549C" w:rsidP="005F768F">
      <w:pPr>
        <w:pStyle w:val="NoSpacing"/>
        <w:spacing w:line="360" w:lineRule="auto"/>
        <w:jc w:val="both"/>
        <w:rPr>
          <w:rFonts w:ascii="Times New Roman" w:hAnsi="Times New Roman" w:cs="Times New Roman"/>
          <w:sz w:val="24"/>
          <w:szCs w:val="24"/>
        </w:rPr>
      </w:pPr>
    </w:p>
    <w:p w:rsidR="005E2C60" w:rsidRPr="00A22656" w:rsidRDefault="0033549C"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lastRenderedPageBreak/>
        <w:t xml:space="preserve">That is not to say, of course, that the reappearance of the safeguard would not have considerable repercussions for the direction of EU law. </w:t>
      </w:r>
      <w:r w:rsidR="00737C78" w:rsidRPr="00A22656">
        <w:rPr>
          <w:rFonts w:ascii="Times New Roman" w:hAnsi="Times New Roman" w:cs="Times New Roman"/>
          <w:sz w:val="24"/>
          <w:szCs w:val="24"/>
        </w:rPr>
        <w:t xml:space="preserve">  </w:t>
      </w:r>
    </w:p>
    <w:p w:rsidR="009673EB" w:rsidRPr="00A22656" w:rsidRDefault="009673EB" w:rsidP="005F768F">
      <w:pPr>
        <w:spacing w:line="360" w:lineRule="auto"/>
        <w:rPr>
          <w:rFonts w:ascii="Times New Roman" w:hAnsi="Times New Roman" w:cs="Times New Roman"/>
          <w:b/>
          <w:i/>
          <w:sz w:val="24"/>
          <w:szCs w:val="24"/>
        </w:rPr>
      </w:pPr>
    </w:p>
    <w:p w:rsidR="009673EB" w:rsidRPr="00A22656" w:rsidRDefault="009673EB" w:rsidP="005F768F">
      <w:pPr>
        <w:pStyle w:val="ListParagraph"/>
        <w:numPr>
          <w:ilvl w:val="1"/>
          <w:numId w:val="2"/>
        </w:numPr>
        <w:spacing w:line="360" w:lineRule="auto"/>
        <w:rPr>
          <w:rFonts w:ascii="Times New Roman" w:hAnsi="Times New Roman" w:cs="Times New Roman"/>
          <w:b/>
          <w:sz w:val="24"/>
          <w:szCs w:val="24"/>
        </w:rPr>
      </w:pPr>
      <w:r w:rsidRPr="00A22656">
        <w:rPr>
          <w:rFonts w:ascii="Times New Roman" w:hAnsi="Times New Roman" w:cs="Times New Roman"/>
          <w:b/>
          <w:i/>
          <w:sz w:val="24"/>
          <w:szCs w:val="24"/>
        </w:rPr>
        <w:t xml:space="preserve"> </w:t>
      </w:r>
      <w:r w:rsidR="002F6193" w:rsidRPr="00A22656">
        <w:rPr>
          <w:rFonts w:ascii="Times New Roman" w:hAnsi="Times New Roman" w:cs="Times New Roman"/>
          <w:b/>
          <w:i/>
          <w:sz w:val="24"/>
          <w:szCs w:val="24"/>
        </w:rPr>
        <w:t xml:space="preserve"> </w:t>
      </w:r>
      <w:r w:rsidR="0093226B" w:rsidRPr="00A22656">
        <w:rPr>
          <w:rFonts w:ascii="Times New Roman" w:hAnsi="Times New Roman" w:cs="Times New Roman"/>
          <w:b/>
          <w:i/>
          <w:sz w:val="24"/>
          <w:szCs w:val="24"/>
        </w:rPr>
        <w:t>The t</w:t>
      </w:r>
      <w:r w:rsidRPr="00A22656">
        <w:rPr>
          <w:rFonts w:ascii="Times New Roman" w:hAnsi="Times New Roman" w:cs="Times New Roman"/>
          <w:b/>
          <w:i/>
          <w:sz w:val="24"/>
          <w:szCs w:val="24"/>
        </w:rPr>
        <w:t>echnical</w:t>
      </w:r>
      <w:r w:rsidR="0093226B" w:rsidRPr="00A22656">
        <w:rPr>
          <w:rFonts w:ascii="Times New Roman" w:hAnsi="Times New Roman" w:cs="Times New Roman"/>
          <w:b/>
          <w:i/>
          <w:sz w:val="24"/>
          <w:szCs w:val="24"/>
        </w:rPr>
        <w:t>, constitutional</w:t>
      </w:r>
      <w:r w:rsidR="00902063" w:rsidRPr="00A22656">
        <w:rPr>
          <w:rFonts w:ascii="Times New Roman" w:hAnsi="Times New Roman" w:cs="Times New Roman"/>
          <w:b/>
          <w:i/>
          <w:sz w:val="24"/>
          <w:szCs w:val="24"/>
        </w:rPr>
        <w:t xml:space="preserve"> and</w:t>
      </w:r>
      <w:r w:rsidR="003A1ED9" w:rsidRPr="00A22656">
        <w:rPr>
          <w:rFonts w:ascii="Times New Roman" w:hAnsi="Times New Roman" w:cs="Times New Roman"/>
          <w:b/>
          <w:i/>
          <w:sz w:val="24"/>
          <w:szCs w:val="24"/>
        </w:rPr>
        <w:t xml:space="preserve"> institutional</w:t>
      </w:r>
      <w:r w:rsidR="00902063" w:rsidRPr="00A22656">
        <w:rPr>
          <w:rFonts w:ascii="Times New Roman" w:hAnsi="Times New Roman" w:cs="Times New Roman"/>
          <w:b/>
          <w:i/>
          <w:sz w:val="24"/>
          <w:szCs w:val="24"/>
        </w:rPr>
        <w:t xml:space="preserve"> implications</w:t>
      </w:r>
      <w:r w:rsidR="005374AB" w:rsidRPr="00A22656">
        <w:rPr>
          <w:rFonts w:ascii="Times New Roman" w:hAnsi="Times New Roman" w:cs="Times New Roman"/>
          <w:b/>
          <w:i/>
          <w:sz w:val="24"/>
          <w:szCs w:val="24"/>
        </w:rPr>
        <w:t xml:space="preserve"> </w:t>
      </w:r>
      <w:r w:rsidR="0093226B" w:rsidRPr="00A22656">
        <w:rPr>
          <w:rFonts w:ascii="Times New Roman" w:hAnsi="Times New Roman" w:cs="Times New Roman"/>
          <w:b/>
          <w:i/>
          <w:sz w:val="24"/>
          <w:szCs w:val="24"/>
        </w:rPr>
        <w:t>of the safeguard</w:t>
      </w:r>
    </w:p>
    <w:p w:rsidR="003A1ED9" w:rsidRPr="00A22656" w:rsidRDefault="003A1ED9"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While clearly the precise consequences of the re-emergence of the safeguard would depend on its form, a number of technical, constitutional and institutional repercussions can be identified. Moreover, the interlinked nature of these effects serves to reinforce</w:t>
      </w:r>
      <w:r w:rsidR="004C6BE1" w:rsidRPr="00A22656">
        <w:rPr>
          <w:rFonts w:ascii="Times New Roman" w:hAnsi="Times New Roman" w:cs="Times New Roman"/>
          <w:sz w:val="24"/>
          <w:szCs w:val="24"/>
        </w:rPr>
        <w:t xml:space="preserve"> conclusions as to</w:t>
      </w:r>
      <w:r w:rsidRPr="00A22656">
        <w:rPr>
          <w:rFonts w:ascii="Times New Roman" w:hAnsi="Times New Roman" w:cs="Times New Roman"/>
          <w:sz w:val="24"/>
          <w:szCs w:val="24"/>
        </w:rPr>
        <w:t xml:space="preserve"> the ripple effect of constitutional boundary pushing.  </w:t>
      </w:r>
    </w:p>
    <w:p w:rsidR="005E72FA" w:rsidRPr="00A22656" w:rsidRDefault="005E72FA" w:rsidP="005F768F">
      <w:pPr>
        <w:pStyle w:val="NoSpacing"/>
        <w:spacing w:line="360" w:lineRule="auto"/>
        <w:jc w:val="both"/>
        <w:rPr>
          <w:rFonts w:ascii="Times New Roman" w:hAnsi="Times New Roman" w:cs="Times New Roman"/>
          <w:sz w:val="24"/>
          <w:szCs w:val="24"/>
        </w:rPr>
      </w:pPr>
    </w:p>
    <w:p w:rsidR="00B46339" w:rsidRPr="00A22656" w:rsidRDefault="00031DC5"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T</w:t>
      </w:r>
      <w:r w:rsidR="00037EDA" w:rsidRPr="00A22656">
        <w:rPr>
          <w:rFonts w:ascii="Times New Roman" w:hAnsi="Times New Roman" w:cs="Times New Roman"/>
          <w:sz w:val="24"/>
          <w:szCs w:val="24"/>
        </w:rPr>
        <w:t>he re-emergence of the safeguard at Union-level</w:t>
      </w:r>
      <w:r w:rsidR="00B46339" w:rsidRPr="00A22656">
        <w:rPr>
          <w:rFonts w:ascii="Times New Roman" w:hAnsi="Times New Roman" w:cs="Times New Roman"/>
          <w:sz w:val="24"/>
          <w:szCs w:val="24"/>
        </w:rPr>
        <w:t xml:space="preserve"> would raise technical questions about the relationship between secondary EU legislation, </w:t>
      </w:r>
      <w:proofErr w:type="spellStart"/>
      <w:r w:rsidR="00B46339" w:rsidRPr="00A22656">
        <w:rPr>
          <w:rFonts w:ascii="Times New Roman" w:hAnsi="Times New Roman" w:cs="Times New Roman"/>
          <w:sz w:val="24"/>
          <w:szCs w:val="24"/>
        </w:rPr>
        <w:t>outwith</w:t>
      </w:r>
      <w:proofErr w:type="spellEnd"/>
      <w:r w:rsidR="00B46339" w:rsidRPr="00A22656">
        <w:rPr>
          <w:rFonts w:ascii="Times New Roman" w:hAnsi="Times New Roman" w:cs="Times New Roman"/>
          <w:sz w:val="24"/>
          <w:szCs w:val="24"/>
        </w:rPr>
        <w:t xml:space="preserve"> the larger question o</w:t>
      </w:r>
      <w:r w:rsidR="00037EDA" w:rsidRPr="00A22656">
        <w:rPr>
          <w:rFonts w:ascii="Times New Roman" w:hAnsi="Times New Roman" w:cs="Times New Roman"/>
          <w:sz w:val="24"/>
          <w:szCs w:val="24"/>
        </w:rPr>
        <w:t xml:space="preserve">f compliance with primary </w:t>
      </w:r>
      <w:r w:rsidR="00B46339" w:rsidRPr="00A22656">
        <w:rPr>
          <w:rFonts w:ascii="Times New Roman" w:hAnsi="Times New Roman" w:cs="Times New Roman"/>
          <w:sz w:val="24"/>
          <w:szCs w:val="24"/>
        </w:rPr>
        <w:t>law discussed in previous sectio</w:t>
      </w:r>
      <w:r w:rsidR="00037EDA" w:rsidRPr="00A22656">
        <w:rPr>
          <w:rFonts w:ascii="Times New Roman" w:hAnsi="Times New Roman" w:cs="Times New Roman"/>
          <w:sz w:val="24"/>
          <w:szCs w:val="24"/>
        </w:rPr>
        <w:t>ns. In particular, how would</w:t>
      </w:r>
      <w:r w:rsidR="00B46339" w:rsidRPr="00A22656">
        <w:rPr>
          <w:rFonts w:ascii="Times New Roman" w:hAnsi="Times New Roman" w:cs="Times New Roman"/>
          <w:sz w:val="24"/>
          <w:szCs w:val="24"/>
        </w:rPr>
        <w:t xml:space="preserve"> amendments made to Regulation No 492/2011 interact with the principle of equal treatment contained in Article 24(1) Directive 2004/38? On the one hand, the Directive increasingly dominates over other secondary Union legislation in this area of EU law.</w:t>
      </w:r>
      <w:r w:rsidR="00B46339" w:rsidRPr="00A22656">
        <w:rPr>
          <w:rStyle w:val="FootnoteReference"/>
          <w:rFonts w:ascii="Times New Roman" w:hAnsi="Times New Roman" w:cs="Times New Roman"/>
          <w:sz w:val="24"/>
          <w:szCs w:val="24"/>
        </w:rPr>
        <w:footnoteReference w:id="147"/>
      </w:r>
      <w:r w:rsidR="00B46339" w:rsidRPr="00A22656">
        <w:rPr>
          <w:rFonts w:ascii="Times New Roman" w:hAnsi="Times New Roman" w:cs="Times New Roman"/>
          <w:sz w:val="24"/>
          <w:szCs w:val="24"/>
        </w:rPr>
        <w:t xml:space="preserve"> On the other, this dominance tends to operate</w:t>
      </w:r>
      <w:r w:rsidR="00037EDA" w:rsidRPr="00A22656">
        <w:rPr>
          <w:rFonts w:ascii="Times New Roman" w:hAnsi="Times New Roman" w:cs="Times New Roman"/>
          <w:sz w:val="24"/>
          <w:szCs w:val="24"/>
        </w:rPr>
        <w:t xml:space="preserve"> to restrict access to welfare.</w:t>
      </w:r>
      <w:r w:rsidR="00037EDA" w:rsidRPr="00A22656">
        <w:rPr>
          <w:rStyle w:val="FootnoteReference"/>
          <w:rFonts w:ascii="Times New Roman" w:hAnsi="Times New Roman" w:cs="Times New Roman"/>
          <w:sz w:val="24"/>
          <w:szCs w:val="24"/>
        </w:rPr>
        <w:footnoteReference w:id="148"/>
      </w:r>
      <w:r w:rsidR="00B46339" w:rsidRPr="00A22656">
        <w:rPr>
          <w:rFonts w:ascii="Times New Roman" w:hAnsi="Times New Roman" w:cs="Times New Roman"/>
          <w:sz w:val="24"/>
          <w:szCs w:val="24"/>
        </w:rPr>
        <w:t xml:space="preserve"> </w:t>
      </w:r>
      <w:r w:rsidR="00470B6E" w:rsidRPr="00A22656">
        <w:rPr>
          <w:rFonts w:ascii="Times New Roman" w:hAnsi="Times New Roman" w:cs="Times New Roman"/>
          <w:sz w:val="24"/>
          <w:szCs w:val="24"/>
        </w:rPr>
        <w:t xml:space="preserve">Accordingly, it would not be out of line with the Court’s current methodology, for instance, to consider amendments to Regulation No 492/2011 to supersede Article 24(1) Directive 2004/38. Interestingly, however, following the Court’s decision in </w:t>
      </w:r>
      <w:r w:rsidR="00470B6E" w:rsidRPr="00A22656">
        <w:rPr>
          <w:rFonts w:ascii="Times New Roman" w:hAnsi="Times New Roman" w:cs="Times New Roman"/>
          <w:i/>
          <w:sz w:val="24"/>
          <w:szCs w:val="24"/>
        </w:rPr>
        <w:t>Commission v UK</w:t>
      </w:r>
      <w:r w:rsidR="00470B6E" w:rsidRPr="00A22656">
        <w:rPr>
          <w:rFonts w:ascii="Times New Roman" w:hAnsi="Times New Roman" w:cs="Times New Roman"/>
          <w:sz w:val="24"/>
          <w:szCs w:val="24"/>
        </w:rPr>
        <w:t xml:space="preserve"> to treat legal residence as a substantive condition for access to welfare within domestic social security systems, conflict is</w:t>
      </w:r>
      <w:r w:rsidR="00A378D9" w:rsidRPr="00A22656">
        <w:rPr>
          <w:rFonts w:ascii="Times New Roman" w:hAnsi="Times New Roman" w:cs="Times New Roman"/>
          <w:sz w:val="24"/>
          <w:szCs w:val="24"/>
        </w:rPr>
        <w:t xml:space="preserve"> more simply avoided if the safeguard re-appears a</w:t>
      </w:r>
      <w:r w:rsidR="00C44FF7" w:rsidRPr="00A22656">
        <w:rPr>
          <w:rFonts w:ascii="Times New Roman" w:hAnsi="Times New Roman" w:cs="Times New Roman"/>
          <w:sz w:val="24"/>
          <w:szCs w:val="24"/>
        </w:rPr>
        <w:t>t</w:t>
      </w:r>
      <w:r w:rsidR="00037EDA" w:rsidRPr="00A22656">
        <w:rPr>
          <w:rFonts w:ascii="Times New Roman" w:hAnsi="Times New Roman" w:cs="Times New Roman"/>
          <w:sz w:val="24"/>
          <w:szCs w:val="24"/>
        </w:rPr>
        <w:t xml:space="preserve"> the </w:t>
      </w:r>
      <w:r w:rsidR="00A378D9" w:rsidRPr="00A22656">
        <w:rPr>
          <w:rFonts w:ascii="Times New Roman" w:hAnsi="Times New Roman" w:cs="Times New Roman"/>
          <w:sz w:val="24"/>
          <w:szCs w:val="24"/>
        </w:rPr>
        <w:t>Member State, as opposed to Union, level.</w:t>
      </w:r>
      <w:r w:rsidR="00470B6E" w:rsidRPr="00A22656">
        <w:rPr>
          <w:rFonts w:ascii="Times New Roman" w:hAnsi="Times New Roman" w:cs="Times New Roman"/>
          <w:sz w:val="24"/>
          <w:szCs w:val="24"/>
        </w:rPr>
        <w:t xml:space="preserve">   </w:t>
      </w:r>
    </w:p>
    <w:p w:rsidR="00B46339" w:rsidRPr="00A22656" w:rsidRDefault="00B46339" w:rsidP="005F768F">
      <w:pPr>
        <w:pStyle w:val="NoSpacing"/>
        <w:spacing w:line="360" w:lineRule="auto"/>
        <w:jc w:val="both"/>
        <w:rPr>
          <w:rFonts w:ascii="Times New Roman" w:hAnsi="Times New Roman" w:cs="Times New Roman"/>
          <w:sz w:val="24"/>
          <w:szCs w:val="24"/>
        </w:rPr>
      </w:pPr>
    </w:p>
    <w:p w:rsidR="00C44FF7" w:rsidRPr="00A22656" w:rsidRDefault="00031DC5"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The re-appearance of the safeguard, at either level, </w:t>
      </w:r>
      <w:r w:rsidR="00902063" w:rsidRPr="00A22656">
        <w:rPr>
          <w:rFonts w:ascii="Times New Roman" w:hAnsi="Times New Roman" w:cs="Times New Roman"/>
          <w:sz w:val="24"/>
          <w:szCs w:val="24"/>
        </w:rPr>
        <w:t xml:space="preserve">raises further technical questions: </w:t>
      </w:r>
      <w:r w:rsidR="005E72FA" w:rsidRPr="00A22656">
        <w:rPr>
          <w:rFonts w:ascii="Times New Roman" w:hAnsi="Times New Roman" w:cs="Times New Roman"/>
          <w:sz w:val="24"/>
          <w:szCs w:val="24"/>
        </w:rPr>
        <w:t xml:space="preserve">how would a ‘real link’ to the host State labour market be assessed and </w:t>
      </w:r>
      <w:r w:rsidR="000D65D1" w:rsidRPr="00A22656">
        <w:rPr>
          <w:rFonts w:ascii="Times New Roman" w:hAnsi="Times New Roman" w:cs="Times New Roman"/>
          <w:sz w:val="24"/>
          <w:szCs w:val="24"/>
        </w:rPr>
        <w:t>how would</w:t>
      </w:r>
      <w:r w:rsidR="005E72FA" w:rsidRPr="00A22656">
        <w:rPr>
          <w:rFonts w:ascii="Times New Roman" w:hAnsi="Times New Roman" w:cs="Times New Roman"/>
          <w:sz w:val="24"/>
          <w:szCs w:val="24"/>
        </w:rPr>
        <w:t xml:space="preserve"> </w:t>
      </w:r>
      <w:proofErr w:type="spellStart"/>
      <w:r w:rsidR="005E72FA" w:rsidRPr="00A22656">
        <w:rPr>
          <w:rFonts w:ascii="Times New Roman" w:hAnsi="Times New Roman" w:cs="Times New Roman"/>
          <w:i/>
          <w:sz w:val="24"/>
          <w:szCs w:val="24"/>
        </w:rPr>
        <w:t>graduated</w:t>
      </w:r>
      <w:proofErr w:type="spellEnd"/>
      <w:r w:rsidR="005E72FA" w:rsidRPr="00A22656">
        <w:rPr>
          <w:rFonts w:ascii="Times New Roman" w:hAnsi="Times New Roman" w:cs="Times New Roman"/>
          <w:i/>
          <w:sz w:val="24"/>
          <w:szCs w:val="24"/>
        </w:rPr>
        <w:t xml:space="preserve"> </w:t>
      </w:r>
      <w:r w:rsidR="005E72FA" w:rsidRPr="00A22656">
        <w:rPr>
          <w:rFonts w:ascii="Times New Roman" w:hAnsi="Times New Roman" w:cs="Times New Roman"/>
          <w:sz w:val="24"/>
          <w:szCs w:val="24"/>
        </w:rPr>
        <w:t xml:space="preserve">access to in-work benefits </w:t>
      </w:r>
      <w:r w:rsidR="000D65D1" w:rsidRPr="00A22656">
        <w:rPr>
          <w:rFonts w:ascii="Times New Roman" w:hAnsi="Times New Roman" w:cs="Times New Roman"/>
          <w:sz w:val="24"/>
          <w:szCs w:val="24"/>
        </w:rPr>
        <w:t>progress</w:t>
      </w:r>
      <w:r w:rsidR="005E72FA" w:rsidRPr="00A22656">
        <w:rPr>
          <w:rFonts w:ascii="Times New Roman" w:hAnsi="Times New Roman" w:cs="Times New Roman"/>
          <w:sz w:val="24"/>
          <w:szCs w:val="24"/>
        </w:rPr>
        <w:t xml:space="preserve">? Clearly the guidance on the ‘real link’ test in </w:t>
      </w:r>
      <w:r w:rsidR="005E72FA" w:rsidRPr="00A22656">
        <w:rPr>
          <w:rFonts w:ascii="Times New Roman" w:hAnsi="Times New Roman" w:cs="Times New Roman"/>
          <w:i/>
          <w:sz w:val="24"/>
          <w:szCs w:val="24"/>
        </w:rPr>
        <w:t>Collins</w:t>
      </w:r>
      <w:r w:rsidRPr="00A22656">
        <w:rPr>
          <w:rFonts w:ascii="Times New Roman" w:hAnsi="Times New Roman" w:cs="Times New Roman"/>
          <w:sz w:val="24"/>
          <w:szCs w:val="24"/>
        </w:rPr>
        <w:t xml:space="preserve">, </w:t>
      </w:r>
      <w:r w:rsidR="005E72FA" w:rsidRPr="00A22656">
        <w:rPr>
          <w:rFonts w:ascii="Times New Roman" w:hAnsi="Times New Roman" w:cs="Times New Roman"/>
          <w:sz w:val="24"/>
          <w:szCs w:val="24"/>
        </w:rPr>
        <w:t>focused on habitual residence and evidence of genuine work-seeking would not be appropriate here. It seems more likely tha</w:t>
      </w:r>
      <w:r w:rsidR="004B76FD" w:rsidRPr="00A22656">
        <w:rPr>
          <w:rFonts w:ascii="Times New Roman" w:hAnsi="Times New Roman" w:cs="Times New Roman"/>
          <w:sz w:val="24"/>
          <w:szCs w:val="24"/>
        </w:rPr>
        <w:t xml:space="preserve">t the focus would be on duration of employment or financial contributions to the host State social security system, particularly given the Court’s focus on this in </w:t>
      </w:r>
      <w:r w:rsidR="004B76FD" w:rsidRPr="00A22656">
        <w:rPr>
          <w:rFonts w:ascii="Times New Roman" w:hAnsi="Times New Roman" w:cs="Times New Roman"/>
          <w:i/>
          <w:sz w:val="24"/>
          <w:szCs w:val="24"/>
        </w:rPr>
        <w:t>Commission v Netherlands</w:t>
      </w:r>
      <w:r w:rsidR="004B76FD" w:rsidRPr="00A22656">
        <w:rPr>
          <w:rFonts w:ascii="Times New Roman" w:hAnsi="Times New Roman" w:cs="Times New Roman"/>
          <w:sz w:val="24"/>
          <w:szCs w:val="24"/>
        </w:rPr>
        <w:t>.</w:t>
      </w:r>
      <w:r w:rsidR="008B4C72" w:rsidRPr="00A22656">
        <w:rPr>
          <w:rStyle w:val="FootnoteReference"/>
          <w:rFonts w:ascii="Times New Roman" w:hAnsi="Times New Roman" w:cs="Times New Roman"/>
          <w:sz w:val="24"/>
          <w:szCs w:val="24"/>
        </w:rPr>
        <w:footnoteReference w:id="149"/>
      </w:r>
      <w:r w:rsidR="004B76FD" w:rsidRPr="00A22656">
        <w:rPr>
          <w:rFonts w:ascii="Times New Roman" w:hAnsi="Times New Roman" w:cs="Times New Roman"/>
          <w:sz w:val="24"/>
          <w:szCs w:val="24"/>
        </w:rPr>
        <w:t xml:space="preserve"> This raises further questions: </w:t>
      </w:r>
      <w:r w:rsidR="004B76FD" w:rsidRPr="00A22656">
        <w:rPr>
          <w:rFonts w:ascii="Times New Roman" w:hAnsi="Times New Roman" w:cs="Times New Roman"/>
          <w:i/>
          <w:sz w:val="24"/>
          <w:szCs w:val="24"/>
        </w:rPr>
        <w:t>how much</w:t>
      </w:r>
      <w:r w:rsidR="004B76FD" w:rsidRPr="00A22656">
        <w:rPr>
          <w:rFonts w:ascii="Times New Roman" w:hAnsi="Times New Roman" w:cs="Times New Roman"/>
          <w:sz w:val="24"/>
          <w:szCs w:val="24"/>
        </w:rPr>
        <w:t xml:space="preserve"> of a contribution would Union workers be expected to make and for </w:t>
      </w:r>
      <w:r w:rsidR="004B76FD" w:rsidRPr="00A22656">
        <w:rPr>
          <w:rFonts w:ascii="Times New Roman" w:hAnsi="Times New Roman" w:cs="Times New Roman"/>
          <w:i/>
          <w:sz w:val="24"/>
          <w:szCs w:val="24"/>
        </w:rPr>
        <w:t>how long</w:t>
      </w:r>
      <w:r w:rsidR="000D65D1" w:rsidRPr="00A22656">
        <w:rPr>
          <w:rFonts w:ascii="Times New Roman" w:hAnsi="Times New Roman" w:cs="Times New Roman"/>
          <w:sz w:val="24"/>
          <w:szCs w:val="24"/>
        </w:rPr>
        <w:t>?</w:t>
      </w:r>
      <w:r w:rsidR="004B76FD" w:rsidRPr="00A22656">
        <w:rPr>
          <w:rFonts w:ascii="Times New Roman" w:hAnsi="Times New Roman" w:cs="Times New Roman"/>
          <w:sz w:val="24"/>
          <w:szCs w:val="24"/>
        </w:rPr>
        <w:t xml:space="preserve"> </w:t>
      </w:r>
    </w:p>
    <w:p w:rsidR="00C44FF7" w:rsidRPr="00A22656" w:rsidRDefault="00C44FF7" w:rsidP="005F768F">
      <w:pPr>
        <w:pStyle w:val="NoSpacing"/>
        <w:spacing w:line="360" w:lineRule="auto"/>
        <w:jc w:val="both"/>
        <w:rPr>
          <w:rFonts w:ascii="Times New Roman" w:hAnsi="Times New Roman" w:cs="Times New Roman"/>
          <w:sz w:val="24"/>
          <w:szCs w:val="24"/>
        </w:rPr>
      </w:pPr>
    </w:p>
    <w:p w:rsidR="00DD23EA" w:rsidRPr="00A22656" w:rsidRDefault="00B27F2D"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4"/>
        </w:rPr>
        <w:t>Crucially, e</w:t>
      </w:r>
      <w:r w:rsidR="004B76FD" w:rsidRPr="00A22656">
        <w:rPr>
          <w:rFonts w:ascii="Times New Roman" w:hAnsi="Times New Roman" w:cs="Times New Roman"/>
          <w:sz w:val="24"/>
          <w:szCs w:val="24"/>
        </w:rPr>
        <w:t>mphasis on duration and/or financial contribution</w:t>
      </w:r>
      <w:r w:rsidR="004C6BE1" w:rsidRPr="00A22656">
        <w:rPr>
          <w:rFonts w:ascii="Times New Roman" w:hAnsi="Times New Roman" w:cs="Times New Roman"/>
          <w:sz w:val="24"/>
          <w:szCs w:val="24"/>
        </w:rPr>
        <w:t>s</w:t>
      </w:r>
      <w:r w:rsidR="004B76FD" w:rsidRPr="00A22656">
        <w:rPr>
          <w:rFonts w:ascii="Times New Roman" w:hAnsi="Times New Roman" w:cs="Times New Roman"/>
          <w:sz w:val="24"/>
          <w:szCs w:val="24"/>
        </w:rPr>
        <w:t xml:space="preserve"> would be particularly problematic for low-paid, temporary workers, for whom access to in-work benefits is likel</w:t>
      </w:r>
      <w:r w:rsidRPr="00A22656">
        <w:rPr>
          <w:rFonts w:ascii="Times New Roman" w:hAnsi="Times New Roman" w:cs="Times New Roman"/>
          <w:sz w:val="24"/>
          <w:szCs w:val="24"/>
        </w:rPr>
        <w:t xml:space="preserve">y to be most </w:t>
      </w:r>
      <w:r w:rsidR="004B76FD" w:rsidRPr="00A22656">
        <w:rPr>
          <w:rFonts w:ascii="Times New Roman" w:hAnsi="Times New Roman" w:cs="Times New Roman"/>
          <w:sz w:val="24"/>
          <w:szCs w:val="24"/>
        </w:rPr>
        <w:t>necessary</w:t>
      </w:r>
      <w:r w:rsidR="005F50F4" w:rsidRPr="00A22656">
        <w:rPr>
          <w:rFonts w:ascii="Times New Roman" w:hAnsi="Times New Roman" w:cs="Times New Roman"/>
          <w:sz w:val="24"/>
          <w:szCs w:val="24"/>
        </w:rPr>
        <w:t xml:space="preserve">, and who </w:t>
      </w:r>
      <w:r w:rsidRPr="00A22656">
        <w:rPr>
          <w:rFonts w:ascii="Times New Roman" w:hAnsi="Times New Roman" w:cs="Times New Roman"/>
          <w:sz w:val="24"/>
          <w:szCs w:val="24"/>
        </w:rPr>
        <w:t>might</w:t>
      </w:r>
      <w:r w:rsidR="005F50F4" w:rsidRPr="00A22656">
        <w:rPr>
          <w:rFonts w:ascii="Times New Roman" w:hAnsi="Times New Roman" w:cs="Times New Roman"/>
          <w:sz w:val="24"/>
          <w:szCs w:val="24"/>
        </w:rPr>
        <w:t xml:space="preserve"> be unlikely to demonstrate the requisite links for some time.</w:t>
      </w:r>
      <w:r w:rsidRPr="00A22656">
        <w:rPr>
          <w:rFonts w:ascii="Times New Roman" w:hAnsi="Times New Roman" w:cs="Times New Roman"/>
          <w:sz w:val="24"/>
          <w:szCs w:val="24"/>
        </w:rPr>
        <w:t xml:space="preserve"> Specifically, </w:t>
      </w:r>
      <w:r w:rsidRPr="00A22656">
        <w:rPr>
          <w:rFonts w:ascii="Times New Roman" w:hAnsi="Times New Roman" w:cs="Times New Roman"/>
          <w:sz w:val="24"/>
          <w:szCs w:val="20"/>
        </w:rPr>
        <w:t xml:space="preserve">O’Brien has argued that the analogous focus on </w:t>
      </w:r>
      <w:r w:rsidRPr="00A22656">
        <w:rPr>
          <w:rFonts w:ascii="Times New Roman" w:hAnsi="Times New Roman" w:cs="Times New Roman"/>
          <w:i/>
          <w:sz w:val="24"/>
          <w:szCs w:val="20"/>
        </w:rPr>
        <w:t xml:space="preserve">continuous, legal </w:t>
      </w:r>
      <w:r w:rsidRPr="00A22656">
        <w:rPr>
          <w:rFonts w:ascii="Times New Roman" w:hAnsi="Times New Roman" w:cs="Times New Roman"/>
          <w:sz w:val="24"/>
          <w:szCs w:val="20"/>
        </w:rPr>
        <w:t>residence for EU citizens to qualify for permanent residence</w:t>
      </w:r>
      <w:r w:rsidRPr="00A22656">
        <w:rPr>
          <w:rStyle w:val="FootnoteReference"/>
          <w:rFonts w:ascii="Times New Roman" w:hAnsi="Times New Roman" w:cs="Times New Roman"/>
          <w:sz w:val="24"/>
          <w:szCs w:val="20"/>
        </w:rPr>
        <w:footnoteReference w:id="150"/>
      </w:r>
      <w:r w:rsidRPr="00A22656">
        <w:rPr>
          <w:rFonts w:ascii="Times New Roman" w:hAnsi="Times New Roman" w:cs="Times New Roman"/>
          <w:sz w:val="24"/>
          <w:szCs w:val="20"/>
        </w:rPr>
        <w:t xml:space="preserve"> would indicate that some Union citizens might </w:t>
      </w:r>
      <w:r w:rsidR="00C44FF7" w:rsidRPr="00A22656">
        <w:rPr>
          <w:rFonts w:ascii="Times New Roman" w:hAnsi="Times New Roman" w:cs="Times New Roman"/>
          <w:sz w:val="24"/>
          <w:szCs w:val="20"/>
        </w:rPr>
        <w:t>be</w:t>
      </w:r>
      <w:r w:rsidRPr="00A22656">
        <w:rPr>
          <w:rFonts w:ascii="Times New Roman" w:hAnsi="Times New Roman" w:cs="Times New Roman"/>
          <w:sz w:val="24"/>
          <w:szCs w:val="20"/>
        </w:rPr>
        <w:t xml:space="preserve"> required to wait much longer, in practice, than the four years featured in the Decision f</w:t>
      </w:r>
      <w:r w:rsidR="006523A3" w:rsidRPr="00A22656">
        <w:rPr>
          <w:rFonts w:ascii="Times New Roman" w:hAnsi="Times New Roman" w:cs="Times New Roman"/>
          <w:sz w:val="24"/>
          <w:szCs w:val="20"/>
        </w:rPr>
        <w:t>or full access to welfare. O</w:t>
      </w:r>
      <w:r w:rsidRPr="00A22656">
        <w:rPr>
          <w:rFonts w:ascii="Times New Roman" w:hAnsi="Times New Roman" w:cs="Times New Roman"/>
          <w:sz w:val="24"/>
          <w:szCs w:val="20"/>
        </w:rPr>
        <w:t>nly residence in accordance with Directive 2004/38 – through work, self-employment, or</w:t>
      </w:r>
      <w:r w:rsidR="006523A3" w:rsidRPr="00A22656">
        <w:rPr>
          <w:rFonts w:ascii="Times New Roman" w:hAnsi="Times New Roman" w:cs="Times New Roman"/>
          <w:sz w:val="24"/>
          <w:szCs w:val="20"/>
        </w:rPr>
        <w:t xml:space="preserve"> self-sufficiency – is considered legal for the purposes of acquiring permanent resident status.</w:t>
      </w:r>
      <w:r w:rsidRPr="00A22656">
        <w:rPr>
          <w:rFonts w:ascii="Times New Roman" w:hAnsi="Times New Roman" w:cs="Times New Roman"/>
          <w:sz w:val="24"/>
          <w:szCs w:val="20"/>
        </w:rPr>
        <w:t xml:space="preserve"> </w:t>
      </w:r>
      <w:r w:rsidR="006523A3" w:rsidRPr="00A22656">
        <w:rPr>
          <w:rFonts w:ascii="Times New Roman" w:hAnsi="Times New Roman" w:cs="Times New Roman"/>
          <w:sz w:val="24"/>
          <w:szCs w:val="20"/>
        </w:rPr>
        <w:t xml:space="preserve">Consequently, </w:t>
      </w:r>
      <w:r w:rsidRPr="00A22656">
        <w:rPr>
          <w:rFonts w:ascii="Times New Roman" w:hAnsi="Times New Roman" w:cs="Times New Roman"/>
          <w:sz w:val="24"/>
          <w:szCs w:val="20"/>
        </w:rPr>
        <w:t>periods between employment</w:t>
      </w:r>
      <w:r w:rsidR="00DD23EA" w:rsidRPr="00A22656">
        <w:rPr>
          <w:rFonts w:ascii="Times New Roman" w:hAnsi="Times New Roman" w:cs="Times New Roman"/>
          <w:sz w:val="24"/>
          <w:szCs w:val="20"/>
        </w:rPr>
        <w:t>,</w:t>
      </w:r>
      <w:r w:rsidRPr="00A22656">
        <w:rPr>
          <w:rFonts w:ascii="Times New Roman" w:hAnsi="Times New Roman" w:cs="Times New Roman"/>
          <w:sz w:val="24"/>
          <w:szCs w:val="20"/>
        </w:rPr>
        <w:t xml:space="preserve"> </w:t>
      </w:r>
      <w:proofErr w:type="gramStart"/>
      <w:r w:rsidRPr="00A22656">
        <w:rPr>
          <w:rFonts w:ascii="Times New Roman" w:hAnsi="Times New Roman" w:cs="Times New Roman"/>
          <w:sz w:val="24"/>
          <w:szCs w:val="20"/>
        </w:rPr>
        <w:t>or</w:t>
      </w:r>
      <w:proofErr w:type="gramEnd"/>
      <w:r w:rsidRPr="00A22656">
        <w:rPr>
          <w:rFonts w:ascii="Times New Roman" w:hAnsi="Times New Roman" w:cs="Times New Roman"/>
          <w:sz w:val="24"/>
          <w:szCs w:val="20"/>
        </w:rPr>
        <w:t xml:space="preserve"> time taken for caregiving would, at best, not count towards the four year total, or worse, break continuity of residence, should</w:t>
      </w:r>
      <w:r w:rsidR="006523A3" w:rsidRPr="00A22656">
        <w:rPr>
          <w:rFonts w:ascii="Times New Roman" w:hAnsi="Times New Roman" w:cs="Times New Roman"/>
          <w:sz w:val="24"/>
          <w:szCs w:val="20"/>
        </w:rPr>
        <w:t xml:space="preserve"> a similar approach be adopted</w:t>
      </w:r>
      <w:r w:rsidRPr="00A22656">
        <w:rPr>
          <w:rFonts w:ascii="Times New Roman" w:hAnsi="Times New Roman" w:cs="Times New Roman"/>
          <w:sz w:val="24"/>
          <w:szCs w:val="20"/>
        </w:rPr>
        <w:t>.</w:t>
      </w:r>
      <w:r w:rsidRPr="00A22656">
        <w:rPr>
          <w:rStyle w:val="FootnoteReference"/>
          <w:rFonts w:ascii="Times New Roman" w:hAnsi="Times New Roman" w:cs="Times New Roman"/>
          <w:sz w:val="24"/>
          <w:szCs w:val="20"/>
        </w:rPr>
        <w:footnoteReference w:id="151"/>
      </w:r>
      <w:r w:rsidR="00E808C0" w:rsidRPr="00A22656">
        <w:rPr>
          <w:rFonts w:ascii="Times New Roman" w:hAnsi="Times New Roman" w:cs="Times New Roman"/>
          <w:sz w:val="24"/>
          <w:szCs w:val="20"/>
        </w:rPr>
        <w:t xml:space="preserve"> </w:t>
      </w:r>
      <w:r w:rsidR="00222EAA" w:rsidRPr="00A22656">
        <w:rPr>
          <w:rFonts w:ascii="Times New Roman" w:hAnsi="Times New Roman" w:cs="Times New Roman"/>
          <w:sz w:val="24"/>
          <w:szCs w:val="20"/>
        </w:rPr>
        <w:t>Indeed, comparable</w:t>
      </w:r>
      <w:r w:rsidR="006523A3" w:rsidRPr="00A22656">
        <w:rPr>
          <w:rFonts w:ascii="Times New Roman" w:hAnsi="Times New Roman" w:cs="Times New Roman"/>
          <w:sz w:val="24"/>
          <w:szCs w:val="20"/>
        </w:rPr>
        <w:t xml:space="preserve"> issues already arose in the context of the UK’s Worker Registration Scheme, once applicable to EU8 and EU2 workers, since it required </w:t>
      </w:r>
      <w:r w:rsidR="006523A3" w:rsidRPr="00A22656">
        <w:rPr>
          <w:rFonts w:ascii="Times New Roman" w:hAnsi="Times New Roman" w:cs="Times New Roman"/>
          <w:i/>
          <w:sz w:val="24"/>
          <w:szCs w:val="20"/>
        </w:rPr>
        <w:t xml:space="preserve">continuous </w:t>
      </w:r>
      <w:r w:rsidR="006523A3" w:rsidRPr="00A22656">
        <w:rPr>
          <w:rFonts w:ascii="Times New Roman" w:hAnsi="Times New Roman" w:cs="Times New Roman"/>
          <w:sz w:val="24"/>
          <w:szCs w:val="20"/>
        </w:rPr>
        <w:t>work for 12 months before the relevant Union citizens could work and access benefits without registration.</w:t>
      </w:r>
      <w:r w:rsidR="005D6C80" w:rsidRPr="00A22656">
        <w:rPr>
          <w:rStyle w:val="FootnoteReference"/>
          <w:rFonts w:ascii="Times New Roman" w:hAnsi="Times New Roman" w:cs="Times New Roman"/>
          <w:sz w:val="24"/>
          <w:szCs w:val="20"/>
        </w:rPr>
        <w:footnoteReference w:id="152"/>
      </w:r>
      <w:r w:rsidR="00D01249" w:rsidRPr="00A22656">
        <w:rPr>
          <w:rFonts w:ascii="Times New Roman" w:hAnsi="Times New Roman" w:cs="Times New Roman"/>
          <w:sz w:val="24"/>
          <w:szCs w:val="20"/>
        </w:rPr>
        <w:t xml:space="preserve"> </w:t>
      </w:r>
    </w:p>
    <w:p w:rsidR="00DD23EA" w:rsidRPr="00A22656" w:rsidRDefault="00DD23EA" w:rsidP="005F768F">
      <w:pPr>
        <w:pStyle w:val="NoSpacing"/>
        <w:spacing w:line="360" w:lineRule="auto"/>
        <w:jc w:val="both"/>
        <w:rPr>
          <w:rFonts w:ascii="Times New Roman" w:hAnsi="Times New Roman" w:cs="Times New Roman"/>
          <w:sz w:val="24"/>
          <w:szCs w:val="20"/>
        </w:rPr>
      </w:pPr>
    </w:p>
    <w:p w:rsidR="005248D9" w:rsidRPr="00A22656" w:rsidRDefault="000D65D1"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 xml:space="preserve">In any case, demonstrating </w:t>
      </w:r>
      <w:r w:rsidR="00D70EA4" w:rsidRPr="00A22656">
        <w:rPr>
          <w:rFonts w:ascii="Times New Roman" w:hAnsi="Times New Roman" w:cs="Times New Roman"/>
          <w:sz w:val="24"/>
          <w:szCs w:val="20"/>
        </w:rPr>
        <w:t>a growing connection to the host State employment market will be more a</w:t>
      </w:r>
      <w:r w:rsidR="00DD23EA" w:rsidRPr="00A22656">
        <w:rPr>
          <w:rFonts w:ascii="Times New Roman" w:hAnsi="Times New Roman" w:cs="Times New Roman"/>
          <w:sz w:val="24"/>
          <w:szCs w:val="20"/>
        </w:rPr>
        <w:t>dministratively burdensome for low-paid, temporary, or zero-hours contract workers</w:t>
      </w:r>
      <w:r w:rsidR="00D70EA4" w:rsidRPr="00A22656">
        <w:rPr>
          <w:rFonts w:ascii="Times New Roman" w:hAnsi="Times New Roman" w:cs="Times New Roman"/>
          <w:sz w:val="24"/>
          <w:szCs w:val="20"/>
        </w:rPr>
        <w:t xml:space="preserve">, who will accumulate much more paperwork than those in permanent work. </w:t>
      </w:r>
      <w:r w:rsidR="00C26B6B" w:rsidRPr="00A22656">
        <w:rPr>
          <w:rFonts w:ascii="Times New Roman" w:hAnsi="Times New Roman" w:cs="Times New Roman"/>
          <w:sz w:val="24"/>
          <w:szCs w:val="20"/>
        </w:rPr>
        <w:t>B</w:t>
      </w:r>
      <w:r w:rsidR="0056276E" w:rsidRPr="00A22656">
        <w:rPr>
          <w:rFonts w:ascii="Times New Roman" w:hAnsi="Times New Roman" w:cs="Times New Roman"/>
          <w:sz w:val="24"/>
          <w:szCs w:val="20"/>
        </w:rPr>
        <w:t>enefits might be most easily accessed by Union workers enjoying longer-term, better-paid employment, who</w:t>
      </w:r>
      <w:r w:rsidR="00D70EA4" w:rsidRPr="00A22656">
        <w:rPr>
          <w:rFonts w:ascii="Times New Roman" w:hAnsi="Times New Roman" w:cs="Times New Roman"/>
          <w:sz w:val="24"/>
          <w:szCs w:val="20"/>
        </w:rPr>
        <w:t xml:space="preserve"> would meet the substantive and administrative requirements of a</w:t>
      </w:r>
      <w:r w:rsidR="0056276E" w:rsidRPr="00A22656">
        <w:rPr>
          <w:rFonts w:ascii="Times New Roman" w:hAnsi="Times New Roman" w:cs="Times New Roman"/>
          <w:sz w:val="24"/>
          <w:szCs w:val="20"/>
        </w:rPr>
        <w:t xml:space="preserve"> ‘real link’ test more easily</w:t>
      </w:r>
      <w:r w:rsidR="00D70EA4" w:rsidRPr="00A22656">
        <w:rPr>
          <w:rFonts w:ascii="Times New Roman" w:hAnsi="Times New Roman" w:cs="Times New Roman"/>
          <w:sz w:val="24"/>
          <w:szCs w:val="20"/>
        </w:rPr>
        <w:t>.</w:t>
      </w:r>
      <w:r w:rsidR="0056276E" w:rsidRPr="00A22656">
        <w:rPr>
          <w:rFonts w:ascii="Times New Roman" w:hAnsi="Times New Roman" w:cs="Times New Roman"/>
          <w:sz w:val="24"/>
          <w:szCs w:val="20"/>
        </w:rPr>
        <w:t xml:space="preserve"> The result would be a step backward in terms on Union integration, since similar criticism could </w:t>
      </w:r>
      <w:r w:rsidR="004E4A52" w:rsidRPr="00A22656">
        <w:rPr>
          <w:rFonts w:ascii="Times New Roman" w:hAnsi="Times New Roman" w:cs="Times New Roman"/>
          <w:sz w:val="24"/>
          <w:szCs w:val="20"/>
        </w:rPr>
        <w:t xml:space="preserve">then </w:t>
      </w:r>
      <w:r w:rsidR="0056276E" w:rsidRPr="00A22656">
        <w:rPr>
          <w:rFonts w:ascii="Times New Roman" w:hAnsi="Times New Roman" w:cs="Times New Roman"/>
          <w:sz w:val="24"/>
          <w:szCs w:val="20"/>
        </w:rPr>
        <w:t>be levelled at free movement of workers that already faces Union citizenship: that it operates principally as a safety net ‘for distressed gentlefolk during periods of temporary financial hardship’</w:t>
      </w:r>
      <w:r w:rsidR="001231F8" w:rsidRPr="00A22656">
        <w:rPr>
          <w:rFonts w:ascii="Times New Roman" w:hAnsi="Times New Roman" w:cs="Times New Roman"/>
          <w:sz w:val="24"/>
          <w:szCs w:val="20"/>
        </w:rPr>
        <w:t xml:space="preserve"> and creates tiers of citizen</w:t>
      </w:r>
      <w:r w:rsidR="0056276E" w:rsidRPr="00A22656">
        <w:rPr>
          <w:rFonts w:ascii="Times New Roman" w:hAnsi="Times New Roman" w:cs="Times New Roman"/>
          <w:sz w:val="24"/>
          <w:szCs w:val="20"/>
        </w:rPr>
        <w:t>.</w:t>
      </w:r>
      <w:r w:rsidR="0056276E" w:rsidRPr="00A22656">
        <w:rPr>
          <w:rStyle w:val="FootnoteReference"/>
          <w:rFonts w:ascii="Times New Roman" w:hAnsi="Times New Roman" w:cs="Times New Roman"/>
          <w:sz w:val="24"/>
          <w:szCs w:val="20"/>
        </w:rPr>
        <w:footnoteReference w:id="153"/>
      </w:r>
      <w:r w:rsidR="0056276E" w:rsidRPr="00A22656">
        <w:rPr>
          <w:rFonts w:ascii="Times New Roman" w:hAnsi="Times New Roman" w:cs="Times New Roman"/>
          <w:sz w:val="24"/>
          <w:szCs w:val="20"/>
        </w:rPr>
        <w:t xml:space="preserve"> </w:t>
      </w:r>
      <w:r w:rsidR="00D70EA4" w:rsidRPr="00A22656">
        <w:rPr>
          <w:rFonts w:ascii="Times New Roman" w:hAnsi="Times New Roman" w:cs="Times New Roman"/>
          <w:sz w:val="24"/>
          <w:szCs w:val="20"/>
        </w:rPr>
        <w:t>Yet cases such as</w:t>
      </w:r>
      <w:r w:rsidR="001D0A1C" w:rsidRPr="00A22656">
        <w:rPr>
          <w:rFonts w:ascii="Times New Roman" w:hAnsi="Times New Roman" w:cs="Times New Roman"/>
          <w:sz w:val="24"/>
          <w:szCs w:val="20"/>
        </w:rPr>
        <w:t xml:space="preserve"> </w:t>
      </w:r>
      <w:r w:rsidR="00BD538B" w:rsidRPr="00A22656">
        <w:rPr>
          <w:rFonts w:ascii="Times New Roman" w:hAnsi="Times New Roman" w:cs="Times New Roman"/>
          <w:i/>
          <w:sz w:val="24"/>
          <w:szCs w:val="20"/>
        </w:rPr>
        <w:t>Collins</w:t>
      </w:r>
      <w:r w:rsidR="00BD538B" w:rsidRPr="00A22656">
        <w:rPr>
          <w:rFonts w:ascii="Times New Roman" w:hAnsi="Times New Roman" w:cs="Times New Roman"/>
          <w:sz w:val="24"/>
          <w:szCs w:val="20"/>
        </w:rPr>
        <w:t xml:space="preserve"> and</w:t>
      </w:r>
      <w:r w:rsidR="001D0A1C" w:rsidRPr="00A22656">
        <w:rPr>
          <w:rFonts w:ascii="Times New Roman" w:hAnsi="Times New Roman" w:cs="Times New Roman"/>
          <w:i/>
          <w:sz w:val="24"/>
          <w:szCs w:val="20"/>
        </w:rPr>
        <w:t xml:space="preserve"> </w:t>
      </w:r>
      <w:proofErr w:type="spellStart"/>
      <w:r w:rsidR="001D0A1C" w:rsidRPr="00A22656">
        <w:rPr>
          <w:rFonts w:ascii="Times New Roman" w:hAnsi="Times New Roman" w:cs="Times New Roman"/>
          <w:i/>
          <w:sz w:val="24"/>
          <w:szCs w:val="20"/>
        </w:rPr>
        <w:t>Brey</w:t>
      </w:r>
      <w:proofErr w:type="spellEnd"/>
      <w:r w:rsidR="00BD538B" w:rsidRPr="00A22656">
        <w:rPr>
          <w:rStyle w:val="FootnoteReference"/>
          <w:rFonts w:ascii="Times New Roman" w:hAnsi="Times New Roman" w:cs="Times New Roman"/>
          <w:sz w:val="24"/>
          <w:szCs w:val="20"/>
        </w:rPr>
        <w:footnoteReference w:id="154"/>
      </w:r>
      <w:r w:rsidR="001D0A1C" w:rsidRPr="00A22656">
        <w:rPr>
          <w:rFonts w:ascii="Times New Roman" w:hAnsi="Times New Roman" w:cs="Times New Roman"/>
          <w:sz w:val="24"/>
          <w:szCs w:val="20"/>
        </w:rPr>
        <w:t xml:space="preserve"> indicate that Union-level</w:t>
      </w:r>
      <w:r w:rsidR="00D70EA4" w:rsidRPr="00A22656">
        <w:rPr>
          <w:rFonts w:ascii="Times New Roman" w:hAnsi="Times New Roman" w:cs="Times New Roman"/>
          <w:sz w:val="24"/>
          <w:szCs w:val="20"/>
        </w:rPr>
        <w:t xml:space="preserve"> </w:t>
      </w:r>
      <w:r w:rsidR="00D23E27" w:rsidRPr="00A22656">
        <w:rPr>
          <w:rFonts w:ascii="Times New Roman" w:hAnsi="Times New Roman" w:cs="Times New Roman"/>
          <w:sz w:val="24"/>
          <w:szCs w:val="20"/>
        </w:rPr>
        <w:t>examination of</w:t>
      </w:r>
      <w:r w:rsidR="00F505C4" w:rsidRPr="00A22656">
        <w:rPr>
          <w:rFonts w:ascii="Times New Roman" w:hAnsi="Times New Roman" w:cs="Times New Roman"/>
          <w:sz w:val="24"/>
          <w:szCs w:val="20"/>
        </w:rPr>
        <w:t xml:space="preserve"> these consequences of the safeguard is</w:t>
      </w:r>
      <w:r w:rsidR="00D70EA4" w:rsidRPr="00A22656">
        <w:rPr>
          <w:rFonts w:ascii="Times New Roman" w:hAnsi="Times New Roman" w:cs="Times New Roman"/>
          <w:sz w:val="24"/>
          <w:szCs w:val="20"/>
        </w:rPr>
        <w:t xml:space="preserve"> unlikely</w:t>
      </w:r>
      <w:r w:rsidR="001D0A1C" w:rsidRPr="00A22656">
        <w:rPr>
          <w:rFonts w:ascii="Times New Roman" w:hAnsi="Times New Roman" w:cs="Times New Roman"/>
          <w:sz w:val="24"/>
          <w:szCs w:val="20"/>
        </w:rPr>
        <w:t>. What is more probable is</w:t>
      </w:r>
      <w:r w:rsidR="00D23E27" w:rsidRPr="00A22656">
        <w:rPr>
          <w:rFonts w:ascii="Times New Roman" w:hAnsi="Times New Roman" w:cs="Times New Roman"/>
          <w:sz w:val="24"/>
          <w:szCs w:val="20"/>
        </w:rPr>
        <w:t xml:space="preserve"> the continued finding that prima face</w:t>
      </w:r>
      <w:r w:rsidR="00D23E27" w:rsidRPr="00A22656">
        <w:rPr>
          <w:rFonts w:ascii="Times New Roman" w:hAnsi="Times New Roman" w:cs="Times New Roman"/>
          <w:i/>
          <w:sz w:val="24"/>
          <w:szCs w:val="20"/>
        </w:rPr>
        <w:t xml:space="preserve"> </w:t>
      </w:r>
      <w:r w:rsidR="00D23E27" w:rsidRPr="00A22656">
        <w:rPr>
          <w:rFonts w:ascii="Times New Roman" w:hAnsi="Times New Roman" w:cs="Times New Roman"/>
          <w:sz w:val="24"/>
          <w:szCs w:val="20"/>
        </w:rPr>
        <w:t xml:space="preserve">restrictions on Union law are </w:t>
      </w:r>
      <w:r w:rsidR="00D23E27" w:rsidRPr="00A22656">
        <w:rPr>
          <w:rFonts w:ascii="Times New Roman" w:hAnsi="Times New Roman" w:cs="Times New Roman"/>
          <w:sz w:val="24"/>
          <w:szCs w:val="20"/>
        </w:rPr>
        <w:lastRenderedPageBreak/>
        <w:t xml:space="preserve">proportionate </w:t>
      </w:r>
      <w:r w:rsidR="00B25856" w:rsidRPr="00A22656">
        <w:rPr>
          <w:rFonts w:ascii="Times New Roman" w:hAnsi="Times New Roman" w:cs="Times New Roman"/>
          <w:sz w:val="24"/>
          <w:szCs w:val="20"/>
        </w:rPr>
        <w:t>as a result of case-by-case assessment</w:t>
      </w:r>
      <w:r w:rsidR="00CC301C" w:rsidRPr="00A22656">
        <w:rPr>
          <w:rFonts w:ascii="Times New Roman" w:hAnsi="Times New Roman" w:cs="Times New Roman"/>
          <w:sz w:val="24"/>
          <w:szCs w:val="20"/>
        </w:rPr>
        <w:t>s</w:t>
      </w:r>
      <w:r w:rsidR="00B25856" w:rsidRPr="00A22656">
        <w:rPr>
          <w:rFonts w:ascii="Times New Roman" w:hAnsi="Times New Roman" w:cs="Times New Roman"/>
          <w:sz w:val="24"/>
          <w:szCs w:val="20"/>
        </w:rPr>
        <w:t xml:space="preserve"> at the domestic level,</w:t>
      </w:r>
      <w:r w:rsidR="00B25856" w:rsidRPr="00A22656">
        <w:rPr>
          <w:rStyle w:val="FootnoteReference"/>
          <w:rFonts w:ascii="Times New Roman" w:hAnsi="Times New Roman" w:cs="Times New Roman"/>
          <w:sz w:val="24"/>
          <w:szCs w:val="20"/>
        </w:rPr>
        <w:footnoteReference w:id="155"/>
      </w:r>
      <w:r w:rsidR="00B25856" w:rsidRPr="00A22656">
        <w:rPr>
          <w:rFonts w:ascii="Times New Roman" w:hAnsi="Times New Roman" w:cs="Times New Roman"/>
          <w:sz w:val="24"/>
          <w:szCs w:val="20"/>
        </w:rPr>
        <w:t xml:space="preserve"> and therefore the continued transfer of the administrative burden to the Union citizen.</w:t>
      </w:r>
      <w:r w:rsidR="001D0A1C" w:rsidRPr="00A22656">
        <w:rPr>
          <w:rFonts w:ascii="Times New Roman" w:hAnsi="Times New Roman" w:cs="Times New Roman"/>
          <w:sz w:val="24"/>
          <w:szCs w:val="20"/>
        </w:rPr>
        <w:t xml:space="preserve"> </w:t>
      </w:r>
    </w:p>
    <w:p w:rsidR="005248D9" w:rsidRPr="00A22656" w:rsidRDefault="005248D9" w:rsidP="005F768F">
      <w:pPr>
        <w:pStyle w:val="NoSpacing"/>
        <w:spacing w:line="360" w:lineRule="auto"/>
        <w:jc w:val="both"/>
        <w:rPr>
          <w:rFonts w:ascii="Times New Roman" w:hAnsi="Times New Roman" w:cs="Times New Roman"/>
          <w:sz w:val="24"/>
          <w:szCs w:val="20"/>
        </w:rPr>
      </w:pPr>
    </w:p>
    <w:p w:rsidR="00185D7E" w:rsidRPr="00A22656" w:rsidRDefault="00971D89" w:rsidP="005F768F">
      <w:pPr>
        <w:pStyle w:val="NoSpacing"/>
        <w:spacing w:line="360" w:lineRule="auto"/>
        <w:jc w:val="both"/>
        <w:rPr>
          <w:rFonts w:ascii="Times New Roman" w:hAnsi="Times New Roman" w:cs="Times New Roman"/>
          <w:sz w:val="24"/>
          <w:szCs w:val="20"/>
        </w:rPr>
      </w:pPr>
      <w:r w:rsidRPr="00A22656">
        <w:rPr>
          <w:rFonts w:ascii="Times New Roman" w:hAnsi="Times New Roman" w:cs="Times New Roman"/>
          <w:sz w:val="24"/>
          <w:szCs w:val="20"/>
        </w:rPr>
        <w:t>From this emerges a third repercussion</w:t>
      </w:r>
      <w:r w:rsidR="00336162" w:rsidRPr="00A22656">
        <w:rPr>
          <w:rFonts w:ascii="Times New Roman" w:hAnsi="Times New Roman" w:cs="Times New Roman"/>
          <w:sz w:val="24"/>
          <w:szCs w:val="20"/>
        </w:rPr>
        <w:t xml:space="preserve">, both constitutional and </w:t>
      </w:r>
      <w:r w:rsidR="00B25856" w:rsidRPr="00A22656">
        <w:rPr>
          <w:rFonts w:ascii="Times New Roman" w:hAnsi="Times New Roman" w:cs="Times New Roman"/>
          <w:sz w:val="24"/>
          <w:szCs w:val="20"/>
        </w:rPr>
        <w:t>technical</w:t>
      </w:r>
      <w:r w:rsidRPr="00A22656">
        <w:rPr>
          <w:rFonts w:ascii="Times New Roman" w:hAnsi="Times New Roman" w:cs="Times New Roman"/>
          <w:sz w:val="24"/>
          <w:szCs w:val="20"/>
        </w:rPr>
        <w:t xml:space="preserve"> in nature: the fact that restrictions on in-work benefits cause a very real barrier to trade. For </w:t>
      </w:r>
      <w:r w:rsidR="00B25856" w:rsidRPr="00A22656">
        <w:rPr>
          <w:rFonts w:ascii="Times New Roman" w:hAnsi="Times New Roman" w:cs="Times New Roman"/>
          <w:sz w:val="24"/>
          <w:szCs w:val="20"/>
        </w:rPr>
        <w:t>example</w:t>
      </w:r>
      <w:r w:rsidRPr="00A22656">
        <w:rPr>
          <w:rFonts w:ascii="Times New Roman" w:hAnsi="Times New Roman" w:cs="Times New Roman"/>
          <w:sz w:val="24"/>
          <w:szCs w:val="20"/>
        </w:rPr>
        <w:t>, the emphasis of the Decision on the</w:t>
      </w:r>
      <w:r w:rsidR="00B25856" w:rsidRPr="00A22656">
        <w:rPr>
          <w:rFonts w:ascii="Times New Roman" w:hAnsi="Times New Roman" w:cs="Times New Roman"/>
          <w:sz w:val="24"/>
          <w:szCs w:val="20"/>
        </w:rPr>
        <w:t xml:space="preserve"> apparent</w:t>
      </w:r>
      <w:r w:rsidRPr="00A22656">
        <w:rPr>
          <w:rFonts w:ascii="Times New Roman" w:hAnsi="Times New Roman" w:cs="Times New Roman"/>
          <w:sz w:val="24"/>
          <w:szCs w:val="20"/>
        </w:rPr>
        <w:t xml:space="preserve"> ‘pull factor’ of the UK’s ‘generous’ benefits system</w:t>
      </w:r>
      <w:r w:rsidR="00B25856" w:rsidRPr="00A22656">
        <w:rPr>
          <w:rFonts w:ascii="Times New Roman" w:hAnsi="Times New Roman" w:cs="Times New Roman"/>
          <w:sz w:val="24"/>
          <w:szCs w:val="20"/>
        </w:rPr>
        <w:t xml:space="preserve"> </w:t>
      </w:r>
      <w:r w:rsidRPr="00A22656">
        <w:rPr>
          <w:rFonts w:ascii="Times New Roman" w:hAnsi="Times New Roman" w:cs="Times New Roman"/>
          <w:sz w:val="24"/>
          <w:szCs w:val="20"/>
        </w:rPr>
        <w:t>overlooks that the UK’s employment market is also increasingly defined by low-paid, zero hours contract work that is</w:t>
      </w:r>
      <w:r w:rsidR="00B25856" w:rsidRPr="00A22656">
        <w:rPr>
          <w:rFonts w:ascii="Times New Roman" w:hAnsi="Times New Roman" w:cs="Times New Roman"/>
          <w:sz w:val="24"/>
          <w:szCs w:val="20"/>
        </w:rPr>
        <w:t xml:space="preserve"> often</w:t>
      </w:r>
      <w:r w:rsidRPr="00A22656">
        <w:rPr>
          <w:rFonts w:ascii="Times New Roman" w:hAnsi="Times New Roman" w:cs="Times New Roman"/>
          <w:sz w:val="24"/>
          <w:szCs w:val="20"/>
        </w:rPr>
        <w:t xml:space="preserve"> only possible as a result of in-work benefits.</w:t>
      </w:r>
      <w:r w:rsidRPr="00A22656">
        <w:rPr>
          <w:rStyle w:val="FootnoteReference"/>
          <w:rFonts w:ascii="Times New Roman" w:hAnsi="Times New Roman" w:cs="Times New Roman"/>
          <w:sz w:val="24"/>
          <w:szCs w:val="20"/>
        </w:rPr>
        <w:footnoteReference w:id="156"/>
      </w:r>
      <w:r w:rsidRPr="00A22656">
        <w:rPr>
          <w:rFonts w:ascii="Times New Roman" w:hAnsi="Times New Roman" w:cs="Times New Roman"/>
          <w:sz w:val="24"/>
          <w:szCs w:val="20"/>
        </w:rPr>
        <w:t xml:space="preserve"> Consequently, restrictions on equal access to social assistance constitutes a</w:t>
      </w:r>
      <w:r w:rsidR="00B25856" w:rsidRPr="00A22656">
        <w:rPr>
          <w:rFonts w:ascii="Times New Roman" w:hAnsi="Times New Roman" w:cs="Times New Roman"/>
          <w:sz w:val="24"/>
          <w:szCs w:val="20"/>
        </w:rPr>
        <w:t xml:space="preserve"> genuine</w:t>
      </w:r>
      <w:r w:rsidRPr="00A22656">
        <w:rPr>
          <w:rFonts w:ascii="Times New Roman" w:hAnsi="Times New Roman" w:cs="Times New Roman"/>
          <w:sz w:val="24"/>
          <w:szCs w:val="20"/>
        </w:rPr>
        <w:t xml:space="preserve"> barrier to movement that undermines not only the ambition of Union citizenship but the foundational goals of the internal market formed at Rome. </w:t>
      </w:r>
      <w:r w:rsidR="00D43761" w:rsidRPr="00A22656">
        <w:rPr>
          <w:rFonts w:ascii="Times New Roman" w:hAnsi="Times New Roman" w:cs="Times New Roman"/>
          <w:sz w:val="24"/>
          <w:szCs w:val="20"/>
        </w:rPr>
        <w:t>T</w:t>
      </w:r>
      <w:r w:rsidR="009B25A5" w:rsidRPr="00A22656">
        <w:rPr>
          <w:rFonts w:ascii="Times New Roman" w:hAnsi="Times New Roman" w:cs="Times New Roman"/>
          <w:sz w:val="24"/>
          <w:szCs w:val="20"/>
        </w:rPr>
        <w:t xml:space="preserve">hough this chapter </w:t>
      </w:r>
      <w:r w:rsidR="00D43761" w:rsidRPr="00A22656">
        <w:rPr>
          <w:rFonts w:ascii="Times New Roman" w:hAnsi="Times New Roman" w:cs="Times New Roman"/>
          <w:sz w:val="24"/>
          <w:szCs w:val="20"/>
        </w:rPr>
        <w:t>demonstrates</w:t>
      </w:r>
      <w:r w:rsidR="009B25A5" w:rsidRPr="00A22656">
        <w:rPr>
          <w:rFonts w:ascii="Times New Roman" w:hAnsi="Times New Roman" w:cs="Times New Roman"/>
          <w:sz w:val="24"/>
          <w:szCs w:val="20"/>
        </w:rPr>
        <w:t xml:space="preserve"> that the historical evolution</w:t>
      </w:r>
      <w:r w:rsidR="0000374C" w:rsidRPr="00A22656">
        <w:rPr>
          <w:rFonts w:ascii="Times New Roman" w:hAnsi="Times New Roman" w:cs="Times New Roman"/>
          <w:sz w:val="24"/>
          <w:szCs w:val="20"/>
        </w:rPr>
        <w:t xml:space="preserve"> of </w:t>
      </w:r>
      <w:r w:rsidR="009B25A5" w:rsidRPr="00A22656">
        <w:rPr>
          <w:rFonts w:ascii="Times New Roman" w:hAnsi="Times New Roman" w:cs="Times New Roman"/>
          <w:sz w:val="24"/>
          <w:szCs w:val="20"/>
        </w:rPr>
        <w:t>the internal market provides constitutional foundati</w:t>
      </w:r>
      <w:r w:rsidR="00445761" w:rsidRPr="00A22656">
        <w:rPr>
          <w:rFonts w:ascii="Times New Roman" w:hAnsi="Times New Roman" w:cs="Times New Roman"/>
          <w:sz w:val="24"/>
          <w:szCs w:val="20"/>
        </w:rPr>
        <w:t>ons for the safeguard,</w:t>
      </w:r>
      <w:r w:rsidR="0000374C" w:rsidRPr="00A22656">
        <w:rPr>
          <w:rFonts w:ascii="Times New Roman" w:hAnsi="Times New Roman" w:cs="Times New Roman"/>
          <w:sz w:val="24"/>
          <w:szCs w:val="20"/>
        </w:rPr>
        <w:t xml:space="preserve"> those developments were</w:t>
      </w:r>
      <w:r w:rsidR="00445761" w:rsidRPr="00A22656">
        <w:rPr>
          <w:rFonts w:ascii="Times New Roman" w:hAnsi="Times New Roman" w:cs="Times New Roman"/>
          <w:sz w:val="24"/>
          <w:szCs w:val="20"/>
        </w:rPr>
        <w:t xml:space="preserve"> still</w:t>
      </w:r>
      <w:r w:rsidR="0000374C" w:rsidRPr="00A22656">
        <w:rPr>
          <w:rFonts w:ascii="Times New Roman" w:hAnsi="Times New Roman" w:cs="Times New Roman"/>
          <w:sz w:val="24"/>
          <w:szCs w:val="20"/>
        </w:rPr>
        <w:t>, at their core, about acknowledging that economic integration required recognition of the human needs of workers. That the safeguard would potentially represent a reconfiguration of the Union’s central objectives is all the more explicit in the reference</w:t>
      </w:r>
      <w:r w:rsidR="00B25856" w:rsidRPr="00A22656">
        <w:rPr>
          <w:rFonts w:ascii="Times New Roman" w:hAnsi="Times New Roman" w:cs="Times New Roman"/>
          <w:sz w:val="24"/>
          <w:szCs w:val="20"/>
        </w:rPr>
        <w:t xml:space="preserve"> in the Decision</w:t>
      </w:r>
      <w:r w:rsidR="0000374C" w:rsidRPr="00A22656">
        <w:rPr>
          <w:rFonts w:ascii="Times New Roman" w:hAnsi="Times New Roman" w:cs="Times New Roman"/>
          <w:sz w:val="24"/>
          <w:szCs w:val="20"/>
        </w:rPr>
        <w:t xml:space="preserve"> to ‘difficulties that are serious and liable to persist in the [host State’s] employment market’ as a potential reason for triggering the safeguard. </w:t>
      </w:r>
      <w:r w:rsidR="003F0BC5" w:rsidRPr="00A22656">
        <w:rPr>
          <w:rFonts w:ascii="Times New Roman" w:hAnsi="Times New Roman" w:cs="Times New Roman"/>
          <w:sz w:val="24"/>
          <w:szCs w:val="20"/>
        </w:rPr>
        <w:t xml:space="preserve">This </w:t>
      </w:r>
      <w:r w:rsidR="00B25856" w:rsidRPr="00A22656">
        <w:rPr>
          <w:rFonts w:ascii="Times New Roman" w:hAnsi="Times New Roman" w:cs="Times New Roman"/>
          <w:sz w:val="24"/>
          <w:szCs w:val="20"/>
        </w:rPr>
        <w:t>would</w:t>
      </w:r>
      <w:r w:rsidR="003F0BC5" w:rsidRPr="00A22656">
        <w:rPr>
          <w:rFonts w:ascii="Times New Roman" w:hAnsi="Times New Roman" w:cs="Times New Roman"/>
          <w:sz w:val="24"/>
          <w:szCs w:val="20"/>
        </w:rPr>
        <w:t xml:space="preserve"> introduce pure protectionism into the justificatory gamut.</w:t>
      </w:r>
      <w:r w:rsidR="00445761" w:rsidRPr="00A22656">
        <w:rPr>
          <w:rStyle w:val="FootnoteReference"/>
          <w:rFonts w:ascii="Times New Roman" w:hAnsi="Times New Roman" w:cs="Times New Roman"/>
          <w:sz w:val="24"/>
          <w:szCs w:val="20"/>
        </w:rPr>
        <w:footnoteReference w:id="157"/>
      </w:r>
      <w:r w:rsidR="009B25A5" w:rsidRPr="00A22656">
        <w:rPr>
          <w:rFonts w:ascii="Times New Roman" w:hAnsi="Times New Roman" w:cs="Times New Roman"/>
          <w:sz w:val="24"/>
          <w:szCs w:val="20"/>
        </w:rPr>
        <w:t xml:space="preserve"> </w:t>
      </w:r>
    </w:p>
    <w:p w:rsidR="00185D7E" w:rsidRPr="00A22656" w:rsidRDefault="00185D7E" w:rsidP="005F768F">
      <w:pPr>
        <w:pStyle w:val="NoSpacing"/>
        <w:spacing w:line="360" w:lineRule="auto"/>
        <w:jc w:val="both"/>
        <w:rPr>
          <w:rFonts w:ascii="Times New Roman" w:hAnsi="Times New Roman" w:cs="Times New Roman"/>
          <w:sz w:val="24"/>
          <w:szCs w:val="20"/>
        </w:rPr>
      </w:pPr>
    </w:p>
    <w:p w:rsidR="00DD19EA" w:rsidRPr="00A22656" w:rsidRDefault="00E7708C"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0"/>
        </w:rPr>
        <w:t>Such constitutional issues trigger institutional questions about interactions between the Union’s legislative and judicial branches. On the one hand</w:t>
      </w:r>
      <w:r w:rsidR="009609C9" w:rsidRPr="00A22656">
        <w:rPr>
          <w:rFonts w:ascii="Times New Roman" w:hAnsi="Times New Roman" w:cs="Times New Roman"/>
          <w:sz w:val="24"/>
          <w:szCs w:val="20"/>
        </w:rPr>
        <w:t xml:space="preserve">, we have seen that the </w:t>
      </w:r>
      <w:proofErr w:type="spellStart"/>
      <w:r w:rsidR="009609C9" w:rsidRPr="00A22656">
        <w:rPr>
          <w:rFonts w:ascii="Times New Roman" w:hAnsi="Times New Roman" w:cs="Times New Roman"/>
          <w:sz w:val="24"/>
          <w:szCs w:val="20"/>
        </w:rPr>
        <w:t>constitutionalisation</w:t>
      </w:r>
      <w:proofErr w:type="spellEnd"/>
      <w:r w:rsidR="009609C9" w:rsidRPr="00A22656">
        <w:rPr>
          <w:rFonts w:ascii="Times New Roman" w:hAnsi="Times New Roman" w:cs="Times New Roman"/>
          <w:sz w:val="24"/>
          <w:szCs w:val="20"/>
        </w:rPr>
        <w:t xml:space="preserve"> of Union primary and secondary Union law has, to some extent, contributed to the current state of affairs. As Horsley ar</w:t>
      </w:r>
      <w:r w:rsidR="00445761" w:rsidRPr="00A22656">
        <w:rPr>
          <w:rFonts w:ascii="Times New Roman" w:hAnsi="Times New Roman" w:cs="Times New Roman"/>
          <w:sz w:val="24"/>
          <w:szCs w:val="20"/>
        </w:rPr>
        <w:t>gues, since, th</w:t>
      </w:r>
      <w:r w:rsidR="00CC301C" w:rsidRPr="00A22656">
        <w:rPr>
          <w:rFonts w:ascii="Times New Roman" w:hAnsi="Times New Roman" w:cs="Times New Roman"/>
          <w:sz w:val="24"/>
          <w:szCs w:val="20"/>
        </w:rPr>
        <w:t>r</w:t>
      </w:r>
      <w:r w:rsidR="00445761" w:rsidRPr="00A22656">
        <w:rPr>
          <w:rFonts w:ascii="Times New Roman" w:hAnsi="Times New Roman" w:cs="Times New Roman"/>
          <w:sz w:val="24"/>
          <w:szCs w:val="20"/>
        </w:rPr>
        <w:t>ough its</w:t>
      </w:r>
      <w:r w:rsidR="009609C9" w:rsidRPr="00A22656">
        <w:rPr>
          <w:rFonts w:ascii="Times New Roman" w:hAnsi="Times New Roman" w:cs="Times New Roman"/>
          <w:sz w:val="24"/>
          <w:szCs w:val="20"/>
        </w:rPr>
        <w:t xml:space="preserve"> transformation of the EU legal order, the Court has created for itself the role of leading policymaker in European integration, it should also accept the limits the Treaty places upon it as an inst</w:t>
      </w:r>
      <w:r w:rsidR="00445761" w:rsidRPr="00A22656">
        <w:rPr>
          <w:rFonts w:ascii="Times New Roman" w:hAnsi="Times New Roman" w:cs="Times New Roman"/>
          <w:sz w:val="24"/>
          <w:szCs w:val="20"/>
        </w:rPr>
        <w:t xml:space="preserve">itutional actor. </w:t>
      </w:r>
      <w:r w:rsidR="009609C9" w:rsidRPr="00A22656">
        <w:rPr>
          <w:rFonts w:ascii="Times New Roman" w:hAnsi="Times New Roman" w:cs="Times New Roman"/>
          <w:sz w:val="24"/>
          <w:szCs w:val="20"/>
        </w:rPr>
        <w:t>Horsley identifies</w:t>
      </w:r>
      <w:r w:rsidR="00691FEA" w:rsidRPr="00A22656">
        <w:rPr>
          <w:rFonts w:ascii="Times New Roman" w:hAnsi="Times New Roman" w:cs="Times New Roman"/>
          <w:sz w:val="24"/>
          <w:szCs w:val="20"/>
        </w:rPr>
        <w:t xml:space="preserve"> the requirement in </w:t>
      </w:r>
      <w:r w:rsidR="009609C9" w:rsidRPr="00A22656">
        <w:rPr>
          <w:rFonts w:ascii="Times New Roman" w:hAnsi="Times New Roman" w:cs="Times New Roman"/>
          <w:sz w:val="24"/>
          <w:szCs w:val="20"/>
        </w:rPr>
        <w:t>Article 13(2) TEU, that the Union institutions practise mutual sincere cooperation, as imposing a primary law requirement on the Court to respect the policy choice</w:t>
      </w:r>
      <w:r w:rsidR="00445761" w:rsidRPr="00A22656">
        <w:rPr>
          <w:rFonts w:ascii="Times New Roman" w:hAnsi="Times New Roman" w:cs="Times New Roman"/>
          <w:sz w:val="24"/>
          <w:szCs w:val="20"/>
        </w:rPr>
        <w:t>s</w:t>
      </w:r>
      <w:r w:rsidR="009609C9" w:rsidRPr="00A22656">
        <w:rPr>
          <w:rFonts w:ascii="Times New Roman" w:hAnsi="Times New Roman" w:cs="Times New Roman"/>
          <w:sz w:val="24"/>
          <w:szCs w:val="20"/>
        </w:rPr>
        <w:t xml:space="preserve"> of the Union legislature where appropriate.</w:t>
      </w:r>
      <w:r w:rsidR="009609C9" w:rsidRPr="00A22656">
        <w:rPr>
          <w:rStyle w:val="FootnoteReference"/>
          <w:rFonts w:ascii="Times New Roman" w:hAnsi="Times New Roman" w:cs="Times New Roman"/>
          <w:sz w:val="24"/>
          <w:szCs w:val="24"/>
        </w:rPr>
        <w:footnoteReference w:id="158"/>
      </w:r>
      <w:r w:rsidR="009609C9" w:rsidRPr="00A22656">
        <w:rPr>
          <w:rFonts w:ascii="Times New Roman" w:hAnsi="Times New Roman" w:cs="Times New Roman"/>
          <w:sz w:val="24"/>
          <w:szCs w:val="24"/>
        </w:rPr>
        <w:t xml:space="preserve"> </w:t>
      </w:r>
      <w:r w:rsidR="00D0169F" w:rsidRPr="00A22656">
        <w:rPr>
          <w:rFonts w:ascii="Times New Roman" w:hAnsi="Times New Roman" w:cs="Times New Roman"/>
          <w:sz w:val="24"/>
          <w:szCs w:val="24"/>
        </w:rPr>
        <w:t xml:space="preserve">Similarly, Davies argues that the concept of </w:t>
      </w:r>
      <w:r w:rsidR="00445761" w:rsidRPr="00A22656">
        <w:rPr>
          <w:rFonts w:ascii="Times New Roman" w:hAnsi="Times New Roman" w:cs="Times New Roman"/>
          <w:sz w:val="24"/>
          <w:szCs w:val="24"/>
        </w:rPr>
        <w:t>inter-</w:t>
      </w:r>
      <w:r w:rsidR="00D0169F" w:rsidRPr="00A22656">
        <w:rPr>
          <w:rFonts w:ascii="Times New Roman" w:hAnsi="Times New Roman" w:cs="Times New Roman"/>
          <w:sz w:val="24"/>
          <w:szCs w:val="24"/>
        </w:rPr>
        <w:t xml:space="preserve">institutional balance suggests that Treaty </w:t>
      </w:r>
      <w:r w:rsidR="00D0169F" w:rsidRPr="00A22656">
        <w:rPr>
          <w:rFonts w:ascii="Times New Roman" w:hAnsi="Times New Roman" w:cs="Times New Roman"/>
          <w:sz w:val="24"/>
          <w:szCs w:val="24"/>
        </w:rPr>
        <w:lastRenderedPageBreak/>
        <w:t>interpretation should be viewed as a shared activity, with both the Union’s political and judicial organs contributing to what concepts within the Treaty, such as free movement, might mean.</w:t>
      </w:r>
      <w:r w:rsidR="00D0169F" w:rsidRPr="00A22656">
        <w:rPr>
          <w:rStyle w:val="FootnoteReference"/>
          <w:rFonts w:ascii="Times New Roman" w:hAnsi="Times New Roman" w:cs="Times New Roman"/>
          <w:sz w:val="24"/>
          <w:szCs w:val="24"/>
        </w:rPr>
        <w:footnoteReference w:id="159"/>
      </w:r>
      <w:r w:rsidR="00D0169F" w:rsidRPr="00A22656">
        <w:rPr>
          <w:rFonts w:ascii="Times New Roman" w:hAnsi="Times New Roman" w:cs="Times New Roman"/>
          <w:sz w:val="24"/>
          <w:szCs w:val="24"/>
        </w:rPr>
        <w:t xml:space="preserve">  </w:t>
      </w:r>
    </w:p>
    <w:p w:rsidR="0001184C" w:rsidRPr="00A22656" w:rsidRDefault="0001184C" w:rsidP="005F768F">
      <w:pPr>
        <w:pStyle w:val="NoSpacing"/>
        <w:spacing w:line="360" w:lineRule="auto"/>
        <w:jc w:val="both"/>
        <w:rPr>
          <w:rFonts w:ascii="Times New Roman" w:hAnsi="Times New Roman" w:cs="Times New Roman"/>
          <w:sz w:val="24"/>
          <w:szCs w:val="24"/>
        </w:rPr>
      </w:pPr>
    </w:p>
    <w:p w:rsidR="005A3495" w:rsidRPr="00A22656" w:rsidRDefault="00594845"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On </w:t>
      </w:r>
      <w:r w:rsidR="005A3495" w:rsidRPr="00A22656">
        <w:rPr>
          <w:rFonts w:ascii="Times New Roman" w:hAnsi="Times New Roman" w:cs="Times New Roman"/>
          <w:sz w:val="24"/>
          <w:szCs w:val="24"/>
        </w:rPr>
        <w:t xml:space="preserve">the </w:t>
      </w:r>
      <w:r w:rsidRPr="00A22656">
        <w:rPr>
          <w:rFonts w:ascii="Times New Roman" w:hAnsi="Times New Roman" w:cs="Times New Roman"/>
          <w:sz w:val="24"/>
          <w:szCs w:val="24"/>
        </w:rPr>
        <w:t>other hand,</w:t>
      </w:r>
      <w:r w:rsidR="0001184C" w:rsidRPr="00A22656">
        <w:rPr>
          <w:rFonts w:ascii="Times New Roman" w:hAnsi="Times New Roman" w:cs="Times New Roman"/>
          <w:sz w:val="24"/>
          <w:szCs w:val="24"/>
        </w:rPr>
        <w:t xml:space="preserve"> a brake on in-work benefits would clearly introduce obvious barriers to trade, undermining </w:t>
      </w:r>
      <w:r w:rsidRPr="00A22656">
        <w:rPr>
          <w:rFonts w:ascii="Times New Roman" w:hAnsi="Times New Roman" w:cs="Times New Roman"/>
          <w:sz w:val="24"/>
          <w:szCs w:val="24"/>
        </w:rPr>
        <w:t xml:space="preserve">the </w:t>
      </w:r>
      <w:r w:rsidR="0001184C" w:rsidRPr="00A22656">
        <w:rPr>
          <w:rFonts w:ascii="Times New Roman" w:hAnsi="Times New Roman" w:cs="Times New Roman"/>
          <w:sz w:val="24"/>
          <w:szCs w:val="24"/>
        </w:rPr>
        <w:t>foundational goals of the Union and well-established approaches to their achievement</w:t>
      </w:r>
      <w:r w:rsidR="003F02E2" w:rsidRPr="00A22656">
        <w:rPr>
          <w:rFonts w:ascii="Times New Roman" w:hAnsi="Times New Roman" w:cs="Times New Roman"/>
          <w:sz w:val="24"/>
          <w:szCs w:val="24"/>
        </w:rPr>
        <w:t>,</w:t>
      </w:r>
      <w:r w:rsidR="0001184C" w:rsidRPr="00A22656">
        <w:rPr>
          <w:rFonts w:ascii="Times New Roman" w:hAnsi="Times New Roman" w:cs="Times New Roman"/>
          <w:sz w:val="24"/>
          <w:szCs w:val="24"/>
        </w:rPr>
        <w:t xml:space="preserve"> long-accepted by the Member States</w:t>
      </w:r>
      <w:r w:rsidRPr="00A22656">
        <w:rPr>
          <w:rFonts w:ascii="Times New Roman" w:hAnsi="Times New Roman" w:cs="Times New Roman"/>
          <w:sz w:val="24"/>
          <w:szCs w:val="24"/>
        </w:rPr>
        <w:t xml:space="preserve">. In rejecting the </w:t>
      </w:r>
      <w:r w:rsidR="00C01701" w:rsidRPr="00A22656">
        <w:rPr>
          <w:rFonts w:ascii="Times New Roman" w:hAnsi="Times New Roman" w:cs="Times New Roman"/>
          <w:sz w:val="24"/>
          <w:szCs w:val="24"/>
        </w:rPr>
        <w:t>employment</w:t>
      </w:r>
      <w:r w:rsidRPr="00A22656">
        <w:rPr>
          <w:rFonts w:ascii="Times New Roman" w:hAnsi="Times New Roman" w:cs="Times New Roman"/>
          <w:sz w:val="24"/>
          <w:szCs w:val="24"/>
        </w:rPr>
        <w:t xml:space="preserve"> of a safeguard mechanism, the Court would arguably be acting appropriately within its institutional role of ‘ensuring that in the application of the Treaties, the law is observed’, </w:t>
      </w:r>
      <w:r w:rsidR="00691FEA" w:rsidRPr="00A22656">
        <w:rPr>
          <w:rFonts w:ascii="Times New Roman" w:hAnsi="Times New Roman" w:cs="Times New Roman"/>
          <w:sz w:val="24"/>
          <w:szCs w:val="24"/>
        </w:rPr>
        <w:t>pursuant to</w:t>
      </w:r>
      <w:r w:rsidRPr="00A22656">
        <w:rPr>
          <w:rFonts w:ascii="Times New Roman" w:hAnsi="Times New Roman" w:cs="Times New Roman"/>
          <w:sz w:val="24"/>
          <w:szCs w:val="24"/>
        </w:rPr>
        <w:t xml:space="preserve"> Article 19 TEU. </w:t>
      </w:r>
      <w:r w:rsidR="007D0757" w:rsidRPr="00A22656">
        <w:rPr>
          <w:rFonts w:ascii="Times New Roman" w:hAnsi="Times New Roman" w:cs="Times New Roman"/>
          <w:sz w:val="24"/>
          <w:szCs w:val="24"/>
        </w:rPr>
        <w:t xml:space="preserve">And yet, ironically, at the very point at which the Court might properly act as a check on the EU’s political branches – since </w:t>
      </w:r>
      <w:r w:rsidR="00C279CF" w:rsidRPr="00A22656">
        <w:rPr>
          <w:rFonts w:ascii="Times New Roman" w:hAnsi="Times New Roman" w:cs="Times New Roman"/>
          <w:sz w:val="24"/>
          <w:szCs w:val="24"/>
        </w:rPr>
        <w:t>central values</w:t>
      </w:r>
      <w:r w:rsidR="007D0757" w:rsidRPr="00A22656">
        <w:rPr>
          <w:rFonts w:ascii="Times New Roman" w:hAnsi="Times New Roman" w:cs="Times New Roman"/>
          <w:sz w:val="24"/>
          <w:szCs w:val="24"/>
        </w:rPr>
        <w:t xml:space="preserve"> of the Union’s constitution appear to be at risk </w:t>
      </w:r>
      <w:r w:rsidR="00C01701" w:rsidRPr="00A22656">
        <w:rPr>
          <w:rFonts w:ascii="Times New Roman" w:hAnsi="Times New Roman" w:cs="Times New Roman"/>
          <w:sz w:val="24"/>
          <w:szCs w:val="24"/>
        </w:rPr>
        <w:t>– its own</w:t>
      </w:r>
      <w:r w:rsidR="005A3495" w:rsidRPr="00A22656">
        <w:rPr>
          <w:rFonts w:ascii="Times New Roman" w:hAnsi="Times New Roman" w:cs="Times New Roman"/>
          <w:sz w:val="24"/>
          <w:szCs w:val="24"/>
        </w:rPr>
        <w:t xml:space="preserve"> institutional boundary pushing</w:t>
      </w:r>
      <w:r w:rsidR="00C01701" w:rsidRPr="00A22656">
        <w:rPr>
          <w:rFonts w:ascii="Times New Roman" w:hAnsi="Times New Roman" w:cs="Times New Roman"/>
          <w:sz w:val="24"/>
          <w:szCs w:val="24"/>
        </w:rPr>
        <w:t xml:space="preserve"> may leave it with little choice but to accept this change in direction for the Union. This is already visible in the</w:t>
      </w:r>
      <w:r w:rsidR="00C279CF" w:rsidRPr="00A22656">
        <w:rPr>
          <w:rFonts w:ascii="Times New Roman" w:hAnsi="Times New Roman" w:cs="Times New Roman"/>
          <w:sz w:val="24"/>
          <w:szCs w:val="24"/>
        </w:rPr>
        <w:t xml:space="preserve"> Court’s more literal approach to Directive 2004/38 post-</w:t>
      </w:r>
      <w:proofErr w:type="spellStart"/>
      <w:r w:rsidR="00C279CF" w:rsidRPr="00A22656">
        <w:rPr>
          <w:rFonts w:ascii="Times New Roman" w:hAnsi="Times New Roman" w:cs="Times New Roman"/>
          <w:i/>
          <w:sz w:val="24"/>
          <w:szCs w:val="24"/>
        </w:rPr>
        <w:t>Dano</w:t>
      </w:r>
      <w:proofErr w:type="spellEnd"/>
      <w:r w:rsidR="00C01701" w:rsidRPr="00A22656">
        <w:rPr>
          <w:rFonts w:ascii="Times New Roman" w:hAnsi="Times New Roman" w:cs="Times New Roman"/>
          <w:sz w:val="24"/>
          <w:szCs w:val="24"/>
        </w:rPr>
        <w:t>.</w:t>
      </w:r>
      <w:r w:rsidR="005A3495" w:rsidRPr="00A22656">
        <w:rPr>
          <w:rFonts w:ascii="Times New Roman" w:hAnsi="Times New Roman" w:cs="Times New Roman"/>
          <w:sz w:val="24"/>
          <w:szCs w:val="24"/>
        </w:rPr>
        <w:t xml:space="preserve"> Indeed, ultimately, despite being backed into a corner, the Court’s pre-emptive approach to the current political climate in that line of case-law – alongside the fact that the safeguard mechanism is built on </w:t>
      </w:r>
      <w:r w:rsidR="00C279CF" w:rsidRPr="00A22656">
        <w:rPr>
          <w:rFonts w:ascii="Times New Roman" w:hAnsi="Times New Roman" w:cs="Times New Roman"/>
          <w:sz w:val="24"/>
          <w:szCs w:val="24"/>
        </w:rPr>
        <w:t>the judicially-driven</w:t>
      </w:r>
      <w:r w:rsidR="005A3495" w:rsidRPr="00A22656">
        <w:rPr>
          <w:rFonts w:ascii="Times New Roman" w:hAnsi="Times New Roman" w:cs="Times New Roman"/>
          <w:sz w:val="24"/>
          <w:szCs w:val="24"/>
        </w:rPr>
        <w:t xml:space="preserve"> evolution of Union citizenship – will allow it to present </w:t>
      </w:r>
      <w:r w:rsidR="00C42457" w:rsidRPr="00A22656">
        <w:rPr>
          <w:rFonts w:ascii="Times New Roman" w:hAnsi="Times New Roman" w:cs="Times New Roman"/>
          <w:sz w:val="24"/>
          <w:szCs w:val="24"/>
        </w:rPr>
        <w:t xml:space="preserve">its </w:t>
      </w:r>
      <w:r w:rsidR="005A3495" w:rsidRPr="00A22656">
        <w:rPr>
          <w:rFonts w:ascii="Times New Roman" w:hAnsi="Times New Roman" w:cs="Times New Roman"/>
          <w:sz w:val="24"/>
          <w:szCs w:val="24"/>
        </w:rPr>
        <w:t>acceptance</w:t>
      </w:r>
      <w:r w:rsidR="00C42457" w:rsidRPr="00A22656">
        <w:rPr>
          <w:rFonts w:ascii="Times New Roman" w:hAnsi="Times New Roman" w:cs="Times New Roman"/>
          <w:sz w:val="24"/>
          <w:szCs w:val="24"/>
        </w:rPr>
        <w:t xml:space="preserve"> of</w:t>
      </w:r>
      <w:r w:rsidR="005A3495" w:rsidRPr="00A22656">
        <w:rPr>
          <w:rFonts w:ascii="Times New Roman" w:hAnsi="Times New Roman" w:cs="Times New Roman"/>
          <w:sz w:val="24"/>
          <w:szCs w:val="24"/>
        </w:rPr>
        <w:t xml:space="preserve"> any future safeguard as </w:t>
      </w:r>
      <w:r w:rsidR="00C42457" w:rsidRPr="00A22656">
        <w:rPr>
          <w:rFonts w:ascii="Times New Roman" w:hAnsi="Times New Roman" w:cs="Times New Roman"/>
          <w:sz w:val="24"/>
          <w:szCs w:val="24"/>
        </w:rPr>
        <w:t>securely in-line with</w:t>
      </w:r>
      <w:r w:rsidR="005A3495" w:rsidRPr="00A22656">
        <w:rPr>
          <w:rFonts w:ascii="Times New Roman" w:hAnsi="Times New Roman" w:cs="Times New Roman"/>
          <w:sz w:val="24"/>
          <w:szCs w:val="24"/>
        </w:rPr>
        <w:t xml:space="preserve"> its own jurisprudence.</w:t>
      </w:r>
      <w:r w:rsidR="004B5F94" w:rsidRPr="00A22656">
        <w:rPr>
          <w:rFonts w:ascii="Times New Roman" w:hAnsi="Times New Roman" w:cs="Times New Roman"/>
          <w:sz w:val="24"/>
          <w:szCs w:val="24"/>
        </w:rPr>
        <w:t xml:space="preserve"> </w:t>
      </w:r>
    </w:p>
    <w:p w:rsidR="00D36791" w:rsidRPr="00A22656" w:rsidRDefault="00D36791" w:rsidP="005F768F">
      <w:pPr>
        <w:pStyle w:val="NoSpacing"/>
        <w:spacing w:line="360" w:lineRule="auto"/>
        <w:rPr>
          <w:rFonts w:ascii="Times New Roman" w:hAnsi="Times New Roman" w:cs="Times New Roman"/>
          <w:sz w:val="24"/>
          <w:szCs w:val="24"/>
        </w:rPr>
      </w:pPr>
    </w:p>
    <w:p w:rsidR="009673EB" w:rsidRPr="00A22656" w:rsidRDefault="009673EB" w:rsidP="005F768F">
      <w:pPr>
        <w:pStyle w:val="ListParagraph"/>
        <w:spacing w:line="360" w:lineRule="auto"/>
        <w:rPr>
          <w:rFonts w:ascii="Times New Roman" w:hAnsi="Times New Roman" w:cs="Times New Roman"/>
          <w:b/>
          <w:sz w:val="24"/>
          <w:szCs w:val="24"/>
        </w:rPr>
      </w:pPr>
    </w:p>
    <w:p w:rsidR="00226CAF" w:rsidRPr="00A22656" w:rsidRDefault="0032017E" w:rsidP="005F768F">
      <w:pPr>
        <w:pStyle w:val="ListParagraph"/>
        <w:numPr>
          <w:ilvl w:val="0"/>
          <w:numId w:val="2"/>
        </w:numPr>
        <w:spacing w:line="360" w:lineRule="auto"/>
        <w:rPr>
          <w:rFonts w:ascii="Times New Roman" w:hAnsi="Times New Roman" w:cs="Times New Roman"/>
          <w:b/>
          <w:sz w:val="24"/>
          <w:szCs w:val="24"/>
        </w:rPr>
      </w:pPr>
      <w:r w:rsidRPr="00A22656">
        <w:rPr>
          <w:rFonts w:ascii="Times New Roman" w:hAnsi="Times New Roman" w:cs="Times New Roman"/>
          <w:b/>
          <w:sz w:val="24"/>
          <w:szCs w:val="24"/>
        </w:rPr>
        <w:t>Conclusion</w:t>
      </w:r>
    </w:p>
    <w:p w:rsidR="00535F43" w:rsidRPr="00A22656" w:rsidRDefault="00226CAF"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Regardless of its formal irrelevance following the decision of the UK electorate to leave the EU, the </w:t>
      </w:r>
      <w:r w:rsidR="00B41C93" w:rsidRPr="00A22656">
        <w:rPr>
          <w:rFonts w:ascii="Times New Roman" w:hAnsi="Times New Roman" w:cs="Times New Roman"/>
          <w:sz w:val="24"/>
          <w:szCs w:val="24"/>
        </w:rPr>
        <w:t>emergency brake on in-work benefits, introduced as part of the UK’s now abandoned renegotiation of its EU membership,</w:t>
      </w:r>
      <w:r w:rsidR="003B6178" w:rsidRPr="00A22656">
        <w:rPr>
          <w:rFonts w:ascii="Times New Roman" w:hAnsi="Times New Roman" w:cs="Times New Roman"/>
          <w:sz w:val="24"/>
          <w:szCs w:val="24"/>
        </w:rPr>
        <w:t xml:space="preserve"> provides a useful lens through which to assess the current limits of Union citizenship, the internal market and, more broadly, European integration</w:t>
      </w:r>
      <w:r w:rsidR="00074A85" w:rsidRPr="00A22656">
        <w:rPr>
          <w:rFonts w:ascii="Times New Roman" w:hAnsi="Times New Roman" w:cs="Times New Roman"/>
          <w:sz w:val="24"/>
          <w:szCs w:val="24"/>
        </w:rPr>
        <w:t>, as well as the institutional dynamics at play there</w:t>
      </w:r>
      <w:r w:rsidR="003B6178" w:rsidRPr="00A22656">
        <w:rPr>
          <w:rFonts w:ascii="Times New Roman" w:hAnsi="Times New Roman" w:cs="Times New Roman"/>
          <w:sz w:val="24"/>
          <w:szCs w:val="24"/>
        </w:rPr>
        <w:t xml:space="preserve">. </w:t>
      </w:r>
      <w:r w:rsidR="00AD6C83" w:rsidRPr="00A22656">
        <w:rPr>
          <w:rFonts w:ascii="Times New Roman" w:hAnsi="Times New Roman" w:cs="Times New Roman"/>
          <w:sz w:val="24"/>
          <w:szCs w:val="24"/>
        </w:rPr>
        <w:t xml:space="preserve">By introducing discrimination against the Union </w:t>
      </w:r>
      <w:r w:rsidR="00AD6C83" w:rsidRPr="00A22656">
        <w:rPr>
          <w:rFonts w:ascii="Times New Roman" w:hAnsi="Times New Roman" w:cs="Times New Roman"/>
          <w:i/>
          <w:sz w:val="24"/>
          <w:szCs w:val="24"/>
        </w:rPr>
        <w:t>worker</w:t>
      </w:r>
      <w:r w:rsidR="00AD6C83" w:rsidRPr="00A22656">
        <w:rPr>
          <w:rFonts w:ascii="Times New Roman" w:hAnsi="Times New Roman" w:cs="Times New Roman"/>
          <w:sz w:val="24"/>
          <w:szCs w:val="24"/>
        </w:rPr>
        <w:t xml:space="preserve">, the safeguard mechanism appeared to do the constitutionally unthinkable. </w:t>
      </w:r>
      <w:r w:rsidR="005B63CC" w:rsidRPr="00A22656">
        <w:rPr>
          <w:rFonts w:ascii="Times New Roman" w:hAnsi="Times New Roman" w:cs="Times New Roman"/>
          <w:sz w:val="24"/>
          <w:szCs w:val="24"/>
        </w:rPr>
        <w:t>Yet the analysis demonstrates not only that the safeguard was legally salvageable but</w:t>
      </w:r>
      <w:r w:rsidR="000B4CFC" w:rsidRPr="00A22656">
        <w:rPr>
          <w:rFonts w:ascii="Times New Roman" w:hAnsi="Times New Roman" w:cs="Times New Roman"/>
          <w:sz w:val="24"/>
          <w:szCs w:val="24"/>
        </w:rPr>
        <w:t xml:space="preserve"> also</w:t>
      </w:r>
      <w:r w:rsidR="005B63CC" w:rsidRPr="00A22656">
        <w:rPr>
          <w:rFonts w:ascii="Times New Roman" w:hAnsi="Times New Roman" w:cs="Times New Roman"/>
          <w:sz w:val="24"/>
          <w:szCs w:val="24"/>
        </w:rPr>
        <w:t xml:space="preserve"> that it was f</w:t>
      </w:r>
      <w:r w:rsidR="00CC301C" w:rsidRPr="00A22656">
        <w:rPr>
          <w:rFonts w:ascii="Times New Roman" w:hAnsi="Times New Roman" w:cs="Times New Roman"/>
          <w:sz w:val="24"/>
          <w:szCs w:val="24"/>
        </w:rPr>
        <w:t xml:space="preserve">irmly rooted in the </w:t>
      </w:r>
      <w:r w:rsidR="005B63CC" w:rsidRPr="00A22656">
        <w:rPr>
          <w:rFonts w:ascii="Times New Roman" w:hAnsi="Times New Roman" w:cs="Times New Roman"/>
          <w:sz w:val="24"/>
          <w:szCs w:val="24"/>
        </w:rPr>
        <w:t>constitutional evolution of Union citizenship from the internal market. Consequently, while the UK will now willingly relinquish the Union citizenship rights of its own nationals, it might</w:t>
      </w:r>
      <w:r w:rsidR="000B4CFC" w:rsidRPr="00A22656">
        <w:rPr>
          <w:rFonts w:ascii="Times New Roman" w:hAnsi="Times New Roman" w:cs="Times New Roman"/>
          <w:sz w:val="24"/>
          <w:szCs w:val="24"/>
        </w:rPr>
        <w:t xml:space="preserve"> also</w:t>
      </w:r>
      <w:r w:rsidR="005B63CC" w:rsidRPr="00A22656">
        <w:rPr>
          <w:rFonts w:ascii="Times New Roman" w:hAnsi="Times New Roman" w:cs="Times New Roman"/>
          <w:sz w:val="24"/>
          <w:szCs w:val="24"/>
        </w:rPr>
        <w:t xml:space="preserve"> leave a restrictive legacy – by virtue of the backdrop to its departure – for those who remain </w:t>
      </w:r>
      <w:r w:rsidR="00535F43" w:rsidRPr="00A22656">
        <w:rPr>
          <w:rFonts w:ascii="Times New Roman" w:hAnsi="Times New Roman" w:cs="Times New Roman"/>
          <w:sz w:val="24"/>
          <w:szCs w:val="24"/>
        </w:rPr>
        <w:t>E</w:t>
      </w:r>
      <w:r w:rsidR="005B63CC" w:rsidRPr="00A22656">
        <w:rPr>
          <w:rFonts w:ascii="Times New Roman" w:hAnsi="Times New Roman" w:cs="Times New Roman"/>
          <w:sz w:val="24"/>
          <w:szCs w:val="24"/>
        </w:rPr>
        <w:t>U citizens.</w:t>
      </w:r>
      <w:r w:rsidR="00CC301C" w:rsidRPr="00A22656">
        <w:rPr>
          <w:rFonts w:ascii="Times New Roman" w:hAnsi="Times New Roman" w:cs="Times New Roman"/>
          <w:sz w:val="24"/>
          <w:szCs w:val="24"/>
        </w:rPr>
        <w:t xml:space="preserve"> It has </w:t>
      </w:r>
      <w:r w:rsidR="00CC301C" w:rsidRPr="00A22656">
        <w:rPr>
          <w:rFonts w:ascii="Times New Roman" w:hAnsi="Times New Roman" w:cs="Times New Roman"/>
          <w:sz w:val="24"/>
          <w:szCs w:val="24"/>
        </w:rPr>
        <w:lastRenderedPageBreak/>
        <w:t>opened a Pandora’s B</w:t>
      </w:r>
      <w:r w:rsidR="006B4611" w:rsidRPr="00A22656">
        <w:rPr>
          <w:rFonts w:ascii="Times New Roman" w:hAnsi="Times New Roman" w:cs="Times New Roman"/>
          <w:sz w:val="24"/>
          <w:szCs w:val="24"/>
        </w:rPr>
        <w:t>ox in respect of how other Member States might now s</w:t>
      </w:r>
      <w:r w:rsidR="00535F43" w:rsidRPr="00A22656">
        <w:rPr>
          <w:rFonts w:ascii="Times New Roman" w:hAnsi="Times New Roman" w:cs="Times New Roman"/>
          <w:sz w:val="24"/>
          <w:szCs w:val="24"/>
        </w:rPr>
        <w:t>eek to redefine the outer boundaries</w:t>
      </w:r>
      <w:r w:rsidR="00C11C4F" w:rsidRPr="00A22656">
        <w:rPr>
          <w:rFonts w:ascii="Times New Roman" w:hAnsi="Times New Roman" w:cs="Times New Roman"/>
          <w:sz w:val="24"/>
          <w:szCs w:val="24"/>
        </w:rPr>
        <w:t xml:space="preserve"> of Union citizenship and</w:t>
      </w:r>
      <w:r w:rsidR="006B4611" w:rsidRPr="00A22656">
        <w:rPr>
          <w:rFonts w:ascii="Times New Roman" w:hAnsi="Times New Roman" w:cs="Times New Roman"/>
          <w:sz w:val="24"/>
          <w:szCs w:val="24"/>
        </w:rPr>
        <w:t xml:space="preserve"> the internal market</w:t>
      </w:r>
      <w:r w:rsidR="00C11C4F" w:rsidRPr="00A22656">
        <w:rPr>
          <w:rFonts w:ascii="Times New Roman" w:hAnsi="Times New Roman" w:cs="Times New Roman"/>
          <w:sz w:val="24"/>
          <w:szCs w:val="24"/>
        </w:rPr>
        <w:t xml:space="preserve"> </w:t>
      </w:r>
      <w:r w:rsidR="006B4611" w:rsidRPr="00A22656">
        <w:rPr>
          <w:rFonts w:ascii="Times New Roman" w:hAnsi="Times New Roman" w:cs="Times New Roman"/>
          <w:sz w:val="24"/>
          <w:szCs w:val="24"/>
        </w:rPr>
        <w:t>in response to political pressure.</w:t>
      </w:r>
      <w:r w:rsidR="002C6152" w:rsidRPr="00A22656">
        <w:rPr>
          <w:rFonts w:ascii="Times New Roman" w:hAnsi="Times New Roman" w:cs="Times New Roman"/>
          <w:sz w:val="24"/>
          <w:szCs w:val="24"/>
        </w:rPr>
        <w:t xml:space="preserve"> </w:t>
      </w:r>
    </w:p>
    <w:p w:rsidR="00535F43" w:rsidRPr="00A22656" w:rsidRDefault="00535F43" w:rsidP="005F768F">
      <w:pPr>
        <w:pStyle w:val="NoSpacing"/>
        <w:spacing w:line="360" w:lineRule="auto"/>
        <w:jc w:val="both"/>
        <w:rPr>
          <w:rFonts w:ascii="Times New Roman" w:hAnsi="Times New Roman" w:cs="Times New Roman"/>
          <w:sz w:val="24"/>
          <w:szCs w:val="24"/>
        </w:rPr>
      </w:pPr>
    </w:p>
    <w:p w:rsidR="00F678B4" w:rsidRPr="00F678B4" w:rsidRDefault="002C6152" w:rsidP="005F768F">
      <w:pPr>
        <w:pStyle w:val="NoSpacing"/>
        <w:spacing w:line="360" w:lineRule="auto"/>
        <w:jc w:val="both"/>
        <w:rPr>
          <w:rFonts w:ascii="Times New Roman" w:hAnsi="Times New Roman" w:cs="Times New Roman"/>
          <w:sz w:val="24"/>
          <w:szCs w:val="24"/>
        </w:rPr>
      </w:pPr>
      <w:r w:rsidRPr="00A22656">
        <w:rPr>
          <w:rFonts w:ascii="Times New Roman" w:hAnsi="Times New Roman" w:cs="Times New Roman"/>
          <w:sz w:val="24"/>
          <w:szCs w:val="24"/>
        </w:rPr>
        <w:t xml:space="preserve">Crucially, since the legality of the safeguard is </w:t>
      </w:r>
      <w:r w:rsidR="00535F43" w:rsidRPr="00A22656">
        <w:rPr>
          <w:rFonts w:ascii="Times New Roman" w:hAnsi="Times New Roman" w:cs="Times New Roman"/>
          <w:sz w:val="24"/>
          <w:szCs w:val="24"/>
        </w:rPr>
        <w:t xml:space="preserve">largely grounded </w:t>
      </w:r>
      <w:r w:rsidRPr="00A22656">
        <w:rPr>
          <w:rFonts w:ascii="Times New Roman" w:hAnsi="Times New Roman" w:cs="Times New Roman"/>
          <w:sz w:val="24"/>
          <w:szCs w:val="24"/>
        </w:rPr>
        <w:t>in CJEU case-law arising from domestic restrictions on free movemen</w:t>
      </w:r>
      <w:r w:rsidR="00CC601D" w:rsidRPr="00A22656">
        <w:rPr>
          <w:rFonts w:ascii="Times New Roman" w:hAnsi="Times New Roman" w:cs="Times New Roman"/>
          <w:sz w:val="24"/>
          <w:szCs w:val="24"/>
        </w:rPr>
        <w:t>t, there appears no reason why a Member State</w:t>
      </w:r>
      <w:r w:rsidR="00523A7B" w:rsidRPr="00A22656">
        <w:rPr>
          <w:rFonts w:ascii="Times New Roman" w:hAnsi="Times New Roman" w:cs="Times New Roman"/>
          <w:sz w:val="24"/>
          <w:szCs w:val="24"/>
        </w:rPr>
        <w:t xml:space="preserve"> must</w:t>
      </w:r>
      <w:r w:rsidR="00CC601D" w:rsidRPr="00A22656">
        <w:rPr>
          <w:rFonts w:ascii="Times New Roman" w:hAnsi="Times New Roman" w:cs="Times New Roman"/>
          <w:sz w:val="24"/>
          <w:szCs w:val="24"/>
        </w:rPr>
        <w:t xml:space="preserve"> wait for the re-emergence of the safeguard at the Union-level.</w:t>
      </w:r>
      <w:r w:rsidR="00892436" w:rsidRPr="00A22656">
        <w:rPr>
          <w:rFonts w:ascii="Times New Roman" w:hAnsi="Times New Roman" w:cs="Times New Roman"/>
          <w:sz w:val="24"/>
          <w:szCs w:val="24"/>
        </w:rPr>
        <w:t xml:space="preserve"> Of course, such blatant discrimination against EU workers would go further than Member State limitations have successfully gone before. Accordingly, a finding of invalidity or incompatibility in relation to</w:t>
      </w:r>
      <w:r w:rsidR="00535F43" w:rsidRPr="00A22656">
        <w:rPr>
          <w:rFonts w:ascii="Times New Roman" w:hAnsi="Times New Roman" w:cs="Times New Roman"/>
          <w:sz w:val="24"/>
          <w:szCs w:val="24"/>
        </w:rPr>
        <w:t xml:space="preserve"> any future re-introduction</w:t>
      </w:r>
      <w:r w:rsidR="00892436" w:rsidRPr="00A22656">
        <w:rPr>
          <w:rFonts w:ascii="Times New Roman" w:hAnsi="Times New Roman" w:cs="Times New Roman"/>
          <w:sz w:val="24"/>
          <w:szCs w:val="24"/>
        </w:rPr>
        <w:t xml:space="preserve"> of the safeguard would appear an uncontroversial performance of the Court’s institutional role. And yet, the Court’s previous in</w:t>
      </w:r>
      <w:r w:rsidR="00523A7B" w:rsidRPr="00A22656">
        <w:rPr>
          <w:rFonts w:ascii="Times New Roman" w:hAnsi="Times New Roman" w:cs="Times New Roman"/>
          <w:sz w:val="24"/>
          <w:szCs w:val="24"/>
        </w:rPr>
        <w:t>stitutional boundary-pushing might</w:t>
      </w:r>
      <w:r w:rsidR="00892436" w:rsidRPr="00A22656">
        <w:rPr>
          <w:rFonts w:ascii="Times New Roman" w:hAnsi="Times New Roman" w:cs="Times New Roman"/>
          <w:sz w:val="24"/>
          <w:szCs w:val="24"/>
        </w:rPr>
        <w:t xml:space="preserve"> leave it constrained at the very moment when it might appropriately act to protect foundational principles of Union law. </w:t>
      </w:r>
      <w:r w:rsidR="00F678B4" w:rsidRPr="00A22656">
        <w:rPr>
          <w:rFonts w:ascii="Times New Roman" w:hAnsi="Times New Roman" w:cs="Times New Roman"/>
          <w:sz w:val="24"/>
          <w:szCs w:val="24"/>
        </w:rPr>
        <w:t>H</w:t>
      </w:r>
      <w:r w:rsidR="00892436" w:rsidRPr="00A22656">
        <w:rPr>
          <w:rFonts w:ascii="Times New Roman" w:hAnsi="Times New Roman" w:cs="Times New Roman"/>
          <w:sz w:val="24"/>
          <w:szCs w:val="24"/>
        </w:rPr>
        <w:t>owever, given that</w:t>
      </w:r>
      <w:r w:rsidR="00F678B4" w:rsidRPr="00A22656">
        <w:rPr>
          <w:rFonts w:ascii="Times New Roman" w:hAnsi="Times New Roman" w:cs="Times New Roman"/>
          <w:sz w:val="24"/>
          <w:szCs w:val="24"/>
        </w:rPr>
        <w:t xml:space="preserve"> any future safeguard is likely to arise unilaterally from individual Member States,</w:t>
      </w:r>
      <w:r w:rsidR="00535F43" w:rsidRPr="00A22656">
        <w:rPr>
          <w:rFonts w:ascii="Times New Roman" w:hAnsi="Times New Roman" w:cs="Times New Roman"/>
          <w:sz w:val="24"/>
          <w:szCs w:val="24"/>
        </w:rPr>
        <w:t xml:space="preserve"> by means of justifiable indirect discrimination</w:t>
      </w:r>
      <w:r w:rsidR="00F678B4" w:rsidRPr="00A22656">
        <w:rPr>
          <w:rFonts w:ascii="Times New Roman" w:hAnsi="Times New Roman" w:cs="Times New Roman"/>
          <w:sz w:val="24"/>
          <w:szCs w:val="24"/>
        </w:rPr>
        <w:t xml:space="preserve">, the CJEU will be able to present the safeguard as in-line with its own jurisprudence. </w:t>
      </w:r>
      <w:r w:rsidR="00535F43" w:rsidRPr="00A22656">
        <w:rPr>
          <w:rFonts w:ascii="Times New Roman" w:hAnsi="Times New Roman" w:cs="Times New Roman"/>
          <w:sz w:val="24"/>
          <w:szCs w:val="24"/>
        </w:rPr>
        <w:t>Startlingly</w:t>
      </w:r>
      <w:r w:rsidR="00F678B4" w:rsidRPr="00A22656">
        <w:rPr>
          <w:rFonts w:ascii="Times New Roman" w:hAnsi="Times New Roman" w:cs="Times New Roman"/>
          <w:sz w:val="24"/>
          <w:szCs w:val="24"/>
        </w:rPr>
        <w:t xml:space="preserve"> then,</w:t>
      </w:r>
      <w:r w:rsidR="00FF3B63" w:rsidRPr="00A22656">
        <w:rPr>
          <w:rFonts w:ascii="Times New Roman" w:hAnsi="Times New Roman" w:cs="Times New Roman"/>
          <w:sz w:val="24"/>
          <w:szCs w:val="24"/>
        </w:rPr>
        <w:t xml:space="preserve"> the re-emergence of the safeguard might fail on both fronts, since it would present </w:t>
      </w:r>
      <w:r w:rsidR="005E4D92" w:rsidRPr="00A22656">
        <w:rPr>
          <w:rFonts w:ascii="Times New Roman" w:hAnsi="Times New Roman" w:cs="Times New Roman"/>
          <w:sz w:val="24"/>
          <w:szCs w:val="24"/>
        </w:rPr>
        <w:t>genuine obstacles to the free movement and equal treatment rights of Union citizens,</w:t>
      </w:r>
      <w:r w:rsidR="00FF3B63" w:rsidRPr="00A22656">
        <w:rPr>
          <w:rFonts w:ascii="Times New Roman" w:hAnsi="Times New Roman" w:cs="Times New Roman"/>
          <w:sz w:val="24"/>
          <w:szCs w:val="24"/>
        </w:rPr>
        <w:t xml:space="preserve"> while</w:t>
      </w:r>
      <w:r w:rsidR="005C3CC8" w:rsidRPr="00A22656">
        <w:rPr>
          <w:rFonts w:ascii="Times New Roman" w:hAnsi="Times New Roman" w:cs="Times New Roman"/>
          <w:sz w:val="24"/>
          <w:szCs w:val="24"/>
        </w:rPr>
        <w:t xml:space="preserve"> </w:t>
      </w:r>
      <w:r w:rsidR="00FF3B63" w:rsidRPr="00A22656">
        <w:rPr>
          <w:rFonts w:ascii="Times New Roman" w:hAnsi="Times New Roman" w:cs="Times New Roman"/>
          <w:sz w:val="24"/>
          <w:szCs w:val="24"/>
        </w:rPr>
        <w:t xml:space="preserve">doing </w:t>
      </w:r>
      <w:r w:rsidR="005E4D92" w:rsidRPr="00A22656">
        <w:rPr>
          <w:rFonts w:ascii="Times New Roman" w:hAnsi="Times New Roman" w:cs="Times New Roman"/>
          <w:sz w:val="24"/>
          <w:szCs w:val="24"/>
        </w:rPr>
        <w:t>little to address Union citizenship’s ongoing existential crisis.</w:t>
      </w:r>
      <w:r w:rsidR="005E4D92">
        <w:rPr>
          <w:rFonts w:ascii="Times New Roman" w:hAnsi="Times New Roman" w:cs="Times New Roman"/>
          <w:sz w:val="24"/>
          <w:szCs w:val="24"/>
        </w:rPr>
        <w:t xml:space="preserve"> </w:t>
      </w:r>
    </w:p>
    <w:p w:rsidR="00F678B4" w:rsidRDefault="00F678B4" w:rsidP="005F768F">
      <w:pPr>
        <w:pStyle w:val="NoSpacing"/>
        <w:spacing w:line="360" w:lineRule="auto"/>
        <w:jc w:val="both"/>
        <w:rPr>
          <w:rFonts w:ascii="Times New Roman" w:hAnsi="Times New Roman" w:cs="Times New Roman"/>
          <w:sz w:val="24"/>
          <w:szCs w:val="24"/>
        </w:rPr>
      </w:pPr>
    </w:p>
    <w:p w:rsidR="005D1431" w:rsidRPr="00226CAF" w:rsidRDefault="005D1431" w:rsidP="005F768F">
      <w:pPr>
        <w:pStyle w:val="NoSpacing"/>
        <w:spacing w:line="360" w:lineRule="auto"/>
        <w:jc w:val="both"/>
      </w:pPr>
    </w:p>
    <w:sectPr w:rsidR="005D1431" w:rsidRPr="00226CA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74" w:rsidRDefault="00403074" w:rsidP="00844F64">
      <w:pPr>
        <w:spacing w:after="0" w:line="240" w:lineRule="auto"/>
      </w:pPr>
      <w:r>
        <w:separator/>
      </w:r>
    </w:p>
  </w:endnote>
  <w:endnote w:type="continuationSeparator" w:id="0">
    <w:p w:rsidR="00403074" w:rsidRDefault="00403074" w:rsidP="0084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1ef757c0">
    <w:panose1 w:val="00000000000000000000"/>
    <w:charset w:val="00"/>
    <w:family w:val="roman"/>
    <w:notTrueType/>
    <w:pitch w:val="default"/>
    <w:sig w:usb0="00000003" w:usb1="00000000" w:usb2="00000000" w:usb3="00000000" w:csb0="00000001" w:csb1="00000000"/>
  </w:font>
  <w:font w:name="AdvOT7d6df7ab.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158195"/>
      <w:docPartObj>
        <w:docPartGallery w:val="Page Numbers (Bottom of Page)"/>
        <w:docPartUnique/>
      </w:docPartObj>
    </w:sdtPr>
    <w:sdtEndPr>
      <w:rPr>
        <w:noProof/>
      </w:rPr>
    </w:sdtEndPr>
    <w:sdtContent>
      <w:p w:rsidR="007859BF" w:rsidRDefault="007859BF">
        <w:pPr>
          <w:pStyle w:val="Footer"/>
          <w:jc w:val="right"/>
        </w:pPr>
        <w:r>
          <w:fldChar w:fldCharType="begin"/>
        </w:r>
        <w:r>
          <w:instrText xml:space="preserve"> PAGE   \* MERGEFORMAT </w:instrText>
        </w:r>
        <w:r>
          <w:fldChar w:fldCharType="separate"/>
        </w:r>
        <w:r w:rsidR="00A22656">
          <w:rPr>
            <w:noProof/>
          </w:rPr>
          <w:t>1</w:t>
        </w:r>
        <w:r>
          <w:rPr>
            <w:noProof/>
          </w:rPr>
          <w:fldChar w:fldCharType="end"/>
        </w:r>
      </w:p>
    </w:sdtContent>
  </w:sdt>
  <w:p w:rsidR="007859BF" w:rsidRDefault="00785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74" w:rsidRDefault="00403074" w:rsidP="00844F64">
      <w:pPr>
        <w:spacing w:after="0" w:line="240" w:lineRule="auto"/>
      </w:pPr>
      <w:r>
        <w:separator/>
      </w:r>
    </w:p>
  </w:footnote>
  <w:footnote w:type="continuationSeparator" w:id="0">
    <w:p w:rsidR="00403074" w:rsidRDefault="00403074" w:rsidP="00844F64">
      <w:pPr>
        <w:spacing w:after="0" w:line="240" w:lineRule="auto"/>
      </w:pPr>
      <w:r>
        <w:continuationSeparator/>
      </w:r>
    </w:p>
  </w:footnote>
  <w:footnote w:id="1">
    <w:p w:rsidR="007859BF" w:rsidRDefault="007859BF">
      <w:pPr>
        <w:pStyle w:val="FootnoteText"/>
      </w:pPr>
      <w:r>
        <w:rPr>
          <w:rStyle w:val="FootnoteReference"/>
        </w:rPr>
        <w:footnoteRef/>
      </w:r>
      <w:r>
        <w:t xml:space="preserve"> The Bratislava Declaration, 16 September 2016, Statement 517/16 (Institutional Affairs), 1</w:t>
      </w:r>
    </w:p>
  </w:footnote>
  <w:footnote w:id="2">
    <w:p w:rsidR="007859BF" w:rsidRPr="00942939" w:rsidRDefault="007859BF">
      <w:pPr>
        <w:pStyle w:val="FootnoteText"/>
      </w:pPr>
      <w:r>
        <w:rPr>
          <w:rStyle w:val="FootnoteReference"/>
        </w:rPr>
        <w:footnoteRef/>
      </w:r>
      <w:r>
        <w:t xml:space="preserve"> </w:t>
      </w:r>
      <w:r>
        <w:rPr>
          <w:i/>
        </w:rPr>
        <w:t>Ibid</w:t>
      </w:r>
    </w:p>
  </w:footnote>
  <w:footnote w:id="3">
    <w:p w:rsidR="007859BF" w:rsidRPr="0073449E" w:rsidRDefault="007859BF">
      <w:pPr>
        <w:pStyle w:val="FootnoteText"/>
      </w:pPr>
      <w:r>
        <w:rPr>
          <w:rStyle w:val="FootnoteReference"/>
        </w:rPr>
        <w:footnoteRef/>
      </w:r>
      <w:r>
        <w:t xml:space="preserve"> Statement of EU Leaders and the Netherlands Presidency on the Outcome of the UK Referendum, 24 June 2016, Press Release 381/16 (Institutional Affairs)</w:t>
      </w:r>
    </w:p>
  </w:footnote>
  <w:footnote w:id="4">
    <w:p w:rsidR="007859BF" w:rsidRDefault="007859BF" w:rsidP="00354EF8">
      <w:pPr>
        <w:pStyle w:val="FootnoteText"/>
      </w:pPr>
      <w:r>
        <w:rPr>
          <w:rStyle w:val="FootnoteReference"/>
        </w:rPr>
        <w:footnoteRef/>
      </w:r>
      <w:r>
        <w:t xml:space="preserve"> At the time of writing, the UK Prime Minister Theresa May has indicated the government’s plan to trigger Article 50 TEU proceedings in March 2017 and the UK’s intention to leave the single market whilst seeking a bespoke deal on the customs union. However, the Government has yet to indicate how this might be achieved in practice. The Italian prime minister Matteo Renzi resigned in December 2016, following defeat in a constitutional referendum, which, for some, represented a wider opportunity for Eurosceptic parties to present their political alternative; Austria elected left-leaning President Alexander Van der </w:t>
      </w:r>
      <w:proofErr w:type="spellStart"/>
      <w:r>
        <w:t>Bellen</w:t>
      </w:r>
      <w:proofErr w:type="spellEnd"/>
      <w:r>
        <w:t xml:space="preserve"> over far-right, anti-immigration and anti-EU candidate Norbert Hofer; Marine le Penn, of Le Front National</w:t>
      </w:r>
      <w:r w:rsidR="001F39A5">
        <w:t>,</w:t>
      </w:r>
      <w:r>
        <w:t xml:space="preserve"> prepares for the French presidential elections.  </w:t>
      </w:r>
    </w:p>
  </w:footnote>
  <w:footnote w:id="5">
    <w:p w:rsidR="007859BF" w:rsidRPr="00707C13" w:rsidRDefault="007859BF" w:rsidP="00707C13">
      <w:pPr>
        <w:spacing w:after="0" w:line="240" w:lineRule="auto"/>
        <w:jc w:val="both"/>
        <w:rPr>
          <w:rFonts w:eastAsia="Times New Roman" w:cstheme="minorHAnsi"/>
          <w:sz w:val="20"/>
          <w:szCs w:val="20"/>
        </w:rPr>
      </w:pPr>
      <w:r>
        <w:rPr>
          <w:rStyle w:val="FootnoteReference"/>
        </w:rPr>
        <w:footnoteRef/>
      </w:r>
      <w:r>
        <w:t xml:space="preserve"> </w:t>
      </w:r>
      <w:r>
        <w:rPr>
          <w:rFonts w:cstheme="minorHAnsi"/>
          <w:sz w:val="20"/>
          <w:szCs w:val="20"/>
        </w:rPr>
        <w:t>Though others</w:t>
      </w:r>
      <w:r w:rsidRPr="00707C13">
        <w:rPr>
          <w:rFonts w:cstheme="minorHAnsi"/>
          <w:sz w:val="20"/>
          <w:szCs w:val="20"/>
        </w:rPr>
        <w:t xml:space="preserve"> emerge from</w:t>
      </w:r>
      <w:r>
        <w:rPr>
          <w:rFonts w:cstheme="minorHAnsi"/>
          <w:sz w:val="20"/>
          <w:szCs w:val="20"/>
        </w:rPr>
        <w:t xml:space="preserve"> the other</w:t>
      </w:r>
      <w:r w:rsidRPr="00707C13">
        <w:rPr>
          <w:rFonts w:cstheme="minorHAnsi"/>
          <w:sz w:val="20"/>
          <w:szCs w:val="20"/>
        </w:rPr>
        <w:t xml:space="preserve"> legal mechanisms borne in response to other EU ‘crises’, such as the European Stability Mechanism. See </w:t>
      </w:r>
      <w:r w:rsidRPr="00707C13">
        <w:rPr>
          <w:rFonts w:eastAsia="Times New Roman" w:cstheme="minorHAnsi"/>
          <w:sz w:val="20"/>
          <w:szCs w:val="20"/>
        </w:rPr>
        <w:t xml:space="preserve">M </w:t>
      </w:r>
      <w:proofErr w:type="spellStart"/>
      <w:r w:rsidRPr="00707C13">
        <w:rPr>
          <w:rFonts w:eastAsia="Times New Roman" w:cstheme="minorHAnsi"/>
          <w:sz w:val="20"/>
          <w:szCs w:val="20"/>
        </w:rPr>
        <w:t>Ruffert</w:t>
      </w:r>
      <w:proofErr w:type="spellEnd"/>
      <w:r w:rsidRPr="00707C13">
        <w:rPr>
          <w:rFonts w:eastAsia="Times New Roman" w:cstheme="minorHAnsi"/>
          <w:sz w:val="20"/>
          <w:szCs w:val="20"/>
        </w:rPr>
        <w:t xml:space="preserve">, ‘The European Debt Crisis and European Union Law’, (2011) 48 </w:t>
      </w:r>
      <w:r w:rsidRPr="00707C13">
        <w:rPr>
          <w:rFonts w:eastAsia="Times New Roman" w:cstheme="minorHAnsi"/>
          <w:i/>
          <w:sz w:val="20"/>
          <w:szCs w:val="20"/>
        </w:rPr>
        <w:t>CML Rev</w:t>
      </w:r>
      <w:r>
        <w:rPr>
          <w:rFonts w:eastAsia="Times New Roman" w:cstheme="minorHAnsi"/>
          <w:sz w:val="20"/>
          <w:szCs w:val="20"/>
        </w:rPr>
        <w:t xml:space="preserve"> 1777</w:t>
      </w:r>
    </w:p>
    <w:p w:rsidR="007859BF" w:rsidRDefault="007859BF">
      <w:pPr>
        <w:pStyle w:val="FootnoteText"/>
      </w:pPr>
    </w:p>
  </w:footnote>
  <w:footnote w:id="6">
    <w:p w:rsidR="007859BF" w:rsidRDefault="007859BF">
      <w:pPr>
        <w:pStyle w:val="FootnoteText"/>
      </w:pPr>
      <w:r>
        <w:rPr>
          <w:rStyle w:val="FootnoteReference"/>
        </w:rPr>
        <w:footnoteRef/>
      </w:r>
      <w:r>
        <w:t xml:space="preserve"> European Council Meeting (18</w:t>
      </w:r>
      <w:r w:rsidRPr="002A2047">
        <w:rPr>
          <w:vertAlign w:val="superscript"/>
        </w:rPr>
        <w:t>th</w:t>
      </w:r>
      <w:r>
        <w:t>/19</w:t>
      </w:r>
      <w:r w:rsidRPr="002A2047">
        <w:rPr>
          <w:vertAlign w:val="superscript"/>
        </w:rPr>
        <w:t>th</w:t>
      </w:r>
      <w:r>
        <w:t xml:space="preserve"> February 2016), Brussels, 19</w:t>
      </w:r>
      <w:r w:rsidRPr="002A2047">
        <w:rPr>
          <w:vertAlign w:val="superscript"/>
        </w:rPr>
        <w:t>th</w:t>
      </w:r>
      <w:r>
        <w:t xml:space="preserve"> February 2016, EUCO 1/16, 1</w:t>
      </w:r>
    </w:p>
  </w:footnote>
  <w:footnote w:id="7">
    <w:p w:rsidR="007859BF" w:rsidRPr="000A0468" w:rsidRDefault="007859BF" w:rsidP="00FF7D80">
      <w:pPr>
        <w:pStyle w:val="FootnoteText"/>
      </w:pPr>
      <w:r>
        <w:rPr>
          <w:rStyle w:val="FootnoteReference"/>
        </w:rPr>
        <w:footnoteRef/>
      </w:r>
      <w:r w:rsidR="00C82F23">
        <w:t xml:space="preserve"> Decision of the Heads of State or Government meeting within the European Council, concerning a New Settlement for the United Kingdom within the European Union, Annex I to the Conclusions of the European Council Meeting (18</w:t>
      </w:r>
      <w:r w:rsidR="00C82F23" w:rsidRPr="002A2047">
        <w:rPr>
          <w:vertAlign w:val="superscript"/>
        </w:rPr>
        <w:t>th</w:t>
      </w:r>
      <w:r w:rsidR="00C82F23">
        <w:t>/19</w:t>
      </w:r>
      <w:r w:rsidR="00C82F23" w:rsidRPr="002A2047">
        <w:rPr>
          <w:vertAlign w:val="superscript"/>
        </w:rPr>
        <w:t>th</w:t>
      </w:r>
      <w:r w:rsidR="00C82F23">
        <w:t xml:space="preserve"> February 2016), Brussels, 19</w:t>
      </w:r>
      <w:r w:rsidR="00C82F23" w:rsidRPr="002A2047">
        <w:rPr>
          <w:vertAlign w:val="superscript"/>
        </w:rPr>
        <w:t>th</w:t>
      </w:r>
      <w:r w:rsidR="00C82F23">
        <w:t xml:space="preserve"> February 2016, EUCO 1/16, 8 </w:t>
      </w:r>
    </w:p>
  </w:footnote>
  <w:footnote w:id="8">
    <w:p w:rsidR="007859BF" w:rsidRPr="00FF7D80" w:rsidRDefault="007859BF" w:rsidP="00FF7D80">
      <w:pPr>
        <w:pStyle w:val="FootnoteText"/>
      </w:pPr>
      <w:r>
        <w:rPr>
          <w:rStyle w:val="FootnoteReference"/>
        </w:rPr>
        <w:footnoteRef/>
      </w:r>
      <w:r>
        <w:t xml:space="preserve"> </w:t>
      </w:r>
      <w:r w:rsidR="00C82F23">
        <w:t xml:space="preserve">European Council, (note </w:t>
      </w:r>
      <w:r>
        <w:t>7</w:t>
      </w:r>
      <w:r w:rsidR="00C82F23">
        <w:t>)</w:t>
      </w:r>
      <w:r>
        <w:t>, 23</w:t>
      </w:r>
    </w:p>
  </w:footnote>
  <w:footnote w:id="9">
    <w:p w:rsidR="007859BF" w:rsidRPr="00577CA0" w:rsidRDefault="007859BF" w:rsidP="002669EA">
      <w:pPr>
        <w:pStyle w:val="FootnoteText"/>
      </w:pPr>
      <w:r>
        <w:rPr>
          <w:rStyle w:val="FootnoteReference"/>
        </w:rPr>
        <w:footnoteRef/>
      </w:r>
      <w:r>
        <w:t xml:space="preserve"> </w:t>
      </w:r>
      <w:r w:rsidR="00C82F23">
        <w:t>European Council, (note 7)</w:t>
      </w:r>
      <w:r>
        <w:t>, 23</w:t>
      </w:r>
    </w:p>
  </w:footnote>
  <w:footnote w:id="10">
    <w:p w:rsidR="007859BF" w:rsidRPr="00577CA0" w:rsidRDefault="007859BF" w:rsidP="00821D26">
      <w:pPr>
        <w:pStyle w:val="FootnoteText"/>
      </w:pPr>
      <w:r>
        <w:rPr>
          <w:rStyle w:val="FootnoteReference"/>
        </w:rPr>
        <w:footnoteRef/>
      </w:r>
      <w:r w:rsidR="00C82F23">
        <w:t xml:space="preserve"> European Council (note 7)</w:t>
      </w:r>
      <w:r>
        <w:t>, 23</w:t>
      </w:r>
    </w:p>
  </w:footnote>
  <w:footnote w:id="11">
    <w:p w:rsidR="007859BF" w:rsidRDefault="007859BF">
      <w:pPr>
        <w:pStyle w:val="FootnoteText"/>
      </w:pPr>
      <w:r>
        <w:rPr>
          <w:rStyle w:val="FootnoteReference"/>
        </w:rPr>
        <w:footnoteRef/>
      </w:r>
      <w:r>
        <w:t xml:space="preserve"> </w:t>
      </w:r>
      <w:r w:rsidR="00A34BD1">
        <w:t>European Council, (note 7)</w:t>
      </w:r>
      <w:r>
        <w:t xml:space="preserve">, 19 </w:t>
      </w:r>
    </w:p>
  </w:footnote>
  <w:footnote w:id="12">
    <w:p w:rsidR="007859BF" w:rsidRPr="00724612" w:rsidRDefault="007859BF">
      <w:pPr>
        <w:pStyle w:val="FootnoteText"/>
      </w:pPr>
      <w:r>
        <w:rPr>
          <w:rStyle w:val="FootnoteReference"/>
        </w:rPr>
        <w:footnoteRef/>
      </w:r>
      <w:r w:rsidR="00A34BD1">
        <w:t xml:space="preserve"> European Council</w:t>
      </w:r>
      <w:r>
        <w:t>,</w:t>
      </w:r>
      <w:r w:rsidR="00A34BD1">
        <w:t xml:space="preserve"> (note 6),</w:t>
      </w:r>
      <w:r>
        <w:t xml:space="preserve"> 1-2</w:t>
      </w:r>
    </w:p>
  </w:footnote>
  <w:footnote w:id="13">
    <w:p w:rsidR="007859BF" w:rsidRDefault="007859BF">
      <w:pPr>
        <w:pStyle w:val="FootnoteText"/>
      </w:pPr>
      <w:r>
        <w:rPr>
          <w:rStyle w:val="FootnoteReference"/>
        </w:rPr>
        <w:footnoteRef/>
      </w:r>
      <w:r>
        <w:t xml:space="preserve"> Arts.18 and 21 TFEU respectively</w:t>
      </w:r>
    </w:p>
  </w:footnote>
  <w:footnote w:id="14">
    <w:p w:rsidR="007859BF" w:rsidRPr="00247BB2" w:rsidRDefault="007859BF">
      <w:pPr>
        <w:pStyle w:val="FootnoteText"/>
      </w:pPr>
      <w:r>
        <w:rPr>
          <w:rStyle w:val="FootnoteReference"/>
        </w:rPr>
        <w:footnoteRef/>
      </w:r>
      <w:r>
        <w:t xml:space="preserve"> </w:t>
      </w:r>
      <w:proofErr w:type="spellStart"/>
      <w:r>
        <w:t>Reg</w:t>
      </w:r>
      <w:proofErr w:type="spellEnd"/>
      <w:r>
        <w:t xml:space="preserve"> No.492/2011 of the European Parliament and Council of 5</w:t>
      </w:r>
      <w:r w:rsidRPr="00272176">
        <w:rPr>
          <w:vertAlign w:val="superscript"/>
        </w:rPr>
        <w:t>th</w:t>
      </w:r>
      <w:r>
        <w:t xml:space="preserve"> April 2011 on freedom of movement for workers within the Union, OJ L141/1</w:t>
      </w:r>
    </w:p>
  </w:footnote>
  <w:footnote w:id="15">
    <w:p w:rsidR="007859BF" w:rsidRDefault="007859BF">
      <w:pPr>
        <w:pStyle w:val="FootnoteText"/>
      </w:pPr>
      <w:r>
        <w:rPr>
          <w:rStyle w:val="FootnoteReference"/>
        </w:rPr>
        <w:footnoteRef/>
      </w:r>
      <w:r>
        <w:t xml:space="preserve"> In the form of Art.7 </w:t>
      </w:r>
      <w:proofErr w:type="spellStart"/>
      <w:r>
        <w:t>Reg</w:t>
      </w:r>
      <w:proofErr w:type="spellEnd"/>
      <w:r>
        <w:t xml:space="preserve"> No 1612/68 of the Council of 15 October 1968 on freedom movement of workers in the Community, OJ L257/2 </w:t>
      </w:r>
    </w:p>
  </w:footnote>
  <w:footnote w:id="16">
    <w:p w:rsidR="007859BF" w:rsidRDefault="007859BF" w:rsidP="00724612">
      <w:pPr>
        <w:pStyle w:val="FootnoteText"/>
      </w:pPr>
      <w:r>
        <w:rPr>
          <w:rStyle w:val="FootnoteReference"/>
        </w:rPr>
        <w:footnoteRef/>
      </w:r>
      <w:r>
        <w:t xml:space="preserve"> Case 207/78 </w:t>
      </w:r>
      <w:r>
        <w:rPr>
          <w:i/>
        </w:rPr>
        <w:t xml:space="preserve">Even </w:t>
      </w:r>
      <w:r>
        <w:t>ECLI:EU:C:1979:144, para.21</w:t>
      </w:r>
    </w:p>
  </w:footnote>
  <w:footnote w:id="17">
    <w:p w:rsidR="007859BF" w:rsidRDefault="007859BF">
      <w:pPr>
        <w:pStyle w:val="FootnoteText"/>
      </w:pPr>
      <w:r>
        <w:rPr>
          <w:rStyle w:val="FootnoteReference"/>
        </w:rPr>
        <w:footnoteRef/>
      </w:r>
      <w:r>
        <w:t xml:space="preserve"> </w:t>
      </w:r>
      <w:r w:rsidR="00A34BD1">
        <w:t>European Council, (note 7)</w:t>
      </w:r>
      <w:r>
        <w:t>, 21</w:t>
      </w:r>
    </w:p>
  </w:footnote>
  <w:footnote w:id="18">
    <w:p w:rsidR="007859BF" w:rsidRDefault="007859BF" w:rsidP="001017CE">
      <w:pPr>
        <w:pStyle w:val="FootnoteText"/>
      </w:pPr>
      <w:r>
        <w:rPr>
          <w:rStyle w:val="FootnoteReference"/>
        </w:rPr>
        <w:footnoteRef/>
      </w:r>
      <w:r>
        <w:t xml:space="preserve"> K Sorensen, ‘Reconciling secondary legislation with the Treaty rights of free movement’, (2011) 36 </w:t>
      </w:r>
      <w:proofErr w:type="spellStart"/>
      <w:r w:rsidRPr="001D54E2">
        <w:rPr>
          <w:i/>
        </w:rPr>
        <w:t>ELRev</w:t>
      </w:r>
      <w:proofErr w:type="spellEnd"/>
      <w:r>
        <w:t xml:space="preserve"> 339; G Davies, ‘Legislative Control of the European Court of Justice’ (2014) 51 </w:t>
      </w:r>
      <w:proofErr w:type="spellStart"/>
      <w:r w:rsidRPr="001D54E2">
        <w:rPr>
          <w:i/>
        </w:rPr>
        <w:t>CMLRev</w:t>
      </w:r>
      <w:proofErr w:type="spellEnd"/>
      <w:r>
        <w:t xml:space="preserve"> 1579; T Horsley, ‘Institutional Dynamics Reloaded: The Court of Justice and the Development of the Internal Market’, in P </w:t>
      </w:r>
      <w:proofErr w:type="spellStart"/>
      <w:r>
        <w:t>Koutrakos</w:t>
      </w:r>
      <w:proofErr w:type="spellEnd"/>
      <w:r>
        <w:t xml:space="preserve"> and J Snell (</w:t>
      </w:r>
      <w:proofErr w:type="spellStart"/>
      <w:r>
        <w:t>eds</w:t>
      </w:r>
      <w:proofErr w:type="spellEnd"/>
      <w:r>
        <w:t xml:space="preserve">), </w:t>
      </w:r>
      <w:r>
        <w:rPr>
          <w:i/>
        </w:rPr>
        <w:t>Research Handbook on EU Internal Market Law</w:t>
      </w:r>
      <w:r>
        <w:t xml:space="preserve">, (Cheltenham, Elgar, forthcoming) </w:t>
      </w:r>
    </w:p>
  </w:footnote>
  <w:footnote w:id="19">
    <w:p w:rsidR="007859BF" w:rsidRPr="00007D4B" w:rsidRDefault="007859BF" w:rsidP="0067680D">
      <w:pPr>
        <w:pStyle w:val="FootnoteText"/>
      </w:pPr>
      <w:r>
        <w:rPr>
          <w:rStyle w:val="FootnoteReference"/>
        </w:rPr>
        <w:footnoteRef/>
      </w:r>
      <w:r>
        <w:t xml:space="preserve"> Case 15/83 </w:t>
      </w:r>
      <w:proofErr w:type="spellStart"/>
      <w:r>
        <w:rPr>
          <w:i/>
        </w:rPr>
        <w:t>Denkavit</w:t>
      </w:r>
      <w:proofErr w:type="spellEnd"/>
      <w:r>
        <w:t xml:space="preserve"> ECLI:EU:C:1984:183</w:t>
      </w:r>
    </w:p>
  </w:footnote>
  <w:footnote w:id="20">
    <w:p w:rsidR="007859BF" w:rsidRDefault="007859BF">
      <w:pPr>
        <w:pStyle w:val="FootnoteText"/>
      </w:pPr>
      <w:r>
        <w:rPr>
          <w:rStyle w:val="FootnoteReference"/>
        </w:rPr>
        <w:footnoteRef/>
      </w:r>
      <w:r>
        <w:t xml:space="preserve"> Joined Cases 80/77 and 81/77 </w:t>
      </w:r>
      <w:r>
        <w:rPr>
          <w:i/>
        </w:rPr>
        <w:t>Ramel</w:t>
      </w:r>
      <w:r>
        <w:t xml:space="preserve"> ECLI:EU:1978:87; Case C-363/93 </w:t>
      </w:r>
      <w:proofErr w:type="spellStart"/>
      <w:r>
        <w:rPr>
          <w:i/>
        </w:rPr>
        <w:t>Lancry</w:t>
      </w:r>
      <w:proofErr w:type="spellEnd"/>
      <w:r>
        <w:t xml:space="preserve"> ECLI:EU:C:1994315</w:t>
      </w:r>
    </w:p>
  </w:footnote>
  <w:footnote w:id="21">
    <w:p w:rsidR="007859BF" w:rsidRDefault="007859BF">
      <w:pPr>
        <w:pStyle w:val="FootnoteText"/>
      </w:pPr>
      <w:r>
        <w:rPr>
          <w:rStyle w:val="FootnoteReference"/>
        </w:rPr>
        <w:footnoteRef/>
      </w:r>
      <w:r>
        <w:t xml:space="preserve"> Case 128/89 </w:t>
      </w:r>
      <w:r>
        <w:rPr>
          <w:i/>
        </w:rPr>
        <w:t>Commission v Italy</w:t>
      </w:r>
      <w:r>
        <w:t xml:space="preserve"> ECLI:EU:C:1990:311</w:t>
      </w:r>
    </w:p>
  </w:footnote>
  <w:footnote w:id="22">
    <w:p w:rsidR="007859BF" w:rsidRDefault="007859BF">
      <w:pPr>
        <w:pStyle w:val="FootnoteText"/>
      </w:pPr>
      <w:r>
        <w:rPr>
          <w:rStyle w:val="FootnoteReference"/>
        </w:rPr>
        <w:footnoteRef/>
      </w:r>
      <w:r>
        <w:t xml:space="preserve"> Case C-200/02 </w:t>
      </w:r>
      <w:r>
        <w:rPr>
          <w:i/>
        </w:rPr>
        <w:t>Chen</w:t>
      </w:r>
      <w:r>
        <w:t xml:space="preserve"> ECLI:EU:C:2004:639; Case C-34/09 </w:t>
      </w:r>
      <w:r>
        <w:rPr>
          <w:i/>
        </w:rPr>
        <w:t>Ruiz Zambrano</w:t>
      </w:r>
      <w:r>
        <w:t xml:space="preserve"> ECLI:EU:C:2011:124; Case C-120/95 </w:t>
      </w:r>
      <w:r>
        <w:rPr>
          <w:i/>
        </w:rPr>
        <w:t>Decker</w:t>
      </w:r>
      <w:r>
        <w:t xml:space="preserve"> ECLI:EU:C:1998:167</w:t>
      </w:r>
    </w:p>
  </w:footnote>
  <w:footnote w:id="23">
    <w:p w:rsidR="007859BF" w:rsidRPr="0035769C" w:rsidRDefault="007859BF" w:rsidP="00531CCF">
      <w:pPr>
        <w:pStyle w:val="FootnoteText"/>
      </w:pPr>
      <w:r>
        <w:rPr>
          <w:rStyle w:val="FootnoteReference"/>
        </w:rPr>
        <w:footnoteRef/>
      </w:r>
      <w:r>
        <w:t xml:space="preserve"> Case C-380/03 </w:t>
      </w:r>
      <w:r>
        <w:rPr>
          <w:i/>
        </w:rPr>
        <w:t xml:space="preserve">Germany v Parliament and Council </w:t>
      </w:r>
      <w:r w:rsidRPr="007F10E7">
        <w:t>ECLI</w:t>
      </w:r>
      <w:r>
        <w:rPr>
          <w:i/>
        </w:rPr>
        <w:t>:</w:t>
      </w:r>
      <w:r>
        <w:t>EU:C:2006:772</w:t>
      </w:r>
    </w:p>
  </w:footnote>
  <w:footnote w:id="24">
    <w:p w:rsidR="007859BF" w:rsidRDefault="007859BF">
      <w:pPr>
        <w:pStyle w:val="FootnoteText"/>
      </w:pPr>
      <w:r>
        <w:rPr>
          <w:rStyle w:val="FootnoteReference"/>
        </w:rPr>
        <w:footnoteRef/>
      </w:r>
      <w:r w:rsidR="00691B36">
        <w:t xml:space="preserve"> Horsley, (Institutional d</w:t>
      </w:r>
      <w:r>
        <w:t>ynamics)</w:t>
      </w:r>
    </w:p>
  </w:footnote>
  <w:footnote w:id="25">
    <w:p w:rsidR="007859BF" w:rsidRDefault="007859BF">
      <w:pPr>
        <w:pStyle w:val="FootnoteText"/>
      </w:pPr>
      <w:r>
        <w:rPr>
          <w:rStyle w:val="FootnoteReference"/>
        </w:rPr>
        <w:footnoteRef/>
      </w:r>
      <w:r>
        <w:t xml:space="preserve"> Case 15/83 </w:t>
      </w:r>
      <w:proofErr w:type="spellStart"/>
      <w:r>
        <w:rPr>
          <w:i/>
        </w:rPr>
        <w:t>Denkavit</w:t>
      </w:r>
      <w:proofErr w:type="spellEnd"/>
      <w:r>
        <w:rPr>
          <w:i/>
        </w:rPr>
        <w:t xml:space="preserve"> </w:t>
      </w:r>
      <w:r>
        <w:t xml:space="preserve">ECLI:EU:C:1984:183; Case C-51/93 </w:t>
      </w:r>
      <w:proofErr w:type="spellStart"/>
      <w:r>
        <w:rPr>
          <w:i/>
        </w:rPr>
        <w:t>Meyhui</w:t>
      </w:r>
      <w:proofErr w:type="spellEnd"/>
      <w:r>
        <w:rPr>
          <w:i/>
        </w:rPr>
        <w:t xml:space="preserve"> </w:t>
      </w:r>
      <w:r>
        <w:t>ECLI:EU:C:1994:312</w:t>
      </w:r>
    </w:p>
  </w:footnote>
  <w:footnote w:id="26">
    <w:p w:rsidR="007859BF" w:rsidRPr="000A58CA" w:rsidRDefault="007859BF" w:rsidP="00057474">
      <w:pPr>
        <w:pStyle w:val="FootnoteText"/>
      </w:pPr>
      <w:r>
        <w:rPr>
          <w:rStyle w:val="FootnoteReference"/>
        </w:rPr>
        <w:footnoteRef/>
      </w:r>
      <w:r>
        <w:t xml:space="preserve"> Ibid</w:t>
      </w:r>
    </w:p>
  </w:footnote>
  <w:footnote w:id="27">
    <w:p w:rsidR="007859BF" w:rsidRPr="008547A9" w:rsidRDefault="007859BF" w:rsidP="00A859BB">
      <w:pPr>
        <w:pStyle w:val="FootnoteText"/>
      </w:pPr>
      <w:r>
        <w:rPr>
          <w:rStyle w:val="FootnoteReference"/>
        </w:rPr>
        <w:footnoteRef/>
      </w:r>
      <w:r>
        <w:t xml:space="preserve"> </w:t>
      </w:r>
      <w:r w:rsidR="00114B54">
        <w:t>European Council, (note 7)</w:t>
      </w:r>
      <w:r>
        <w:t>, 19</w:t>
      </w:r>
    </w:p>
  </w:footnote>
  <w:footnote w:id="28">
    <w:p w:rsidR="007859BF" w:rsidRDefault="007859BF">
      <w:pPr>
        <w:pStyle w:val="FootnoteText"/>
      </w:pPr>
      <w:r>
        <w:rPr>
          <w:rStyle w:val="FootnoteReference"/>
        </w:rPr>
        <w:footnoteRef/>
      </w:r>
      <w:r>
        <w:t xml:space="preserve"> </w:t>
      </w:r>
      <w:r w:rsidR="00691B36">
        <w:t>Sorensen, (Secondary legislation</w:t>
      </w:r>
      <w:r w:rsidR="00114B54">
        <w:t>)</w:t>
      </w:r>
      <w:r>
        <w:t>, 355</w:t>
      </w:r>
    </w:p>
  </w:footnote>
  <w:footnote w:id="29">
    <w:p w:rsidR="007859BF" w:rsidRDefault="007859BF">
      <w:pPr>
        <w:pStyle w:val="FootnoteText"/>
      </w:pPr>
      <w:r>
        <w:rPr>
          <w:rStyle w:val="FootnoteReference"/>
        </w:rPr>
        <w:footnoteRef/>
      </w:r>
      <w:r>
        <w:t xml:space="preserve"> Case C-299/02 </w:t>
      </w:r>
      <w:r>
        <w:rPr>
          <w:i/>
        </w:rPr>
        <w:t>Commission v Netherlands</w:t>
      </w:r>
      <w:r>
        <w:t xml:space="preserve"> ECLI:EU:C:2004:620, para.24</w:t>
      </w:r>
    </w:p>
  </w:footnote>
  <w:footnote w:id="30">
    <w:p w:rsidR="007859BF" w:rsidRPr="00B56AA0" w:rsidRDefault="007859BF" w:rsidP="00A35B1A">
      <w:pPr>
        <w:pStyle w:val="FootnoteText"/>
      </w:pPr>
      <w:r>
        <w:rPr>
          <w:rStyle w:val="FootnoteReference"/>
        </w:rPr>
        <w:footnoteRef/>
      </w:r>
      <w:r>
        <w:t xml:space="preserve"> Case 10/73 </w:t>
      </w:r>
      <w:proofErr w:type="spellStart"/>
      <w:r>
        <w:rPr>
          <w:i/>
        </w:rPr>
        <w:t>Rewe</w:t>
      </w:r>
      <w:proofErr w:type="spellEnd"/>
      <w:r>
        <w:rPr>
          <w:i/>
        </w:rPr>
        <w:t xml:space="preserve"> </w:t>
      </w:r>
      <w:proofErr w:type="spellStart"/>
      <w:r>
        <w:rPr>
          <w:i/>
        </w:rPr>
        <w:t>Zentral</w:t>
      </w:r>
      <w:proofErr w:type="spellEnd"/>
      <w:r>
        <w:rPr>
          <w:i/>
        </w:rPr>
        <w:t xml:space="preserve"> AG v </w:t>
      </w:r>
      <w:proofErr w:type="spellStart"/>
      <w:r>
        <w:rPr>
          <w:i/>
        </w:rPr>
        <w:t>Hauptzollamt</w:t>
      </w:r>
      <w:proofErr w:type="spellEnd"/>
      <w:r>
        <w:rPr>
          <w:i/>
        </w:rPr>
        <w:t xml:space="preserve"> </w:t>
      </w:r>
      <w:proofErr w:type="spellStart"/>
      <w:r>
        <w:rPr>
          <w:i/>
        </w:rPr>
        <w:t>Kehl</w:t>
      </w:r>
      <w:proofErr w:type="spellEnd"/>
      <w:r>
        <w:t xml:space="preserve"> ECLIEU:C:1973:111; Case 136/77 </w:t>
      </w:r>
      <w:proofErr w:type="spellStart"/>
      <w:r>
        <w:rPr>
          <w:i/>
        </w:rPr>
        <w:t>Racke</w:t>
      </w:r>
      <w:proofErr w:type="spellEnd"/>
      <w:r>
        <w:t xml:space="preserve"> ECLI:EU:C:1978:114</w:t>
      </w:r>
    </w:p>
  </w:footnote>
  <w:footnote w:id="31">
    <w:p w:rsidR="007859BF" w:rsidRDefault="007859BF">
      <w:pPr>
        <w:pStyle w:val="FootnoteText"/>
      </w:pPr>
      <w:r>
        <w:rPr>
          <w:rStyle w:val="FootnoteReference"/>
        </w:rPr>
        <w:footnoteRef/>
      </w:r>
      <w:r>
        <w:t xml:space="preserve"> </w:t>
      </w:r>
      <w:r w:rsidR="00245158">
        <w:t>European Council, (note 7),</w:t>
      </w:r>
      <w:r>
        <w:t xml:space="preserve"> 23</w:t>
      </w:r>
    </w:p>
  </w:footnote>
  <w:footnote w:id="32">
    <w:p w:rsidR="007859BF" w:rsidRDefault="007859BF">
      <w:pPr>
        <w:pStyle w:val="FootnoteText"/>
      </w:pPr>
      <w:r>
        <w:rPr>
          <w:rStyle w:val="FootnoteReference"/>
        </w:rPr>
        <w:footnoteRef/>
      </w:r>
      <w:r>
        <w:t xml:space="preserve"> C-193/94 </w:t>
      </w:r>
      <w:proofErr w:type="spellStart"/>
      <w:r>
        <w:rPr>
          <w:i/>
        </w:rPr>
        <w:t>Skanavi</w:t>
      </w:r>
      <w:proofErr w:type="spellEnd"/>
      <w:r>
        <w:rPr>
          <w:i/>
        </w:rPr>
        <w:t xml:space="preserve"> </w:t>
      </w:r>
      <w:r>
        <w:t xml:space="preserve">ECLI:EU:C:1996:70; in Case C-236/09 </w:t>
      </w:r>
      <w:r>
        <w:rPr>
          <w:i/>
        </w:rPr>
        <w:t xml:space="preserve">Test </w:t>
      </w:r>
      <w:proofErr w:type="spellStart"/>
      <w:r>
        <w:rPr>
          <w:i/>
        </w:rPr>
        <w:t>Achats</w:t>
      </w:r>
      <w:proofErr w:type="spellEnd"/>
      <w:r>
        <w:t xml:space="preserve"> ECLI:EU:C:2011:100, the Court found a provision of a Directive to be invalid because the permission it granted to discriminate on grounds of sex for a set period, contrary to Arts.21 and 23 CFR, could be renewed </w:t>
      </w:r>
      <w:r w:rsidRPr="00144F1B">
        <w:rPr>
          <w:i/>
        </w:rPr>
        <w:t>indefinitely</w:t>
      </w:r>
      <w:r>
        <w:t>.</w:t>
      </w:r>
    </w:p>
  </w:footnote>
  <w:footnote w:id="33">
    <w:p w:rsidR="007859BF" w:rsidRDefault="007859BF">
      <w:pPr>
        <w:pStyle w:val="FootnoteText"/>
      </w:pPr>
      <w:r>
        <w:rPr>
          <w:rStyle w:val="FootnoteReference"/>
        </w:rPr>
        <w:footnoteRef/>
      </w:r>
      <w:r>
        <w:t xml:space="preserve"> Joined Cases C-154/04 and C-155/04 </w:t>
      </w:r>
      <w:r>
        <w:rPr>
          <w:i/>
        </w:rPr>
        <w:t xml:space="preserve">Alliance for Natural Health </w:t>
      </w:r>
      <w:r>
        <w:t>ECLI:EU:C:2005:449, para.52</w:t>
      </w:r>
    </w:p>
  </w:footnote>
  <w:footnote w:id="34">
    <w:p w:rsidR="007859BF" w:rsidRPr="0012483A" w:rsidRDefault="007859BF">
      <w:pPr>
        <w:pStyle w:val="FootnoteText"/>
      </w:pPr>
      <w:r>
        <w:rPr>
          <w:rStyle w:val="FootnoteReference"/>
        </w:rPr>
        <w:footnoteRef/>
      </w:r>
      <w:r>
        <w:t xml:space="preserve"> </w:t>
      </w:r>
      <w:r>
        <w:rPr>
          <w:i/>
        </w:rPr>
        <w:t>Ibid</w:t>
      </w:r>
      <w:r>
        <w:t xml:space="preserve">; c.f. Case C-413/99 </w:t>
      </w:r>
      <w:proofErr w:type="spellStart"/>
      <w:r>
        <w:rPr>
          <w:i/>
        </w:rPr>
        <w:t>Baumbast</w:t>
      </w:r>
      <w:proofErr w:type="spellEnd"/>
      <w:r>
        <w:t xml:space="preserve"> ECLI:EU:C:2002:493</w:t>
      </w:r>
    </w:p>
  </w:footnote>
  <w:footnote w:id="35">
    <w:p w:rsidR="007859BF" w:rsidRDefault="007859BF">
      <w:pPr>
        <w:pStyle w:val="FootnoteText"/>
      </w:pPr>
      <w:r>
        <w:rPr>
          <w:rStyle w:val="FootnoteReference"/>
        </w:rPr>
        <w:footnoteRef/>
      </w:r>
      <w:r>
        <w:t xml:space="preserve"> </w:t>
      </w:r>
      <w:r w:rsidR="00245158">
        <w:t>European Council, (note 7)</w:t>
      </w:r>
      <w:r>
        <w:t>, 34</w:t>
      </w:r>
    </w:p>
  </w:footnote>
  <w:footnote w:id="36">
    <w:p w:rsidR="007859BF" w:rsidRPr="0048765A" w:rsidRDefault="007859BF" w:rsidP="00395045">
      <w:pPr>
        <w:pStyle w:val="FootnoteText"/>
      </w:pPr>
      <w:r>
        <w:rPr>
          <w:rStyle w:val="FootnoteReference"/>
        </w:rPr>
        <w:footnoteRef/>
      </w:r>
      <w:r>
        <w:t xml:space="preserve"> Joined Cases 80/77 and 81/77 </w:t>
      </w:r>
      <w:r>
        <w:rPr>
          <w:i/>
        </w:rPr>
        <w:t>Ramel</w:t>
      </w:r>
    </w:p>
  </w:footnote>
  <w:footnote w:id="37">
    <w:p w:rsidR="007859BF" w:rsidRPr="0048765A" w:rsidRDefault="007859BF" w:rsidP="00CD2E7F">
      <w:pPr>
        <w:pStyle w:val="FootnoteText"/>
      </w:pPr>
      <w:r>
        <w:rPr>
          <w:rStyle w:val="FootnoteReference"/>
        </w:rPr>
        <w:footnoteRef/>
      </w:r>
      <w:r>
        <w:t xml:space="preserve"> Case C-363/93 </w:t>
      </w:r>
      <w:proofErr w:type="spellStart"/>
      <w:r>
        <w:rPr>
          <w:i/>
        </w:rPr>
        <w:t>Lancry</w:t>
      </w:r>
      <w:proofErr w:type="spellEnd"/>
    </w:p>
  </w:footnote>
  <w:footnote w:id="38">
    <w:p w:rsidR="007859BF" w:rsidRDefault="007859BF">
      <w:pPr>
        <w:pStyle w:val="FootnoteText"/>
      </w:pPr>
      <w:r>
        <w:rPr>
          <w:rStyle w:val="FootnoteReference"/>
        </w:rPr>
        <w:footnoteRef/>
      </w:r>
      <w:r>
        <w:t xml:space="preserve"> Regulation No 1408/71 of the Council of 14</w:t>
      </w:r>
      <w:r w:rsidRPr="0094196C">
        <w:rPr>
          <w:vertAlign w:val="superscript"/>
        </w:rPr>
        <w:t>th</w:t>
      </w:r>
      <w:r>
        <w:t xml:space="preserve"> June 1971 on the application of social security schemes to employed persons and their family members moving within the Community, OJ L149/02 (repealed)</w:t>
      </w:r>
    </w:p>
  </w:footnote>
  <w:footnote w:id="39">
    <w:p w:rsidR="007859BF" w:rsidRPr="00483DE0" w:rsidRDefault="007859BF" w:rsidP="0094196C">
      <w:pPr>
        <w:pStyle w:val="FootnoteText"/>
        <w:rPr>
          <w:rFonts w:cstheme="minorHAnsi"/>
        </w:rPr>
      </w:pPr>
      <w:r w:rsidRPr="00483DE0">
        <w:rPr>
          <w:rStyle w:val="FootnoteReference"/>
        </w:rPr>
        <w:footnoteRef/>
      </w:r>
      <w:r w:rsidRPr="00483DE0">
        <w:t xml:space="preserve"> </w:t>
      </w:r>
      <w:r w:rsidRPr="00483DE0">
        <w:rPr>
          <w:rFonts w:cstheme="minorHAnsi"/>
        </w:rPr>
        <w:t xml:space="preserve">Case 41/84 </w:t>
      </w:r>
      <w:r w:rsidRPr="00483DE0">
        <w:rPr>
          <w:rFonts w:cstheme="minorHAnsi"/>
          <w:i/>
        </w:rPr>
        <w:t>Pinna</w:t>
      </w:r>
      <w:r>
        <w:rPr>
          <w:rFonts w:cstheme="minorHAnsi"/>
        </w:rPr>
        <w:t xml:space="preserve"> E</w:t>
      </w:r>
      <w:r w:rsidRPr="00483DE0">
        <w:rPr>
          <w:rFonts w:cstheme="minorHAnsi"/>
        </w:rPr>
        <w:t>C</w:t>
      </w:r>
      <w:r>
        <w:rPr>
          <w:rFonts w:cstheme="minorHAnsi"/>
        </w:rPr>
        <w:t>L</w:t>
      </w:r>
      <w:r w:rsidRPr="00483DE0">
        <w:rPr>
          <w:rFonts w:cstheme="minorHAnsi"/>
        </w:rPr>
        <w:t>I:EU:C:1986:1, para.21</w:t>
      </w:r>
    </w:p>
  </w:footnote>
  <w:footnote w:id="40">
    <w:p w:rsidR="007859BF" w:rsidRPr="00AB70DA" w:rsidRDefault="007859BF">
      <w:pPr>
        <w:pStyle w:val="FootnoteText"/>
      </w:pPr>
      <w:r>
        <w:rPr>
          <w:rStyle w:val="FootnoteReference"/>
        </w:rPr>
        <w:footnoteRef/>
      </w:r>
      <w:r>
        <w:t xml:space="preserve"> See also Case 20/85 </w:t>
      </w:r>
      <w:proofErr w:type="spellStart"/>
      <w:r>
        <w:rPr>
          <w:i/>
        </w:rPr>
        <w:t>Roviello</w:t>
      </w:r>
      <w:proofErr w:type="spellEnd"/>
      <w:r>
        <w:t xml:space="preserve"> ECLI:EU:C:1988:283</w:t>
      </w:r>
    </w:p>
  </w:footnote>
  <w:footnote w:id="41">
    <w:p w:rsidR="007859BF" w:rsidRPr="00D27FAB" w:rsidRDefault="007859BF" w:rsidP="00AB70DA">
      <w:pPr>
        <w:pStyle w:val="NoSpacing"/>
        <w:jc w:val="both"/>
      </w:pPr>
      <w:r>
        <w:rPr>
          <w:rStyle w:val="FootnoteReference"/>
        </w:rPr>
        <w:footnoteRef/>
      </w:r>
      <w:r>
        <w:t xml:space="preserve"> </w:t>
      </w:r>
      <w:r w:rsidRPr="006D1440">
        <w:rPr>
          <w:rFonts w:cstheme="minorHAnsi"/>
          <w:sz w:val="20"/>
          <w:szCs w:val="20"/>
        </w:rPr>
        <w:t xml:space="preserve">Case C-236/09 </w:t>
      </w:r>
      <w:r w:rsidRPr="006D1440">
        <w:rPr>
          <w:rFonts w:cstheme="minorHAnsi"/>
          <w:i/>
          <w:sz w:val="20"/>
          <w:szCs w:val="20"/>
        </w:rPr>
        <w:t xml:space="preserve">Test </w:t>
      </w:r>
      <w:proofErr w:type="spellStart"/>
      <w:r w:rsidRPr="006D1440">
        <w:rPr>
          <w:rFonts w:cstheme="minorHAnsi"/>
          <w:i/>
          <w:sz w:val="20"/>
          <w:szCs w:val="20"/>
        </w:rPr>
        <w:t>Achats</w:t>
      </w:r>
      <w:proofErr w:type="spellEnd"/>
      <w:r>
        <w:rPr>
          <w:rFonts w:cstheme="minorHAnsi"/>
          <w:sz w:val="20"/>
          <w:szCs w:val="20"/>
        </w:rPr>
        <w:t xml:space="preserve">; </w:t>
      </w:r>
      <w:r w:rsidRPr="006D1440">
        <w:rPr>
          <w:rFonts w:cstheme="minorHAnsi"/>
          <w:sz w:val="20"/>
          <w:szCs w:val="20"/>
        </w:rPr>
        <w:t>Case C-</w:t>
      </w:r>
      <w:r>
        <w:rPr>
          <w:rFonts w:cstheme="minorHAnsi"/>
          <w:sz w:val="20"/>
          <w:szCs w:val="20"/>
        </w:rPr>
        <w:t xml:space="preserve">34/10 </w:t>
      </w:r>
      <w:proofErr w:type="spellStart"/>
      <w:r w:rsidRPr="006D1440">
        <w:rPr>
          <w:rFonts w:cstheme="minorHAnsi"/>
          <w:i/>
          <w:sz w:val="20"/>
          <w:szCs w:val="20"/>
        </w:rPr>
        <w:t>Brüstle</w:t>
      </w:r>
      <w:proofErr w:type="spellEnd"/>
      <w:r w:rsidRPr="006D1440">
        <w:rPr>
          <w:rFonts w:cstheme="minorHAnsi"/>
          <w:i/>
          <w:sz w:val="20"/>
          <w:szCs w:val="20"/>
        </w:rPr>
        <w:t xml:space="preserve"> </w:t>
      </w:r>
      <w:r>
        <w:rPr>
          <w:rFonts w:cstheme="minorHAnsi"/>
          <w:sz w:val="20"/>
          <w:szCs w:val="20"/>
        </w:rPr>
        <w:t>ECLI</w:t>
      </w:r>
      <w:proofErr w:type="gramStart"/>
      <w:r>
        <w:rPr>
          <w:rFonts w:cstheme="minorHAnsi"/>
          <w:sz w:val="20"/>
          <w:szCs w:val="20"/>
        </w:rPr>
        <w:t>:EU:C:</w:t>
      </w:r>
      <w:r w:rsidR="00245158">
        <w:rPr>
          <w:rFonts w:cstheme="minorHAnsi"/>
          <w:sz w:val="20"/>
          <w:szCs w:val="20"/>
        </w:rPr>
        <w:t>2011:</w:t>
      </w:r>
      <w:r>
        <w:rPr>
          <w:rFonts w:cstheme="minorHAnsi"/>
          <w:sz w:val="20"/>
          <w:szCs w:val="20"/>
        </w:rPr>
        <w:t>669</w:t>
      </w:r>
      <w:proofErr w:type="gramEnd"/>
      <w:r w:rsidRPr="006D1440">
        <w:rPr>
          <w:rFonts w:cstheme="minorHAnsi"/>
          <w:sz w:val="20"/>
          <w:szCs w:val="20"/>
        </w:rPr>
        <w:t>; Joined Cases C-293/12 a</w:t>
      </w:r>
      <w:r w:rsidR="00245158">
        <w:rPr>
          <w:rFonts w:cstheme="minorHAnsi"/>
          <w:sz w:val="20"/>
          <w:szCs w:val="20"/>
        </w:rPr>
        <w:t>n</w:t>
      </w:r>
      <w:r w:rsidRPr="006D1440">
        <w:rPr>
          <w:rFonts w:cstheme="minorHAnsi"/>
          <w:sz w:val="20"/>
          <w:szCs w:val="20"/>
        </w:rPr>
        <w:t xml:space="preserve">d C-594/12 </w:t>
      </w:r>
      <w:r w:rsidRPr="006D1440">
        <w:rPr>
          <w:rFonts w:cstheme="minorHAnsi"/>
          <w:i/>
          <w:sz w:val="20"/>
          <w:szCs w:val="20"/>
        </w:rPr>
        <w:t>Digital Rights I</w:t>
      </w:r>
      <w:r>
        <w:rPr>
          <w:rFonts w:cstheme="minorHAnsi"/>
          <w:i/>
          <w:sz w:val="20"/>
          <w:szCs w:val="20"/>
        </w:rPr>
        <w:t xml:space="preserve">reland </w:t>
      </w:r>
      <w:r>
        <w:rPr>
          <w:rFonts w:cstheme="minorHAnsi"/>
          <w:sz w:val="20"/>
          <w:szCs w:val="20"/>
        </w:rPr>
        <w:t>ECLI:EU:C:2014:238. For analysis contrasting the Court’s approach to competence control and fundamental rights review, see Horsley</w:t>
      </w:r>
      <w:r w:rsidR="00691B36">
        <w:rPr>
          <w:rFonts w:cstheme="minorHAnsi"/>
          <w:sz w:val="20"/>
          <w:szCs w:val="20"/>
        </w:rPr>
        <w:t xml:space="preserve"> (Institutional d</w:t>
      </w:r>
      <w:r>
        <w:rPr>
          <w:rFonts w:cstheme="minorHAnsi"/>
          <w:sz w:val="20"/>
          <w:szCs w:val="20"/>
        </w:rPr>
        <w:t>ynamics)</w:t>
      </w:r>
      <w:r>
        <w:t xml:space="preserve"> </w:t>
      </w:r>
    </w:p>
  </w:footnote>
  <w:footnote w:id="42">
    <w:p w:rsidR="007859BF" w:rsidRDefault="007859BF">
      <w:pPr>
        <w:pStyle w:val="FootnoteText"/>
      </w:pPr>
      <w:r>
        <w:rPr>
          <w:rStyle w:val="FootnoteReference"/>
        </w:rPr>
        <w:footnoteRef/>
      </w:r>
      <w:r>
        <w:t xml:space="preserve"> E.g. Annex VI, Treaty of Accession of Bulgaria and Romania (2005) OJ L157/11</w:t>
      </w:r>
    </w:p>
  </w:footnote>
  <w:footnote w:id="43">
    <w:p w:rsidR="007859BF" w:rsidRDefault="007859BF">
      <w:pPr>
        <w:pStyle w:val="FootnoteText"/>
      </w:pPr>
      <w:r>
        <w:rPr>
          <w:rStyle w:val="FootnoteReference"/>
        </w:rPr>
        <w:footnoteRef/>
      </w:r>
      <w:r>
        <w:t xml:space="preserve"> Case C-193/94 </w:t>
      </w:r>
      <w:proofErr w:type="spellStart"/>
      <w:r>
        <w:rPr>
          <w:i/>
        </w:rPr>
        <w:t>Skanavi</w:t>
      </w:r>
      <w:proofErr w:type="spellEnd"/>
      <w:r>
        <w:t xml:space="preserve">; Case C-299/02 </w:t>
      </w:r>
      <w:r>
        <w:rPr>
          <w:i/>
        </w:rPr>
        <w:t>Commission v Netherlands</w:t>
      </w:r>
      <w:r>
        <w:t xml:space="preserve"> ECLI:EU:C:2004:620</w:t>
      </w:r>
    </w:p>
  </w:footnote>
  <w:footnote w:id="44">
    <w:p w:rsidR="007859BF" w:rsidRPr="00857940" w:rsidRDefault="007859BF" w:rsidP="00A859BB">
      <w:pPr>
        <w:pStyle w:val="FootnoteText"/>
      </w:pPr>
      <w:r>
        <w:rPr>
          <w:rStyle w:val="FootnoteReference"/>
        </w:rPr>
        <w:footnoteRef/>
      </w:r>
      <w:r>
        <w:t xml:space="preserve"> Case 128/89 </w:t>
      </w:r>
      <w:r>
        <w:rPr>
          <w:i/>
        </w:rPr>
        <w:t>Commission v Italy</w:t>
      </w:r>
    </w:p>
  </w:footnote>
  <w:footnote w:id="45">
    <w:p w:rsidR="007859BF" w:rsidRDefault="007859BF">
      <w:pPr>
        <w:pStyle w:val="FootnoteText"/>
      </w:pPr>
      <w:r>
        <w:rPr>
          <w:rStyle w:val="FootnoteReference"/>
        </w:rPr>
        <w:footnoteRef/>
      </w:r>
      <w:r>
        <w:t xml:space="preserve"> Davies</w:t>
      </w:r>
      <w:r w:rsidR="00245158">
        <w:t>,</w:t>
      </w:r>
      <w:r w:rsidR="00FD2227">
        <w:t xml:space="preserve"> (Legislative c</w:t>
      </w:r>
      <w:r>
        <w:t>ontrol), 1591</w:t>
      </w:r>
    </w:p>
  </w:footnote>
  <w:footnote w:id="46">
    <w:p w:rsidR="007859BF" w:rsidRDefault="007859BF">
      <w:pPr>
        <w:pStyle w:val="FootnoteText"/>
      </w:pPr>
      <w:r>
        <w:rPr>
          <w:rStyle w:val="FootnoteReference"/>
        </w:rPr>
        <w:footnoteRef/>
      </w:r>
      <w:r>
        <w:t xml:space="preserve"> Case C-22/08 </w:t>
      </w:r>
      <w:proofErr w:type="spellStart"/>
      <w:r>
        <w:rPr>
          <w:i/>
        </w:rPr>
        <w:t>Vatsouras</w:t>
      </w:r>
      <w:proofErr w:type="spellEnd"/>
      <w:r>
        <w:t xml:space="preserve"> ECLI:EU:C:2009:344</w:t>
      </w:r>
    </w:p>
  </w:footnote>
  <w:footnote w:id="47">
    <w:p w:rsidR="007859BF" w:rsidRPr="00865777" w:rsidRDefault="007859BF">
      <w:pPr>
        <w:pStyle w:val="FootnoteText"/>
      </w:pPr>
      <w:r>
        <w:rPr>
          <w:rStyle w:val="FootnoteReference"/>
        </w:rPr>
        <w:footnoteRef/>
      </w:r>
      <w:r>
        <w:t xml:space="preserve"> Case C-138/02 </w:t>
      </w:r>
      <w:r>
        <w:rPr>
          <w:i/>
        </w:rPr>
        <w:t>Collins</w:t>
      </w:r>
      <w:r>
        <w:t xml:space="preserve"> ECLI:EU:C:2004:172</w:t>
      </w:r>
    </w:p>
  </w:footnote>
  <w:footnote w:id="48">
    <w:p w:rsidR="007859BF" w:rsidRPr="008708C0" w:rsidRDefault="007859BF">
      <w:pPr>
        <w:pStyle w:val="FootnoteText"/>
        <w:rPr>
          <w:i/>
        </w:rPr>
      </w:pPr>
      <w:r>
        <w:rPr>
          <w:rStyle w:val="FootnoteReference"/>
        </w:rPr>
        <w:footnoteRef/>
      </w:r>
      <w:r>
        <w:t xml:space="preserve"> Case C-200/02 </w:t>
      </w:r>
      <w:r>
        <w:rPr>
          <w:i/>
        </w:rPr>
        <w:t>Chen</w:t>
      </w:r>
    </w:p>
  </w:footnote>
  <w:footnote w:id="49">
    <w:p w:rsidR="007859BF" w:rsidRPr="008708C0" w:rsidRDefault="007859BF">
      <w:pPr>
        <w:pStyle w:val="FootnoteText"/>
        <w:rPr>
          <w:i/>
        </w:rPr>
      </w:pPr>
      <w:r>
        <w:rPr>
          <w:rStyle w:val="FootnoteReference"/>
        </w:rPr>
        <w:footnoteRef/>
      </w:r>
      <w:r>
        <w:t xml:space="preserve"> Case C-34/09 </w:t>
      </w:r>
      <w:r>
        <w:rPr>
          <w:i/>
        </w:rPr>
        <w:t>Ruiz Zambrano</w:t>
      </w:r>
    </w:p>
  </w:footnote>
  <w:footnote w:id="50">
    <w:p w:rsidR="007859BF" w:rsidRPr="008708C0" w:rsidRDefault="007859BF">
      <w:pPr>
        <w:pStyle w:val="FootnoteText"/>
      </w:pPr>
      <w:r>
        <w:rPr>
          <w:rStyle w:val="FootnoteReference"/>
        </w:rPr>
        <w:footnoteRef/>
      </w:r>
      <w:r>
        <w:t xml:space="preserve"> In </w:t>
      </w:r>
      <w:r>
        <w:rPr>
          <w:i/>
        </w:rPr>
        <w:t>Chen</w:t>
      </w:r>
      <w:r>
        <w:t xml:space="preserve"> because the mother was not dependent on the child; in </w:t>
      </w:r>
      <w:r>
        <w:rPr>
          <w:i/>
        </w:rPr>
        <w:t>Ruiz Zambrano</w:t>
      </w:r>
      <w:r>
        <w:t xml:space="preserve"> because the Union citizen had not crossed an intra-EU border.</w:t>
      </w:r>
    </w:p>
  </w:footnote>
  <w:footnote w:id="51">
    <w:p w:rsidR="007859BF" w:rsidRPr="00BA016C" w:rsidRDefault="007859BF" w:rsidP="008708C0">
      <w:pPr>
        <w:pStyle w:val="FootnoteText"/>
      </w:pPr>
      <w:r>
        <w:rPr>
          <w:rStyle w:val="FootnoteReference"/>
        </w:rPr>
        <w:footnoteRef/>
      </w:r>
      <w:r>
        <w:t xml:space="preserve"> Case C-120/95 </w:t>
      </w:r>
      <w:r>
        <w:rPr>
          <w:i/>
        </w:rPr>
        <w:t>Decker</w:t>
      </w:r>
    </w:p>
  </w:footnote>
  <w:footnote w:id="52">
    <w:p w:rsidR="007859BF" w:rsidRPr="000A3E17" w:rsidRDefault="007859BF" w:rsidP="003001C1">
      <w:pPr>
        <w:pStyle w:val="FootnoteText"/>
      </w:pPr>
      <w:r>
        <w:rPr>
          <w:rStyle w:val="FootnoteReference"/>
        </w:rPr>
        <w:footnoteRef/>
      </w:r>
      <w:r>
        <w:t xml:space="preserve"> Case C-333/13 </w:t>
      </w:r>
      <w:proofErr w:type="spellStart"/>
      <w:r>
        <w:rPr>
          <w:i/>
        </w:rPr>
        <w:t>Dano</w:t>
      </w:r>
      <w:proofErr w:type="spellEnd"/>
      <w:r>
        <w:t xml:space="preserve"> ECLI:EU:C:2014:2358;</w:t>
      </w:r>
      <w:r>
        <w:rPr>
          <w:i/>
        </w:rPr>
        <w:t xml:space="preserve"> </w:t>
      </w:r>
      <w:r>
        <w:t xml:space="preserve">Case C-308/14 </w:t>
      </w:r>
      <w:r>
        <w:rPr>
          <w:i/>
        </w:rPr>
        <w:t xml:space="preserve">Commission v UK </w:t>
      </w:r>
      <w:r>
        <w:t>ECLI:EU:C:2016:436</w:t>
      </w:r>
    </w:p>
  </w:footnote>
  <w:footnote w:id="53">
    <w:p w:rsidR="007859BF" w:rsidRPr="001D3D25" w:rsidRDefault="007859BF">
      <w:pPr>
        <w:pStyle w:val="FootnoteText"/>
      </w:pPr>
      <w:r>
        <w:rPr>
          <w:rStyle w:val="FootnoteReference"/>
        </w:rPr>
        <w:footnoteRef/>
      </w:r>
      <w:r>
        <w:t xml:space="preserve"> Case C-67/14 </w:t>
      </w:r>
      <w:proofErr w:type="spellStart"/>
      <w:r>
        <w:rPr>
          <w:i/>
        </w:rPr>
        <w:t>Alimanovic</w:t>
      </w:r>
      <w:proofErr w:type="spellEnd"/>
      <w:r>
        <w:t xml:space="preserve"> ECLI:EU:C:2017:597; Case C-299/14 </w:t>
      </w:r>
      <w:proofErr w:type="spellStart"/>
      <w:r>
        <w:rPr>
          <w:i/>
        </w:rPr>
        <w:t>García</w:t>
      </w:r>
      <w:proofErr w:type="spellEnd"/>
      <w:r>
        <w:rPr>
          <w:i/>
        </w:rPr>
        <w:t>-Nieto</w:t>
      </w:r>
      <w:r>
        <w:t xml:space="preserve"> ECLI:EU:C:2016:114</w:t>
      </w:r>
    </w:p>
  </w:footnote>
  <w:footnote w:id="54">
    <w:p w:rsidR="007859BF" w:rsidRPr="00792641" w:rsidRDefault="007859BF">
      <w:pPr>
        <w:pStyle w:val="FootnoteText"/>
      </w:pPr>
      <w:r>
        <w:rPr>
          <w:rStyle w:val="FootnoteReference"/>
        </w:rPr>
        <w:footnoteRef/>
      </w:r>
      <w:r>
        <w:t xml:space="preserve"> Ibid</w:t>
      </w:r>
    </w:p>
  </w:footnote>
  <w:footnote w:id="55">
    <w:p w:rsidR="007859BF" w:rsidRDefault="007859BF">
      <w:pPr>
        <w:pStyle w:val="FootnoteText"/>
      </w:pPr>
      <w:r>
        <w:rPr>
          <w:rStyle w:val="FootnoteReference"/>
        </w:rPr>
        <w:footnoteRef/>
      </w:r>
      <w:r>
        <w:t xml:space="preserve"> </w:t>
      </w:r>
      <w:r w:rsidR="00245158">
        <w:t>European Council, (note 7)</w:t>
      </w:r>
      <w:r>
        <w:t>, 21</w:t>
      </w:r>
    </w:p>
  </w:footnote>
  <w:footnote w:id="56">
    <w:p w:rsidR="007859BF" w:rsidRDefault="007859BF">
      <w:pPr>
        <w:pStyle w:val="FootnoteText"/>
      </w:pPr>
      <w:r>
        <w:rPr>
          <w:rStyle w:val="FootnoteReference"/>
        </w:rPr>
        <w:footnoteRef/>
      </w:r>
      <w:r>
        <w:t xml:space="preserve"> </w:t>
      </w:r>
      <w:r w:rsidR="00245158">
        <w:t>European Council, (note 7)</w:t>
      </w:r>
      <w:r>
        <w:t>, 20</w:t>
      </w:r>
    </w:p>
  </w:footnote>
  <w:footnote w:id="57">
    <w:p w:rsidR="007859BF" w:rsidRPr="008B5FE4" w:rsidRDefault="007859BF" w:rsidP="00380683">
      <w:pPr>
        <w:pStyle w:val="FootnoteText"/>
      </w:pPr>
      <w:r>
        <w:rPr>
          <w:rStyle w:val="FootnoteReference"/>
        </w:rPr>
        <w:footnoteRef/>
      </w:r>
      <w:r>
        <w:t xml:space="preserve"> Case 41/84 </w:t>
      </w:r>
      <w:r>
        <w:rPr>
          <w:i/>
        </w:rPr>
        <w:t>Pinna;</w:t>
      </w:r>
      <w:r>
        <w:t xml:space="preserve"> Case 20/85</w:t>
      </w:r>
      <w:r>
        <w:rPr>
          <w:i/>
        </w:rPr>
        <w:t xml:space="preserve"> </w:t>
      </w:r>
      <w:proofErr w:type="spellStart"/>
      <w:r>
        <w:rPr>
          <w:i/>
        </w:rPr>
        <w:t>Roviello</w:t>
      </w:r>
      <w:proofErr w:type="spellEnd"/>
    </w:p>
  </w:footnote>
  <w:footnote w:id="58">
    <w:p w:rsidR="007859BF" w:rsidRPr="008B5FE4" w:rsidRDefault="007859BF" w:rsidP="00F442F6">
      <w:pPr>
        <w:pStyle w:val="FootnoteText"/>
        <w:rPr>
          <w:i/>
        </w:rPr>
      </w:pPr>
      <w:r>
        <w:rPr>
          <w:rStyle w:val="FootnoteReference"/>
        </w:rPr>
        <w:footnoteRef/>
      </w:r>
      <w:r>
        <w:t xml:space="preserve"> </w:t>
      </w:r>
      <w:r w:rsidRPr="00FA17D4">
        <w:rPr>
          <w:rFonts w:cs="Times New Roman"/>
        </w:rPr>
        <w:t xml:space="preserve">Case C-2/90 </w:t>
      </w:r>
      <w:r w:rsidRPr="00FA17D4">
        <w:rPr>
          <w:rFonts w:cs="Times New Roman"/>
          <w:i/>
        </w:rPr>
        <w:t>Commission v Belgium</w:t>
      </w:r>
      <w:r w:rsidRPr="00FA17D4">
        <w:rPr>
          <w:rFonts w:cs="Times New Roman"/>
        </w:rPr>
        <w:t xml:space="preserve"> </w:t>
      </w:r>
      <w:r>
        <w:rPr>
          <w:rFonts w:cs="Times New Roman"/>
        </w:rPr>
        <w:t>(</w:t>
      </w:r>
      <w:r>
        <w:rPr>
          <w:rFonts w:cs="Times New Roman"/>
          <w:i/>
        </w:rPr>
        <w:t xml:space="preserve">Walloon Waste) </w:t>
      </w:r>
      <w:r>
        <w:rPr>
          <w:rFonts w:cs="Times New Roman"/>
        </w:rPr>
        <w:t>ECLI:</w:t>
      </w:r>
      <w:r w:rsidRPr="00FA17D4">
        <w:rPr>
          <w:rStyle w:val="outputecliaff"/>
          <w:rFonts w:cs="Times New Roman"/>
        </w:rPr>
        <w:t>EU:C:1992:310</w:t>
      </w:r>
    </w:p>
  </w:footnote>
  <w:footnote w:id="59">
    <w:p w:rsidR="007859BF" w:rsidRPr="00FA17D4" w:rsidRDefault="007859BF">
      <w:pPr>
        <w:pStyle w:val="FootnoteText"/>
        <w:rPr>
          <w:i/>
        </w:rPr>
      </w:pPr>
      <w:r>
        <w:rPr>
          <w:rStyle w:val="FootnoteReference"/>
        </w:rPr>
        <w:footnoteRef/>
      </w:r>
      <w:r>
        <w:t xml:space="preserve"> C-308/14 </w:t>
      </w:r>
      <w:r>
        <w:rPr>
          <w:i/>
        </w:rPr>
        <w:t>Commission v UK</w:t>
      </w:r>
    </w:p>
  </w:footnote>
  <w:footnote w:id="60">
    <w:p w:rsidR="007859BF" w:rsidRPr="00AC2681" w:rsidRDefault="007859BF">
      <w:pPr>
        <w:pStyle w:val="FootnoteText"/>
      </w:pPr>
      <w:r>
        <w:rPr>
          <w:rStyle w:val="FootnoteReference"/>
        </w:rPr>
        <w:footnoteRef/>
      </w:r>
      <w:r>
        <w:t xml:space="preserve"> Case C-308/14 </w:t>
      </w:r>
      <w:r>
        <w:rPr>
          <w:i/>
        </w:rPr>
        <w:t>Commission v UK</w:t>
      </w:r>
      <w:r>
        <w:t>, paras.78-79</w:t>
      </w:r>
    </w:p>
  </w:footnote>
  <w:footnote w:id="61">
    <w:p w:rsidR="007859BF" w:rsidRPr="00FD63B4" w:rsidRDefault="007859BF" w:rsidP="0021302D">
      <w:pPr>
        <w:pStyle w:val="FootnoteText"/>
      </w:pPr>
      <w:r>
        <w:rPr>
          <w:rStyle w:val="FootnoteReference"/>
        </w:rPr>
        <w:footnoteRef/>
      </w:r>
      <w:r>
        <w:t xml:space="preserve"> </w:t>
      </w:r>
      <w:proofErr w:type="spellStart"/>
      <w:r>
        <w:rPr>
          <w:i/>
        </w:rPr>
        <w:t>Patmalniece</w:t>
      </w:r>
      <w:proofErr w:type="spellEnd"/>
      <w:r>
        <w:rPr>
          <w:i/>
        </w:rPr>
        <w:t xml:space="preserve"> (FC) v Secretary of State for Work and Pensions</w:t>
      </w:r>
      <w:r>
        <w:t xml:space="preserve"> [2011] UKSC 11</w:t>
      </w:r>
    </w:p>
  </w:footnote>
  <w:footnote w:id="62">
    <w:p w:rsidR="007859BF" w:rsidRPr="00FA17D4" w:rsidRDefault="007859BF" w:rsidP="00FB228A">
      <w:pPr>
        <w:pStyle w:val="FootnoteText"/>
      </w:pPr>
      <w:r>
        <w:rPr>
          <w:rStyle w:val="FootnoteReference"/>
        </w:rPr>
        <w:footnoteRef/>
      </w:r>
      <w:r>
        <w:t xml:space="preserve"> Case C-73/08 </w:t>
      </w:r>
      <w:proofErr w:type="spellStart"/>
      <w:r>
        <w:rPr>
          <w:i/>
        </w:rPr>
        <w:t>Bressol</w:t>
      </w:r>
      <w:proofErr w:type="spellEnd"/>
      <w:r>
        <w:t xml:space="preserve"> ECLI:EU:C:2010:181</w:t>
      </w:r>
    </w:p>
  </w:footnote>
  <w:footnote w:id="63">
    <w:p w:rsidR="007859BF" w:rsidRPr="00FD63B4" w:rsidRDefault="007859BF" w:rsidP="00F705E2">
      <w:pPr>
        <w:pStyle w:val="FootnoteText"/>
      </w:pPr>
      <w:r>
        <w:rPr>
          <w:rStyle w:val="FootnoteReference"/>
        </w:rPr>
        <w:footnoteRef/>
      </w:r>
      <w:r>
        <w:t xml:space="preserve"> </w:t>
      </w:r>
      <w:proofErr w:type="spellStart"/>
      <w:r w:rsidR="00245158">
        <w:rPr>
          <w:i/>
        </w:rPr>
        <w:t>Patmalniece</w:t>
      </w:r>
      <w:proofErr w:type="spellEnd"/>
      <w:r w:rsidR="00245158">
        <w:rPr>
          <w:i/>
        </w:rPr>
        <w:t xml:space="preserve">, </w:t>
      </w:r>
      <w:r w:rsidR="00245158">
        <w:t>p</w:t>
      </w:r>
      <w:r>
        <w:t>aras.63-65</w:t>
      </w:r>
    </w:p>
  </w:footnote>
  <w:footnote w:id="64">
    <w:p w:rsidR="007859BF" w:rsidRDefault="007859BF">
      <w:pPr>
        <w:pStyle w:val="FootnoteText"/>
      </w:pPr>
      <w:r>
        <w:rPr>
          <w:rStyle w:val="FootnoteReference"/>
        </w:rPr>
        <w:footnoteRef/>
      </w:r>
      <w:r>
        <w:t xml:space="preserve"> Quoted at para.76.</w:t>
      </w:r>
    </w:p>
  </w:footnote>
  <w:footnote w:id="65">
    <w:p w:rsidR="007859BF" w:rsidRDefault="007859BF" w:rsidP="00FB228A">
      <w:pPr>
        <w:pStyle w:val="FootnoteText"/>
      </w:pPr>
      <w:r>
        <w:rPr>
          <w:rStyle w:val="FootnoteReference"/>
        </w:rPr>
        <w:footnoteRef/>
      </w:r>
      <w:r>
        <w:t xml:space="preserve"> Para.77</w:t>
      </w:r>
    </w:p>
  </w:footnote>
  <w:footnote w:id="66">
    <w:p w:rsidR="007859BF" w:rsidRDefault="007859BF">
      <w:pPr>
        <w:pStyle w:val="FootnoteText"/>
      </w:pPr>
      <w:r>
        <w:rPr>
          <w:rStyle w:val="FootnoteReference"/>
        </w:rPr>
        <w:footnoteRef/>
      </w:r>
      <w:r>
        <w:t xml:space="preserve"> Para.79</w:t>
      </w:r>
    </w:p>
  </w:footnote>
  <w:footnote w:id="67">
    <w:p w:rsidR="007859BF" w:rsidRDefault="007859BF">
      <w:pPr>
        <w:pStyle w:val="FootnoteText"/>
      </w:pPr>
      <w:r>
        <w:rPr>
          <w:rStyle w:val="FootnoteReference"/>
        </w:rPr>
        <w:footnoteRef/>
      </w:r>
      <w:r>
        <w:t xml:space="preserve"> Case C-308/14 </w:t>
      </w:r>
      <w:r>
        <w:rPr>
          <w:i/>
        </w:rPr>
        <w:t xml:space="preserve">Commission v UK </w:t>
      </w:r>
      <w:r>
        <w:t>(Opinion) ECLI:EU:C:2016:666, para.76</w:t>
      </w:r>
    </w:p>
  </w:footnote>
  <w:footnote w:id="68">
    <w:p w:rsidR="007859BF" w:rsidRDefault="007859BF">
      <w:pPr>
        <w:pStyle w:val="FootnoteText"/>
      </w:pPr>
      <w:r>
        <w:rPr>
          <w:rStyle w:val="FootnoteReference"/>
        </w:rPr>
        <w:footnoteRef/>
      </w:r>
      <w:r>
        <w:t xml:space="preserve"> Case C-333/13 </w:t>
      </w:r>
      <w:proofErr w:type="spellStart"/>
      <w:r>
        <w:rPr>
          <w:i/>
        </w:rPr>
        <w:t>Dano</w:t>
      </w:r>
      <w:proofErr w:type="spellEnd"/>
      <w:r>
        <w:rPr>
          <w:i/>
        </w:rPr>
        <w:t xml:space="preserve">, </w:t>
      </w:r>
      <w:r>
        <w:t>para.77</w:t>
      </w:r>
    </w:p>
  </w:footnote>
  <w:footnote w:id="69">
    <w:p w:rsidR="007859BF" w:rsidRDefault="007859BF">
      <w:pPr>
        <w:pStyle w:val="FootnoteText"/>
      </w:pPr>
      <w:r>
        <w:rPr>
          <w:rStyle w:val="FootnoteReference"/>
        </w:rPr>
        <w:footnoteRef/>
      </w:r>
      <w:r w:rsidR="00245158">
        <w:t xml:space="preserve"> </w:t>
      </w:r>
      <w:proofErr w:type="spellStart"/>
      <w:r w:rsidR="00245158">
        <w:rPr>
          <w:i/>
        </w:rPr>
        <w:t>Patmalniece</w:t>
      </w:r>
      <w:proofErr w:type="spellEnd"/>
      <w:r>
        <w:t>, para.72</w:t>
      </w:r>
    </w:p>
  </w:footnote>
  <w:footnote w:id="70">
    <w:p w:rsidR="007859BF" w:rsidRPr="004D06D8" w:rsidRDefault="007859BF">
      <w:pPr>
        <w:pStyle w:val="FootnoteText"/>
      </w:pPr>
      <w:r>
        <w:rPr>
          <w:rStyle w:val="FootnoteReference"/>
        </w:rPr>
        <w:footnoteRef/>
      </w:r>
      <w:r>
        <w:t xml:space="preserve"> Case C-85/96 </w:t>
      </w:r>
      <w:r>
        <w:rPr>
          <w:i/>
        </w:rPr>
        <w:t>Martinez Sala</w:t>
      </w:r>
      <w:r>
        <w:t xml:space="preserve"> ECLI:EU:C:1998:217; Case C-184/99 </w:t>
      </w:r>
      <w:r>
        <w:rPr>
          <w:i/>
        </w:rPr>
        <w:t>Grzelczyk</w:t>
      </w:r>
      <w:r>
        <w:t xml:space="preserve"> ECLI:EU:C:2001:458</w:t>
      </w:r>
    </w:p>
  </w:footnote>
  <w:footnote w:id="71">
    <w:p w:rsidR="007859BF" w:rsidRPr="004D06D8" w:rsidRDefault="007859BF">
      <w:pPr>
        <w:pStyle w:val="FootnoteText"/>
      </w:pPr>
      <w:r>
        <w:rPr>
          <w:rStyle w:val="FootnoteReference"/>
        </w:rPr>
        <w:footnoteRef/>
      </w:r>
      <w:r>
        <w:t xml:space="preserve"> Case C-456/02 </w:t>
      </w:r>
      <w:proofErr w:type="spellStart"/>
      <w:r>
        <w:rPr>
          <w:i/>
        </w:rPr>
        <w:t>Trojani</w:t>
      </w:r>
      <w:proofErr w:type="spellEnd"/>
      <w:r>
        <w:t xml:space="preserve"> ECLI:EU:C:2004:488</w:t>
      </w:r>
    </w:p>
  </w:footnote>
  <w:footnote w:id="72">
    <w:p w:rsidR="007859BF" w:rsidRPr="004D06D8" w:rsidRDefault="007859BF">
      <w:pPr>
        <w:pStyle w:val="FootnoteText"/>
      </w:pPr>
      <w:r>
        <w:rPr>
          <w:rStyle w:val="FootnoteReference"/>
        </w:rPr>
        <w:footnoteRef/>
      </w:r>
      <w:r>
        <w:t xml:space="preserve"> Consider the need for support for ‘temporary hardship’ in </w:t>
      </w:r>
      <w:r>
        <w:rPr>
          <w:i/>
        </w:rPr>
        <w:t>Grzelczyk</w:t>
      </w:r>
    </w:p>
  </w:footnote>
  <w:footnote w:id="73">
    <w:p w:rsidR="007859BF" w:rsidRDefault="007859BF">
      <w:pPr>
        <w:pStyle w:val="FootnoteText"/>
      </w:pPr>
      <w:r>
        <w:rPr>
          <w:rStyle w:val="FootnoteReference"/>
        </w:rPr>
        <w:footnoteRef/>
      </w:r>
      <w:r>
        <w:t xml:space="preserve"> See also Case C-140/12 </w:t>
      </w:r>
      <w:proofErr w:type="spellStart"/>
      <w:r>
        <w:rPr>
          <w:i/>
        </w:rPr>
        <w:t>Brey</w:t>
      </w:r>
      <w:proofErr w:type="spellEnd"/>
      <w:r>
        <w:rPr>
          <w:i/>
        </w:rPr>
        <w:t xml:space="preserve"> </w:t>
      </w:r>
      <w:r>
        <w:t>ECLI</w:t>
      </w:r>
      <w:proofErr w:type="gramStart"/>
      <w:r>
        <w:t>:EU:C:2013:565</w:t>
      </w:r>
      <w:proofErr w:type="gramEnd"/>
      <w:r>
        <w:t xml:space="preserve"> or within UK domestic jurisprudence </w:t>
      </w:r>
      <w:r w:rsidRPr="00EB0885">
        <w:rPr>
          <w:rFonts w:cstheme="minorHAnsi"/>
          <w:i/>
        </w:rPr>
        <w:t>Okafor v S</w:t>
      </w:r>
      <w:r>
        <w:rPr>
          <w:rFonts w:cstheme="minorHAnsi"/>
          <w:i/>
        </w:rPr>
        <w:t>SHD</w:t>
      </w:r>
      <w:r w:rsidRPr="00EB0885">
        <w:rPr>
          <w:rFonts w:cstheme="minorHAnsi"/>
          <w:i/>
        </w:rPr>
        <w:t xml:space="preserve"> </w:t>
      </w:r>
      <w:r w:rsidRPr="00EB0885">
        <w:rPr>
          <w:rFonts w:cstheme="minorHAnsi"/>
        </w:rPr>
        <w:t xml:space="preserve">[2011] EWCA </w:t>
      </w:r>
      <w:proofErr w:type="spellStart"/>
      <w:r w:rsidRPr="00EB0885">
        <w:rPr>
          <w:rFonts w:cstheme="minorHAnsi"/>
        </w:rPr>
        <w:t>Civ</w:t>
      </w:r>
      <w:proofErr w:type="spellEnd"/>
      <w:r w:rsidRPr="00EB0885">
        <w:rPr>
          <w:rFonts w:cstheme="minorHAnsi"/>
        </w:rPr>
        <w:t xml:space="preserve"> 499</w:t>
      </w:r>
      <w:r>
        <w:t xml:space="preserve">. For analysis, see D </w:t>
      </w:r>
      <w:proofErr w:type="spellStart"/>
      <w:r>
        <w:t>Thym</w:t>
      </w:r>
      <w:proofErr w:type="spellEnd"/>
      <w:r>
        <w:t xml:space="preserve">, ‘The Elusive Limits of Solidarity: Residence Rights of and Social Benefits for Economically Inactive Union Citizens’, (2015) 52 </w:t>
      </w:r>
      <w:r w:rsidRPr="00CB4616">
        <w:rPr>
          <w:i/>
        </w:rPr>
        <w:t>CML</w:t>
      </w:r>
      <w:r w:rsidR="00AA5BE5">
        <w:rPr>
          <w:i/>
        </w:rPr>
        <w:t xml:space="preserve"> </w:t>
      </w:r>
      <w:r w:rsidRPr="00CB4616">
        <w:rPr>
          <w:i/>
        </w:rPr>
        <w:t>Rev</w:t>
      </w:r>
      <w:r>
        <w:t xml:space="preserve"> 17</w:t>
      </w:r>
    </w:p>
  </w:footnote>
  <w:footnote w:id="74">
    <w:p w:rsidR="007859BF" w:rsidRPr="00A14B29" w:rsidRDefault="007859BF">
      <w:pPr>
        <w:pStyle w:val="FootnoteText"/>
      </w:pPr>
      <w:r>
        <w:rPr>
          <w:rStyle w:val="FootnoteReference"/>
        </w:rPr>
        <w:footnoteRef/>
      </w:r>
      <w:r>
        <w:t xml:space="preserve"> </w:t>
      </w:r>
      <w:proofErr w:type="spellStart"/>
      <w:r>
        <w:t>Eg</w:t>
      </w:r>
      <w:proofErr w:type="spellEnd"/>
      <w:r>
        <w:t xml:space="preserve"> in Case C-67/14 </w:t>
      </w:r>
      <w:proofErr w:type="spellStart"/>
      <w:r>
        <w:rPr>
          <w:i/>
        </w:rPr>
        <w:t>Alimanovic</w:t>
      </w:r>
      <w:proofErr w:type="spellEnd"/>
      <w:r>
        <w:rPr>
          <w:i/>
        </w:rPr>
        <w:t xml:space="preserve"> </w:t>
      </w:r>
      <w:r>
        <w:t xml:space="preserve">and Case C-299/14 </w:t>
      </w:r>
      <w:proofErr w:type="spellStart"/>
      <w:r>
        <w:rPr>
          <w:i/>
        </w:rPr>
        <w:t>García</w:t>
      </w:r>
      <w:proofErr w:type="spellEnd"/>
      <w:r>
        <w:rPr>
          <w:i/>
        </w:rPr>
        <w:t>-Nieto</w:t>
      </w:r>
    </w:p>
  </w:footnote>
  <w:footnote w:id="75">
    <w:p w:rsidR="007859BF" w:rsidRDefault="007859BF">
      <w:pPr>
        <w:pStyle w:val="FootnoteText"/>
      </w:pPr>
      <w:r>
        <w:rPr>
          <w:rStyle w:val="FootnoteReference"/>
        </w:rPr>
        <w:footnoteRef/>
      </w:r>
      <w:r>
        <w:t xml:space="preserve"> J Shaw, ‘EU Citizenship and Political Rights in an Evolving European Union’, (2007) 75 </w:t>
      </w:r>
      <w:r w:rsidRPr="00CB4616">
        <w:rPr>
          <w:i/>
        </w:rPr>
        <w:t>Fordham Law Review</w:t>
      </w:r>
      <w:r>
        <w:t xml:space="preserve"> 2549</w:t>
      </w:r>
    </w:p>
  </w:footnote>
  <w:footnote w:id="76">
    <w:p w:rsidR="007859BF" w:rsidRPr="00A14B29" w:rsidRDefault="007859BF">
      <w:pPr>
        <w:pStyle w:val="FootnoteText"/>
      </w:pPr>
      <w:r>
        <w:rPr>
          <w:rStyle w:val="FootnoteReference"/>
        </w:rPr>
        <w:footnoteRef/>
      </w:r>
      <w:r>
        <w:t xml:space="preserve"> Case C-60/00 </w:t>
      </w:r>
      <w:r>
        <w:rPr>
          <w:i/>
        </w:rPr>
        <w:t>Carpenter</w:t>
      </w:r>
      <w:r>
        <w:t xml:space="preserve"> ECLI:EU:C:2002:434</w:t>
      </w:r>
    </w:p>
  </w:footnote>
  <w:footnote w:id="77">
    <w:p w:rsidR="007859BF" w:rsidRPr="00A14B29" w:rsidRDefault="007859BF">
      <w:pPr>
        <w:pStyle w:val="FootnoteText"/>
      </w:pPr>
      <w:r>
        <w:rPr>
          <w:rStyle w:val="FootnoteReference"/>
        </w:rPr>
        <w:footnoteRef/>
      </w:r>
      <w:r>
        <w:t xml:space="preserve"> Case C-148/02 </w:t>
      </w:r>
      <w:proofErr w:type="spellStart"/>
      <w:r>
        <w:rPr>
          <w:i/>
        </w:rPr>
        <w:t>García-Avello</w:t>
      </w:r>
      <w:proofErr w:type="spellEnd"/>
      <w:r>
        <w:t xml:space="preserve"> ECLI:EU:C:2003:539</w:t>
      </w:r>
    </w:p>
  </w:footnote>
  <w:footnote w:id="78">
    <w:p w:rsidR="007859BF" w:rsidRDefault="007859BF">
      <w:pPr>
        <w:pStyle w:val="FootnoteText"/>
      </w:pPr>
      <w:r>
        <w:rPr>
          <w:rStyle w:val="FootnoteReference"/>
        </w:rPr>
        <w:footnoteRef/>
      </w:r>
      <w:r w:rsidR="00AA5BE5">
        <w:t xml:space="preserve"> Treaty of Accession of Romania and Bulgaria, (note 42)</w:t>
      </w:r>
    </w:p>
  </w:footnote>
  <w:footnote w:id="79">
    <w:p w:rsidR="007859BF" w:rsidRPr="00E03E8E" w:rsidRDefault="007859BF" w:rsidP="00E03E8E">
      <w:pPr>
        <w:pStyle w:val="NoSpacing"/>
        <w:jc w:val="both"/>
        <w:rPr>
          <w:rFonts w:cstheme="minorHAnsi"/>
          <w:sz w:val="20"/>
          <w:szCs w:val="20"/>
        </w:rPr>
      </w:pPr>
      <w:r>
        <w:rPr>
          <w:rStyle w:val="FootnoteReference"/>
        </w:rPr>
        <w:footnoteRef/>
      </w:r>
      <w:r>
        <w:t xml:space="preserve"> </w:t>
      </w:r>
      <w:r w:rsidR="00AA5BE5" w:rsidRPr="00AA5BE5">
        <w:rPr>
          <w:sz w:val="20"/>
          <w:szCs w:val="20"/>
        </w:rPr>
        <w:t xml:space="preserve">European </w:t>
      </w:r>
      <w:r w:rsidR="00AA5BE5">
        <w:rPr>
          <w:sz w:val="20"/>
          <w:szCs w:val="20"/>
        </w:rPr>
        <w:t>Council, (note 7)</w:t>
      </w:r>
      <w:r w:rsidRPr="00AA5BE5">
        <w:rPr>
          <w:sz w:val="20"/>
          <w:szCs w:val="20"/>
        </w:rPr>
        <w:t xml:space="preserve">, </w:t>
      </w:r>
      <w:r w:rsidRPr="00AA5BE5">
        <w:rPr>
          <w:rFonts w:cstheme="minorHAnsi"/>
          <w:sz w:val="20"/>
          <w:szCs w:val="20"/>
        </w:rPr>
        <w:t>34</w:t>
      </w:r>
    </w:p>
  </w:footnote>
  <w:footnote w:id="80">
    <w:p w:rsidR="007859BF" w:rsidRPr="00A0741D" w:rsidRDefault="007859BF">
      <w:pPr>
        <w:pStyle w:val="FootnoteText"/>
      </w:pPr>
      <w:r>
        <w:rPr>
          <w:rStyle w:val="FootnoteReference"/>
        </w:rPr>
        <w:footnoteRef/>
      </w:r>
      <w:r>
        <w:t xml:space="preserve"> Case C-138/02 </w:t>
      </w:r>
      <w:r>
        <w:rPr>
          <w:i/>
        </w:rPr>
        <w:t>Collins</w:t>
      </w:r>
    </w:p>
  </w:footnote>
  <w:footnote w:id="81">
    <w:p w:rsidR="007859BF" w:rsidRDefault="007859BF">
      <w:pPr>
        <w:pStyle w:val="FootnoteText"/>
      </w:pPr>
      <w:r>
        <w:rPr>
          <w:rStyle w:val="FootnoteReference"/>
        </w:rPr>
        <w:footnoteRef/>
      </w:r>
      <w:r>
        <w:t xml:space="preserve"> Para.62. Interestingly, by contrast, the Court held at paras.26-33 that jobseekers were not workers for the purposes of equal access to social and tax advantages under Article 7, </w:t>
      </w:r>
      <w:proofErr w:type="spellStart"/>
      <w:r>
        <w:t>Reg</w:t>
      </w:r>
      <w:proofErr w:type="spellEnd"/>
      <w:r>
        <w:t xml:space="preserve"> No 1612/68</w:t>
      </w:r>
    </w:p>
  </w:footnote>
  <w:footnote w:id="82">
    <w:p w:rsidR="007859BF" w:rsidRDefault="007859BF">
      <w:pPr>
        <w:pStyle w:val="FootnoteText"/>
      </w:pPr>
      <w:r>
        <w:rPr>
          <w:rStyle w:val="FootnoteReference"/>
        </w:rPr>
        <w:footnoteRef/>
      </w:r>
      <w:r>
        <w:t xml:space="preserve"> Para.73</w:t>
      </w:r>
    </w:p>
  </w:footnote>
  <w:footnote w:id="83">
    <w:p w:rsidR="007859BF" w:rsidRPr="00132ABD" w:rsidRDefault="007859BF">
      <w:pPr>
        <w:pStyle w:val="FootnoteText"/>
      </w:pPr>
      <w:r>
        <w:rPr>
          <w:rStyle w:val="FootnoteReference"/>
        </w:rPr>
        <w:footnoteRef/>
      </w:r>
      <w:r>
        <w:t xml:space="preserve"> Case C-22/08 </w:t>
      </w:r>
      <w:proofErr w:type="spellStart"/>
      <w:r>
        <w:rPr>
          <w:i/>
        </w:rPr>
        <w:t>Vatsouras</w:t>
      </w:r>
      <w:proofErr w:type="spellEnd"/>
    </w:p>
  </w:footnote>
  <w:footnote w:id="84">
    <w:p w:rsidR="007859BF" w:rsidRDefault="007859BF">
      <w:pPr>
        <w:pStyle w:val="FootnoteText"/>
      </w:pPr>
      <w:r>
        <w:rPr>
          <w:rStyle w:val="FootnoteReference"/>
        </w:rPr>
        <w:footnoteRef/>
      </w:r>
      <w:r>
        <w:t xml:space="preserve"> </w:t>
      </w:r>
      <w:r w:rsidRPr="004A5734">
        <w:rPr>
          <w:rFonts w:cs="AdvOT1ef757c0"/>
        </w:rPr>
        <w:t xml:space="preserve">Case C-213/05 </w:t>
      </w:r>
      <w:proofErr w:type="spellStart"/>
      <w:r w:rsidRPr="00614E95">
        <w:rPr>
          <w:rFonts w:cs="AdvOT7d6df7ab.I"/>
          <w:i/>
        </w:rPr>
        <w:t>Geven</w:t>
      </w:r>
      <w:proofErr w:type="spellEnd"/>
      <w:r w:rsidRPr="00614E95">
        <w:rPr>
          <w:rFonts w:cs="AdvOT7d6df7ab.I"/>
          <w:i/>
        </w:rPr>
        <w:t xml:space="preserve"> </w:t>
      </w:r>
      <w:r>
        <w:rPr>
          <w:rFonts w:cs="AdvOT7d6df7ab.I"/>
        </w:rPr>
        <w:t>ECLI:EU:C:2007:438</w:t>
      </w:r>
      <w:r w:rsidRPr="004A5734">
        <w:rPr>
          <w:rFonts w:cs="AdvOT1ef757c0"/>
        </w:rPr>
        <w:t xml:space="preserve">; Case C-212/05 </w:t>
      </w:r>
      <w:r w:rsidRPr="00614E95">
        <w:rPr>
          <w:rFonts w:cs="AdvOT7d6df7ab.I"/>
          <w:i/>
        </w:rPr>
        <w:t xml:space="preserve">Hartmann </w:t>
      </w:r>
      <w:r>
        <w:rPr>
          <w:rFonts w:cs="AdvOT7d6df7ab.I"/>
        </w:rPr>
        <w:t>ECLI:EU:C:2007:437</w:t>
      </w:r>
    </w:p>
  </w:footnote>
  <w:footnote w:id="85">
    <w:p w:rsidR="007859BF" w:rsidRPr="00741C3B" w:rsidRDefault="007859BF" w:rsidP="00D36791">
      <w:pPr>
        <w:pStyle w:val="FootnoteText"/>
      </w:pPr>
      <w:r>
        <w:rPr>
          <w:rStyle w:val="FootnoteReference"/>
        </w:rPr>
        <w:footnoteRef/>
      </w:r>
      <w:r>
        <w:t xml:space="preserve"> For discussion, see M Everson, ‘</w:t>
      </w:r>
      <w:r w:rsidRPr="00926968">
        <w:t>The Legacy of the Market Citizen’</w:t>
      </w:r>
      <w:r>
        <w:rPr>
          <w:i/>
        </w:rPr>
        <w:t xml:space="preserve">, </w:t>
      </w:r>
      <w:r>
        <w:t>in J Shaw and G More (</w:t>
      </w:r>
      <w:proofErr w:type="spellStart"/>
      <w:r>
        <w:t>eds</w:t>
      </w:r>
      <w:proofErr w:type="spellEnd"/>
      <w:r>
        <w:t xml:space="preserve">), </w:t>
      </w:r>
      <w:r>
        <w:rPr>
          <w:i/>
        </w:rPr>
        <w:t>New Legal Dynamics of European Union</w:t>
      </w:r>
      <w:r>
        <w:t>, (Oxford, OUP 1995)</w:t>
      </w:r>
      <w:r w:rsidR="00AA5BE5">
        <w:t>, 73</w:t>
      </w:r>
      <w:r>
        <w:t xml:space="preserve"> </w:t>
      </w:r>
    </w:p>
  </w:footnote>
  <w:footnote w:id="86">
    <w:p w:rsidR="007859BF" w:rsidRPr="0024572B" w:rsidRDefault="007859BF" w:rsidP="00B34912">
      <w:pPr>
        <w:pStyle w:val="FootnoteText"/>
      </w:pPr>
      <w:r>
        <w:rPr>
          <w:rStyle w:val="FootnoteReference"/>
        </w:rPr>
        <w:footnoteRef/>
      </w:r>
      <w:r w:rsidR="00691B36">
        <w:t xml:space="preserve"> C</w:t>
      </w:r>
      <w:r>
        <w:t xml:space="preserve"> O’Brien, ‘</w:t>
      </w:r>
      <w:r w:rsidRPr="007859BF">
        <w:t>I Trade, Therefore I Am: Legal Personhood in the European Union</w:t>
      </w:r>
      <w:r>
        <w:t>’.</w:t>
      </w:r>
      <w:r>
        <w:rPr>
          <w:i/>
        </w:rPr>
        <w:t xml:space="preserve"> </w:t>
      </w:r>
      <w:r>
        <w:t>(2013)</w:t>
      </w:r>
      <w:r>
        <w:rPr>
          <w:i/>
        </w:rPr>
        <w:t xml:space="preserve"> </w:t>
      </w:r>
      <w:r>
        <w:t xml:space="preserve">50 </w:t>
      </w:r>
      <w:r w:rsidRPr="007859BF">
        <w:rPr>
          <w:i/>
        </w:rPr>
        <w:t>CML</w:t>
      </w:r>
      <w:r w:rsidR="00AA5BE5">
        <w:rPr>
          <w:i/>
        </w:rPr>
        <w:t xml:space="preserve"> </w:t>
      </w:r>
      <w:r w:rsidRPr="007859BF">
        <w:rPr>
          <w:i/>
        </w:rPr>
        <w:t>Rev</w:t>
      </w:r>
      <w:r w:rsidR="00691B36">
        <w:t xml:space="preserve"> 1643; N</w:t>
      </w:r>
      <w:r>
        <w:t xml:space="preserve"> </w:t>
      </w:r>
      <w:proofErr w:type="spellStart"/>
      <w:r>
        <w:t>Nic</w:t>
      </w:r>
      <w:proofErr w:type="spellEnd"/>
      <w:r>
        <w:t xml:space="preserve"> </w:t>
      </w:r>
      <w:proofErr w:type="spellStart"/>
      <w:r>
        <w:t>Shuibhne</w:t>
      </w:r>
      <w:proofErr w:type="spellEnd"/>
      <w:r>
        <w:t>, ‘</w:t>
      </w:r>
      <w:r w:rsidRPr="007859BF">
        <w:t>Free Movement of Persons and the Wholly Internal Rule: Time to Move On?</w:t>
      </w:r>
      <w:r>
        <w:t xml:space="preserve">’ (2002) 39 </w:t>
      </w:r>
      <w:r w:rsidRPr="00AA5BE5">
        <w:rPr>
          <w:i/>
        </w:rPr>
        <w:t>CML</w:t>
      </w:r>
      <w:r w:rsidR="00AA5BE5">
        <w:rPr>
          <w:i/>
        </w:rPr>
        <w:t xml:space="preserve"> </w:t>
      </w:r>
      <w:r w:rsidRPr="00AA5BE5">
        <w:rPr>
          <w:i/>
        </w:rPr>
        <w:t>Rev</w:t>
      </w:r>
      <w:r>
        <w:t xml:space="preserve"> 731</w:t>
      </w:r>
    </w:p>
  </w:footnote>
  <w:footnote w:id="87">
    <w:p w:rsidR="007859BF" w:rsidRDefault="007859BF">
      <w:pPr>
        <w:pStyle w:val="FootnoteText"/>
      </w:pPr>
      <w:r>
        <w:rPr>
          <w:rStyle w:val="FootnoteReference"/>
        </w:rPr>
        <w:footnoteRef/>
      </w:r>
      <w:r>
        <w:t xml:space="preserve"> </w:t>
      </w:r>
      <w:proofErr w:type="spellStart"/>
      <w:r>
        <w:t>Eg</w:t>
      </w:r>
      <w:proofErr w:type="spellEnd"/>
      <w:r>
        <w:t xml:space="preserve"> </w:t>
      </w:r>
      <w:proofErr w:type="spellStart"/>
      <w:r>
        <w:t>Reg</w:t>
      </w:r>
      <w:proofErr w:type="spellEnd"/>
      <w:r>
        <w:t xml:space="preserve"> 492/2011 and Dir 2004/38 and their previous incarnations; Case 32/75 </w:t>
      </w:r>
      <w:proofErr w:type="spellStart"/>
      <w:r>
        <w:rPr>
          <w:i/>
        </w:rPr>
        <w:t>Cristini</w:t>
      </w:r>
      <w:proofErr w:type="spellEnd"/>
      <w:r>
        <w:t xml:space="preserve">; Case 207/87 </w:t>
      </w:r>
      <w:r>
        <w:rPr>
          <w:i/>
        </w:rPr>
        <w:t>Even</w:t>
      </w:r>
      <w:r>
        <w:t xml:space="preserve">; Opinion of AG </w:t>
      </w:r>
      <w:proofErr w:type="spellStart"/>
      <w:r>
        <w:t>Trabucchi</w:t>
      </w:r>
      <w:proofErr w:type="spellEnd"/>
      <w:r>
        <w:t xml:space="preserve"> Case 7/75 </w:t>
      </w:r>
      <w:r>
        <w:rPr>
          <w:i/>
        </w:rPr>
        <w:t>Mr and Mrs F</w:t>
      </w:r>
      <w:r>
        <w:t xml:space="preserve"> ECLI:EU:C:1975:75; Case C-237/94 </w:t>
      </w:r>
      <w:proofErr w:type="spellStart"/>
      <w:r>
        <w:rPr>
          <w:i/>
        </w:rPr>
        <w:t>O’Flynn</w:t>
      </w:r>
      <w:proofErr w:type="spellEnd"/>
      <w:r>
        <w:t xml:space="preserve"> ECLI:EU:C:1996:206 </w:t>
      </w:r>
    </w:p>
  </w:footnote>
  <w:footnote w:id="88">
    <w:p w:rsidR="007859BF" w:rsidRPr="00972C40" w:rsidRDefault="007859BF">
      <w:pPr>
        <w:pStyle w:val="FootnoteText"/>
        <w:rPr>
          <w:rFonts w:cstheme="minorHAnsi"/>
        </w:rPr>
      </w:pPr>
      <w:r>
        <w:rPr>
          <w:rStyle w:val="FootnoteReference"/>
        </w:rPr>
        <w:footnoteRef/>
      </w:r>
      <w:r>
        <w:t xml:space="preserve"> In 1961, the Commission already recognised free movement </w:t>
      </w:r>
      <w:r w:rsidRPr="00972C40">
        <w:rPr>
          <w:rFonts w:cstheme="minorHAnsi"/>
        </w:rPr>
        <w:t>as ‘</w:t>
      </w:r>
      <w:r w:rsidRPr="00972C40">
        <w:rPr>
          <w:rFonts w:cstheme="minorHAnsi"/>
          <w:i/>
        </w:rPr>
        <w:t xml:space="preserve">le premier aspect </w:t>
      </w:r>
      <w:proofErr w:type="spellStart"/>
      <w:r w:rsidRPr="00972C40">
        <w:rPr>
          <w:rFonts w:cstheme="minorHAnsi"/>
          <w:i/>
        </w:rPr>
        <w:t>d’une</w:t>
      </w:r>
      <w:proofErr w:type="spellEnd"/>
      <w:r w:rsidRPr="00972C40">
        <w:rPr>
          <w:rFonts w:cstheme="minorHAnsi"/>
          <w:i/>
        </w:rPr>
        <w:t xml:space="preserve"> </w:t>
      </w:r>
      <w:proofErr w:type="spellStart"/>
      <w:r w:rsidRPr="00972C40">
        <w:rPr>
          <w:rFonts w:cstheme="minorHAnsi"/>
          <w:i/>
        </w:rPr>
        <w:t>citoyenneté</w:t>
      </w:r>
      <w:proofErr w:type="spellEnd"/>
      <w:r w:rsidRPr="00972C40">
        <w:rPr>
          <w:rFonts w:cstheme="minorHAnsi"/>
          <w:i/>
        </w:rPr>
        <w:t xml:space="preserve"> </w:t>
      </w:r>
      <w:proofErr w:type="spellStart"/>
      <w:r w:rsidRPr="00972C40">
        <w:rPr>
          <w:rFonts w:cstheme="minorHAnsi"/>
          <w:i/>
        </w:rPr>
        <w:t>européenne</w:t>
      </w:r>
      <w:proofErr w:type="spellEnd"/>
      <w:r w:rsidRPr="00972C40">
        <w:rPr>
          <w:rFonts w:cstheme="minorHAnsi"/>
        </w:rPr>
        <w:t>’</w:t>
      </w:r>
      <w:r>
        <w:rPr>
          <w:rFonts w:cstheme="minorHAnsi"/>
        </w:rPr>
        <w:t xml:space="preserve">, </w:t>
      </w:r>
      <w:r w:rsidRPr="00965392">
        <w:t>P.E. Deb.,</w:t>
      </w:r>
      <w:r>
        <w:t xml:space="preserve"> No.48, 135. 22 November 1961</w:t>
      </w:r>
    </w:p>
  </w:footnote>
  <w:footnote w:id="89">
    <w:p w:rsidR="007859BF" w:rsidRPr="00E80B2E" w:rsidRDefault="007859BF">
      <w:pPr>
        <w:pStyle w:val="FootnoteText"/>
      </w:pPr>
      <w:r>
        <w:rPr>
          <w:rStyle w:val="FootnoteReference"/>
        </w:rPr>
        <w:footnoteRef/>
      </w:r>
      <w:r>
        <w:t xml:space="preserve"> Case 186/87 </w:t>
      </w:r>
      <w:r>
        <w:rPr>
          <w:i/>
        </w:rPr>
        <w:t>Cowan</w:t>
      </w:r>
      <w:r>
        <w:t xml:space="preserve"> ECLI:EU:C:1989:947</w:t>
      </w:r>
    </w:p>
  </w:footnote>
  <w:footnote w:id="90">
    <w:p w:rsidR="007859BF" w:rsidRDefault="007859BF">
      <w:pPr>
        <w:pStyle w:val="FootnoteText"/>
      </w:pPr>
      <w:r>
        <w:rPr>
          <w:rStyle w:val="FootnoteReference"/>
        </w:rPr>
        <w:footnoteRef/>
      </w:r>
      <w:r>
        <w:t xml:space="preserve"> Case C-158/96 </w:t>
      </w:r>
      <w:proofErr w:type="spellStart"/>
      <w:r w:rsidRPr="003869A6">
        <w:rPr>
          <w:i/>
        </w:rPr>
        <w:t>Kohll</w:t>
      </w:r>
      <w:proofErr w:type="spellEnd"/>
      <w:r>
        <w:t xml:space="preserve"> ECLI</w:t>
      </w:r>
      <w:proofErr w:type="gramStart"/>
      <w:r>
        <w:t>:EU:C:1998:171</w:t>
      </w:r>
      <w:proofErr w:type="gramEnd"/>
      <w:r>
        <w:t xml:space="preserve">; Case C-368/98, </w:t>
      </w:r>
      <w:proofErr w:type="spellStart"/>
      <w:r w:rsidRPr="003869A6">
        <w:rPr>
          <w:i/>
        </w:rPr>
        <w:t>Vanbraekel</w:t>
      </w:r>
      <w:proofErr w:type="spellEnd"/>
      <w:r>
        <w:t xml:space="preserve"> </w:t>
      </w:r>
      <w:proofErr w:type="spellStart"/>
      <w:r>
        <w:rPr>
          <w:i/>
        </w:rPr>
        <w:t>a.o.</w:t>
      </w:r>
      <w:proofErr w:type="spellEnd"/>
      <w:r>
        <w:t xml:space="preserve"> ECLI:EU:C:2001:400. For discussion, see N </w:t>
      </w:r>
      <w:proofErr w:type="spellStart"/>
      <w:r>
        <w:t>Nic</w:t>
      </w:r>
      <w:proofErr w:type="spellEnd"/>
      <w:r>
        <w:t xml:space="preserve"> </w:t>
      </w:r>
      <w:proofErr w:type="spellStart"/>
      <w:r>
        <w:t>Shuibhne</w:t>
      </w:r>
      <w:proofErr w:type="spellEnd"/>
      <w:r>
        <w:t xml:space="preserve"> and M Maci, ‘Proving Public Interest: The Growing Impact of Evidence in Free Movement Case-Law’ (2013) 50 </w:t>
      </w:r>
      <w:r w:rsidRPr="007859BF">
        <w:rPr>
          <w:i/>
        </w:rPr>
        <w:t>CML</w:t>
      </w:r>
      <w:r w:rsidR="00AA5BE5">
        <w:rPr>
          <w:i/>
        </w:rPr>
        <w:t xml:space="preserve"> </w:t>
      </w:r>
      <w:r w:rsidRPr="007859BF">
        <w:rPr>
          <w:i/>
        </w:rPr>
        <w:t>Rev</w:t>
      </w:r>
      <w:r>
        <w:t xml:space="preserve">, 965 </w:t>
      </w:r>
    </w:p>
  </w:footnote>
  <w:footnote w:id="91">
    <w:p w:rsidR="007859BF" w:rsidRPr="00A26310" w:rsidRDefault="007859BF">
      <w:pPr>
        <w:pStyle w:val="FootnoteText"/>
        <w:rPr>
          <w:i/>
        </w:rPr>
      </w:pPr>
      <w:r>
        <w:rPr>
          <w:rStyle w:val="FootnoteReference"/>
        </w:rPr>
        <w:footnoteRef/>
      </w:r>
      <w:r>
        <w:t xml:space="preserve"> Case C-456/02 </w:t>
      </w:r>
      <w:proofErr w:type="spellStart"/>
      <w:r>
        <w:rPr>
          <w:i/>
        </w:rPr>
        <w:t>Trojani</w:t>
      </w:r>
      <w:proofErr w:type="spellEnd"/>
      <w:r>
        <w:rPr>
          <w:i/>
        </w:rPr>
        <w:t xml:space="preserve">; </w:t>
      </w:r>
      <w:r>
        <w:t xml:space="preserve">Case C-333/13 </w:t>
      </w:r>
      <w:proofErr w:type="spellStart"/>
      <w:r>
        <w:rPr>
          <w:i/>
        </w:rPr>
        <w:t>Dano</w:t>
      </w:r>
      <w:proofErr w:type="spellEnd"/>
      <w:r>
        <w:rPr>
          <w:i/>
        </w:rPr>
        <w:t xml:space="preserve"> </w:t>
      </w:r>
    </w:p>
  </w:footnote>
  <w:footnote w:id="92">
    <w:p w:rsidR="00730EB0" w:rsidRPr="00730EB0" w:rsidRDefault="00730EB0">
      <w:pPr>
        <w:pStyle w:val="FootnoteText"/>
      </w:pPr>
      <w:r>
        <w:rPr>
          <w:rStyle w:val="FootnoteReference"/>
        </w:rPr>
        <w:footnoteRef/>
      </w:r>
      <w:r>
        <w:t xml:space="preserve"> Case C-213/05 </w:t>
      </w:r>
      <w:proofErr w:type="spellStart"/>
      <w:r>
        <w:rPr>
          <w:i/>
        </w:rPr>
        <w:t>Geven</w:t>
      </w:r>
      <w:proofErr w:type="spellEnd"/>
      <w:r>
        <w:rPr>
          <w:i/>
        </w:rPr>
        <w:t xml:space="preserve">; </w:t>
      </w:r>
      <w:r>
        <w:t xml:space="preserve">Case C-212/05 </w:t>
      </w:r>
      <w:r>
        <w:rPr>
          <w:i/>
        </w:rPr>
        <w:t>Hartmann</w:t>
      </w:r>
    </w:p>
  </w:footnote>
  <w:footnote w:id="93">
    <w:p w:rsidR="007859BF" w:rsidRPr="00270D7A" w:rsidRDefault="007859BF">
      <w:pPr>
        <w:pStyle w:val="FootnoteText"/>
      </w:pPr>
      <w:r>
        <w:rPr>
          <w:rStyle w:val="FootnoteReference"/>
        </w:rPr>
        <w:footnoteRef/>
      </w:r>
      <w:r>
        <w:t xml:space="preserve"> Case 53/81 </w:t>
      </w:r>
      <w:r>
        <w:rPr>
          <w:i/>
        </w:rPr>
        <w:t>Levin</w:t>
      </w:r>
      <w:r>
        <w:t xml:space="preserve"> ECLI:EU:C:1982:105; Case 139/85 </w:t>
      </w:r>
      <w:proofErr w:type="spellStart"/>
      <w:r>
        <w:rPr>
          <w:i/>
        </w:rPr>
        <w:t>Kempf</w:t>
      </w:r>
      <w:proofErr w:type="spellEnd"/>
      <w:r>
        <w:t xml:space="preserve"> ECLI:EU:C:1986:223</w:t>
      </w:r>
    </w:p>
  </w:footnote>
  <w:footnote w:id="94">
    <w:p w:rsidR="007859BF" w:rsidRPr="00AA5BE5" w:rsidRDefault="007859BF">
      <w:pPr>
        <w:pStyle w:val="FootnoteText"/>
      </w:pPr>
      <w:r>
        <w:rPr>
          <w:rStyle w:val="FootnoteReference"/>
        </w:rPr>
        <w:footnoteRef/>
      </w:r>
      <w:r>
        <w:t xml:space="preserve"> </w:t>
      </w:r>
      <w:r w:rsidR="00691B36">
        <w:t>N</w:t>
      </w:r>
      <w:r w:rsidRPr="00AA5BE5">
        <w:t xml:space="preserve"> </w:t>
      </w:r>
      <w:proofErr w:type="spellStart"/>
      <w:r w:rsidRPr="00AA5BE5">
        <w:t>Nic</w:t>
      </w:r>
      <w:proofErr w:type="spellEnd"/>
      <w:r w:rsidRPr="00AA5BE5">
        <w:t xml:space="preserve"> </w:t>
      </w:r>
      <w:proofErr w:type="spellStart"/>
      <w:r w:rsidRPr="00AA5BE5">
        <w:t>Shuibhne</w:t>
      </w:r>
      <w:proofErr w:type="spellEnd"/>
      <w:r w:rsidRPr="00AA5BE5">
        <w:t>, ‘</w:t>
      </w:r>
      <w:r w:rsidRPr="00AA5BE5">
        <w:rPr>
          <w:rFonts w:cs="Arial"/>
          <w:shd w:val="clear" w:color="auto" w:fill="FFFFFF"/>
        </w:rPr>
        <w:t>The Outer Limits of EU Citizenship Displacing Econo</w:t>
      </w:r>
      <w:r w:rsidR="00691B36">
        <w:rPr>
          <w:rFonts w:cs="Arial"/>
          <w:shd w:val="clear" w:color="auto" w:fill="FFFFFF"/>
        </w:rPr>
        <w:t>mic Free Movement Rights?' in C Barnard and O</w:t>
      </w:r>
      <w:r w:rsidRPr="00AA5BE5">
        <w:rPr>
          <w:rFonts w:cs="Arial"/>
          <w:shd w:val="clear" w:color="auto" w:fill="FFFFFF"/>
        </w:rPr>
        <w:t xml:space="preserve"> </w:t>
      </w:r>
      <w:proofErr w:type="spellStart"/>
      <w:r w:rsidRPr="00AA5BE5">
        <w:rPr>
          <w:rFonts w:cs="Arial"/>
          <w:shd w:val="clear" w:color="auto" w:fill="FFFFFF"/>
        </w:rPr>
        <w:t>Odudu</w:t>
      </w:r>
      <w:proofErr w:type="spellEnd"/>
      <w:r w:rsidRPr="00AA5BE5">
        <w:rPr>
          <w:rFonts w:cs="Arial"/>
          <w:shd w:val="clear" w:color="auto" w:fill="FFFFFF"/>
        </w:rPr>
        <w:t xml:space="preserve"> (</w:t>
      </w:r>
      <w:proofErr w:type="spellStart"/>
      <w:r w:rsidRPr="00AA5BE5">
        <w:rPr>
          <w:rFonts w:cs="Arial"/>
          <w:shd w:val="clear" w:color="auto" w:fill="FFFFFF"/>
        </w:rPr>
        <w:t>eds</w:t>
      </w:r>
      <w:proofErr w:type="spellEnd"/>
      <w:r w:rsidRPr="00AA5BE5">
        <w:rPr>
          <w:rFonts w:cs="Arial"/>
          <w:shd w:val="clear" w:color="auto" w:fill="FFFFFF"/>
        </w:rPr>
        <w:t xml:space="preserve">), </w:t>
      </w:r>
      <w:r w:rsidRPr="00AA5BE5">
        <w:rPr>
          <w:rFonts w:cs="Arial"/>
          <w:i/>
          <w:shd w:val="clear" w:color="auto" w:fill="FFFFFF"/>
        </w:rPr>
        <w:t>The Outer Limits of European Union Law</w:t>
      </w:r>
      <w:r w:rsidRPr="00AA5BE5">
        <w:rPr>
          <w:rFonts w:cs="Arial"/>
          <w:shd w:val="clear" w:color="auto" w:fill="FFFFFF"/>
        </w:rPr>
        <w:t>, (</w:t>
      </w:r>
      <w:r w:rsidR="00730EB0" w:rsidRPr="00AA5BE5">
        <w:rPr>
          <w:rFonts w:cs="Arial"/>
          <w:shd w:val="clear" w:color="auto" w:fill="FFFFFF"/>
        </w:rPr>
        <w:t xml:space="preserve">Oxford, </w:t>
      </w:r>
      <w:r w:rsidRPr="00AA5BE5">
        <w:rPr>
          <w:rFonts w:cs="Arial"/>
          <w:shd w:val="clear" w:color="auto" w:fill="FFFFFF"/>
        </w:rPr>
        <w:t>Hart</w:t>
      </w:r>
      <w:r w:rsidR="00730EB0" w:rsidRPr="00AA5BE5">
        <w:rPr>
          <w:rFonts w:cs="Arial"/>
          <w:shd w:val="clear" w:color="auto" w:fill="FFFFFF"/>
        </w:rPr>
        <w:t>, 2009</w:t>
      </w:r>
      <w:r w:rsidRPr="00AA5BE5">
        <w:rPr>
          <w:rFonts w:cs="Arial"/>
          <w:shd w:val="clear" w:color="auto" w:fill="FFFFFF"/>
        </w:rPr>
        <w:t>), 167, 182</w:t>
      </w:r>
    </w:p>
  </w:footnote>
  <w:footnote w:id="95">
    <w:p w:rsidR="007859BF" w:rsidRPr="00D252B5" w:rsidRDefault="007859BF" w:rsidP="00E276F3">
      <w:pPr>
        <w:pStyle w:val="FootnoteText"/>
      </w:pPr>
      <w:r>
        <w:rPr>
          <w:rStyle w:val="FootnoteReference"/>
        </w:rPr>
        <w:footnoteRef/>
      </w:r>
      <w:r>
        <w:t xml:space="preserve"> Case C-542/09 </w:t>
      </w:r>
      <w:r>
        <w:rPr>
          <w:i/>
        </w:rPr>
        <w:t>Commission v Netherlands</w:t>
      </w:r>
      <w:r>
        <w:t xml:space="preserve"> ECLI:EU:C:2012:346</w:t>
      </w:r>
    </w:p>
  </w:footnote>
  <w:footnote w:id="96">
    <w:p w:rsidR="007859BF" w:rsidRDefault="007859BF">
      <w:pPr>
        <w:pStyle w:val="FootnoteText"/>
      </w:pPr>
      <w:r>
        <w:rPr>
          <w:rStyle w:val="FootnoteReference"/>
        </w:rPr>
        <w:footnoteRef/>
      </w:r>
      <w:r>
        <w:t xml:space="preserve"> Para.65</w:t>
      </w:r>
    </w:p>
  </w:footnote>
  <w:footnote w:id="97">
    <w:p w:rsidR="007859BF" w:rsidRDefault="007859BF" w:rsidP="001867F7">
      <w:pPr>
        <w:pStyle w:val="FootnoteText"/>
      </w:pPr>
      <w:r>
        <w:rPr>
          <w:rStyle w:val="FootnoteReference"/>
        </w:rPr>
        <w:footnoteRef/>
      </w:r>
      <w:r>
        <w:t xml:space="preserve"> Para.66</w:t>
      </w:r>
    </w:p>
  </w:footnote>
  <w:footnote w:id="98">
    <w:p w:rsidR="00C46A3F" w:rsidRPr="00C46A3F" w:rsidRDefault="00C46A3F">
      <w:pPr>
        <w:pStyle w:val="FootnoteText"/>
      </w:pPr>
      <w:r>
        <w:rPr>
          <w:rStyle w:val="FootnoteReference"/>
        </w:rPr>
        <w:footnoteRef/>
      </w:r>
      <w:r>
        <w:t xml:space="preserve"> </w:t>
      </w:r>
      <w:r w:rsidRPr="00423ED9">
        <w:rPr>
          <w:highlight w:val="green"/>
        </w:rPr>
        <w:t xml:space="preserve">And, as </w:t>
      </w:r>
      <w:r w:rsidR="00423ED9" w:rsidRPr="00423ED9">
        <w:rPr>
          <w:highlight w:val="green"/>
        </w:rPr>
        <w:t xml:space="preserve">S </w:t>
      </w:r>
      <w:r w:rsidRPr="00423ED9">
        <w:rPr>
          <w:highlight w:val="green"/>
        </w:rPr>
        <w:t xml:space="preserve">Schmidt argues in this volume, renews pressure on </w:t>
      </w:r>
      <w:r w:rsidRPr="00423ED9">
        <w:rPr>
          <w:i/>
          <w:highlight w:val="green"/>
        </w:rPr>
        <w:t xml:space="preserve">national </w:t>
      </w:r>
      <w:r w:rsidRPr="00423ED9">
        <w:rPr>
          <w:highlight w:val="green"/>
        </w:rPr>
        <w:t xml:space="preserve">political institutions to act. </w:t>
      </w:r>
      <w:r w:rsidR="00691B36">
        <w:rPr>
          <w:highlight w:val="green"/>
        </w:rPr>
        <w:t>‘Extending Citizenship Rights and Losing it All: Brexit and the Perils of Over-</w:t>
      </w:r>
      <w:proofErr w:type="spellStart"/>
      <w:r w:rsidR="00691B36">
        <w:rPr>
          <w:highlight w:val="green"/>
        </w:rPr>
        <w:t>Constitutionalisation</w:t>
      </w:r>
      <w:proofErr w:type="spellEnd"/>
      <w:r w:rsidR="00691B36">
        <w:rPr>
          <w:highlight w:val="green"/>
        </w:rPr>
        <w:t xml:space="preserve">’, </w:t>
      </w:r>
      <w:r w:rsidRPr="00423ED9">
        <w:rPr>
          <w:highlight w:val="green"/>
        </w:rPr>
        <w:t>Ch.</w:t>
      </w:r>
      <w:proofErr w:type="gramStart"/>
      <w:r w:rsidRPr="00423ED9">
        <w:rPr>
          <w:highlight w:val="green"/>
        </w:rPr>
        <w:t>?,</w:t>
      </w:r>
      <w:proofErr w:type="gramEnd"/>
      <w:r w:rsidRPr="00423ED9">
        <w:rPr>
          <w:highlight w:val="green"/>
        </w:rPr>
        <w:t xml:space="preserve"> p.?</w:t>
      </w:r>
      <w:r>
        <w:t xml:space="preserve"> (currently p.16)</w:t>
      </w:r>
    </w:p>
  </w:footnote>
  <w:footnote w:id="99">
    <w:p w:rsidR="007859BF" w:rsidRPr="00DB6522" w:rsidRDefault="007859BF" w:rsidP="00B76770">
      <w:pPr>
        <w:spacing w:after="0" w:line="240" w:lineRule="auto"/>
        <w:jc w:val="both"/>
        <w:rPr>
          <w:rFonts w:eastAsia="Times New Roman" w:cstheme="minorHAnsi"/>
          <w:sz w:val="20"/>
          <w:szCs w:val="20"/>
        </w:rPr>
      </w:pPr>
      <w:r w:rsidRPr="00DB6522">
        <w:rPr>
          <w:rStyle w:val="FootnoteReference"/>
          <w:rFonts w:cstheme="minorHAnsi"/>
          <w:sz w:val="20"/>
          <w:szCs w:val="20"/>
        </w:rPr>
        <w:footnoteRef/>
      </w:r>
      <w:r w:rsidR="00730EB0">
        <w:rPr>
          <w:rFonts w:cstheme="minorHAnsi"/>
          <w:sz w:val="20"/>
          <w:szCs w:val="20"/>
        </w:rPr>
        <w:t xml:space="preserve"> </w:t>
      </w:r>
      <w:proofErr w:type="spellStart"/>
      <w:r w:rsidR="00730EB0">
        <w:rPr>
          <w:rFonts w:cstheme="minorHAnsi"/>
          <w:sz w:val="20"/>
          <w:szCs w:val="20"/>
        </w:rPr>
        <w:t>Eg</w:t>
      </w:r>
      <w:proofErr w:type="spellEnd"/>
      <w:r w:rsidRPr="00DB6522">
        <w:rPr>
          <w:rFonts w:cstheme="minorHAnsi"/>
          <w:sz w:val="20"/>
          <w:szCs w:val="20"/>
        </w:rPr>
        <w:t xml:space="preserve"> </w:t>
      </w:r>
      <w:r w:rsidR="00730EB0">
        <w:rPr>
          <w:rFonts w:eastAsia="Times New Roman" w:cstheme="minorHAnsi"/>
          <w:sz w:val="20"/>
          <w:szCs w:val="20"/>
        </w:rPr>
        <w:t xml:space="preserve">A </w:t>
      </w:r>
      <w:proofErr w:type="spellStart"/>
      <w:r w:rsidR="00730EB0">
        <w:rPr>
          <w:rFonts w:eastAsia="Times New Roman" w:cstheme="minorHAnsi"/>
          <w:sz w:val="20"/>
          <w:szCs w:val="20"/>
        </w:rPr>
        <w:t>Follesdal</w:t>
      </w:r>
      <w:proofErr w:type="spellEnd"/>
      <w:r w:rsidR="00730EB0">
        <w:rPr>
          <w:rFonts w:eastAsia="Times New Roman" w:cstheme="minorHAnsi"/>
          <w:sz w:val="20"/>
          <w:szCs w:val="20"/>
        </w:rPr>
        <w:t xml:space="preserve"> and S</w:t>
      </w:r>
      <w:r w:rsidRPr="00DB6522">
        <w:rPr>
          <w:rFonts w:eastAsia="Times New Roman" w:cstheme="minorHAnsi"/>
          <w:sz w:val="20"/>
          <w:szCs w:val="20"/>
        </w:rPr>
        <w:t xml:space="preserve"> </w:t>
      </w:r>
      <w:proofErr w:type="spellStart"/>
      <w:r w:rsidRPr="00DB6522">
        <w:rPr>
          <w:rFonts w:eastAsia="Times New Roman" w:cstheme="minorHAnsi"/>
          <w:sz w:val="20"/>
          <w:szCs w:val="20"/>
        </w:rPr>
        <w:t>Hix</w:t>
      </w:r>
      <w:proofErr w:type="spellEnd"/>
      <w:r w:rsidRPr="00DB6522">
        <w:rPr>
          <w:rFonts w:eastAsia="Times New Roman" w:cstheme="minorHAnsi"/>
          <w:sz w:val="20"/>
          <w:szCs w:val="20"/>
        </w:rPr>
        <w:t>, ‘Why There is a Democratic Deficit in the E</w:t>
      </w:r>
      <w:r>
        <w:rPr>
          <w:rFonts w:eastAsia="Times New Roman" w:cstheme="minorHAnsi"/>
          <w:sz w:val="20"/>
          <w:szCs w:val="20"/>
        </w:rPr>
        <w:t xml:space="preserve">U: A Response to </w:t>
      </w:r>
      <w:proofErr w:type="spellStart"/>
      <w:r>
        <w:rPr>
          <w:rFonts w:eastAsia="Times New Roman" w:cstheme="minorHAnsi"/>
          <w:sz w:val="20"/>
          <w:szCs w:val="20"/>
        </w:rPr>
        <w:t>Majone</w:t>
      </w:r>
      <w:proofErr w:type="spellEnd"/>
      <w:r>
        <w:rPr>
          <w:rFonts w:eastAsia="Times New Roman" w:cstheme="minorHAnsi"/>
          <w:sz w:val="20"/>
          <w:szCs w:val="20"/>
        </w:rPr>
        <w:t xml:space="preserve"> and </w:t>
      </w:r>
      <w:proofErr w:type="spellStart"/>
      <w:r w:rsidRPr="00DB6522">
        <w:rPr>
          <w:rFonts w:eastAsia="Times New Roman" w:cstheme="minorHAnsi"/>
          <w:sz w:val="20"/>
          <w:szCs w:val="20"/>
        </w:rPr>
        <w:t>Moravcsik</w:t>
      </w:r>
      <w:proofErr w:type="spellEnd"/>
      <w:r w:rsidRPr="00DB6522">
        <w:rPr>
          <w:rFonts w:eastAsia="Times New Roman" w:cstheme="minorHAnsi"/>
          <w:sz w:val="20"/>
          <w:szCs w:val="20"/>
        </w:rPr>
        <w:t xml:space="preserve">’ (2006) 44 </w:t>
      </w:r>
      <w:r w:rsidR="00730EB0" w:rsidRPr="00AA5BE5">
        <w:rPr>
          <w:rFonts w:eastAsia="Times New Roman" w:cstheme="minorHAnsi"/>
          <w:i/>
          <w:sz w:val="20"/>
          <w:szCs w:val="20"/>
        </w:rPr>
        <w:t>Journal of Common Market Studies</w:t>
      </w:r>
      <w:r w:rsidRPr="00DB6522">
        <w:rPr>
          <w:rFonts w:eastAsia="Times New Roman" w:cstheme="minorHAnsi"/>
          <w:sz w:val="20"/>
          <w:szCs w:val="20"/>
        </w:rPr>
        <w:t xml:space="preserve"> 533</w:t>
      </w:r>
    </w:p>
  </w:footnote>
  <w:footnote w:id="100">
    <w:p w:rsidR="00423ED9" w:rsidRDefault="00423ED9" w:rsidP="00423ED9">
      <w:pPr>
        <w:pStyle w:val="FootnoteText"/>
      </w:pPr>
      <w:r>
        <w:rPr>
          <w:rStyle w:val="FootnoteReference"/>
        </w:rPr>
        <w:footnoteRef/>
      </w:r>
      <w:r>
        <w:t xml:space="preserve"> D Grimm, ‘The Democratic Costs of </w:t>
      </w:r>
      <w:proofErr w:type="spellStart"/>
      <w:r>
        <w:t>Constitutionalisation</w:t>
      </w:r>
      <w:proofErr w:type="spellEnd"/>
      <w:r>
        <w:t xml:space="preserve">: The European Case’, (2015) 21 </w:t>
      </w:r>
      <w:r w:rsidRPr="00730EB0">
        <w:rPr>
          <w:i/>
        </w:rPr>
        <w:t>ELJ</w:t>
      </w:r>
      <w:r>
        <w:t xml:space="preserve"> 460</w:t>
      </w:r>
    </w:p>
  </w:footnote>
  <w:footnote w:id="101">
    <w:p w:rsidR="007859BF" w:rsidRDefault="007859BF" w:rsidP="0032516C">
      <w:pPr>
        <w:pStyle w:val="FootnoteText"/>
      </w:pPr>
      <w:r>
        <w:rPr>
          <w:rStyle w:val="FootnoteReference"/>
        </w:rPr>
        <w:footnoteRef/>
      </w:r>
      <w:r w:rsidR="00730EB0">
        <w:t xml:space="preserve"> Ibid, </w:t>
      </w:r>
      <w:r>
        <w:t>464</w:t>
      </w:r>
    </w:p>
  </w:footnote>
  <w:footnote w:id="102">
    <w:p w:rsidR="007859BF" w:rsidRDefault="007859BF">
      <w:pPr>
        <w:pStyle w:val="FootnoteText"/>
      </w:pPr>
      <w:r>
        <w:rPr>
          <w:rStyle w:val="FootnoteReference"/>
        </w:rPr>
        <w:footnoteRef/>
      </w:r>
      <w:r w:rsidR="00691B36">
        <w:t xml:space="preserve"> Grimm, (Democratic c</w:t>
      </w:r>
      <w:r w:rsidR="00730EB0">
        <w:t>osts), 464</w:t>
      </w:r>
    </w:p>
  </w:footnote>
  <w:footnote w:id="103">
    <w:p w:rsidR="009811D8" w:rsidRDefault="009811D8" w:rsidP="009811D8">
      <w:pPr>
        <w:pStyle w:val="FootnoteText"/>
      </w:pPr>
      <w:r>
        <w:rPr>
          <w:rStyle w:val="FootnoteReference"/>
        </w:rPr>
        <w:footnoteRef/>
      </w:r>
      <w:r w:rsidR="00691B36">
        <w:t xml:space="preserve"> Schmidt, (Over-</w:t>
      </w:r>
      <w:proofErr w:type="spellStart"/>
      <w:r w:rsidR="00691B36">
        <w:t>constitutionalisation</w:t>
      </w:r>
      <w:proofErr w:type="spellEnd"/>
      <w:r>
        <w:t>), currently p.2</w:t>
      </w:r>
    </w:p>
  </w:footnote>
  <w:footnote w:id="104">
    <w:p w:rsidR="007859BF" w:rsidRPr="00F26CAA" w:rsidRDefault="007859BF">
      <w:pPr>
        <w:pStyle w:val="FootnoteText"/>
        <w:rPr>
          <w:i/>
        </w:rPr>
      </w:pPr>
      <w:r>
        <w:rPr>
          <w:rStyle w:val="FootnoteReference"/>
        </w:rPr>
        <w:footnoteRef/>
      </w:r>
      <w:r>
        <w:t xml:space="preserve"> Case 6/64 </w:t>
      </w:r>
      <w:r>
        <w:rPr>
          <w:i/>
        </w:rPr>
        <w:t xml:space="preserve">Costa </w:t>
      </w:r>
      <w:r>
        <w:t>ECLI:EU:C1964:66</w:t>
      </w:r>
      <w:r>
        <w:rPr>
          <w:i/>
        </w:rPr>
        <w:t xml:space="preserve">; </w:t>
      </w:r>
      <w:r w:rsidRPr="006B2757">
        <w:t>Case 26/62</w:t>
      </w:r>
      <w:r>
        <w:rPr>
          <w:i/>
        </w:rPr>
        <w:t xml:space="preserve"> Van </w:t>
      </w:r>
      <w:proofErr w:type="spellStart"/>
      <w:r>
        <w:rPr>
          <w:i/>
        </w:rPr>
        <w:t>Gend</w:t>
      </w:r>
      <w:proofErr w:type="spellEnd"/>
      <w:r>
        <w:rPr>
          <w:i/>
        </w:rPr>
        <w:t xml:space="preserve"> </w:t>
      </w:r>
      <w:proofErr w:type="spellStart"/>
      <w:r>
        <w:rPr>
          <w:i/>
        </w:rPr>
        <w:t>en</w:t>
      </w:r>
      <w:proofErr w:type="spellEnd"/>
      <w:r>
        <w:rPr>
          <w:i/>
        </w:rPr>
        <w:t xml:space="preserve"> Loos </w:t>
      </w:r>
      <w:r>
        <w:t>ECLI:EU:C:1963:1</w:t>
      </w:r>
      <w:r>
        <w:rPr>
          <w:i/>
        </w:rPr>
        <w:t xml:space="preserve"> </w:t>
      </w:r>
    </w:p>
  </w:footnote>
  <w:footnote w:id="105">
    <w:p w:rsidR="007859BF" w:rsidRPr="004F61D9" w:rsidRDefault="007859BF">
      <w:pPr>
        <w:pStyle w:val="FootnoteText"/>
      </w:pPr>
      <w:r>
        <w:rPr>
          <w:rStyle w:val="FootnoteReference"/>
        </w:rPr>
        <w:footnoteRef/>
      </w:r>
      <w:r w:rsidR="00730EB0">
        <w:t xml:space="preserve"> </w:t>
      </w:r>
      <w:proofErr w:type="spellStart"/>
      <w:r w:rsidR="00730EB0">
        <w:t>Eg</w:t>
      </w:r>
      <w:proofErr w:type="spellEnd"/>
      <w:r>
        <w:t xml:space="preserve"> Case 8/74 </w:t>
      </w:r>
      <w:proofErr w:type="spellStart"/>
      <w:r>
        <w:rPr>
          <w:i/>
        </w:rPr>
        <w:t>Dassonville</w:t>
      </w:r>
      <w:proofErr w:type="spellEnd"/>
      <w:r>
        <w:rPr>
          <w:i/>
        </w:rPr>
        <w:t xml:space="preserve"> </w:t>
      </w:r>
      <w:r>
        <w:t xml:space="preserve">ECLI:EU:C:1974/82; Case 120/78 </w:t>
      </w:r>
      <w:proofErr w:type="spellStart"/>
      <w:r>
        <w:rPr>
          <w:i/>
        </w:rPr>
        <w:t>Rewe</w:t>
      </w:r>
      <w:proofErr w:type="spellEnd"/>
      <w:r>
        <w:rPr>
          <w:i/>
        </w:rPr>
        <w:t xml:space="preserve"> v </w:t>
      </w:r>
      <w:proofErr w:type="spellStart"/>
      <w:r>
        <w:rPr>
          <w:i/>
        </w:rPr>
        <w:t>Bundesmonopolverwaltung</w:t>
      </w:r>
      <w:proofErr w:type="spellEnd"/>
      <w:r>
        <w:rPr>
          <w:i/>
        </w:rPr>
        <w:t xml:space="preserve"> </w:t>
      </w:r>
      <w:proofErr w:type="spellStart"/>
      <w:r>
        <w:rPr>
          <w:i/>
        </w:rPr>
        <w:t>für</w:t>
      </w:r>
      <w:proofErr w:type="spellEnd"/>
      <w:r>
        <w:rPr>
          <w:i/>
        </w:rPr>
        <w:t xml:space="preserve"> </w:t>
      </w:r>
      <w:proofErr w:type="spellStart"/>
      <w:r>
        <w:rPr>
          <w:i/>
        </w:rPr>
        <w:t>Branntwein</w:t>
      </w:r>
      <w:proofErr w:type="spellEnd"/>
      <w:r>
        <w:rPr>
          <w:i/>
        </w:rPr>
        <w:t xml:space="preserve"> (Cassis de Dijon) </w:t>
      </w:r>
      <w:r>
        <w:t>ECLI:EU:C:1979:43</w:t>
      </w:r>
      <w:r>
        <w:rPr>
          <w:i/>
        </w:rPr>
        <w:t xml:space="preserve">, </w:t>
      </w:r>
      <w:r>
        <w:t>Case C-55/94</w:t>
      </w:r>
      <w:r>
        <w:rPr>
          <w:i/>
        </w:rPr>
        <w:t xml:space="preserve"> </w:t>
      </w:r>
      <w:proofErr w:type="spellStart"/>
      <w:r>
        <w:rPr>
          <w:i/>
        </w:rPr>
        <w:t>Gebhard</w:t>
      </w:r>
      <w:proofErr w:type="spellEnd"/>
      <w:r>
        <w:t xml:space="preserve"> ECLI:EU:C:1995:411</w:t>
      </w:r>
    </w:p>
  </w:footnote>
  <w:footnote w:id="106">
    <w:p w:rsidR="007859BF" w:rsidRDefault="007859BF">
      <w:pPr>
        <w:pStyle w:val="FootnoteText"/>
      </w:pPr>
      <w:r>
        <w:rPr>
          <w:rStyle w:val="FootnoteReference"/>
        </w:rPr>
        <w:footnoteRef/>
      </w:r>
      <w:r>
        <w:t xml:space="preserve"> Consider, particularly, the more programmatic nature of the free provision of services and establ</w:t>
      </w:r>
      <w:r w:rsidR="00EB6B89">
        <w:t xml:space="preserve">ishment under Arts 59 and 52 </w:t>
      </w:r>
      <w:r w:rsidR="00691B36">
        <w:t>EEC</w:t>
      </w:r>
      <w:r>
        <w:t xml:space="preserve"> </w:t>
      </w:r>
    </w:p>
  </w:footnote>
  <w:footnote w:id="107">
    <w:p w:rsidR="007859BF" w:rsidRDefault="007859BF">
      <w:pPr>
        <w:pStyle w:val="FootnoteText"/>
      </w:pPr>
      <w:r>
        <w:rPr>
          <w:rStyle w:val="FootnoteReference"/>
        </w:rPr>
        <w:footnoteRef/>
      </w:r>
      <w:r w:rsidR="00206B0B">
        <w:t xml:space="preserve"> Grimm, (Democratic c</w:t>
      </w:r>
      <w:r w:rsidR="00730EB0">
        <w:t xml:space="preserve">osts), </w:t>
      </w:r>
      <w:r>
        <w:t>467</w:t>
      </w:r>
      <w:r w:rsidR="005F31BE">
        <w:t xml:space="preserve">; </w:t>
      </w:r>
      <w:r w:rsidR="00691B36">
        <w:rPr>
          <w:highlight w:val="green"/>
        </w:rPr>
        <w:t>see also Schmidt, (Over-</w:t>
      </w:r>
      <w:proofErr w:type="spellStart"/>
      <w:r w:rsidR="00691B36">
        <w:rPr>
          <w:highlight w:val="green"/>
        </w:rPr>
        <w:t>constitutionalisation</w:t>
      </w:r>
      <w:proofErr w:type="spellEnd"/>
      <w:r w:rsidR="005F31BE" w:rsidRPr="005F31BE">
        <w:rPr>
          <w:highlight w:val="green"/>
        </w:rPr>
        <w:t>), [currently] p.1</w:t>
      </w:r>
    </w:p>
  </w:footnote>
  <w:footnote w:id="108">
    <w:p w:rsidR="007859BF" w:rsidRPr="001E5680" w:rsidRDefault="007859BF">
      <w:pPr>
        <w:pStyle w:val="FootnoteText"/>
      </w:pPr>
      <w:r>
        <w:rPr>
          <w:rStyle w:val="FootnoteReference"/>
        </w:rPr>
        <w:footnoteRef/>
      </w:r>
      <w:r>
        <w:t xml:space="preserve"> Case C-341/05 </w:t>
      </w:r>
      <w:r>
        <w:rPr>
          <w:i/>
        </w:rPr>
        <w:t>Laval</w:t>
      </w:r>
      <w:r>
        <w:t xml:space="preserve"> ECLI:EU:C:2007:809; Case C-346/06 </w:t>
      </w:r>
      <w:proofErr w:type="spellStart"/>
      <w:r>
        <w:rPr>
          <w:i/>
        </w:rPr>
        <w:t>R</w:t>
      </w:r>
      <w:r>
        <w:rPr>
          <w:rFonts w:cstheme="minorHAnsi"/>
          <w:i/>
        </w:rPr>
        <w:t>ü</w:t>
      </w:r>
      <w:r>
        <w:rPr>
          <w:i/>
        </w:rPr>
        <w:t>ffert</w:t>
      </w:r>
      <w:proofErr w:type="spellEnd"/>
      <w:r>
        <w:t xml:space="preserve"> ECLI:EU:C:2008:189 and Case C-319/06 </w:t>
      </w:r>
      <w:r>
        <w:rPr>
          <w:i/>
        </w:rPr>
        <w:t>Commission v Luxembourg</w:t>
      </w:r>
      <w:r>
        <w:t xml:space="preserve"> ECLI:EU:C:2008:350</w:t>
      </w:r>
    </w:p>
  </w:footnote>
  <w:footnote w:id="109">
    <w:p w:rsidR="007859BF" w:rsidRPr="001E5680" w:rsidRDefault="007859BF" w:rsidP="00B501F2">
      <w:pPr>
        <w:pStyle w:val="FootnoteText"/>
      </w:pPr>
      <w:r>
        <w:rPr>
          <w:rStyle w:val="FootnoteReference"/>
        </w:rPr>
        <w:footnoteRef/>
      </w:r>
      <w:r>
        <w:t xml:space="preserve"> Directive 96/71/EC of the European Parliament and of the Council of 16 December 1996 concerning the posting of workers in the framework of the provision of services</w:t>
      </w:r>
      <w:r w:rsidR="00583456">
        <w:t>,</w:t>
      </w:r>
      <w:r>
        <w:t xml:space="preserve"> OJ L18/1. </w:t>
      </w:r>
    </w:p>
  </w:footnote>
  <w:footnote w:id="110">
    <w:p w:rsidR="007859BF" w:rsidRPr="00526F87" w:rsidRDefault="007859BF">
      <w:pPr>
        <w:pStyle w:val="FootnoteText"/>
        <w:rPr>
          <w:rFonts w:ascii="Times New Roman" w:hAnsi="Times New Roman" w:cs="Times New Roman"/>
        </w:rPr>
      </w:pPr>
      <w:r>
        <w:rPr>
          <w:rStyle w:val="FootnoteReference"/>
        </w:rPr>
        <w:footnoteRef/>
      </w:r>
      <w:r w:rsidR="00583456">
        <w:t xml:space="preserve"> </w:t>
      </w:r>
      <w:proofErr w:type="spellStart"/>
      <w:r w:rsidR="00583456">
        <w:t>E</w:t>
      </w:r>
      <w:r>
        <w:t>g</w:t>
      </w:r>
      <w:proofErr w:type="spellEnd"/>
      <w:r>
        <w:t xml:space="preserve"> </w:t>
      </w:r>
      <w:r w:rsidRPr="00DA46C2">
        <w:rPr>
          <w:rFonts w:cstheme="minorHAnsi"/>
        </w:rPr>
        <w:t>EP Decision of the Committee Responsible, 2</w:t>
      </w:r>
      <w:r w:rsidRPr="00DA46C2">
        <w:rPr>
          <w:rFonts w:cstheme="minorHAnsi"/>
          <w:vertAlign w:val="superscript"/>
        </w:rPr>
        <w:t>nd</w:t>
      </w:r>
      <w:r w:rsidRPr="00DA46C2">
        <w:rPr>
          <w:rFonts w:cstheme="minorHAnsi"/>
        </w:rPr>
        <w:t xml:space="preserve"> reading, COD/1991/0346, 24/07/1996, ‘The aim is to eliminate unfair competition by ensuring that “posted” workers do not receive lower wages and are not subject to less favourable working conditions</w:t>
      </w:r>
      <w:r>
        <w:rPr>
          <w:rFonts w:cstheme="minorHAnsi"/>
        </w:rPr>
        <w:t xml:space="preserve"> in the member state concerned’; C. Barnard, ‘Social Dumping or Dumping Socialism’ (2008) 67 </w:t>
      </w:r>
      <w:r w:rsidRPr="00583456">
        <w:rPr>
          <w:rFonts w:cstheme="minorHAnsi"/>
          <w:i/>
        </w:rPr>
        <w:t>CLJ</w:t>
      </w:r>
      <w:r>
        <w:rPr>
          <w:rFonts w:cstheme="minorHAnsi"/>
        </w:rPr>
        <w:t xml:space="preserve"> 262</w:t>
      </w:r>
    </w:p>
  </w:footnote>
  <w:footnote w:id="111">
    <w:p w:rsidR="007859BF" w:rsidRPr="000B2F62" w:rsidRDefault="007859BF">
      <w:pPr>
        <w:pStyle w:val="FootnoteText"/>
      </w:pPr>
      <w:r>
        <w:rPr>
          <w:rStyle w:val="FootnoteReference"/>
        </w:rPr>
        <w:footnoteRef/>
      </w:r>
      <w:r>
        <w:t xml:space="preserve"> Case C-341/05 </w:t>
      </w:r>
      <w:r>
        <w:rPr>
          <w:i/>
        </w:rPr>
        <w:t>Laval</w:t>
      </w:r>
      <w:r>
        <w:t>, para.101</w:t>
      </w:r>
    </w:p>
  </w:footnote>
  <w:footnote w:id="112">
    <w:p w:rsidR="007859BF" w:rsidRDefault="007859BF">
      <w:pPr>
        <w:pStyle w:val="FootnoteText"/>
      </w:pPr>
      <w:r>
        <w:rPr>
          <w:rStyle w:val="FootnoteReference"/>
        </w:rPr>
        <w:footnoteRef/>
      </w:r>
      <w:r>
        <w:t xml:space="preserve"> </w:t>
      </w:r>
      <w:r w:rsidR="00583456">
        <w:t xml:space="preserve">Davies, (Legislative control), </w:t>
      </w:r>
      <w:r>
        <w:t>1583</w:t>
      </w:r>
    </w:p>
  </w:footnote>
  <w:footnote w:id="113">
    <w:p w:rsidR="007859BF" w:rsidRDefault="007859BF">
      <w:pPr>
        <w:pStyle w:val="FootnoteText"/>
      </w:pPr>
      <w:r>
        <w:rPr>
          <w:rStyle w:val="FootnoteReference"/>
        </w:rPr>
        <w:footnoteRef/>
      </w:r>
      <w:r>
        <w:t xml:space="preserve"> Proposal for a Council Regulation on the right to take collective action within the context of the freedom of establishment and the freedom to provide services, COM(2012) 130 final; Commission Decision to withdraw the proposal: </w:t>
      </w:r>
      <w:hyperlink r:id="rId1" w:history="1">
        <w:r w:rsidRPr="00C335C3">
          <w:rPr>
            <w:rStyle w:val="Hyperlink"/>
          </w:rPr>
          <w:t>http://ec.europa.eu/dgs/secretariat_general/relations/relations_other/npo/letter_to_nal_parl_en.htm</w:t>
        </w:r>
      </w:hyperlink>
      <w:r>
        <w:t xml:space="preserve">  </w:t>
      </w:r>
    </w:p>
  </w:footnote>
  <w:footnote w:id="114">
    <w:p w:rsidR="007859BF" w:rsidRPr="00474081" w:rsidRDefault="007859BF">
      <w:pPr>
        <w:pStyle w:val="FootnoteText"/>
      </w:pPr>
      <w:r>
        <w:rPr>
          <w:rStyle w:val="FootnoteReference"/>
        </w:rPr>
        <w:footnoteRef/>
      </w:r>
      <w:r>
        <w:t xml:space="preserve"> Case C-184/99 </w:t>
      </w:r>
      <w:r>
        <w:rPr>
          <w:i/>
        </w:rPr>
        <w:t>Grzelczyk</w:t>
      </w:r>
      <w:r>
        <w:t>.</w:t>
      </w:r>
    </w:p>
  </w:footnote>
  <w:footnote w:id="115">
    <w:p w:rsidR="007859BF" w:rsidRDefault="007859BF">
      <w:pPr>
        <w:pStyle w:val="FootnoteText"/>
      </w:pPr>
      <w:r>
        <w:rPr>
          <w:rStyle w:val="FootnoteReference"/>
        </w:rPr>
        <w:footnoteRef/>
      </w:r>
      <w:r>
        <w:t xml:space="preserve"> Case C-413/99 </w:t>
      </w:r>
      <w:proofErr w:type="spellStart"/>
      <w:r w:rsidRPr="00D010B6">
        <w:rPr>
          <w:i/>
        </w:rPr>
        <w:t>Baumbast</w:t>
      </w:r>
      <w:proofErr w:type="spellEnd"/>
    </w:p>
  </w:footnote>
  <w:footnote w:id="116">
    <w:p w:rsidR="007859BF" w:rsidRDefault="007859BF">
      <w:pPr>
        <w:pStyle w:val="FootnoteText"/>
      </w:pPr>
      <w:r>
        <w:rPr>
          <w:rStyle w:val="FootnoteReference"/>
        </w:rPr>
        <w:footnoteRef/>
      </w:r>
      <w:r w:rsidR="00583456">
        <w:t xml:space="preserve"> Davies, (Legislative control), </w:t>
      </w:r>
      <w:r>
        <w:t>1598</w:t>
      </w:r>
    </w:p>
  </w:footnote>
  <w:footnote w:id="117">
    <w:p w:rsidR="007859BF" w:rsidRDefault="007859BF">
      <w:pPr>
        <w:pStyle w:val="FootnoteText"/>
      </w:pPr>
      <w:r>
        <w:rPr>
          <w:rStyle w:val="FootnoteReference"/>
        </w:rPr>
        <w:footnoteRef/>
      </w:r>
      <w:r w:rsidR="00AA5BE5">
        <w:t xml:space="preserve"> Davies, (Legislative c</w:t>
      </w:r>
      <w:r w:rsidR="00583456">
        <w:t xml:space="preserve">ontrol), </w:t>
      </w:r>
      <w:r>
        <w:t>1599</w:t>
      </w:r>
    </w:p>
  </w:footnote>
  <w:footnote w:id="118">
    <w:p w:rsidR="007859BF" w:rsidRPr="00F3739B" w:rsidRDefault="007859BF">
      <w:pPr>
        <w:pStyle w:val="FootnoteText"/>
      </w:pPr>
      <w:r>
        <w:rPr>
          <w:rStyle w:val="FootnoteReference"/>
        </w:rPr>
        <w:footnoteRef/>
      </w:r>
      <w:r>
        <w:t xml:space="preserve"> Compare pre-Dir 2004/38 Case C-209/03 </w:t>
      </w:r>
      <w:proofErr w:type="spellStart"/>
      <w:r>
        <w:rPr>
          <w:i/>
        </w:rPr>
        <w:t>Bidar</w:t>
      </w:r>
      <w:proofErr w:type="spellEnd"/>
      <w:r>
        <w:t xml:space="preserve"> ECLI:EU:C:2005:169 with post-Dir 2004/38 Case C-158/07 </w:t>
      </w:r>
      <w:proofErr w:type="spellStart"/>
      <w:r>
        <w:rPr>
          <w:i/>
        </w:rPr>
        <w:t>F</w:t>
      </w:r>
      <w:r>
        <w:rPr>
          <w:rFonts w:cstheme="minorHAnsi"/>
          <w:i/>
        </w:rPr>
        <w:t>ö</w:t>
      </w:r>
      <w:r>
        <w:rPr>
          <w:i/>
        </w:rPr>
        <w:t>rster</w:t>
      </w:r>
      <w:proofErr w:type="spellEnd"/>
      <w:r>
        <w:rPr>
          <w:i/>
        </w:rPr>
        <w:t xml:space="preserve"> </w:t>
      </w:r>
      <w:r>
        <w:t xml:space="preserve">ECLI:EU:C:2008:630 </w:t>
      </w:r>
    </w:p>
  </w:footnote>
  <w:footnote w:id="119">
    <w:p w:rsidR="007859BF" w:rsidRDefault="007859BF">
      <w:pPr>
        <w:pStyle w:val="FootnoteText"/>
      </w:pPr>
      <w:r>
        <w:rPr>
          <w:rStyle w:val="FootnoteReference"/>
        </w:rPr>
        <w:footnoteRef/>
      </w:r>
      <w:r w:rsidR="00137F5D">
        <w:t xml:space="preserve"> Davies, (Legislative c</w:t>
      </w:r>
      <w:r w:rsidR="00583456">
        <w:t xml:space="preserve">ontrol), </w:t>
      </w:r>
      <w:r>
        <w:t>1601</w:t>
      </w:r>
    </w:p>
  </w:footnote>
  <w:footnote w:id="120">
    <w:p w:rsidR="007859BF" w:rsidRPr="00774B2B" w:rsidRDefault="007859BF">
      <w:pPr>
        <w:pStyle w:val="FootnoteText"/>
      </w:pPr>
      <w:r>
        <w:rPr>
          <w:rStyle w:val="FootnoteReference"/>
        </w:rPr>
        <w:footnoteRef/>
      </w:r>
      <w:r>
        <w:t xml:space="preserve"> Case C-200/02 </w:t>
      </w:r>
      <w:r>
        <w:rPr>
          <w:i/>
        </w:rPr>
        <w:t>Chen</w:t>
      </w:r>
      <w:r>
        <w:t xml:space="preserve">; Case C-34/09 </w:t>
      </w:r>
      <w:r>
        <w:rPr>
          <w:i/>
        </w:rPr>
        <w:t>Ruiz Zambrano</w:t>
      </w:r>
    </w:p>
  </w:footnote>
  <w:footnote w:id="121">
    <w:p w:rsidR="007859BF" w:rsidRPr="004B38E8" w:rsidRDefault="007859BF">
      <w:pPr>
        <w:pStyle w:val="FootnoteText"/>
      </w:pPr>
      <w:r>
        <w:rPr>
          <w:rStyle w:val="FootnoteReference"/>
        </w:rPr>
        <w:footnoteRef/>
      </w:r>
      <w:r w:rsidR="00EA0BCA">
        <w:t xml:space="preserve"> C</w:t>
      </w:r>
      <w:r>
        <w:t>ompare and contrast</w:t>
      </w:r>
      <w:r w:rsidR="00EA0BCA">
        <w:t xml:space="preserve"> also</w:t>
      </w:r>
      <w:r>
        <w:t xml:space="preserve"> the requirements arising re: cross-border health case in Case C-102/95 </w:t>
      </w:r>
      <w:r>
        <w:rPr>
          <w:i/>
        </w:rPr>
        <w:t>Decker</w:t>
      </w:r>
      <w:r>
        <w:t xml:space="preserve"> with </w:t>
      </w:r>
      <w:proofErr w:type="spellStart"/>
      <w:r>
        <w:t>Reg</w:t>
      </w:r>
      <w:proofErr w:type="spellEnd"/>
      <w:r>
        <w:t xml:space="preserve"> No 1408/71</w:t>
      </w:r>
    </w:p>
  </w:footnote>
  <w:footnote w:id="122">
    <w:p w:rsidR="00EA0BCA" w:rsidRDefault="00EA0BCA" w:rsidP="00EA0BCA">
      <w:pPr>
        <w:pStyle w:val="FootnoteText"/>
      </w:pPr>
      <w:r>
        <w:rPr>
          <w:rStyle w:val="FootnoteReference"/>
        </w:rPr>
        <w:footnoteRef/>
      </w:r>
      <w:r>
        <w:t xml:space="preserve"> Grimm, (Democratic costs) 470; </w:t>
      </w:r>
      <w:r w:rsidRPr="00EA0BCA">
        <w:rPr>
          <w:highlight w:val="green"/>
        </w:rPr>
        <w:t>see also Schmidt, (</w:t>
      </w:r>
      <w:r w:rsidR="00206B0B">
        <w:rPr>
          <w:highlight w:val="green"/>
        </w:rPr>
        <w:t>Over-</w:t>
      </w:r>
      <w:proofErr w:type="spellStart"/>
      <w:r w:rsidR="00206B0B">
        <w:rPr>
          <w:highlight w:val="green"/>
        </w:rPr>
        <w:t>constitutionalisation</w:t>
      </w:r>
      <w:proofErr w:type="spellEnd"/>
      <w:r w:rsidRPr="00EA0BCA">
        <w:rPr>
          <w:highlight w:val="green"/>
        </w:rPr>
        <w:t>)</w:t>
      </w:r>
    </w:p>
  </w:footnote>
  <w:footnote w:id="123">
    <w:p w:rsidR="007859BF" w:rsidRDefault="007859BF">
      <w:pPr>
        <w:pStyle w:val="FootnoteText"/>
      </w:pPr>
      <w:r>
        <w:rPr>
          <w:rStyle w:val="FootnoteReference"/>
        </w:rPr>
        <w:footnoteRef/>
      </w:r>
      <w:r>
        <w:t xml:space="preserve"> Davies</w:t>
      </w:r>
      <w:r w:rsidR="00206B0B">
        <w:t>,</w:t>
      </w:r>
      <w:r w:rsidR="00583456">
        <w:t xml:space="preserve"> (Legislative control)</w:t>
      </w:r>
      <w:r>
        <w:t>,</w:t>
      </w:r>
      <w:r w:rsidR="00583456">
        <w:t xml:space="preserve"> 1597; also Grimm (Democratic costs), </w:t>
      </w:r>
      <w:r>
        <w:t>464</w:t>
      </w:r>
    </w:p>
  </w:footnote>
  <w:footnote w:id="124">
    <w:p w:rsidR="007859BF" w:rsidRDefault="007859BF">
      <w:pPr>
        <w:pStyle w:val="FootnoteText"/>
      </w:pPr>
      <w:r>
        <w:rPr>
          <w:rStyle w:val="FootnoteReference"/>
        </w:rPr>
        <w:footnoteRef/>
      </w:r>
      <w:r>
        <w:t xml:space="preserve"> Davies</w:t>
      </w:r>
      <w:r w:rsidR="00206B0B">
        <w:t>,</w:t>
      </w:r>
      <w:r w:rsidR="00583456">
        <w:t xml:space="preserve"> (Legislative control), </w:t>
      </w:r>
      <w:r>
        <w:t>1605</w:t>
      </w:r>
    </w:p>
  </w:footnote>
  <w:footnote w:id="125">
    <w:p w:rsidR="009B2F56" w:rsidRDefault="009B2F56">
      <w:pPr>
        <w:pStyle w:val="FootnoteText"/>
      </w:pPr>
      <w:r>
        <w:rPr>
          <w:rStyle w:val="FootnoteReference"/>
        </w:rPr>
        <w:footnoteRef/>
      </w:r>
      <w:r>
        <w:t xml:space="preserve"> </w:t>
      </w:r>
      <w:r w:rsidRPr="00774E00">
        <w:rPr>
          <w:highlight w:val="green"/>
        </w:rPr>
        <w:t>See Schmidt, (</w:t>
      </w:r>
      <w:r w:rsidR="00206B0B">
        <w:rPr>
          <w:highlight w:val="green"/>
        </w:rPr>
        <w:t>Over-</w:t>
      </w:r>
      <w:proofErr w:type="spellStart"/>
      <w:r w:rsidR="00206B0B">
        <w:rPr>
          <w:highlight w:val="green"/>
        </w:rPr>
        <w:t>constitutionalisation</w:t>
      </w:r>
      <w:proofErr w:type="spellEnd"/>
      <w:r w:rsidRPr="00774E00">
        <w:rPr>
          <w:highlight w:val="green"/>
        </w:rPr>
        <w:t>), [currently] p.10</w:t>
      </w:r>
    </w:p>
  </w:footnote>
  <w:footnote w:id="126">
    <w:p w:rsidR="007859BF" w:rsidRDefault="007859BF">
      <w:pPr>
        <w:pStyle w:val="FootnoteText"/>
      </w:pPr>
      <w:r>
        <w:rPr>
          <w:rStyle w:val="FootnoteReference"/>
        </w:rPr>
        <w:footnoteRef/>
      </w:r>
      <w:r>
        <w:t xml:space="preserve"> M </w:t>
      </w:r>
      <w:proofErr w:type="spellStart"/>
      <w:r>
        <w:t>Blauberger</w:t>
      </w:r>
      <w:proofErr w:type="spellEnd"/>
      <w:r>
        <w:t xml:space="preserve"> and S Schmidt, ‘Welfare Migration? Free Movement of EU Citizens and Access to Social Benefits’, (2014) </w:t>
      </w:r>
      <w:r w:rsidRPr="00BB1D3B">
        <w:rPr>
          <w:i/>
        </w:rPr>
        <w:t>Research and Politics</w:t>
      </w:r>
      <w:r>
        <w:t>, 1, 6</w:t>
      </w:r>
    </w:p>
  </w:footnote>
  <w:footnote w:id="127">
    <w:p w:rsidR="007859BF" w:rsidRDefault="007859BF" w:rsidP="003D366A">
      <w:pPr>
        <w:pStyle w:val="FootnoteText"/>
      </w:pPr>
      <w:r>
        <w:rPr>
          <w:rStyle w:val="FootnoteReference"/>
        </w:rPr>
        <w:footnoteRef/>
      </w:r>
      <w:r>
        <w:t xml:space="preserve"> </w:t>
      </w:r>
      <w:r w:rsidR="004C6BE1">
        <w:t>See S</w:t>
      </w:r>
      <w:r>
        <w:t xml:space="preserve"> Currie, </w:t>
      </w:r>
      <w:r>
        <w:rPr>
          <w:i/>
        </w:rPr>
        <w:t>Migration, Work and Citizenship in the Enlarged European Union</w:t>
      </w:r>
      <w:r>
        <w:t xml:space="preserve">, (Cornwall, </w:t>
      </w:r>
      <w:proofErr w:type="spellStart"/>
      <w:r>
        <w:t>Ashgate</w:t>
      </w:r>
      <w:proofErr w:type="spellEnd"/>
      <w:r>
        <w:t xml:space="preserve"> 2008) 45; </w:t>
      </w:r>
      <w:proofErr w:type="spellStart"/>
      <w:r>
        <w:t>Eurofound</w:t>
      </w:r>
      <w:proofErr w:type="spellEnd"/>
      <w:r>
        <w:t xml:space="preserve"> Report, ‘Social Dimension of intra-EU Mobility: Impact on Public Services’, December 2015 </w:t>
      </w:r>
    </w:p>
  </w:footnote>
  <w:footnote w:id="128">
    <w:p w:rsidR="007859BF" w:rsidRDefault="007859BF">
      <w:pPr>
        <w:pStyle w:val="FootnoteText"/>
      </w:pPr>
      <w:r>
        <w:rPr>
          <w:rStyle w:val="FootnoteReference"/>
        </w:rPr>
        <w:footnoteRef/>
      </w:r>
      <w:r>
        <w:t xml:space="preserve"> Remain campaign materials on immigration tended to focus on the renegotiation or on the fact the exit would not lower immigration levels, rather than on the advantages of free movement e.g. </w:t>
      </w:r>
      <w:hyperlink r:id="rId2" w:history="1">
        <w:r w:rsidRPr="00474620">
          <w:rPr>
            <w:rStyle w:val="Hyperlink"/>
          </w:rPr>
          <w:t>https://d3n8a8pro7vhmx.cloudfront.net/in/pages/688/attachments/original/1467881907/BSIE_A5_LEAFLETS_(MYTH)_v15_PRINT.pdf?1467881907</w:t>
        </w:r>
      </w:hyperlink>
      <w:r>
        <w:t xml:space="preserve"> . The Leave campaign was more explicit, asking voters to imagine what the UK would be like when poorer countries join the EU, given the purported strain the UK was already under</w:t>
      </w:r>
      <w:r w:rsidR="00137F5D">
        <w:t>. That campaign also focused on the perceived powered of</w:t>
      </w:r>
      <w:r>
        <w:t xml:space="preserve"> the CJEU to dictate who could enter the country: </w:t>
      </w:r>
      <w:hyperlink r:id="rId3" w:history="1">
        <w:r w:rsidRPr="00474620">
          <w:rPr>
            <w:rStyle w:val="Hyperlink"/>
          </w:rPr>
          <w:t>http://www.voteleavetakecontrol.org/why_vote_leave.html</w:t>
        </w:r>
      </w:hyperlink>
      <w:r>
        <w:t xml:space="preserve">  </w:t>
      </w:r>
    </w:p>
  </w:footnote>
  <w:footnote w:id="129">
    <w:p w:rsidR="00774E00" w:rsidRDefault="00774E00">
      <w:pPr>
        <w:pStyle w:val="FootnoteText"/>
      </w:pPr>
      <w:r>
        <w:rPr>
          <w:rStyle w:val="FootnoteReference"/>
        </w:rPr>
        <w:footnoteRef/>
      </w:r>
      <w:r>
        <w:t xml:space="preserve"> </w:t>
      </w:r>
      <w:r w:rsidRPr="00206B0B">
        <w:rPr>
          <w:highlight w:val="green"/>
        </w:rPr>
        <w:t>See also Schmidt,</w:t>
      </w:r>
      <w:r w:rsidR="00206B0B" w:rsidRPr="00206B0B">
        <w:rPr>
          <w:highlight w:val="green"/>
        </w:rPr>
        <w:t xml:space="preserve"> (Over-</w:t>
      </w:r>
      <w:proofErr w:type="spellStart"/>
      <w:r w:rsidR="00206B0B" w:rsidRPr="00206B0B">
        <w:rPr>
          <w:highlight w:val="green"/>
        </w:rPr>
        <w:t>constitutionalisation</w:t>
      </w:r>
      <w:proofErr w:type="spellEnd"/>
      <w:r w:rsidRPr="00206B0B">
        <w:rPr>
          <w:highlight w:val="green"/>
        </w:rPr>
        <w:t>)</w:t>
      </w:r>
      <w:r w:rsidR="008D53B8" w:rsidRPr="00206B0B">
        <w:rPr>
          <w:highlight w:val="green"/>
        </w:rPr>
        <w:t xml:space="preserve">, </w:t>
      </w:r>
      <w:r w:rsidR="00206B0B" w:rsidRPr="00206B0B">
        <w:rPr>
          <w:highlight w:val="green"/>
        </w:rPr>
        <w:t>[</w:t>
      </w:r>
      <w:r w:rsidR="008D53B8" w:rsidRPr="00206B0B">
        <w:rPr>
          <w:highlight w:val="green"/>
        </w:rPr>
        <w:t>currently</w:t>
      </w:r>
      <w:r w:rsidR="00206B0B" w:rsidRPr="00206B0B">
        <w:rPr>
          <w:highlight w:val="green"/>
        </w:rPr>
        <w:t>]</w:t>
      </w:r>
      <w:r w:rsidR="008D53B8" w:rsidRPr="00206B0B">
        <w:rPr>
          <w:highlight w:val="green"/>
        </w:rPr>
        <w:t xml:space="preserve"> p.15</w:t>
      </w:r>
      <w:r w:rsidR="00206B0B">
        <w:t>, who also argues that the constraints of over-</w:t>
      </w:r>
      <w:proofErr w:type="spellStart"/>
      <w:r w:rsidR="00206B0B">
        <w:t>constitutionalisation</w:t>
      </w:r>
      <w:proofErr w:type="spellEnd"/>
      <w:r w:rsidR="00206B0B">
        <w:t xml:space="preserve"> were particularly prominent within the UK legal system </w:t>
      </w:r>
    </w:p>
  </w:footnote>
  <w:footnote w:id="130">
    <w:p w:rsidR="007859BF" w:rsidRPr="004B0481" w:rsidRDefault="007859BF">
      <w:pPr>
        <w:pStyle w:val="FootnoteText"/>
      </w:pPr>
      <w:r>
        <w:rPr>
          <w:rStyle w:val="FootnoteReference"/>
        </w:rPr>
        <w:footnoteRef/>
      </w:r>
      <w:r>
        <w:t xml:space="preserve"> </w:t>
      </w:r>
      <w:r w:rsidR="004C6BE1">
        <w:t xml:space="preserve">(Opinion) </w:t>
      </w:r>
      <w:r>
        <w:t xml:space="preserve">Case C-456/02 </w:t>
      </w:r>
      <w:proofErr w:type="spellStart"/>
      <w:r>
        <w:rPr>
          <w:i/>
        </w:rPr>
        <w:t>Trojani</w:t>
      </w:r>
      <w:proofErr w:type="spellEnd"/>
      <w:r>
        <w:t xml:space="preserve"> ECLI:EU:C:2004:112, paras.13 and 18</w:t>
      </w:r>
    </w:p>
  </w:footnote>
  <w:footnote w:id="131">
    <w:p w:rsidR="007859BF" w:rsidRDefault="007859BF">
      <w:pPr>
        <w:pStyle w:val="FootnoteText"/>
      </w:pPr>
      <w:r>
        <w:rPr>
          <w:rStyle w:val="FootnoteReference"/>
        </w:rPr>
        <w:footnoteRef/>
      </w:r>
      <w:r>
        <w:t xml:space="preserve"> Para.18</w:t>
      </w:r>
    </w:p>
  </w:footnote>
  <w:footnote w:id="132">
    <w:p w:rsidR="007859BF" w:rsidRDefault="007859BF">
      <w:pPr>
        <w:pStyle w:val="FootnoteText"/>
      </w:pPr>
      <w:r>
        <w:rPr>
          <w:rStyle w:val="FootnoteReference"/>
        </w:rPr>
        <w:footnoteRef/>
      </w:r>
      <w:r>
        <w:t xml:space="preserve"> </w:t>
      </w:r>
      <w:r w:rsidR="002B5316">
        <w:t>European Council, (note 7),</w:t>
      </w:r>
      <w:r w:rsidR="004C6BE1">
        <w:t xml:space="preserve"> </w:t>
      </w:r>
      <w:r>
        <w:t xml:space="preserve">19 </w:t>
      </w:r>
    </w:p>
  </w:footnote>
  <w:footnote w:id="133">
    <w:p w:rsidR="00DD058C" w:rsidRDefault="00DD058C">
      <w:pPr>
        <w:pStyle w:val="FootnoteText"/>
      </w:pPr>
      <w:r>
        <w:rPr>
          <w:rStyle w:val="FootnoteReference"/>
        </w:rPr>
        <w:footnoteRef/>
      </w:r>
      <w:r>
        <w:t xml:space="preserve"> </w:t>
      </w:r>
      <w:r w:rsidRPr="00470BF8">
        <w:rPr>
          <w:highlight w:val="green"/>
        </w:rPr>
        <w:t>For Schmidt, (note 98), this is case of ‘too little too late’, in terms of judicial response to the will of political actors, (note 98) currently p.9</w:t>
      </w:r>
    </w:p>
  </w:footnote>
  <w:footnote w:id="134">
    <w:p w:rsidR="007859BF" w:rsidRPr="00FE27A4" w:rsidRDefault="007859BF">
      <w:pPr>
        <w:pStyle w:val="FootnoteText"/>
      </w:pPr>
      <w:r>
        <w:rPr>
          <w:rStyle w:val="FootnoteReference"/>
        </w:rPr>
        <w:footnoteRef/>
      </w:r>
      <w:r>
        <w:t xml:space="preserve"> </w:t>
      </w:r>
      <w:proofErr w:type="spellStart"/>
      <w:r>
        <w:t>Eg</w:t>
      </w:r>
      <w:proofErr w:type="spellEnd"/>
      <w:r>
        <w:t xml:space="preserve"> Case C-333/13 </w:t>
      </w:r>
      <w:proofErr w:type="spellStart"/>
      <w:r>
        <w:rPr>
          <w:i/>
        </w:rPr>
        <w:t>Dano</w:t>
      </w:r>
      <w:proofErr w:type="spellEnd"/>
      <w:r>
        <w:t>, para.76</w:t>
      </w:r>
    </w:p>
  </w:footnote>
  <w:footnote w:id="135">
    <w:p w:rsidR="007859BF" w:rsidRPr="00792306" w:rsidRDefault="007859BF">
      <w:pPr>
        <w:pStyle w:val="FootnoteText"/>
        <w:rPr>
          <w:i/>
        </w:rPr>
      </w:pPr>
      <w:r>
        <w:rPr>
          <w:rStyle w:val="FootnoteReference"/>
        </w:rPr>
        <w:footnoteRef/>
      </w:r>
      <w:r>
        <w:t xml:space="preserve"> </w:t>
      </w:r>
      <w:proofErr w:type="spellStart"/>
      <w:r>
        <w:t>Blauberger</w:t>
      </w:r>
      <w:proofErr w:type="spellEnd"/>
      <w:r>
        <w:t xml:space="preserve"> and Schmidt</w:t>
      </w:r>
      <w:r w:rsidR="004C6BE1">
        <w:t xml:space="preserve"> (Welfare migration)</w:t>
      </w:r>
    </w:p>
  </w:footnote>
  <w:footnote w:id="136">
    <w:p w:rsidR="007859BF" w:rsidRDefault="007859BF">
      <w:pPr>
        <w:pStyle w:val="FootnoteText"/>
      </w:pPr>
      <w:r>
        <w:rPr>
          <w:rStyle w:val="FootnoteReference"/>
        </w:rPr>
        <w:footnoteRef/>
      </w:r>
      <w:r>
        <w:t xml:space="preserve"> Individuals not meeting the UK’s minimum earnings threshold must provide additional evidence that their </w:t>
      </w:r>
      <w:r w:rsidR="002B5316">
        <w:t>work is ‘genuine and effective’</w:t>
      </w:r>
      <w:r w:rsidR="00DD058C">
        <w:t xml:space="preserve">. </w:t>
      </w:r>
      <w:r w:rsidR="004B09D5">
        <w:rPr>
          <w:highlight w:val="green"/>
        </w:rPr>
        <w:t>For discussion of other</w:t>
      </w:r>
      <w:r w:rsidR="00DD058C" w:rsidRPr="00470BF8">
        <w:rPr>
          <w:highlight w:val="green"/>
        </w:rPr>
        <w:t xml:space="preserve"> administrative hurdles facing EU citizens</w:t>
      </w:r>
      <w:r w:rsidR="004B09D5">
        <w:rPr>
          <w:highlight w:val="green"/>
        </w:rPr>
        <w:t xml:space="preserve"> in the UK, see</w:t>
      </w:r>
      <w:r w:rsidR="00DD058C" w:rsidRPr="00470BF8">
        <w:rPr>
          <w:highlight w:val="green"/>
        </w:rPr>
        <w:t xml:space="preserve"> Schmidt (</w:t>
      </w:r>
      <w:r w:rsidR="004B09D5">
        <w:rPr>
          <w:highlight w:val="green"/>
        </w:rPr>
        <w:t>Over-</w:t>
      </w:r>
      <w:proofErr w:type="spellStart"/>
      <w:r w:rsidR="004B09D5">
        <w:rPr>
          <w:highlight w:val="green"/>
        </w:rPr>
        <w:t>constitutionalisation</w:t>
      </w:r>
      <w:proofErr w:type="spellEnd"/>
      <w:r w:rsidR="00DD058C" w:rsidRPr="00470BF8">
        <w:rPr>
          <w:highlight w:val="green"/>
        </w:rPr>
        <w:t xml:space="preserve">), </w:t>
      </w:r>
      <w:r w:rsidR="004B09D5">
        <w:rPr>
          <w:highlight w:val="green"/>
        </w:rPr>
        <w:t>[</w:t>
      </w:r>
      <w:r w:rsidR="00DD058C" w:rsidRPr="00470BF8">
        <w:rPr>
          <w:highlight w:val="green"/>
        </w:rPr>
        <w:t>currently</w:t>
      </w:r>
      <w:r w:rsidR="004B09D5">
        <w:rPr>
          <w:highlight w:val="green"/>
        </w:rPr>
        <w:t>]</w:t>
      </w:r>
      <w:r w:rsidR="00DD058C" w:rsidRPr="00470BF8">
        <w:rPr>
          <w:highlight w:val="green"/>
        </w:rPr>
        <w:t xml:space="preserve"> pp.13-14</w:t>
      </w:r>
      <w:r>
        <w:t xml:space="preserve"> </w:t>
      </w:r>
    </w:p>
  </w:footnote>
  <w:footnote w:id="137">
    <w:p w:rsidR="007859BF" w:rsidRPr="00470376" w:rsidRDefault="007859BF">
      <w:pPr>
        <w:pStyle w:val="FootnoteText"/>
      </w:pPr>
      <w:r>
        <w:rPr>
          <w:rStyle w:val="FootnoteReference"/>
        </w:rPr>
        <w:footnoteRef/>
      </w:r>
      <w:r>
        <w:t xml:space="preserve"> See the UK’s ‘right to reside’ test, found to be lawful </w:t>
      </w:r>
      <w:r w:rsidR="004B09D5">
        <w:t xml:space="preserve">in </w:t>
      </w:r>
      <w:r>
        <w:t xml:space="preserve">Case C-308/14 </w:t>
      </w:r>
      <w:r>
        <w:rPr>
          <w:i/>
        </w:rPr>
        <w:t>Commission v UK</w:t>
      </w:r>
    </w:p>
  </w:footnote>
  <w:footnote w:id="138">
    <w:p w:rsidR="007859BF" w:rsidRDefault="007859BF">
      <w:pPr>
        <w:pStyle w:val="FootnoteText"/>
      </w:pPr>
      <w:r>
        <w:rPr>
          <w:rStyle w:val="FootnoteReference"/>
        </w:rPr>
        <w:footnoteRef/>
      </w:r>
      <w:r>
        <w:t xml:space="preserve"> </w:t>
      </w:r>
      <w:r w:rsidR="004C6BE1">
        <w:t xml:space="preserve">Grimm (Democratic costs), </w:t>
      </w:r>
      <w:r>
        <w:t>464</w:t>
      </w:r>
    </w:p>
  </w:footnote>
  <w:footnote w:id="139">
    <w:p w:rsidR="007859BF" w:rsidRDefault="007859BF">
      <w:pPr>
        <w:pStyle w:val="FootnoteText"/>
      </w:pPr>
      <w:r>
        <w:rPr>
          <w:rStyle w:val="FootnoteReference"/>
        </w:rPr>
        <w:footnoteRef/>
      </w:r>
      <w:r>
        <w:t xml:space="preserve"> </w:t>
      </w:r>
      <w:r w:rsidR="002B5316">
        <w:t>Bratislava Declaration, (note 1)</w:t>
      </w:r>
      <w:r>
        <w:t>, 1</w:t>
      </w:r>
    </w:p>
  </w:footnote>
  <w:footnote w:id="140">
    <w:p w:rsidR="007859BF" w:rsidRDefault="007859BF">
      <w:pPr>
        <w:pStyle w:val="FootnoteText"/>
      </w:pPr>
      <w:r>
        <w:rPr>
          <w:rStyle w:val="FootnoteReference"/>
        </w:rPr>
        <w:footnoteRef/>
      </w:r>
      <w:r>
        <w:t xml:space="preserve"> </w:t>
      </w:r>
      <w:r w:rsidR="002B5316">
        <w:t>Bratislava Declaration, (note 1)</w:t>
      </w:r>
      <w:r>
        <w:t xml:space="preserve">, 2 </w:t>
      </w:r>
    </w:p>
  </w:footnote>
  <w:footnote w:id="141">
    <w:p w:rsidR="007859BF" w:rsidRDefault="007859BF">
      <w:pPr>
        <w:pStyle w:val="FootnoteText"/>
      </w:pPr>
      <w:r>
        <w:rPr>
          <w:rStyle w:val="FootnoteReference"/>
        </w:rPr>
        <w:footnoteRef/>
      </w:r>
      <w:r>
        <w:t xml:space="preserve"> Proposal for a Regulation of the European Parliament and Council amending Regulation No 883/2004 on the coordination of social security systems, COM(2016) 815 final, 12 </w:t>
      </w:r>
    </w:p>
  </w:footnote>
  <w:footnote w:id="142">
    <w:p w:rsidR="007859BF" w:rsidRDefault="007859BF">
      <w:pPr>
        <w:pStyle w:val="FootnoteText"/>
      </w:pPr>
      <w:r>
        <w:rPr>
          <w:rStyle w:val="FootnoteReference"/>
        </w:rPr>
        <w:footnoteRef/>
      </w:r>
      <w:r>
        <w:t xml:space="preserve"> </w:t>
      </w:r>
      <w:proofErr w:type="spellStart"/>
      <w:r>
        <w:t>Eg</w:t>
      </w:r>
      <w:proofErr w:type="spellEnd"/>
      <w:r>
        <w:t xml:space="preserve"> an association of German cities stated in 2013 that low-qualified migrants without sufficient financial means and health insurance were becoming an increasing burden for several municipalities, </w:t>
      </w:r>
      <w:proofErr w:type="spellStart"/>
      <w:r>
        <w:t>Blauberger</w:t>
      </w:r>
      <w:proofErr w:type="spellEnd"/>
      <w:r w:rsidR="002B5316">
        <w:t xml:space="preserve"> and Schmidt (Welfare m</w:t>
      </w:r>
      <w:r w:rsidR="004C6BE1">
        <w:t xml:space="preserve">igration), </w:t>
      </w:r>
      <w:r>
        <w:t>5</w:t>
      </w:r>
    </w:p>
  </w:footnote>
  <w:footnote w:id="143">
    <w:p w:rsidR="007859BF" w:rsidRDefault="007859BF">
      <w:pPr>
        <w:pStyle w:val="FootnoteText"/>
      </w:pPr>
      <w:r>
        <w:rPr>
          <w:rStyle w:val="FootnoteReference"/>
        </w:rPr>
        <w:footnoteRef/>
      </w:r>
      <w:r w:rsidR="00252787">
        <w:t xml:space="preserve"> </w:t>
      </w:r>
      <w:r w:rsidR="00252787">
        <w:rPr>
          <w:color w:val="000000"/>
        </w:rPr>
        <w:t>Law of 22 December 2016, [German] Federal Law Gazette 2016 I, No. 65, 3155</w:t>
      </w:r>
      <w:r>
        <w:t xml:space="preserve"> </w:t>
      </w:r>
    </w:p>
  </w:footnote>
  <w:footnote w:id="144">
    <w:p w:rsidR="007859BF" w:rsidRDefault="007859BF">
      <w:pPr>
        <w:pStyle w:val="FootnoteText"/>
      </w:pPr>
      <w:r>
        <w:rPr>
          <w:rStyle w:val="FootnoteReference"/>
        </w:rPr>
        <w:footnoteRef/>
      </w:r>
      <w:r w:rsidR="00252787">
        <w:t xml:space="preserve"> N</w:t>
      </w:r>
      <w:r>
        <w:t xml:space="preserve"> </w:t>
      </w:r>
      <w:proofErr w:type="spellStart"/>
      <w:r>
        <w:t>Neilsen</w:t>
      </w:r>
      <w:proofErr w:type="spellEnd"/>
      <w:r>
        <w:t xml:space="preserve">, ‘Austria wants to discriminate against EU workers’, </w:t>
      </w:r>
      <w:proofErr w:type="spellStart"/>
      <w:r>
        <w:t>EUObserver</w:t>
      </w:r>
      <w:proofErr w:type="spellEnd"/>
      <w:r>
        <w:t>, 12 January 2017</w:t>
      </w:r>
    </w:p>
  </w:footnote>
  <w:footnote w:id="145">
    <w:p w:rsidR="004A201D" w:rsidRDefault="004A201D">
      <w:pPr>
        <w:pStyle w:val="FootnoteText"/>
      </w:pPr>
      <w:r>
        <w:rPr>
          <w:rStyle w:val="FootnoteReference"/>
        </w:rPr>
        <w:footnoteRef/>
      </w:r>
      <w:r>
        <w:t xml:space="preserve"> </w:t>
      </w:r>
      <w:hyperlink r:id="rId4" w:history="1">
        <w:r w:rsidRPr="00C267D2">
          <w:rPr>
            <w:rStyle w:val="Hyperlink"/>
          </w:rPr>
          <w:t>http://www.bgbl.de/xaver/bgbl/start.xav?startbk=Bundesanzeiger_BGBl&amp;jumpTo=bgbl116s3155.pdf</w:t>
        </w:r>
      </w:hyperlink>
      <w:r>
        <w:t xml:space="preserve"> </w:t>
      </w:r>
    </w:p>
  </w:footnote>
  <w:footnote w:id="146">
    <w:p w:rsidR="004A201D" w:rsidRDefault="004A201D">
      <w:pPr>
        <w:pStyle w:val="FootnoteText"/>
      </w:pPr>
      <w:r>
        <w:rPr>
          <w:rStyle w:val="FootnoteReference"/>
        </w:rPr>
        <w:footnoteRef/>
      </w:r>
      <w:r>
        <w:t xml:space="preserve"> European Council, (note 7), 22</w:t>
      </w:r>
    </w:p>
  </w:footnote>
  <w:footnote w:id="147">
    <w:p w:rsidR="007859BF" w:rsidRPr="00B46339" w:rsidRDefault="007859BF">
      <w:pPr>
        <w:pStyle w:val="FootnoteText"/>
      </w:pPr>
      <w:r>
        <w:rPr>
          <w:rStyle w:val="FootnoteReference"/>
        </w:rPr>
        <w:footnoteRef/>
      </w:r>
      <w:r>
        <w:t xml:space="preserve"> Specifically, </w:t>
      </w:r>
      <w:proofErr w:type="spellStart"/>
      <w:r>
        <w:t>Reg</w:t>
      </w:r>
      <w:proofErr w:type="spellEnd"/>
      <w:r>
        <w:t xml:space="preserve"> 883/2004 in Case C-140/12 </w:t>
      </w:r>
      <w:proofErr w:type="spellStart"/>
      <w:r>
        <w:rPr>
          <w:i/>
        </w:rPr>
        <w:t>Brey</w:t>
      </w:r>
      <w:proofErr w:type="spellEnd"/>
      <w:r>
        <w:t>;</w:t>
      </w:r>
      <w:r>
        <w:rPr>
          <w:i/>
        </w:rPr>
        <w:t xml:space="preserve"> </w:t>
      </w:r>
      <w:r>
        <w:t xml:space="preserve">Case C-333/13 </w:t>
      </w:r>
      <w:proofErr w:type="spellStart"/>
      <w:r>
        <w:rPr>
          <w:i/>
        </w:rPr>
        <w:t>Dano</w:t>
      </w:r>
      <w:proofErr w:type="spellEnd"/>
    </w:p>
  </w:footnote>
  <w:footnote w:id="148">
    <w:p w:rsidR="007859BF" w:rsidRDefault="007859BF">
      <w:pPr>
        <w:pStyle w:val="FootnoteText"/>
      </w:pPr>
      <w:r>
        <w:rPr>
          <w:rStyle w:val="FootnoteReference"/>
        </w:rPr>
        <w:footnoteRef/>
      </w:r>
      <w:r>
        <w:t xml:space="preserve"> Ibid</w:t>
      </w:r>
    </w:p>
  </w:footnote>
  <w:footnote w:id="149">
    <w:p w:rsidR="007859BF" w:rsidRPr="008B4C72" w:rsidRDefault="007859BF">
      <w:pPr>
        <w:pStyle w:val="FootnoteText"/>
      </w:pPr>
      <w:r>
        <w:rPr>
          <w:rStyle w:val="FootnoteReference"/>
        </w:rPr>
        <w:footnoteRef/>
      </w:r>
      <w:r>
        <w:t xml:space="preserve"> Case C-542/09 </w:t>
      </w:r>
      <w:r>
        <w:rPr>
          <w:i/>
        </w:rPr>
        <w:t>Commission v Netherlands</w:t>
      </w:r>
    </w:p>
  </w:footnote>
  <w:footnote w:id="150">
    <w:p w:rsidR="007859BF" w:rsidRPr="008B4C72" w:rsidRDefault="007859BF" w:rsidP="00B27F2D">
      <w:pPr>
        <w:pStyle w:val="FootnoteText"/>
      </w:pPr>
      <w:r>
        <w:rPr>
          <w:rStyle w:val="FootnoteReference"/>
        </w:rPr>
        <w:footnoteRef/>
      </w:r>
      <w:r>
        <w:t xml:space="preserve"> Case C-378/12 </w:t>
      </w:r>
      <w:proofErr w:type="spellStart"/>
      <w:r>
        <w:rPr>
          <w:i/>
        </w:rPr>
        <w:t>Onuekwere</w:t>
      </w:r>
      <w:proofErr w:type="spellEnd"/>
      <w:r>
        <w:t xml:space="preserve"> ECLI:EU:C:2014:13</w:t>
      </w:r>
    </w:p>
  </w:footnote>
  <w:footnote w:id="151">
    <w:p w:rsidR="007859BF" w:rsidRDefault="007859BF" w:rsidP="00B27F2D">
      <w:pPr>
        <w:pStyle w:val="FootnoteText"/>
      </w:pPr>
      <w:r>
        <w:rPr>
          <w:rStyle w:val="FootnoteReference"/>
        </w:rPr>
        <w:footnoteRef/>
      </w:r>
      <w:r>
        <w:t xml:space="preserve"> C. O’Brien, ‘Why the Emergency Brake on Migrants; Benefits is Sexist’, The Conversation, 4</w:t>
      </w:r>
      <w:r>
        <w:rPr>
          <w:vertAlign w:val="superscript"/>
        </w:rPr>
        <w:t xml:space="preserve"> </w:t>
      </w:r>
      <w:r>
        <w:t>February 2016</w:t>
      </w:r>
    </w:p>
  </w:footnote>
  <w:footnote w:id="152">
    <w:p w:rsidR="007859BF" w:rsidRPr="005D6C80" w:rsidRDefault="007859BF">
      <w:pPr>
        <w:pStyle w:val="FootnoteText"/>
      </w:pPr>
      <w:r>
        <w:rPr>
          <w:rStyle w:val="FootnoteReference"/>
        </w:rPr>
        <w:footnoteRef/>
      </w:r>
      <w:r>
        <w:t xml:space="preserve"> Currie,</w:t>
      </w:r>
      <w:r w:rsidR="00CC301C">
        <w:t xml:space="preserve"> (Migration)</w:t>
      </w:r>
      <w:r>
        <w:t xml:space="preserve">, ch.3 </w:t>
      </w:r>
    </w:p>
  </w:footnote>
  <w:footnote w:id="153">
    <w:p w:rsidR="007859BF" w:rsidRDefault="007859BF">
      <w:pPr>
        <w:pStyle w:val="FootnoteText"/>
      </w:pPr>
      <w:r>
        <w:rPr>
          <w:rStyle w:val="FootnoteReference"/>
        </w:rPr>
        <w:footnoteRef/>
      </w:r>
      <w:r w:rsidR="00CC301C">
        <w:t xml:space="preserve"> M</w:t>
      </w:r>
      <w:r>
        <w:t xml:space="preserve"> Dougan, ‘The Constitutional Dimension to the Case-Law on Union Citizenship’, (2006) 31 </w:t>
      </w:r>
      <w:proofErr w:type="spellStart"/>
      <w:r w:rsidRPr="00CC301C">
        <w:rPr>
          <w:i/>
        </w:rPr>
        <w:t>ELRev</w:t>
      </w:r>
      <w:proofErr w:type="spellEnd"/>
      <w:r>
        <w:t xml:space="preserve"> 613, 622</w:t>
      </w:r>
    </w:p>
  </w:footnote>
  <w:footnote w:id="154">
    <w:p w:rsidR="007859BF" w:rsidRPr="00BD538B" w:rsidRDefault="007859BF">
      <w:pPr>
        <w:pStyle w:val="FootnoteText"/>
        <w:rPr>
          <w:i/>
        </w:rPr>
      </w:pPr>
      <w:r>
        <w:rPr>
          <w:rStyle w:val="FootnoteReference"/>
        </w:rPr>
        <w:footnoteRef/>
      </w:r>
      <w:r>
        <w:t xml:space="preserve"> Case C-14/12 </w:t>
      </w:r>
      <w:proofErr w:type="spellStart"/>
      <w:r>
        <w:rPr>
          <w:i/>
        </w:rPr>
        <w:t>Brey</w:t>
      </w:r>
      <w:proofErr w:type="spellEnd"/>
    </w:p>
  </w:footnote>
  <w:footnote w:id="155">
    <w:p w:rsidR="007859BF" w:rsidRPr="00B25856" w:rsidRDefault="007859BF">
      <w:pPr>
        <w:pStyle w:val="FootnoteText"/>
      </w:pPr>
      <w:r>
        <w:rPr>
          <w:rStyle w:val="FootnoteReference"/>
        </w:rPr>
        <w:footnoteRef/>
      </w:r>
      <w:r>
        <w:t xml:space="preserve"> Though, in the context of non-economically active Union citizens, even this requirement is increasingly side</w:t>
      </w:r>
      <w:r w:rsidR="002B5316">
        <w:t>-</w:t>
      </w:r>
      <w:r>
        <w:t xml:space="preserve">lined: Case C-333/13 </w:t>
      </w:r>
      <w:proofErr w:type="spellStart"/>
      <w:r>
        <w:rPr>
          <w:i/>
        </w:rPr>
        <w:t>Dano</w:t>
      </w:r>
      <w:proofErr w:type="spellEnd"/>
      <w:r>
        <w:rPr>
          <w:i/>
        </w:rPr>
        <w:t xml:space="preserve">; </w:t>
      </w:r>
      <w:r>
        <w:t>Case C-67/14</w:t>
      </w:r>
      <w:r>
        <w:rPr>
          <w:i/>
        </w:rPr>
        <w:t xml:space="preserve"> </w:t>
      </w:r>
      <w:proofErr w:type="spellStart"/>
      <w:r>
        <w:rPr>
          <w:i/>
        </w:rPr>
        <w:t>Alimanovic</w:t>
      </w:r>
      <w:proofErr w:type="spellEnd"/>
    </w:p>
  </w:footnote>
  <w:footnote w:id="156">
    <w:p w:rsidR="007859BF" w:rsidRPr="00971D89" w:rsidRDefault="007859BF">
      <w:pPr>
        <w:pStyle w:val="FootnoteText"/>
      </w:pPr>
      <w:r>
        <w:rPr>
          <w:rStyle w:val="FootnoteReference"/>
        </w:rPr>
        <w:footnoteRef/>
      </w:r>
      <w:r w:rsidR="002B5316">
        <w:t xml:space="preserve"> K</w:t>
      </w:r>
      <w:r>
        <w:t xml:space="preserve"> </w:t>
      </w:r>
      <w:proofErr w:type="spellStart"/>
      <w:r>
        <w:t>Puttick</w:t>
      </w:r>
      <w:proofErr w:type="spellEnd"/>
      <w:r>
        <w:t xml:space="preserve">, ‘EEA Workers’ Free Movement and Social Rights after </w:t>
      </w:r>
      <w:proofErr w:type="spellStart"/>
      <w:r>
        <w:rPr>
          <w:i/>
        </w:rPr>
        <w:t>Dano</w:t>
      </w:r>
      <w:proofErr w:type="spellEnd"/>
      <w:r>
        <w:rPr>
          <w:i/>
        </w:rPr>
        <w:t xml:space="preserve"> </w:t>
      </w:r>
      <w:r>
        <w:t xml:space="preserve">and </w:t>
      </w:r>
      <w:r>
        <w:rPr>
          <w:i/>
        </w:rPr>
        <w:t>St Prix</w:t>
      </w:r>
      <w:r>
        <w:t>: Is a Pandora’s Box of New Economi</w:t>
      </w:r>
      <w:r w:rsidR="002B5316">
        <w:t>c Integration and ‘Contribution’</w:t>
      </w:r>
      <w:r>
        <w:t xml:space="preserve"> Requirements Opening?</w:t>
      </w:r>
      <w:r w:rsidR="00CC301C">
        <w:t>’ (2015) 37</w:t>
      </w:r>
      <w:r>
        <w:t xml:space="preserve"> </w:t>
      </w:r>
      <w:r w:rsidRPr="00CC301C">
        <w:rPr>
          <w:i/>
        </w:rPr>
        <w:t>Journal of Social Welfare and Family Law</w:t>
      </w:r>
      <w:r>
        <w:t>, 253</w:t>
      </w:r>
    </w:p>
  </w:footnote>
  <w:footnote w:id="157">
    <w:p w:rsidR="007859BF" w:rsidRDefault="007859BF">
      <w:pPr>
        <w:pStyle w:val="FootnoteText"/>
      </w:pPr>
      <w:r>
        <w:rPr>
          <w:rStyle w:val="FootnoteReference"/>
        </w:rPr>
        <w:footnoteRef/>
      </w:r>
      <w:r>
        <w:t xml:space="preserve"> And creates a window for restricti</w:t>
      </w:r>
      <w:r w:rsidR="00CC301C">
        <w:t>ons on access to employment,</w:t>
      </w:r>
      <w:r w:rsidR="002B5316">
        <w:t xml:space="preserve"> </w:t>
      </w:r>
      <w:r w:rsidR="004B09D5">
        <w:t xml:space="preserve">as reported by </w:t>
      </w:r>
      <w:proofErr w:type="spellStart"/>
      <w:r w:rsidR="004B09D5">
        <w:t>Neilsen</w:t>
      </w:r>
      <w:proofErr w:type="spellEnd"/>
      <w:r w:rsidR="004B09D5">
        <w:t xml:space="preserve"> (note 144</w:t>
      </w:r>
      <w:r w:rsidR="002B5316">
        <w:t>)</w:t>
      </w:r>
    </w:p>
  </w:footnote>
  <w:footnote w:id="158">
    <w:p w:rsidR="007859BF" w:rsidRDefault="007859BF" w:rsidP="009609C9">
      <w:pPr>
        <w:pStyle w:val="FootnoteText"/>
      </w:pPr>
      <w:r>
        <w:rPr>
          <w:rStyle w:val="FootnoteReference"/>
        </w:rPr>
        <w:footnoteRef/>
      </w:r>
      <w:r>
        <w:t xml:space="preserve"> Horsley</w:t>
      </w:r>
      <w:r w:rsidR="00CC301C">
        <w:t xml:space="preserve">, (Institutional dynamics), </w:t>
      </w:r>
      <w:r w:rsidR="004B09D5">
        <w:t>941;</w:t>
      </w:r>
      <w:r>
        <w:t xml:space="preserve"> 960</w:t>
      </w:r>
    </w:p>
  </w:footnote>
  <w:footnote w:id="159">
    <w:p w:rsidR="007859BF" w:rsidRDefault="007859BF" w:rsidP="00D0169F">
      <w:pPr>
        <w:pStyle w:val="FootnoteText"/>
      </w:pPr>
      <w:r>
        <w:rPr>
          <w:rStyle w:val="FootnoteReference"/>
        </w:rPr>
        <w:footnoteRef/>
      </w:r>
      <w:r>
        <w:t xml:space="preserve"> </w:t>
      </w:r>
      <w:r w:rsidR="00CC301C">
        <w:t>Davies, (Legislative control),</w:t>
      </w:r>
      <w:r>
        <w:t xml:space="preserve"> 1586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D02"/>
    <w:multiLevelType w:val="hybridMultilevel"/>
    <w:tmpl w:val="169CA1D2"/>
    <w:lvl w:ilvl="0" w:tplc="431287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E78A2"/>
    <w:multiLevelType w:val="hybridMultilevel"/>
    <w:tmpl w:val="F8BCE7A6"/>
    <w:lvl w:ilvl="0" w:tplc="EC4494C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84004"/>
    <w:multiLevelType w:val="hybridMultilevel"/>
    <w:tmpl w:val="49F2596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CA63E3A"/>
    <w:multiLevelType w:val="hybridMultilevel"/>
    <w:tmpl w:val="E8325BCA"/>
    <w:lvl w:ilvl="0" w:tplc="569AA43A">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E1AE3"/>
    <w:multiLevelType w:val="hybridMultilevel"/>
    <w:tmpl w:val="39E6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804A7B"/>
    <w:multiLevelType w:val="hybridMultilevel"/>
    <w:tmpl w:val="01683FE2"/>
    <w:lvl w:ilvl="0" w:tplc="F9F24A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449D9"/>
    <w:multiLevelType w:val="hybridMultilevel"/>
    <w:tmpl w:val="96E0A10E"/>
    <w:lvl w:ilvl="0" w:tplc="D58620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A7DCE"/>
    <w:multiLevelType w:val="hybridMultilevel"/>
    <w:tmpl w:val="CCC41330"/>
    <w:lvl w:ilvl="0" w:tplc="02FE25CE">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C5287"/>
    <w:multiLevelType w:val="multilevel"/>
    <w:tmpl w:val="9D66D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9">
    <w:nsid w:val="3794737E"/>
    <w:multiLevelType w:val="hybridMultilevel"/>
    <w:tmpl w:val="CE24D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BC3418"/>
    <w:multiLevelType w:val="hybridMultilevel"/>
    <w:tmpl w:val="813445C2"/>
    <w:lvl w:ilvl="0" w:tplc="FF8EB26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F72713"/>
    <w:multiLevelType w:val="hybridMultilevel"/>
    <w:tmpl w:val="5EF8E870"/>
    <w:lvl w:ilvl="0" w:tplc="D0DAD3B4">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A67B9A"/>
    <w:multiLevelType w:val="hybridMultilevel"/>
    <w:tmpl w:val="160E6998"/>
    <w:lvl w:ilvl="0" w:tplc="0EA65D1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566CC5"/>
    <w:multiLevelType w:val="hybridMultilevel"/>
    <w:tmpl w:val="471A11F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724051"/>
    <w:multiLevelType w:val="hybridMultilevel"/>
    <w:tmpl w:val="A2120C80"/>
    <w:lvl w:ilvl="0" w:tplc="3C32BE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9B7B4A"/>
    <w:multiLevelType w:val="hybridMultilevel"/>
    <w:tmpl w:val="5C28D3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0E050E"/>
    <w:multiLevelType w:val="hybridMultilevel"/>
    <w:tmpl w:val="EEACF6C6"/>
    <w:lvl w:ilvl="0" w:tplc="174065E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534572"/>
    <w:multiLevelType w:val="hybridMultilevel"/>
    <w:tmpl w:val="EC96F7BA"/>
    <w:lvl w:ilvl="0" w:tplc="ED3A82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BD0F05"/>
    <w:multiLevelType w:val="hybridMultilevel"/>
    <w:tmpl w:val="5648A3CE"/>
    <w:lvl w:ilvl="0" w:tplc="097C379A">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2065BA"/>
    <w:multiLevelType w:val="hybridMultilevel"/>
    <w:tmpl w:val="385A1EE8"/>
    <w:lvl w:ilvl="0" w:tplc="8C5AD4C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7"/>
  </w:num>
  <w:num w:numId="5">
    <w:abstractNumId w:val="18"/>
  </w:num>
  <w:num w:numId="6">
    <w:abstractNumId w:val="6"/>
  </w:num>
  <w:num w:numId="7">
    <w:abstractNumId w:val="5"/>
  </w:num>
  <w:num w:numId="8">
    <w:abstractNumId w:val="16"/>
  </w:num>
  <w:num w:numId="9">
    <w:abstractNumId w:val="9"/>
  </w:num>
  <w:num w:numId="10">
    <w:abstractNumId w:val="12"/>
  </w:num>
  <w:num w:numId="11">
    <w:abstractNumId w:val="10"/>
  </w:num>
  <w:num w:numId="12">
    <w:abstractNumId w:val="0"/>
  </w:num>
  <w:num w:numId="13">
    <w:abstractNumId w:val="2"/>
  </w:num>
  <w:num w:numId="14">
    <w:abstractNumId w:val="11"/>
  </w:num>
  <w:num w:numId="15">
    <w:abstractNumId w:val="3"/>
  </w:num>
  <w:num w:numId="16">
    <w:abstractNumId w:val="15"/>
  </w:num>
  <w:num w:numId="17">
    <w:abstractNumId w:val="7"/>
  </w:num>
  <w:num w:numId="18">
    <w:abstractNumId w:val="19"/>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F2"/>
    <w:rsid w:val="00000BEB"/>
    <w:rsid w:val="00002105"/>
    <w:rsid w:val="000023A4"/>
    <w:rsid w:val="0000374C"/>
    <w:rsid w:val="00006FB7"/>
    <w:rsid w:val="00007D4B"/>
    <w:rsid w:val="00011247"/>
    <w:rsid w:val="0001184C"/>
    <w:rsid w:val="00012979"/>
    <w:rsid w:val="00012AFD"/>
    <w:rsid w:val="00016B4E"/>
    <w:rsid w:val="000177CC"/>
    <w:rsid w:val="00021BE4"/>
    <w:rsid w:val="00025B2A"/>
    <w:rsid w:val="00027419"/>
    <w:rsid w:val="000275B4"/>
    <w:rsid w:val="00031DC5"/>
    <w:rsid w:val="00031F75"/>
    <w:rsid w:val="00032721"/>
    <w:rsid w:val="00034822"/>
    <w:rsid w:val="00037EDA"/>
    <w:rsid w:val="000404AE"/>
    <w:rsid w:val="00046FB9"/>
    <w:rsid w:val="0004712D"/>
    <w:rsid w:val="000521DE"/>
    <w:rsid w:val="00053096"/>
    <w:rsid w:val="00057474"/>
    <w:rsid w:val="0006310F"/>
    <w:rsid w:val="00063622"/>
    <w:rsid w:val="00065071"/>
    <w:rsid w:val="00067F7E"/>
    <w:rsid w:val="0007227E"/>
    <w:rsid w:val="00074A85"/>
    <w:rsid w:val="0007566D"/>
    <w:rsid w:val="00077865"/>
    <w:rsid w:val="00081007"/>
    <w:rsid w:val="0008606E"/>
    <w:rsid w:val="00093E65"/>
    <w:rsid w:val="00094526"/>
    <w:rsid w:val="0009705E"/>
    <w:rsid w:val="00097B48"/>
    <w:rsid w:val="00097DEB"/>
    <w:rsid w:val="000A0468"/>
    <w:rsid w:val="000A16A2"/>
    <w:rsid w:val="000A2E59"/>
    <w:rsid w:val="000A3A9E"/>
    <w:rsid w:val="000A3E17"/>
    <w:rsid w:val="000A40CE"/>
    <w:rsid w:val="000A4664"/>
    <w:rsid w:val="000A58CA"/>
    <w:rsid w:val="000A5B7A"/>
    <w:rsid w:val="000A710C"/>
    <w:rsid w:val="000A756D"/>
    <w:rsid w:val="000A7B39"/>
    <w:rsid w:val="000B161F"/>
    <w:rsid w:val="000B198A"/>
    <w:rsid w:val="000B29D6"/>
    <w:rsid w:val="000B2F62"/>
    <w:rsid w:val="000B4CFC"/>
    <w:rsid w:val="000C37B6"/>
    <w:rsid w:val="000D0411"/>
    <w:rsid w:val="000D10AC"/>
    <w:rsid w:val="000D2430"/>
    <w:rsid w:val="000D3789"/>
    <w:rsid w:val="000D3E22"/>
    <w:rsid w:val="000D65D1"/>
    <w:rsid w:val="000D7B3A"/>
    <w:rsid w:val="000E11CD"/>
    <w:rsid w:val="000E169C"/>
    <w:rsid w:val="000E2B84"/>
    <w:rsid w:val="000E4DD4"/>
    <w:rsid w:val="000E51B5"/>
    <w:rsid w:val="000E6197"/>
    <w:rsid w:val="000F0FDC"/>
    <w:rsid w:val="000F1714"/>
    <w:rsid w:val="000F3439"/>
    <w:rsid w:val="000F3788"/>
    <w:rsid w:val="000F706C"/>
    <w:rsid w:val="001017CE"/>
    <w:rsid w:val="00102536"/>
    <w:rsid w:val="0011210A"/>
    <w:rsid w:val="00114B54"/>
    <w:rsid w:val="00116576"/>
    <w:rsid w:val="00117075"/>
    <w:rsid w:val="00121EB0"/>
    <w:rsid w:val="001231F8"/>
    <w:rsid w:val="00123532"/>
    <w:rsid w:val="0012483A"/>
    <w:rsid w:val="00132ABD"/>
    <w:rsid w:val="00132D0C"/>
    <w:rsid w:val="0013511C"/>
    <w:rsid w:val="00136436"/>
    <w:rsid w:val="00136EC5"/>
    <w:rsid w:val="001371B6"/>
    <w:rsid w:val="00137F5D"/>
    <w:rsid w:val="0014237A"/>
    <w:rsid w:val="00143ABA"/>
    <w:rsid w:val="00144D21"/>
    <w:rsid w:val="00144F1B"/>
    <w:rsid w:val="00147D96"/>
    <w:rsid w:val="00150D76"/>
    <w:rsid w:val="001515EB"/>
    <w:rsid w:val="001516B4"/>
    <w:rsid w:val="0016038A"/>
    <w:rsid w:val="001720D5"/>
    <w:rsid w:val="0018223C"/>
    <w:rsid w:val="00182302"/>
    <w:rsid w:val="00183723"/>
    <w:rsid w:val="00185D7E"/>
    <w:rsid w:val="001867F7"/>
    <w:rsid w:val="00186A03"/>
    <w:rsid w:val="00186A64"/>
    <w:rsid w:val="00190057"/>
    <w:rsid w:val="00190C59"/>
    <w:rsid w:val="00192DDB"/>
    <w:rsid w:val="0019432B"/>
    <w:rsid w:val="001A2059"/>
    <w:rsid w:val="001A2E58"/>
    <w:rsid w:val="001B09D8"/>
    <w:rsid w:val="001B1282"/>
    <w:rsid w:val="001B25F6"/>
    <w:rsid w:val="001B2D40"/>
    <w:rsid w:val="001B5448"/>
    <w:rsid w:val="001C3E7A"/>
    <w:rsid w:val="001C5FB0"/>
    <w:rsid w:val="001D0A1C"/>
    <w:rsid w:val="001D3D25"/>
    <w:rsid w:val="001D54E2"/>
    <w:rsid w:val="001D7AF2"/>
    <w:rsid w:val="001E0572"/>
    <w:rsid w:val="001E2FE3"/>
    <w:rsid w:val="001E5680"/>
    <w:rsid w:val="001E6CF8"/>
    <w:rsid w:val="001F098C"/>
    <w:rsid w:val="001F39A5"/>
    <w:rsid w:val="001F6C91"/>
    <w:rsid w:val="002004B8"/>
    <w:rsid w:val="00201DB4"/>
    <w:rsid w:val="002023F8"/>
    <w:rsid w:val="00206B0B"/>
    <w:rsid w:val="002110DF"/>
    <w:rsid w:val="00211E92"/>
    <w:rsid w:val="0021302D"/>
    <w:rsid w:val="00213658"/>
    <w:rsid w:val="00222EAA"/>
    <w:rsid w:val="00225260"/>
    <w:rsid w:val="0022696E"/>
    <w:rsid w:val="00226CAF"/>
    <w:rsid w:val="00233128"/>
    <w:rsid w:val="002337FA"/>
    <w:rsid w:val="00237C33"/>
    <w:rsid w:val="002413F6"/>
    <w:rsid w:val="0024346B"/>
    <w:rsid w:val="00245158"/>
    <w:rsid w:val="002479DE"/>
    <w:rsid w:val="00247BB2"/>
    <w:rsid w:val="00247F33"/>
    <w:rsid w:val="0025060E"/>
    <w:rsid w:val="00252787"/>
    <w:rsid w:val="00253BBE"/>
    <w:rsid w:val="00254E61"/>
    <w:rsid w:val="0026055D"/>
    <w:rsid w:val="00260B29"/>
    <w:rsid w:val="002669EA"/>
    <w:rsid w:val="00270BC8"/>
    <w:rsid w:val="00270D7A"/>
    <w:rsid w:val="00272176"/>
    <w:rsid w:val="0027468E"/>
    <w:rsid w:val="00277533"/>
    <w:rsid w:val="00283FAC"/>
    <w:rsid w:val="00284179"/>
    <w:rsid w:val="002915CF"/>
    <w:rsid w:val="002928CA"/>
    <w:rsid w:val="002A078E"/>
    <w:rsid w:val="002A2047"/>
    <w:rsid w:val="002A43A9"/>
    <w:rsid w:val="002A462A"/>
    <w:rsid w:val="002B2DCF"/>
    <w:rsid w:val="002B5316"/>
    <w:rsid w:val="002B57E2"/>
    <w:rsid w:val="002B786E"/>
    <w:rsid w:val="002B7A41"/>
    <w:rsid w:val="002B7D92"/>
    <w:rsid w:val="002C41B9"/>
    <w:rsid w:val="002C6152"/>
    <w:rsid w:val="002D6A0B"/>
    <w:rsid w:val="002D745D"/>
    <w:rsid w:val="002E2800"/>
    <w:rsid w:val="002E2F9A"/>
    <w:rsid w:val="002E42FA"/>
    <w:rsid w:val="002E77BD"/>
    <w:rsid w:val="002F001F"/>
    <w:rsid w:val="002F0A1E"/>
    <w:rsid w:val="002F326E"/>
    <w:rsid w:val="002F6193"/>
    <w:rsid w:val="002F76F5"/>
    <w:rsid w:val="002F7AB8"/>
    <w:rsid w:val="003001C1"/>
    <w:rsid w:val="00303834"/>
    <w:rsid w:val="0030507A"/>
    <w:rsid w:val="003147A9"/>
    <w:rsid w:val="0031521C"/>
    <w:rsid w:val="00315D25"/>
    <w:rsid w:val="0032017E"/>
    <w:rsid w:val="0032516C"/>
    <w:rsid w:val="003311CE"/>
    <w:rsid w:val="0033549C"/>
    <w:rsid w:val="00336162"/>
    <w:rsid w:val="00336E4B"/>
    <w:rsid w:val="003372D1"/>
    <w:rsid w:val="00340422"/>
    <w:rsid w:val="00341997"/>
    <w:rsid w:val="00341C6D"/>
    <w:rsid w:val="0034289B"/>
    <w:rsid w:val="00347853"/>
    <w:rsid w:val="00350D83"/>
    <w:rsid w:val="003542BA"/>
    <w:rsid w:val="00354EF8"/>
    <w:rsid w:val="00355B3B"/>
    <w:rsid w:val="0035769C"/>
    <w:rsid w:val="003577D5"/>
    <w:rsid w:val="00361331"/>
    <w:rsid w:val="003620E4"/>
    <w:rsid w:val="00363FC1"/>
    <w:rsid w:val="0036598C"/>
    <w:rsid w:val="003672A4"/>
    <w:rsid w:val="00372A5B"/>
    <w:rsid w:val="00373557"/>
    <w:rsid w:val="0037406D"/>
    <w:rsid w:val="003744F9"/>
    <w:rsid w:val="00374511"/>
    <w:rsid w:val="0037480F"/>
    <w:rsid w:val="003752B2"/>
    <w:rsid w:val="00380683"/>
    <w:rsid w:val="00382A49"/>
    <w:rsid w:val="003869A6"/>
    <w:rsid w:val="00390F94"/>
    <w:rsid w:val="0039258B"/>
    <w:rsid w:val="003929ED"/>
    <w:rsid w:val="00395045"/>
    <w:rsid w:val="00396FC1"/>
    <w:rsid w:val="00397049"/>
    <w:rsid w:val="003A06E4"/>
    <w:rsid w:val="003A1ED9"/>
    <w:rsid w:val="003A529F"/>
    <w:rsid w:val="003A7B41"/>
    <w:rsid w:val="003A7BB9"/>
    <w:rsid w:val="003B0F94"/>
    <w:rsid w:val="003B6178"/>
    <w:rsid w:val="003C07DC"/>
    <w:rsid w:val="003C4224"/>
    <w:rsid w:val="003C539B"/>
    <w:rsid w:val="003C7ABA"/>
    <w:rsid w:val="003D0AA5"/>
    <w:rsid w:val="003D1851"/>
    <w:rsid w:val="003D2503"/>
    <w:rsid w:val="003D366A"/>
    <w:rsid w:val="003D3EF1"/>
    <w:rsid w:val="003D4255"/>
    <w:rsid w:val="003D52FD"/>
    <w:rsid w:val="003D6719"/>
    <w:rsid w:val="003D748E"/>
    <w:rsid w:val="003E0BA2"/>
    <w:rsid w:val="003E439E"/>
    <w:rsid w:val="003E7870"/>
    <w:rsid w:val="003F02E2"/>
    <w:rsid w:val="003F0444"/>
    <w:rsid w:val="003F06CE"/>
    <w:rsid w:val="003F0BC5"/>
    <w:rsid w:val="003F179D"/>
    <w:rsid w:val="003F224A"/>
    <w:rsid w:val="003F562D"/>
    <w:rsid w:val="0040145D"/>
    <w:rsid w:val="00401B1A"/>
    <w:rsid w:val="00403074"/>
    <w:rsid w:val="00403221"/>
    <w:rsid w:val="004224C2"/>
    <w:rsid w:val="00422C20"/>
    <w:rsid w:val="00423ED9"/>
    <w:rsid w:val="00424F8F"/>
    <w:rsid w:val="00426545"/>
    <w:rsid w:val="00427BA2"/>
    <w:rsid w:val="00430AEA"/>
    <w:rsid w:val="004366C1"/>
    <w:rsid w:val="00440658"/>
    <w:rsid w:val="00441A81"/>
    <w:rsid w:val="004426DF"/>
    <w:rsid w:val="004434F9"/>
    <w:rsid w:val="0044550F"/>
    <w:rsid w:val="00445761"/>
    <w:rsid w:val="004527C4"/>
    <w:rsid w:val="004538C6"/>
    <w:rsid w:val="004548FD"/>
    <w:rsid w:val="00454B31"/>
    <w:rsid w:val="00454BE8"/>
    <w:rsid w:val="00464D0C"/>
    <w:rsid w:val="00465D7B"/>
    <w:rsid w:val="00466083"/>
    <w:rsid w:val="0046650A"/>
    <w:rsid w:val="00467A00"/>
    <w:rsid w:val="00470376"/>
    <w:rsid w:val="00470B6E"/>
    <w:rsid w:val="00470BF8"/>
    <w:rsid w:val="00471AFD"/>
    <w:rsid w:val="0047291E"/>
    <w:rsid w:val="00472B0A"/>
    <w:rsid w:val="00474081"/>
    <w:rsid w:val="00477C73"/>
    <w:rsid w:val="004803F7"/>
    <w:rsid w:val="00482402"/>
    <w:rsid w:val="00482BA9"/>
    <w:rsid w:val="00483728"/>
    <w:rsid w:val="00483DE0"/>
    <w:rsid w:val="00485907"/>
    <w:rsid w:val="00485E97"/>
    <w:rsid w:val="004865A8"/>
    <w:rsid w:val="00486F87"/>
    <w:rsid w:val="0048765A"/>
    <w:rsid w:val="004902BF"/>
    <w:rsid w:val="00490E5F"/>
    <w:rsid w:val="00493A6D"/>
    <w:rsid w:val="00497C31"/>
    <w:rsid w:val="004A201D"/>
    <w:rsid w:val="004A21CE"/>
    <w:rsid w:val="004A35EC"/>
    <w:rsid w:val="004A3C04"/>
    <w:rsid w:val="004A56C0"/>
    <w:rsid w:val="004B0481"/>
    <w:rsid w:val="004B09D5"/>
    <w:rsid w:val="004B33DD"/>
    <w:rsid w:val="004B38E8"/>
    <w:rsid w:val="004B5682"/>
    <w:rsid w:val="004B5F94"/>
    <w:rsid w:val="004B76FD"/>
    <w:rsid w:val="004C6BE1"/>
    <w:rsid w:val="004C7651"/>
    <w:rsid w:val="004D06D8"/>
    <w:rsid w:val="004D1DD3"/>
    <w:rsid w:val="004D4874"/>
    <w:rsid w:val="004D58DE"/>
    <w:rsid w:val="004E1650"/>
    <w:rsid w:val="004E4A52"/>
    <w:rsid w:val="004F06CD"/>
    <w:rsid w:val="004F0F14"/>
    <w:rsid w:val="004F281F"/>
    <w:rsid w:val="004F4A68"/>
    <w:rsid w:val="004F61D9"/>
    <w:rsid w:val="004F67DC"/>
    <w:rsid w:val="004F7054"/>
    <w:rsid w:val="0050079F"/>
    <w:rsid w:val="0050638B"/>
    <w:rsid w:val="00512CDB"/>
    <w:rsid w:val="00514C1E"/>
    <w:rsid w:val="00516D3F"/>
    <w:rsid w:val="00517CE3"/>
    <w:rsid w:val="00523A7B"/>
    <w:rsid w:val="00523BC0"/>
    <w:rsid w:val="005248D9"/>
    <w:rsid w:val="00524FDA"/>
    <w:rsid w:val="00526E5C"/>
    <w:rsid w:val="00526F87"/>
    <w:rsid w:val="00527DF1"/>
    <w:rsid w:val="00531CCF"/>
    <w:rsid w:val="0053531A"/>
    <w:rsid w:val="00535CCC"/>
    <w:rsid w:val="00535F43"/>
    <w:rsid w:val="005374AB"/>
    <w:rsid w:val="00544E31"/>
    <w:rsid w:val="00546982"/>
    <w:rsid w:val="00550713"/>
    <w:rsid w:val="00551049"/>
    <w:rsid w:val="00551238"/>
    <w:rsid w:val="0055173D"/>
    <w:rsid w:val="00553B34"/>
    <w:rsid w:val="00556097"/>
    <w:rsid w:val="00560103"/>
    <w:rsid w:val="00561441"/>
    <w:rsid w:val="0056276E"/>
    <w:rsid w:val="00562FA7"/>
    <w:rsid w:val="00564DFB"/>
    <w:rsid w:val="00565B05"/>
    <w:rsid w:val="00570B39"/>
    <w:rsid w:val="00570E58"/>
    <w:rsid w:val="0057244A"/>
    <w:rsid w:val="00572538"/>
    <w:rsid w:val="0057536A"/>
    <w:rsid w:val="005757D8"/>
    <w:rsid w:val="00575908"/>
    <w:rsid w:val="00576940"/>
    <w:rsid w:val="00577CA0"/>
    <w:rsid w:val="00577D97"/>
    <w:rsid w:val="00580476"/>
    <w:rsid w:val="00583456"/>
    <w:rsid w:val="005840A0"/>
    <w:rsid w:val="00584BB5"/>
    <w:rsid w:val="00587936"/>
    <w:rsid w:val="005904B5"/>
    <w:rsid w:val="005922B4"/>
    <w:rsid w:val="00593C14"/>
    <w:rsid w:val="005942F0"/>
    <w:rsid w:val="00594845"/>
    <w:rsid w:val="00596BC5"/>
    <w:rsid w:val="00596C96"/>
    <w:rsid w:val="00597063"/>
    <w:rsid w:val="00597AA9"/>
    <w:rsid w:val="005A3495"/>
    <w:rsid w:val="005A4BCC"/>
    <w:rsid w:val="005A561D"/>
    <w:rsid w:val="005A7D93"/>
    <w:rsid w:val="005B0505"/>
    <w:rsid w:val="005B5354"/>
    <w:rsid w:val="005B63CC"/>
    <w:rsid w:val="005C2169"/>
    <w:rsid w:val="005C22E0"/>
    <w:rsid w:val="005C3CC8"/>
    <w:rsid w:val="005C45E5"/>
    <w:rsid w:val="005D0D10"/>
    <w:rsid w:val="005D1431"/>
    <w:rsid w:val="005D6C80"/>
    <w:rsid w:val="005E0A7D"/>
    <w:rsid w:val="005E2C60"/>
    <w:rsid w:val="005E4D92"/>
    <w:rsid w:val="005E72FA"/>
    <w:rsid w:val="005F31BE"/>
    <w:rsid w:val="005F48C1"/>
    <w:rsid w:val="005F50F4"/>
    <w:rsid w:val="005F662D"/>
    <w:rsid w:val="005F768F"/>
    <w:rsid w:val="00603FF9"/>
    <w:rsid w:val="00606446"/>
    <w:rsid w:val="006132C5"/>
    <w:rsid w:val="006302F0"/>
    <w:rsid w:val="00630D8B"/>
    <w:rsid w:val="00641E30"/>
    <w:rsid w:val="0064216B"/>
    <w:rsid w:val="00642789"/>
    <w:rsid w:val="00642A12"/>
    <w:rsid w:val="00642E0B"/>
    <w:rsid w:val="00646DC4"/>
    <w:rsid w:val="00651236"/>
    <w:rsid w:val="006523A3"/>
    <w:rsid w:val="00653A21"/>
    <w:rsid w:val="00654B57"/>
    <w:rsid w:val="006625EF"/>
    <w:rsid w:val="00662CF7"/>
    <w:rsid w:val="00664353"/>
    <w:rsid w:val="00664F4D"/>
    <w:rsid w:val="00666464"/>
    <w:rsid w:val="00675765"/>
    <w:rsid w:val="00676782"/>
    <w:rsid w:val="0067680D"/>
    <w:rsid w:val="00677CE1"/>
    <w:rsid w:val="00680CEF"/>
    <w:rsid w:val="00681076"/>
    <w:rsid w:val="00683CAD"/>
    <w:rsid w:val="00684173"/>
    <w:rsid w:val="00687BCD"/>
    <w:rsid w:val="00691B36"/>
    <w:rsid w:val="00691FEA"/>
    <w:rsid w:val="00692473"/>
    <w:rsid w:val="00696F61"/>
    <w:rsid w:val="006A3669"/>
    <w:rsid w:val="006A40D2"/>
    <w:rsid w:val="006A5207"/>
    <w:rsid w:val="006B2073"/>
    <w:rsid w:val="006B2757"/>
    <w:rsid w:val="006B2F79"/>
    <w:rsid w:val="006B4611"/>
    <w:rsid w:val="006B52EB"/>
    <w:rsid w:val="006B62A4"/>
    <w:rsid w:val="006B68A7"/>
    <w:rsid w:val="006B73E9"/>
    <w:rsid w:val="006C15FC"/>
    <w:rsid w:val="006C1631"/>
    <w:rsid w:val="006C2500"/>
    <w:rsid w:val="006C4A94"/>
    <w:rsid w:val="006C4C68"/>
    <w:rsid w:val="006C4E6C"/>
    <w:rsid w:val="006C5DCE"/>
    <w:rsid w:val="006C6710"/>
    <w:rsid w:val="006C671A"/>
    <w:rsid w:val="006C7849"/>
    <w:rsid w:val="006D1440"/>
    <w:rsid w:val="006D1762"/>
    <w:rsid w:val="006D22C5"/>
    <w:rsid w:val="006D31FF"/>
    <w:rsid w:val="006D3E00"/>
    <w:rsid w:val="006D65B5"/>
    <w:rsid w:val="006D74EB"/>
    <w:rsid w:val="006E275A"/>
    <w:rsid w:val="006E29FE"/>
    <w:rsid w:val="006E2B91"/>
    <w:rsid w:val="006E4FE0"/>
    <w:rsid w:val="006F09B1"/>
    <w:rsid w:val="006F0C37"/>
    <w:rsid w:val="006F0F5F"/>
    <w:rsid w:val="006F1C64"/>
    <w:rsid w:val="006F1F4C"/>
    <w:rsid w:val="0070576C"/>
    <w:rsid w:val="00707C13"/>
    <w:rsid w:val="0071225E"/>
    <w:rsid w:val="00720837"/>
    <w:rsid w:val="00721D4C"/>
    <w:rsid w:val="00722EDF"/>
    <w:rsid w:val="00724612"/>
    <w:rsid w:val="00730B98"/>
    <w:rsid w:val="00730EB0"/>
    <w:rsid w:val="0073449E"/>
    <w:rsid w:val="00734B21"/>
    <w:rsid w:val="0073507C"/>
    <w:rsid w:val="00737C78"/>
    <w:rsid w:val="00741A4E"/>
    <w:rsid w:val="00741C3B"/>
    <w:rsid w:val="00744FD7"/>
    <w:rsid w:val="00745E00"/>
    <w:rsid w:val="00754188"/>
    <w:rsid w:val="007544B0"/>
    <w:rsid w:val="00754A99"/>
    <w:rsid w:val="0075620A"/>
    <w:rsid w:val="0076094E"/>
    <w:rsid w:val="007634FA"/>
    <w:rsid w:val="00763E4A"/>
    <w:rsid w:val="007674C3"/>
    <w:rsid w:val="007708CB"/>
    <w:rsid w:val="00773D24"/>
    <w:rsid w:val="00774B2B"/>
    <w:rsid w:val="00774E00"/>
    <w:rsid w:val="00774EE5"/>
    <w:rsid w:val="00776E23"/>
    <w:rsid w:val="00785693"/>
    <w:rsid w:val="007859BF"/>
    <w:rsid w:val="00787B6C"/>
    <w:rsid w:val="007901E7"/>
    <w:rsid w:val="00792306"/>
    <w:rsid w:val="00792641"/>
    <w:rsid w:val="0079281D"/>
    <w:rsid w:val="00797F50"/>
    <w:rsid w:val="007A0738"/>
    <w:rsid w:val="007A250F"/>
    <w:rsid w:val="007A30CD"/>
    <w:rsid w:val="007A3134"/>
    <w:rsid w:val="007A31B1"/>
    <w:rsid w:val="007A33B6"/>
    <w:rsid w:val="007A3B2A"/>
    <w:rsid w:val="007A433B"/>
    <w:rsid w:val="007A720E"/>
    <w:rsid w:val="007B18AE"/>
    <w:rsid w:val="007B29F8"/>
    <w:rsid w:val="007B6B61"/>
    <w:rsid w:val="007C0CFE"/>
    <w:rsid w:val="007C39B2"/>
    <w:rsid w:val="007C3AA6"/>
    <w:rsid w:val="007C4FBA"/>
    <w:rsid w:val="007C61F8"/>
    <w:rsid w:val="007C6F21"/>
    <w:rsid w:val="007C7987"/>
    <w:rsid w:val="007D0757"/>
    <w:rsid w:val="007D259C"/>
    <w:rsid w:val="007D33EF"/>
    <w:rsid w:val="007D75D3"/>
    <w:rsid w:val="007E0CDC"/>
    <w:rsid w:val="007E5A0C"/>
    <w:rsid w:val="007E6571"/>
    <w:rsid w:val="007F10E7"/>
    <w:rsid w:val="007F135C"/>
    <w:rsid w:val="007F2FC7"/>
    <w:rsid w:val="007F66D6"/>
    <w:rsid w:val="007F7FD6"/>
    <w:rsid w:val="00801FEB"/>
    <w:rsid w:val="00802ACC"/>
    <w:rsid w:val="008046CE"/>
    <w:rsid w:val="00805072"/>
    <w:rsid w:val="0080560D"/>
    <w:rsid w:val="00807E17"/>
    <w:rsid w:val="00811D43"/>
    <w:rsid w:val="00814711"/>
    <w:rsid w:val="00816108"/>
    <w:rsid w:val="00820261"/>
    <w:rsid w:val="00821D26"/>
    <w:rsid w:val="00821FF4"/>
    <w:rsid w:val="00834F02"/>
    <w:rsid w:val="0084334D"/>
    <w:rsid w:val="00843DA9"/>
    <w:rsid w:val="00844F64"/>
    <w:rsid w:val="0084654D"/>
    <w:rsid w:val="00846CA8"/>
    <w:rsid w:val="008471C0"/>
    <w:rsid w:val="00853615"/>
    <w:rsid w:val="008547A9"/>
    <w:rsid w:val="008567BD"/>
    <w:rsid w:val="00857940"/>
    <w:rsid w:val="00862B2C"/>
    <w:rsid w:val="00865777"/>
    <w:rsid w:val="00865E50"/>
    <w:rsid w:val="0087031B"/>
    <w:rsid w:val="008705E5"/>
    <w:rsid w:val="008708C0"/>
    <w:rsid w:val="00871E02"/>
    <w:rsid w:val="008722A0"/>
    <w:rsid w:val="00873FD9"/>
    <w:rsid w:val="008757AA"/>
    <w:rsid w:val="00875AC1"/>
    <w:rsid w:val="00876B7A"/>
    <w:rsid w:val="00876E35"/>
    <w:rsid w:val="008773B7"/>
    <w:rsid w:val="008776AB"/>
    <w:rsid w:val="00877C24"/>
    <w:rsid w:val="0088279B"/>
    <w:rsid w:val="0088576C"/>
    <w:rsid w:val="00887101"/>
    <w:rsid w:val="00890A06"/>
    <w:rsid w:val="00892436"/>
    <w:rsid w:val="00894A8E"/>
    <w:rsid w:val="00896D8C"/>
    <w:rsid w:val="00897B27"/>
    <w:rsid w:val="008A3B8C"/>
    <w:rsid w:val="008A48BE"/>
    <w:rsid w:val="008A728E"/>
    <w:rsid w:val="008B4C72"/>
    <w:rsid w:val="008B5520"/>
    <w:rsid w:val="008B5FE4"/>
    <w:rsid w:val="008C0745"/>
    <w:rsid w:val="008C1448"/>
    <w:rsid w:val="008C1C14"/>
    <w:rsid w:val="008C27D7"/>
    <w:rsid w:val="008C3572"/>
    <w:rsid w:val="008C382B"/>
    <w:rsid w:val="008C7AAB"/>
    <w:rsid w:val="008C7CF4"/>
    <w:rsid w:val="008D09C4"/>
    <w:rsid w:val="008D3F94"/>
    <w:rsid w:val="008D53B8"/>
    <w:rsid w:val="008D551A"/>
    <w:rsid w:val="008E17D7"/>
    <w:rsid w:val="008E1F5A"/>
    <w:rsid w:val="008E4708"/>
    <w:rsid w:val="008E58A0"/>
    <w:rsid w:val="008E7370"/>
    <w:rsid w:val="008E773C"/>
    <w:rsid w:val="008E7E35"/>
    <w:rsid w:val="008F0716"/>
    <w:rsid w:val="008F2737"/>
    <w:rsid w:val="008F2A2A"/>
    <w:rsid w:val="008F6F5A"/>
    <w:rsid w:val="00900DF7"/>
    <w:rsid w:val="0090195F"/>
    <w:rsid w:val="00902063"/>
    <w:rsid w:val="009030FB"/>
    <w:rsid w:val="00906095"/>
    <w:rsid w:val="00910BC9"/>
    <w:rsid w:val="00911473"/>
    <w:rsid w:val="00911650"/>
    <w:rsid w:val="00913549"/>
    <w:rsid w:val="00913580"/>
    <w:rsid w:val="009143E5"/>
    <w:rsid w:val="00916D95"/>
    <w:rsid w:val="00926519"/>
    <w:rsid w:val="0093226B"/>
    <w:rsid w:val="00936CBC"/>
    <w:rsid w:val="00941702"/>
    <w:rsid w:val="0094196C"/>
    <w:rsid w:val="00942176"/>
    <w:rsid w:val="00942939"/>
    <w:rsid w:val="00944CBB"/>
    <w:rsid w:val="00955192"/>
    <w:rsid w:val="00960393"/>
    <w:rsid w:val="009609C9"/>
    <w:rsid w:val="0096292D"/>
    <w:rsid w:val="00966611"/>
    <w:rsid w:val="00966C06"/>
    <w:rsid w:val="009673EB"/>
    <w:rsid w:val="00971D89"/>
    <w:rsid w:val="00972C40"/>
    <w:rsid w:val="009733A7"/>
    <w:rsid w:val="00975C2D"/>
    <w:rsid w:val="00975FE1"/>
    <w:rsid w:val="0098015E"/>
    <w:rsid w:val="00980934"/>
    <w:rsid w:val="009811D8"/>
    <w:rsid w:val="0098250B"/>
    <w:rsid w:val="0098775A"/>
    <w:rsid w:val="00987A9B"/>
    <w:rsid w:val="00990425"/>
    <w:rsid w:val="00991EB9"/>
    <w:rsid w:val="0099646F"/>
    <w:rsid w:val="009A0434"/>
    <w:rsid w:val="009A74B3"/>
    <w:rsid w:val="009B0288"/>
    <w:rsid w:val="009B25A5"/>
    <w:rsid w:val="009B2F56"/>
    <w:rsid w:val="009C2015"/>
    <w:rsid w:val="009C3AE8"/>
    <w:rsid w:val="009C4E86"/>
    <w:rsid w:val="009C504A"/>
    <w:rsid w:val="009C6995"/>
    <w:rsid w:val="009C7B4F"/>
    <w:rsid w:val="009D5219"/>
    <w:rsid w:val="009D7B06"/>
    <w:rsid w:val="009E2B67"/>
    <w:rsid w:val="009E57C9"/>
    <w:rsid w:val="009F0ECE"/>
    <w:rsid w:val="009F2F41"/>
    <w:rsid w:val="00A033FF"/>
    <w:rsid w:val="00A03A26"/>
    <w:rsid w:val="00A03BB7"/>
    <w:rsid w:val="00A04BB0"/>
    <w:rsid w:val="00A0530D"/>
    <w:rsid w:val="00A07254"/>
    <w:rsid w:val="00A0741D"/>
    <w:rsid w:val="00A14B29"/>
    <w:rsid w:val="00A152AB"/>
    <w:rsid w:val="00A15412"/>
    <w:rsid w:val="00A15965"/>
    <w:rsid w:val="00A1719B"/>
    <w:rsid w:val="00A17FB8"/>
    <w:rsid w:val="00A21BD7"/>
    <w:rsid w:val="00A22656"/>
    <w:rsid w:val="00A25316"/>
    <w:rsid w:val="00A260BC"/>
    <w:rsid w:val="00A26310"/>
    <w:rsid w:val="00A26921"/>
    <w:rsid w:val="00A323A2"/>
    <w:rsid w:val="00A34860"/>
    <w:rsid w:val="00A34BD1"/>
    <w:rsid w:val="00A35B1A"/>
    <w:rsid w:val="00A378D9"/>
    <w:rsid w:val="00A424F7"/>
    <w:rsid w:val="00A437C8"/>
    <w:rsid w:val="00A45194"/>
    <w:rsid w:val="00A46449"/>
    <w:rsid w:val="00A46482"/>
    <w:rsid w:val="00A46660"/>
    <w:rsid w:val="00A47E25"/>
    <w:rsid w:val="00A51067"/>
    <w:rsid w:val="00A53F53"/>
    <w:rsid w:val="00A54680"/>
    <w:rsid w:val="00A603E7"/>
    <w:rsid w:val="00A62F4C"/>
    <w:rsid w:val="00A631EF"/>
    <w:rsid w:val="00A72DFD"/>
    <w:rsid w:val="00A737FC"/>
    <w:rsid w:val="00A74EEB"/>
    <w:rsid w:val="00A75BB1"/>
    <w:rsid w:val="00A77CB4"/>
    <w:rsid w:val="00A80E40"/>
    <w:rsid w:val="00A84767"/>
    <w:rsid w:val="00A859BB"/>
    <w:rsid w:val="00A91701"/>
    <w:rsid w:val="00A92854"/>
    <w:rsid w:val="00A9300F"/>
    <w:rsid w:val="00A9577A"/>
    <w:rsid w:val="00A95843"/>
    <w:rsid w:val="00A95E44"/>
    <w:rsid w:val="00AA55F2"/>
    <w:rsid w:val="00AA5BE5"/>
    <w:rsid w:val="00AA644A"/>
    <w:rsid w:val="00AB082A"/>
    <w:rsid w:val="00AB368E"/>
    <w:rsid w:val="00AB3AAA"/>
    <w:rsid w:val="00AB43B0"/>
    <w:rsid w:val="00AB4C94"/>
    <w:rsid w:val="00AB70DA"/>
    <w:rsid w:val="00AC19F0"/>
    <w:rsid w:val="00AC1BAB"/>
    <w:rsid w:val="00AC2681"/>
    <w:rsid w:val="00AC4EEB"/>
    <w:rsid w:val="00AD2878"/>
    <w:rsid w:val="00AD2AED"/>
    <w:rsid w:val="00AD4AB3"/>
    <w:rsid w:val="00AD6C83"/>
    <w:rsid w:val="00AD6F3A"/>
    <w:rsid w:val="00AE04EB"/>
    <w:rsid w:val="00AE089A"/>
    <w:rsid w:val="00AE3766"/>
    <w:rsid w:val="00AE598E"/>
    <w:rsid w:val="00AE635C"/>
    <w:rsid w:val="00AE681B"/>
    <w:rsid w:val="00AF06CF"/>
    <w:rsid w:val="00AF164D"/>
    <w:rsid w:val="00AF33C3"/>
    <w:rsid w:val="00AF3717"/>
    <w:rsid w:val="00AF5AF9"/>
    <w:rsid w:val="00AF77E1"/>
    <w:rsid w:val="00B00152"/>
    <w:rsid w:val="00B010F4"/>
    <w:rsid w:val="00B01314"/>
    <w:rsid w:val="00B07E45"/>
    <w:rsid w:val="00B113CF"/>
    <w:rsid w:val="00B11466"/>
    <w:rsid w:val="00B11A8C"/>
    <w:rsid w:val="00B1248C"/>
    <w:rsid w:val="00B16F99"/>
    <w:rsid w:val="00B21308"/>
    <w:rsid w:val="00B25856"/>
    <w:rsid w:val="00B267CA"/>
    <w:rsid w:val="00B26DA1"/>
    <w:rsid w:val="00B27ACF"/>
    <w:rsid w:val="00B27F2D"/>
    <w:rsid w:val="00B34912"/>
    <w:rsid w:val="00B34A9A"/>
    <w:rsid w:val="00B36DBA"/>
    <w:rsid w:val="00B41C93"/>
    <w:rsid w:val="00B46339"/>
    <w:rsid w:val="00B47269"/>
    <w:rsid w:val="00B501F2"/>
    <w:rsid w:val="00B528EC"/>
    <w:rsid w:val="00B56AA0"/>
    <w:rsid w:val="00B62D4B"/>
    <w:rsid w:val="00B703EE"/>
    <w:rsid w:val="00B71889"/>
    <w:rsid w:val="00B72475"/>
    <w:rsid w:val="00B76770"/>
    <w:rsid w:val="00B8452D"/>
    <w:rsid w:val="00B8566B"/>
    <w:rsid w:val="00B87596"/>
    <w:rsid w:val="00B8765B"/>
    <w:rsid w:val="00B92224"/>
    <w:rsid w:val="00B93D6E"/>
    <w:rsid w:val="00B9747D"/>
    <w:rsid w:val="00B975DE"/>
    <w:rsid w:val="00B97D5B"/>
    <w:rsid w:val="00BA016C"/>
    <w:rsid w:val="00BB1D3B"/>
    <w:rsid w:val="00BB2BA1"/>
    <w:rsid w:val="00BB38C1"/>
    <w:rsid w:val="00BB5746"/>
    <w:rsid w:val="00BB605C"/>
    <w:rsid w:val="00BB7477"/>
    <w:rsid w:val="00BC3FDA"/>
    <w:rsid w:val="00BD49E1"/>
    <w:rsid w:val="00BD538B"/>
    <w:rsid w:val="00BD5B7B"/>
    <w:rsid w:val="00BD6884"/>
    <w:rsid w:val="00BD699B"/>
    <w:rsid w:val="00BE1D14"/>
    <w:rsid w:val="00BE568A"/>
    <w:rsid w:val="00BE706F"/>
    <w:rsid w:val="00BF07A0"/>
    <w:rsid w:val="00BF12ED"/>
    <w:rsid w:val="00C00CDC"/>
    <w:rsid w:val="00C01701"/>
    <w:rsid w:val="00C0216B"/>
    <w:rsid w:val="00C03258"/>
    <w:rsid w:val="00C118CF"/>
    <w:rsid w:val="00C11C4F"/>
    <w:rsid w:val="00C162CD"/>
    <w:rsid w:val="00C23526"/>
    <w:rsid w:val="00C2363D"/>
    <w:rsid w:val="00C24646"/>
    <w:rsid w:val="00C24C88"/>
    <w:rsid w:val="00C25F5D"/>
    <w:rsid w:val="00C26B6B"/>
    <w:rsid w:val="00C279CF"/>
    <w:rsid w:val="00C30D44"/>
    <w:rsid w:val="00C35EF1"/>
    <w:rsid w:val="00C4037E"/>
    <w:rsid w:val="00C41324"/>
    <w:rsid w:val="00C4203E"/>
    <w:rsid w:val="00C42457"/>
    <w:rsid w:val="00C429F1"/>
    <w:rsid w:val="00C44FF7"/>
    <w:rsid w:val="00C452C2"/>
    <w:rsid w:val="00C46571"/>
    <w:rsid w:val="00C46A3F"/>
    <w:rsid w:val="00C53CBD"/>
    <w:rsid w:val="00C54252"/>
    <w:rsid w:val="00C57CF4"/>
    <w:rsid w:val="00C653DC"/>
    <w:rsid w:val="00C66674"/>
    <w:rsid w:val="00C67574"/>
    <w:rsid w:val="00C70608"/>
    <w:rsid w:val="00C77972"/>
    <w:rsid w:val="00C80857"/>
    <w:rsid w:val="00C82F23"/>
    <w:rsid w:val="00C85980"/>
    <w:rsid w:val="00C91595"/>
    <w:rsid w:val="00C94BBB"/>
    <w:rsid w:val="00C96056"/>
    <w:rsid w:val="00CA5BF7"/>
    <w:rsid w:val="00CA6421"/>
    <w:rsid w:val="00CA6956"/>
    <w:rsid w:val="00CB177F"/>
    <w:rsid w:val="00CB4383"/>
    <w:rsid w:val="00CB45E1"/>
    <w:rsid w:val="00CB4616"/>
    <w:rsid w:val="00CC301C"/>
    <w:rsid w:val="00CC4D31"/>
    <w:rsid w:val="00CC601D"/>
    <w:rsid w:val="00CC6F9A"/>
    <w:rsid w:val="00CD0555"/>
    <w:rsid w:val="00CD119B"/>
    <w:rsid w:val="00CD2E7F"/>
    <w:rsid w:val="00CD6226"/>
    <w:rsid w:val="00CE133D"/>
    <w:rsid w:val="00CE13CC"/>
    <w:rsid w:val="00CE602C"/>
    <w:rsid w:val="00CF2212"/>
    <w:rsid w:val="00CF49A9"/>
    <w:rsid w:val="00CF5D29"/>
    <w:rsid w:val="00CF72FC"/>
    <w:rsid w:val="00D010B6"/>
    <w:rsid w:val="00D01249"/>
    <w:rsid w:val="00D0169F"/>
    <w:rsid w:val="00D053C1"/>
    <w:rsid w:val="00D0554C"/>
    <w:rsid w:val="00D05CCC"/>
    <w:rsid w:val="00D104CC"/>
    <w:rsid w:val="00D177C1"/>
    <w:rsid w:val="00D23C0C"/>
    <w:rsid w:val="00D23E27"/>
    <w:rsid w:val="00D24DFC"/>
    <w:rsid w:val="00D252B5"/>
    <w:rsid w:val="00D27AB6"/>
    <w:rsid w:val="00D27FAB"/>
    <w:rsid w:val="00D32AC9"/>
    <w:rsid w:val="00D36791"/>
    <w:rsid w:val="00D420C7"/>
    <w:rsid w:val="00D43761"/>
    <w:rsid w:val="00D44377"/>
    <w:rsid w:val="00D56F17"/>
    <w:rsid w:val="00D56F4D"/>
    <w:rsid w:val="00D5715C"/>
    <w:rsid w:val="00D6151A"/>
    <w:rsid w:val="00D61DAE"/>
    <w:rsid w:val="00D63483"/>
    <w:rsid w:val="00D669A3"/>
    <w:rsid w:val="00D70988"/>
    <w:rsid w:val="00D70EA4"/>
    <w:rsid w:val="00D72B0C"/>
    <w:rsid w:val="00D73B0A"/>
    <w:rsid w:val="00D73C6C"/>
    <w:rsid w:val="00D82EA9"/>
    <w:rsid w:val="00D903F8"/>
    <w:rsid w:val="00D90445"/>
    <w:rsid w:val="00D9067F"/>
    <w:rsid w:val="00D90A51"/>
    <w:rsid w:val="00D93731"/>
    <w:rsid w:val="00D95A02"/>
    <w:rsid w:val="00D96D32"/>
    <w:rsid w:val="00D979CA"/>
    <w:rsid w:val="00DA0739"/>
    <w:rsid w:val="00DA24E2"/>
    <w:rsid w:val="00DA2C6E"/>
    <w:rsid w:val="00DA2E57"/>
    <w:rsid w:val="00DA46C2"/>
    <w:rsid w:val="00DA4885"/>
    <w:rsid w:val="00DB3D91"/>
    <w:rsid w:val="00DB42CA"/>
    <w:rsid w:val="00DB6342"/>
    <w:rsid w:val="00DB6522"/>
    <w:rsid w:val="00DB7A07"/>
    <w:rsid w:val="00DC0AC7"/>
    <w:rsid w:val="00DC33D6"/>
    <w:rsid w:val="00DC4016"/>
    <w:rsid w:val="00DC6EE7"/>
    <w:rsid w:val="00DC74E1"/>
    <w:rsid w:val="00DD0272"/>
    <w:rsid w:val="00DD058C"/>
    <w:rsid w:val="00DD19EA"/>
    <w:rsid w:val="00DD23EA"/>
    <w:rsid w:val="00DD2746"/>
    <w:rsid w:val="00DD40C5"/>
    <w:rsid w:val="00DD592B"/>
    <w:rsid w:val="00DE6A44"/>
    <w:rsid w:val="00DE6BF0"/>
    <w:rsid w:val="00DF17DD"/>
    <w:rsid w:val="00DF6135"/>
    <w:rsid w:val="00DF75B4"/>
    <w:rsid w:val="00E01C76"/>
    <w:rsid w:val="00E03E8E"/>
    <w:rsid w:val="00E11807"/>
    <w:rsid w:val="00E1468E"/>
    <w:rsid w:val="00E15035"/>
    <w:rsid w:val="00E15F0B"/>
    <w:rsid w:val="00E1709E"/>
    <w:rsid w:val="00E2011F"/>
    <w:rsid w:val="00E267E0"/>
    <w:rsid w:val="00E2700D"/>
    <w:rsid w:val="00E276F3"/>
    <w:rsid w:val="00E27E62"/>
    <w:rsid w:val="00E31FCC"/>
    <w:rsid w:val="00E3289D"/>
    <w:rsid w:val="00E32997"/>
    <w:rsid w:val="00E40798"/>
    <w:rsid w:val="00E415D7"/>
    <w:rsid w:val="00E52900"/>
    <w:rsid w:val="00E548A1"/>
    <w:rsid w:val="00E57DD0"/>
    <w:rsid w:val="00E60B36"/>
    <w:rsid w:val="00E742D3"/>
    <w:rsid w:val="00E74505"/>
    <w:rsid w:val="00E75B5E"/>
    <w:rsid w:val="00E76C7C"/>
    <w:rsid w:val="00E7708C"/>
    <w:rsid w:val="00E808C0"/>
    <w:rsid w:val="00E80B2E"/>
    <w:rsid w:val="00E82198"/>
    <w:rsid w:val="00E8568B"/>
    <w:rsid w:val="00E90660"/>
    <w:rsid w:val="00E90B92"/>
    <w:rsid w:val="00E9181D"/>
    <w:rsid w:val="00E96C1C"/>
    <w:rsid w:val="00EA0BCA"/>
    <w:rsid w:val="00EA4E39"/>
    <w:rsid w:val="00EA5987"/>
    <w:rsid w:val="00EA7867"/>
    <w:rsid w:val="00EB0885"/>
    <w:rsid w:val="00EB0D36"/>
    <w:rsid w:val="00EB21AC"/>
    <w:rsid w:val="00EB38BF"/>
    <w:rsid w:val="00EB6B89"/>
    <w:rsid w:val="00EB7A83"/>
    <w:rsid w:val="00EC0FC7"/>
    <w:rsid w:val="00ED12E9"/>
    <w:rsid w:val="00ED1828"/>
    <w:rsid w:val="00ED1CBB"/>
    <w:rsid w:val="00ED43FC"/>
    <w:rsid w:val="00ED470F"/>
    <w:rsid w:val="00ED581D"/>
    <w:rsid w:val="00ED589E"/>
    <w:rsid w:val="00EE0C6D"/>
    <w:rsid w:val="00EE30C8"/>
    <w:rsid w:val="00EE3DE3"/>
    <w:rsid w:val="00EE7807"/>
    <w:rsid w:val="00EF44D9"/>
    <w:rsid w:val="00EF5945"/>
    <w:rsid w:val="00F0027E"/>
    <w:rsid w:val="00F10752"/>
    <w:rsid w:val="00F1426B"/>
    <w:rsid w:val="00F165AF"/>
    <w:rsid w:val="00F2316A"/>
    <w:rsid w:val="00F23385"/>
    <w:rsid w:val="00F2546C"/>
    <w:rsid w:val="00F2572A"/>
    <w:rsid w:val="00F268A2"/>
    <w:rsid w:val="00F26CAA"/>
    <w:rsid w:val="00F31B86"/>
    <w:rsid w:val="00F35621"/>
    <w:rsid w:val="00F3739B"/>
    <w:rsid w:val="00F4085A"/>
    <w:rsid w:val="00F41CF9"/>
    <w:rsid w:val="00F442F6"/>
    <w:rsid w:val="00F44E4F"/>
    <w:rsid w:val="00F46234"/>
    <w:rsid w:val="00F505C4"/>
    <w:rsid w:val="00F5683B"/>
    <w:rsid w:val="00F6234B"/>
    <w:rsid w:val="00F627BB"/>
    <w:rsid w:val="00F678B4"/>
    <w:rsid w:val="00F67E56"/>
    <w:rsid w:val="00F705E2"/>
    <w:rsid w:val="00F75540"/>
    <w:rsid w:val="00F777C3"/>
    <w:rsid w:val="00F8123B"/>
    <w:rsid w:val="00F82F90"/>
    <w:rsid w:val="00F85286"/>
    <w:rsid w:val="00F863C7"/>
    <w:rsid w:val="00F91DA7"/>
    <w:rsid w:val="00F92190"/>
    <w:rsid w:val="00F93149"/>
    <w:rsid w:val="00F9387E"/>
    <w:rsid w:val="00F93C5B"/>
    <w:rsid w:val="00F95981"/>
    <w:rsid w:val="00F9664F"/>
    <w:rsid w:val="00FA17D4"/>
    <w:rsid w:val="00FA3AD5"/>
    <w:rsid w:val="00FA46FF"/>
    <w:rsid w:val="00FA781C"/>
    <w:rsid w:val="00FB228A"/>
    <w:rsid w:val="00FB5313"/>
    <w:rsid w:val="00FB60F0"/>
    <w:rsid w:val="00FB723A"/>
    <w:rsid w:val="00FB7E1E"/>
    <w:rsid w:val="00FC05A1"/>
    <w:rsid w:val="00FC1249"/>
    <w:rsid w:val="00FC4705"/>
    <w:rsid w:val="00FC6D2E"/>
    <w:rsid w:val="00FC796B"/>
    <w:rsid w:val="00FD1D2F"/>
    <w:rsid w:val="00FD2227"/>
    <w:rsid w:val="00FD33D7"/>
    <w:rsid w:val="00FD4DAD"/>
    <w:rsid w:val="00FD63B4"/>
    <w:rsid w:val="00FD6EAF"/>
    <w:rsid w:val="00FE27A4"/>
    <w:rsid w:val="00FF0BC5"/>
    <w:rsid w:val="00FF1A2D"/>
    <w:rsid w:val="00FF3B63"/>
    <w:rsid w:val="00FF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7A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93"/>
    <w:pPr>
      <w:ind w:left="720"/>
      <w:contextualSpacing/>
    </w:p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M Footnotes,ft"/>
    <w:basedOn w:val="Normal"/>
    <w:link w:val="FootnoteTextChar"/>
    <w:uiPriority w:val="99"/>
    <w:unhideWhenUsed/>
    <w:qFormat/>
    <w:rsid w:val="00844F64"/>
    <w:pPr>
      <w:spacing w:after="0" w:line="240" w:lineRule="auto"/>
    </w:pPr>
    <w:rPr>
      <w:sz w:val="20"/>
      <w:szCs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844F64"/>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basedOn w:val="DefaultParagraphFont"/>
    <w:link w:val="FootnotesymbolCarZchn"/>
    <w:uiPriority w:val="99"/>
    <w:unhideWhenUsed/>
    <w:qFormat/>
    <w:rsid w:val="00844F64"/>
    <w:rPr>
      <w:vertAlign w:val="superscript"/>
    </w:rPr>
  </w:style>
  <w:style w:type="paragraph" w:styleId="NoSpacing">
    <w:name w:val="No Spacing"/>
    <w:uiPriority w:val="1"/>
    <w:qFormat/>
    <w:rsid w:val="00577CA0"/>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724612"/>
    <w:pPr>
      <w:spacing w:line="240" w:lineRule="exact"/>
      <w:jc w:val="both"/>
    </w:pPr>
    <w:rPr>
      <w:vertAlign w:val="superscript"/>
    </w:rPr>
  </w:style>
  <w:style w:type="character" w:styleId="CommentReference">
    <w:name w:val="annotation reference"/>
    <w:basedOn w:val="DefaultParagraphFont"/>
    <w:uiPriority w:val="99"/>
    <w:semiHidden/>
    <w:unhideWhenUsed/>
    <w:rsid w:val="00C77972"/>
    <w:rPr>
      <w:sz w:val="16"/>
      <w:szCs w:val="16"/>
    </w:rPr>
  </w:style>
  <w:style w:type="paragraph" w:styleId="CommentText">
    <w:name w:val="annotation text"/>
    <w:basedOn w:val="Normal"/>
    <w:link w:val="CommentTextChar"/>
    <w:uiPriority w:val="99"/>
    <w:semiHidden/>
    <w:unhideWhenUsed/>
    <w:rsid w:val="00C77972"/>
    <w:pPr>
      <w:spacing w:line="240" w:lineRule="auto"/>
    </w:pPr>
    <w:rPr>
      <w:sz w:val="20"/>
      <w:szCs w:val="20"/>
    </w:rPr>
  </w:style>
  <w:style w:type="character" w:customStyle="1" w:styleId="CommentTextChar">
    <w:name w:val="Comment Text Char"/>
    <w:basedOn w:val="DefaultParagraphFont"/>
    <w:link w:val="CommentText"/>
    <w:uiPriority w:val="99"/>
    <w:semiHidden/>
    <w:rsid w:val="00C77972"/>
    <w:rPr>
      <w:sz w:val="20"/>
      <w:szCs w:val="20"/>
    </w:rPr>
  </w:style>
  <w:style w:type="paragraph" w:styleId="CommentSubject">
    <w:name w:val="annotation subject"/>
    <w:basedOn w:val="CommentText"/>
    <w:next w:val="CommentText"/>
    <w:link w:val="CommentSubjectChar"/>
    <w:uiPriority w:val="99"/>
    <w:semiHidden/>
    <w:unhideWhenUsed/>
    <w:rsid w:val="00C77972"/>
    <w:rPr>
      <w:b/>
      <w:bCs/>
    </w:rPr>
  </w:style>
  <w:style w:type="character" w:customStyle="1" w:styleId="CommentSubjectChar">
    <w:name w:val="Comment Subject Char"/>
    <w:basedOn w:val="CommentTextChar"/>
    <w:link w:val="CommentSubject"/>
    <w:uiPriority w:val="99"/>
    <w:semiHidden/>
    <w:rsid w:val="00C77972"/>
    <w:rPr>
      <w:b/>
      <w:bCs/>
      <w:sz w:val="20"/>
      <w:szCs w:val="20"/>
    </w:rPr>
  </w:style>
  <w:style w:type="paragraph" w:styleId="BalloonText">
    <w:name w:val="Balloon Text"/>
    <w:basedOn w:val="Normal"/>
    <w:link w:val="BalloonTextChar"/>
    <w:uiPriority w:val="99"/>
    <w:semiHidden/>
    <w:unhideWhenUsed/>
    <w:rsid w:val="00C77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72"/>
    <w:rPr>
      <w:rFonts w:ascii="Tahoma" w:hAnsi="Tahoma" w:cs="Tahoma"/>
      <w:sz w:val="16"/>
      <w:szCs w:val="16"/>
    </w:rPr>
  </w:style>
  <w:style w:type="paragraph" w:styleId="Header">
    <w:name w:val="header"/>
    <w:basedOn w:val="Normal"/>
    <w:link w:val="HeaderChar"/>
    <w:uiPriority w:val="99"/>
    <w:unhideWhenUsed/>
    <w:rsid w:val="00B01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0F4"/>
  </w:style>
  <w:style w:type="paragraph" w:styleId="Footer">
    <w:name w:val="footer"/>
    <w:basedOn w:val="Normal"/>
    <w:link w:val="FooterChar"/>
    <w:uiPriority w:val="99"/>
    <w:unhideWhenUsed/>
    <w:rsid w:val="00B01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0F4"/>
  </w:style>
  <w:style w:type="character" w:styleId="Strong">
    <w:name w:val="Strong"/>
    <w:basedOn w:val="DefaultParagraphFont"/>
    <w:uiPriority w:val="22"/>
    <w:qFormat/>
    <w:rsid w:val="0094196C"/>
    <w:rPr>
      <w:b/>
      <w:bCs/>
    </w:rPr>
  </w:style>
  <w:style w:type="character" w:customStyle="1" w:styleId="apple-converted-space">
    <w:name w:val="apple-converted-space"/>
    <w:basedOn w:val="DefaultParagraphFont"/>
    <w:rsid w:val="0094196C"/>
  </w:style>
  <w:style w:type="character" w:styleId="Emphasis">
    <w:name w:val="Emphasis"/>
    <w:basedOn w:val="DefaultParagraphFont"/>
    <w:uiPriority w:val="20"/>
    <w:qFormat/>
    <w:rsid w:val="0094196C"/>
    <w:rPr>
      <w:i/>
      <w:iCs/>
    </w:rPr>
  </w:style>
  <w:style w:type="character" w:styleId="Hyperlink">
    <w:name w:val="Hyperlink"/>
    <w:basedOn w:val="DefaultParagraphFont"/>
    <w:uiPriority w:val="99"/>
    <w:unhideWhenUsed/>
    <w:rsid w:val="00116576"/>
    <w:rPr>
      <w:color w:val="0000FF"/>
      <w:u w:val="single"/>
    </w:rPr>
  </w:style>
  <w:style w:type="character" w:customStyle="1" w:styleId="Heading2Char">
    <w:name w:val="Heading 2 Char"/>
    <w:basedOn w:val="DefaultParagraphFont"/>
    <w:link w:val="Heading2"/>
    <w:uiPriority w:val="9"/>
    <w:rsid w:val="00467A00"/>
    <w:rPr>
      <w:rFonts w:asciiTheme="majorHAnsi" w:eastAsiaTheme="majorEastAsia" w:hAnsiTheme="majorHAnsi" w:cstheme="majorBidi"/>
      <w:b/>
      <w:bCs/>
      <w:color w:val="5B9BD5" w:themeColor="accent1"/>
      <w:sz w:val="26"/>
      <w:szCs w:val="26"/>
    </w:rPr>
  </w:style>
  <w:style w:type="character" w:customStyle="1" w:styleId="standard-view-style">
    <w:name w:val="standard-view-style"/>
    <w:basedOn w:val="DefaultParagraphFont"/>
    <w:rsid w:val="00AF5AF9"/>
  </w:style>
  <w:style w:type="character" w:customStyle="1" w:styleId="outputecliaff">
    <w:name w:val="outputecliaff"/>
    <w:basedOn w:val="DefaultParagraphFont"/>
    <w:rsid w:val="00FA1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7A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93"/>
    <w:pPr>
      <w:ind w:left="720"/>
      <w:contextualSpacing/>
    </w:p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M Footnotes,ft"/>
    <w:basedOn w:val="Normal"/>
    <w:link w:val="FootnoteTextChar"/>
    <w:uiPriority w:val="99"/>
    <w:unhideWhenUsed/>
    <w:qFormat/>
    <w:rsid w:val="00844F64"/>
    <w:pPr>
      <w:spacing w:after="0" w:line="240" w:lineRule="auto"/>
    </w:pPr>
    <w:rPr>
      <w:sz w:val="20"/>
      <w:szCs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844F64"/>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basedOn w:val="DefaultParagraphFont"/>
    <w:link w:val="FootnotesymbolCarZchn"/>
    <w:uiPriority w:val="99"/>
    <w:unhideWhenUsed/>
    <w:qFormat/>
    <w:rsid w:val="00844F64"/>
    <w:rPr>
      <w:vertAlign w:val="superscript"/>
    </w:rPr>
  </w:style>
  <w:style w:type="paragraph" w:styleId="NoSpacing">
    <w:name w:val="No Spacing"/>
    <w:uiPriority w:val="1"/>
    <w:qFormat/>
    <w:rsid w:val="00577CA0"/>
    <w:pPr>
      <w:spacing w:after="0" w:line="240" w:lineRule="auto"/>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724612"/>
    <w:pPr>
      <w:spacing w:line="240" w:lineRule="exact"/>
      <w:jc w:val="both"/>
    </w:pPr>
    <w:rPr>
      <w:vertAlign w:val="superscript"/>
    </w:rPr>
  </w:style>
  <w:style w:type="character" w:styleId="CommentReference">
    <w:name w:val="annotation reference"/>
    <w:basedOn w:val="DefaultParagraphFont"/>
    <w:uiPriority w:val="99"/>
    <w:semiHidden/>
    <w:unhideWhenUsed/>
    <w:rsid w:val="00C77972"/>
    <w:rPr>
      <w:sz w:val="16"/>
      <w:szCs w:val="16"/>
    </w:rPr>
  </w:style>
  <w:style w:type="paragraph" w:styleId="CommentText">
    <w:name w:val="annotation text"/>
    <w:basedOn w:val="Normal"/>
    <w:link w:val="CommentTextChar"/>
    <w:uiPriority w:val="99"/>
    <w:semiHidden/>
    <w:unhideWhenUsed/>
    <w:rsid w:val="00C77972"/>
    <w:pPr>
      <w:spacing w:line="240" w:lineRule="auto"/>
    </w:pPr>
    <w:rPr>
      <w:sz w:val="20"/>
      <w:szCs w:val="20"/>
    </w:rPr>
  </w:style>
  <w:style w:type="character" w:customStyle="1" w:styleId="CommentTextChar">
    <w:name w:val="Comment Text Char"/>
    <w:basedOn w:val="DefaultParagraphFont"/>
    <w:link w:val="CommentText"/>
    <w:uiPriority w:val="99"/>
    <w:semiHidden/>
    <w:rsid w:val="00C77972"/>
    <w:rPr>
      <w:sz w:val="20"/>
      <w:szCs w:val="20"/>
    </w:rPr>
  </w:style>
  <w:style w:type="paragraph" w:styleId="CommentSubject">
    <w:name w:val="annotation subject"/>
    <w:basedOn w:val="CommentText"/>
    <w:next w:val="CommentText"/>
    <w:link w:val="CommentSubjectChar"/>
    <w:uiPriority w:val="99"/>
    <w:semiHidden/>
    <w:unhideWhenUsed/>
    <w:rsid w:val="00C77972"/>
    <w:rPr>
      <w:b/>
      <w:bCs/>
    </w:rPr>
  </w:style>
  <w:style w:type="character" w:customStyle="1" w:styleId="CommentSubjectChar">
    <w:name w:val="Comment Subject Char"/>
    <w:basedOn w:val="CommentTextChar"/>
    <w:link w:val="CommentSubject"/>
    <w:uiPriority w:val="99"/>
    <w:semiHidden/>
    <w:rsid w:val="00C77972"/>
    <w:rPr>
      <w:b/>
      <w:bCs/>
      <w:sz w:val="20"/>
      <w:szCs w:val="20"/>
    </w:rPr>
  </w:style>
  <w:style w:type="paragraph" w:styleId="BalloonText">
    <w:name w:val="Balloon Text"/>
    <w:basedOn w:val="Normal"/>
    <w:link w:val="BalloonTextChar"/>
    <w:uiPriority w:val="99"/>
    <w:semiHidden/>
    <w:unhideWhenUsed/>
    <w:rsid w:val="00C77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72"/>
    <w:rPr>
      <w:rFonts w:ascii="Tahoma" w:hAnsi="Tahoma" w:cs="Tahoma"/>
      <w:sz w:val="16"/>
      <w:szCs w:val="16"/>
    </w:rPr>
  </w:style>
  <w:style w:type="paragraph" w:styleId="Header">
    <w:name w:val="header"/>
    <w:basedOn w:val="Normal"/>
    <w:link w:val="HeaderChar"/>
    <w:uiPriority w:val="99"/>
    <w:unhideWhenUsed/>
    <w:rsid w:val="00B01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0F4"/>
  </w:style>
  <w:style w:type="paragraph" w:styleId="Footer">
    <w:name w:val="footer"/>
    <w:basedOn w:val="Normal"/>
    <w:link w:val="FooterChar"/>
    <w:uiPriority w:val="99"/>
    <w:unhideWhenUsed/>
    <w:rsid w:val="00B01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0F4"/>
  </w:style>
  <w:style w:type="character" w:styleId="Strong">
    <w:name w:val="Strong"/>
    <w:basedOn w:val="DefaultParagraphFont"/>
    <w:uiPriority w:val="22"/>
    <w:qFormat/>
    <w:rsid w:val="0094196C"/>
    <w:rPr>
      <w:b/>
      <w:bCs/>
    </w:rPr>
  </w:style>
  <w:style w:type="character" w:customStyle="1" w:styleId="apple-converted-space">
    <w:name w:val="apple-converted-space"/>
    <w:basedOn w:val="DefaultParagraphFont"/>
    <w:rsid w:val="0094196C"/>
  </w:style>
  <w:style w:type="character" w:styleId="Emphasis">
    <w:name w:val="Emphasis"/>
    <w:basedOn w:val="DefaultParagraphFont"/>
    <w:uiPriority w:val="20"/>
    <w:qFormat/>
    <w:rsid w:val="0094196C"/>
    <w:rPr>
      <w:i/>
      <w:iCs/>
    </w:rPr>
  </w:style>
  <w:style w:type="character" w:styleId="Hyperlink">
    <w:name w:val="Hyperlink"/>
    <w:basedOn w:val="DefaultParagraphFont"/>
    <w:uiPriority w:val="99"/>
    <w:unhideWhenUsed/>
    <w:rsid w:val="00116576"/>
    <w:rPr>
      <w:color w:val="0000FF"/>
      <w:u w:val="single"/>
    </w:rPr>
  </w:style>
  <w:style w:type="character" w:customStyle="1" w:styleId="Heading2Char">
    <w:name w:val="Heading 2 Char"/>
    <w:basedOn w:val="DefaultParagraphFont"/>
    <w:link w:val="Heading2"/>
    <w:uiPriority w:val="9"/>
    <w:rsid w:val="00467A00"/>
    <w:rPr>
      <w:rFonts w:asciiTheme="majorHAnsi" w:eastAsiaTheme="majorEastAsia" w:hAnsiTheme="majorHAnsi" w:cstheme="majorBidi"/>
      <w:b/>
      <w:bCs/>
      <w:color w:val="5B9BD5" w:themeColor="accent1"/>
      <w:sz w:val="26"/>
      <w:szCs w:val="26"/>
    </w:rPr>
  </w:style>
  <w:style w:type="character" w:customStyle="1" w:styleId="standard-view-style">
    <w:name w:val="standard-view-style"/>
    <w:basedOn w:val="DefaultParagraphFont"/>
    <w:rsid w:val="00AF5AF9"/>
  </w:style>
  <w:style w:type="character" w:customStyle="1" w:styleId="outputecliaff">
    <w:name w:val="outputecliaff"/>
    <w:basedOn w:val="DefaultParagraphFont"/>
    <w:rsid w:val="00FA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9368">
      <w:bodyDiv w:val="1"/>
      <w:marLeft w:val="0"/>
      <w:marRight w:val="0"/>
      <w:marTop w:val="0"/>
      <w:marBottom w:val="0"/>
      <w:divBdr>
        <w:top w:val="none" w:sz="0" w:space="0" w:color="auto"/>
        <w:left w:val="none" w:sz="0" w:space="0" w:color="auto"/>
        <w:bottom w:val="none" w:sz="0" w:space="0" w:color="auto"/>
        <w:right w:val="none" w:sz="0" w:space="0" w:color="auto"/>
      </w:divBdr>
    </w:div>
    <w:div w:id="1539513724">
      <w:bodyDiv w:val="1"/>
      <w:marLeft w:val="0"/>
      <w:marRight w:val="0"/>
      <w:marTop w:val="0"/>
      <w:marBottom w:val="0"/>
      <w:divBdr>
        <w:top w:val="none" w:sz="0" w:space="0" w:color="auto"/>
        <w:left w:val="none" w:sz="0" w:space="0" w:color="auto"/>
        <w:bottom w:val="none" w:sz="0" w:space="0" w:color="auto"/>
        <w:right w:val="none" w:sz="0" w:space="0" w:color="auto"/>
      </w:divBdr>
      <w:divsChild>
        <w:div w:id="460879752">
          <w:marLeft w:val="105"/>
          <w:marRight w:val="105"/>
          <w:marTop w:val="105"/>
          <w:marBottom w:val="105"/>
          <w:divBdr>
            <w:top w:val="none" w:sz="0" w:space="0" w:color="auto"/>
            <w:left w:val="none" w:sz="0" w:space="0" w:color="auto"/>
            <w:bottom w:val="none" w:sz="0" w:space="0" w:color="auto"/>
            <w:right w:val="none" w:sz="0" w:space="0" w:color="auto"/>
          </w:divBdr>
          <w:divsChild>
            <w:div w:id="711926300">
              <w:marLeft w:val="840"/>
              <w:marRight w:val="0"/>
              <w:marTop w:val="0"/>
              <w:marBottom w:val="0"/>
              <w:divBdr>
                <w:top w:val="none" w:sz="0" w:space="0" w:color="auto"/>
                <w:left w:val="none" w:sz="0" w:space="0" w:color="auto"/>
                <w:bottom w:val="none" w:sz="0" w:space="0" w:color="auto"/>
                <w:right w:val="none" w:sz="0" w:space="0" w:color="auto"/>
              </w:divBdr>
            </w:div>
          </w:divsChild>
        </w:div>
        <w:div w:id="817918069">
          <w:marLeft w:val="105"/>
          <w:marRight w:val="105"/>
          <w:marTop w:val="105"/>
          <w:marBottom w:val="105"/>
          <w:divBdr>
            <w:top w:val="none" w:sz="0" w:space="0" w:color="auto"/>
            <w:left w:val="none" w:sz="0" w:space="0" w:color="auto"/>
            <w:bottom w:val="none" w:sz="0" w:space="0" w:color="auto"/>
            <w:right w:val="none" w:sz="0" w:space="0" w:color="auto"/>
          </w:divBdr>
          <w:divsChild>
            <w:div w:id="1141463986">
              <w:marLeft w:val="0"/>
              <w:marRight w:val="0"/>
              <w:marTop w:val="0"/>
              <w:marBottom w:val="0"/>
              <w:divBdr>
                <w:top w:val="none" w:sz="0" w:space="0" w:color="auto"/>
                <w:left w:val="none" w:sz="0" w:space="0" w:color="auto"/>
                <w:bottom w:val="none" w:sz="0" w:space="0" w:color="auto"/>
                <w:right w:val="none" w:sz="0" w:space="0" w:color="auto"/>
              </w:divBdr>
            </w:div>
            <w:div w:id="16779954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29261657">
      <w:bodyDiv w:val="1"/>
      <w:marLeft w:val="0"/>
      <w:marRight w:val="0"/>
      <w:marTop w:val="0"/>
      <w:marBottom w:val="0"/>
      <w:divBdr>
        <w:top w:val="none" w:sz="0" w:space="0" w:color="auto"/>
        <w:left w:val="none" w:sz="0" w:space="0" w:color="auto"/>
        <w:bottom w:val="none" w:sz="0" w:space="0" w:color="auto"/>
        <w:right w:val="none" w:sz="0" w:space="0" w:color="auto"/>
      </w:divBdr>
      <w:divsChild>
        <w:div w:id="85703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voteleavetakecontrol.org/why_vote_leave.html" TargetMode="External"/><Relationship Id="rId2" Type="http://schemas.openxmlformats.org/officeDocument/2006/relationships/hyperlink" Target="https://d3n8a8pro7vhmx.cloudfront.net/in/pages/688/attachments/original/1467881907/BSIE_A5_LEAFLETS_(MYTH)_v15_PRINT.pdf?1467881907" TargetMode="External"/><Relationship Id="rId1" Type="http://schemas.openxmlformats.org/officeDocument/2006/relationships/hyperlink" Target="http://ec.europa.eu/dgs/secretariat_general/relations/relations_other/npo/letter_to_nal_parl_en.htm" TargetMode="External"/><Relationship Id="rId4" Type="http://schemas.openxmlformats.org/officeDocument/2006/relationships/hyperlink" Target="http://www.bgbl.de/xaver/bgbl/start.xav?startbk=Bundesanzeiger_BGBl&amp;jumpTo=bgbl116s31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111B-A43C-4668-A6B3-7292AD2F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36</Pages>
  <Words>11951</Words>
  <Characters>68122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Stephanie</dc:creator>
  <cp:lastModifiedBy>Stephanie</cp:lastModifiedBy>
  <cp:revision>45</cp:revision>
  <dcterms:created xsi:type="dcterms:W3CDTF">2017-03-14T11:12:00Z</dcterms:created>
  <dcterms:modified xsi:type="dcterms:W3CDTF">2017-03-21T17:19:00Z</dcterms:modified>
</cp:coreProperties>
</file>