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c9c0ed35.B" w:hAnsi="AdvOTc9c0ed35.B" w:cs="AdvOTc9c0ed35.B"/>
          <w:sz w:val="18"/>
          <w:szCs w:val="18"/>
        </w:rPr>
      </w:pPr>
      <w:r>
        <w:rPr>
          <w:rFonts w:ascii="AdvOTc9c0ed35.B" w:hAnsi="AdvOTc9c0ed35.B" w:cs="AdvOTc9c0ed35.B"/>
          <w:sz w:val="18"/>
          <w:szCs w:val="18"/>
        </w:rPr>
        <w:t>AN OBSERVATIONAL PROSPECTIVE CLINICAL AUDIT TO</w:t>
      </w:r>
      <w:r w:rsidR="00B008CC">
        <w:rPr>
          <w:rFonts w:ascii="AdvOTc9c0ed35.B" w:hAnsi="AdvOTc9c0ed35.B" w:cs="AdvOTc9c0ed35.B"/>
          <w:sz w:val="18"/>
          <w:szCs w:val="18"/>
        </w:rPr>
        <w:t xml:space="preserve"> </w:t>
      </w:r>
      <w:r>
        <w:rPr>
          <w:rFonts w:ascii="AdvOTc9c0ed35.B" w:hAnsi="AdvOTc9c0ed35.B" w:cs="AdvOTc9c0ed35.B"/>
          <w:sz w:val="18"/>
          <w:szCs w:val="18"/>
        </w:rPr>
        <w:t>DETERMINE THE PRESENCE OF ALCOHOL-RELATED</w:t>
      </w:r>
      <w:r w:rsidR="00B008CC">
        <w:rPr>
          <w:rFonts w:ascii="AdvOTc9c0ed35.B" w:hAnsi="AdvOTc9c0ed35.B" w:cs="AdvOTc9c0ed35.B"/>
          <w:sz w:val="18"/>
          <w:szCs w:val="18"/>
        </w:rPr>
        <w:t xml:space="preserve"> </w:t>
      </w:r>
      <w:r>
        <w:rPr>
          <w:rFonts w:ascii="AdvOTc9c0ed35.B" w:hAnsi="AdvOTc9c0ed35.B" w:cs="AdvOTc9c0ed35.B"/>
          <w:sz w:val="18"/>
          <w:szCs w:val="18"/>
        </w:rPr>
        <w:t>BRAIN INJURY (ARBI) IN PATIENTS PRESENTING TO</w:t>
      </w:r>
      <w:r w:rsidR="00B008CC">
        <w:rPr>
          <w:rFonts w:ascii="AdvOTc9c0ed35.B" w:hAnsi="AdvOTc9c0ed35.B" w:cs="AdvOTc9c0ed35.B"/>
          <w:sz w:val="18"/>
          <w:szCs w:val="18"/>
        </w:rPr>
        <w:t xml:space="preserve"> </w:t>
      </w:r>
      <w:r>
        <w:rPr>
          <w:rFonts w:ascii="AdvOTc9c0ed35.B" w:hAnsi="AdvOTc9c0ed35.B" w:cs="AdvOTc9c0ed35.B"/>
          <w:sz w:val="18"/>
          <w:szCs w:val="18"/>
        </w:rPr>
        <w:t>ACUTE CARE</w:t>
      </w:r>
    </w:p>
    <w:p w:rsidR="00B008CC" w:rsidRDefault="00B008CC" w:rsidP="00A20526">
      <w:pPr>
        <w:autoSpaceDE w:val="0"/>
        <w:autoSpaceDN w:val="0"/>
        <w:adjustRightInd w:val="0"/>
        <w:spacing w:after="0" w:line="240" w:lineRule="auto"/>
        <w:rPr>
          <w:rFonts w:ascii="AdvOTc9c0ed35.B" w:hAnsi="AdvOTc9c0ed35.B" w:cs="AdvOTc9c0ed35.B"/>
          <w:sz w:val="18"/>
          <w:szCs w:val="18"/>
        </w:rPr>
      </w:pPr>
      <w:bookmarkStart w:id="0" w:name="_GoBack"/>
      <w:bookmarkEnd w:id="0"/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0231c847" w:hAnsi="AdvOT0231c847" w:cs="AdvOT0231c847"/>
          <w:sz w:val="15"/>
          <w:szCs w:val="15"/>
        </w:rPr>
      </w:pPr>
      <w:r>
        <w:rPr>
          <w:rFonts w:ascii="AdvOT0231c847" w:hAnsi="AdvOT0231c847" w:cs="AdvOT0231c847"/>
          <w:sz w:val="10"/>
          <w:szCs w:val="10"/>
        </w:rPr>
        <w:t>1,2</w:t>
      </w:r>
      <w:r>
        <w:rPr>
          <w:rFonts w:ascii="AdvOT0231c847" w:hAnsi="AdvOT0231c847" w:cs="AdvOT0231c847"/>
          <w:sz w:val="15"/>
          <w:szCs w:val="15"/>
        </w:rPr>
        <w:t xml:space="preserve">L Owens, </w:t>
      </w:r>
      <w:r>
        <w:rPr>
          <w:rFonts w:ascii="AdvOT0231c847" w:hAnsi="AdvOT0231c847" w:cs="AdvOT0231c847"/>
          <w:sz w:val="10"/>
          <w:szCs w:val="10"/>
        </w:rPr>
        <w:t>1</w:t>
      </w:r>
      <w:r>
        <w:rPr>
          <w:rFonts w:ascii="AdvOT0231c847" w:hAnsi="AdvOT0231c847" w:cs="AdvOT0231c847"/>
          <w:sz w:val="15"/>
          <w:szCs w:val="15"/>
        </w:rPr>
        <w:t xml:space="preserve">L </w:t>
      </w:r>
      <w:proofErr w:type="spellStart"/>
      <w:r>
        <w:rPr>
          <w:rFonts w:ascii="AdvOT0231c847" w:hAnsi="AdvOT0231c847" w:cs="AdvOT0231c847"/>
          <w:sz w:val="15"/>
          <w:szCs w:val="15"/>
        </w:rPr>
        <w:t>Chinnappan</w:t>
      </w:r>
      <w:proofErr w:type="spellEnd"/>
      <w:r>
        <w:rPr>
          <w:rFonts w:ascii="AdvOT0231c847" w:hAnsi="AdvOT0231c847" w:cs="AdvOT0231c847"/>
          <w:sz w:val="15"/>
          <w:szCs w:val="15"/>
        </w:rPr>
        <w:t xml:space="preserve">, </w:t>
      </w:r>
      <w:r>
        <w:rPr>
          <w:rFonts w:ascii="AdvOT0231c847" w:hAnsi="AdvOT0231c847" w:cs="AdvOT0231c847"/>
          <w:sz w:val="10"/>
          <w:szCs w:val="10"/>
        </w:rPr>
        <w:t>2</w:t>
      </w:r>
      <w:r>
        <w:rPr>
          <w:rFonts w:ascii="AdvOT0231c847" w:hAnsi="AdvOT0231c847" w:cs="AdvOT0231c847"/>
          <w:sz w:val="15"/>
          <w:szCs w:val="15"/>
        </w:rPr>
        <w:t xml:space="preserve">A Thompson, </w:t>
      </w:r>
      <w:r>
        <w:rPr>
          <w:rFonts w:ascii="AdvOT0231c847" w:hAnsi="AdvOT0231c847" w:cs="AdvOT0231c847"/>
          <w:sz w:val="10"/>
          <w:szCs w:val="10"/>
        </w:rPr>
        <w:t>3</w:t>
      </w:r>
      <w:r>
        <w:rPr>
          <w:rFonts w:ascii="AdvOT0231c847" w:hAnsi="AdvOT0231c847" w:cs="AdvOT0231c847"/>
          <w:sz w:val="15"/>
          <w:szCs w:val="15"/>
        </w:rPr>
        <w:t xml:space="preserve">C </w:t>
      </w:r>
      <w:proofErr w:type="spellStart"/>
      <w:r>
        <w:rPr>
          <w:rFonts w:ascii="AdvOT0231c847" w:hAnsi="AdvOT0231c847" w:cs="AdvOT0231c847"/>
          <w:sz w:val="15"/>
          <w:szCs w:val="15"/>
        </w:rPr>
        <w:t>Kullu</w:t>
      </w:r>
      <w:proofErr w:type="spellEnd"/>
      <w:r>
        <w:rPr>
          <w:rFonts w:ascii="AdvOT0231c847" w:hAnsi="AdvOT0231c847" w:cs="AdvOT0231c847"/>
          <w:sz w:val="15"/>
          <w:szCs w:val="15"/>
        </w:rPr>
        <w:t xml:space="preserve">, </w:t>
      </w:r>
      <w:r>
        <w:rPr>
          <w:rFonts w:ascii="AdvOT0231c847" w:hAnsi="AdvOT0231c847" w:cs="AdvOT0231c847"/>
          <w:sz w:val="10"/>
          <w:szCs w:val="10"/>
        </w:rPr>
        <w:t>1</w:t>
      </w:r>
      <w:r>
        <w:rPr>
          <w:rFonts w:ascii="AdvOT0231c847" w:hAnsi="AdvOT0231c847" w:cs="AdvOT0231c847"/>
          <w:sz w:val="15"/>
          <w:szCs w:val="15"/>
        </w:rPr>
        <w:t xml:space="preserve">P Richardson, </w:t>
      </w:r>
      <w:r>
        <w:rPr>
          <w:rFonts w:ascii="AdvOT0231c847" w:hAnsi="AdvOT0231c847" w:cs="AdvOT0231c847"/>
          <w:sz w:val="10"/>
          <w:szCs w:val="10"/>
        </w:rPr>
        <w:t>4</w:t>
      </w:r>
      <w:r>
        <w:rPr>
          <w:rFonts w:ascii="AdvOT0231c847" w:hAnsi="AdvOT0231c847" w:cs="AdvOT0231c847"/>
          <w:sz w:val="15"/>
          <w:szCs w:val="15"/>
        </w:rPr>
        <w:t xml:space="preserve">K </w:t>
      </w:r>
      <w:proofErr w:type="spellStart"/>
      <w:r>
        <w:rPr>
          <w:rFonts w:ascii="AdvOT0231c847" w:hAnsi="AdvOT0231c847" w:cs="AdvOT0231c847"/>
          <w:sz w:val="15"/>
          <w:szCs w:val="15"/>
        </w:rPr>
        <w:t>Mannix</w:t>
      </w:r>
      <w:proofErr w:type="spellEnd"/>
      <w:r>
        <w:rPr>
          <w:rFonts w:ascii="AdvOT0231c847" w:hAnsi="AdvOT0231c847" w:cs="AdvOT0231c847"/>
          <w:sz w:val="10"/>
          <w:szCs w:val="10"/>
        </w:rPr>
        <w:t>*</w:t>
      </w:r>
      <w:r>
        <w:rPr>
          <w:rFonts w:ascii="AdvOT0231c847" w:hAnsi="AdvOT0231c847" w:cs="AdvOT0231c847"/>
          <w:sz w:val="15"/>
          <w:szCs w:val="15"/>
        </w:rPr>
        <w:t>.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be4cb9cb" w:hAnsi="AdvOTbe4cb9cb" w:cs="AdvOTbe4cb9cb"/>
          <w:sz w:val="15"/>
          <w:szCs w:val="15"/>
        </w:rPr>
      </w:pPr>
      <w:r>
        <w:rPr>
          <w:rFonts w:ascii="AdvOTbe4cb9cb" w:hAnsi="AdvOTbe4cb9cb" w:cs="AdvOTbe4cb9cb"/>
          <w:sz w:val="10"/>
          <w:szCs w:val="10"/>
        </w:rPr>
        <w:t>1</w:t>
      </w:r>
      <w:r>
        <w:rPr>
          <w:rFonts w:ascii="AdvOTbe4cb9cb" w:hAnsi="AdvOTbe4cb9cb" w:cs="AdvOTbe4cb9cb"/>
          <w:sz w:val="15"/>
          <w:szCs w:val="15"/>
        </w:rPr>
        <w:t xml:space="preserve">Hepatology, Royal Liverpool &amp; </w:t>
      </w:r>
      <w:proofErr w:type="spellStart"/>
      <w:r>
        <w:rPr>
          <w:rFonts w:ascii="AdvOTbe4cb9cb" w:hAnsi="AdvOTbe4cb9cb" w:cs="AdvOTbe4cb9cb"/>
          <w:sz w:val="15"/>
          <w:szCs w:val="15"/>
        </w:rPr>
        <w:t>Broadgreen</w:t>
      </w:r>
      <w:proofErr w:type="spellEnd"/>
      <w:r>
        <w:rPr>
          <w:rFonts w:ascii="AdvOTbe4cb9cb" w:hAnsi="AdvOTbe4cb9cb" w:cs="AdvOTbe4cb9cb"/>
          <w:sz w:val="15"/>
          <w:szCs w:val="15"/>
        </w:rPr>
        <w:t xml:space="preserve"> University Hospital Trust</w:t>
      </w:r>
      <w:r>
        <w:rPr>
          <w:rFonts w:ascii="AdvOT0231c847" w:hAnsi="AdvOT0231c847" w:cs="AdvOT0231c847"/>
          <w:sz w:val="15"/>
          <w:szCs w:val="15"/>
        </w:rPr>
        <w:t xml:space="preserve">; </w:t>
      </w:r>
      <w:r>
        <w:rPr>
          <w:rFonts w:ascii="AdvOTbe4cb9cb" w:hAnsi="AdvOTbe4cb9cb" w:cs="AdvOTbe4cb9cb"/>
          <w:sz w:val="10"/>
          <w:szCs w:val="10"/>
        </w:rPr>
        <w:t>2</w:t>
      </w:r>
      <w:r>
        <w:rPr>
          <w:rFonts w:ascii="AdvOTbe4cb9cb" w:hAnsi="AdvOTbe4cb9cb" w:cs="AdvOTbe4cb9cb"/>
          <w:sz w:val="15"/>
          <w:szCs w:val="15"/>
        </w:rPr>
        <w:t>Institute of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0231c847" w:hAnsi="AdvOT0231c847" w:cs="AdvOT0231c847"/>
          <w:sz w:val="15"/>
          <w:szCs w:val="15"/>
        </w:rPr>
      </w:pPr>
      <w:r>
        <w:rPr>
          <w:rFonts w:ascii="AdvOTbe4cb9cb" w:hAnsi="AdvOTbe4cb9cb" w:cs="AdvOTbe4cb9cb"/>
          <w:sz w:val="15"/>
          <w:szCs w:val="15"/>
        </w:rPr>
        <w:t>Translational Medicine, University of Liverpool</w:t>
      </w:r>
      <w:r>
        <w:rPr>
          <w:rFonts w:ascii="AdvOT0231c847" w:hAnsi="AdvOT0231c847" w:cs="AdvOT0231c847"/>
          <w:sz w:val="15"/>
          <w:szCs w:val="15"/>
        </w:rPr>
        <w:t xml:space="preserve">; </w:t>
      </w:r>
      <w:r>
        <w:rPr>
          <w:rFonts w:ascii="AdvOTbe4cb9cb" w:hAnsi="AdvOTbe4cb9cb" w:cs="AdvOTbe4cb9cb"/>
          <w:sz w:val="10"/>
          <w:szCs w:val="10"/>
        </w:rPr>
        <w:t>3</w:t>
      </w:r>
      <w:r>
        <w:rPr>
          <w:rFonts w:ascii="AdvOTbe4cb9cb" w:hAnsi="AdvOTbe4cb9cb" w:cs="AdvOTbe4cb9cb"/>
          <w:sz w:val="15"/>
          <w:szCs w:val="15"/>
        </w:rPr>
        <w:t>Psychiatric Liaison, Mersey Care NHS Trust</w:t>
      </w:r>
      <w:r>
        <w:rPr>
          <w:rFonts w:ascii="AdvOT0231c847" w:hAnsi="AdvOT0231c847" w:cs="AdvOT0231c847"/>
          <w:sz w:val="15"/>
          <w:szCs w:val="15"/>
        </w:rPr>
        <w:t>;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be4cb9cb" w:hAnsi="AdvOTbe4cb9cb" w:cs="AdvOTbe4cb9cb"/>
          <w:sz w:val="15"/>
          <w:szCs w:val="15"/>
        </w:rPr>
      </w:pPr>
      <w:r>
        <w:rPr>
          <w:rFonts w:ascii="AdvOTbe4cb9cb" w:hAnsi="AdvOTbe4cb9cb" w:cs="AdvOTbe4cb9cb"/>
          <w:sz w:val="10"/>
          <w:szCs w:val="10"/>
        </w:rPr>
        <w:t>4</w:t>
      </w:r>
      <w:r>
        <w:rPr>
          <w:rFonts w:ascii="AdvOTbe4cb9cb" w:hAnsi="AdvOTbe4cb9cb" w:cs="AdvOTbe4cb9cb"/>
          <w:sz w:val="15"/>
          <w:szCs w:val="15"/>
        </w:rPr>
        <w:t xml:space="preserve">Department of Hepatology, Royal Liverpool and </w:t>
      </w:r>
      <w:proofErr w:type="spellStart"/>
      <w:r>
        <w:rPr>
          <w:rFonts w:ascii="AdvOTbe4cb9cb" w:hAnsi="AdvOTbe4cb9cb" w:cs="AdvOTbe4cb9cb"/>
          <w:sz w:val="15"/>
          <w:szCs w:val="15"/>
        </w:rPr>
        <w:t>Broadgreen</w:t>
      </w:r>
      <w:proofErr w:type="spellEnd"/>
      <w:r>
        <w:rPr>
          <w:rFonts w:ascii="AdvOTbe4cb9cb" w:hAnsi="AdvOTbe4cb9cb" w:cs="AdvOTbe4cb9cb"/>
          <w:sz w:val="15"/>
          <w:szCs w:val="15"/>
        </w:rPr>
        <w:t xml:space="preserve"> Hospital Trust, Liverpool, UK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0231c847" w:hAnsi="AdvOT0231c847" w:cs="AdvOT0231c847"/>
          <w:sz w:val="15"/>
          <w:szCs w:val="15"/>
        </w:rPr>
      </w:pP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TTb20e5d60" w:hAnsi="AdvTTb20e5d60" w:cs="AdvTTb20e5d60"/>
          <w:sz w:val="18"/>
          <w:szCs w:val="18"/>
        </w:rPr>
      </w:pPr>
      <w:r>
        <w:rPr>
          <w:rFonts w:ascii="AdvTTd5f80974.B" w:hAnsi="AdvTTd5f80974.B" w:cs="AdvTTd5f80974.B"/>
          <w:sz w:val="18"/>
          <w:szCs w:val="18"/>
        </w:rPr>
        <w:t>Introduction</w:t>
      </w:r>
      <w:r w:rsidR="00B008CC">
        <w:rPr>
          <w:rFonts w:ascii="AdvTTd5f80974.B" w:hAnsi="AdvTTd5f80974.B" w:cs="AdvTTd5f80974.B"/>
          <w:sz w:val="18"/>
          <w:szCs w:val="18"/>
        </w:rPr>
        <w:t>:</w:t>
      </w:r>
      <w:r>
        <w:rPr>
          <w:rFonts w:ascii="AdvTTd5f80974.B" w:hAnsi="AdvTTd5f80974.B" w:cs="AdvTTd5f80974.B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Alcohol dependence is a relapsing condition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resulting in significant comorbidity and subsequent use of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health resources. Patients are repeatedly admitted into acute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care for acute alcohol withdrawal management and stabilisation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of their physical condition. Patients are frequently labelled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as treatment resistant/non-compliant, despite the fact that a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significant proportion of these individuals may have underlying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 xml:space="preserve">alcohol-related brain injury (ARBI), which results in </w:t>
      </w:r>
      <w:r w:rsidR="00B008CC">
        <w:rPr>
          <w:rFonts w:ascii="AdvTTb20e5d60" w:hAnsi="AdvTTb20e5d60" w:cs="AdvTTb20e5d60"/>
          <w:sz w:val="18"/>
          <w:szCs w:val="18"/>
        </w:rPr>
        <w:t>r</w:t>
      </w:r>
      <w:r>
        <w:rPr>
          <w:rFonts w:ascii="AdvTTb20e5d60" w:hAnsi="AdvTTb20e5d60" w:cs="AdvTTb20e5d60"/>
          <w:sz w:val="18"/>
          <w:szCs w:val="18"/>
        </w:rPr>
        <w:t>educed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capacity to understand or engage in treatment.</w:t>
      </w:r>
      <w:r>
        <w:rPr>
          <w:rFonts w:ascii="AdvTTb20e5d60" w:hAnsi="AdvTTb20e5d60" w:cs="AdvTTb20e5d60"/>
          <w:sz w:val="12"/>
          <w:szCs w:val="12"/>
        </w:rPr>
        <w:t xml:space="preserve">1 </w:t>
      </w:r>
      <w:proofErr w:type="gramStart"/>
      <w:r>
        <w:rPr>
          <w:rFonts w:ascii="AdvTTb20e5d60" w:hAnsi="AdvTTb20e5d60" w:cs="AdvTTb20e5d60"/>
          <w:sz w:val="18"/>
          <w:szCs w:val="18"/>
        </w:rPr>
        <w:t>Unfortunately</w:t>
      </w:r>
      <w:proofErr w:type="gramEnd"/>
      <w:r>
        <w:rPr>
          <w:rFonts w:ascii="AdvTTb20e5d60" w:hAnsi="AdvTTb20e5d60" w:cs="AdvTTb20e5d60"/>
          <w:sz w:val="18"/>
          <w:szCs w:val="18"/>
        </w:rPr>
        <w:t>,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it is rare that assessment for ARBI is undertaken, and therefore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the condition goes undetected.</w:t>
      </w:r>
    </w:p>
    <w:p w:rsidR="00B008CC" w:rsidRDefault="00B008CC" w:rsidP="00A20526">
      <w:pPr>
        <w:autoSpaceDE w:val="0"/>
        <w:autoSpaceDN w:val="0"/>
        <w:adjustRightInd w:val="0"/>
        <w:spacing w:after="0" w:line="240" w:lineRule="auto"/>
        <w:rPr>
          <w:rFonts w:ascii="AdvTTd5f80974.B" w:hAnsi="AdvTTd5f80974.B" w:cs="AdvTTd5f80974.B"/>
          <w:sz w:val="18"/>
          <w:szCs w:val="18"/>
        </w:rPr>
      </w:pPr>
    </w:p>
    <w:p w:rsidR="00B008CC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TTb20e5d60" w:hAnsi="AdvTTb20e5d60" w:cs="AdvTTb20e5d60"/>
          <w:sz w:val="18"/>
          <w:szCs w:val="18"/>
        </w:rPr>
      </w:pPr>
      <w:r>
        <w:rPr>
          <w:rFonts w:ascii="AdvTTd5f80974.B" w:hAnsi="AdvTTd5f80974.B" w:cs="AdvTTd5f80974.B"/>
          <w:sz w:val="18"/>
          <w:szCs w:val="18"/>
        </w:rPr>
        <w:t>Methods</w:t>
      </w:r>
      <w:r w:rsidR="00B008CC">
        <w:rPr>
          <w:rFonts w:ascii="AdvTTd5f80974.B" w:hAnsi="AdvTTd5f80974.B" w:cs="AdvTTd5f80974.B"/>
          <w:sz w:val="18"/>
          <w:szCs w:val="18"/>
        </w:rPr>
        <w:t>:</w:t>
      </w:r>
      <w:r>
        <w:rPr>
          <w:rFonts w:ascii="AdvTTd5f80974.B" w:hAnsi="AdvTTd5f80974.B" w:cs="AdvTTd5f80974.B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Patients presenting to acute care with an alcohol</w:t>
      </w:r>
      <w:r w:rsidR="00B008CC">
        <w:rPr>
          <w:rFonts w:ascii="AdvTTb20e5d60" w:hAnsi="AdvTTb20e5d60" w:cs="AdvTTb20e5d60"/>
          <w:sz w:val="18"/>
          <w:szCs w:val="18"/>
        </w:rPr>
        <w:t>-</w:t>
      </w:r>
      <w:r>
        <w:rPr>
          <w:rFonts w:ascii="AdvTTb20e5d60" w:hAnsi="AdvTTb20e5d60" w:cs="AdvTTb20e5d60"/>
          <w:sz w:val="18"/>
          <w:szCs w:val="18"/>
        </w:rPr>
        <w:t>related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problem were assessed for risk of ARBI by the Alcohol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 xml:space="preserve">Specialist Nurse performing a </w:t>
      </w:r>
      <w:r>
        <w:rPr>
          <w:rFonts w:ascii="AdvTTd5f80974.B" w:hAnsi="AdvTTd5f80974.B" w:cs="AdvTTd5f80974.B"/>
          <w:sz w:val="18"/>
          <w:szCs w:val="18"/>
        </w:rPr>
        <w:t>MoCA</w:t>
      </w:r>
      <w:r>
        <w:rPr>
          <w:rFonts w:ascii="AdvTTd5f80974.B" w:hAnsi="AdvTTd5f80974.B" w:cs="AdvTTd5f80974.B"/>
          <w:sz w:val="12"/>
          <w:szCs w:val="12"/>
        </w:rPr>
        <w:t>©</w:t>
      </w:r>
      <w:r>
        <w:rPr>
          <w:rFonts w:ascii="AdvTTb20e5d60" w:hAnsi="AdvTTb20e5d60" w:cs="AdvTTb20e5d60"/>
          <w:sz w:val="18"/>
          <w:szCs w:val="18"/>
        </w:rPr>
        <w:t>.</w:t>
      </w:r>
      <w:r>
        <w:rPr>
          <w:rFonts w:ascii="AdvTTb20e5d60" w:hAnsi="AdvTTb20e5d60" w:cs="AdvTTb20e5d60"/>
          <w:sz w:val="12"/>
          <w:szCs w:val="12"/>
        </w:rPr>
        <w:t xml:space="preserve">2 </w:t>
      </w:r>
      <w:r>
        <w:rPr>
          <w:rFonts w:ascii="AdvTTb20e5d60" w:hAnsi="AdvTTb20e5d60" w:cs="AdvTTb20e5d60"/>
          <w:sz w:val="18"/>
          <w:szCs w:val="18"/>
        </w:rPr>
        <w:t>A score of &lt;26 triggered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a referral to a dedicated ARBI clinic delivered by a liaison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psychiatrist. The aims of this study were to a) explore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the scale of the problem, b) describe the complexity of the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patient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group c) provide evidence for the need and development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of bespoke, integrated care pathways.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</w:p>
    <w:p w:rsidR="00B008CC" w:rsidRDefault="00B008CC" w:rsidP="00A20526">
      <w:pPr>
        <w:autoSpaceDE w:val="0"/>
        <w:autoSpaceDN w:val="0"/>
        <w:adjustRightInd w:val="0"/>
        <w:spacing w:after="0" w:line="240" w:lineRule="auto"/>
        <w:rPr>
          <w:rFonts w:ascii="AdvTTb20e5d60" w:hAnsi="AdvTTb20e5d60" w:cs="AdvTTb20e5d60"/>
          <w:sz w:val="18"/>
          <w:szCs w:val="18"/>
        </w:rPr>
      </w:pP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TTb20e5d60" w:hAnsi="AdvTTb20e5d60" w:cs="AdvTTb20e5d60"/>
          <w:sz w:val="18"/>
          <w:szCs w:val="18"/>
        </w:rPr>
      </w:pPr>
      <w:r>
        <w:rPr>
          <w:rFonts w:ascii="AdvTTd5f80974.B" w:hAnsi="AdvTTd5f80974.B" w:cs="AdvTTd5f80974.B"/>
          <w:sz w:val="18"/>
          <w:szCs w:val="18"/>
        </w:rPr>
        <w:t>Results</w:t>
      </w:r>
      <w:r w:rsidR="00B008CC">
        <w:rPr>
          <w:rFonts w:ascii="AdvTTd5f80974.B" w:hAnsi="AdvTTd5f80974.B" w:cs="AdvTTd5f80974.B"/>
          <w:sz w:val="18"/>
          <w:szCs w:val="18"/>
        </w:rPr>
        <w:t>:</w:t>
      </w:r>
      <w:r>
        <w:rPr>
          <w:rFonts w:ascii="AdvTTd5f80974.B" w:hAnsi="AdvTTd5f80974.B" w:cs="AdvTTd5f80974.B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Eighty-nine patients were diagnosed as having ARBI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(</w:t>
      </w:r>
      <w:proofErr w:type="spellStart"/>
      <w:r>
        <w:rPr>
          <w:rFonts w:ascii="AdvTTb20e5d60" w:hAnsi="AdvTTb20e5d60" w:cs="AdvTTb20e5d60"/>
          <w:sz w:val="18"/>
          <w:szCs w:val="18"/>
        </w:rPr>
        <w:t>MoCA</w:t>
      </w:r>
      <w:proofErr w:type="spellEnd"/>
      <w:r>
        <w:rPr>
          <w:rFonts w:ascii="AdvTTb20e5d60" w:hAnsi="AdvTTb20e5d60" w:cs="AdvTTb20e5d60"/>
          <w:sz w:val="18"/>
          <w:szCs w:val="18"/>
        </w:rPr>
        <w:t xml:space="preserve"> &lt; 26) in 12 months 35 female; 57 male, with a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 xml:space="preserve">mean age of 54 </w:t>
      </w:r>
      <w:proofErr w:type="spellStart"/>
      <w:r>
        <w:rPr>
          <w:rFonts w:ascii="AdvTTb20e5d60" w:hAnsi="AdvTTb20e5d60" w:cs="AdvTTb20e5d60"/>
          <w:sz w:val="18"/>
          <w:szCs w:val="18"/>
        </w:rPr>
        <w:t>yrs</w:t>
      </w:r>
      <w:proofErr w:type="spellEnd"/>
      <w:r>
        <w:rPr>
          <w:rFonts w:ascii="AdvTTb20e5d60" w:hAnsi="AdvTTb20e5d60" w:cs="AdvTTb20e5d60"/>
          <w:sz w:val="18"/>
          <w:szCs w:val="18"/>
        </w:rPr>
        <w:t xml:space="preserve"> (SD = 10). These patients had average of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9 hospital admissions in 5 years (range 1 to 48). Patients primary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reason for admission was; 31 (46%) ALD/Cirrhosis, 21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(23%) alcohol excess (o) 13 (15%) seizure, 6 (7%) ARBI, 2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TTb20e5d60" w:hAnsi="AdvTTb20e5d60" w:cs="AdvTTb20e5d60"/>
          <w:sz w:val="18"/>
          <w:szCs w:val="18"/>
        </w:rPr>
      </w:pPr>
      <w:r>
        <w:rPr>
          <w:rFonts w:ascii="AdvTTb20e5d60" w:hAnsi="AdvTTb20e5d60" w:cs="AdvTTb20e5d60"/>
          <w:sz w:val="18"/>
          <w:szCs w:val="18"/>
        </w:rPr>
        <w:t>(1%) stroke and 6 (7%) other. In the previous 5 years; 50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(56%) patients had a fracture, 10 had multiple fractures and</w:t>
      </w:r>
    </w:p>
    <w:p w:rsidR="00B008CC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TTb20e5d60" w:hAnsi="AdvTTb20e5d60" w:cs="AdvTTb20e5d60"/>
          <w:sz w:val="18"/>
          <w:szCs w:val="18"/>
        </w:rPr>
      </w:pPr>
      <w:r>
        <w:rPr>
          <w:rFonts w:ascii="AdvTTb20e5d60" w:hAnsi="AdvTTb20e5d60" w:cs="AdvTTb20e5d60"/>
          <w:sz w:val="18"/>
          <w:szCs w:val="18"/>
        </w:rPr>
        <w:t>20 had &gt;2 grand mall seizures. Median alcohol consumption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was 24 units per day (IQR = 15) at baseline and showed no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statistical difference at 3 or 6 month follow-up.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</w:p>
    <w:p w:rsidR="00B008CC" w:rsidRDefault="00B008CC" w:rsidP="00A20526">
      <w:pPr>
        <w:autoSpaceDE w:val="0"/>
        <w:autoSpaceDN w:val="0"/>
        <w:adjustRightInd w:val="0"/>
        <w:spacing w:after="0" w:line="240" w:lineRule="auto"/>
        <w:rPr>
          <w:rFonts w:ascii="AdvTTd5f80974.B" w:hAnsi="AdvTTd5f80974.B" w:cs="AdvTTd5f80974.B"/>
          <w:sz w:val="18"/>
          <w:szCs w:val="18"/>
        </w:rPr>
      </w:pP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TTb20e5d60" w:hAnsi="AdvTTb20e5d60" w:cs="AdvTTb20e5d60"/>
          <w:sz w:val="18"/>
          <w:szCs w:val="18"/>
        </w:rPr>
      </w:pPr>
      <w:r>
        <w:rPr>
          <w:rFonts w:ascii="AdvTTd5f80974.B" w:hAnsi="AdvTTd5f80974.B" w:cs="AdvTTd5f80974.B"/>
          <w:sz w:val="18"/>
          <w:szCs w:val="18"/>
        </w:rPr>
        <w:t>Conclusion</w:t>
      </w:r>
      <w:r w:rsidR="00B008CC">
        <w:rPr>
          <w:rFonts w:ascii="AdvTTd5f80974.B" w:hAnsi="AdvTTd5f80974.B" w:cs="AdvTTd5f80974.B"/>
          <w:sz w:val="18"/>
          <w:szCs w:val="18"/>
        </w:rPr>
        <w:t>:</w:t>
      </w:r>
      <w:r>
        <w:rPr>
          <w:rFonts w:ascii="AdvTTd5f80974.B" w:hAnsi="AdvTTd5f80974.B" w:cs="AdvTTd5f80974.B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Screening for ARBI results in detection of otherwise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undiagnosed cognitive impairment that renders traditional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alcohol treatment approaches ineffective. This group of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patients have significant co-morbid conditions likely to benefit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from integrated bespoke pathways of care. An acute admission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should be utilised as an ideal window of opportunity to assess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the patient while they are alcohol free, and plan appropriate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treatment which has the potential to prevent people progressing</w:t>
      </w:r>
      <w:r w:rsidR="00B008CC">
        <w:rPr>
          <w:rFonts w:ascii="AdvTTb20e5d60" w:hAnsi="AdvTTb20e5d60" w:cs="AdvTTb20e5d60"/>
          <w:sz w:val="18"/>
          <w:szCs w:val="18"/>
        </w:rPr>
        <w:t xml:space="preserve"> </w:t>
      </w:r>
      <w:r>
        <w:rPr>
          <w:rFonts w:ascii="AdvTTb20e5d60" w:hAnsi="AdvTTb20e5d60" w:cs="AdvTTb20e5d60"/>
          <w:sz w:val="18"/>
          <w:szCs w:val="18"/>
        </w:rPr>
        <w:t>to end stage dementia.</w:t>
      </w:r>
    </w:p>
    <w:p w:rsidR="00B008CC" w:rsidRDefault="00B008CC" w:rsidP="00A20526">
      <w:pPr>
        <w:autoSpaceDE w:val="0"/>
        <w:autoSpaceDN w:val="0"/>
        <w:adjustRightInd w:val="0"/>
        <w:spacing w:after="0" w:line="240" w:lineRule="auto"/>
        <w:rPr>
          <w:rFonts w:ascii="AdvOTc9c0ed35.B" w:hAnsi="AdvOTc9c0ed35.B" w:cs="AdvOTc9c0ed35.B"/>
          <w:sz w:val="18"/>
          <w:szCs w:val="18"/>
        </w:rPr>
      </w:pP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c9c0ed35.B" w:hAnsi="AdvOTc9c0ed35.B" w:cs="AdvOTc9c0ed35.B"/>
          <w:sz w:val="18"/>
          <w:szCs w:val="18"/>
        </w:rPr>
      </w:pPr>
      <w:r>
        <w:rPr>
          <w:rFonts w:ascii="AdvOTc9c0ed35.B" w:hAnsi="AdvOTc9c0ed35.B" w:cs="AdvOTc9c0ed35.B"/>
          <w:sz w:val="18"/>
          <w:szCs w:val="18"/>
        </w:rPr>
        <w:t>REFERENCES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0231c847" w:hAnsi="AdvOT0231c847" w:cs="AdvOT0231c847"/>
          <w:sz w:val="15"/>
          <w:szCs w:val="15"/>
        </w:rPr>
      </w:pPr>
      <w:r>
        <w:rPr>
          <w:rFonts w:ascii="AdvOT0231c847" w:hAnsi="AdvOT0231c847" w:cs="AdvOT0231c847"/>
          <w:sz w:val="15"/>
          <w:szCs w:val="15"/>
        </w:rPr>
        <w:t>1 Wilson K. Alcohol and brain damage in adults with reference to high-risk groups.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0231c847" w:hAnsi="AdvOT0231c847" w:cs="AdvOT0231c847"/>
          <w:sz w:val="15"/>
          <w:szCs w:val="15"/>
        </w:rPr>
      </w:pPr>
      <w:r>
        <w:rPr>
          <w:rFonts w:ascii="AdvOTbe4cb9cb" w:hAnsi="AdvOTbe4cb9cb" w:cs="AdvOTbe4cb9cb"/>
          <w:sz w:val="15"/>
          <w:szCs w:val="15"/>
        </w:rPr>
        <w:t>Royal College of Psychiatrists</w:t>
      </w:r>
      <w:r>
        <w:rPr>
          <w:rFonts w:ascii="AdvOT0231c847" w:hAnsi="AdvOT0231c847" w:cs="AdvOT0231c847"/>
          <w:sz w:val="15"/>
          <w:szCs w:val="15"/>
        </w:rPr>
        <w:t>. Report number: CR185, 2014.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0231c847" w:hAnsi="AdvOT0231c847" w:cs="AdvOT0231c847"/>
          <w:sz w:val="15"/>
          <w:szCs w:val="15"/>
        </w:rPr>
      </w:pPr>
      <w:r>
        <w:rPr>
          <w:rFonts w:ascii="AdvOT0231c847" w:hAnsi="AdvOT0231c847" w:cs="AdvOT0231c847"/>
          <w:sz w:val="15"/>
          <w:szCs w:val="15"/>
        </w:rPr>
        <w:t xml:space="preserve">2 Wester AJ, </w:t>
      </w:r>
      <w:proofErr w:type="spellStart"/>
      <w:r>
        <w:rPr>
          <w:rFonts w:ascii="AdvOT0231c847" w:hAnsi="AdvOT0231c847" w:cs="AdvOT0231c847"/>
          <w:sz w:val="15"/>
          <w:szCs w:val="15"/>
        </w:rPr>
        <w:t>Westhoff</w:t>
      </w:r>
      <w:proofErr w:type="spellEnd"/>
      <w:r>
        <w:rPr>
          <w:rFonts w:ascii="AdvOT0231c847" w:hAnsi="AdvOT0231c847" w:cs="AdvOT0231c847"/>
          <w:sz w:val="15"/>
          <w:szCs w:val="15"/>
        </w:rPr>
        <w:t xml:space="preserve"> J, </w:t>
      </w:r>
      <w:proofErr w:type="spellStart"/>
      <w:r>
        <w:rPr>
          <w:rFonts w:ascii="AdvOT0231c847" w:hAnsi="AdvOT0231c847" w:cs="AdvOT0231c847"/>
          <w:sz w:val="15"/>
          <w:szCs w:val="15"/>
        </w:rPr>
        <w:t>Kessels</w:t>
      </w:r>
      <w:proofErr w:type="spellEnd"/>
      <w:r>
        <w:rPr>
          <w:rFonts w:ascii="AdvOT0231c847" w:hAnsi="AdvOT0231c847" w:cs="AdvOT0231c847"/>
          <w:sz w:val="15"/>
          <w:szCs w:val="15"/>
        </w:rPr>
        <w:t xml:space="preserve"> RPC, </w:t>
      </w:r>
      <w:r>
        <w:rPr>
          <w:rFonts w:ascii="AdvOTbe4cb9cb" w:hAnsi="AdvOTbe4cb9cb" w:cs="AdvOTbe4cb9cb"/>
          <w:sz w:val="15"/>
          <w:szCs w:val="15"/>
        </w:rPr>
        <w:t>et al</w:t>
      </w:r>
      <w:r>
        <w:rPr>
          <w:rFonts w:ascii="AdvOT0231c847" w:hAnsi="AdvOT0231c847" w:cs="AdvOT0231c847"/>
          <w:sz w:val="15"/>
          <w:szCs w:val="15"/>
        </w:rPr>
        <w:t>. The Montreal Cognitive Assessment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0231c847" w:hAnsi="AdvOT0231c847" w:cs="AdvOT0231c847"/>
          <w:sz w:val="15"/>
          <w:szCs w:val="15"/>
        </w:rPr>
      </w:pPr>
      <w:r>
        <w:rPr>
          <w:rFonts w:ascii="AdvOT0231c847" w:hAnsi="AdvOT0231c847" w:cs="AdvOT0231c847"/>
          <w:sz w:val="15"/>
          <w:szCs w:val="15"/>
        </w:rPr>
        <w:t>(</w:t>
      </w:r>
      <w:proofErr w:type="spellStart"/>
      <w:r>
        <w:rPr>
          <w:rFonts w:ascii="AdvOT0231c847" w:hAnsi="AdvOT0231c847" w:cs="AdvOT0231c847"/>
          <w:sz w:val="15"/>
          <w:szCs w:val="15"/>
        </w:rPr>
        <w:t>MoCA</w:t>
      </w:r>
      <w:proofErr w:type="spellEnd"/>
      <w:r>
        <w:rPr>
          <w:rFonts w:ascii="AdvOT0231c847" w:hAnsi="AdvOT0231c847" w:cs="AdvOT0231c847"/>
          <w:sz w:val="15"/>
          <w:szCs w:val="15"/>
        </w:rPr>
        <w:t>) as a measure of severity of amnesia in patients with alcohol-related cognitive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0231c847" w:hAnsi="AdvOT0231c847" w:cs="AdvOT0231c847"/>
          <w:sz w:val="15"/>
          <w:szCs w:val="15"/>
        </w:rPr>
      </w:pPr>
      <w:proofErr w:type="gramStart"/>
      <w:r>
        <w:rPr>
          <w:rFonts w:ascii="AdvOT0231c847" w:hAnsi="AdvOT0231c847" w:cs="AdvOT0231c847"/>
          <w:sz w:val="15"/>
          <w:szCs w:val="15"/>
        </w:rPr>
        <w:t>impairments</w:t>
      </w:r>
      <w:proofErr w:type="gramEnd"/>
      <w:r>
        <w:rPr>
          <w:rFonts w:ascii="AdvOT0231c847" w:hAnsi="AdvOT0231c847" w:cs="AdvOT0231c847"/>
          <w:sz w:val="15"/>
          <w:szCs w:val="15"/>
        </w:rPr>
        <w:t xml:space="preserve"> and </w:t>
      </w:r>
      <w:proofErr w:type="spellStart"/>
      <w:r>
        <w:rPr>
          <w:rFonts w:ascii="AdvOT0231c847" w:hAnsi="AdvOT0231c847" w:cs="AdvOT0231c847"/>
          <w:sz w:val="15"/>
          <w:szCs w:val="15"/>
        </w:rPr>
        <w:t>Korsakoff</w:t>
      </w:r>
      <w:proofErr w:type="spellEnd"/>
      <w:r>
        <w:rPr>
          <w:rFonts w:ascii="AdvOT0231c847" w:hAnsi="AdvOT0231c847" w:cs="AdvOT0231c847"/>
          <w:sz w:val="15"/>
          <w:szCs w:val="15"/>
        </w:rPr>
        <w:t xml:space="preserve"> Syndrome. </w:t>
      </w:r>
      <w:r>
        <w:rPr>
          <w:rFonts w:ascii="AdvOTbe4cb9cb" w:hAnsi="AdvOTbe4cb9cb" w:cs="AdvOTbe4cb9cb"/>
          <w:sz w:val="15"/>
          <w:szCs w:val="15"/>
        </w:rPr>
        <w:t>Clinical Neuropsychiatry</w:t>
      </w:r>
      <w:r>
        <w:rPr>
          <w:rFonts w:ascii="AdvOT0231c847" w:hAnsi="AdvOT0231c847" w:cs="AdvOT0231c847"/>
          <w:sz w:val="15"/>
          <w:szCs w:val="15"/>
        </w:rPr>
        <w:t>.</w:t>
      </w:r>
    </w:p>
    <w:p w:rsidR="00A20526" w:rsidRDefault="00A20526" w:rsidP="00A20526">
      <w:pPr>
        <w:autoSpaceDE w:val="0"/>
        <w:autoSpaceDN w:val="0"/>
        <w:adjustRightInd w:val="0"/>
        <w:spacing w:after="0" w:line="240" w:lineRule="auto"/>
        <w:rPr>
          <w:rFonts w:ascii="AdvOT0231c847" w:hAnsi="AdvOT0231c847" w:cs="AdvOT0231c847"/>
          <w:sz w:val="15"/>
          <w:szCs w:val="15"/>
        </w:rPr>
      </w:pPr>
      <w:r>
        <w:rPr>
          <w:rFonts w:ascii="AdvOT0231c847" w:hAnsi="AdvOT0231c847" w:cs="AdvOT0231c847"/>
          <w:sz w:val="15"/>
          <w:szCs w:val="15"/>
        </w:rPr>
        <w:t>2013</w:t>
      </w:r>
      <w:proofErr w:type="gramStart"/>
      <w:r>
        <w:rPr>
          <w:rFonts w:ascii="AdvOT0231c847" w:hAnsi="AdvOT0231c847" w:cs="AdvOT0231c847"/>
          <w:sz w:val="15"/>
          <w:szCs w:val="15"/>
        </w:rPr>
        <w:t>;</w:t>
      </w:r>
      <w:r>
        <w:rPr>
          <w:rFonts w:ascii="AdvOTc9c0ed35.B" w:hAnsi="AdvOTc9c0ed35.B" w:cs="AdvOTc9c0ed35.B"/>
          <w:sz w:val="15"/>
          <w:szCs w:val="15"/>
        </w:rPr>
        <w:t>10</w:t>
      </w:r>
      <w:r>
        <w:rPr>
          <w:rFonts w:ascii="AdvOT0231c847" w:hAnsi="AdvOT0231c847" w:cs="AdvOT0231c847"/>
          <w:sz w:val="15"/>
          <w:szCs w:val="15"/>
        </w:rPr>
        <w:t>:131141</w:t>
      </w:r>
      <w:proofErr w:type="gramEnd"/>
      <w:r>
        <w:rPr>
          <w:rFonts w:ascii="AdvOT0231c847" w:hAnsi="AdvOT0231c847" w:cs="AdvOT0231c847"/>
          <w:sz w:val="15"/>
          <w:szCs w:val="15"/>
        </w:rPr>
        <w:t>.</w:t>
      </w:r>
    </w:p>
    <w:sectPr w:rsidR="00A2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c9c0ed35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0231c84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e4cb9c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d5f80974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20e5d6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26"/>
    <w:rsid w:val="0077168A"/>
    <w:rsid w:val="00A20526"/>
    <w:rsid w:val="00B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B2AA8-BDC3-4442-80D7-0EF60827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Andrew</dc:creator>
  <cp:keywords/>
  <dc:description/>
  <cp:lastModifiedBy>Thompson, Andrew</cp:lastModifiedBy>
  <cp:revision>2</cp:revision>
  <dcterms:created xsi:type="dcterms:W3CDTF">2016-11-08T11:46:00Z</dcterms:created>
  <dcterms:modified xsi:type="dcterms:W3CDTF">2017-04-20T09:15:00Z</dcterms:modified>
</cp:coreProperties>
</file>