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01" w:rsidRDefault="006E0E01" w:rsidP="006E0E01">
      <w:pPr>
        <w:shd w:val="clear" w:color="auto" w:fill="FFFFFF"/>
        <w:rPr>
          <w:rFonts w:ascii="Helvetica" w:eastAsia="Times New Roman" w:hAnsi="Helvetica" w:cs="Helvetica"/>
          <w:color w:val="000000"/>
        </w:rPr>
      </w:pPr>
      <w:r>
        <w:rPr>
          <w:rFonts w:ascii="Helvetica" w:eastAsia="Times New Roman" w:hAnsi="Helvetica" w:cs="Helvetica"/>
          <w:color w:val="000000"/>
        </w:rPr>
        <w:t>Dear Sir / Madam</w:t>
      </w:r>
    </w:p>
    <w:p w:rsidR="006E0E01" w:rsidRDefault="006E0E01" w:rsidP="006E0E01">
      <w:pPr>
        <w:shd w:val="clear" w:color="auto" w:fill="FFFFFF"/>
        <w:rPr>
          <w:rFonts w:ascii="Helvetica" w:eastAsia="Times New Roman" w:hAnsi="Helvetica" w:cs="Helvetica"/>
          <w:color w:val="000000"/>
        </w:rPr>
      </w:pPr>
      <w:r>
        <w:rPr>
          <w:rFonts w:ascii="Helvetica" w:eastAsia="Times New Roman" w:hAnsi="Helvetica" w:cs="Helvetica"/>
          <w:color w:val="000000"/>
        </w:rPr>
        <w:t>Thank you for submitting your abstract for the ESTRO 35 Congress.</w:t>
      </w:r>
    </w:p>
    <w:p w:rsidR="006E0E01" w:rsidRDefault="006E0E01" w:rsidP="006E0E01">
      <w:pPr>
        <w:shd w:val="clear" w:color="auto" w:fill="FFFFFF"/>
        <w:rPr>
          <w:rFonts w:ascii="Helvetica" w:eastAsia="Times New Roman" w:hAnsi="Helvetica" w:cs="Helvetica"/>
          <w:color w:val="000000"/>
        </w:rPr>
      </w:pPr>
      <w:r>
        <w:rPr>
          <w:rStyle w:val="Strong"/>
          <w:rFonts w:ascii="Helvetica" w:eastAsia="Times New Roman" w:hAnsi="Helvetica" w:cs="Helvetica"/>
          <w:i/>
          <w:iCs/>
          <w:color w:val="000000"/>
        </w:rPr>
        <w:t>PLEASE NOTE THAT FURTHER CHANGES TO YOUR ABSTRACT ARE NO LONGER POSSIBLE.</w:t>
      </w:r>
    </w:p>
    <w:p w:rsidR="006E0E01" w:rsidRDefault="006E0E01" w:rsidP="006E0E01">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If you have further questions or remarks, please contact </w:t>
      </w:r>
      <w:hyperlink r:id="rId4" w:tgtFrame="_blank" w:history="1">
        <w:r>
          <w:rPr>
            <w:rStyle w:val="Hyperlink"/>
            <w:rFonts w:ascii="Helvetica" w:eastAsia="Times New Roman" w:hAnsi="Helvetica" w:cs="Helvetica"/>
          </w:rPr>
          <w:t>abstracts@estro.org</w:t>
        </w:r>
      </w:hyperlink>
    </w:p>
    <w:p w:rsidR="006E0E01" w:rsidRDefault="006E0E01" w:rsidP="006E0E01">
      <w:pPr>
        <w:shd w:val="clear" w:color="auto" w:fill="FFFFFF"/>
        <w:rPr>
          <w:rFonts w:ascii="Helvetica" w:eastAsia="Times New Roman" w:hAnsi="Helvetica" w:cs="Helvetica"/>
          <w:color w:val="000000"/>
        </w:rPr>
      </w:pPr>
      <w:r>
        <w:rPr>
          <w:rFonts w:ascii="Helvetica" w:eastAsia="Times New Roman" w:hAnsi="Helvetica" w:cs="Helvetica"/>
          <w:color w:val="000000"/>
        </w:rPr>
        <w:t>This is an overview of your abstract number E35-2112:</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1576"/>
        <w:gridCol w:w="7450"/>
      </w:tblGrid>
      <w:tr w:rsidR="006E0E01" w:rsidTr="006E0E01">
        <w:trPr>
          <w:tblCellSpacing w:w="15" w:type="dxa"/>
        </w:trPr>
        <w:tc>
          <w:tcPr>
            <w:tcW w:w="0" w:type="auto"/>
            <w:hideMark/>
          </w:tcPr>
          <w:p w:rsidR="006E0E01" w:rsidRDefault="006E0E01">
            <w:pPr>
              <w:rPr>
                <w:rFonts w:eastAsia="Times New Roman"/>
              </w:rPr>
            </w:pPr>
            <w:r>
              <w:rPr>
                <w:rFonts w:eastAsia="Times New Roman"/>
              </w:rPr>
              <w:t>Session title</w:t>
            </w:r>
          </w:p>
        </w:tc>
        <w:tc>
          <w:tcPr>
            <w:tcW w:w="0" w:type="auto"/>
            <w:hideMark/>
          </w:tcPr>
          <w:p w:rsidR="006E0E01" w:rsidRDefault="006E0E01">
            <w:pPr>
              <w:rPr>
                <w:rFonts w:eastAsia="Times New Roman"/>
              </w:rPr>
            </w:pPr>
          </w:p>
        </w:tc>
      </w:tr>
      <w:tr w:rsidR="006E0E01" w:rsidTr="006E0E01">
        <w:trPr>
          <w:tblCellSpacing w:w="15" w:type="dxa"/>
        </w:trPr>
        <w:tc>
          <w:tcPr>
            <w:tcW w:w="0" w:type="auto"/>
            <w:hideMark/>
          </w:tcPr>
          <w:p w:rsidR="006E0E01" w:rsidRDefault="006E0E01">
            <w:pPr>
              <w:rPr>
                <w:rFonts w:eastAsia="Times New Roman"/>
              </w:rPr>
            </w:pPr>
            <w:r>
              <w:rPr>
                <w:rFonts w:eastAsia="Times New Roman"/>
              </w:rPr>
              <w:t>Track</w:t>
            </w:r>
          </w:p>
        </w:tc>
        <w:tc>
          <w:tcPr>
            <w:tcW w:w="0" w:type="auto"/>
            <w:hideMark/>
          </w:tcPr>
          <w:p w:rsidR="006E0E01" w:rsidRDefault="006E0E01">
            <w:pPr>
              <w:rPr>
                <w:rFonts w:eastAsia="Times New Roman"/>
                <w:b/>
                <w:bCs/>
              </w:rPr>
            </w:pPr>
            <w:r>
              <w:rPr>
                <w:rFonts w:eastAsia="Times New Roman"/>
                <w:b/>
                <w:bCs/>
              </w:rPr>
              <w:t>Abstract submission: RTT</w:t>
            </w:r>
          </w:p>
        </w:tc>
      </w:tr>
      <w:tr w:rsidR="006E0E01" w:rsidTr="006E0E01">
        <w:trPr>
          <w:tblCellSpacing w:w="15" w:type="dxa"/>
        </w:trPr>
        <w:tc>
          <w:tcPr>
            <w:tcW w:w="0" w:type="auto"/>
            <w:hideMark/>
          </w:tcPr>
          <w:p w:rsidR="006E0E01" w:rsidRDefault="006E0E01">
            <w:pPr>
              <w:rPr>
                <w:rFonts w:eastAsia="Times New Roman"/>
              </w:rPr>
            </w:pPr>
            <w:r>
              <w:rPr>
                <w:rFonts w:eastAsia="Times New Roman"/>
              </w:rPr>
              <w:t>Topic</w:t>
            </w:r>
          </w:p>
        </w:tc>
        <w:tc>
          <w:tcPr>
            <w:tcW w:w="0" w:type="auto"/>
            <w:hideMark/>
          </w:tcPr>
          <w:p w:rsidR="006E0E01" w:rsidRDefault="006E0E01">
            <w:pPr>
              <w:rPr>
                <w:rFonts w:eastAsia="Times New Roman"/>
                <w:b/>
                <w:bCs/>
              </w:rPr>
            </w:pPr>
            <w:r>
              <w:rPr>
                <w:rFonts w:eastAsia="Times New Roman"/>
                <w:b/>
                <w:bCs/>
              </w:rPr>
              <w:t>RTT track: Position verification</w:t>
            </w:r>
          </w:p>
        </w:tc>
      </w:tr>
      <w:tr w:rsidR="006E0E01" w:rsidTr="006E0E01">
        <w:trPr>
          <w:tblCellSpacing w:w="15" w:type="dxa"/>
        </w:trPr>
        <w:tc>
          <w:tcPr>
            <w:tcW w:w="0" w:type="auto"/>
            <w:hideMark/>
          </w:tcPr>
          <w:p w:rsidR="006E0E01" w:rsidRDefault="006E0E01">
            <w:pPr>
              <w:rPr>
                <w:rFonts w:eastAsia="Times New Roman"/>
              </w:rPr>
            </w:pPr>
            <w:r>
              <w:rPr>
                <w:rFonts w:eastAsia="Times New Roman"/>
              </w:rPr>
              <w:t>Presentation preference</w:t>
            </w:r>
          </w:p>
        </w:tc>
        <w:tc>
          <w:tcPr>
            <w:tcW w:w="0" w:type="auto"/>
            <w:hideMark/>
          </w:tcPr>
          <w:p w:rsidR="006E0E01" w:rsidRDefault="006E0E01">
            <w:pPr>
              <w:rPr>
                <w:rFonts w:eastAsia="Times New Roman"/>
                <w:b/>
                <w:bCs/>
              </w:rPr>
            </w:pPr>
            <w:r>
              <w:rPr>
                <w:rFonts w:eastAsia="Times New Roman"/>
                <w:b/>
                <w:bCs/>
              </w:rPr>
              <w:t>Poster presentation</w:t>
            </w:r>
          </w:p>
        </w:tc>
      </w:tr>
      <w:tr w:rsidR="006E0E01" w:rsidTr="006E0E01">
        <w:trPr>
          <w:tblCellSpacing w:w="15" w:type="dxa"/>
        </w:trPr>
        <w:tc>
          <w:tcPr>
            <w:tcW w:w="0" w:type="auto"/>
            <w:hideMark/>
          </w:tcPr>
          <w:p w:rsidR="006E0E01" w:rsidRDefault="006E0E01">
            <w:pPr>
              <w:rPr>
                <w:rFonts w:eastAsia="Times New Roman"/>
              </w:rPr>
            </w:pPr>
            <w:r>
              <w:rPr>
                <w:rFonts w:eastAsia="Times New Roman"/>
              </w:rPr>
              <w:t>Abstract title</w:t>
            </w:r>
          </w:p>
        </w:tc>
        <w:tc>
          <w:tcPr>
            <w:tcW w:w="0" w:type="auto"/>
            <w:hideMark/>
          </w:tcPr>
          <w:p w:rsidR="006E0E01" w:rsidRDefault="006E0E01">
            <w:pPr>
              <w:rPr>
                <w:rFonts w:eastAsia="Times New Roman"/>
                <w:b/>
                <w:bCs/>
              </w:rPr>
            </w:pPr>
            <w:r>
              <w:rPr>
                <w:rFonts w:eastAsia="Times New Roman"/>
                <w:b/>
                <w:bCs/>
              </w:rPr>
              <w:t>A clinical investigation of optimal CBCT image matching for non-SABR radical lung cancer patients</w:t>
            </w:r>
          </w:p>
        </w:tc>
      </w:tr>
      <w:tr w:rsidR="006E0E01" w:rsidTr="006E0E01">
        <w:trPr>
          <w:tblCellSpacing w:w="15" w:type="dxa"/>
        </w:trPr>
        <w:tc>
          <w:tcPr>
            <w:tcW w:w="0" w:type="auto"/>
            <w:hideMark/>
          </w:tcPr>
          <w:p w:rsidR="006E0E01" w:rsidRDefault="006E0E01">
            <w:pPr>
              <w:rPr>
                <w:rFonts w:eastAsia="Times New Roman"/>
                <w:b/>
                <w:bCs/>
              </w:rPr>
            </w:pPr>
          </w:p>
        </w:tc>
        <w:tc>
          <w:tcPr>
            <w:tcW w:w="0" w:type="auto"/>
            <w:hideMark/>
          </w:tcPr>
          <w:p w:rsidR="006E0E01" w:rsidRDefault="006E0E01">
            <w:pPr>
              <w:rPr>
                <w:rFonts w:eastAsia="Times New Roman"/>
                <w:b/>
                <w:bCs/>
              </w:rPr>
            </w:pPr>
            <w:r>
              <w:rPr>
                <w:rFonts w:eastAsia="Times New Roman"/>
                <w:b/>
                <w:bCs/>
                <w:u w:val="single"/>
              </w:rPr>
              <w:t>L. Malaspina</w:t>
            </w:r>
            <w:r>
              <w:rPr>
                <w:rFonts w:eastAsia="Times New Roman"/>
                <w:b/>
                <w:bCs/>
                <w:vertAlign w:val="superscript"/>
              </w:rPr>
              <w:t>1</w:t>
            </w:r>
            <w:r>
              <w:rPr>
                <w:rFonts w:eastAsia="Times New Roman"/>
                <w:b/>
                <w:bCs/>
              </w:rPr>
              <w:t>, A. Baker</w:t>
            </w:r>
            <w:r>
              <w:rPr>
                <w:rFonts w:eastAsia="Times New Roman"/>
                <w:b/>
                <w:bCs/>
                <w:vertAlign w:val="superscript"/>
              </w:rPr>
              <w:t>1</w:t>
            </w:r>
            <w:r>
              <w:rPr>
                <w:rFonts w:eastAsia="Times New Roman"/>
                <w:b/>
                <w:bCs/>
              </w:rPr>
              <w:t>, C. Baker</w:t>
            </w:r>
            <w:r>
              <w:rPr>
                <w:rFonts w:eastAsia="Times New Roman"/>
                <w:b/>
                <w:bCs/>
                <w:vertAlign w:val="superscript"/>
              </w:rPr>
              <w:t>2</w:t>
            </w:r>
            <w:r>
              <w:rPr>
                <w:rFonts w:eastAsia="Times New Roman"/>
                <w:b/>
                <w:bCs/>
              </w:rPr>
              <w:t>, A. Pope</w:t>
            </w:r>
            <w:r>
              <w:rPr>
                <w:rFonts w:eastAsia="Times New Roman"/>
                <w:b/>
                <w:bCs/>
                <w:vertAlign w:val="superscript"/>
              </w:rPr>
              <w:t>1</w:t>
            </w:r>
            <w:r>
              <w:rPr>
                <w:rFonts w:eastAsia="Times New Roman"/>
                <w:b/>
                <w:bCs/>
              </w:rPr>
              <w:t>, M. Warren</w:t>
            </w:r>
            <w:r>
              <w:rPr>
                <w:rFonts w:eastAsia="Times New Roman"/>
                <w:b/>
                <w:bCs/>
                <w:vertAlign w:val="superscript"/>
              </w:rPr>
              <w:t>3</w:t>
            </w:r>
            <w:r>
              <w:rPr>
                <w:rFonts w:eastAsia="Times New Roman"/>
                <w:b/>
                <w:bCs/>
              </w:rPr>
              <w:t>.</w:t>
            </w:r>
            <w:r>
              <w:rPr>
                <w:rFonts w:eastAsia="Times New Roman"/>
                <w:b/>
                <w:bCs/>
              </w:rPr>
              <w:br/>
            </w:r>
            <w:r>
              <w:rPr>
                <w:rFonts w:eastAsia="Times New Roman"/>
                <w:b/>
                <w:bCs/>
                <w:vertAlign w:val="superscript"/>
              </w:rPr>
              <w:t>1</w:t>
            </w:r>
            <w:r>
              <w:rPr>
                <w:rFonts w:eastAsia="Times New Roman"/>
                <w:b/>
                <w:bCs/>
              </w:rPr>
              <w:t xml:space="preserve">Clatterbridge Cancer Centre, Radiotherapy, </w:t>
            </w:r>
            <w:proofErr w:type="spellStart"/>
            <w:r>
              <w:rPr>
                <w:rFonts w:eastAsia="Times New Roman"/>
                <w:b/>
                <w:bCs/>
              </w:rPr>
              <w:t>Bebington</w:t>
            </w:r>
            <w:proofErr w:type="spellEnd"/>
            <w:r>
              <w:rPr>
                <w:rFonts w:eastAsia="Times New Roman"/>
                <w:b/>
                <w:bCs/>
              </w:rPr>
              <w:t>, United Kingdom.</w:t>
            </w:r>
            <w:r>
              <w:rPr>
                <w:rFonts w:eastAsia="Times New Roman"/>
                <w:b/>
                <w:bCs/>
              </w:rPr>
              <w:br/>
            </w:r>
            <w:r>
              <w:rPr>
                <w:rFonts w:eastAsia="Times New Roman"/>
                <w:b/>
                <w:bCs/>
                <w:vertAlign w:val="superscript"/>
              </w:rPr>
              <w:t>2</w:t>
            </w:r>
            <w:r>
              <w:rPr>
                <w:rFonts w:eastAsia="Times New Roman"/>
                <w:b/>
                <w:bCs/>
              </w:rPr>
              <w:t xml:space="preserve">Clatterbridge Cancer Centre, Physics Department, </w:t>
            </w:r>
            <w:proofErr w:type="spellStart"/>
            <w:r>
              <w:rPr>
                <w:rFonts w:eastAsia="Times New Roman"/>
                <w:b/>
                <w:bCs/>
              </w:rPr>
              <w:t>Bebington</w:t>
            </w:r>
            <w:proofErr w:type="spellEnd"/>
            <w:r>
              <w:rPr>
                <w:rFonts w:eastAsia="Times New Roman"/>
                <w:b/>
                <w:bCs/>
              </w:rPr>
              <w:t>, United Kingdom.</w:t>
            </w:r>
            <w:r>
              <w:rPr>
                <w:rFonts w:eastAsia="Times New Roman"/>
                <w:b/>
                <w:bCs/>
              </w:rPr>
              <w:br/>
            </w:r>
            <w:r>
              <w:rPr>
                <w:rFonts w:eastAsia="Times New Roman"/>
                <w:b/>
                <w:bCs/>
                <w:vertAlign w:val="superscript"/>
              </w:rPr>
              <w:t>3</w:t>
            </w:r>
            <w:r>
              <w:rPr>
                <w:rFonts w:eastAsia="Times New Roman"/>
                <w:b/>
                <w:bCs/>
              </w:rPr>
              <w:t>The University of Liverpool, School of Health Sciences, Liverpool, United Kingdom.</w:t>
            </w:r>
          </w:p>
        </w:tc>
      </w:tr>
      <w:tr w:rsidR="006E0E01" w:rsidTr="006E0E01">
        <w:trPr>
          <w:tblCellSpacing w:w="15" w:type="dxa"/>
        </w:trPr>
        <w:tc>
          <w:tcPr>
            <w:tcW w:w="0" w:type="auto"/>
            <w:hideMark/>
          </w:tcPr>
          <w:p w:rsidR="006E0E01" w:rsidRDefault="006E0E01">
            <w:pPr>
              <w:rPr>
                <w:rFonts w:eastAsia="Times New Roman"/>
                <w:b/>
                <w:bCs/>
              </w:rPr>
            </w:pPr>
          </w:p>
        </w:tc>
        <w:tc>
          <w:tcPr>
            <w:tcW w:w="0" w:type="auto"/>
            <w:hideMark/>
          </w:tcPr>
          <w:p w:rsidR="006E0E01" w:rsidRDefault="006E0E01">
            <w:pPr>
              <w:rPr>
                <w:rFonts w:eastAsia="Times New Roman"/>
                <w:b/>
                <w:bCs/>
              </w:rPr>
            </w:pPr>
            <w:r>
              <w:rPr>
                <w:rFonts w:eastAsia="Times New Roman"/>
                <w:b/>
                <w:bCs/>
              </w:rPr>
              <w:t xml:space="preserve">Purpose or Objective </w:t>
            </w:r>
          </w:p>
          <w:p w:rsidR="006E0E01" w:rsidRDefault="006E0E01">
            <w:pPr>
              <w:rPr>
                <w:rFonts w:eastAsia="Times New Roman"/>
                <w:b/>
                <w:bCs/>
              </w:rPr>
            </w:pPr>
            <w:r>
              <w:rPr>
                <w:rFonts w:eastAsia="Times New Roman"/>
                <w:b/>
                <w:bCs/>
              </w:rPr>
              <w:t>Spine-based image registration has traditionally been used for patient setup for non-SABR radical lung cancer radiotherapy. Enhanced visualisation of soft tissue structures through volumetric imaging has led to research of various landmarks that may offer target localisation of increased accuracy compared to spine-based registration. The objectives of this project were to answer the following: Can using carina or tumour as registration landmarks for IGRT offer superior target coverage compared to spine registration? Does the position of tumour affect which registration landmark offers superior target coverage? What are the implications of carina or tumour registration on spinal cord safety?</w:t>
            </w:r>
          </w:p>
          <w:p w:rsidR="006E0E01" w:rsidRDefault="006E0E01">
            <w:pPr>
              <w:rPr>
                <w:rFonts w:eastAsia="Times New Roman"/>
                <w:b/>
                <w:bCs/>
              </w:rPr>
            </w:pPr>
            <w:r>
              <w:rPr>
                <w:rFonts w:eastAsia="Times New Roman"/>
                <w:b/>
                <w:bCs/>
              </w:rPr>
              <w:t xml:space="preserve">Material and Methods </w:t>
            </w:r>
          </w:p>
          <w:p w:rsidR="006E0E01" w:rsidRDefault="006E0E01">
            <w:pPr>
              <w:rPr>
                <w:rFonts w:eastAsia="Times New Roman"/>
                <w:b/>
                <w:bCs/>
              </w:rPr>
            </w:pPr>
            <w:r>
              <w:rPr>
                <w:rFonts w:eastAsia="Times New Roman"/>
                <w:b/>
                <w:bCs/>
              </w:rPr>
              <w:t xml:space="preserve">Ten patients with central tumours and ten patients with peripheral tumours were selected. A clinical expert assessed a sample of CBCTs from each patient and selected which thoracic landmark (spine, carina, or tumour) produced the </w:t>
            </w:r>
            <w:proofErr w:type="spellStart"/>
            <w:r>
              <w:rPr>
                <w:rFonts w:eastAsia="Times New Roman"/>
                <w:b/>
                <w:bCs/>
              </w:rPr>
              <w:t>the</w:t>
            </w:r>
            <w:proofErr w:type="spellEnd"/>
            <w:r>
              <w:rPr>
                <w:rFonts w:eastAsia="Times New Roman"/>
                <w:b/>
                <w:bCs/>
              </w:rPr>
              <w:t xml:space="preserve"> optimal match. CBCTs from each patient (238 CBCTs in total) were matched using the spine and the optimal match and translational displacements were recorded. The difference between the spine-match displacements and optimal-match displacements were calculated. The shortest distance between the spinal cord and tolerance </w:t>
            </w:r>
            <w:proofErr w:type="spellStart"/>
            <w:r>
              <w:rPr>
                <w:rFonts w:eastAsia="Times New Roman"/>
                <w:b/>
                <w:bCs/>
              </w:rPr>
              <w:t>isodose</w:t>
            </w:r>
            <w:proofErr w:type="spellEnd"/>
            <w:r>
              <w:rPr>
                <w:rFonts w:eastAsia="Times New Roman"/>
                <w:b/>
                <w:bCs/>
              </w:rPr>
              <w:t xml:space="preserve"> was measured for each patient.</w:t>
            </w:r>
          </w:p>
          <w:p w:rsidR="006E0E01" w:rsidRDefault="006E0E01">
            <w:pPr>
              <w:rPr>
                <w:rFonts w:eastAsia="Times New Roman"/>
                <w:b/>
                <w:bCs/>
              </w:rPr>
            </w:pPr>
            <w:r>
              <w:rPr>
                <w:rFonts w:eastAsia="Times New Roman"/>
                <w:b/>
                <w:bCs/>
              </w:rPr>
              <w:t xml:space="preserve">Results </w:t>
            </w:r>
          </w:p>
          <w:p w:rsidR="006E0E01" w:rsidRDefault="006E0E01">
            <w:pPr>
              <w:rPr>
                <w:rFonts w:eastAsia="Times New Roman"/>
                <w:b/>
                <w:bCs/>
              </w:rPr>
            </w:pPr>
            <w:r>
              <w:rPr>
                <w:rFonts w:eastAsia="Times New Roman"/>
                <w:b/>
                <w:bCs/>
              </w:rPr>
              <w:t>Carina- and tumour-matching produced target localisation of increased accuracy compared to spine-matching. The average bone-to-</w:t>
            </w:r>
            <w:r>
              <w:rPr>
                <w:rFonts w:eastAsia="Times New Roman"/>
                <w:b/>
                <w:bCs/>
              </w:rPr>
              <w:lastRenderedPageBreak/>
              <w:t xml:space="preserve">optimal 3D vector displacement was 0.4 cm. The 2D vector (vertical and lateral) displacements were more relevant for spinal cord safety because longitudinal displacements did not affect the spinal cord-to-tolerance </w:t>
            </w:r>
            <w:proofErr w:type="spellStart"/>
            <w:r>
              <w:rPr>
                <w:rFonts w:eastAsia="Times New Roman"/>
                <w:b/>
                <w:bCs/>
              </w:rPr>
              <w:t>isodose</w:t>
            </w:r>
            <w:proofErr w:type="spellEnd"/>
            <w:r>
              <w:rPr>
                <w:rFonts w:eastAsia="Times New Roman"/>
                <w:b/>
                <w:bCs/>
              </w:rPr>
              <w:t xml:space="preserve"> distance in this sample. The 90th percentile of the 2D vector bone-to-optimal displacements were 0.6 cm and 0.5cm for the central and peripheral groups, respectively.</w:t>
            </w:r>
          </w:p>
          <w:p w:rsidR="006E0E01" w:rsidRDefault="006E0E01">
            <w:pPr>
              <w:rPr>
                <w:rFonts w:eastAsia="Times New Roman"/>
                <w:b/>
                <w:bCs/>
              </w:rPr>
            </w:pPr>
            <w:r>
              <w:rPr>
                <w:rFonts w:eastAsia="Times New Roman"/>
                <w:b/>
                <w:bCs/>
              </w:rPr>
              <w:t xml:space="preserve">Conclusion </w:t>
            </w:r>
          </w:p>
          <w:p w:rsidR="006E0E01" w:rsidRDefault="006E0E01">
            <w:pPr>
              <w:rPr>
                <w:rFonts w:eastAsia="Times New Roman"/>
                <w:b/>
                <w:bCs/>
              </w:rPr>
            </w:pPr>
            <w:r>
              <w:rPr>
                <w:rFonts w:eastAsia="Times New Roman"/>
                <w:b/>
                <w:bCs/>
              </w:rPr>
              <w:t xml:space="preserve">For central and peripheral tumours, carina- and tumour-matching produced the most optimal target coverage, respectively. The spinal cord-to-tolerance </w:t>
            </w:r>
            <w:proofErr w:type="spellStart"/>
            <w:r>
              <w:rPr>
                <w:rFonts w:eastAsia="Times New Roman"/>
                <w:b/>
                <w:bCs/>
              </w:rPr>
              <w:t>isodose</w:t>
            </w:r>
            <w:proofErr w:type="spellEnd"/>
            <w:r>
              <w:rPr>
                <w:rFonts w:eastAsia="Times New Roman"/>
                <w:b/>
                <w:bCs/>
              </w:rPr>
              <w:t xml:space="preserve"> distance is important, as any deviation from spine-matching could result in spinal cord tolerance being exceeded. Using a threshold spinal cord-to-tolerance </w:t>
            </w:r>
            <w:proofErr w:type="spellStart"/>
            <w:r>
              <w:rPr>
                <w:rFonts w:eastAsia="Times New Roman"/>
                <w:b/>
                <w:bCs/>
              </w:rPr>
              <w:t>isodose</w:t>
            </w:r>
            <w:proofErr w:type="spellEnd"/>
            <w:r>
              <w:rPr>
                <w:rFonts w:eastAsia="Times New Roman"/>
                <w:b/>
                <w:bCs/>
              </w:rPr>
              <w:t xml:space="preserve"> distance, based on the 90th percentile 2D vector bone-to-optimal displacement, is a measurable method of indicating if carina or tumour match introduces a risk of exceeding spinal cord tolerance dose.</w:t>
            </w:r>
          </w:p>
        </w:tc>
      </w:tr>
      <w:tr w:rsidR="006E0E01" w:rsidTr="006E0E01">
        <w:trPr>
          <w:tblCellSpacing w:w="15" w:type="dxa"/>
        </w:trPr>
        <w:tc>
          <w:tcPr>
            <w:tcW w:w="0" w:type="auto"/>
            <w:hideMark/>
          </w:tcPr>
          <w:p w:rsidR="006E0E01" w:rsidRDefault="006E0E01">
            <w:pPr>
              <w:rPr>
                <w:rFonts w:eastAsia="Times New Roman"/>
                <w:b/>
                <w:bCs/>
              </w:rPr>
            </w:pPr>
          </w:p>
        </w:tc>
        <w:tc>
          <w:tcPr>
            <w:tcW w:w="0" w:type="auto"/>
            <w:hideMark/>
          </w:tcPr>
          <w:p w:rsidR="006E0E01" w:rsidRDefault="006E0E01">
            <w:pPr>
              <w:rPr>
                <w:rFonts w:eastAsia="Times New Roman"/>
                <w:b/>
                <w:bCs/>
              </w:rPr>
            </w:pPr>
            <w:r>
              <w:rPr>
                <w:rFonts w:eastAsia="Times New Roman"/>
                <w:b/>
                <w:bCs/>
              </w:rPr>
              <w:t>I have no potential conflict of interest to disclose</w:t>
            </w:r>
            <w:r>
              <w:rPr>
                <w:rFonts w:eastAsia="Times New Roman"/>
                <w:b/>
                <w:bCs/>
              </w:rPr>
              <w:br/>
            </w:r>
          </w:p>
        </w:tc>
      </w:tr>
      <w:tr w:rsidR="006E0E01" w:rsidTr="006E0E01">
        <w:trPr>
          <w:tblCellSpacing w:w="15" w:type="dxa"/>
        </w:trPr>
        <w:tc>
          <w:tcPr>
            <w:tcW w:w="0" w:type="auto"/>
            <w:hideMark/>
          </w:tcPr>
          <w:p w:rsidR="006E0E01" w:rsidRDefault="006E0E01">
            <w:pPr>
              <w:rPr>
                <w:rFonts w:eastAsia="Times New Roman"/>
              </w:rPr>
            </w:pPr>
            <w:r>
              <w:rPr>
                <w:rFonts w:eastAsia="Times New Roman"/>
              </w:rPr>
              <w:t>Keyword</w:t>
            </w:r>
          </w:p>
        </w:tc>
        <w:tc>
          <w:tcPr>
            <w:tcW w:w="0" w:type="auto"/>
            <w:hideMark/>
          </w:tcPr>
          <w:p w:rsidR="006E0E01" w:rsidRDefault="006E0E01">
            <w:pPr>
              <w:rPr>
                <w:rFonts w:eastAsia="Times New Roman"/>
                <w:b/>
                <w:bCs/>
              </w:rPr>
            </w:pPr>
            <w:r>
              <w:rPr>
                <w:rFonts w:eastAsia="Times New Roman"/>
                <w:b/>
                <w:bCs/>
              </w:rPr>
              <w:t>IGRT</w:t>
            </w:r>
          </w:p>
        </w:tc>
      </w:tr>
    </w:tbl>
    <w:p w:rsidR="006E0E01" w:rsidRDefault="006E0E01" w:rsidP="006E0E01">
      <w:pPr>
        <w:shd w:val="clear" w:color="auto" w:fill="FFFFFF"/>
        <w:rPr>
          <w:rFonts w:ascii="Helvetica" w:eastAsia="Times New Roman" w:hAnsi="Helvetica" w:cs="Helvetica"/>
          <w:color w:val="000000"/>
        </w:rPr>
      </w:pPr>
      <w:r>
        <w:rPr>
          <w:rFonts w:ascii="Helvetica" w:eastAsia="Times New Roman" w:hAnsi="Helvetica" w:cs="Helvetica"/>
          <w:color w:val="000000"/>
        </w:rPr>
        <w:br/>
        <w:t>Kind regards</w:t>
      </w:r>
      <w:proofErr w:type="gramStart"/>
      <w:r>
        <w:rPr>
          <w:rFonts w:ascii="Helvetica" w:eastAsia="Times New Roman" w:hAnsi="Helvetica" w:cs="Helvetica"/>
          <w:color w:val="000000"/>
        </w:rPr>
        <w:t>,</w:t>
      </w:r>
      <w:proofErr w:type="gramEnd"/>
      <w:r>
        <w:rPr>
          <w:rFonts w:ascii="Helvetica" w:eastAsia="Times New Roman" w:hAnsi="Helvetica" w:cs="Helvetica"/>
          <w:color w:val="000000"/>
        </w:rPr>
        <w:br/>
        <w:t>ESTRO Office</w:t>
      </w:r>
    </w:p>
    <w:p w:rsidR="006E0E01" w:rsidRDefault="006E0E01" w:rsidP="006E0E01">
      <w:pPr>
        <w:shd w:val="clear" w:color="auto" w:fill="FFFFFF"/>
        <w:rPr>
          <w:rFonts w:ascii="Helvetica" w:eastAsia="Times New Roman" w:hAnsi="Helvetica" w:cs="Helvetica"/>
          <w:color w:val="000000"/>
        </w:rPr>
      </w:pPr>
      <w:r>
        <w:rPr>
          <w:rStyle w:val="Emphasis"/>
          <w:rFonts w:ascii="Helvetica" w:eastAsia="Times New Roman" w:hAnsi="Helvetica" w:cs="Helvetica"/>
          <w:color w:val="000000"/>
        </w:rPr>
        <w:t>This is an automated message – please do not reply directly to this e-mail</w:t>
      </w:r>
    </w:p>
    <w:p w:rsidR="006E0E01" w:rsidRDefault="006E0E01" w:rsidP="006E0E01">
      <w:pPr>
        <w:shd w:val="clear" w:color="auto" w:fill="FFFFFF"/>
        <w:spacing w:after="240"/>
        <w:rPr>
          <w:rFonts w:ascii="Helvetica" w:eastAsia="Times New Roman" w:hAnsi="Helvetica" w:cs="Helvetica"/>
          <w:color w:val="000000"/>
        </w:rPr>
      </w:pPr>
    </w:p>
    <w:p w:rsidR="0013423C" w:rsidRDefault="0013423C">
      <w:bookmarkStart w:id="0" w:name="_GoBack"/>
      <w:bookmarkEnd w:id="0"/>
    </w:p>
    <w:sectPr w:rsidR="00134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01"/>
    <w:rsid w:val="00051989"/>
    <w:rsid w:val="0006698B"/>
    <w:rsid w:val="0013423C"/>
    <w:rsid w:val="00144DF1"/>
    <w:rsid w:val="00274C82"/>
    <w:rsid w:val="002F3553"/>
    <w:rsid w:val="003554D5"/>
    <w:rsid w:val="003F6612"/>
    <w:rsid w:val="004C5B61"/>
    <w:rsid w:val="004D13E2"/>
    <w:rsid w:val="00521A42"/>
    <w:rsid w:val="00626C3C"/>
    <w:rsid w:val="006B38E0"/>
    <w:rsid w:val="006E0E01"/>
    <w:rsid w:val="00794889"/>
    <w:rsid w:val="009272A7"/>
    <w:rsid w:val="009A48F5"/>
    <w:rsid w:val="00C02068"/>
    <w:rsid w:val="00CE4569"/>
    <w:rsid w:val="00D308F6"/>
    <w:rsid w:val="00DB2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FBC9B-477F-43B6-A01C-643F0221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0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0E01"/>
    <w:rPr>
      <w:color w:val="0000FF"/>
      <w:u w:val="single"/>
    </w:rPr>
  </w:style>
  <w:style w:type="character" w:styleId="Strong">
    <w:name w:val="Strong"/>
    <w:basedOn w:val="DefaultParagraphFont"/>
    <w:uiPriority w:val="22"/>
    <w:qFormat/>
    <w:rsid w:val="006E0E01"/>
    <w:rPr>
      <w:b/>
      <w:bCs/>
    </w:rPr>
  </w:style>
  <w:style w:type="character" w:styleId="Emphasis">
    <w:name w:val="Emphasis"/>
    <w:basedOn w:val="DefaultParagraphFont"/>
    <w:uiPriority w:val="20"/>
    <w:qFormat/>
    <w:rsid w:val="006E0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4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stracts@est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Mark</dc:creator>
  <cp:keywords/>
  <dc:description/>
  <cp:lastModifiedBy>Warren, Mark</cp:lastModifiedBy>
  <cp:revision>1</cp:revision>
  <dcterms:created xsi:type="dcterms:W3CDTF">2017-03-27T13:05:00Z</dcterms:created>
  <dcterms:modified xsi:type="dcterms:W3CDTF">2017-03-27T13:10:00Z</dcterms:modified>
</cp:coreProperties>
</file>