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1F9F" w:rsidRDefault="00711F9F">
      <w:pPr>
        <w:spacing w:after="360" w:line="480" w:lineRule="auto"/>
        <w:rPr>
          <w:b/>
        </w:rPr>
      </w:pPr>
    </w:p>
    <w:p w:rsidR="008A17FA" w:rsidRDefault="00711F9F" w:rsidP="00711F9F">
      <w:pPr>
        <w:spacing w:after="360" w:line="480" w:lineRule="auto"/>
        <w:rPr>
          <w:b/>
        </w:rPr>
      </w:pPr>
      <w:r w:rsidRPr="00711F9F">
        <w:rPr>
          <w:b/>
        </w:rPr>
        <w:t>The role of incretin-based therapies and SGLT2 inhibitors as adjuncts to insulin therapy in type 2 diabetes with special reference to IDegLira</w:t>
      </w:r>
      <w:r w:rsidR="003479A9">
        <w:rPr>
          <w:b/>
        </w:rPr>
        <w:t xml:space="preserve"> </w:t>
      </w:r>
      <w:bookmarkStart w:id="0" w:name="_GoBack"/>
      <w:bookmarkEnd w:id="0"/>
      <w:r>
        <w:rPr>
          <w:b/>
        </w:rPr>
        <w:t>Running head: Adjuncts to insulin therapy in T2DM with special reference to IDegLira</w:t>
      </w:r>
    </w:p>
    <w:p w:rsidR="008A17FA" w:rsidRDefault="00711F9F">
      <w:pPr>
        <w:spacing w:after="120" w:line="480" w:lineRule="auto"/>
      </w:pPr>
      <w:r>
        <w:rPr>
          <w:b/>
        </w:rPr>
        <w:t>Authors:</w:t>
      </w:r>
      <w:r>
        <w:t xml:space="preserve"> </w:t>
      </w:r>
      <w:r>
        <w:br/>
        <w:t>JPH Wilding</w:t>
      </w:r>
      <w:r>
        <w:rPr>
          <w:vertAlign w:val="superscript"/>
        </w:rPr>
        <w:t>1</w:t>
      </w:r>
      <w:r>
        <w:t xml:space="preserve"> and SC Bain</w:t>
      </w:r>
      <w:r>
        <w:rPr>
          <w:vertAlign w:val="superscript"/>
        </w:rPr>
        <w:t>2</w:t>
      </w:r>
    </w:p>
    <w:p w:rsidR="008A17FA" w:rsidRDefault="00711F9F">
      <w:pPr>
        <w:spacing w:after="360" w:line="480" w:lineRule="auto"/>
        <w:rPr>
          <w:b/>
        </w:rPr>
      </w:pPr>
      <w:r>
        <w:rPr>
          <w:b/>
        </w:rPr>
        <w:t xml:space="preserve">Affiliations: </w:t>
      </w:r>
      <w:r>
        <w:rPr>
          <w:b/>
        </w:rPr>
        <w:br/>
      </w:r>
      <w:r>
        <w:t>1. Department of Obesity and Endocrinology, University of Liverpool, UK</w:t>
      </w:r>
      <w:r>
        <w:br/>
        <w:t>2. Institute of Life Science, Swansea University, Swansea, UK</w:t>
      </w:r>
    </w:p>
    <w:p w:rsidR="008A17FA" w:rsidRDefault="00711F9F">
      <w:pPr>
        <w:spacing w:after="360" w:line="480" w:lineRule="auto"/>
      </w:pPr>
      <w:r>
        <w:rPr>
          <w:b/>
        </w:rPr>
        <w:t>Corresponding author:</w:t>
      </w:r>
      <w:r>
        <w:rPr>
          <w:b/>
        </w:rPr>
        <w:br/>
      </w:r>
      <w:r>
        <w:t>Prof John PH Wilding, Department of Obesity and Endocrinology Institute of Ageing &amp; Chronic Disease, Clinical Sciences Centre, University Hospital Aintree, Longmoor Lane, Liverpool, L9 7AL</w:t>
      </w:r>
      <w:r>
        <w:br/>
        <w:t>United Kingdom</w:t>
      </w:r>
      <w:r>
        <w:br/>
      </w:r>
      <w:r>
        <w:rPr>
          <w:color w:val="000000" w:themeColor="text1"/>
        </w:rPr>
        <w:t xml:space="preserve">Email: </w:t>
      </w:r>
      <w:hyperlink r:id="rId8" w:history="1">
        <w:r>
          <w:rPr>
            <w:rStyle w:val="Hyperlink"/>
            <w:color w:val="000000" w:themeColor="text1"/>
            <w:u w:val="none"/>
          </w:rPr>
          <w:t>J.P.H.Wilding@liverpool.ac.uk</w:t>
        </w:r>
      </w:hyperlink>
      <w:r>
        <w:rPr>
          <w:rStyle w:val="Hyperlink"/>
          <w:color w:val="000000" w:themeColor="text1"/>
          <w:u w:val="none"/>
        </w:rPr>
        <w:t xml:space="preserve">; Tel: </w:t>
      </w:r>
      <w:r>
        <w:rPr>
          <w:color w:val="000000" w:themeColor="text1"/>
        </w:rPr>
        <w:t xml:space="preserve">+44(0)151 529 5899  </w:t>
      </w:r>
      <w:r>
        <w:rPr>
          <w:rStyle w:val="Hyperlink"/>
          <w:color w:val="000000" w:themeColor="text1"/>
          <w:u w:val="none"/>
        </w:rPr>
        <w:t xml:space="preserve">Fax: </w:t>
      </w:r>
      <w:r>
        <w:rPr>
          <w:color w:val="000000" w:themeColor="text1"/>
        </w:rPr>
        <w:t>+44(0)151 529 5888</w:t>
      </w:r>
    </w:p>
    <w:p w:rsidR="008A17FA" w:rsidRDefault="00711F9F">
      <w:pPr>
        <w:spacing w:after="0" w:line="480" w:lineRule="auto"/>
      </w:pPr>
      <w:r>
        <w:rPr>
          <w:b/>
        </w:rPr>
        <w:t>Word count:</w:t>
      </w:r>
      <w:r>
        <w:t xml:space="preserve"> 4,774 (limit 5,000 words); </w:t>
      </w:r>
      <w:proofErr w:type="gramStart"/>
      <w:r>
        <w:t>Abstract</w:t>
      </w:r>
      <w:proofErr w:type="gramEnd"/>
      <w:r>
        <w:t>: 249</w:t>
      </w:r>
      <w:r>
        <w:br/>
      </w:r>
      <w:r>
        <w:rPr>
          <w:b/>
        </w:rPr>
        <w:t>References:</w:t>
      </w:r>
      <w:r>
        <w:t xml:space="preserve"> 65 </w:t>
      </w:r>
    </w:p>
    <w:p w:rsidR="008A17FA" w:rsidRDefault="00711F9F">
      <w:pPr>
        <w:spacing w:after="0" w:line="480" w:lineRule="auto"/>
      </w:pPr>
      <w:r>
        <w:rPr>
          <w:b/>
        </w:rPr>
        <w:t>Funding source:</w:t>
      </w:r>
      <w:r>
        <w:t xml:space="preserve"> Novo Nordisk</w:t>
      </w:r>
    </w:p>
    <w:p w:rsidR="008A17FA" w:rsidRDefault="00711F9F">
      <w:pPr>
        <w:spacing w:after="360" w:line="480" w:lineRule="auto"/>
      </w:pPr>
      <w:r>
        <w:rPr>
          <w:rFonts w:cs="Arial"/>
          <w:b/>
          <w:color w:val="000000"/>
          <w:szCs w:val="18"/>
          <w:shd w:val="clear" w:color="auto" w:fill="FFFFFF"/>
        </w:rPr>
        <w:t xml:space="preserve">Conflicts of interest disclosures: </w:t>
      </w:r>
      <w:r>
        <w:rPr>
          <w:rFonts w:cs="Arial"/>
          <w:color w:val="000000"/>
          <w:szCs w:val="18"/>
          <w:shd w:val="clear" w:color="auto" w:fill="FFFFFF"/>
        </w:rPr>
        <w:t xml:space="preserve">JW has consulted and/or received lecture fees from Astellas, AstraZeneca, Bristol-Myers Squibb, </w:t>
      </w:r>
      <w:r>
        <w:t xml:space="preserve">Boehringer Ingelheim, Novo Nordisk, MSD, Pfizer, </w:t>
      </w:r>
      <w:proofErr w:type="gramStart"/>
      <w:r>
        <w:t>Sanofi</w:t>
      </w:r>
      <w:proofErr w:type="gramEnd"/>
      <w:r>
        <w:t xml:space="preserve"> Aventis in relation to treatments for diabetes and/or obesity, and has been a clinical investigator or received institutional research support from AstraZeneca, GW Pharma, Bristol-Myers Squibb, Novo Nordisk &amp; Sanofi Aventis.</w:t>
      </w:r>
    </w:p>
    <w:p w:rsidR="008A17FA" w:rsidRDefault="008A17FA">
      <w:pPr>
        <w:spacing w:after="360" w:line="480" w:lineRule="auto"/>
      </w:pPr>
    </w:p>
    <w:p w:rsidR="008A17FA" w:rsidRDefault="00711F9F">
      <w:pPr>
        <w:spacing w:after="360" w:line="480" w:lineRule="auto"/>
        <w:rPr>
          <w:b/>
        </w:rPr>
      </w:pPr>
      <w:r>
        <w:rPr>
          <w:color w:val="000000"/>
        </w:rPr>
        <w:t xml:space="preserve">SB reports having received honoraria, teaching and research sponsorship/grants from the following: Abbott, AstraZeneca, Boehringer Ingelheim, BMS, Diartis, Eli Lilly, GlaxoSmithKline, Johnson &amp; Johnson, Merck Sharp &amp; Dohme, Novartis, Novo Nordisk, Pfizer, Roche, Sanofi Aventis, Schering-Plough, </w:t>
      </w:r>
      <w:proofErr w:type="gramStart"/>
      <w:r>
        <w:rPr>
          <w:color w:val="000000"/>
        </w:rPr>
        <w:t>Servier</w:t>
      </w:r>
      <w:proofErr w:type="gramEnd"/>
      <w:r>
        <w:rPr>
          <w:color w:val="000000"/>
        </w:rPr>
        <w:t xml:space="preserve"> &amp; Takeda.</w:t>
      </w:r>
      <w:r>
        <w:t xml:space="preserve"> </w:t>
      </w:r>
      <w:r>
        <w:br w:type="page"/>
      </w:r>
    </w:p>
    <w:p w:rsidR="008A17FA" w:rsidRDefault="00711F9F">
      <w:pPr>
        <w:spacing w:line="480" w:lineRule="auto"/>
      </w:pPr>
      <w:r>
        <w:rPr>
          <w:b/>
        </w:rPr>
        <w:lastRenderedPageBreak/>
        <w:t>Abstract</w:t>
      </w:r>
    </w:p>
    <w:p w:rsidR="008A17FA" w:rsidRDefault="00711F9F">
      <w:pPr>
        <w:spacing w:line="480" w:lineRule="auto"/>
      </w:pPr>
      <w:r>
        <w:t>The progressive nature of type 2 diabetes necessitates treatment intensification over time in order to maintain glycaemic control, with many patients ultimately requiring insulin therapy. While insulin has unlimited potential efficacy, its initiation is often delayed and improvements in glycaemic control are typically accompanied by weight gain and an increased risk of hypoglycaemia, particularly as HbA</w:t>
      </w:r>
      <w:r>
        <w:rPr>
          <w:vertAlign w:val="subscript"/>
        </w:rPr>
        <w:t>1c</w:t>
      </w:r>
      <w:r>
        <w:t xml:space="preserve"> approaches and falls below target levels. This may account for the sub-optimal control often achieved following insulin initiation. Combining insulin with antihyperglycaemic therapies that have a low risk of hypoglycaemia and are weight neutral or result in weight loss is a therapeutic strategy with the potential to improve type 2 diabetes management. Although the effects differ with each individual class of therapy, clinical trials have demonstrated that adding a glucagon-like peptide-1 receptor agonist (GLP-1 RA), dipeptidyl peptidase-4 inhibitor or sodium-glucose co-transporter-2 inhibitor to insulin regimens can offer a significant reduction in HbA</w:t>
      </w:r>
      <w:r>
        <w:rPr>
          <w:vertAlign w:val="subscript"/>
        </w:rPr>
        <w:t>1c</w:t>
      </w:r>
      <w:r>
        <w:t xml:space="preserve"> without substantially increasing hypoglycaemia risk, or weight. The evidence and merit of each approach is reviewed within. Once-daily co-formulations of a basal insulin and a GLP-1 </w:t>
      </w:r>
      <w:proofErr w:type="gramStart"/>
      <w:r>
        <w:t>RA  have</w:t>
      </w:r>
      <w:proofErr w:type="gramEnd"/>
      <w:r>
        <w:t xml:space="preserve"> been developed (insulin degludec/liraglutide, IDegLira) or are under development (lixisenatide/insulin glargine, LixiLan). IDegLira phase 3 trials and a LixiLan phase 2 trial have demonstrated robust HbA</w:t>
      </w:r>
      <w:r>
        <w:rPr>
          <w:vertAlign w:val="subscript"/>
        </w:rPr>
        <w:t xml:space="preserve">1c </w:t>
      </w:r>
      <w:r>
        <w:t>reductions, with weight loss and a low risk of hypoglycaemia. With IDegLira now approved in Europe, an important consideration will be the types of patients who may benefit most from a fixed-ratio combination: this is discussed here, together with a look toward future developments in the field.</w:t>
      </w:r>
    </w:p>
    <w:p w:rsidR="008A17FA" w:rsidRDefault="008A17FA">
      <w:pPr>
        <w:spacing w:line="480" w:lineRule="auto"/>
      </w:pPr>
    </w:p>
    <w:p w:rsidR="008A17FA" w:rsidRDefault="008A17FA">
      <w:pPr>
        <w:spacing w:line="480" w:lineRule="auto"/>
        <w:rPr>
          <w:b/>
        </w:rPr>
        <w:sectPr w:rsidR="008A17FA">
          <w:footerReference w:type="default" r:id="rId9"/>
          <w:type w:val="continuous"/>
          <w:pgSz w:w="11906" w:h="16838"/>
          <w:pgMar w:top="1440" w:right="1440" w:bottom="1440" w:left="1440" w:header="708" w:footer="708" w:gutter="0"/>
          <w:cols w:space="708"/>
          <w:docGrid w:linePitch="360"/>
        </w:sectPr>
      </w:pPr>
    </w:p>
    <w:p w:rsidR="008A17FA" w:rsidRDefault="00711F9F">
      <w:pPr>
        <w:spacing w:line="480" w:lineRule="auto"/>
        <w:rPr>
          <w:b/>
        </w:rPr>
      </w:pPr>
      <w:r>
        <w:rPr>
          <w:b/>
        </w:rPr>
        <w:lastRenderedPageBreak/>
        <w:t>1. Introduction</w:t>
      </w:r>
    </w:p>
    <w:p w:rsidR="008A17FA" w:rsidRDefault="00711F9F">
      <w:pPr>
        <w:spacing w:line="480" w:lineRule="auto"/>
      </w:pPr>
      <w:r>
        <w:t>The pathophysiology of type 2 diabetes is complex, typically characterized by insulin resistance, impaired insulin secretion and hyperglucagonaemia. Type 2 diabetes is also a progressive disease, necessitating intensification of treatment over time to achieve and maintain glycaemic control. When intensifying treatment regimens to reduce hyperglycaemia, an approach combining treatments with complementary effects that together combat a wider spectrum of the core defects of type 2 diabetes, would, theoretically at least, seem optimal.</w:t>
      </w:r>
    </w:p>
    <w:p w:rsidR="008A17FA" w:rsidRDefault="00711F9F">
      <w:pPr>
        <w:spacing w:line="480" w:lineRule="auto"/>
      </w:pPr>
      <w:r>
        <w:t>Many patients ultimately require insulin therapy; insulin has unsurpassed potential efficacy but is often underutilized due to the risk or fear of hypoglycaemia and weight gain. Landmark studies have shown that intensive glycaemic control with insulin therapy is associated with weight gain and severe hypoglycaemia [1–3]. Additionally, initiation and intensification of insulin therapy are often substantially delayed. A large observational study (</w:t>
      </w:r>
      <w:r>
        <w:rPr>
          <w:i/>
        </w:rPr>
        <w:t>n</w:t>
      </w:r>
      <w:r>
        <w:t xml:space="preserve"> = 17,374) involving 10 countries reported that mean HbA</w:t>
      </w:r>
      <w:r>
        <w:rPr>
          <w:vertAlign w:val="subscript"/>
        </w:rPr>
        <w:t>1c</w:t>
      </w:r>
      <w:r>
        <w:t xml:space="preserve"> at insulin initiation ranged from 67 mmol/mol (8.3%; China) up to 84 mmol/mol (9.8%; UK), with a mean across the study of 74 mmol/mol (8.9%) [4]. </w:t>
      </w:r>
    </w:p>
    <w:p w:rsidR="008A17FA" w:rsidRDefault="00711F9F">
      <w:pPr>
        <w:spacing w:line="480" w:lineRule="auto"/>
      </w:pPr>
      <w:r>
        <w:t>The European Association for the Study of Diabetes (EASD)/American Diabetes Association (ADA) position statement recommends an HbA</w:t>
      </w:r>
      <w:r>
        <w:rPr>
          <w:vertAlign w:val="subscript"/>
        </w:rPr>
        <w:t>1c</w:t>
      </w:r>
      <w:r>
        <w:t xml:space="preserve"> target of &lt;53 mmol/mol (&lt;7.0%) with initiation of insulin therapy, typically with basal insulin, as dual or triple therapy if a patient does not achieve/maintain target after ~3 months of mono- or dual therapy, respectively [5]. In England and Wales, following dual therapy, the National Institute for Health and Care Excellence (NICE) recommends treatment intensification either with a third oral agent, a glucagon-like peptide-1 (GLP-1) agonist or basal insulin therapy in patients with an HbA</w:t>
      </w:r>
      <w:r>
        <w:rPr>
          <w:vertAlign w:val="subscript"/>
        </w:rPr>
        <w:t>1c</w:t>
      </w:r>
      <w:r>
        <w:t xml:space="preserve"> of ≥58 mmol/mol (≥7.5%) [6]. However, a recent retrospective cohort study of &gt;80,000 patients with type 2 diabetes in the UK reported that in patients with an HbA</w:t>
      </w:r>
      <w:r>
        <w:rPr>
          <w:vertAlign w:val="subscript"/>
        </w:rPr>
        <w:t>1c</w:t>
      </w:r>
      <w:r>
        <w:t xml:space="preserve"> ≥58 mmol/mol (≥7.5%), the median time to insulin initiation was &gt;6 years [7]. Considering insulin intensification, another</w:t>
      </w:r>
      <w:r>
        <w:rPr>
          <w:lang w:val="en-US"/>
        </w:rPr>
        <w:t xml:space="preserve"> retrospective UK primary care database analysis of patients receiving basal insulin reported that intensification of basal insulin treatment was </w:t>
      </w:r>
      <w:r>
        <w:rPr>
          <w:lang w:val="en-US"/>
        </w:rPr>
        <w:lastRenderedPageBreak/>
        <w:t>uncommon (only occurred in 33% of patients), despite most patients having higher than recommended HbA</w:t>
      </w:r>
      <w:r>
        <w:rPr>
          <w:vertAlign w:val="subscript"/>
          <w:lang w:val="en-US"/>
        </w:rPr>
        <w:t>1c</w:t>
      </w:r>
      <w:r>
        <w:rPr>
          <w:lang w:val="en-US"/>
        </w:rPr>
        <w:t xml:space="preserve"> levels [8].</w:t>
      </w:r>
    </w:p>
    <w:p w:rsidR="008A17FA" w:rsidRDefault="00711F9F">
      <w:pPr>
        <w:spacing w:line="480" w:lineRule="auto"/>
      </w:pPr>
      <w:r>
        <w:t>There is a clear need for earlier insulin initiation and intensification. The prospect of using new therapies, or combination therapies, which can offer the efficacy of insulin but with an improved risk-to-benefit profile may help to overcome this inertia. Due to the complementary nature of their modes of action and clinical effects compared with basal insulin, GLP-1 receptor agonists (GLP-1 RAs), dipeptidyl peptidase-4 (DPP-4) inhibitors and sodium–glucose co-transporter-2 (SGLT2) inhibitors are increasingly being used in combination with basal insulin therapy</w:t>
      </w:r>
      <w:r>
        <w:rPr>
          <w:rFonts w:cs="Minion-Regular"/>
        </w:rPr>
        <w:t xml:space="preserve">. </w:t>
      </w:r>
      <w:r>
        <w:rPr>
          <w:rFonts w:cs="Minion-Regular"/>
          <w:szCs w:val="19"/>
        </w:rPr>
        <w:t xml:space="preserve">GLP-1 RAs improve glycaemic control by stimulating insulin secretion and inhibiting glucagon secretion, both in a glucose-dependent manner. Although the magnitude of clinical effects varies between </w:t>
      </w:r>
      <w:r>
        <w:rPr>
          <w:rFonts w:cs="Minion-Regular"/>
        </w:rPr>
        <w:t>different formulations and depending on background therapy, glycaemic improvements with GLP-1 RAs are generally accompanied by clinically significant weight loss and a low risk of hypoglycaemia.</w:t>
      </w:r>
      <w:r>
        <w:t xml:space="preserve"> DPP-4 inhibitors have a similar mode of action to GLP-1 RAs but only increase endogenous GLP-1 levels within the physiological range. As such, DPP-4 inhibitors offer significantly smaller HbA</w:t>
      </w:r>
      <w:r>
        <w:rPr>
          <w:vertAlign w:val="subscript"/>
        </w:rPr>
        <w:t>1c</w:t>
      </w:r>
      <w:r>
        <w:t xml:space="preserve"> reduction versus GLP-1 RAs and are generally weight neutral [9]. SGLT2 inhibitors are competitive inhibitors of </w:t>
      </w:r>
      <w:r>
        <w:rPr>
          <w:rFonts w:cs="AGaramond-Regular"/>
        </w:rPr>
        <w:t xml:space="preserve">sodium–glucose co-transporter-2, a </w:t>
      </w:r>
      <w:r>
        <w:t xml:space="preserve">low-affinity, high-capacity transporter that mediates renal glucose reabsorption [10]. Glycaemic improvements with SGLT2 inhibitors are associated with weight loss and a low risk of hypoglycaemia [10]. </w:t>
      </w:r>
    </w:p>
    <w:p w:rsidR="008A17FA" w:rsidRDefault="00711F9F">
      <w:pPr>
        <w:spacing w:line="480" w:lineRule="auto"/>
      </w:pPr>
      <w:r>
        <w:t>The aim of this article is to review the effects of insulin initiation and intensification on glycaemic control, also considering the incidence of hypoglycaemia and changes in body weight. We then consider the alternative approaches to insulin intensification, such as adding a GLP-1 RA, a DPP-4 inhibitor or an SGLT2 inhibitor to basal insulin. Finally, we discuss the clinical potential of a new approach, fixed-ratio combinations of a GLP-1 RA and a basal insulin in a single, once-daily injection.</w:t>
      </w:r>
    </w:p>
    <w:p w:rsidR="008A17FA" w:rsidRDefault="008A17FA">
      <w:pPr>
        <w:spacing w:line="480" w:lineRule="auto"/>
        <w:rPr>
          <w:b/>
        </w:rPr>
      </w:pPr>
    </w:p>
    <w:p w:rsidR="008A17FA" w:rsidRDefault="00711F9F">
      <w:pPr>
        <w:spacing w:line="480" w:lineRule="auto"/>
        <w:rPr>
          <w:b/>
        </w:rPr>
      </w:pPr>
      <w:r>
        <w:rPr>
          <w:b/>
        </w:rPr>
        <w:t>2. Insulin initiation</w:t>
      </w:r>
    </w:p>
    <w:p w:rsidR="008A17FA" w:rsidRDefault="00711F9F">
      <w:pPr>
        <w:spacing w:line="480" w:lineRule="auto"/>
      </w:pPr>
      <w:r>
        <w:lastRenderedPageBreak/>
        <w:t>Retrospective analyses of UK primary care records indicate that initiation of insulin therapy in real-life clinical practice results in an HbA</w:t>
      </w:r>
      <w:r>
        <w:rPr>
          <w:vertAlign w:val="subscript"/>
        </w:rPr>
        <w:t>1c</w:t>
      </w:r>
      <w:r>
        <w:t xml:space="preserve"> reduction of 1.3–1.4% (from a baseline of 78–81 mmol/mol [9.3–9.6%]), with less than 30% of patients achieving an HbA</w:t>
      </w:r>
      <w:r>
        <w:rPr>
          <w:vertAlign w:val="subscript"/>
        </w:rPr>
        <w:t>1c</w:t>
      </w:r>
      <w:r>
        <w:t xml:space="preserve"> of &lt;53 mmol/mol (&lt;7%) [11–13].</w:t>
      </w:r>
      <w:r>
        <w:rPr>
          <w:b/>
          <w:sz w:val="20"/>
        </w:rPr>
        <w:t xml:space="preserve"> </w:t>
      </w:r>
      <w:r>
        <w:t>Insulin initiation is also associated with substantial weight gain, regardless of the type of insulin initiated (Table 1).</w:t>
      </w:r>
      <w:r>
        <w:rPr>
          <w:b/>
          <w:sz w:val="20"/>
        </w:rPr>
        <w:t xml:space="preserve"> </w:t>
      </w:r>
      <w:r>
        <w:t>The frequency of hypoglycaemia was not reported in these studies.</w:t>
      </w:r>
    </w:p>
    <w:p w:rsidR="008A17FA" w:rsidRDefault="00711F9F">
      <w:pPr>
        <w:shd w:val="clear" w:color="auto" w:fill="FFFFFF"/>
        <w:spacing w:line="480" w:lineRule="auto"/>
        <w:textAlignment w:val="baseline"/>
      </w:pPr>
      <w:r>
        <w:t>Despite the development of newer basal insulin analogues, which provide relatively peakless and more physiological insulin-replacement therapy, neutral protamine Hagedorn (NPH) insulin is still recommended as first-line insulin therapy in many countries, including the UK [6]. Clinical trials have demonstrated that basal insulin analogues provide similar glycaemic improvements to NPH insulin but with a lower incidence of hypoglycaemia and sometimes less weight gain [14–17]</w:t>
      </w:r>
      <w:r>
        <w:rPr>
          <w:rFonts w:eastAsia="Times New Roman" w:cs="Lucida Sans Unicode"/>
          <w:color w:val="222222"/>
          <w:bdr w:val="none" w:sz="0" w:space="0" w:color="auto" w:frame="1"/>
          <w:shd w:val="clear" w:color="auto" w:fill="FFFFFF"/>
          <w:lang w:eastAsia="en-GB"/>
        </w:rPr>
        <w:t>.</w:t>
      </w:r>
      <w:r>
        <w:rPr>
          <w:rFonts w:eastAsia="Times New Roman" w:cs="Lucida Sans Unicode"/>
          <w:color w:val="222222"/>
          <w:lang w:eastAsia="en-GB"/>
        </w:rPr>
        <w:t xml:space="preserve"> </w:t>
      </w:r>
      <w:r>
        <w:t xml:space="preserve">Three basal insulin analogues are available: insulin glargine (IGlar), insulin detemir (IDet) and insulin degludec (IDeg). </w:t>
      </w:r>
    </w:p>
    <w:p w:rsidR="008A17FA" w:rsidRDefault="00711F9F">
      <w:pPr>
        <w:shd w:val="clear" w:color="auto" w:fill="FFFFFF"/>
        <w:spacing w:line="480" w:lineRule="auto"/>
        <w:textAlignment w:val="baseline"/>
      </w:pPr>
      <w:r>
        <w:t>Phase 3 head-to-head studies have compared basal insulin initiation in insulin-naïve patients with type 2 diabetes of IDeg versus IGlar and IGlar versus IDet [18</w:t>
      </w:r>
      <w:proofErr w:type="gramStart"/>
      <w:r>
        <w:t>,19</w:t>
      </w:r>
      <w:proofErr w:type="gramEnd"/>
      <w:r>
        <w:t>]. A similar HbA</w:t>
      </w:r>
      <w:r>
        <w:rPr>
          <w:vertAlign w:val="subscript"/>
        </w:rPr>
        <w:t xml:space="preserve">1c </w:t>
      </w:r>
      <w:r>
        <w:t>reduction was reported with IDeg versus IGlar (−1.1 vs. −1.2%, respectively) and a greater HbA</w:t>
      </w:r>
      <w:r>
        <w:rPr>
          <w:vertAlign w:val="subscript"/>
        </w:rPr>
        <w:t>1c</w:t>
      </w:r>
      <w:r>
        <w:t xml:space="preserve"> reduction with IGlar versus IDet (−0.7 vs. −0.5%, </w:t>
      </w:r>
      <w:r>
        <w:rPr>
          <w:i/>
        </w:rPr>
        <w:t xml:space="preserve">P </w:t>
      </w:r>
      <w:r>
        <w:t>&lt; 0.05) [18</w:t>
      </w:r>
      <w:proofErr w:type="gramStart"/>
      <w:r>
        <w:t>,19</w:t>
      </w:r>
      <w:proofErr w:type="gramEnd"/>
      <w:r>
        <w:t xml:space="preserve">]. The overall rate of confirmed hypoglycaemia (plasma glucose [PG] &lt;3.1 mmol/l or severe episodes requiring assistance) was similar for IDeg versus IGlar (1.52 vs. 1.85 events per patient-year), but the incidence of nocturnal hypoglycaemia was significantly lower in the IDeg group versus IGlar (0.25 vs. 0.39 events per patient-year; </w:t>
      </w:r>
      <w:r>
        <w:rPr>
          <w:i/>
        </w:rPr>
        <w:t xml:space="preserve">P </w:t>
      </w:r>
      <w:r>
        <w:t xml:space="preserve">= 0.038) [18]. Treatment with IDet resulted in a significantly lower incidence of total hypoglycaemia (symptomatic, major [unable to self-treat] or minor [if the patient could self-treat and PG was confirmed </w:t>
      </w:r>
      <w:r>
        <w:rPr>
          <w:i/>
          <w:iCs/>
        </w:rPr>
        <w:t>&lt;</w:t>
      </w:r>
      <w:r>
        <w:t xml:space="preserve">3.1 mmol/l with or without symptoms]) versus IGlar (3.29 vs. 4.41 events per patient-year, </w:t>
      </w:r>
      <w:r>
        <w:rPr>
          <w:i/>
        </w:rPr>
        <w:t xml:space="preserve">P </w:t>
      </w:r>
      <w:r>
        <w:t>= 0.034), but this should be considered in the context of the lower end-of-trial HbA</w:t>
      </w:r>
      <w:r>
        <w:rPr>
          <w:vertAlign w:val="subscript"/>
        </w:rPr>
        <w:t>1c</w:t>
      </w:r>
      <w:r>
        <w:t xml:space="preserve"> in the IGlar group (54 mmol/mol vs. 58 mmol/mol [7.1 vs. 7.5%]) [19]. Treatment with IDeg and IGlar </w:t>
      </w:r>
      <w:r>
        <w:lastRenderedPageBreak/>
        <w:t>resulted in similar weight gain (2.4 vs. 2.1 kg), while IDet was weight neutral (−0.5 kg) compared again to weight gain with IGlar (+1.0 kg) [18</w:t>
      </w:r>
      <w:proofErr w:type="gramStart"/>
      <w:r>
        <w:t>,19</w:t>
      </w:r>
      <w:proofErr w:type="gramEnd"/>
      <w:r>
        <w:t xml:space="preserve">]. </w:t>
      </w:r>
    </w:p>
    <w:p w:rsidR="008A17FA" w:rsidRDefault="00711F9F">
      <w:pPr>
        <w:spacing w:line="480" w:lineRule="auto"/>
      </w:pPr>
      <w:r>
        <w:t>While the incidence of hypoglycaemia with basal insulin analogues is relatively low (compared with more intensive insulin regimens), the risk increases substantially as HbA</w:t>
      </w:r>
      <w:r>
        <w:rPr>
          <w:vertAlign w:val="subscript"/>
        </w:rPr>
        <w:t>1c</w:t>
      </w:r>
      <w:r>
        <w:t xml:space="preserve"> approaches and falls below target levels (Figure 1). Data also illustrate that basal insulin analogues have a lower risk of hypoglycaemia vs. NPH insulin at all levels of HbA</w:t>
      </w:r>
      <w:r>
        <w:rPr>
          <w:vertAlign w:val="subscript"/>
        </w:rPr>
        <w:t>1c</w:t>
      </w:r>
      <w:r>
        <w:t xml:space="preserve"> [16</w:t>
      </w:r>
      <w:proofErr w:type="gramStart"/>
      <w:r>
        <w:t>,20</w:t>
      </w:r>
      <w:proofErr w:type="gramEnd"/>
      <w:r>
        <w:t xml:space="preserve">]. </w:t>
      </w:r>
    </w:p>
    <w:p w:rsidR="008A17FA" w:rsidRDefault="00711F9F">
      <w:pPr>
        <w:spacing w:line="480" w:lineRule="auto"/>
        <w:rPr>
          <w:shd w:val="clear" w:color="auto" w:fill="FFFFFF"/>
        </w:rPr>
      </w:pPr>
      <w:r>
        <w:rPr>
          <w:shd w:val="clear" w:color="auto" w:fill="FFFFFF"/>
        </w:rPr>
        <w:t>It should be noted that while IDeg is approved for use in Europe, Japan and many other countries, the FDA issued a complete response letter to IDeg, requesting additional cardiovascular safety data from a dedicated trial [21]. As a result, the long-term safety of IDeg is being investigated in an ongoing, 5-year cardiovascular outcomes trial in ~7,500 patients at high risk of cardiovascular disease (DEVOTE; NCT01959529) which is expected to finish in 2016. The required number of major adverse cardiovascular events for the pre-specified interim analysis were accumulated by the end of January 2015 and, in April 2015, the FDA accepted for review the Class II Resubmissions for IDeg, which included these interim data [22</w:t>
      </w:r>
      <w:proofErr w:type="gramStart"/>
      <w:r>
        <w:rPr>
          <w:shd w:val="clear" w:color="auto" w:fill="FFFFFF"/>
        </w:rPr>
        <w:t>,23</w:t>
      </w:r>
      <w:proofErr w:type="gramEnd"/>
      <w:r>
        <w:rPr>
          <w:shd w:val="clear" w:color="auto" w:fill="FFFFFF"/>
        </w:rPr>
        <w:t xml:space="preserve">]. </w:t>
      </w:r>
    </w:p>
    <w:p w:rsidR="008A17FA" w:rsidRDefault="00711F9F">
      <w:pPr>
        <w:spacing w:line="480" w:lineRule="auto"/>
        <w:rPr>
          <w:shd w:val="clear" w:color="auto" w:fill="FFFFFF"/>
        </w:rPr>
      </w:pPr>
      <w:r>
        <w:rPr>
          <w:shd w:val="clear" w:color="auto" w:fill="FFFFFF"/>
        </w:rPr>
        <w:t>In summary, glycaemic improvements associated with basal insulin initiation are commonly associated with weight gain and an increased risk of hypoglycaemia, particularly as HbA</w:t>
      </w:r>
      <w:r>
        <w:rPr>
          <w:shd w:val="clear" w:color="auto" w:fill="FFFFFF"/>
          <w:vertAlign w:val="subscript"/>
        </w:rPr>
        <w:t>1c</w:t>
      </w:r>
      <w:r>
        <w:rPr>
          <w:shd w:val="clear" w:color="auto" w:fill="FFFFFF"/>
        </w:rPr>
        <w:t xml:space="preserve"> approaches target levels, and to a greater extent with NPH insulin. </w:t>
      </w:r>
    </w:p>
    <w:p w:rsidR="008A17FA" w:rsidRDefault="008A17FA">
      <w:pPr>
        <w:spacing w:line="480" w:lineRule="auto"/>
        <w:rPr>
          <w:b/>
        </w:rPr>
      </w:pPr>
    </w:p>
    <w:p w:rsidR="008A17FA" w:rsidRDefault="00711F9F">
      <w:pPr>
        <w:spacing w:line="480" w:lineRule="auto"/>
        <w:rPr>
          <w:b/>
        </w:rPr>
      </w:pPr>
      <w:r>
        <w:rPr>
          <w:b/>
        </w:rPr>
        <w:t>3. Insulin intensification</w:t>
      </w:r>
    </w:p>
    <w:p w:rsidR="008A17FA" w:rsidRDefault="00711F9F">
      <w:pPr>
        <w:spacing w:line="480" w:lineRule="auto"/>
      </w:pPr>
      <w:r>
        <w:t xml:space="preserve">Blak </w:t>
      </w:r>
      <w:r>
        <w:rPr>
          <w:i/>
        </w:rPr>
        <w:t>et al</w:t>
      </w:r>
      <w:r>
        <w:t>. identified patients treated with basal insulin ± oral antidiabetic drugs (OADs) in UK primary care (</w:t>
      </w:r>
      <w:r>
        <w:rPr>
          <w:i/>
        </w:rPr>
        <w:t>n</w:t>
      </w:r>
      <w:r>
        <w:t xml:space="preserve"> = 3185) and evaluated treatment changes over a period of 3 years (2006–2009) [8]. Basal insulin ± OADs was maintained without therapy intensification in 60% of patients during follow-up, despite a mean HbA</w:t>
      </w:r>
      <w:r>
        <w:rPr>
          <w:vertAlign w:val="subscript"/>
        </w:rPr>
        <w:t>1c</w:t>
      </w:r>
      <w:r>
        <w:t xml:space="preserve"> of 68 mmol/mol (8.4%) at baseline and 65 mmol/mol (8.1%) at end-of-trial. During follow-up, 19% of patients were intensified with prandial (</w:t>
      </w:r>
      <w:r>
        <w:rPr>
          <w:i/>
        </w:rPr>
        <w:t xml:space="preserve">n </w:t>
      </w:r>
      <w:r>
        <w:t>= 464) or premixed (</w:t>
      </w:r>
      <w:r>
        <w:rPr>
          <w:i/>
        </w:rPr>
        <w:t>n</w:t>
      </w:r>
      <w:r>
        <w:t xml:space="preserve"> = </w:t>
      </w:r>
      <w:r>
        <w:lastRenderedPageBreak/>
        <w:t>150) insulin and 14% (</w:t>
      </w:r>
      <w:r>
        <w:rPr>
          <w:i/>
        </w:rPr>
        <w:t>n</w:t>
      </w:r>
      <w:r>
        <w:t xml:space="preserve"> = 435) switched to premixed insulin. Those who were intensified with prandial or premixed insulin had a mean baseline HbA</w:t>
      </w:r>
      <w:r>
        <w:rPr>
          <w:vertAlign w:val="subscript"/>
        </w:rPr>
        <w:t>1c</w:t>
      </w:r>
      <w:r>
        <w:t xml:space="preserve"> of 77 mmol/mol (9.2%) and 78 mmol/mol (9.3%), respectively, and a mean HbA</w:t>
      </w:r>
      <w:r>
        <w:rPr>
          <w:vertAlign w:val="subscript"/>
        </w:rPr>
        <w:t>1c</w:t>
      </w:r>
      <w:r>
        <w:t xml:space="preserve"> of 70 mmol/mol (8.6%) and 72 mmol/mol (8.7%) at end of follow-up. BMI increased by 0.3 kg/m</w:t>
      </w:r>
      <w:r>
        <w:rPr>
          <w:vertAlign w:val="superscript"/>
        </w:rPr>
        <w:t>2</w:t>
      </w:r>
      <w:r>
        <w:t xml:space="preserve"> with prandial intensification and by 1.1 kg/m</w:t>
      </w:r>
      <w:r>
        <w:rPr>
          <w:vertAlign w:val="superscript"/>
        </w:rPr>
        <w:t>2</w:t>
      </w:r>
      <w:r>
        <w:t xml:space="preserve"> with premixed intensification. Switching from basal insulin to premixed insulin reduced mean HbA</w:t>
      </w:r>
      <w:r>
        <w:rPr>
          <w:vertAlign w:val="subscript"/>
        </w:rPr>
        <w:t>1c</w:t>
      </w:r>
      <w:r>
        <w:t xml:space="preserve"> from 80 mmol/mol (9.5%) at baseline to 69 mmol/mol (8.5%) and was accompanied by a BMI increase of 0.9 kg/m</w:t>
      </w:r>
      <w:r>
        <w:rPr>
          <w:vertAlign w:val="superscript"/>
        </w:rPr>
        <w:t>2</w:t>
      </w:r>
      <w:r>
        <w:t>. The incidence of hypoglycaemia was not reported.</w:t>
      </w:r>
    </w:p>
    <w:p w:rsidR="008A17FA" w:rsidRDefault="00711F9F">
      <w:pPr>
        <w:spacing w:after="360" w:line="480" w:lineRule="auto"/>
      </w:pPr>
      <w:r>
        <w:t>Phase 3 clinical trial data demonstrate the variety of options available for insulin intensification to improve glycaemic control, but all are commonly associated with an increased risk of hypoglycaemia and increased regimen complexity (Table 2) [24–27]. In support of the real-life data, in the clinical trials insulin intensification was also associated with substantial weight gain.</w:t>
      </w:r>
    </w:p>
    <w:p w:rsidR="008A17FA" w:rsidRDefault="00711F9F">
      <w:pPr>
        <w:spacing w:line="480" w:lineRule="auto"/>
        <w:rPr>
          <w:b/>
        </w:rPr>
      </w:pPr>
      <w:r>
        <w:rPr>
          <w:b/>
        </w:rPr>
        <w:t>4. Combining insulin with other agents</w:t>
      </w:r>
    </w:p>
    <w:p w:rsidR="008A17FA" w:rsidRDefault="00711F9F">
      <w:pPr>
        <w:autoSpaceDE w:val="0"/>
        <w:autoSpaceDN w:val="0"/>
        <w:adjustRightInd w:val="0"/>
        <w:spacing w:after="360" w:line="480" w:lineRule="auto"/>
        <w:rPr>
          <w:b/>
        </w:rPr>
      </w:pPr>
      <w:r>
        <w:rPr>
          <w:rFonts w:cs="AdvOT96667d11"/>
          <w:szCs w:val="20"/>
        </w:rPr>
        <w:t xml:space="preserve"> </w:t>
      </w:r>
      <w:r>
        <w:rPr>
          <w:rFonts w:cs="Minion-Regular"/>
          <w:szCs w:val="19"/>
        </w:rPr>
        <w:t>When insulin is initiated, metformin is usually continued as studies have shown that there is less weight gain when the two agents are used together [28]. However, the insulin secretagogues, sulphonylureas and glinides, may be</w:t>
      </w:r>
      <w:r>
        <w:rPr>
          <w:rFonts w:cs="Minion-Regular"/>
        </w:rPr>
        <w:t xml:space="preserve"> discontinued due to an increased risk of hypoglycaemia without additional glycaemic benefit [5]. Similarly, it is generally recommended to discontinue or reduce the dose of thiazolidinediones (TZDs) </w:t>
      </w:r>
      <w:r>
        <w:rPr>
          <w:rFonts w:cs="AdvOT96667d11"/>
        </w:rPr>
        <w:t>to avoid oedema and excessive weight gain</w:t>
      </w:r>
      <w:r>
        <w:rPr>
          <w:rFonts w:cs="Minion-Regular"/>
        </w:rPr>
        <w:t xml:space="preserve"> [5</w:t>
      </w:r>
      <w:proofErr w:type="gramStart"/>
      <w:r>
        <w:rPr>
          <w:rFonts w:cs="Minion-Regular"/>
        </w:rPr>
        <w:t>,29</w:t>
      </w:r>
      <w:proofErr w:type="gramEnd"/>
      <w:r>
        <w:rPr>
          <w:rFonts w:cs="Minion-Regular"/>
        </w:rPr>
        <w:t xml:space="preserve">]. In contrast, more recently available non-insulin therapies, namely GLP-1 RAs, DPP-4 inhibitors and SGLT2 inhibitors, may be continued after insulin initiation, and are also added to existing insulin therapy as an alternative approach to insulin intensification. </w:t>
      </w:r>
    </w:p>
    <w:p w:rsidR="008A17FA" w:rsidRDefault="00711F9F">
      <w:pPr>
        <w:autoSpaceDE w:val="0"/>
        <w:autoSpaceDN w:val="0"/>
        <w:adjustRightInd w:val="0"/>
        <w:spacing w:line="480" w:lineRule="auto"/>
        <w:rPr>
          <w:rFonts w:cs="Minion-Regular"/>
          <w:i/>
        </w:rPr>
      </w:pPr>
      <w:r>
        <w:rPr>
          <w:rFonts w:cs="Minion-Regular"/>
          <w:i/>
        </w:rPr>
        <w:t>4.1 Use of SGLT2 inhibitors in combination with insulin</w:t>
      </w:r>
    </w:p>
    <w:p w:rsidR="008A17FA" w:rsidRDefault="00711F9F">
      <w:pPr>
        <w:autoSpaceDE w:val="0"/>
        <w:autoSpaceDN w:val="0"/>
        <w:adjustRightInd w:val="0"/>
        <w:spacing w:line="480" w:lineRule="auto"/>
        <w:rPr>
          <w:color w:val="000000"/>
        </w:rPr>
      </w:pPr>
      <w:r>
        <w:rPr>
          <w:rFonts w:cs="Minion-Regular"/>
        </w:rPr>
        <w:t xml:space="preserve">The SGLT2 inhibitors are the newest class of oral antihyperglycaemic therapy for type 2 diabetes management. As such, their inclusion in existing treatment algorithms is limited; however, the three agents approved for use in Europe – dapagliflozin, canagliflozin and empagliflozin – all have broad </w:t>
      </w:r>
      <w:r>
        <w:rPr>
          <w:rFonts w:cs="Minion-Regular"/>
        </w:rPr>
        <w:lastRenderedPageBreak/>
        <w:t>licensed indications for use, including in combination with insulin [30–32]. Three phase 3 studies, one for each agent, have compared the efficacy and safety of adding an SGLT2 inhibitor or placebo to advanced insulin regimens (mean daily insulin doses 78–92 U) [33–35]. In all three trials, the addition of the SGLT2 inhibitor resulted in a significant improvement in HbA</w:t>
      </w:r>
      <w:r>
        <w:rPr>
          <w:rFonts w:cs="Minion-Regular"/>
          <w:vertAlign w:val="subscript"/>
        </w:rPr>
        <w:t xml:space="preserve">1c </w:t>
      </w:r>
      <w:r>
        <w:rPr>
          <w:rFonts w:cs="Minion-Regular"/>
        </w:rPr>
        <w:t xml:space="preserve">and weight loss, </w:t>
      </w:r>
      <w:r>
        <w:rPr>
          <w:color w:val="000000"/>
        </w:rPr>
        <w:t>but was associated with a greater frequency of genital mycotic infections and hypoglycaemia compared with placebo (Table 3) [33–35].  It should also be noted that in May 2015, the FDA warned that SGLT2 inhibitors may lead to ketoacidosis [36]. Ketoacidosis does not appear to be commonly associated with SGLT2 inhibitors, except when there are other predisposing factors present; therefore, it is key to identify the patients most at risk and to reduce the risk to all patients [37].</w:t>
      </w:r>
    </w:p>
    <w:p w:rsidR="008A17FA" w:rsidRDefault="00711F9F">
      <w:pPr>
        <w:autoSpaceDE w:val="0"/>
        <w:autoSpaceDN w:val="0"/>
        <w:adjustRightInd w:val="0"/>
        <w:spacing w:line="480" w:lineRule="auto"/>
        <w:rPr>
          <w:color w:val="000000"/>
        </w:rPr>
      </w:pPr>
      <w:r>
        <w:rPr>
          <w:color w:val="000000"/>
        </w:rPr>
        <w:t xml:space="preserve">Most recently, Rosenstock </w:t>
      </w:r>
      <w:r>
        <w:rPr>
          <w:i/>
          <w:color w:val="000000"/>
        </w:rPr>
        <w:t>et al</w:t>
      </w:r>
      <w:r>
        <w:rPr>
          <w:color w:val="000000"/>
        </w:rPr>
        <w:t>. investigated the efficacy and safety of adding the SGLT2 inhibitor empagliflozin (10 or 25 mg) or placebo to multiple daily injections of insulin [mean 92 U/day) in obese people (mean BMI 34.8 kg/m</w:t>
      </w:r>
      <w:r>
        <w:rPr>
          <w:color w:val="000000"/>
          <w:vertAlign w:val="superscript"/>
        </w:rPr>
        <w:t>2</w:t>
      </w:r>
      <w:r>
        <w:rPr>
          <w:color w:val="000000"/>
        </w:rPr>
        <w:t>) with inadequately controlled type 2 diabetes (mean HbA</w:t>
      </w:r>
      <w:r>
        <w:rPr>
          <w:color w:val="000000"/>
          <w:vertAlign w:val="subscript"/>
        </w:rPr>
        <w:t>1c</w:t>
      </w:r>
      <w:r>
        <w:rPr>
          <w:color w:val="000000"/>
        </w:rPr>
        <w:t xml:space="preserve"> 66 mmol/mol [8.3%]) [33]. After the first 18 weeks of treatment (where total insulin dose was to remain within 10% of prescribed dose at randomisation), the reduction in HbA</w:t>
      </w:r>
      <w:r>
        <w:rPr>
          <w:color w:val="000000"/>
          <w:vertAlign w:val="subscript"/>
        </w:rPr>
        <w:t>1c</w:t>
      </w:r>
      <w:r>
        <w:rPr>
          <w:color w:val="000000"/>
        </w:rPr>
        <w:t xml:space="preserve"> was significantly greater with empagliflozin 10/25 mg (−0.94/−1.02%) compared with placebo (−0.50) (</w:t>
      </w:r>
      <w:r>
        <w:rPr>
          <w:i/>
          <w:color w:val="000000"/>
        </w:rPr>
        <w:t>P</w:t>
      </w:r>
      <w:r>
        <w:rPr>
          <w:color w:val="000000"/>
        </w:rPr>
        <w:t xml:space="preserve"> &lt; 0.001 for both comparisons). Body weight increased with placebo (0.34 kg) but decreased with empagliflozin 10/25 mg (−0.97/−1.54 kg) (</w:t>
      </w:r>
      <w:r>
        <w:rPr>
          <w:i/>
          <w:color w:val="000000"/>
        </w:rPr>
        <w:t>P</w:t>
      </w:r>
      <w:r>
        <w:rPr>
          <w:color w:val="000000"/>
        </w:rPr>
        <w:t xml:space="preserve"> &lt; 0.001 for both comparisons). The proportion of patients with confirmed hypoglycaemia (PG ≤ 3.9 mmol/L or requiring assistance) was slightly higher in the empagliflozin groups (40/41%) compared with placebo (37%). Consistent with previous findings, over the full 52-week treatment period, more events consistent with genital infections were reported by patients treated with empagliflozin 10/25 mg (4.3/9.5%) compared with placebo (1.6%). All events were mild or moderate in intensity and only one led to discontinuation (on empagliflozin 25 mg) [33].</w:t>
      </w:r>
    </w:p>
    <w:p w:rsidR="008A17FA" w:rsidRDefault="00711F9F">
      <w:pPr>
        <w:autoSpaceDE w:val="0"/>
        <w:autoSpaceDN w:val="0"/>
        <w:adjustRightInd w:val="0"/>
        <w:spacing w:line="480" w:lineRule="auto"/>
        <w:rPr>
          <w:color w:val="000000"/>
        </w:rPr>
      </w:pPr>
      <w:r>
        <w:rPr>
          <w:color w:val="000000"/>
        </w:rPr>
        <w:t xml:space="preserve">SGLT2 inhibitors act independently of insulin and therefore should be an effective treatment at most stages of diabetes, and also when used in combination with insulin. SGLT2 inhibitors may also result </w:t>
      </w:r>
      <w:r>
        <w:rPr>
          <w:color w:val="000000"/>
        </w:rPr>
        <w:lastRenderedPageBreak/>
        <w:t>in a lower risk of hypoglycaemia and weight gain when added to insulin, compared with the addition of some other classes of drugs [5]. Based on their mechanism of action, the patients who may experience reduced efficacy with SGLT2 inhibitors are those with renal impairment – that may also explain the reduced efficacy with canagliflozin observed in elderly versus younger patients with type 2 diabetes [34].</w:t>
      </w:r>
    </w:p>
    <w:p w:rsidR="008A17FA" w:rsidRDefault="00711F9F">
      <w:pPr>
        <w:autoSpaceDE w:val="0"/>
        <w:autoSpaceDN w:val="0"/>
        <w:adjustRightInd w:val="0"/>
        <w:spacing w:line="480" w:lineRule="auto"/>
        <w:rPr>
          <w:rFonts w:cs="Minion-Regular"/>
          <w:i/>
        </w:rPr>
      </w:pPr>
      <w:r>
        <w:rPr>
          <w:rFonts w:cs="Minion-Regular"/>
          <w:i/>
        </w:rPr>
        <w:t>4.2 Use of DPP-4 inhibitors in combination with insulin</w:t>
      </w:r>
    </w:p>
    <w:p w:rsidR="008A17FA" w:rsidRDefault="00711F9F">
      <w:pPr>
        <w:autoSpaceDE w:val="0"/>
        <w:autoSpaceDN w:val="0"/>
        <w:adjustRightInd w:val="0"/>
        <w:spacing w:line="480" w:lineRule="auto"/>
        <w:rPr>
          <w:rFonts w:cs="Arial"/>
        </w:rPr>
      </w:pPr>
      <w:r>
        <w:rPr>
          <w:rFonts w:cs="Minion-Regular"/>
        </w:rPr>
        <w:t>DPP-4 inhibitors are recommended for use in combination with insulin therapy as part of the EASD/ADA position statement [5]</w:t>
      </w:r>
      <w:r>
        <w:rPr>
          <w:rFonts w:cs="Minion-Regular"/>
          <w:szCs w:val="19"/>
        </w:rPr>
        <w:t xml:space="preserve"> and five phase 3 trials have investigated the use of five different DPP-4 inhibitors as add-on to insulin therapy. Similar to the SGLT2 inhibitor add-on studies, the DPP-4 inhibitor or placebo were added onto a variety of insulin regimens, except in one study, which was limited </w:t>
      </w:r>
      <w:r>
        <w:rPr>
          <w:rFonts w:cs="Minion-Regular"/>
        </w:rPr>
        <w:t>to basal insulin [38–42]</w:t>
      </w:r>
      <w:r>
        <w:rPr>
          <w:rFonts w:cs="Arial"/>
        </w:rPr>
        <w:t>. In all studies, a significantly greater reduction in HbA</w:t>
      </w:r>
      <w:r>
        <w:rPr>
          <w:rFonts w:cs="Arial"/>
          <w:vertAlign w:val="subscript"/>
        </w:rPr>
        <w:t>1c</w:t>
      </w:r>
      <w:r>
        <w:rPr>
          <w:rFonts w:cs="Arial"/>
        </w:rPr>
        <w:t xml:space="preserve"> was observed versus placebo but the HbA</w:t>
      </w:r>
      <w:r>
        <w:rPr>
          <w:rFonts w:cs="Arial"/>
          <w:vertAlign w:val="subscript"/>
        </w:rPr>
        <w:t>1c</w:t>
      </w:r>
      <w:r>
        <w:rPr>
          <w:rFonts w:cs="Arial"/>
        </w:rPr>
        <w:t xml:space="preserve"> reductions were modest (−0.6 to 0.8%) considering the baseline HbA</w:t>
      </w:r>
      <w:r>
        <w:rPr>
          <w:rFonts w:cs="Arial"/>
          <w:vertAlign w:val="subscript"/>
        </w:rPr>
        <w:t>1c</w:t>
      </w:r>
      <w:r>
        <w:rPr>
          <w:rFonts w:cs="Arial"/>
        </w:rPr>
        <w:t xml:space="preserve"> (67–78 mmol/mol [8.3–9.3%]) and, as a result, mean HbA</w:t>
      </w:r>
      <w:r>
        <w:rPr>
          <w:rFonts w:cs="Arial"/>
          <w:vertAlign w:val="subscript"/>
        </w:rPr>
        <w:t>1c</w:t>
      </w:r>
      <w:r>
        <w:rPr>
          <w:rFonts w:cs="Arial"/>
        </w:rPr>
        <w:t xml:space="preserve"> did not approach target levels at end-of-trial (61–70 mmol/mol [7.7–8.6%]) (Table 3). The addition of a DPP-4 inhibitor to existing insulin therapy was generally weight neutral (similar to addition of placebo) and hypoglycaemia was experienced by 8–27% of patients (vs. 7–24% in placebo arms). </w:t>
      </w:r>
    </w:p>
    <w:p w:rsidR="008A17FA" w:rsidRDefault="00711F9F">
      <w:pPr>
        <w:autoSpaceDE w:val="0"/>
        <w:autoSpaceDN w:val="0"/>
        <w:adjustRightInd w:val="0"/>
        <w:spacing w:line="480" w:lineRule="auto"/>
        <w:rPr>
          <w:rFonts w:cs="Minion-Regular"/>
          <w:bCs/>
        </w:rPr>
      </w:pPr>
      <w:r>
        <w:rPr>
          <w:rFonts w:cs="Minion-Regular"/>
          <w:bCs/>
        </w:rPr>
        <w:t>The addition of a DPP-4 inhibitor to insulin therapy may be of particular interest when metformin is no longer a treatment option; for example, in patients with moderate to severe renal impairment. In this scenario, an SGLT2 inhibitor is also contraindicated, so a DPP-4 inhibitor may be the preferred option with a low level of treatment complexity.</w:t>
      </w:r>
    </w:p>
    <w:p w:rsidR="008A17FA" w:rsidRDefault="00711F9F">
      <w:pPr>
        <w:spacing w:line="480" w:lineRule="auto"/>
        <w:rPr>
          <w:rFonts w:cs="Minion-Regular"/>
          <w:i/>
          <w:szCs w:val="19"/>
        </w:rPr>
      </w:pPr>
      <w:r>
        <w:rPr>
          <w:rFonts w:cs="Minion-Regular"/>
          <w:i/>
          <w:szCs w:val="19"/>
        </w:rPr>
        <w:t>4.3 Use of GLP-1 RAs in combination with basal insulin</w:t>
      </w:r>
    </w:p>
    <w:p w:rsidR="008A17FA" w:rsidRDefault="00711F9F">
      <w:pPr>
        <w:spacing w:line="480" w:lineRule="auto"/>
        <w:rPr>
          <w:b/>
          <w:sz w:val="28"/>
        </w:rPr>
      </w:pPr>
      <w:r>
        <w:rPr>
          <w:rFonts w:cs="Minion-Regular"/>
          <w:szCs w:val="19"/>
        </w:rPr>
        <w:t xml:space="preserve">Use of GLP-1 RAs in combination with basal insulin in triple therapy with metformin is recommended as part of the EASD/ADA position statement: both adding basal insulin to existing metformin and GLP-1 RA therapy or adding a GLP-1 RA to metformin and a basal insulin [5]. While this treatment </w:t>
      </w:r>
      <w:r>
        <w:rPr>
          <w:rFonts w:cs="Minion-Regular"/>
          <w:szCs w:val="19"/>
        </w:rPr>
        <w:lastRenderedPageBreak/>
        <w:t xml:space="preserve">combination has only recently been included in the product labels for some GLP-1 </w:t>
      </w:r>
      <w:proofErr w:type="gramStart"/>
      <w:r>
        <w:rPr>
          <w:rFonts w:cs="Minion-Regular"/>
          <w:szCs w:val="19"/>
        </w:rPr>
        <w:t>RAs ,</w:t>
      </w:r>
      <w:proofErr w:type="gramEnd"/>
      <w:r>
        <w:rPr>
          <w:rFonts w:cs="Minion-Regular"/>
          <w:szCs w:val="19"/>
        </w:rPr>
        <w:t xml:space="preserve"> this is not a new concept in secondary care in the UK</w:t>
      </w:r>
      <w:r>
        <w:t xml:space="preserve"> [43,44]</w:t>
      </w:r>
      <w:r>
        <w:rPr>
          <w:rFonts w:cs="Minion-Regular"/>
          <w:szCs w:val="19"/>
        </w:rPr>
        <w:t>. The ABCD audits for exenatide twice daily (</w:t>
      </w:r>
      <w:r>
        <w:t>2007–2009) and liraglutide (2009–2011) reported that over one third of GLP-1 RA use was in the (then) unlicensed combination with insulin therapy [43</w:t>
      </w:r>
      <w:proofErr w:type="gramStart"/>
      <w:r>
        <w:t>,44</w:t>
      </w:r>
      <w:proofErr w:type="gramEnd"/>
      <w:r>
        <w:t>].</w:t>
      </w:r>
      <w:r>
        <w:rPr>
          <w:b/>
          <w:sz w:val="28"/>
        </w:rPr>
        <w:t xml:space="preserve"> </w:t>
      </w:r>
    </w:p>
    <w:p w:rsidR="008A17FA" w:rsidRDefault="00711F9F">
      <w:pPr>
        <w:spacing w:line="480" w:lineRule="auto"/>
        <w:rPr>
          <w:u w:val="single"/>
        </w:rPr>
      </w:pPr>
      <w:r>
        <w:rPr>
          <w:u w:val="single"/>
        </w:rPr>
        <w:t>4.3.1 Insulin initiation as add-on to a GLP-1 RA: phase 3 data</w:t>
      </w:r>
    </w:p>
    <w:p w:rsidR="008A17FA" w:rsidRDefault="00711F9F">
      <w:pPr>
        <w:spacing w:line="480" w:lineRule="auto"/>
      </w:pPr>
      <w:r>
        <w:t>Two studies have investigated the sequential addition of the GLP-1 analogue liraglutide to OAD therapy followed by basal insulin initiation in patients still not achieving HbA</w:t>
      </w:r>
      <w:r>
        <w:rPr>
          <w:vertAlign w:val="subscript"/>
        </w:rPr>
        <w:t>1c</w:t>
      </w:r>
      <w:r>
        <w:t xml:space="preserve"> target (&lt;53 mmol/mol [&lt;7.0%]) [45</w:t>
      </w:r>
      <w:proofErr w:type="gramStart"/>
      <w:r>
        <w:t>,46</w:t>
      </w:r>
      <w:proofErr w:type="gramEnd"/>
      <w:r>
        <w:t>]. The addition of either IDet, titrated up as required (end of trial (EOT) mean dose 40 U) or IDeg (EOT mean dose 51 U) resulted in improvements in glycaemic control, to a mean end-of-trial HbA</w:t>
      </w:r>
      <w:r>
        <w:rPr>
          <w:vertAlign w:val="subscript"/>
        </w:rPr>
        <w:t>1c</w:t>
      </w:r>
      <w:r>
        <w:t xml:space="preserve"> of 54/48 mmol/mol (7.1/6.5%), with a very low risk of hypoglycaemia (Table 3). The addition of IDet resulted in maintenance of liraglutide-associated weight loss during the run-in period, while insulin initiation with IDeg resulted in weight gain of 2.0 kg.</w:t>
      </w:r>
    </w:p>
    <w:p w:rsidR="008A17FA" w:rsidRDefault="00711F9F">
      <w:pPr>
        <w:spacing w:line="480" w:lineRule="auto"/>
      </w:pPr>
      <w:r>
        <w:t>These data suggest that continuing with existing GLP-1 RA therapy is beneficial when initiating insulin therapy, with the potential to lower HbA</w:t>
      </w:r>
      <w:r>
        <w:rPr>
          <w:vertAlign w:val="subscript"/>
        </w:rPr>
        <w:t>1c</w:t>
      </w:r>
      <w:r>
        <w:t xml:space="preserve"> to below target levels with a very low risk of hypoglycaemia.</w:t>
      </w:r>
    </w:p>
    <w:p w:rsidR="008A17FA" w:rsidRDefault="00711F9F">
      <w:pPr>
        <w:spacing w:line="480" w:lineRule="auto"/>
        <w:rPr>
          <w:u w:val="single"/>
        </w:rPr>
      </w:pPr>
      <w:r>
        <w:rPr>
          <w:u w:val="single"/>
        </w:rPr>
        <w:t xml:space="preserve">4.3.2 Insulin intensification with the addition of a GLP-1 RA: phase 3 data </w:t>
      </w:r>
    </w:p>
    <w:p w:rsidR="008A17FA" w:rsidRDefault="00711F9F">
      <w:pPr>
        <w:spacing w:line="480" w:lineRule="auto"/>
      </w:pPr>
      <w:r>
        <w:t>The GLP-1 RAs as a class can broadly be divided into two categories: short- and long-acting. Short-acting GLP-1 RAs (exenatide twice daily and lixisenatide) target postprandial glucose at the meal immediately after dosing, an effect predominantly due to a delay in gastric emptying [47</w:t>
      </w:r>
      <w:proofErr w:type="gramStart"/>
      <w:r>
        <w:t>,48</w:t>
      </w:r>
      <w:proofErr w:type="gramEnd"/>
      <w:r>
        <w:t>]. Long-acting GLP-1 RAs (liraglutide and weekly GLP-1 RAs) target both fasting plasma glucose (FPG) and postprandial glucose across all three daily meals, due to their 24-hour action profiles. However, their impact on postprandial glucose at the meal after dosing is significantly lower compared with short-acting GLP-1 RAs, but often greater with long-acting GLP-1 RAs at subsequent meals when the short-acting GLP-1 RA is not dosed again [48–50].</w:t>
      </w:r>
    </w:p>
    <w:p w:rsidR="008A17FA" w:rsidRDefault="00711F9F">
      <w:pPr>
        <w:spacing w:line="480" w:lineRule="auto"/>
      </w:pPr>
      <w:r>
        <w:lastRenderedPageBreak/>
        <w:t>Seven phase 3 studies have investigated the addition of a GLP-1 RA in patients uncontrolled on basal insulin therapy (Table 3) [51–57]</w:t>
      </w:r>
      <w:r>
        <w:rPr>
          <w:lang w:val="en-US"/>
        </w:rPr>
        <w:t>. In four studies, the addition of the GLP-1 RA was compared with placebo while three studies compared the addition of a GLP-1 RA to basal insulin intensification with one or three daily bolus insulin doses.</w:t>
      </w:r>
      <w:r>
        <w:t xml:space="preserve"> </w:t>
      </w:r>
    </w:p>
    <w:p w:rsidR="008A17FA" w:rsidRDefault="00711F9F">
      <w:pPr>
        <w:spacing w:line="480" w:lineRule="auto"/>
      </w:pPr>
      <w:r>
        <w:t>The addition of a GLP-1 RA to basal insulin resulted in a significantly greater reduction in HbA</w:t>
      </w:r>
      <w:r>
        <w:rPr>
          <w:vertAlign w:val="subscript"/>
        </w:rPr>
        <w:t>1c</w:t>
      </w:r>
      <w:r>
        <w:t xml:space="preserve"> versus the addition of placebo, and a significant reduction from baseline in body weight in three of the four studies (Table 3). Although the patient populations and background insulin titration varied across the studies, a crude comparison suggests that the long-acting GLP-1 RA liraglutide (placebo-corrected change in HbA</w:t>
      </w:r>
      <w:r>
        <w:rPr>
          <w:vertAlign w:val="subscript"/>
        </w:rPr>
        <w:t>1c</w:t>
      </w:r>
      <w:r>
        <w:t xml:space="preserve"> −1.2%) resulted in a greater reduction in HbA</w:t>
      </w:r>
      <w:r>
        <w:rPr>
          <w:vertAlign w:val="subscript"/>
        </w:rPr>
        <w:t>1c</w:t>
      </w:r>
      <w:r>
        <w:t xml:space="preserve"> when added to basal insulin compared to short-acting GLP-1 RAs (placebo corrected change in HbA</w:t>
      </w:r>
      <w:r>
        <w:rPr>
          <w:vertAlign w:val="subscript"/>
        </w:rPr>
        <w:t>1c</w:t>
      </w:r>
      <w:r>
        <w:t xml:space="preserve"> −0.4 to −0.7%).  </w:t>
      </w:r>
    </w:p>
    <w:p w:rsidR="008A17FA" w:rsidRDefault="00711F9F">
      <w:pPr>
        <w:spacing w:line="480" w:lineRule="auto"/>
      </w:pPr>
      <w:r>
        <w:t xml:space="preserve">Mathieu </w:t>
      </w:r>
      <w:r>
        <w:rPr>
          <w:i/>
        </w:rPr>
        <w:t>et al</w:t>
      </w:r>
      <w:r>
        <w:t>. compared the addition of liraglutide 1.8 mg versus IAsp (before the largest meal) in patients uncontrolled (HbA</w:t>
      </w:r>
      <w:r>
        <w:rPr>
          <w:vertAlign w:val="subscript"/>
        </w:rPr>
        <w:t>1c</w:t>
      </w:r>
      <w:r>
        <w:t xml:space="preserve"> ≥53 mmol/mol [≥7.0%]) on IDeg and metformin [54]. After 26 weeks, the addition of liraglutide resulted in a significantly greater reduction in HbA</w:t>
      </w:r>
      <w:r>
        <w:rPr>
          <w:vertAlign w:val="subscript"/>
        </w:rPr>
        <w:t>1c</w:t>
      </w:r>
      <w:r>
        <w:t xml:space="preserve"> versus IAsp (−0.74 vs. −0.39%; </w:t>
      </w:r>
      <w:r>
        <w:rPr>
          <w:i/>
        </w:rPr>
        <w:t xml:space="preserve">P </w:t>
      </w:r>
      <w:r>
        <w:t xml:space="preserve">= 0.0024). Liraglutide addition was associated with weight loss, while IAsp resulted in weight gain (−2.8 vs. +0.9 kg; </w:t>
      </w:r>
      <w:r>
        <w:rPr>
          <w:i/>
        </w:rPr>
        <w:t>P</w:t>
      </w:r>
      <w:r>
        <w:t xml:space="preserve"> &lt; 0.0001). The observed rate of confirmed hypoglycaemia was over 8-fold greater with IAsp versus liraglutide (8.15 vs. 1.00 episodes per patient-year; </w:t>
      </w:r>
      <w:r>
        <w:rPr>
          <w:i/>
        </w:rPr>
        <w:t>P</w:t>
      </w:r>
      <w:r>
        <w:t xml:space="preserve"> &lt; 0.0001), while gastrointestinal adverse events were more common with liraglutide, with 1.1% of patients in the liraglutide group withdrawing due to nausea or vomiting. </w:t>
      </w:r>
      <w:r>
        <w:rPr>
          <w:lang w:val="en-US"/>
        </w:rPr>
        <w:t xml:space="preserve">Rosenstock </w:t>
      </w:r>
      <w:r>
        <w:rPr>
          <w:i/>
          <w:lang w:val="en-US"/>
        </w:rPr>
        <w:t>et al</w:t>
      </w:r>
      <w:r>
        <w:rPr>
          <w:lang w:val="en-US"/>
        </w:rPr>
        <w:t>. compared the addition of another long-acting GLP-1 RA, albiglutide 30 mg once weekly (OW), versus three-times daily (TID) insulin lispro (ILisp) to IGlar and metformin and/or pioglitazone [55].</w:t>
      </w:r>
      <w:r>
        <w:t xml:space="preserve"> </w:t>
      </w:r>
      <w:r>
        <w:rPr>
          <w:lang w:val="en-US"/>
        </w:rPr>
        <w:t>After 26 weeks of treatment, there was a significantly greater reduction in HbA</w:t>
      </w:r>
      <w:r>
        <w:rPr>
          <w:vertAlign w:val="subscript"/>
          <w:lang w:val="en-US"/>
        </w:rPr>
        <w:t>1c</w:t>
      </w:r>
      <w:r>
        <w:rPr>
          <w:lang w:val="en-US"/>
        </w:rPr>
        <w:t xml:space="preserve"> with albiglutide OW versus ILisp TID (−0.82 vs. −0.66%; </w:t>
      </w:r>
      <w:r>
        <w:rPr>
          <w:i/>
          <w:lang w:val="en-US"/>
        </w:rPr>
        <w:t>P</w:t>
      </w:r>
      <w:r>
        <w:rPr>
          <w:lang w:val="en-US"/>
        </w:rPr>
        <w:t xml:space="preserve"> &lt; 0.0001). Weight decreased with albiglutide but increased with ILisp (−0.73 vs. +0.81; </w:t>
      </w:r>
      <w:r>
        <w:rPr>
          <w:i/>
          <w:lang w:val="en-US"/>
        </w:rPr>
        <w:t>P</w:t>
      </w:r>
      <w:r>
        <w:rPr>
          <w:lang w:val="en-US"/>
        </w:rPr>
        <w:t xml:space="preserve"> &lt; 0.0001). More patients experienced documented hypoglycaemia with ILisp versus albiglutide (30% vs.16%) and gastrointestinal adverse events with albiglutide versus ILisp (nausea: 11% vs. 1%)</w:t>
      </w:r>
      <w:r>
        <w:t xml:space="preserve">. Finally, Diamant </w:t>
      </w:r>
      <w:r>
        <w:rPr>
          <w:i/>
        </w:rPr>
        <w:t>et al</w:t>
      </w:r>
      <w:r>
        <w:t xml:space="preserve">. compared the addition of the twice-daily short-acting GLP-1 RA </w:t>
      </w:r>
      <w:proofErr w:type="gramStart"/>
      <w:r>
        <w:t xml:space="preserve">exenatide  </w:t>
      </w:r>
      <w:r>
        <w:lastRenderedPageBreak/>
        <w:t>versus</w:t>
      </w:r>
      <w:proofErr w:type="gramEnd"/>
      <w:r>
        <w:t xml:space="preserve"> ILisp TID to patients uncontrolled on IGlar [57]. Unlike the long-acting GLP-1 RAs that provided a superior HbA</w:t>
      </w:r>
      <w:r>
        <w:rPr>
          <w:vertAlign w:val="subscript"/>
        </w:rPr>
        <w:t>1c</w:t>
      </w:r>
      <w:r>
        <w:t xml:space="preserve"> reduction versus the additional of mealtime insulin, addition of exenatide twice daily (BID) resulted in a similar HbA</w:t>
      </w:r>
      <w:r>
        <w:rPr>
          <w:vertAlign w:val="subscript"/>
        </w:rPr>
        <w:t>1c</w:t>
      </w:r>
      <w:r>
        <w:t xml:space="preserve"> reduction (−1.13% vs. −1.10%) to ILisp TID, while again weight decreased with the GLP-1 RA and increased with insulin intensification (exenatide BID: −2.5 kg; ILisp TID: +2.1 kg; </w:t>
      </w:r>
      <w:r>
        <w:rPr>
          <w:i/>
        </w:rPr>
        <w:t>P</w:t>
      </w:r>
      <w:r>
        <w:t xml:space="preserve"> &lt; 0.001). The incidence of minor hypoglycaemia was significantly greater with ILisp (41% vs. 30%; </w:t>
      </w:r>
      <w:r>
        <w:rPr>
          <w:i/>
        </w:rPr>
        <w:t>P</w:t>
      </w:r>
      <w:r>
        <w:t xml:space="preserve"> = 0.004), while more patients experienced gastrointestinal adverse events with exenatide (47% vs. 13%), with 3.5% of patients in the exenatide group withdrawing due to nausea or vomiting.</w:t>
      </w:r>
    </w:p>
    <w:p w:rsidR="008A17FA" w:rsidRDefault="00711F9F">
      <w:pPr>
        <w:spacing w:line="480" w:lineRule="auto"/>
      </w:pPr>
      <w:r>
        <w:t>In summary, several phase 3 clinical trials have now shown that combining a GLP-1 RA with basal insulin results in a significant HbA</w:t>
      </w:r>
      <w:r>
        <w:rPr>
          <w:vertAlign w:val="subscript"/>
        </w:rPr>
        <w:t>1c</w:t>
      </w:r>
      <w:r>
        <w:t xml:space="preserve"> reduction, in some cases to well within target levels, while maintaining a low risk of hypoglycaemia and often with the added benefit of weight loss (Table 3) [45,46,51–56]</w:t>
      </w:r>
      <w:r>
        <w:rPr>
          <w:lang w:val="en-US"/>
        </w:rPr>
        <w:t xml:space="preserve">. </w:t>
      </w:r>
      <w:r>
        <w:t>In general, long-acting GLP-1 RAs appear to be the most potent at lowering HbA</w:t>
      </w:r>
      <w:r>
        <w:rPr>
          <w:vertAlign w:val="subscript"/>
        </w:rPr>
        <w:t>1c</w:t>
      </w:r>
      <w:r>
        <w:t xml:space="preserve"> and may be the best choice for patients who are not near their HbA</w:t>
      </w:r>
      <w:r>
        <w:rPr>
          <w:vertAlign w:val="subscript"/>
        </w:rPr>
        <w:t>1c</w:t>
      </w:r>
      <w:r>
        <w:t xml:space="preserve"> target after basal optimisation. Short-acting GLP-1 RAs may be an alternative in patients already near target and experiencing significant postprandial glucose excursions [58–60]. </w:t>
      </w:r>
      <w:r>
        <w:rPr>
          <w:lang w:val="en-US"/>
        </w:rPr>
        <w:t>The studies involving liraglutide, albiglutide and exenatide BID have shown that GLP-1 RAs are a particularly attractive alternative to intensification with mealtime insulin dose(s) [54</w:t>
      </w:r>
      <w:proofErr w:type="gramStart"/>
      <w:r>
        <w:rPr>
          <w:lang w:val="en-US"/>
        </w:rPr>
        <w:t>,55,57</w:t>
      </w:r>
      <w:proofErr w:type="gramEnd"/>
      <w:r>
        <w:rPr>
          <w:lang w:val="en-US"/>
        </w:rPr>
        <w:t>].</w:t>
      </w:r>
      <w:r>
        <w:t xml:space="preserve"> </w:t>
      </w:r>
    </w:p>
    <w:p w:rsidR="008A17FA" w:rsidRDefault="00711F9F">
      <w:pPr>
        <w:spacing w:line="480" w:lineRule="auto"/>
        <w:rPr>
          <w:rFonts w:cs="Times New Roman"/>
          <w:color w:val="000000" w:themeColor="text1"/>
          <w:lang w:val="en-US"/>
        </w:rPr>
      </w:pPr>
      <w:r>
        <w:rPr>
          <w:rFonts w:cs="Times New Roman"/>
          <w:color w:val="000000" w:themeColor="text1"/>
          <w:lang w:val="en-US"/>
        </w:rPr>
        <w:t>As a result of the benefits of co-usage of a GLP-1 RA and basal insulin demonstrated in ‘loose combination’ studies, a product combining the complementary clinical effects of liraglutide and IDeg (IDegLira) in a single, once-daily injection has been developed. Additionally, a product combining lixisenatide and insulin glargine (LixiLan) in a single injection is under development.</w:t>
      </w:r>
    </w:p>
    <w:p w:rsidR="008A17FA" w:rsidRDefault="008A17FA">
      <w:pPr>
        <w:spacing w:line="480" w:lineRule="auto"/>
        <w:rPr>
          <w:b/>
        </w:rPr>
      </w:pPr>
    </w:p>
    <w:p w:rsidR="008A17FA" w:rsidRDefault="00711F9F">
      <w:pPr>
        <w:spacing w:line="480" w:lineRule="auto"/>
        <w:rPr>
          <w:b/>
        </w:rPr>
      </w:pPr>
      <w:r>
        <w:rPr>
          <w:b/>
        </w:rPr>
        <w:t>5. IDegLira, a novel once-daily combination of a basal insulin and GLP-1 RA</w:t>
      </w:r>
    </w:p>
    <w:p w:rsidR="008A17FA" w:rsidRDefault="00711F9F">
      <w:pPr>
        <w:spacing w:line="480" w:lineRule="auto"/>
      </w:pPr>
      <w:r>
        <w:lastRenderedPageBreak/>
        <w:t>IDegLira is the only fixed-ratio combination of a basal insulin (IDeg) and a GLP-1 RA (Lira), delivered once daily in one pen, currently approved for use in Europe [61]. The dose ratio is such that one dose step of IDegLira is the equivalent of 1 U of IDeg and 0.036 mg of Lira (maximum dose: 50 U IDeg/1.8 mg Lira). The starting dose of IDegLira in phase 3 trials has been 10 dose steps (10 U IDeg/0.36 mg liraglutide) in patients uncontrolled on OADs, ensuring insulin dose equivalent to a recommended 10 U initiation of basal insulin, and 16 dose steps (16 U IDeg/0.58 mg liraglutide) in patients previously uncontrolled on basal insulin or a GLP-1 RA, ensuring the highest possible insulin dose in those transferring from pre-trial basal insulin, while taking into consideration the recommended starting dose of liraglutide (0.6 mg). In clinical trials, titration was performed in a similar manner to basal insulin titration, twice weekly based on self-measured FPG target of 4.0–5.0 mmol/L with dose changes of +2/−2 dose steps if patients were above or below the FPG target, respectively. The two phase 3 trials, DUAL I and DUAL, II were included as part of the submission package for review by European Medicines Agency: DUAL I (IDegLira vs. IDeg or Lira in patients uncontrolled on OADs; 26 weeks with 26-week extension) and DUAL II (IDegLira vs. IDeg in patients uncontrolled on basal insulin + OADs; 26 weeks) [62</w:t>
      </w:r>
      <w:proofErr w:type="gramStart"/>
      <w:r>
        <w:t>,63</w:t>
      </w:r>
      <w:proofErr w:type="gramEnd"/>
      <w:r>
        <w:t>].</w:t>
      </w:r>
    </w:p>
    <w:p w:rsidR="008A17FA" w:rsidRDefault="008A17FA"/>
    <w:p w:rsidR="008A17FA" w:rsidRDefault="00711F9F">
      <w:pPr>
        <w:spacing w:line="480" w:lineRule="auto"/>
        <w:rPr>
          <w:i/>
        </w:rPr>
      </w:pPr>
      <w:r>
        <w:rPr>
          <w:i/>
        </w:rPr>
        <w:t>5.1 IDegLira compared with its individual components, IDeg or liraglutide alone, in patients uncontrolled on oral glucose-lowering therapy (</w:t>
      </w:r>
      <w:r>
        <w:rPr>
          <w:rFonts w:cs="Times New Roman"/>
          <w:i/>
          <w:color w:val="000000" w:themeColor="text1"/>
          <w:lang w:val="en-US"/>
        </w:rPr>
        <w:t>DUAL I)</w:t>
      </w:r>
    </w:p>
    <w:p w:rsidR="008A17FA" w:rsidRDefault="00711F9F">
      <w:pPr>
        <w:spacing w:line="480" w:lineRule="auto"/>
      </w:pPr>
      <w:r>
        <w:t>In a randomized, open-label study in 1663 patients with T2D uncontrolled (HbA</w:t>
      </w:r>
      <w:r>
        <w:rPr>
          <w:vertAlign w:val="subscript"/>
        </w:rPr>
        <w:t>1c</w:t>
      </w:r>
      <w:r>
        <w:t xml:space="preserve"> 53–86 mmol/mol [7.0–10.0%]) on metformin ± pioglitazone, IDegLira (n=834) was compared with IDeg (n=414) or liraglutide (n=415) alone. </w:t>
      </w:r>
      <w:r>
        <w:rPr>
          <w:rFonts w:cs="Times New Roman"/>
          <w:color w:val="000000" w:themeColor="text1"/>
          <w:szCs w:val="24"/>
          <w:lang w:val="en-US"/>
        </w:rPr>
        <w:t>Liraglutide was titrated by 0.6 mg/week to a maintenance dose of 1.8 mg [62]. IDegLira could be titrated to a maximum of 50 dose steps (50 units IDeg/1.8 mg liraglutide); no maximum dose was specified for the IDeg arm.</w:t>
      </w:r>
      <w:r>
        <w:t xml:space="preserve"> At screening, &gt;80% of patients were receiving metformin monotherapy and at baseline, mean HbA</w:t>
      </w:r>
      <w:r>
        <w:rPr>
          <w:vertAlign w:val="subscript"/>
        </w:rPr>
        <w:t>1c</w:t>
      </w:r>
      <w:r>
        <w:t xml:space="preserve"> was 67 mmol/mol (8.3%), mean BMI was 31.2–31.3 kg/m</w:t>
      </w:r>
      <w:r>
        <w:rPr>
          <w:vertAlign w:val="superscript"/>
        </w:rPr>
        <w:t>2</w:t>
      </w:r>
      <w:r>
        <w:t xml:space="preserve"> and mean duration of diabetes was ~7 years.</w:t>
      </w:r>
    </w:p>
    <w:p w:rsidR="008A17FA" w:rsidRDefault="00711F9F">
      <w:pPr>
        <w:spacing w:line="480" w:lineRule="auto"/>
        <w:rPr>
          <w:rFonts w:cs="Times New Roman"/>
          <w:color w:val="000000" w:themeColor="text1"/>
          <w:lang w:val="en-US"/>
        </w:rPr>
      </w:pPr>
      <w:r>
        <w:rPr>
          <w:rFonts w:cs="Times New Roman"/>
          <w:color w:val="000000" w:themeColor="text1"/>
          <w:lang w:val="en-US"/>
        </w:rPr>
        <w:lastRenderedPageBreak/>
        <w:t>Treatment with IDegLira resulted in a significantly greater reduction in HbA</w:t>
      </w:r>
      <w:r>
        <w:rPr>
          <w:rFonts w:cs="Times New Roman"/>
          <w:color w:val="000000" w:themeColor="text1"/>
          <w:vertAlign w:val="subscript"/>
          <w:lang w:val="en-US"/>
        </w:rPr>
        <w:t>1c</w:t>
      </w:r>
      <w:r>
        <w:rPr>
          <w:rFonts w:cs="Times New Roman"/>
          <w:color w:val="000000" w:themeColor="text1"/>
          <w:lang w:val="en-US"/>
        </w:rPr>
        <w:t xml:space="preserve"> and a greater proportion of subjects achieving HbA</w:t>
      </w:r>
      <w:r>
        <w:rPr>
          <w:rFonts w:cs="Times New Roman"/>
          <w:color w:val="000000" w:themeColor="text1"/>
          <w:vertAlign w:val="subscript"/>
          <w:lang w:val="en-US"/>
        </w:rPr>
        <w:t>1c</w:t>
      </w:r>
      <w:r>
        <w:rPr>
          <w:rFonts w:cs="Times New Roman"/>
          <w:color w:val="000000" w:themeColor="text1"/>
          <w:lang w:val="en-US"/>
        </w:rPr>
        <w:t xml:space="preserve"> targets of &lt;53 mmol/mol (&lt;7.0%) (81% vs. 65%/60%) and ≤48 mmol/mol (≤6.5%) (70% vs. 47%/41%) versus IDeg or liraglutide alone (Table 4). </w:t>
      </w:r>
    </w:p>
    <w:p w:rsidR="008A17FA" w:rsidRDefault="00711F9F">
      <w:pPr>
        <w:spacing w:line="480" w:lineRule="auto"/>
        <w:rPr>
          <w:rFonts w:cs="Times New Roman"/>
          <w:color w:val="000000" w:themeColor="text1"/>
          <w:lang w:val="en-US"/>
        </w:rPr>
      </w:pPr>
      <w:r>
        <w:rPr>
          <w:rFonts w:cs="Times New Roman"/>
          <w:color w:val="000000" w:themeColor="text1"/>
          <w:lang w:val="en-US"/>
        </w:rPr>
        <w:t>The liraglutide component of IDegLira appeared to mitigate insulin-associated weight gain and the rate of confirmed hypoglycaemia was 32% lower with IDegLira versus IDeg (</w:t>
      </w:r>
      <w:r>
        <w:rPr>
          <w:rFonts w:cs="Times New Roman"/>
          <w:i/>
          <w:color w:val="000000" w:themeColor="text1"/>
          <w:lang w:val="en-US"/>
        </w:rPr>
        <w:t>P</w:t>
      </w:r>
      <w:r>
        <w:rPr>
          <w:rFonts w:cs="Times New Roman"/>
          <w:color w:val="000000" w:themeColor="text1"/>
          <w:lang w:val="en-US"/>
        </w:rPr>
        <w:t xml:space="preserve"> = 0.0023), but higher versus liraglutide (</w:t>
      </w:r>
      <w:r>
        <w:rPr>
          <w:rFonts w:cs="Times New Roman"/>
          <w:i/>
          <w:color w:val="000000" w:themeColor="text1"/>
          <w:lang w:val="en-US"/>
        </w:rPr>
        <w:t xml:space="preserve">P </w:t>
      </w:r>
      <w:r>
        <w:rPr>
          <w:rFonts w:cs="Times New Roman"/>
          <w:color w:val="000000" w:themeColor="text1"/>
          <w:lang w:val="en-US"/>
        </w:rPr>
        <w:t>&lt; 0.0001), which had a very low rate of hypoglycaemia (Table 4). C</w:t>
      </w:r>
      <w:r>
        <w:t xml:space="preserve">ompared with IDeg alone, IDegLira was associated with a significantly lower insulin dose (Table 4). </w:t>
      </w:r>
      <w:r>
        <w:rPr>
          <w:rFonts w:cs="Times New Roman"/>
          <w:color w:val="000000" w:themeColor="text1"/>
          <w:lang w:val="en-US"/>
        </w:rPr>
        <w:t>Numerically fewer patients experienced gastrointestinal adverse events with IDegLira versus liraglutide, likely due to the slower up-titration of the liraglutide component in IDegLira and the lower mean end-of-trial dose (Table 4).</w:t>
      </w:r>
    </w:p>
    <w:p w:rsidR="008A17FA" w:rsidRDefault="00711F9F">
      <w:pPr>
        <w:spacing w:after="0" w:line="480" w:lineRule="auto"/>
        <w:rPr>
          <w:rFonts w:eastAsia="Times New Roman" w:cs="Times New Roman"/>
          <w:color w:val="000000" w:themeColor="text1"/>
          <w:lang w:val="en-US" w:eastAsia="en-GB"/>
        </w:rPr>
      </w:pPr>
      <w:r>
        <w:rPr>
          <w:rFonts w:cs="Times New Roman"/>
          <w:color w:val="000000" w:themeColor="text1"/>
          <w:lang w:val="en-US"/>
        </w:rPr>
        <w:t>In a 26-week extension study, the 26-week HbA</w:t>
      </w:r>
      <w:r>
        <w:rPr>
          <w:rFonts w:cs="Times New Roman"/>
          <w:color w:val="000000" w:themeColor="text1"/>
          <w:vertAlign w:val="subscript"/>
          <w:lang w:val="en-US"/>
        </w:rPr>
        <w:t>1c</w:t>
      </w:r>
      <w:r>
        <w:rPr>
          <w:rFonts w:cs="Times New Roman"/>
          <w:color w:val="000000" w:themeColor="text1"/>
          <w:lang w:val="en-US"/>
        </w:rPr>
        <w:t xml:space="preserve"> of 6.4% observed with IDegLira was maintained </w:t>
      </w:r>
      <w:r>
        <w:rPr>
          <w:rFonts w:cs="Arial"/>
          <w:color w:val="000000" w:themeColor="text1"/>
          <w:lang w:val="en-US"/>
        </w:rPr>
        <w:t xml:space="preserve">to week 52 with only a mean dose increase of one dose step (1 U IDeg/0.036 mg liraglutide) to 39 dose steps, demonstrating the durability of treatment effects (Table 4) [64]. </w:t>
      </w:r>
    </w:p>
    <w:p w:rsidR="008A17FA" w:rsidRDefault="008A17FA">
      <w:pPr>
        <w:spacing w:after="0" w:line="480" w:lineRule="auto"/>
      </w:pPr>
    </w:p>
    <w:p w:rsidR="008A17FA" w:rsidRDefault="00711F9F">
      <w:pPr>
        <w:pStyle w:val="ListParagraph"/>
        <w:numPr>
          <w:ilvl w:val="1"/>
          <w:numId w:val="23"/>
        </w:numPr>
        <w:spacing w:line="480" w:lineRule="auto"/>
        <w:rPr>
          <w:rFonts w:cs="Times New Roman"/>
          <w:i/>
          <w:color w:val="000000" w:themeColor="text1"/>
          <w:lang w:val="en-US"/>
        </w:rPr>
      </w:pPr>
      <w:r>
        <w:rPr>
          <w:rFonts w:cs="Times New Roman"/>
          <w:i/>
          <w:color w:val="000000" w:themeColor="text1"/>
          <w:lang w:val="en-US"/>
        </w:rPr>
        <w:t>IDegLira versus IDeg in patients with type 2 diabetes poorly controlled on basal insulin (DUAL II)</w:t>
      </w:r>
    </w:p>
    <w:p w:rsidR="008A17FA" w:rsidRDefault="00711F9F">
      <w:pPr>
        <w:spacing w:after="0" w:line="480" w:lineRule="auto"/>
        <w:rPr>
          <w:rFonts w:cs="Times New Roman"/>
          <w:color w:val="000000" w:themeColor="text1"/>
          <w:lang w:val="en-US"/>
        </w:rPr>
      </w:pPr>
      <w:r>
        <w:rPr>
          <w:rFonts w:cs="Times New Roman"/>
          <w:color w:val="000000" w:themeColor="text1"/>
          <w:lang w:val="en-US"/>
        </w:rPr>
        <w:t xml:space="preserve">DUAL II was a 26-week trial designed to assess the relative contribution of the liraglutide component of IDegLira by comparing it with IDeg, with a dose cap of 50 U. Unlike DUAL I, which was an open-label study, DUAL II was double-blinded. The trial included patients with type 2 diabetes uncontrolled on basal insulin (20–40 units) and metformin ± sulphonylurea/glinides (SU/glinide discontinued at baseline) [63]. </w:t>
      </w:r>
    </w:p>
    <w:p w:rsidR="008A17FA" w:rsidRDefault="008A17FA">
      <w:pPr>
        <w:spacing w:after="0" w:line="480" w:lineRule="auto"/>
        <w:rPr>
          <w:rFonts w:cs="Times New Roman"/>
          <w:color w:val="000000" w:themeColor="text1"/>
        </w:rPr>
      </w:pPr>
    </w:p>
    <w:p w:rsidR="008A17FA" w:rsidRDefault="00711F9F">
      <w:pPr>
        <w:spacing w:after="0" w:line="480" w:lineRule="auto"/>
        <w:rPr>
          <w:rFonts w:cs="Times New Roman"/>
          <w:color w:val="000000" w:themeColor="text1"/>
          <w:lang w:val="en-US"/>
        </w:rPr>
      </w:pPr>
      <w:r>
        <w:rPr>
          <w:rFonts w:cs="Times New Roman"/>
          <w:color w:val="000000" w:themeColor="text1"/>
          <w:lang w:val="en-CA"/>
        </w:rPr>
        <w:t>After 26 weeks of treatment, the mean insulin dose was equivalent for both IDegLira and IDeg</w:t>
      </w:r>
      <w:r>
        <w:rPr>
          <w:rFonts w:cs="Times New Roman"/>
          <w:color w:val="000000" w:themeColor="text1"/>
        </w:rPr>
        <w:t xml:space="preserve">, allowing evaluation of the contribution of the liraglutide component of IDegLira (Table 4). </w:t>
      </w:r>
      <w:r>
        <w:rPr>
          <w:rFonts w:cs="Times New Roman"/>
          <w:color w:val="000000" w:themeColor="text1"/>
          <w:lang w:val="en-US"/>
        </w:rPr>
        <w:t>HbA</w:t>
      </w:r>
      <w:r>
        <w:rPr>
          <w:rFonts w:cs="Times New Roman"/>
          <w:color w:val="000000" w:themeColor="text1"/>
          <w:vertAlign w:val="subscript"/>
          <w:lang w:val="en-US"/>
        </w:rPr>
        <w:t xml:space="preserve">1c </w:t>
      </w:r>
      <w:r>
        <w:rPr>
          <w:rFonts w:cs="Times New Roman"/>
          <w:color w:val="000000" w:themeColor="text1"/>
          <w:lang w:val="en-US"/>
        </w:rPr>
        <w:t>reduction was</w:t>
      </w:r>
      <w:r>
        <w:rPr>
          <w:rFonts w:cs="Times New Roman"/>
          <w:color w:val="000000" w:themeColor="text1"/>
          <w:vertAlign w:val="subscript"/>
          <w:lang w:val="en-US"/>
        </w:rPr>
        <w:t xml:space="preserve"> </w:t>
      </w:r>
      <w:r>
        <w:rPr>
          <w:rFonts w:cs="Times New Roman"/>
          <w:color w:val="000000" w:themeColor="text1"/>
          <w:lang w:val="en-US"/>
        </w:rPr>
        <w:t>1.1% greater with IDegLira compared with IDeg (</w:t>
      </w:r>
      <w:r>
        <w:rPr>
          <w:rFonts w:cs="Times New Roman"/>
          <w:i/>
          <w:color w:val="000000" w:themeColor="text1"/>
          <w:lang w:val="en-US"/>
        </w:rPr>
        <w:t>P</w:t>
      </w:r>
      <w:r>
        <w:rPr>
          <w:rFonts w:cs="Times New Roman"/>
          <w:color w:val="000000" w:themeColor="text1"/>
          <w:lang w:val="en-US"/>
        </w:rPr>
        <w:t xml:space="preserve"> &lt; 0.0001) (Table 4), with a greater proportion of patients achieving an HbA</w:t>
      </w:r>
      <w:r>
        <w:rPr>
          <w:rFonts w:cs="Times New Roman"/>
          <w:color w:val="000000" w:themeColor="text1"/>
          <w:vertAlign w:val="subscript"/>
          <w:lang w:val="en-US"/>
        </w:rPr>
        <w:t>1c</w:t>
      </w:r>
      <w:r>
        <w:rPr>
          <w:rFonts w:cs="Times New Roman"/>
          <w:color w:val="000000" w:themeColor="text1"/>
          <w:lang w:val="en-US"/>
        </w:rPr>
        <w:t xml:space="preserve"> target of &lt;53 mmol/mol (&lt;7.0%) with IDegLira versus IDeg </w:t>
      </w:r>
      <w:r>
        <w:rPr>
          <w:rFonts w:cs="Times New Roman"/>
          <w:color w:val="000000" w:themeColor="text1"/>
          <w:lang w:val="en-US"/>
        </w:rPr>
        <w:lastRenderedPageBreak/>
        <w:t xml:space="preserve">(60% vs. 23%; </w:t>
      </w:r>
      <w:r>
        <w:rPr>
          <w:rFonts w:cs="Times New Roman"/>
          <w:i/>
          <w:color w:val="000000" w:themeColor="text1"/>
          <w:lang w:val="en-US"/>
        </w:rPr>
        <w:t xml:space="preserve">P </w:t>
      </w:r>
      <w:r>
        <w:rPr>
          <w:rFonts w:cs="Times New Roman"/>
          <w:color w:val="000000" w:themeColor="text1"/>
          <w:lang w:val="en-US"/>
        </w:rPr>
        <w:t>&lt; 0.0001). IDegLira resulted in weight loss of 2.7 kg compared with no weight change in the IDeg group (</w:t>
      </w:r>
      <w:r>
        <w:rPr>
          <w:rFonts w:cs="Times New Roman"/>
          <w:i/>
          <w:color w:val="000000" w:themeColor="text1"/>
          <w:lang w:val="en-US"/>
        </w:rPr>
        <w:t>P</w:t>
      </w:r>
      <w:r>
        <w:rPr>
          <w:rFonts w:cs="Times New Roman"/>
          <w:color w:val="000000" w:themeColor="text1"/>
          <w:lang w:val="en-US"/>
        </w:rPr>
        <w:t xml:space="preserve"> &lt; 0.0001). Rates of confirmed hypoglycaemia were similar with IDegLira and IDeg, despite the lower end-of-trial HbA</w:t>
      </w:r>
      <w:r>
        <w:rPr>
          <w:rFonts w:cs="Times New Roman"/>
          <w:color w:val="000000" w:themeColor="text1"/>
          <w:vertAlign w:val="subscript"/>
          <w:lang w:val="en-US"/>
        </w:rPr>
        <w:t>1c</w:t>
      </w:r>
      <w:r>
        <w:rPr>
          <w:rFonts w:cs="Times New Roman"/>
          <w:color w:val="000000" w:themeColor="text1"/>
          <w:lang w:val="en-US"/>
        </w:rPr>
        <w:t xml:space="preserve"> in the IDegLira arm (Table 4). Overall, the frequency of adverse events was similar, with very low and comparable rates of nausea in this double-blinded trial. </w:t>
      </w:r>
    </w:p>
    <w:p w:rsidR="008A17FA" w:rsidRDefault="00711F9F">
      <w:pPr>
        <w:spacing w:after="0" w:line="480" w:lineRule="auto"/>
      </w:pPr>
      <w:r>
        <w:rPr>
          <w:rFonts w:cs="Times New Roman"/>
          <w:color w:val="000000" w:themeColor="text1"/>
          <w:lang w:val="en-US"/>
        </w:rPr>
        <w:t>These data illustrate that in patients with type 2 diabetes uncontrolled on basal insulin, the addition of the liraglutide component in IDegLira offers superior glycaemic control to IDeg at equivalent insulin doses, without a higher risk of hypoglycaemia and with the additional benefit of weight loss.</w:t>
      </w:r>
    </w:p>
    <w:p w:rsidR="008A17FA" w:rsidRDefault="008A17FA">
      <w:pPr>
        <w:rPr>
          <w:b/>
        </w:rPr>
      </w:pPr>
    </w:p>
    <w:p w:rsidR="008A17FA" w:rsidRDefault="00711F9F">
      <w:pPr>
        <w:spacing w:line="480" w:lineRule="auto"/>
        <w:rPr>
          <w:i/>
        </w:rPr>
      </w:pPr>
      <w:r>
        <w:rPr>
          <w:i/>
        </w:rPr>
        <w:t>5.3 IDegLira: which patients may benefit most?</w:t>
      </w:r>
    </w:p>
    <w:p w:rsidR="008A17FA" w:rsidRDefault="00711F9F">
      <w:pPr>
        <w:spacing w:line="480" w:lineRule="auto"/>
      </w:pPr>
      <w:r>
        <w:t xml:space="preserve">As a new treatment option for patients with type 2 diabetes, it is important to consider which patients may benefit most from a fixed-ratio combination of a GLP-1 RA and basal insulin such as IDegLira. </w:t>
      </w:r>
    </w:p>
    <w:p w:rsidR="008A17FA" w:rsidRDefault="00711F9F">
      <w:pPr>
        <w:spacing w:line="480" w:lineRule="auto"/>
      </w:pPr>
      <w:r>
        <w:t>Based on the summary of product characteristics, IDegLira is licensed for use with oral glucose-lowering medicinal products when these alone or combined with basal insulin do not provide adequate glycaemic control [61]. Considering that GLP-1 RAs and basal insulin are already available for use in ‘free’ or ‘loose’ combination, IDegLira may be considered in patients who are very poorly controlled (HbA</w:t>
      </w:r>
      <w:r>
        <w:rPr>
          <w:vertAlign w:val="subscript"/>
        </w:rPr>
        <w:t>1c</w:t>
      </w:r>
      <w:r>
        <w:t xml:space="preserve"> &gt;8.5%) on oral therapy, where initiation of a GLP-1 RA or basal insulin alone may not be sufficient, and initiation of basal–bolus or premix insulin is not appropriate. Another group of patients who may be considered for IDegLira are those with significant weight problems who are already receiving modest doses of basal insulin and failing to achieve their glycaemic targets – the convenience of IDegLira compared with the addition of a second injection when adding a GLP-1 RA may appeal to some patients; other options might include insulin intensification, with known risks of weight gain and hypoglycaemia, or the addition of an SGLT2 inhibitor or DPP-4 inhibitor. Although not currently licensed or studied to date, given the improved gastrointestinal tolerability of IDegLira </w:t>
      </w:r>
      <w:r>
        <w:lastRenderedPageBreak/>
        <w:t>versus a GLP-1 RA, patients who have previously been unable to tolerate standard GLP-1 RA up-titration may find a fixed-ratio preparation more acceptable.</w:t>
      </w:r>
    </w:p>
    <w:p w:rsidR="008A17FA" w:rsidRDefault="00711F9F">
      <w:pPr>
        <w:spacing w:line="480" w:lineRule="auto"/>
        <w:rPr>
          <w:i/>
        </w:rPr>
      </w:pPr>
      <w:r>
        <w:rPr>
          <w:i/>
        </w:rPr>
        <w:t>5.4 Fixed-ratio combinations: what’s next?</w:t>
      </w:r>
    </w:p>
    <w:p w:rsidR="008A17FA" w:rsidRDefault="00711F9F">
      <w:pPr>
        <w:spacing w:line="480" w:lineRule="auto"/>
      </w:pPr>
      <w:r>
        <w:t>Additional clinical trial data for IDegLira are expected in 2015, which will describe the safety and efficacy of IDegLira when added to existing SU ± metformin therapy (DUAL IV), when switching from a GLP-1 RA (DUAL III) and in patients uncontrolled on basal insulin therapy versus up-titration of insulin glargine (DUAL V). In addition, there is another fixed-ratio combination of a GLP-1 RA and basal insulin under development. The LixiLan device combines lixisenatide and insulin glargine in one pen with a maximum dose of 60 U insulin glargine and 30 µg lixisenatide used in a phase 2 study [65]. The study compared the safety and efficacy of adding LixiLan or insulin glargine in patients uncontrolled on metformin. After 24 weeks, mean HbA</w:t>
      </w:r>
      <w:r>
        <w:rPr>
          <w:vertAlign w:val="subscript"/>
        </w:rPr>
        <w:t>1c</w:t>
      </w:r>
      <w:r>
        <w:t xml:space="preserve"> had decreased from 8.0% at baseline to 6.3% and 6.5% with LixiLan and insulin glargine, respectively (treatment difference −0.17%, </w:t>
      </w:r>
      <w:r>
        <w:rPr>
          <w:i/>
        </w:rPr>
        <w:t xml:space="preserve">P </w:t>
      </w:r>
      <w:r>
        <w:t xml:space="preserve">= 0.01). LixiLan resulted in a weight reduction of 1 kg while weight increased by 0.5 kg with insulin glargine (treatment difference −1.4 kg, </w:t>
      </w:r>
      <w:r>
        <w:rPr>
          <w:i/>
        </w:rPr>
        <w:t>P</w:t>
      </w:r>
      <w:r>
        <w:t xml:space="preserve"> &lt; 0.0001), with a similar proportion of patients experiencing hypoglycaemia in both arms (22 vs. 23%). Two LixiLan phase 3 studies were initiated in 2014 and results are expected late in 2015.</w:t>
      </w:r>
    </w:p>
    <w:p w:rsidR="008A17FA" w:rsidRDefault="008A17FA">
      <w:pPr>
        <w:spacing w:line="480" w:lineRule="auto"/>
      </w:pPr>
    </w:p>
    <w:p w:rsidR="008A17FA" w:rsidRDefault="00711F9F">
      <w:pPr>
        <w:keepNext/>
        <w:spacing w:line="480" w:lineRule="auto"/>
        <w:rPr>
          <w:b/>
        </w:rPr>
      </w:pPr>
      <w:r>
        <w:rPr>
          <w:b/>
        </w:rPr>
        <w:t>6. Summary</w:t>
      </w:r>
    </w:p>
    <w:p w:rsidR="008A17FA" w:rsidRDefault="00711F9F">
      <w:pPr>
        <w:spacing w:after="0" w:line="480" w:lineRule="auto"/>
        <w:rPr>
          <w:rFonts w:cs="Times New Roman"/>
          <w:color w:val="000000" w:themeColor="text1"/>
          <w:lang w:val="en-US"/>
        </w:rPr>
      </w:pPr>
      <w:r>
        <w:t>Insulin initiation and intensification are often severely delayed. The initiation of insulin therapy is associated with weight gain and hypoglycaemia, particularly as patients approach target HbA</w:t>
      </w:r>
      <w:r>
        <w:rPr>
          <w:vertAlign w:val="subscript"/>
        </w:rPr>
        <w:t>1c</w:t>
      </w:r>
      <w:r>
        <w:t xml:space="preserve"> levels. Intensification of insulin therapy to improve glycaemic control often results in further weight gain and an increased risk of hypoglycaemia. Use of an SGLT2 inhibitor, DPP-4 inhibitor or GLP-1 RA in combination with basal insulin can reduce these insulin-associated side effects. While GLP-1 RAs have largely been studied in combination with basal insulin, SGLT2 inhibitors (and to a lesser extent </w:t>
      </w:r>
      <w:r>
        <w:lastRenderedPageBreak/>
        <w:t>DPP-4 inhibitors) have been shown to be effective at reducing HbA</w:t>
      </w:r>
      <w:r>
        <w:rPr>
          <w:vertAlign w:val="subscript"/>
        </w:rPr>
        <w:t>1c</w:t>
      </w:r>
      <w:r>
        <w:t xml:space="preserve"> and body weight when added to advanced insulin regimens. </w:t>
      </w:r>
    </w:p>
    <w:p w:rsidR="008A17FA" w:rsidRDefault="008A17FA">
      <w:pPr>
        <w:keepNext/>
        <w:spacing w:line="480" w:lineRule="auto"/>
      </w:pPr>
    </w:p>
    <w:p w:rsidR="008A17FA" w:rsidRDefault="00711F9F">
      <w:pPr>
        <w:keepNext/>
        <w:spacing w:line="480" w:lineRule="auto"/>
      </w:pPr>
      <w:r>
        <w:t xml:space="preserve">Combining both a GLP-1 RA and basal insulin in a once-daily injection using a simple pen device may help overcome clinical inertia to treatment intensification caused by hypoglycaemia, weight gain, treatment complexity or the inability to use a GLP-1 RA due to gastrointestinal side effects. Additional data from the IDegLira and LixiLan clinical programmes are now awaited to further establish the safety and efficacy of fixed-ratio combinations in additional patient populations with type 2 diabetes. </w:t>
      </w:r>
    </w:p>
    <w:p w:rsidR="008A17FA" w:rsidRDefault="008A17FA"/>
    <w:p w:rsidR="008A17FA" w:rsidRDefault="00711F9F">
      <w:pPr>
        <w:pStyle w:val="Heading2"/>
        <w:spacing w:before="0" w:line="480" w:lineRule="auto"/>
        <w:rPr>
          <w:rFonts w:asciiTheme="minorHAnsi" w:hAnsiTheme="minorHAnsi"/>
          <w:i w:val="0"/>
          <w:sz w:val="22"/>
        </w:rPr>
      </w:pPr>
      <w:r>
        <w:rPr>
          <w:rFonts w:asciiTheme="minorHAnsi" w:hAnsiTheme="minorHAnsi"/>
          <w:i w:val="0"/>
          <w:sz w:val="22"/>
        </w:rPr>
        <w:t>Acknowledgements</w:t>
      </w:r>
    </w:p>
    <w:p w:rsidR="008A17FA" w:rsidRDefault="00711F9F">
      <w:pPr>
        <w:spacing w:after="0" w:line="480" w:lineRule="auto"/>
        <w:rPr>
          <w:rFonts w:ascii="Arial" w:hAnsi="Arial" w:cs="Arial"/>
          <w:sz w:val="20"/>
        </w:rPr>
      </w:pPr>
      <w:r>
        <w:rPr>
          <w:rFonts w:cs="Arial"/>
        </w:rPr>
        <w:t>All authors have contributed to the design, structure and content of this manuscript. The authors thank David Harvey and Daria Renshaw at Watermeadow Medical for medical writing and editorial assistance (funded by Novo Nordisk). The authors did not receive payment in relation to the preparation of this article</w:t>
      </w:r>
      <w:r>
        <w:rPr>
          <w:rFonts w:ascii="Arial" w:hAnsi="Arial" w:cs="Arial"/>
          <w:sz w:val="20"/>
        </w:rPr>
        <w:t xml:space="preserve">. </w:t>
      </w:r>
    </w:p>
    <w:p w:rsidR="008A17FA" w:rsidRDefault="00711F9F">
      <w:r>
        <w:br w:type="page"/>
      </w:r>
    </w:p>
    <w:p w:rsidR="008A17FA" w:rsidRDefault="00711F9F">
      <w:pPr>
        <w:spacing w:after="200" w:line="360" w:lineRule="auto"/>
        <w:rPr>
          <w:b/>
        </w:rPr>
      </w:pPr>
      <w:r>
        <w:rPr>
          <w:b/>
        </w:rPr>
        <w:lastRenderedPageBreak/>
        <w:t>References</w:t>
      </w:r>
    </w:p>
    <w:p w:rsidR="008A17FA" w:rsidRDefault="00711F9F">
      <w:pPr>
        <w:spacing w:after="200" w:line="360" w:lineRule="auto"/>
      </w:pPr>
      <w:r>
        <w:t xml:space="preserve">1. UKPDS Group. </w:t>
      </w:r>
      <w:r>
        <w:rPr>
          <w:bCs/>
        </w:rPr>
        <w:t>Intensive blood-glucose control with sulphonylureas or insulin compared with conventional treatment and risk of complications in patients with type 2 diabetes (UKPDS 33).</w:t>
      </w:r>
      <w:r>
        <w:rPr>
          <w:b/>
          <w:bCs/>
        </w:rPr>
        <w:t xml:space="preserve"> </w:t>
      </w:r>
      <w:r>
        <w:rPr>
          <w:i/>
          <w:iCs/>
        </w:rPr>
        <w:t>Lancet</w:t>
      </w:r>
      <w:r>
        <w:t xml:space="preserve"> 1998; </w:t>
      </w:r>
      <w:r>
        <w:rPr>
          <w:b/>
        </w:rPr>
        <w:t>352:</w:t>
      </w:r>
      <w:r>
        <w:t xml:space="preserve"> 837–853.</w:t>
      </w:r>
    </w:p>
    <w:p w:rsidR="008A17FA" w:rsidRDefault="00711F9F">
      <w:pPr>
        <w:spacing w:after="200" w:line="360" w:lineRule="auto"/>
        <w:rPr>
          <w:b/>
          <w:bCs/>
        </w:rPr>
      </w:pPr>
      <w:r>
        <w:t xml:space="preserve">2. Gerstein HC, Miller ME, Byington RP, Goff DC Jr, Bigger JT, Buse JB, </w:t>
      </w:r>
      <w:r>
        <w:rPr>
          <w:i/>
          <w:iCs/>
        </w:rPr>
        <w:t>et al</w:t>
      </w:r>
      <w:r>
        <w:t xml:space="preserve">; ACCORD Group. </w:t>
      </w:r>
      <w:r>
        <w:rPr>
          <w:bCs/>
        </w:rPr>
        <w:t>Effects of intensive glucose lowering in type 2 diabetes.</w:t>
      </w:r>
      <w:r>
        <w:rPr>
          <w:b/>
          <w:bCs/>
        </w:rPr>
        <w:t xml:space="preserve"> </w:t>
      </w:r>
      <w:r>
        <w:rPr>
          <w:i/>
          <w:iCs/>
        </w:rPr>
        <w:t>N Engl J Med</w:t>
      </w:r>
      <w:r>
        <w:t xml:space="preserve"> 2008; </w:t>
      </w:r>
      <w:r>
        <w:rPr>
          <w:b/>
        </w:rPr>
        <w:t>358:</w:t>
      </w:r>
      <w:r>
        <w:t xml:space="preserve"> 2545–2559.</w:t>
      </w:r>
    </w:p>
    <w:p w:rsidR="008A17FA" w:rsidRDefault="00711F9F">
      <w:pPr>
        <w:spacing w:after="200" w:line="360" w:lineRule="auto"/>
        <w:rPr>
          <w:b/>
          <w:bCs/>
          <w:i/>
          <w:iCs/>
        </w:rPr>
      </w:pPr>
      <w:r>
        <w:t xml:space="preserve">3. Duckworth W, Abraira C, Moritz T, Reda D, Emanuele N, Reaven PD, </w:t>
      </w:r>
      <w:r>
        <w:rPr>
          <w:i/>
        </w:rPr>
        <w:t>et al</w:t>
      </w:r>
      <w:r>
        <w:t>; VADT Investigators.</w:t>
      </w:r>
      <w:r>
        <w:rPr>
          <w:rFonts w:ascii="Arial" w:eastAsia="Times New Roman" w:hAnsi="Arial" w:cs="Arial"/>
          <w:b/>
          <w:bCs/>
          <w:color w:val="000000"/>
          <w:kern w:val="36"/>
          <w:sz w:val="30"/>
          <w:szCs w:val="30"/>
          <w:lang w:eastAsia="en-GB"/>
        </w:rPr>
        <w:t xml:space="preserve"> </w:t>
      </w:r>
      <w:r>
        <w:rPr>
          <w:bCs/>
          <w:iCs/>
        </w:rPr>
        <w:t>Glucose control and vascular complications in veterans with type 2 diabetes.</w:t>
      </w:r>
      <w:r>
        <w:rPr>
          <w:b/>
          <w:bCs/>
          <w:i/>
          <w:iCs/>
        </w:rPr>
        <w:t xml:space="preserve"> </w:t>
      </w:r>
      <w:r>
        <w:rPr>
          <w:i/>
          <w:iCs/>
        </w:rPr>
        <w:t>N Engl J Med</w:t>
      </w:r>
      <w:r>
        <w:t xml:space="preserve"> 2009; </w:t>
      </w:r>
      <w:r>
        <w:rPr>
          <w:b/>
        </w:rPr>
        <w:t>360:</w:t>
      </w:r>
      <w:r>
        <w:t xml:space="preserve"> 129–139.</w:t>
      </w:r>
    </w:p>
    <w:p w:rsidR="008A17FA" w:rsidRDefault="00711F9F">
      <w:pPr>
        <w:spacing w:after="200" w:line="360" w:lineRule="auto"/>
        <w:rPr>
          <w:b/>
          <w:bCs/>
          <w:i/>
          <w:iCs/>
        </w:rPr>
      </w:pPr>
      <w:r>
        <w:t xml:space="preserve">4. Khunti K, Damci T, Meneghini L, Pan CY, Yale JF; SOLVE Study Group. </w:t>
      </w:r>
      <w:r>
        <w:rPr>
          <w:bCs/>
          <w:iCs/>
        </w:rPr>
        <w:t>Study of Once Daily Levemir (SOLVE™): insights into the timing of insulin initiation in people with poorly controlled type 2 diabetes in routine clinical practice.</w:t>
      </w:r>
      <w:r>
        <w:rPr>
          <w:b/>
          <w:bCs/>
          <w:i/>
          <w:iCs/>
        </w:rPr>
        <w:t xml:space="preserve"> </w:t>
      </w:r>
      <w:r>
        <w:rPr>
          <w:i/>
          <w:iCs/>
        </w:rPr>
        <w:t xml:space="preserve">Diabetes Obes Metab </w:t>
      </w:r>
      <w:r>
        <w:t xml:space="preserve">2012; </w:t>
      </w:r>
      <w:r>
        <w:rPr>
          <w:b/>
        </w:rPr>
        <w:t>14:</w:t>
      </w:r>
      <w:r>
        <w:t xml:space="preserve"> 654–661.</w:t>
      </w:r>
    </w:p>
    <w:p w:rsidR="008A17FA" w:rsidRDefault="00711F9F">
      <w:pPr>
        <w:autoSpaceDE w:val="0"/>
        <w:autoSpaceDN w:val="0"/>
        <w:adjustRightInd w:val="0"/>
        <w:spacing w:after="200" w:line="360" w:lineRule="auto"/>
        <w:rPr>
          <w:bCs/>
        </w:rPr>
      </w:pPr>
      <w:r>
        <w:t xml:space="preserve">5. Inzucchi SE, Bergenstal RM, Buse JB, Diamant M, Ferrannini E, Nauck M, </w:t>
      </w:r>
      <w:r>
        <w:rPr>
          <w:i/>
        </w:rPr>
        <w:t>et al</w:t>
      </w:r>
      <w:r>
        <w:t xml:space="preserve">. Management of hyperglycaemia in type 2 diabetes, 2015: a patient-centred approach. Update to a position statement of the American Diabetes Association and the European Association for the Study of Diabetes. </w:t>
      </w:r>
      <w:r>
        <w:rPr>
          <w:i/>
        </w:rPr>
        <w:t xml:space="preserve">Diabetologia </w:t>
      </w:r>
      <w:r>
        <w:t xml:space="preserve">2015; </w:t>
      </w:r>
      <w:r>
        <w:rPr>
          <w:b/>
        </w:rPr>
        <w:t>58</w:t>
      </w:r>
      <w:r>
        <w:t>: 429–442</w:t>
      </w:r>
      <w:r>
        <w:rPr>
          <w:bCs/>
        </w:rPr>
        <w:t>.</w:t>
      </w:r>
    </w:p>
    <w:p w:rsidR="008A17FA" w:rsidRDefault="00711F9F">
      <w:pPr>
        <w:autoSpaceDE w:val="0"/>
        <w:autoSpaceDN w:val="0"/>
        <w:adjustRightInd w:val="0"/>
        <w:spacing w:after="200" w:line="360" w:lineRule="auto"/>
      </w:pPr>
      <w:r>
        <w:t xml:space="preserve">6. NICE. Type 2 diabetes: newer agents Type 2 diabetes: newer agents for blood glucose control in type 2 diabetes. 2009. Available at: </w:t>
      </w:r>
      <w:hyperlink r:id="rId10" w:history="1">
        <w:r>
          <w:rPr>
            <w:rStyle w:val="Hyperlink"/>
          </w:rPr>
          <w:t>http://www.nice.org.uk/guidance/cg87/resources/cg87-type-2-diabetes-newer-agents-a-partial-update-of-cg66-short-guideline2</w:t>
        </w:r>
      </w:hyperlink>
      <w:r>
        <w:rPr>
          <w:rStyle w:val="Hyperlink"/>
          <w:u w:val="none"/>
        </w:rPr>
        <w:t xml:space="preserve"> [Accessed 1 December 2014].</w:t>
      </w:r>
    </w:p>
    <w:p w:rsidR="008A17FA" w:rsidRDefault="00711F9F">
      <w:pPr>
        <w:spacing w:after="200" w:line="360" w:lineRule="auto"/>
        <w:rPr>
          <w:b/>
          <w:bCs/>
        </w:rPr>
      </w:pPr>
      <w:r>
        <w:t xml:space="preserve">7. Khunti K, Wolden ML, Thorsted BL, Andersen M, Davies MJ. </w:t>
      </w:r>
      <w:r>
        <w:rPr>
          <w:bCs/>
        </w:rPr>
        <w:t>Clinical inertia in people with type 2 diabetes: a retrospective cohort study of more than 80,000 people.</w:t>
      </w:r>
      <w:r>
        <w:rPr>
          <w:b/>
          <w:bCs/>
        </w:rPr>
        <w:t xml:space="preserve"> </w:t>
      </w:r>
      <w:r>
        <w:rPr>
          <w:i/>
          <w:iCs/>
          <w:lang w:val="en-US"/>
        </w:rPr>
        <w:t xml:space="preserve">Diabetes Care </w:t>
      </w:r>
      <w:r>
        <w:rPr>
          <w:lang w:val="en-US"/>
        </w:rPr>
        <w:t xml:space="preserve">2013; </w:t>
      </w:r>
      <w:r>
        <w:rPr>
          <w:b/>
          <w:lang w:val="en-US"/>
        </w:rPr>
        <w:t>36:</w:t>
      </w:r>
      <w:r>
        <w:rPr>
          <w:lang w:val="en-US"/>
        </w:rPr>
        <w:t xml:space="preserve"> 3411–3417.</w:t>
      </w:r>
    </w:p>
    <w:p w:rsidR="008A17FA" w:rsidRDefault="00711F9F">
      <w:pPr>
        <w:spacing w:after="200" w:line="360" w:lineRule="auto"/>
        <w:rPr>
          <w:bCs/>
        </w:rPr>
      </w:pPr>
      <w:r>
        <w:rPr>
          <w:lang w:val="en-US"/>
        </w:rPr>
        <w:t>8. Blak BT, Smith HT, Hards M, Curtis BH, Ivanyi T.</w:t>
      </w:r>
      <w:r>
        <w:rPr>
          <w:i/>
          <w:lang w:val="en-US"/>
        </w:rPr>
        <w:t xml:space="preserve"> </w:t>
      </w:r>
      <w:r>
        <w:rPr>
          <w:bCs/>
        </w:rPr>
        <w:t xml:space="preserve">Optimization of insulin therapy in patients with type 2 diabetes mellitus: beyond basal insulin. </w:t>
      </w:r>
      <w:r>
        <w:rPr>
          <w:i/>
          <w:lang w:val="en-US"/>
        </w:rPr>
        <w:t>Diabet Med</w:t>
      </w:r>
      <w:r>
        <w:rPr>
          <w:lang w:val="en-US"/>
        </w:rPr>
        <w:t xml:space="preserve"> 2012; </w:t>
      </w:r>
      <w:r>
        <w:rPr>
          <w:b/>
          <w:lang w:val="en-US"/>
        </w:rPr>
        <w:t>26:</w:t>
      </w:r>
      <w:r>
        <w:rPr>
          <w:lang w:val="en-US"/>
        </w:rPr>
        <w:t xml:space="preserve"> e13–e20.</w:t>
      </w:r>
    </w:p>
    <w:p w:rsidR="008A17FA" w:rsidRDefault="00711F9F">
      <w:pPr>
        <w:spacing w:after="200" w:line="360" w:lineRule="auto"/>
        <w:rPr>
          <w:b/>
          <w:bCs/>
        </w:rPr>
      </w:pPr>
      <w:r>
        <w:t>9. Brunton S.</w:t>
      </w:r>
      <w:r>
        <w:rPr>
          <w:rFonts w:ascii="Arial" w:eastAsia="Times New Roman" w:hAnsi="Arial" w:cs="Arial"/>
          <w:b/>
          <w:bCs/>
          <w:color w:val="000000"/>
          <w:kern w:val="36"/>
          <w:sz w:val="30"/>
          <w:szCs w:val="30"/>
          <w:lang w:eastAsia="en-GB"/>
        </w:rPr>
        <w:t xml:space="preserve"> </w:t>
      </w:r>
      <w:r>
        <w:rPr>
          <w:bCs/>
        </w:rPr>
        <w:t>GLP-1 receptor agonists vs. DPP-4 inhibitors for type 2 diabetes: is one approach more successful or preferable than the other?</w:t>
      </w:r>
      <w:r>
        <w:t xml:space="preserve"> </w:t>
      </w:r>
      <w:r>
        <w:rPr>
          <w:i/>
        </w:rPr>
        <w:t>Int J Clin Pract</w:t>
      </w:r>
      <w:r>
        <w:t xml:space="preserve"> 2014; </w:t>
      </w:r>
      <w:r>
        <w:rPr>
          <w:b/>
        </w:rPr>
        <w:t>68:</w:t>
      </w:r>
      <w:r>
        <w:t xml:space="preserve"> 557–567.</w:t>
      </w:r>
    </w:p>
    <w:p w:rsidR="008A17FA" w:rsidRDefault="00711F9F">
      <w:pPr>
        <w:spacing w:after="200" w:line="360" w:lineRule="auto"/>
        <w:rPr>
          <w:shd w:val="clear" w:color="auto" w:fill="FFFFFF"/>
        </w:rPr>
      </w:pPr>
      <w:r>
        <w:rPr>
          <w:shd w:val="clear" w:color="auto" w:fill="FFFFFF"/>
        </w:rPr>
        <w:t xml:space="preserve">10. Wilding JP. </w:t>
      </w:r>
      <w:r>
        <w:rPr>
          <w:lang w:eastAsia="en-GB"/>
        </w:rPr>
        <w:t xml:space="preserve">The role of the kidneys in glucose homeostasis in type 2 diabetes: Clinical implications and therapeutic significance through sodium glucose co-transporter 2 inhibitors. </w:t>
      </w:r>
      <w:r>
        <w:rPr>
          <w:i/>
          <w:shd w:val="clear" w:color="auto" w:fill="FFFFFF"/>
        </w:rPr>
        <w:t>Metabolism</w:t>
      </w:r>
      <w:r>
        <w:rPr>
          <w:rStyle w:val="apple-converted-space"/>
          <w:rFonts w:cs="Arial"/>
          <w:color w:val="000000"/>
          <w:shd w:val="clear" w:color="auto" w:fill="FFFFFF"/>
        </w:rPr>
        <w:t> </w:t>
      </w:r>
      <w:r>
        <w:rPr>
          <w:shd w:val="clear" w:color="auto" w:fill="FFFFFF"/>
        </w:rPr>
        <w:t xml:space="preserve">2014; </w:t>
      </w:r>
      <w:r>
        <w:rPr>
          <w:b/>
          <w:shd w:val="clear" w:color="auto" w:fill="FFFFFF"/>
        </w:rPr>
        <w:t>63:</w:t>
      </w:r>
      <w:r>
        <w:rPr>
          <w:shd w:val="clear" w:color="auto" w:fill="FFFFFF"/>
        </w:rPr>
        <w:t xml:space="preserve"> 1228–1237.</w:t>
      </w:r>
    </w:p>
    <w:p w:rsidR="008A17FA" w:rsidRDefault="00711F9F">
      <w:pPr>
        <w:spacing w:after="200" w:line="360" w:lineRule="auto"/>
      </w:pPr>
      <w:r>
        <w:lastRenderedPageBreak/>
        <w:t xml:space="preserve">11. Dale J, Martin S, Gadsby R. </w:t>
      </w:r>
      <w:r>
        <w:rPr>
          <w:bCs/>
        </w:rPr>
        <w:t>Insulin initiation in primary care for patients with type 2 diabetes: 3-year follow-up study.</w:t>
      </w:r>
      <w:r>
        <w:t xml:space="preserve"> </w:t>
      </w:r>
      <w:r>
        <w:rPr>
          <w:i/>
        </w:rPr>
        <w:t>Prim Care Diabetes</w:t>
      </w:r>
      <w:r>
        <w:t xml:space="preserve"> 2010; </w:t>
      </w:r>
      <w:r>
        <w:rPr>
          <w:b/>
        </w:rPr>
        <w:t>4:</w:t>
      </w:r>
      <w:r>
        <w:t xml:space="preserve"> 85–89.</w:t>
      </w:r>
    </w:p>
    <w:p w:rsidR="008A17FA" w:rsidRDefault="00711F9F">
      <w:pPr>
        <w:spacing w:after="200" w:line="360" w:lineRule="auto"/>
        <w:rPr>
          <w:rFonts w:cs="Arial"/>
          <w:color w:val="000000"/>
          <w:shd w:val="clear" w:color="auto" w:fill="FFFFFF"/>
        </w:rPr>
      </w:pPr>
      <w:r>
        <w:t xml:space="preserve">12. Watson L, Wilson BP, Alsop J, Kumar S. </w:t>
      </w:r>
      <w:r>
        <w:rPr>
          <w:bCs/>
        </w:rPr>
        <w:t xml:space="preserve">Weight and glycaemic control in type 2 diabetes: what is the outcome of insulin initiation? </w:t>
      </w:r>
      <w:r>
        <w:rPr>
          <w:rFonts w:cs="Arial"/>
          <w:i/>
          <w:color w:val="000000"/>
          <w:shd w:val="clear" w:color="auto" w:fill="FFFFFF"/>
        </w:rPr>
        <w:t>Diabetes Obes Metab</w:t>
      </w:r>
      <w:r>
        <w:rPr>
          <w:rStyle w:val="apple-converted-space"/>
          <w:rFonts w:cs="Arial"/>
          <w:color w:val="000000"/>
          <w:shd w:val="clear" w:color="auto" w:fill="FFFFFF"/>
        </w:rPr>
        <w:t> </w:t>
      </w:r>
      <w:r>
        <w:rPr>
          <w:rFonts w:cs="Arial"/>
          <w:color w:val="000000"/>
          <w:shd w:val="clear" w:color="auto" w:fill="FFFFFF"/>
        </w:rPr>
        <w:t xml:space="preserve">2011; </w:t>
      </w:r>
      <w:r>
        <w:rPr>
          <w:rFonts w:cs="Arial"/>
          <w:b/>
          <w:color w:val="000000"/>
          <w:shd w:val="clear" w:color="auto" w:fill="FFFFFF"/>
        </w:rPr>
        <w:t>13:</w:t>
      </w:r>
      <w:r>
        <w:rPr>
          <w:rFonts w:cs="Arial"/>
          <w:color w:val="000000"/>
          <w:shd w:val="clear" w:color="auto" w:fill="FFFFFF"/>
        </w:rPr>
        <w:t xml:space="preserve"> 823–831.</w:t>
      </w:r>
    </w:p>
    <w:p w:rsidR="008A17FA" w:rsidRDefault="00711F9F">
      <w:pPr>
        <w:spacing w:after="200" w:line="360" w:lineRule="auto"/>
        <w:rPr>
          <w:b/>
          <w:bCs/>
          <w:i/>
        </w:rPr>
      </w:pPr>
      <w:r>
        <w:t>13. Blak BT, Smith HT, Hards M, Maguire A, Gimeno V.</w:t>
      </w:r>
      <w:r>
        <w:rPr>
          <w:i/>
        </w:rPr>
        <w:t xml:space="preserve"> </w:t>
      </w:r>
      <w:r>
        <w:rPr>
          <w:bCs/>
        </w:rPr>
        <w:t>A retrospective database study of insulin initiation in patients with Type 2 diabetes in UK primary care.</w:t>
      </w:r>
      <w:r>
        <w:rPr>
          <w:i/>
        </w:rPr>
        <w:t xml:space="preserve"> Diabet Med</w:t>
      </w:r>
      <w:r>
        <w:t xml:space="preserve"> 2012; </w:t>
      </w:r>
      <w:r>
        <w:rPr>
          <w:b/>
          <w:color w:val="000000"/>
        </w:rPr>
        <w:t>29:</w:t>
      </w:r>
      <w:r>
        <w:rPr>
          <w:color w:val="000000"/>
        </w:rPr>
        <w:t xml:space="preserve"> e191–198.</w:t>
      </w:r>
      <w:r>
        <w:t xml:space="preserve"> </w:t>
      </w:r>
    </w:p>
    <w:p w:rsidR="008A17FA" w:rsidRDefault="00711F9F">
      <w:pPr>
        <w:shd w:val="clear" w:color="auto" w:fill="FFFFFF"/>
        <w:spacing w:after="200" w:line="360" w:lineRule="auto"/>
        <w:textAlignment w:val="baseline"/>
        <w:rPr>
          <w:rFonts w:eastAsia="Times New Roman" w:cs="Lucida Sans Unicode"/>
          <w:color w:val="222222"/>
          <w:bdr w:val="none" w:sz="0" w:space="0" w:color="auto" w:frame="1"/>
          <w:shd w:val="clear" w:color="auto" w:fill="FFFFFF"/>
          <w:lang w:eastAsia="en-GB"/>
        </w:rPr>
      </w:pPr>
      <w:r>
        <w:rPr>
          <w:rFonts w:eastAsia="Times New Roman" w:cs="Lucida Sans Unicode"/>
          <w:color w:val="222222"/>
          <w:bdr w:val="none" w:sz="0" w:space="0" w:color="auto" w:frame="1"/>
          <w:lang w:eastAsia="en-GB"/>
        </w:rPr>
        <w:t>14. Rosenstock J, Schwartz SL, Clark CM Jr, Park GD, Donley DW, Edwards MB.</w:t>
      </w:r>
      <w:r>
        <w:rPr>
          <w:rFonts w:eastAsia="Times New Roman" w:cs="Lucida Sans Unicode"/>
          <w:color w:val="222222"/>
          <w:bdr w:val="none" w:sz="0" w:space="0" w:color="auto" w:frame="1"/>
          <w:shd w:val="clear" w:color="auto" w:fill="FFFFFF"/>
          <w:lang w:eastAsia="en-GB"/>
        </w:rPr>
        <w:t> Basal insulin therapy in type 2 diabetes: 28-week comparison of insulin glargine (HOE 901) and NPH insulin. </w:t>
      </w:r>
      <w:r>
        <w:rPr>
          <w:rFonts w:eastAsia="Times New Roman" w:cs="Lucida Sans Unicode"/>
          <w:i/>
          <w:color w:val="222222"/>
          <w:bdr w:val="none" w:sz="0" w:space="0" w:color="auto" w:frame="1"/>
          <w:shd w:val="clear" w:color="auto" w:fill="FFFFFF"/>
          <w:lang w:eastAsia="en-GB"/>
        </w:rPr>
        <w:t>Diabetes Care</w:t>
      </w:r>
      <w:r>
        <w:rPr>
          <w:rFonts w:eastAsia="Times New Roman" w:cs="Lucida Sans Unicode"/>
          <w:color w:val="222222"/>
          <w:bdr w:val="none" w:sz="0" w:space="0" w:color="auto" w:frame="1"/>
          <w:shd w:val="clear" w:color="auto" w:fill="FFFFFF"/>
          <w:lang w:eastAsia="en-GB"/>
        </w:rPr>
        <w:t> 2001; </w:t>
      </w:r>
      <w:r>
        <w:rPr>
          <w:rFonts w:eastAsia="Times New Roman" w:cs="Lucida Sans Unicode"/>
          <w:b/>
          <w:color w:val="222222"/>
          <w:bdr w:val="none" w:sz="0" w:space="0" w:color="auto" w:frame="1"/>
          <w:shd w:val="clear" w:color="auto" w:fill="FFFFFF"/>
          <w:lang w:eastAsia="en-GB"/>
        </w:rPr>
        <w:t>24:</w:t>
      </w:r>
      <w:r>
        <w:rPr>
          <w:rFonts w:eastAsia="Times New Roman" w:cs="Lucida Sans Unicode"/>
          <w:color w:val="222222"/>
          <w:bdr w:val="none" w:sz="0" w:space="0" w:color="auto" w:frame="1"/>
          <w:shd w:val="clear" w:color="auto" w:fill="FFFFFF"/>
          <w:lang w:eastAsia="en-GB"/>
        </w:rPr>
        <w:t xml:space="preserve"> 631–636.</w:t>
      </w:r>
    </w:p>
    <w:p w:rsidR="008A17FA" w:rsidRDefault="00711F9F">
      <w:pPr>
        <w:shd w:val="clear" w:color="auto" w:fill="FFFFFF"/>
        <w:spacing w:after="200" w:line="360" w:lineRule="auto"/>
        <w:textAlignment w:val="baseline"/>
        <w:rPr>
          <w:rFonts w:eastAsia="Times New Roman" w:cs="Lucida Sans Unicode"/>
          <w:color w:val="222222"/>
          <w:bdr w:val="none" w:sz="0" w:space="0" w:color="auto" w:frame="1"/>
          <w:shd w:val="clear" w:color="auto" w:fill="FFFFFF"/>
          <w:lang w:eastAsia="en-GB"/>
        </w:rPr>
      </w:pPr>
      <w:r>
        <w:rPr>
          <w:rFonts w:eastAsia="Times New Roman" w:cs="Lucida Sans Unicode"/>
          <w:color w:val="222222"/>
          <w:bdr w:val="none" w:sz="0" w:space="0" w:color="auto" w:frame="1"/>
          <w:lang w:val="da-DK" w:eastAsia="en-GB"/>
        </w:rPr>
        <w:t>15. Philis-Tsimikas A, Charpentier G, Clauson P, Ravn GM, Roberts VL, Thorsteinsson B.</w:t>
      </w:r>
      <w:r>
        <w:rPr>
          <w:rFonts w:eastAsia="Times New Roman" w:cs="Lucida Sans Unicode"/>
          <w:color w:val="222222"/>
          <w:bdr w:val="none" w:sz="0" w:space="0" w:color="auto" w:frame="1"/>
          <w:shd w:val="clear" w:color="auto" w:fill="FFFFFF"/>
          <w:lang w:val="da-DK" w:eastAsia="en-GB"/>
        </w:rPr>
        <w:t> </w:t>
      </w:r>
      <w:r>
        <w:rPr>
          <w:rFonts w:eastAsia="Times New Roman" w:cs="Lucida Sans Unicode"/>
          <w:color w:val="222222"/>
          <w:bdr w:val="none" w:sz="0" w:space="0" w:color="auto" w:frame="1"/>
          <w:shd w:val="clear" w:color="auto" w:fill="FFFFFF"/>
          <w:lang w:eastAsia="en-GB"/>
        </w:rPr>
        <w:t>Comparison of once-daily insulin detemir with NPH insulin added to a regimen of oral antidiabetic drugs in poorly controlled type 2 diabetes. </w:t>
      </w:r>
      <w:r>
        <w:rPr>
          <w:rFonts w:eastAsia="Times New Roman" w:cs="Lucida Sans Unicode"/>
          <w:i/>
          <w:color w:val="222222"/>
          <w:bdr w:val="none" w:sz="0" w:space="0" w:color="auto" w:frame="1"/>
          <w:shd w:val="clear" w:color="auto" w:fill="FFFFFF"/>
          <w:lang w:eastAsia="en-GB"/>
        </w:rPr>
        <w:t>Clin Ther</w:t>
      </w:r>
      <w:r>
        <w:rPr>
          <w:rFonts w:eastAsia="Times New Roman" w:cs="Lucida Sans Unicode"/>
          <w:color w:val="222222"/>
          <w:bdr w:val="none" w:sz="0" w:space="0" w:color="auto" w:frame="1"/>
          <w:shd w:val="clear" w:color="auto" w:fill="FFFFFF"/>
          <w:lang w:eastAsia="en-GB"/>
        </w:rPr>
        <w:t> 2006; </w:t>
      </w:r>
      <w:r>
        <w:rPr>
          <w:rFonts w:eastAsia="Times New Roman" w:cs="Lucida Sans Unicode"/>
          <w:b/>
          <w:color w:val="222222"/>
          <w:bdr w:val="none" w:sz="0" w:space="0" w:color="auto" w:frame="1"/>
          <w:shd w:val="clear" w:color="auto" w:fill="FFFFFF"/>
          <w:lang w:eastAsia="en-GB"/>
        </w:rPr>
        <w:t>28:</w:t>
      </w:r>
      <w:r>
        <w:rPr>
          <w:rFonts w:eastAsia="Times New Roman" w:cs="Lucida Sans Unicode"/>
          <w:color w:val="222222"/>
          <w:bdr w:val="none" w:sz="0" w:space="0" w:color="auto" w:frame="1"/>
          <w:shd w:val="clear" w:color="auto" w:fill="FFFFFF"/>
          <w:lang w:eastAsia="en-GB"/>
        </w:rPr>
        <w:t xml:space="preserve"> 1569–1581.</w:t>
      </w:r>
    </w:p>
    <w:p w:rsidR="008A17FA" w:rsidRDefault="00711F9F">
      <w:pPr>
        <w:spacing w:after="200" w:line="360" w:lineRule="auto"/>
        <w:rPr>
          <w:rFonts w:cs="Arial"/>
          <w:color w:val="000000"/>
          <w:shd w:val="clear" w:color="auto" w:fill="FFFFFF"/>
        </w:rPr>
      </w:pPr>
      <w:r>
        <w:rPr>
          <w:rFonts w:cs="Arial"/>
          <w:color w:val="000000"/>
          <w:shd w:val="clear" w:color="auto" w:fill="FFFFFF"/>
        </w:rPr>
        <w:t xml:space="preserve">16. Hermansen K, Davies M, Derezinski T, Martinez Ravn G, Clauson P, Home P. </w:t>
      </w:r>
      <w:r>
        <w:rPr>
          <w:rFonts w:cs="Arial"/>
          <w:bCs/>
          <w:color w:val="000000"/>
          <w:shd w:val="clear" w:color="auto" w:fill="FFFFFF"/>
        </w:rPr>
        <w:t>A 26-week, randomized, parallel, treat-to-target trial comparing insulin detemir with NPH insulin as add-on therapy to oral glucose-lowering drugs in insulin-naive people with type 2 diabetes.</w:t>
      </w:r>
      <w:r>
        <w:rPr>
          <w:rFonts w:cs="Arial"/>
          <w:b/>
          <w:bCs/>
          <w:color w:val="000000"/>
          <w:shd w:val="clear" w:color="auto" w:fill="FFFFFF"/>
        </w:rPr>
        <w:t xml:space="preserve"> </w:t>
      </w:r>
      <w:r>
        <w:rPr>
          <w:rFonts w:cs="Arial"/>
          <w:i/>
          <w:color w:val="000000"/>
          <w:shd w:val="clear" w:color="auto" w:fill="FFFFFF"/>
        </w:rPr>
        <w:t>Diabetes Care</w:t>
      </w:r>
      <w:r>
        <w:rPr>
          <w:rFonts w:cs="Arial"/>
          <w:color w:val="000000"/>
          <w:shd w:val="clear" w:color="auto" w:fill="FFFFFF"/>
        </w:rPr>
        <w:t xml:space="preserve"> 2006; </w:t>
      </w:r>
      <w:r>
        <w:rPr>
          <w:rFonts w:cs="Arial"/>
          <w:b/>
          <w:color w:val="000000"/>
          <w:shd w:val="clear" w:color="auto" w:fill="FFFFFF"/>
        </w:rPr>
        <w:t xml:space="preserve">29: </w:t>
      </w:r>
      <w:r>
        <w:rPr>
          <w:rFonts w:cs="Arial"/>
          <w:color w:val="000000"/>
          <w:shd w:val="clear" w:color="auto" w:fill="FFFFFF"/>
        </w:rPr>
        <w:t>1269–1274.</w:t>
      </w:r>
    </w:p>
    <w:p w:rsidR="008A17FA" w:rsidRDefault="00711F9F">
      <w:pPr>
        <w:shd w:val="clear" w:color="auto" w:fill="FFFFFF"/>
        <w:spacing w:after="200" w:line="360" w:lineRule="auto"/>
        <w:textAlignment w:val="baseline"/>
        <w:rPr>
          <w:rFonts w:eastAsia="Times New Roman" w:cs="Lucida Sans Unicode"/>
          <w:color w:val="222222"/>
          <w:lang w:eastAsia="en-GB"/>
        </w:rPr>
      </w:pPr>
      <w:r>
        <w:rPr>
          <w:rFonts w:eastAsia="Times New Roman" w:cs="Lucida Sans Unicode"/>
          <w:color w:val="222222"/>
          <w:bdr w:val="none" w:sz="0" w:space="0" w:color="auto" w:frame="1"/>
          <w:lang w:eastAsia="en-GB"/>
        </w:rPr>
        <w:t xml:space="preserve">17. Yki-Järvinen H, Kauppinen-Mäkelin R, Tiikkainen M, Vähätalo M, Virtamo H, Nikkilä K, </w:t>
      </w:r>
      <w:r>
        <w:rPr>
          <w:rFonts w:eastAsia="Times New Roman" w:cs="Lucida Sans Unicode"/>
          <w:i/>
          <w:color w:val="222222"/>
          <w:bdr w:val="none" w:sz="0" w:space="0" w:color="auto" w:frame="1"/>
          <w:lang w:eastAsia="en-GB"/>
        </w:rPr>
        <w:t>et al</w:t>
      </w:r>
      <w:r>
        <w:rPr>
          <w:rFonts w:eastAsia="Times New Roman" w:cs="Lucida Sans Unicode"/>
          <w:color w:val="222222"/>
          <w:bdr w:val="none" w:sz="0" w:space="0" w:color="auto" w:frame="1"/>
          <w:lang w:eastAsia="en-GB"/>
        </w:rPr>
        <w:t>.</w:t>
      </w:r>
      <w:r>
        <w:rPr>
          <w:rFonts w:eastAsia="Times New Roman" w:cs="Lucida Sans Unicode"/>
          <w:color w:val="222222"/>
          <w:lang w:eastAsia="en-GB"/>
        </w:rPr>
        <w:t xml:space="preserve"> </w:t>
      </w:r>
      <w:r>
        <w:rPr>
          <w:rFonts w:eastAsia="Times New Roman" w:cs="Lucida Sans Unicode"/>
          <w:color w:val="222222"/>
          <w:bdr w:val="none" w:sz="0" w:space="0" w:color="auto" w:frame="1"/>
          <w:shd w:val="clear" w:color="auto" w:fill="FFFFFF"/>
          <w:lang w:eastAsia="en-GB"/>
        </w:rPr>
        <w:t>Insulin glargine or NPH combined with metformin in type 2 diabetes: the LANMET study. </w:t>
      </w:r>
      <w:r>
        <w:rPr>
          <w:rFonts w:eastAsia="Times New Roman" w:cs="Lucida Sans Unicode"/>
          <w:i/>
          <w:color w:val="222222"/>
          <w:bdr w:val="none" w:sz="0" w:space="0" w:color="auto" w:frame="1"/>
          <w:shd w:val="clear" w:color="auto" w:fill="FFFFFF"/>
          <w:lang w:eastAsia="en-GB"/>
        </w:rPr>
        <w:t>Diabetologia</w:t>
      </w:r>
      <w:r>
        <w:rPr>
          <w:rFonts w:eastAsia="Times New Roman" w:cs="Lucida Sans Unicode"/>
          <w:color w:val="222222"/>
          <w:bdr w:val="none" w:sz="0" w:space="0" w:color="auto" w:frame="1"/>
          <w:shd w:val="clear" w:color="auto" w:fill="FFFFFF"/>
          <w:lang w:eastAsia="en-GB"/>
        </w:rPr>
        <w:t> 2006; </w:t>
      </w:r>
      <w:r>
        <w:rPr>
          <w:rFonts w:eastAsia="Times New Roman" w:cs="Lucida Sans Unicode"/>
          <w:b/>
          <w:color w:val="222222"/>
          <w:bdr w:val="none" w:sz="0" w:space="0" w:color="auto" w:frame="1"/>
          <w:shd w:val="clear" w:color="auto" w:fill="FFFFFF"/>
          <w:lang w:eastAsia="en-GB"/>
        </w:rPr>
        <w:t>49:</w:t>
      </w:r>
      <w:r>
        <w:rPr>
          <w:rFonts w:eastAsia="Times New Roman" w:cs="Lucida Sans Unicode"/>
          <w:color w:val="222222"/>
          <w:bdr w:val="none" w:sz="0" w:space="0" w:color="auto" w:frame="1"/>
          <w:shd w:val="clear" w:color="auto" w:fill="FFFFFF"/>
          <w:lang w:eastAsia="en-GB"/>
        </w:rPr>
        <w:t xml:space="preserve"> 442–451.</w:t>
      </w:r>
    </w:p>
    <w:p w:rsidR="008A17FA" w:rsidRDefault="00711F9F">
      <w:pPr>
        <w:spacing w:after="200" w:line="360" w:lineRule="auto"/>
      </w:pPr>
      <w:r>
        <w:rPr>
          <w:rFonts w:cs="Arial"/>
          <w:color w:val="000000"/>
          <w:shd w:val="clear" w:color="auto" w:fill="FFFFFF"/>
        </w:rPr>
        <w:t xml:space="preserve">18. Zinman B, Philis-Tsimikas A, Cariou B, Handelsman Y, Rodbard HW, Johansen T, </w:t>
      </w:r>
      <w:r>
        <w:rPr>
          <w:rFonts w:cs="Arial"/>
          <w:i/>
          <w:color w:val="000000"/>
          <w:shd w:val="clear" w:color="auto" w:fill="FFFFFF"/>
        </w:rPr>
        <w:t>et al</w:t>
      </w:r>
      <w:r>
        <w:rPr>
          <w:rFonts w:cs="Arial"/>
          <w:color w:val="000000"/>
          <w:shd w:val="clear" w:color="auto" w:fill="FFFFFF"/>
        </w:rPr>
        <w:t xml:space="preserve">; NN1250-3579 (BEGIN Once Long) Trial Investigators. </w:t>
      </w:r>
      <w:r>
        <w:rPr>
          <w:rFonts w:cs="Arial"/>
          <w:bCs/>
          <w:color w:val="000000"/>
          <w:shd w:val="clear" w:color="auto" w:fill="FFFFFF"/>
        </w:rPr>
        <w:t xml:space="preserve">Insulin degludec versus insulin glargine in insulin-naive patients with type 2 diabetes: a 1-year, randomized, treat-to-target trial (BEGIN Once Long). </w:t>
      </w:r>
      <w:r>
        <w:rPr>
          <w:rFonts w:cs="Arial"/>
          <w:i/>
          <w:color w:val="000000"/>
          <w:shd w:val="clear" w:color="auto" w:fill="FFFFFF"/>
        </w:rPr>
        <w:t>Diabetes Care</w:t>
      </w:r>
      <w:r>
        <w:rPr>
          <w:rFonts w:cs="Arial"/>
          <w:color w:val="000000"/>
          <w:shd w:val="clear" w:color="auto" w:fill="FFFFFF"/>
        </w:rPr>
        <w:t xml:space="preserve"> 2012; </w:t>
      </w:r>
      <w:r>
        <w:rPr>
          <w:rFonts w:cs="Arial"/>
          <w:b/>
          <w:color w:val="000000"/>
          <w:shd w:val="clear" w:color="auto" w:fill="FFFFFF"/>
        </w:rPr>
        <w:t>35:</w:t>
      </w:r>
      <w:r>
        <w:rPr>
          <w:rFonts w:cs="Arial"/>
          <w:color w:val="000000"/>
          <w:shd w:val="clear" w:color="auto" w:fill="FFFFFF"/>
        </w:rPr>
        <w:t xml:space="preserve"> 2464–2471.</w:t>
      </w:r>
    </w:p>
    <w:p w:rsidR="008A17FA" w:rsidRDefault="00711F9F">
      <w:pPr>
        <w:spacing w:after="200" w:line="360" w:lineRule="auto"/>
        <w:rPr>
          <w:rFonts w:cs="Arial"/>
          <w:color w:val="000000"/>
          <w:shd w:val="clear" w:color="auto" w:fill="FFFFFF"/>
        </w:rPr>
      </w:pPr>
      <w:r>
        <w:rPr>
          <w:rFonts w:cs="Arial"/>
          <w:color w:val="000000"/>
          <w:shd w:val="clear" w:color="auto" w:fill="FFFFFF"/>
        </w:rPr>
        <w:t xml:space="preserve">19. Meneghini L, Kesavadev J, Demissie M, Nazeri A, Hollander P. </w:t>
      </w:r>
      <w:r>
        <w:rPr>
          <w:rFonts w:cs="Arial"/>
          <w:bCs/>
          <w:color w:val="000000"/>
          <w:shd w:val="clear" w:color="auto" w:fill="FFFFFF"/>
        </w:rPr>
        <w:t>Once-daily initiation of basal insulin as add-on to metformin: a 26-week, randomized, treat-to-target trial comparing insulin detemir with insulin glargine in patients with type 2 diabetes</w:t>
      </w:r>
      <w:r>
        <w:rPr>
          <w:rFonts w:cs="Arial"/>
          <w:bCs/>
          <w:i/>
          <w:color w:val="000000"/>
          <w:shd w:val="clear" w:color="auto" w:fill="FFFFFF"/>
        </w:rPr>
        <w:t>.</w:t>
      </w:r>
      <w:r>
        <w:rPr>
          <w:rFonts w:cs="Arial"/>
          <w:b/>
          <w:bCs/>
          <w:i/>
          <w:color w:val="000000"/>
          <w:shd w:val="clear" w:color="auto" w:fill="FFFFFF"/>
        </w:rPr>
        <w:t xml:space="preserve"> </w:t>
      </w:r>
      <w:r>
        <w:rPr>
          <w:rFonts w:cs="Arial"/>
          <w:i/>
          <w:color w:val="000000"/>
          <w:shd w:val="clear" w:color="auto" w:fill="FFFFFF"/>
        </w:rPr>
        <w:t>Diabetes Obes Metab</w:t>
      </w:r>
      <w:r>
        <w:rPr>
          <w:rFonts w:cs="Arial"/>
          <w:color w:val="000000"/>
          <w:shd w:val="clear" w:color="auto" w:fill="FFFFFF"/>
        </w:rPr>
        <w:t xml:space="preserve"> 2013; </w:t>
      </w:r>
      <w:r>
        <w:rPr>
          <w:rFonts w:cs="Arial"/>
          <w:b/>
          <w:color w:val="000000"/>
          <w:shd w:val="clear" w:color="auto" w:fill="FFFFFF"/>
        </w:rPr>
        <w:t>15:</w:t>
      </w:r>
      <w:r>
        <w:rPr>
          <w:rFonts w:cs="Arial"/>
          <w:color w:val="000000"/>
          <w:shd w:val="clear" w:color="auto" w:fill="FFFFFF"/>
        </w:rPr>
        <w:t xml:space="preserve"> 729–736.</w:t>
      </w:r>
    </w:p>
    <w:p w:rsidR="008A17FA" w:rsidRDefault="00711F9F">
      <w:pPr>
        <w:spacing w:after="200" w:line="360" w:lineRule="auto"/>
        <w:rPr>
          <w:rFonts w:cs="Arial"/>
          <w:color w:val="000000"/>
          <w:shd w:val="clear" w:color="auto" w:fill="FFFFFF"/>
        </w:rPr>
      </w:pPr>
      <w:r>
        <w:rPr>
          <w:rFonts w:cs="Arial"/>
          <w:color w:val="000000"/>
          <w:shd w:val="clear" w:color="auto" w:fill="FFFFFF"/>
        </w:rPr>
        <w:t xml:space="preserve">20. Rosenstock J, Fonseca V, Schinzel S, Dain MP, Mullins P, Riddle M. </w:t>
      </w:r>
      <w:r>
        <w:rPr>
          <w:rFonts w:cs="Arial"/>
          <w:bCs/>
          <w:color w:val="000000"/>
          <w:shd w:val="clear" w:color="auto" w:fill="FFFFFF"/>
        </w:rPr>
        <w:t xml:space="preserve">Reduced risk of hypoglycemia with once-daily glargine versus twice-daily NPH and number needed to harm with NPH to </w:t>
      </w:r>
      <w:r>
        <w:rPr>
          <w:rFonts w:cs="Arial"/>
          <w:bCs/>
          <w:color w:val="000000"/>
          <w:shd w:val="clear" w:color="auto" w:fill="FFFFFF"/>
        </w:rPr>
        <w:lastRenderedPageBreak/>
        <w:t>demonstrate the risk of one additional hypoglycemic event in type 2 diabetes: Evidence from a long-term controlled trial.</w:t>
      </w:r>
      <w:r>
        <w:rPr>
          <w:rFonts w:cs="Arial"/>
          <w:color w:val="000000"/>
          <w:shd w:val="clear" w:color="auto" w:fill="FFFFFF"/>
        </w:rPr>
        <w:t xml:space="preserve"> </w:t>
      </w:r>
      <w:r>
        <w:rPr>
          <w:rFonts w:cs="Arial"/>
          <w:i/>
          <w:color w:val="000000"/>
          <w:shd w:val="clear" w:color="auto" w:fill="FFFFFF"/>
        </w:rPr>
        <w:t>J Diabetes Complications</w:t>
      </w:r>
      <w:r>
        <w:rPr>
          <w:rFonts w:cs="Arial"/>
          <w:color w:val="000000"/>
          <w:shd w:val="clear" w:color="auto" w:fill="FFFFFF"/>
        </w:rPr>
        <w:t xml:space="preserve"> 2014; </w:t>
      </w:r>
      <w:r>
        <w:rPr>
          <w:rFonts w:cs="Arial"/>
          <w:b/>
          <w:color w:val="000000"/>
          <w:shd w:val="clear" w:color="auto" w:fill="FFFFFF"/>
        </w:rPr>
        <w:t>28:</w:t>
      </w:r>
      <w:r>
        <w:rPr>
          <w:rFonts w:cs="Arial"/>
          <w:color w:val="000000"/>
          <w:shd w:val="clear" w:color="auto" w:fill="FFFFFF"/>
        </w:rPr>
        <w:t xml:space="preserve"> 742–749.</w:t>
      </w:r>
    </w:p>
    <w:p w:rsidR="008A17FA" w:rsidRDefault="00711F9F">
      <w:pPr>
        <w:spacing w:after="200" w:line="360" w:lineRule="auto"/>
      </w:pPr>
      <w:r>
        <w:t xml:space="preserve">21. Novo Nordisk press release, February 2013. Available at:  </w:t>
      </w:r>
      <w:hyperlink r:id="rId11" w:history="1">
        <w:r>
          <w:rPr>
            <w:rStyle w:val="Hyperlink"/>
          </w:rPr>
          <w:t>http://www.novonordisk.com/bin/getPDF.1676900.pdf</w:t>
        </w:r>
      </w:hyperlink>
      <w:r>
        <w:t xml:space="preserve"> [Accessed 25 June 2015].</w:t>
      </w:r>
    </w:p>
    <w:p w:rsidR="008A17FA" w:rsidRDefault="00711F9F">
      <w:pPr>
        <w:spacing w:after="200" w:line="360" w:lineRule="auto"/>
      </w:pPr>
      <w:r>
        <w:t xml:space="preserve">22. Novo Nordisk press release, March 2015. Available at: </w:t>
      </w:r>
      <w:hyperlink r:id="rId12" w:history="1">
        <w:r>
          <w:rPr>
            <w:rStyle w:val="Hyperlink"/>
          </w:rPr>
          <w:t>www.novonordisk.com/bin/getPDF.1906649.pdf</w:t>
        </w:r>
      </w:hyperlink>
      <w:r>
        <w:t xml:space="preserve"> [Accessed 25 June 2015].</w:t>
      </w:r>
    </w:p>
    <w:p w:rsidR="008A17FA" w:rsidRDefault="00711F9F">
      <w:pPr>
        <w:spacing w:after="200" w:line="360" w:lineRule="auto"/>
      </w:pPr>
      <w:r>
        <w:t xml:space="preserve">23. Novo Nordisk press release, April 2015. Available at: </w:t>
      </w:r>
      <w:hyperlink r:id="rId13" w:history="1">
        <w:r>
          <w:rPr>
            <w:rStyle w:val="Hyperlink"/>
          </w:rPr>
          <w:t>www.novonordisk.com/bin/getPDF.1909281.pdf</w:t>
        </w:r>
      </w:hyperlink>
      <w:r>
        <w:t xml:space="preserve"> [Accessed 25 June 2015].</w:t>
      </w:r>
    </w:p>
    <w:p w:rsidR="008A17FA" w:rsidRDefault="00711F9F">
      <w:pPr>
        <w:spacing w:after="200" w:line="360" w:lineRule="auto"/>
        <w:rPr>
          <w:rFonts w:cs="Arial"/>
          <w:color w:val="000000"/>
          <w:shd w:val="clear" w:color="auto" w:fill="FFFFFF"/>
        </w:rPr>
      </w:pPr>
      <w:r>
        <w:rPr>
          <w:rFonts w:cs="Arial"/>
          <w:color w:val="000000"/>
          <w:shd w:val="clear" w:color="auto" w:fill="FFFFFF"/>
        </w:rPr>
        <w:t xml:space="preserve">24. Holman RR, Farmer AJ, Davies MJ, Levy JC, Darbyshire JL, Keenan JF, </w:t>
      </w:r>
      <w:r>
        <w:rPr>
          <w:rFonts w:cs="Arial"/>
          <w:i/>
          <w:color w:val="000000"/>
          <w:shd w:val="clear" w:color="auto" w:fill="FFFFFF"/>
        </w:rPr>
        <w:t>et al</w:t>
      </w:r>
      <w:r>
        <w:rPr>
          <w:rFonts w:cs="Arial"/>
          <w:color w:val="000000"/>
          <w:shd w:val="clear" w:color="auto" w:fill="FFFFFF"/>
        </w:rPr>
        <w:t xml:space="preserve">; 4-T Study Group. </w:t>
      </w:r>
      <w:r>
        <w:rPr>
          <w:rFonts w:cs="Arial"/>
          <w:bCs/>
          <w:color w:val="000000"/>
          <w:shd w:val="clear" w:color="auto" w:fill="FFFFFF"/>
        </w:rPr>
        <w:t>Three-year efficacy of complex insulin regimens in type 2 diabetes.</w:t>
      </w:r>
      <w:r>
        <w:rPr>
          <w:rFonts w:cs="Arial"/>
          <w:b/>
          <w:bCs/>
          <w:color w:val="000000"/>
          <w:shd w:val="clear" w:color="auto" w:fill="FFFFFF"/>
        </w:rPr>
        <w:t xml:space="preserve"> </w:t>
      </w:r>
      <w:r>
        <w:rPr>
          <w:rFonts w:cs="Arial"/>
          <w:i/>
          <w:color w:val="000000"/>
          <w:shd w:val="clear" w:color="auto" w:fill="FFFFFF"/>
        </w:rPr>
        <w:t>N Engl J Med</w:t>
      </w:r>
      <w:r>
        <w:rPr>
          <w:rFonts w:cs="Arial"/>
          <w:color w:val="000000"/>
          <w:shd w:val="clear" w:color="auto" w:fill="FFFFFF"/>
        </w:rPr>
        <w:t xml:space="preserve"> 2009; </w:t>
      </w:r>
      <w:r>
        <w:rPr>
          <w:rFonts w:cs="Arial"/>
          <w:b/>
          <w:color w:val="000000"/>
          <w:shd w:val="clear" w:color="auto" w:fill="FFFFFF"/>
        </w:rPr>
        <w:t>361:</w:t>
      </w:r>
      <w:r>
        <w:rPr>
          <w:rFonts w:cs="Arial"/>
          <w:color w:val="000000"/>
          <w:shd w:val="clear" w:color="auto" w:fill="FFFFFF"/>
        </w:rPr>
        <w:t xml:space="preserve"> 1736–1747.</w:t>
      </w:r>
    </w:p>
    <w:p w:rsidR="008A17FA" w:rsidRDefault="00711F9F">
      <w:pPr>
        <w:spacing w:after="200" w:line="360" w:lineRule="auto"/>
        <w:rPr>
          <w:rFonts w:cs="Arial"/>
          <w:color w:val="000000"/>
          <w:shd w:val="clear" w:color="auto" w:fill="FFFFFF"/>
        </w:rPr>
      </w:pPr>
      <w:r>
        <w:rPr>
          <w:rFonts w:cs="Arial"/>
          <w:color w:val="000000"/>
          <w:shd w:val="clear" w:color="auto" w:fill="FFFFFF"/>
        </w:rPr>
        <w:t xml:space="preserve">25. Lankisch MR, Ferlinz KC, Leahy JL, Scherbaum WA; Orals </w:t>
      </w:r>
      <w:proofErr w:type="gramStart"/>
      <w:r>
        <w:rPr>
          <w:rFonts w:cs="Arial"/>
          <w:color w:val="000000"/>
          <w:shd w:val="clear" w:color="auto" w:fill="FFFFFF"/>
        </w:rPr>
        <w:t>Plus</w:t>
      </w:r>
      <w:proofErr w:type="gramEnd"/>
      <w:r>
        <w:rPr>
          <w:rFonts w:cs="Arial"/>
          <w:color w:val="000000"/>
          <w:shd w:val="clear" w:color="auto" w:fill="FFFFFF"/>
        </w:rPr>
        <w:t xml:space="preserve"> Apidra and LANTUS (OPAL) study group. </w:t>
      </w:r>
      <w:r>
        <w:rPr>
          <w:rFonts w:cs="Arial"/>
          <w:bCs/>
          <w:color w:val="000000"/>
          <w:shd w:val="clear" w:color="auto" w:fill="FFFFFF"/>
        </w:rPr>
        <w:t>Introducing a simplified approach to insulin therapy in type 2 diabetes: a comparison of two single-dose regimens of insulin glulisine plus insulin glargine and oral antidiabetic drugs.</w:t>
      </w:r>
      <w:r>
        <w:rPr>
          <w:rFonts w:cs="Arial"/>
          <w:b/>
          <w:bCs/>
          <w:color w:val="000000"/>
          <w:shd w:val="clear" w:color="auto" w:fill="FFFFFF"/>
        </w:rPr>
        <w:t xml:space="preserve"> </w:t>
      </w:r>
      <w:r>
        <w:rPr>
          <w:rFonts w:cs="Arial"/>
          <w:i/>
          <w:color w:val="000000"/>
          <w:shd w:val="clear" w:color="auto" w:fill="FFFFFF"/>
        </w:rPr>
        <w:t>Diabetes Obes Metab</w:t>
      </w:r>
      <w:r>
        <w:rPr>
          <w:rFonts w:cs="Arial"/>
          <w:color w:val="000000"/>
          <w:shd w:val="clear" w:color="auto" w:fill="FFFFFF"/>
        </w:rPr>
        <w:t xml:space="preserve"> 2008; </w:t>
      </w:r>
      <w:r>
        <w:rPr>
          <w:rFonts w:cs="Arial"/>
          <w:b/>
          <w:color w:val="000000"/>
          <w:shd w:val="clear" w:color="auto" w:fill="FFFFFF"/>
        </w:rPr>
        <w:t>10:</w:t>
      </w:r>
      <w:r>
        <w:rPr>
          <w:rFonts w:cs="Arial"/>
          <w:color w:val="000000"/>
          <w:shd w:val="clear" w:color="auto" w:fill="FFFFFF"/>
        </w:rPr>
        <w:t xml:space="preserve"> 1178–1185.</w:t>
      </w:r>
    </w:p>
    <w:p w:rsidR="008A17FA" w:rsidRDefault="00711F9F">
      <w:pPr>
        <w:spacing w:after="200" w:line="360" w:lineRule="auto"/>
        <w:rPr>
          <w:rFonts w:cs="Arial"/>
          <w:color w:val="000000"/>
          <w:shd w:val="clear" w:color="auto" w:fill="FFFFFF"/>
        </w:rPr>
      </w:pPr>
      <w:r>
        <w:rPr>
          <w:rFonts w:cs="Arial"/>
          <w:color w:val="000000"/>
          <w:shd w:val="clear" w:color="auto" w:fill="FFFFFF"/>
        </w:rPr>
        <w:t xml:space="preserve">26. Davidson MB, Raskin P, Tanenberg RJ, Vlajnic A, Hollander P. </w:t>
      </w:r>
      <w:r>
        <w:rPr>
          <w:rFonts w:cs="Arial"/>
          <w:bCs/>
          <w:color w:val="000000"/>
          <w:shd w:val="clear" w:color="auto" w:fill="FFFFFF"/>
        </w:rPr>
        <w:t>A stepwise approach to insulin therapy in patients with type 2 diabetes mellitus and basal insulin treatment failure.</w:t>
      </w:r>
      <w:r>
        <w:rPr>
          <w:rFonts w:cs="Arial"/>
          <w:b/>
          <w:bCs/>
          <w:color w:val="000000"/>
          <w:shd w:val="clear" w:color="auto" w:fill="FFFFFF"/>
        </w:rPr>
        <w:t xml:space="preserve"> </w:t>
      </w:r>
      <w:r>
        <w:rPr>
          <w:rFonts w:cs="Arial"/>
          <w:i/>
          <w:color w:val="000000"/>
          <w:shd w:val="clear" w:color="auto" w:fill="FFFFFF"/>
        </w:rPr>
        <w:t>Endocr Pract </w:t>
      </w:r>
      <w:r>
        <w:rPr>
          <w:rFonts w:cs="Arial"/>
          <w:color w:val="000000"/>
          <w:shd w:val="clear" w:color="auto" w:fill="FFFFFF"/>
        </w:rPr>
        <w:t xml:space="preserve">2011; </w:t>
      </w:r>
      <w:r>
        <w:rPr>
          <w:rFonts w:cs="Arial"/>
          <w:b/>
          <w:color w:val="000000"/>
          <w:shd w:val="clear" w:color="auto" w:fill="FFFFFF"/>
        </w:rPr>
        <w:t>17:</w:t>
      </w:r>
      <w:r>
        <w:rPr>
          <w:rFonts w:cs="Arial"/>
          <w:color w:val="000000"/>
          <w:shd w:val="clear" w:color="auto" w:fill="FFFFFF"/>
        </w:rPr>
        <w:t xml:space="preserve"> 395–403.</w:t>
      </w:r>
    </w:p>
    <w:p w:rsidR="008A17FA" w:rsidRDefault="00711F9F">
      <w:pPr>
        <w:spacing w:after="200" w:line="360" w:lineRule="auto"/>
        <w:rPr>
          <w:rFonts w:cs="Arial"/>
          <w:color w:val="000000"/>
          <w:shd w:val="clear" w:color="auto" w:fill="FFFFFF"/>
        </w:rPr>
      </w:pPr>
      <w:r>
        <w:rPr>
          <w:rFonts w:cs="Arial"/>
          <w:color w:val="000000"/>
          <w:shd w:val="clear" w:color="auto" w:fill="FFFFFF"/>
        </w:rPr>
        <w:t xml:space="preserve">27. Meneghini L, Mersebach H, Kumar S, Svendsen AL, Hermansen K. </w:t>
      </w:r>
      <w:r>
        <w:rPr>
          <w:rFonts w:cs="Arial"/>
          <w:bCs/>
          <w:color w:val="000000"/>
          <w:shd w:val="clear" w:color="auto" w:fill="FFFFFF"/>
        </w:rPr>
        <w:t xml:space="preserve">Comparison of 2 intensification regimens with rapid-acting insulin aspart in type 2 diabetes mellitus inadequately controlled by once-daily insulin detemir and oral antidiabetes drugs: the step-wise randomized study. </w:t>
      </w:r>
      <w:r>
        <w:rPr>
          <w:rFonts w:cs="Arial"/>
          <w:i/>
          <w:color w:val="000000"/>
          <w:shd w:val="clear" w:color="auto" w:fill="FFFFFF"/>
        </w:rPr>
        <w:t>Endocr Pract</w:t>
      </w:r>
      <w:r>
        <w:rPr>
          <w:rFonts w:cs="Arial"/>
          <w:color w:val="000000"/>
          <w:shd w:val="clear" w:color="auto" w:fill="FFFFFF"/>
        </w:rPr>
        <w:t xml:space="preserve"> 2011; </w:t>
      </w:r>
      <w:r>
        <w:rPr>
          <w:rFonts w:cs="Arial"/>
          <w:b/>
          <w:color w:val="000000"/>
          <w:shd w:val="clear" w:color="auto" w:fill="FFFFFF"/>
        </w:rPr>
        <w:t>17:</w:t>
      </w:r>
      <w:r>
        <w:rPr>
          <w:rFonts w:cs="Arial"/>
          <w:color w:val="000000"/>
          <w:shd w:val="clear" w:color="auto" w:fill="FFFFFF"/>
        </w:rPr>
        <w:t xml:space="preserve"> 727–736.</w:t>
      </w:r>
    </w:p>
    <w:p w:rsidR="008A17FA" w:rsidRDefault="00711F9F">
      <w:pPr>
        <w:autoSpaceDE w:val="0"/>
        <w:autoSpaceDN w:val="0"/>
        <w:adjustRightInd w:val="0"/>
        <w:spacing w:after="200" w:line="360" w:lineRule="auto"/>
        <w:rPr>
          <w:rFonts w:cs="AdvOT96667d11"/>
          <w:szCs w:val="18"/>
        </w:rPr>
      </w:pPr>
      <w:r>
        <w:rPr>
          <w:rFonts w:cs="AdvOT96667d11"/>
          <w:szCs w:val="18"/>
        </w:rPr>
        <w:t xml:space="preserve">28. Avilés-Santa L, Sinding J, Raskin P. Effects of metformin in patients with poorly controlled, insulin-treated type 2 diabetes mellitus. A randomized, double-blind, placebo-controlled trial. </w:t>
      </w:r>
      <w:r>
        <w:rPr>
          <w:rFonts w:cs="AdvOT96667d11"/>
          <w:i/>
          <w:szCs w:val="18"/>
        </w:rPr>
        <w:t>Ann Intern Med</w:t>
      </w:r>
      <w:r>
        <w:rPr>
          <w:rFonts w:cs="AdvOT96667d11"/>
          <w:szCs w:val="18"/>
        </w:rPr>
        <w:t xml:space="preserve"> 1999; </w:t>
      </w:r>
      <w:r>
        <w:rPr>
          <w:rFonts w:cs="AdvOT96667d11"/>
          <w:b/>
          <w:szCs w:val="18"/>
        </w:rPr>
        <w:t>131:</w:t>
      </w:r>
      <w:r>
        <w:rPr>
          <w:rFonts w:cs="AdvOT96667d11"/>
          <w:szCs w:val="18"/>
        </w:rPr>
        <w:t xml:space="preserve"> 182</w:t>
      </w:r>
      <w:r>
        <w:rPr>
          <w:rFonts w:cs="AdvOT96667d11+20"/>
          <w:szCs w:val="18"/>
        </w:rPr>
        <w:t>–</w:t>
      </w:r>
      <w:r>
        <w:rPr>
          <w:rFonts w:cs="AdvOT96667d11"/>
          <w:szCs w:val="18"/>
        </w:rPr>
        <w:t>188.</w:t>
      </w:r>
    </w:p>
    <w:p w:rsidR="008A17FA" w:rsidRDefault="00711F9F">
      <w:pPr>
        <w:shd w:val="clear" w:color="auto" w:fill="FFFFFF"/>
        <w:spacing w:after="200" w:line="360" w:lineRule="auto"/>
        <w:rPr>
          <w:rFonts w:cs="Arial"/>
          <w:color w:val="000000"/>
        </w:rPr>
      </w:pPr>
      <w:r>
        <w:rPr>
          <w:rFonts w:cs="Arial"/>
          <w:color w:val="000000"/>
        </w:rPr>
        <w:t>29. Swinnen SG, Dain MP, Mauricio D, DeVries JH, Hoekstra JB, Holleman F</w:t>
      </w:r>
      <w:r>
        <w:rPr>
          <w:rFonts w:cs="Arial"/>
          <w:i/>
          <w:color w:val="000000"/>
        </w:rPr>
        <w:t>.</w:t>
      </w:r>
      <w:r>
        <w:rPr>
          <w:rFonts w:cs="Arial"/>
          <w:color w:val="000000"/>
        </w:rPr>
        <w:t xml:space="preserve"> Continuation versus discontinuation of</w:t>
      </w:r>
      <w:r>
        <w:rPr>
          <w:rStyle w:val="apple-converted-space"/>
          <w:rFonts w:cs="Arial"/>
          <w:color w:val="000000"/>
        </w:rPr>
        <w:t> </w:t>
      </w:r>
      <w:r>
        <w:rPr>
          <w:rStyle w:val="highlight"/>
          <w:rFonts w:cs="Arial"/>
          <w:color w:val="000000"/>
        </w:rPr>
        <w:t>insulin</w:t>
      </w:r>
      <w:r>
        <w:rPr>
          <w:rStyle w:val="apple-converted-space"/>
          <w:rFonts w:cs="Arial"/>
          <w:color w:val="000000"/>
        </w:rPr>
        <w:t> </w:t>
      </w:r>
      <w:r>
        <w:rPr>
          <w:rFonts w:cs="Arial"/>
          <w:color w:val="000000"/>
        </w:rPr>
        <w:t>secretagogues when initiating</w:t>
      </w:r>
      <w:r>
        <w:rPr>
          <w:rStyle w:val="apple-converted-space"/>
          <w:rFonts w:cs="Arial"/>
          <w:color w:val="000000"/>
        </w:rPr>
        <w:t> </w:t>
      </w:r>
      <w:r>
        <w:rPr>
          <w:rStyle w:val="highlight"/>
          <w:rFonts w:cs="Arial"/>
          <w:color w:val="000000"/>
        </w:rPr>
        <w:t>insulin</w:t>
      </w:r>
      <w:r>
        <w:rPr>
          <w:rStyle w:val="apple-converted-space"/>
          <w:rFonts w:cs="Arial"/>
          <w:color w:val="000000"/>
        </w:rPr>
        <w:t> </w:t>
      </w:r>
      <w:r>
        <w:rPr>
          <w:rFonts w:cs="Arial"/>
          <w:color w:val="000000"/>
        </w:rPr>
        <w:t>in</w:t>
      </w:r>
      <w:r>
        <w:rPr>
          <w:rStyle w:val="apple-converted-space"/>
          <w:rFonts w:cs="Arial"/>
          <w:color w:val="000000"/>
        </w:rPr>
        <w:t> </w:t>
      </w:r>
      <w:r>
        <w:rPr>
          <w:rStyle w:val="highlight"/>
          <w:rFonts w:cs="Arial"/>
          <w:color w:val="000000"/>
        </w:rPr>
        <w:t>type 2 diabetes</w:t>
      </w:r>
      <w:r>
        <w:rPr>
          <w:rFonts w:cs="Arial"/>
          <w:color w:val="000000"/>
        </w:rPr>
        <w:t xml:space="preserve">. </w:t>
      </w:r>
      <w:r>
        <w:rPr>
          <w:rFonts w:cs="Arial"/>
          <w:i/>
          <w:color w:val="000000"/>
        </w:rPr>
        <w:t>Diabetes Obes Metab</w:t>
      </w:r>
      <w:r>
        <w:rPr>
          <w:rStyle w:val="apple-converted-space"/>
          <w:rFonts w:cs="Arial"/>
          <w:color w:val="000000"/>
        </w:rPr>
        <w:t> </w:t>
      </w:r>
      <w:r>
        <w:rPr>
          <w:rFonts w:cs="Arial"/>
          <w:color w:val="000000"/>
        </w:rPr>
        <w:t xml:space="preserve">2010; </w:t>
      </w:r>
      <w:r>
        <w:rPr>
          <w:rFonts w:cs="Arial"/>
          <w:b/>
          <w:color w:val="000000"/>
        </w:rPr>
        <w:t>12:</w:t>
      </w:r>
      <w:r>
        <w:rPr>
          <w:rFonts w:cs="Arial"/>
          <w:color w:val="000000"/>
        </w:rPr>
        <w:t xml:space="preserve"> 923–925.</w:t>
      </w:r>
    </w:p>
    <w:p w:rsidR="008A17FA" w:rsidRDefault="00711F9F">
      <w:pPr>
        <w:autoSpaceDE w:val="0"/>
        <w:autoSpaceDN w:val="0"/>
        <w:adjustRightInd w:val="0"/>
        <w:spacing w:after="200" w:line="360" w:lineRule="auto"/>
        <w:rPr>
          <w:bCs/>
        </w:rPr>
      </w:pPr>
      <w:r>
        <w:t xml:space="preserve">30. Bristol Myers Squibb-AstraZeneca. Summary of product characteristics, </w:t>
      </w:r>
      <w:r>
        <w:rPr>
          <w:bCs/>
        </w:rPr>
        <w:t xml:space="preserve">Forxiga 5 mg &amp; 10 mg. 2014. Available at: </w:t>
      </w:r>
      <w:hyperlink r:id="rId14" w:history="1">
        <w:r>
          <w:rPr>
            <w:rStyle w:val="Hyperlink"/>
          </w:rPr>
          <w:t>https://www.medicines.org.uk/emc/medicine/27188/SPC/Forxiga+5+mg++%26+10+mg+film+coated+tablets/</w:t>
        </w:r>
      </w:hyperlink>
      <w:r>
        <w:rPr>
          <w:b/>
          <w:bCs/>
        </w:rPr>
        <w:t xml:space="preserve"> </w:t>
      </w:r>
      <w:r>
        <w:rPr>
          <w:bCs/>
        </w:rPr>
        <w:t>[Accessed 1 December 2014].</w:t>
      </w:r>
    </w:p>
    <w:p w:rsidR="008A17FA" w:rsidRDefault="00711F9F">
      <w:pPr>
        <w:autoSpaceDE w:val="0"/>
        <w:autoSpaceDN w:val="0"/>
        <w:adjustRightInd w:val="0"/>
        <w:spacing w:after="200" w:line="360" w:lineRule="auto"/>
        <w:rPr>
          <w:b/>
          <w:bCs/>
        </w:rPr>
      </w:pPr>
      <w:r>
        <w:rPr>
          <w:bCs/>
        </w:rPr>
        <w:t xml:space="preserve">31. Janssen-Cilag Ltd. </w:t>
      </w:r>
      <w:r>
        <w:t xml:space="preserve">Summary of product characteristics, </w:t>
      </w:r>
      <w:r>
        <w:rPr>
          <w:bCs/>
        </w:rPr>
        <w:t xml:space="preserve">Invokana 100 mg. 2014. Available at: </w:t>
      </w:r>
      <w:hyperlink r:id="rId15" w:history="1">
        <w:r>
          <w:rPr>
            <w:rStyle w:val="Hyperlink"/>
          </w:rPr>
          <w:t>https://www.medicines.org.uk/emc/medicine/28400</w:t>
        </w:r>
      </w:hyperlink>
      <w:r>
        <w:rPr>
          <w:rStyle w:val="Hyperlink"/>
          <w:u w:val="none"/>
        </w:rPr>
        <w:t xml:space="preserve"> [Accessed 1 December 2014].</w:t>
      </w:r>
    </w:p>
    <w:p w:rsidR="008A17FA" w:rsidRDefault="00711F9F">
      <w:pPr>
        <w:autoSpaceDE w:val="0"/>
        <w:autoSpaceDN w:val="0"/>
        <w:adjustRightInd w:val="0"/>
        <w:spacing w:after="200" w:line="360" w:lineRule="auto"/>
      </w:pPr>
      <w:r>
        <w:t xml:space="preserve">32. Boehringer Ingelheim Limited. Summary of product characteristics, Jardiance 25 mg. 2014. Available at: </w:t>
      </w:r>
      <w:hyperlink r:id="rId16" w:history="1">
        <w:r>
          <w:rPr>
            <w:rStyle w:val="Hyperlink"/>
          </w:rPr>
          <w:t>https://www.medicines.org.uk/emc/medicine/28974</w:t>
        </w:r>
      </w:hyperlink>
      <w:r>
        <w:rPr>
          <w:rStyle w:val="Hyperlink"/>
          <w:u w:val="none"/>
        </w:rPr>
        <w:t xml:space="preserve"> [Accessed 1 December 2014].</w:t>
      </w:r>
    </w:p>
    <w:p w:rsidR="008A17FA" w:rsidRDefault="00711F9F">
      <w:pPr>
        <w:spacing w:after="200" w:line="360" w:lineRule="auto"/>
        <w:textAlignment w:val="baseline"/>
        <w:rPr>
          <w:rFonts w:eastAsia="Times New Roman" w:cs="Lucida Sans Unicode"/>
          <w:bCs/>
          <w:color w:val="222222"/>
          <w:bdr w:val="none" w:sz="0" w:space="0" w:color="auto" w:frame="1"/>
          <w:shd w:val="clear" w:color="auto" w:fill="FFFFFF"/>
          <w:lang w:eastAsia="en-GB"/>
        </w:rPr>
      </w:pPr>
      <w:r>
        <w:rPr>
          <w:rFonts w:eastAsia="Times New Roman" w:cs="Lucida Sans Unicode"/>
          <w:color w:val="222222"/>
          <w:bdr w:val="none" w:sz="0" w:space="0" w:color="auto" w:frame="1"/>
          <w:shd w:val="clear" w:color="auto" w:fill="FFFFFF"/>
          <w:lang w:eastAsia="en-GB"/>
        </w:rPr>
        <w:t xml:space="preserve">33. Rosenstock J, Jelaska A, Frappin G, Salsali A, Kim G, Woerle HJ, </w:t>
      </w:r>
      <w:r>
        <w:rPr>
          <w:rFonts w:eastAsia="Times New Roman" w:cs="Lucida Sans Unicode"/>
          <w:i/>
          <w:color w:val="222222"/>
          <w:bdr w:val="none" w:sz="0" w:space="0" w:color="auto" w:frame="1"/>
          <w:shd w:val="clear" w:color="auto" w:fill="FFFFFF"/>
          <w:lang w:eastAsia="en-GB"/>
        </w:rPr>
        <w:t>et al</w:t>
      </w:r>
      <w:r>
        <w:rPr>
          <w:rFonts w:eastAsia="Times New Roman" w:cs="Lucida Sans Unicode"/>
          <w:color w:val="222222"/>
          <w:bdr w:val="none" w:sz="0" w:space="0" w:color="auto" w:frame="1"/>
          <w:shd w:val="clear" w:color="auto" w:fill="FFFFFF"/>
          <w:lang w:eastAsia="en-GB"/>
        </w:rPr>
        <w:t xml:space="preserve">; EMPA-REG MDI Trial Investigators. </w:t>
      </w:r>
      <w:r>
        <w:rPr>
          <w:rFonts w:eastAsia="Times New Roman" w:cs="Lucida Sans Unicode"/>
          <w:bCs/>
          <w:color w:val="222222"/>
          <w:bdr w:val="none" w:sz="0" w:space="0" w:color="auto" w:frame="1"/>
          <w:shd w:val="clear" w:color="auto" w:fill="FFFFFF"/>
          <w:lang w:eastAsia="en-GB"/>
        </w:rPr>
        <w:t xml:space="preserve">Improved glucose control with weight loss, lower insulin doses, and no increased hypoglycemia with empagliflozin added to titrated multiple daily injections of insulin in obese inadequately controlled type 2 diabetes. </w:t>
      </w:r>
      <w:r>
        <w:rPr>
          <w:rFonts w:cs="Arial"/>
          <w:i/>
          <w:color w:val="000000"/>
          <w:shd w:val="clear" w:color="auto" w:fill="FFFFFF"/>
        </w:rPr>
        <w:t>Diabetes Care</w:t>
      </w:r>
      <w:r>
        <w:rPr>
          <w:rStyle w:val="apple-converted-space"/>
          <w:rFonts w:cs="Arial"/>
          <w:color w:val="000000"/>
          <w:shd w:val="clear" w:color="auto" w:fill="FFFFFF"/>
        </w:rPr>
        <w:t> </w:t>
      </w:r>
      <w:r>
        <w:rPr>
          <w:rFonts w:cs="Arial"/>
          <w:color w:val="000000"/>
          <w:shd w:val="clear" w:color="auto" w:fill="FFFFFF"/>
        </w:rPr>
        <w:t xml:space="preserve">2014; </w:t>
      </w:r>
      <w:r>
        <w:rPr>
          <w:rFonts w:cs="Arial"/>
          <w:b/>
          <w:color w:val="000000"/>
          <w:shd w:val="clear" w:color="auto" w:fill="FFFFFF"/>
        </w:rPr>
        <w:t>37:</w:t>
      </w:r>
      <w:r>
        <w:rPr>
          <w:rFonts w:cs="Arial"/>
          <w:color w:val="000000"/>
          <w:shd w:val="clear" w:color="auto" w:fill="FFFFFF"/>
        </w:rPr>
        <w:t xml:space="preserve"> 1815–1823.</w:t>
      </w:r>
    </w:p>
    <w:p w:rsidR="008A17FA" w:rsidRDefault="00711F9F">
      <w:pPr>
        <w:autoSpaceDE w:val="0"/>
        <w:autoSpaceDN w:val="0"/>
        <w:adjustRightInd w:val="0"/>
        <w:spacing w:after="200" w:line="360" w:lineRule="auto"/>
        <w:rPr>
          <w:bCs/>
        </w:rPr>
      </w:pPr>
      <w:r>
        <w:rPr>
          <w:bCs/>
        </w:rPr>
        <w:t xml:space="preserve">34. Neal B, Perkovic V, de Zeeuw D, Mahaffey KW, Fulcher G, Ways K, </w:t>
      </w:r>
      <w:r>
        <w:rPr>
          <w:bCs/>
          <w:i/>
        </w:rPr>
        <w:t>et al</w:t>
      </w:r>
      <w:r>
        <w:rPr>
          <w:bCs/>
        </w:rPr>
        <w:t xml:space="preserve">; CANVAS Trial Collaborative Group. Efficacy and safety of canagliflozin, an inhibitor of sodium-glucose cotransporter 2, when used in conjunction with insulin therapy in patients with type 2 diabetes. </w:t>
      </w:r>
      <w:r>
        <w:rPr>
          <w:bCs/>
          <w:i/>
        </w:rPr>
        <w:t>Diabetes Care</w:t>
      </w:r>
      <w:r>
        <w:rPr>
          <w:bCs/>
        </w:rPr>
        <w:t xml:space="preserve"> 2015; </w:t>
      </w:r>
      <w:r>
        <w:rPr>
          <w:b/>
          <w:bCs/>
        </w:rPr>
        <w:t>38</w:t>
      </w:r>
      <w:r>
        <w:rPr>
          <w:bCs/>
        </w:rPr>
        <w:t>: 403–411.</w:t>
      </w:r>
    </w:p>
    <w:p w:rsidR="008A17FA" w:rsidRDefault="00711F9F">
      <w:pPr>
        <w:autoSpaceDE w:val="0"/>
        <w:autoSpaceDN w:val="0"/>
        <w:adjustRightInd w:val="0"/>
        <w:spacing w:after="200" w:line="360" w:lineRule="auto"/>
        <w:rPr>
          <w:bCs/>
        </w:rPr>
      </w:pPr>
      <w:r>
        <w:rPr>
          <w:bCs/>
        </w:rPr>
        <w:t xml:space="preserve">35. Wilding JP, Woo V, Soler NG, Pahor A, Sugg J, Rohwedder K, </w:t>
      </w:r>
      <w:r>
        <w:rPr>
          <w:bCs/>
          <w:i/>
        </w:rPr>
        <w:t>et al</w:t>
      </w:r>
      <w:r>
        <w:rPr>
          <w:bCs/>
        </w:rPr>
        <w:t xml:space="preserve">; Dapagliflozin 006 Study Group. Long-term efficacy of dapagliflozin in patients with type 2 diabetes mellitus receiving high doses of insulin: a randomized trial. </w:t>
      </w:r>
      <w:r>
        <w:rPr>
          <w:bCs/>
          <w:i/>
        </w:rPr>
        <w:t>Ann Intern Med</w:t>
      </w:r>
      <w:r>
        <w:rPr>
          <w:bCs/>
        </w:rPr>
        <w:t xml:space="preserve"> 2012; </w:t>
      </w:r>
      <w:r>
        <w:rPr>
          <w:b/>
          <w:bCs/>
        </w:rPr>
        <w:t>156:</w:t>
      </w:r>
      <w:r>
        <w:rPr>
          <w:bCs/>
        </w:rPr>
        <w:t xml:space="preserve"> 405–415.</w:t>
      </w:r>
    </w:p>
    <w:p w:rsidR="008A17FA" w:rsidRDefault="00711F9F">
      <w:pPr>
        <w:spacing w:line="360" w:lineRule="auto"/>
        <w:rPr>
          <w:bCs/>
        </w:rPr>
      </w:pPr>
      <w:r>
        <w:rPr>
          <w:bCs/>
        </w:rPr>
        <w:t xml:space="preserve">36. FDA Drug Safety Communication, 15 May 2015. Available at:  </w:t>
      </w:r>
      <w:hyperlink r:id="rId17" w:history="1">
        <w:r>
          <w:rPr>
            <w:rStyle w:val="Hyperlink"/>
            <w:bCs/>
          </w:rPr>
          <w:t>http://www.fda.gov/Drugs/DrugSafety/ucm446845.htm</w:t>
        </w:r>
      </w:hyperlink>
      <w:r>
        <w:rPr>
          <w:bCs/>
        </w:rPr>
        <w:t xml:space="preserve"> [Accessed 25 June 2015].</w:t>
      </w:r>
    </w:p>
    <w:p w:rsidR="008A17FA" w:rsidRDefault="00711F9F">
      <w:pPr>
        <w:spacing w:line="360" w:lineRule="auto"/>
        <w:rPr>
          <w:bCs/>
        </w:rPr>
      </w:pPr>
      <w:r>
        <w:rPr>
          <w:bCs/>
        </w:rPr>
        <w:t xml:space="preserve">37. Taylor SI, Blau JE, Rother KI. Perspective: SGLT2 inhibitors may predispose to ketoacidosis. </w:t>
      </w:r>
      <w:r>
        <w:rPr>
          <w:bCs/>
          <w:i/>
        </w:rPr>
        <w:t>J Clin Endocrinol Metab</w:t>
      </w:r>
      <w:r>
        <w:rPr>
          <w:bCs/>
        </w:rPr>
        <w:t xml:space="preserve"> 2015 Jun 18:jc20151884. [Epub ahead of print].</w:t>
      </w:r>
    </w:p>
    <w:p w:rsidR="008A17FA" w:rsidRDefault="00711F9F">
      <w:pPr>
        <w:spacing w:line="360" w:lineRule="auto"/>
        <w:rPr>
          <w:bCs/>
        </w:rPr>
      </w:pPr>
      <w:r>
        <w:rPr>
          <w:bCs/>
        </w:rPr>
        <w:t xml:space="preserve">38. Rosenstock J, Rendell MS, Gross JL, Fleck PR, Wilson CA, Mekki Q. Alogliptin added to insulin therapy in patients with type 2 diabetes reduces HbA(1C) without causing weight gain or increased hypoglycaemia. </w:t>
      </w:r>
      <w:r>
        <w:rPr>
          <w:bCs/>
          <w:i/>
        </w:rPr>
        <w:t>Diabetes Obes Metab</w:t>
      </w:r>
      <w:r>
        <w:rPr>
          <w:bCs/>
        </w:rPr>
        <w:t xml:space="preserve"> 2009; </w:t>
      </w:r>
      <w:r>
        <w:rPr>
          <w:b/>
          <w:bCs/>
        </w:rPr>
        <w:t>11:</w:t>
      </w:r>
      <w:r>
        <w:rPr>
          <w:bCs/>
        </w:rPr>
        <w:t xml:space="preserve"> 1145–1152.</w:t>
      </w:r>
    </w:p>
    <w:p w:rsidR="008A17FA" w:rsidRDefault="00711F9F">
      <w:pPr>
        <w:spacing w:line="360" w:lineRule="auto"/>
        <w:rPr>
          <w:bCs/>
        </w:rPr>
      </w:pPr>
      <w:r>
        <w:rPr>
          <w:bCs/>
        </w:rPr>
        <w:t xml:space="preserve">39. Vilsbøll T, Rosenstock J, Yki-Järvinen H, Cefalu WT, Chen Y, Luo E, </w:t>
      </w:r>
      <w:r>
        <w:rPr>
          <w:bCs/>
          <w:i/>
        </w:rPr>
        <w:t>et al</w:t>
      </w:r>
      <w:r>
        <w:rPr>
          <w:bCs/>
        </w:rPr>
        <w:t xml:space="preserve">. Efficacy and safety of sitagliptin when added to insulin therapy in patients with type 2 diabetes. </w:t>
      </w:r>
      <w:r>
        <w:rPr>
          <w:bCs/>
          <w:i/>
        </w:rPr>
        <w:t>Diabetes Obes Metab</w:t>
      </w:r>
      <w:r>
        <w:rPr>
          <w:bCs/>
        </w:rPr>
        <w:t xml:space="preserve"> 2010; </w:t>
      </w:r>
      <w:r>
        <w:rPr>
          <w:b/>
          <w:bCs/>
        </w:rPr>
        <w:t>12:</w:t>
      </w:r>
      <w:r>
        <w:rPr>
          <w:bCs/>
        </w:rPr>
        <w:t xml:space="preserve"> 167–177.</w:t>
      </w:r>
    </w:p>
    <w:p w:rsidR="008A17FA" w:rsidRDefault="00711F9F">
      <w:pPr>
        <w:spacing w:line="360" w:lineRule="auto"/>
        <w:rPr>
          <w:bCs/>
        </w:rPr>
      </w:pPr>
      <w:r>
        <w:rPr>
          <w:bCs/>
        </w:rPr>
        <w:t xml:space="preserve">40. Barnett AH, Charbonnel B, Donovan M, Fleming D, Chen R. Effect of saxagliptin as add-on therapy in patients with poorly controlled type 2 diabetes on insulin alone or insulin combined with metformin. </w:t>
      </w:r>
      <w:r>
        <w:rPr>
          <w:bCs/>
          <w:i/>
        </w:rPr>
        <w:t>Curr Med Res Opin</w:t>
      </w:r>
      <w:r>
        <w:rPr>
          <w:bCs/>
        </w:rPr>
        <w:t xml:space="preserve"> 2012; </w:t>
      </w:r>
      <w:r>
        <w:rPr>
          <w:b/>
          <w:bCs/>
        </w:rPr>
        <w:t>28:</w:t>
      </w:r>
      <w:r>
        <w:rPr>
          <w:bCs/>
        </w:rPr>
        <w:t xml:space="preserve"> 513–523.</w:t>
      </w:r>
    </w:p>
    <w:p w:rsidR="008A17FA" w:rsidRDefault="00711F9F">
      <w:pPr>
        <w:spacing w:line="360" w:lineRule="auto"/>
        <w:rPr>
          <w:bCs/>
        </w:rPr>
      </w:pPr>
      <w:r>
        <w:rPr>
          <w:bCs/>
        </w:rPr>
        <w:lastRenderedPageBreak/>
        <w:t xml:space="preserve">41. Yki-Järvinen H, Rosenstock J, Durán-Garcia S, Pinnetti S, Bhattacharya S, </w:t>
      </w:r>
      <w:proofErr w:type="gramStart"/>
      <w:r>
        <w:rPr>
          <w:bCs/>
        </w:rPr>
        <w:t>Thiemann</w:t>
      </w:r>
      <w:proofErr w:type="gramEnd"/>
      <w:r>
        <w:rPr>
          <w:bCs/>
        </w:rPr>
        <w:t xml:space="preserve"> S, </w:t>
      </w:r>
      <w:r>
        <w:rPr>
          <w:bCs/>
          <w:i/>
        </w:rPr>
        <w:t>et al</w:t>
      </w:r>
      <w:r>
        <w:rPr>
          <w:bCs/>
        </w:rPr>
        <w:t xml:space="preserve">. Effects of adding linagliptin to basal insulin regimen for inadequately controlled type 2 diabetes: a ≥52-week randomized, double-blind study. </w:t>
      </w:r>
      <w:r>
        <w:rPr>
          <w:bCs/>
          <w:i/>
        </w:rPr>
        <w:t>Diabetes Care</w:t>
      </w:r>
      <w:r>
        <w:rPr>
          <w:bCs/>
        </w:rPr>
        <w:t xml:space="preserve"> 2013; </w:t>
      </w:r>
      <w:r>
        <w:rPr>
          <w:b/>
          <w:bCs/>
        </w:rPr>
        <w:t>36:</w:t>
      </w:r>
      <w:r>
        <w:rPr>
          <w:bCs/>
        </w:rPr>
        <w:t xml:space="preserve"> 3875–3881.</w:t>
      </w:r>
    </w:p>
    <w:p w:rsidR="008A17FA" w:rsidRDefault="00711F9F">
      <w:pPr>
        <w:spacing w:line="360" w:lineRule="auto"/>
      </w:pPr>
      <w:r>
        <w:t xml:space="preserve">42. Kothny W, Foley J, Kozlovski P, Shao Q, Gallwitz B, Lukashevich V. </w:t>
      </w:r>
      <w:r>
        <w:rPr>
          <w:bCs/>
        </w:rPr>
        <w:t xml:space="preserve">Improved glycaemic control with vildagliptin added to insulin, with or without metformin, in patients with type 2 diabetes mellitus. </w:t>
      </w:r>
      <w:r>
        <w:rPr>
          <w:i/>
        </w:rPr>
        <w:t>Diabetes Obes Metab</w:t>
      </w:r>
      <w:r>
        <w:t xml:space="preserve"> 2013; </w:t>
      </w:r>
      <w:r>
        <w:rPr>
          <w:b/>
        </w:rPr>
        <w:t>15:</w:t>
      </w:r>
      <w:r>
        <w:t xml:space="preserve"> 252–257.</w:t>
      </w:r>
    </w:p>
    <w:p w:rsidR="008A17FA" w:rsidRDefault="00711F9F">
      <w:pPr>
        <w:spacing w:after="200" w:line="360" w:lineRule="auto"/>
        <w:rPr>
          <w:lang w:val="fr-FR"/>
        </w:rPr>
      </w:pPr>
      <w:r>
        <w:t xml:space="preserve">43. Thong KY, Jose B, Sukumar N, Cull ML, Mills AP, Sathyapalan T, </w:t>
      </w:r>
      <w:r>
        <w:rPr>
          <w:i/>
        </w:rPr>
        <w:t>et al</w:t>
      </w:r>
      <w:r>
        <w:t xml:space="preserve">; on behalf of the ABCD Nationwide Exenatide Audit Contributors. Safety, efficacy and tolerability of exenatide in combination with insulin in the Association of British Clinical Diabetologists (ABCD) nationwide exenatide audit. </w:t>
      </w:r>
      <w:r>
        <w:rPr>
          <w:i/>
          <w:lang w:val="fr-FR"/>
        </w:rPr>
        <w:t xml:space="preserve">Diabetes Obes Metab </w:t>
      </w:r>
      <w:r>
        <w:rPr>
          <w:lang w:val="fr-FR"/>
        </w:rPr>
        <w:t xml:space="preserve">2011; </w:t>
      </w:r>
      <w:r>
        <w:rPr>
          <w:b/>
          <w:lang w:val="fr-FR"/>
        </w:rPr>
        <w:t>13:</w:t>
      </w:r>
      <w:r>
        <w:rPr>
          <w:lang w:val="fr-FR"/>
        </w:rPr>
        <w:t xml:space="preserve"> 703–720. </w:t>
      </w:r>
    </w:p>
    <w:p w:rsidR="008A17FA" w:rsidRDefault="00711F9F">
      <w:pPr>
        <w:spacing w:after="200" w:line="360" w:lineRule="auto"/>
      </w:pPr>
      <w:r>
        <w:rPr>
          <w:lang w:val="fr-FR"/>
        </w:rPr>
        <w:t xml:space="preserve">44. Thong KY, Gupta PS, Cull ML, Adamson KA, Dove DS, Rowles SV, </w:t>
      </w:r>
      <w:r>
        <w:rPr>
          <w:i/>
          <w:lang w:val="fr-FR"/>
        </w:rPr>
        <w:t>et al</w:t>
      </w:r>
      <w:r>
        <w:rPr>
          <w:lang w:val="fr-FR"/>
        </w:rPr>
        <w:t xml:space="preserve">. </w:t>
      </w:r>
      <w:r>
        <w:t xml:space="preserve">GLP-1 receptor agonists in type 2 diabetes - NICE guidelines versus clinical practice. </w:t>
      </w:r>
      <w:r>
        <w:rPr>
          <w:i/>
          <w:iCs/>
        </w:rPr>
        <w:t>Br J Diabetes Vasc Dis</w:t>
      </w:r>
      <w:r>
        <w:t xml:space="preserve"> 2014; </w:t>
      </w:r>
      <w:r>
        <w:rPr>
          <w:b/>
          <w:bCs/>
        </w:rPr>
        <w:t>14</w:t>
      </w:r>
      <w:r>
        <w:t>: 52–59.</w:t>
      </w:r>
    </w:p>
    <w:p w:rsidR="008A17FA" w:rsidRDefault="00711F9F">
      <w:pPr>
        <w:spacing w:after="200" w:line="360" w:lineRule="auto"/>
        <w:rPr>
          <w:lang w:val="fr-FR"/>
        </w:rPr>
      </w:pPr>
      <w:r>
        <w:rPr>
          <w:rFonts w:cs="Frutiger-Light"/>
        </w:rPr>
        <w:t xml:space="preserve">45. DeVries JH, Bain SC, Rodbard HW, Seufert J, D'Alessio D, Thomsen AB, </w:t>
      </w:r>
      <w:r>
        <w:rPr>
          <w:rFonts w:cs="Frutiger-LightItalic"/>
          <w:i/>
          <w:iCs/>
        </w:rPr>
        <w:t>et al</w:t>
      </w:r>
      <w:r>
        <w:rPr>
          <w:rFonts w:cs="Frutiger-LightItalic"/>
          <w:iCs/>
        </w:rPr>
        <w:t>;</w:t>
      </w:r>
      <w:r>
        <w:t xml:space="preserve"> </w:t>
      </w:r>
      <w:r>
        <w:rPr>
          <w:rFonts w:cs="Frutiger-LightItalic"/>
          <w:iCs/>
        </w:rPr>
        <w:t>Liraglutide-Detemir Study Group</w:t>
      </w:r>
      <w:r>
        <w:rPr>
          <w:rFonts w:cs="Frutiger-LightItalic"/>
          <w:i/>
          <w:iCs/>
        </w:rPr>
        <w:t>.</w:t>
      </w:r>
      <w:r>
        <w:rPr>
          <w:rFonts w:cs="Frutiger-Light"/>
        </w:rPr>
        <w:t xml:space="preserve"> Sequential intensification of metformin treatment in type 2 diabetes with liraglutide followed by randomized addition of basal insulin prompted by A1C targets. </w:t>
      </w:r>
      <w:r>
        <w:rPr>
          <w:rFonts w:cs="Frutiger-LightItalic"/>
          <w:i/>
          <w:iCs/>
          <w:lang w:val="fr-FR"/>
        </w:rPr>
        <w:t>Diabetes Care</w:t>
      </w:r>
      <w:r>
        <w:rPr>
          <w:rFonts w:cs="Frutiger-Light"/>
          <w:lang w:val="fr-FR"/>
        </w:rPr>
        <w:t xml:space="preserve"> 2012; </w:t>
      </w:r>
      <w:r>
        <w:rPr>
          <w:rFonts w:cs="Frutiger-Light"/>
          <w:b/>
          <w:lang w:val="fr-FR"/>
        </w:rPr>
        <w:t>35</w:t>
      </w:r>
      <w:r>
        <w:rPr>
          <w:rFonts w:cs="Frutiger-Light"/>
          <w:lang w:val="fr-FR"/>
        </w:rPr>
        <w:t>: 1446–1454.</w:t>
      </w:r>
    </w:p>
    <w:p w:rsidR="008A17FA" w:rsidRDefault="00711F9F">
      <w:pPr>
        <w:spacing w:after="200" w:line="360" w:lineRule="auto"/>
      </w:pPr>
      <w:r>
        <w:rPr>
          <w:iCs/>
          <w:lang w:val="fr-FR"/>
        </w:rPr>
        <w:t xml:space="preserve">46. Aroda VR, Bailey T, Cariou B, Kumar S, Leiter LA, Raskin P, </w:t>
      </w:r>
      <w:r>
        <w:rPr>
          <w:i/>
          <w:iCs/>
          <w:lang w:val="fr-FR"/>
        </w:rPr>
        <w:t xml:space="preserve">et al. </w:t>
      </w:r>
      <w:r>
        <w:rPr>
          <w:iCs/>
        </w:rPr>
        <w:t>The effect of insulin degludec in combination with liraglutide and metformin in patients with type 2 diabetes requiring treatment intensification.</w:t>
      </w:r>
      <w:r>
        <w:rPr>
          <w:i/>
          <w:iCs/>
        </w:rPr>
        <w:t xml:space="preserve"> Diabetologia</w:t>
      </w:r>
      <w:r>
        <w:rPr>
          <w:iCs/>
        </w:rPr>
        <w:t xml:space="preserve"> 2014; </w:t>
      </w:r>
      <w:r>
        <w:rPr>
          <w:b/>
          <w:iCs/>
        </w:rPr>
        <w:t>57</w:t>
      </w:r>
      <w:r>
        <w:rPr>
          <w:iCs/>
        </w:rPr>
        <w:t>(Suppl. 1): S68 (Abstract 145).</w:t>
      </w:r>
    </w:p>
    <w:p w:rsidR="008A17FA" w:rsidRDefault="00711F9F">
      <w:pPr>
        <w:spacing w:after="200" w:line="360" w:lineRule="auto"/>
        <w:rPr>
          <w:rFonts w:cs="Arial"/>
          <w:color w:val="000000"/>
          <w:shd w:val="clear" w:color="auto" w:fill="FFFFFF"/>
        </w:rPr>
      </w:pPr>
      <w:r>
        <w:rPr>
          <w:rFonts w:cs="Arial"/>
          <w:color w:val="000000"/>
          <w:shd w:val="clear" w:color="auto" w:fill="FFFFFF"/>
        </w:rPr>
        <w:t xml:space="preserve">47. Meier JJ, Rosenstock J, Hincelin-Méry A, Roy-Duval C, Delfolie A, Coester HV, </w:t>
      </w:r>
      <w:r>
        <w:rPr>
          <w:rFonts w:cs="Arial"/>
          <w:i/>
          <w:color w:val="000000"/>
          <w:shd w:val="clear" w:color="auto" w:fill="FFFFFF"/>
        </w:rPr>
        <w:t>et al</w:t>
      </w:r>
      <w:r>
        <w:rPr>
          <w:rFonts w:cs="Arial"/>
          <w:color w:val="000000"/>
          <w:shd w:val="clear" w:color="auto" w:fill="FFFFFF"/>
        </w:rPr>
        <w:t xml:space="preserve">. Contrasting Effects of Lixisenatide and Liraglutide on Postprandial Glycemic Control, Gastric Emptying, and Safety Parameters in Patients With Type 2 Diabetes on Optimized Insulin Glargine With or Without Metformin: A Randomized, Open-Label Trial. </w:t>
      </w:r>
      <w:r>
        <w:rPr>
          <w:rFonts w:cs="Arial"/>
          <w:i/>
          <w:color w:val="000000"/>
          <w:shd w:val="clear" w:color="auto" w:fill="FFFFFF"/>
        </w:rPr>
        <w:t>Diabetes Care</w:t>
      </w:r>
      <w:r>
        <w:rPr>
          <w:rFonts w:cs="Arial"/>
          <w:color w:val="000000"/>
          <w:shd w:val="clear" w:color="auto" w:fill="FFFFFF"/>
        </w:rPr>
        <w:t xml:space="preserve"> 2015; </w:t>
      </w:r>
      <w:r>
        <w:rPr>
          <w:rFonts w:cs="Arial"/>
          <w:b/>
          <w:color w:val="000000"/>
          <w:shd w:val="clear" w:color="auto" w:fill="FFFFFF"/>
        </w:rPr>
        <w:t>38</w:t>
      </w:r>
      <w:r>
        <w:rPr>
          <w:rFonts w:cs="Arial"/>
          <w:color w:val="000000"/>
          <w:shd w:val="clear" w:color="auto" w:fill="FFFFFF"/>
        </w:rPr>
        <w:t>: 1263–1273.</w:t>
      </w:r>
    </w:p>
    <w:p w:rsidR="008A17FA" w:rsidRDefault="00711F9F">
      <w:pPr>
        <w:spacing w:after="200" w:line="360" w:lineRule="auto"/>
        <w:rPr>
          <w:rFonts w:cs="Arial"/>
          <w:color w:val="000000"/>
          <w:shd w:val="clear" w:color="auto" w:fill="FFFFFF"/>
        </w:rPr>
      </w:pPr>
      <w:r>
        <w:rPr>
          <w:rFonts w:cs="Arial"/>
          <w:color w:val="000000"/>
          <w:shd w:val="clear" w:color="auto" w:fill="FFFFFF"/>
        </w:rPr>
        <w:t xml:space="preserve">48. Drucker DJ, Buse JB, Taylor K, Kendall DM, Trautmann M, Zhuang D, </w:t>
      </w:r>
      <w:r>
        <w:rPr>
          <w:rFonts w:cs="Arial"/>
          <w:i/>
          <w:color w:val="000000"/>
          <w:shd w:val="clear" w:color="auto" w:fill="FFFFFF"/>
        </w:rPr>
        <w:t>et al</w:t>
      </w:r>
      <w:r>
        <w:rPr>
          <w:rFonts w:cs="Arial"/>
          <w:color w:val="000000"/>
          <w:shd w:val="clear" w:color="auto" w:fill="FFFFFF"/>
        </w:rPr>
        <w:t xml:space="preserve">; DURATION-1 Study Group. Exenatide once weekly versus twice daily for the treatment of type 2 diabetes: a randomised, open-label, non-inferiority study. </w:t>
      </w:r>
      <w:r>
        <w:rPr>
          <w:rFonts w:cs="Arial"/>
          <w:i/>
          <w:color w:val="000000"/>
          <w:shd w:val="clear" w:color="auto" w:fill="FFFFFF"/>
        </w:rPr>
        <w:t>Lancet</w:t>
      </w:r>
      <w:r>
        <w:rPr>
          <w:rFonts w:cs="Arial"/>
          <w:color w:val="000000"/>
          <w:shd w:val="clear" w:color="auto" w:fill="FFFFFF"/>
        </w:rPr>
        <w:t xml:space="preserve"> 2008; </w:t>
      </w:r>
      <w:r>
        <w:rPr>
          <w:rFonts w:cs="Arial"/>
          <w:b/>
          <w:color w:val="000000"/>
          <w:shd w:val="clear" w:color="auto" w:fill="FFFFFF"/>
        </w:rPr>
        <w:t>372</w:t>
      </w:r>
      <w:r>
        <w:rPr>
          <w:rFonts w:cs="Arial"/>
          <w:color w:val="000000"/>
          <w:shd w:val="clear" w:color="auto" w:fill="FFFFFF"/>
        </w:rPr>
        <w:t>: 1240–1250.</w:t>
      </w:r>
    </w:p>
    <w:p w:rsidR="008A17FA" w:rsidRDefault="00711F9F">
      <w:pPr>
        <w:spacing w:after="200" w:line="360" w:lineRule="auto"/>
        <w:rPr>
          <w:rFonts w:cs="Arial"/>
          <w:color w:val="000000"/>
          <w:shd w:val="clear" w:color="auto" w:fill="FFFFFF"/>
        </w:rPr>
      </w:pPr>
      <w:r>
        <w:rPr>
          <w:rFonts w:cs="Arial"/>
          <w:color w:val="000000"/>
          <w:shd w:val="clear" w:color="auto" w:fill="FFFFFF"/>
        </w:rPr>
        <w:t xml:space="preserve">49. Kapitza C, Forst T, Coester HV, Poitiers F, Ruus P, Hincelin-Méry A. Pharmacodynamic characteristics of lixisenatide once daily versus liraglutide once daily in patients with type 2 diabetes insufficiently controlled on metformin. </w:t>
      </w:r>
      <w:r>
        <w:rPr>
          <w:rFonts w:cs="Arial"/>
          <w:i/>
          <w:color w:val="000000"/>
          <w:shd w:val="clear" w:color="auto" w:fill="FFFFFF"/>
        </w:rPr>
        <w:t>Diabetes Obes Metab</w:t>
      </w:r>
      <w:r>
        <w:rPr>
          <w:rFonts w:cs="Arial"/>
          <w:color w:val="000000"/>
          <w:shd w:val="clear" w:color="auto" w:fill="FFFFFF"/>
        </w:rPr>
        <w:t xml:space="preserve"> 2013; </w:t>
      </w:r>
      <w:r>
        <w:rPr>
          <w:rFonts w:cs="Arial"/>
          <w:b/>
          <w:color w:val="000000"/>
          <w:shd w:val="clear" w:color="auto" w:fill="FFFFFF"/>
        </w:rPr>
        <w:t>15</w:t>
      </w:r>
      <w:r>
        <w:rPr>
          <w:rFonts w:cs="Arial"/>
          <w:color w:val="000000"/>
          <w:shd w:val="clear" w:color="auto" w:fill="FFFFFF"/>
        </w:rPr>
        <w:t>: 642–649.</w:t>
      </w:r>
    </w:p>
    <w:p w:rsidR="008A17FA" w:rsidRDefault="00711F9F">
      <w:pPr>
        <w:spacing w:after="200" w:line="360" w:lineRule="auto"/>
        <w:rPr>
          <w:rFonts w:cs="Arial"/>
          <w:color w:val="000000"/>
          <w:shd w:val="clear" w:color="auto" w:fill="FFFFFF"/>
        </w:rPr>
      </w:pPr>
      <w:r>
        <w:rPr>
          <w:rFonts w:cs="Arial"/>
          <w:color w:val="000000"/>
          <w:shd w:val="clear" w:color="auto" w:fill="FFFFFF"/>
        </w:rPr>
        <w:lastRenderedPageBreak/>
        <w:t xml:space="preserve">50. Buse JB, Rosenstock J, Sesti G, Schmidt WE, Montanya E, Brett JH, </w:t>
      </w:r>
      <w:r>
        <w:rPr>
          <w:rFonts w:cs="Arial"/>
          <w:i/>
          <w:color w:val="000000"/>
          <w:shd w:val="clear" w:color="auto" w:fill="FFFFFF"/>
        </w:rPr>
        <w:t>et al</w:t>
      </w:r>
      <w:r>
        <w:rPr>
          <w:rFonts w:cs="Arial"/>
          <w:color w:val="000000"/>
          <w:shd w:val="clear" w:color="auto" w:fill="FFFFFF"/>
        </w:rPr>
        <w:t xml:space="preserve">; LEAD-6 Study Group. Liraglutide once a day versus exenatide twice a day for type 2 diabetes: a 26-week randomised, parallel-group, multinational, open-label trial (LEAD-6). </w:t>
      </w:r>
      <w:r>
        <w:rPr>
          <w:rFonts w:cs="Arial"/>
          <w:i/>
          <w:color w:val="000000"/>
          <w:shd w:val="clear" w:color="auto" w:fill="FFFFFF"/>
        </w:rPr>
        <w:t>Lancet</w:t>
      </w:r>
      <w:r>
        <w:rPr>
          <w:rFonts w:cs="Arial"/>
          <w:color w:val="000000"/>
          <w:shd w:val="clear" w:color="auto" w:fill="FFFFFF"/>
        </w:rPr>
        <w:t xml:space="preserve"> 2009; </w:t>
      </w:r>
      <w:r>
        <w:rPr>
          <w:rFonts w:cs="Arial"/>
          <w:b/>
          <w:color w:val="000000"/>
          <w:shd w:val="clear" w:color="auto" w:fill="FFFFFF"/>
        </w:rPr>
        <w:t>374</w:t>
      </w:r>
      <w:r>
        <w:rPr>
          <w:rFonts w:cs="Arial"/>
          <w:color w:val="000000"/>
          <w:shd w:val="clear" w:color="auto" w:fill="FFFFFF"/>
        </w:rPr>
        <w:t>: 39–47.</w:t>
      </w:r>
    </w:p>
    <w:p w:rsidR="008A17FA" w:rsidRDefault="00711F9F">
      <w:pPr>
        <w:spacing w:after="200" w:line="360" w:lineRule="auto"/>
        <w:rPr>
          <w:rFonts w:cs="Arial"/>
          <w:color w:val="000000"/>
          <w:shd w:val="clear" w:color="auto" w:fill="FFFFFF"/>
        </w:rPr>
      </w:pPr>
      <w:r>
        <w:rPr>
          <w:rFonts w:cs="Arial"/>
          <w:color w:val="000000"/>
          <w:shd w:val="clear" w:color="auto" w:fill="FFFFFF"/>
        </w:rPr>
        <w:t xml:space="preserve">51. Buse JB, Bergenstal RM, Glass LC, Heilmann CR, Lewis MS, Kwan AY, </w:t>
      </w:r>
      <w:r>
        <w:rPr>
          <w:rFonts w:cs="Arial"/>
          <w:i/>
          <w:color w:val="000000"/>
          <w:shd w:val="clear" w:color="auto" w:fill="FFFFFF"/>
        </w:rPr>
        <w:t>et al</w:t>
      </w:r>
      <w:r>
        <w:rPr>
          <w:rFonts w:cs="Arial"/>
          <w:color w:val="000000"/>
          <w:shd w:val="clear" w:color="auto" w:fill="FFFFFF"/>
        </w:rPr>
        <w:t xml:space="preserve">. </w:t>
      </w:r>
      <w:r>
        <w:rPr>
          <w:rFonts w:cs="Arial"/>
          <w:bCs/>
          <w:color w:val="000000"/>
          <w:shd w:val="clear" w:color="auto" w:fill="FFFFFF"/>
        </w:rPr>
        <w:t xml:space="preserve">Use of twice-daily exenatide in Basal insulin-treated patients with type 2 diabetes: a randomized, controlled trial. </w:t>
      </w:r>
      <w:r>
        <w:rPr>
          <w:rFonts w:cs="Arial"/>
          <w:i/>
          <w:color w:val="000000"/>
          <w:shd w:val="clear" w:color="auto" w:fill="FFFFFF"/>
        </w:rPr>
        <w:t>Ann Intern Med</w:t>
      </w:r>
      <w:r>
        <w:rPr>
          <w:rFonts w:cs="Arial"/>
          <w:color w:val="000000"/>
          <w:shd w:val="clear" w:color="auto" w:fill="FFFFFF"/>
        </w:rPr>
        <w:t xml:space="preserve"> 2011; </w:t>
      </w:r>
      <w:r>
        <w:rPr>
          <w:rFonts w:cs="Arial"/>
          <w:b/>
          <w:color w:val="000000"/>
          <w:shd w:val="clear" w:color="auto" w:fill="FFFFFF"/>
        </w:rPr>
        <w:t>154:</w:t>
      </w:r>
      <w:r>
        <w:rPr>
          <w:rFonts w:cs="Arial"/>
          <w:color w:val="000000"/>
          <w:shd w:val="clear" w:color="auto" w:fill="FFFFFF"/>
        </w:rPr>
        <w:t xml:space="preserve"> 103–112.</w:t>
      </w:r>
    </w:p>
    <w:p w:rsidR="008A17FA" w:rsidRDefault="00711F9F">
      <w:pPr>
        <w:spacing w:after="200" w:line="360" w:lineRule="auto"/>
        <w:rPr>
          <w:rFonts w:cs="Arial"/>
          <w:color w:val="000000"/>
          <w:shd w:val="clear" w:color="auto" w:fill="FFFFFF"/>
          <w:lang w:val="fr-FR"/>
        </w:rPr>
      </w:pPr>
      <w:r>
        <w:rPr>
          <w:rFonts w:cs="Arial"/>
          <w:color w:val="000000"/>
          <w:shd w:val="clear" w:color="auto" w:fill="FFFFFF"/>
        </w:rPr>
        <w:t xml:space="preserve">52. Riddle MC, Aronson R, Home P, Marre M, Niemoeller E, Miossec P, </w:t>
      </w:r>
      <w:r>
        <w:rPr>
          <w:rFonts w:cs="Arial"/>
          <w:i/>
          <w:color w:val="000000"/>
          <w:shd w:val="clear" w:color="auto" w:fill="FFFFFF"/>
        </w:rPr>
        <w:t>et al</w:t>
      </w:r>
      <w:r>
        <w:rPr>
          <w:rFonts w:cs="Arial"/>
          <w:color w:val="000000"/>
          <w:shd w:val="clear" w:color="auto" w:fill="FFFFFF"/>
        </w:rPr>
        <w:t xml:space="preserve">. </w:t>
      </w:r>
      <w:r>
        <w:rPr>
          <w:rFonts w:cs="Arial"/>
          <w:bCs/>
          <w:color w:val="000000"/>
          <w:shd w:val="clear" w:color="auto" w:fill="FFFFFF"/>
        </w:rPr>
        <w:t>Adding once-daily lixisenatide for type 2 diabetes inadequately controlled by established basal insulin: a 24-week, randomized, placebo-controlled comparison (GetGoal-L).</w:t>
      </w:r>
      <w:r>
        <w:rPr>
          <w:rFonts w:cs="Arial"/>
          <w:b/>
          <w:bCs/>
          <w:color w:val="000000"/>
          <w:shd w:val="clear" w:color="auto" w:fill="FFFFFF"/>
        </w:rPr>
        <w:t xml:space="preserve"> </w:t>
      </w:r>
      <w:r>
        <w:rPr>
          <w:rFonts w:cs="Arial"/>
          <w:i/>
          <w:color w:val="000000"/>
          <w:shd w:val="clear" w:color="auto" w:fill="FFFFFF"/>
          <w:lang w:val="fr-FR"/>
        </w:rPr>
        <w:t>Diabetes Care</w:t>
      </w:r>
      <w:r>
        <w:rPr>
          <w:rFonts w:cs="Arial"/>
          <w:color w:val="000000"/>
          <w:shd w:val="clear" w:color="auto" w:fill="FFFFFF"/>
          <w:lang w:val="fr-FR"/>
        </w:rPr>
        <w:t xml:space="preserve"> 2013; </w:t>
      </w:r>
      <w:r>
        <w:rPr>
          <w:rFonts w:cs="Arial"/>
          <w:b/>
          <w:color w:val="000000"/>
          <w:shd w:val="clear" w:color="auto" w:fill="FFFFFF"/>
          <w:lang w:val="fr-FR"/>
        </w:rPr>
        <w:t>36:</w:t>
      </w:r>
      <w:r>
        <w:rPr>
          <w:rFonts w:cs="Arial"/>
          <w:color w:val="000000"/>
          <w:shd w:val="clear" w:color="auto" w:fill="FFFFFF"/>
          <w:lang w:val="fr-FR"/>
        </w:rPr>
        <w:t xml:space="preserve"> 2489–2496.</w:t>
      </w:r>
    </w:p>
    <w:p w:rsidR="008A17FA" w:rsidRDefault="00711F9F">
      <w:pPr>
        <w:spacing w:after="200" w:line="360" w:lineRule="auto"/>
        <w:rPr>
          <w:rFonts w:cs="Arial"/>
          <w:color w:val="000000"/>
          <w:shd w:val="clear" w:color="auto" w:fill="FFFFFF"/>
        </w:rPr>
      </w:pPr>
      <w:r>
        <w:rPr>
          <w:rFonts w:cs="Arial"/>
          <w:color w:val="000000"/>
          <w:shd w:val="clear" w:color="auto" w:fill="FFFFFF"/>
          <w:lang w:val="fr-FR"/>
        </w:rPr>
        <w:t xml:space="preserve">53. Riddle MC, Forst T, Aronson R, Sauque-Reyna L, Souhami E, Silvestre L, </w:t>
      </w:r>
      <w:r>
        <w:rPr>
          <w:rFonts w:cs="Arial"/>
          <w:i/>
          <w:color w:val="000000"/>
          <w:shd w:val="clear" w:color="auto" w:fill="FFFFFF"/>
          <w:lang w:val="fr-FR"/>
        </w:rPr>
        <w:t>et al</w:t>
      </w:r>
      <w:r>
        <w:rPr>
          <w:rFonts w:cs="Arial"/>
          <w:color w:val="000000"/>
          <w:shd w:val="clear" w:color="auto" w:fill="FFFFFF"/>
          <w:lang w:val="fr-FR"/>
        </w:rPr>
        <w:t xml:space="preserve">. </w:t>
      </w:r>
      <w:r>
        <w:rPr>
          <w:rFonts w:cs="Arial"/>
          <w:bCs/>
          <w:color w:val="000000"/>
          <w:shd w:val="clear" w:color="auto" w:fill="FFFFFF"/>
        </w:rPr>
        <w:t>Adding once-daily lixisenatide for type 2 diabetes inadequately controlled with newly initiated and continuously titrated basal insulin glargine: a 24-week, randomized, placebo-controlled study (GetGoal-Duo 1).</w:t>
      </w:r>
      <w:r>
        <w:rPr>
          <w:rFonts w:cs="Arial"/>
          <w:b/>
          <w:bCs/>
          <w:color w:val="000000"/>
          <w:shd w:val="clear" w:color="auto" w:fill="FFFFFF"/>
        </w:rPr>
        <w:t xml:space="preserve"> </w:t>
      </w:r>
      <w:r>
        <w:rPr>
          <w:rFonts w:cs="Arial"/>
          <w:i/>
          <w:color w:val="000000"/>
          <w:shd w:val="clear" w:color="auto" w:fill="FFFFFF"/>
        </w:rPr>
        <w:t>Diabetes Care</w:t>
      </w:r>
      <w:r>
        <w:rPr>
          <w:rFonts w:cs="Arial"/>
          <w:color w:val="000000"/>
          <w:shd w:val="clear" w:color="auto" w:fill="FFFFFF"/>
        </w:rPr>
        <w:t xml:space="preserve"> 2013; </w:t>
      </w:r>
      <w:r>
        <w:rPr>
          <w:rFonts w:cs="Arial"/>
          <w:b/>
          <w:color w:val="000000"/>
          <w:shd w:val="clear" w:color="auto" w:fill="FFFFFF"/>
        </w:rPr>
        <w:t>36:</w:t>
      </w:r>
      <w:r>
        <w:rPr>
          <w:rFonts w:cs="Arial"/>
          <w:color w:val="000000"/>
          <w:shd w:val="clear" w:color="auto" w:fill="FFFFFF"/>
        </w:rPr>
        <w:t xml:space="preserve"> 2497–2503.</w:t>
      </w:r>
    </w:p>
    <w:p w:rsidR="008A17FA" w:rsidRDefault="00711F9F">
      <w:pPr>
        <w:spacing w:after="200" w:line="360" w:lineRule="auto"/>
        <w:rPr>
          <w:rFonts w:cs="Arial"/>
          <w:color w:val="000000"/>
          <w:shd w:val="clear" w:color="auto" w:fill="FFFFFF"/>
        </w:rPr>
      </w:pPr>
      <w:r>
        <w:rPr>
          <w:rFonts w:cs="Arial"/>
          <w:color w:val="000000"/>
          <w:shd w:val="clear" w:color="auto" w:fill="FFFFFF"/>
        </w:rPr>
        <w:t xml:space="preserve">54. Mathieu C, Rodbard HW, Cariou B, Handelsman Y, Philis-Tsimikas A, Ocampo Francisco AM, </w:t>
      </w:r>
      <w:r>
        <w:rPr>
          <w:rFonts w:cs="Arial"/>
          <w:i/>
          <w:color w:val="000000"/>
          <w:shd w:val="clear" w:color="auto" w:fill="FFFFFF"/>
        </w:rPr>
        <w:t>et al</w:t>
      </w:r>
      <w:r>
        <w:rPr>
          <w:rFonts w:cs="Arial"/>
          <w:color w:val="000000"/>
          <w:shd w:val="clear" w:color="auto" w:fill="FFFFFF"/>
        </w:rPr>
        <w:t xml:space="preserve">; BEGIN: VICTOZA ADD-ON (NN1250-3948) study group. </w:t>
      </w:r>
      <w:r>
        <w:rPr>
          <w:rFonts w:cs="Arial"/>
          <w:bCs/>
          <w:color w:val="000000"/>
          <w:shd w:val="clear" w:color="auto" w:fill="FFFFFF"/>
        </w:rPr>
        <w:t xml:space="preserve">A comparison of adding liraglutide versus a single daily dose of insulin aspart to insulin degludec in subjects with type 2 diabetes (BEGIN: VICTOZA ADD-ON). </w:t>
      </w:r>
      <w:r>
        <w:rPr>
          <w:rFonts w:cs="Arial"/>
          <w:i/>
          <w:color w:val="000000"/>
          <w:shd w:val="clear" w:color="auto" w:fill="FFFFFF"/>
        </w:rPr>
        <w:t>Diabetes Obes Metab</w:t>
      </w:r>
      <w:r>
        <w:rPr>
          <w:rFonts w:cs="Arial"/>
          <w:color w:val="000000"/>
          <w:shd w:val="clear" w:color="auto" w:fill="FFFFFF"/>
        </w:rPr>
        <w:t xml:space="preserve"> 2014; </w:t>
      </w:r>
      <w:r>
        <w:rPr>
          <w:rFonts w:cs="Arial"/>
          <w:b/>
          <w:color w:val="000000"/>
          <w:shd w:val="clear" w:color="auto" w:fill="FFFFFF"/>
        </w:rPr>
        <w:t>16:</w:t>
      </w:r>
      <w:r>
        <w:rPr>
          <w:rFonts w:cs="Arial"/>
          <w:color w:val="000000"/>
          <w:shd w:val="clear" w:color="auto" w:fill="FFFFFF"/>
        </w:rPr>
        <w:t xml:space="preserve"> 636–644.</w:t>
      </w:r>
    </w:p>
    <w:p w:rsidR="008A17FA" w:rsidRDefault="00711F9F">
      <w:pPr>
        <w:spacing w:after="200" w:line="360" w:lineRule="auto"/>
        <w:rPr>
          <w:rFonts w:cs="Arial"/>
          <w:color w:val="000000"/>
          <w:shd w:val="clear" w:color="auto" w:fill="FFFFFF"/>
        </w:rPr>
      </w:pPr>
      <w:r>
        <w:rPr>
          <w:rFonts w:cs="Arial"/>
          <w:color w:val="000000"/>
          <w:shd w:val="clear" w:color="auto" w:fill="FFFFFF"/>
        </w:rPr>
        <w:t xml:space="preserve">55. Rosenstock J, Fonseca VA, Gross JL, Ratner RE, Ahrén B, Chow FC, </w:t>
      </w:r>
      <w:r>
        <w:rPr>
          <w:rFonts w:cs="Arial"/>
          <w:i/>
          <w:color w:val="000000"/>
          <w:shd w:val="clear" w:color="auto" w:fill="FFFFFF"/>
        </w:rPr>
        <w:t>et al</w:t>
      </w:r>
      <w:r>
        <w:rPr>
          <w:rFonts w:cs="Arial"/>
          <w:color w:val="000000"/>
          <w:shd w:val="clear" w:color="auto" w:fill="FFFFFF"/>
        </w:rPr>
        <w:t xml:space="preserve">; Harmony 6 Study Group. </w:t>
      </w:r>
      <w:r>
        <w:rPr>
          <w:rFonts w:cs="Arial"/>
          <w:bCs/>
          <w:color w:val="000000"/>
          <w:shd w:val="clear" w:color="auto" w:fill="FFFFFF"/>
        </w:rPr>
        <w:t xml:space="preserve">Advancing Basal Insulin Replacement in Type 2 Diabetes Inadequately Controlled With Insulin Glargine Plus Oral Agents: A Comparison of Adding Albiglutide, a Weekly GLP-1 Receptor Agonist, Versus Thrice-Daily Prandial Insulin Lispro. </w:t>
      </w:r>
      <w:r>
        <w:rPr>
          <w:rFonts w:cs="Arial"/>
          <w:i/>
          <w:color w:val="000000"/>
          <w:shd w:val="clear" w:color="auto" w:fill="FFFFFF"/>
        </w:rPr>
        <w:t>Diabetes Care</w:t>
      </w:r>
      <w:r>
        <w:rPr>
          <w:rFonts w:cs="Arial"/>
          <w:color w:val="000000"/>
          <w:shd w:val="clear" w:color="auto" w:fill="FFFFFF"/>
        </w:rPr>
        <w:t xml:space="preserve"> 2014; </w:t>
      </w:r>
      <w:r>
        <w:rPr>
          <w:rFonts w:cs="Arial"/>
          <w:b/>
          <w:color w:val="000000"/>
          <w:shd w:val="clear" w:color="auto" w:fill="FFFFFF"/>
        </w:rPr>
        <w:t>37:</w:t>
      </w:r>
      <w:r>
        <w:rPr>
          <w:rFonts w:cs="Arial"/>
          <w:color w:val="000000"/>
          <w:shd w:val="clear" w:color="auto" w:fill="FFFFFF"/>
        </w:rPr>
        <w:t xml:space="preserve"> 2317–2325.</w:t>
      </w:r>
    </w:p>
    <w:p w:rsidR="008A17FA" w:rsidRDefault="00711F9F">
      <w:pPr>
        <w:spacing w:after="200" w:line="360" w:lineRule="auto"/>
      </w:pPr>
      <w:r>
        <w:rPr>
          <w:iCs/>
          <w:lang w:val="en-US"/>
        </w:rPr>
        <w:t xml:space="preserve">56. Ahmann AJ, Rodbard HW, Rosenstock J, Lahtela L, de Loredo L, Tornøe K, </w:t>
      </w:r>
      <w:r>
        <w:rPr>
          <w:i/>
          <w:iCs/>
          <w:lang w:val="en-US"/>
        </w:rPr>
        <w:t xml:space="preserve">et al. </w:t>
      </w:r>
      <w:r>
        <w:rPr>
          <w:iCs/>
          <w:lang w:val="en-US"/>
        </w:rPr>
        <w:t xml:space="preserve">Efficacy and safety of liraglutide vs. placebo when added to basal insulin analogs in patients with type 2 diabetes (LIRA-ADD2BASAL). </w:t>
      </w:r>
      <w:r>
        <w:rPr>
          <w:i/>
          <w:iCs/>
          <w:lang w:val="en-US"/>
        </w:rPr>
        <w:t>Diabetes</w:t>
      </w:r>
      <w:r>
        <w:rPr>
          <w:iCs/>
          <w:lang w:val="en-US"/>
        </w:rPr>
        <w:t xml:space="preserve"> 2014; </w:t>
      </w:r>
      <w:r>
        <w:rPr>
          <w:b/>
          <w:iCs/>
          <w:lang w:val="en-US"/>
        </w:rPr>
        <w:t>63</w:t>
      </w:r>
      <w:r>
        <w:rPr>
          <w:iCs/>
          <w:lang w:val="en-US"/>
        </w:rPr>
        <w:t>(Suppl. 1): A87, Abstract 331-OR.</w:t>
      </w:r>
    </w:p>
    <w:p w:rsidR="008A17FA" w:rsidRDefault="00711F9F">
      <w:pPr>
        <w:spacing w:after="200" w:line="360" w:lineRule="auto"/>
        <w:rPr>
          <w:rFonts w:cs="Arial"/>
          <w:color w:val="000000"/>
          <w:shd w:val="clear" w:color="auto" w:fill="FFFFFF"/>
        </w:rPr>
      </w:pPr>
      <w:r>
        <w:t xml:space="preserve">57. Diamant M, Nauck MA, Shaginian R, Malone JK, Cleall S, Reaney M, </w:t>
      </w:r>
      <w:r>
        <w:rPr>
          <w:i/>
        </w:rPr>
        <w:t>et al</w:t>
      </w:r>
      <w:r>
        <w:t xml:space="preserve">; 4B Study Group. </w:t>
      </w:r>
      <w:r>
        <w:rPr>
          <w:bCs/>
        </w:rPr>
        <w:t>Glucagon-like peptide 1 receptor agonist or bolus insulin with optimized basal insulin in type 2 diabetes.</w:t>
      </w:r>
      <w:r>
        <w:rPr>
          <w:rFonts w:cs="Arial"/>
          <w:color w:val="000000"/>
          <w:shd w:val="clear" w:color="auto" w:fill="FFFFFF"/>
        </w:rPr>
        <w:t xml:space="preserve"> </w:t>
      </w:r>
      <w:r>
        <w:rPr>
          <w:rFonts w:cs="Arial"/>
          <w:i/>
          <w:color w:val="000000"/>
          <w:shd w:val="clear" w:color="auto" w:fill="FFFFFF"/>
        </w:rPr>
        <w:t>Diabetes Care</w:t>
      </w:r>
      <w:r>
        <w:rPr>
          <w:rStyle w:val="apple-converted-space"/>
          <w:rFonts w:cs="Arial"/>
          <w:color w:val="000000"/>
          <w:shd w:val="clear" w:color="auto" w:fill="FFFFFF"/>
        </w:rPr>
        <w:t> </w:t>
      </w:r>
      <w:r>
        <w:rPr>
          <w:rFonts w:cs="Arial"/>
          <w:color w:val="000000"/>
          <w:shd w:val="clear" w:color="auto" w:fill="FFFFFF"/>
        </w:rPr>
        <w:t xml:space="preserve">2014; </w:t>
      </w:r>
      <w:r>
        <w:rPr>
          <w:rFonts w:cs="Arial"/>
          <w:b/>
          <w:color w:val="000000"/>
          <w:shd w:val="clear" w:color="auto" w:fill="FFFFFF"/>
        </w:rPr>
        <w:t>37:</w:t>
      </w:r>
      <w:r>
        <w:rPr>
          <w:rFonts w:cs="Arial"/>
          <w:color w:val="000000"/>
          <w:shd w:val="clear" w:color="auto" w:fill="FFFFFF"/>
        </w:rPr>
        <w:t xml:space="preserve"> 2763–2673.</w:t>
      </w:r>
    </w:p>
    <w:p w:rsidR="008A17FA" w:rsidRDefault="00711F9F">
      <w:pPr>
        <w:spacing w:after="200" w:line="360" w:lineRule="auto"/>
        <w:rPr>
          <w:rFonts w:cs="Arial"/>
          <w:color w:val="000000"/>
          <w:shd w:val="clear" w:color="auto" w:fill="FFFFFF"/>
        </w:rPr>
      </w:pPr>
      <w:r>
        <w:rPr>
          <w:rFonts w:cs="Arial"/>
          <w:color w:val="000000"/>
          <w:shd w:val="clear" w:color="auto" w:fill="FFFFFF"/>
        </w:rPr>
        <w:t xml:space="preserve">58. Fonseca VA, Alvarado-Ruiz R, Raccah D, Boka G, Miossec P, Gerich JE; EFC6018 GetGoal-Mono Study Investigators. Efficacy and safety of the once-daily GLP-1 receptor agonist lixisenatide in monotherapy: a randomized, double-blind, placebo-controlled trial in patients with type 2 diabetes (GetGoal-Mono). </w:t>
      </w:r>
      <w:r>
        <w:rPr>
          <w:rFonts w:cs="Arial"/>
          <w:i/>
          <w:color w:val="000000"/>
          <w:shd w:val="clear" w:color="auto" w:fill="FFFFFF"/>
        </w:rPr>
        <w:t>Diabetes Care</w:t>
      </w:r>
      <w:r>
        <w:rPr>
          <w:rFonts w:cs="Arial"/>
          <w:color w:val="000000"/>
          <w:shd w:val="clear" w:color="auto" w:fill="FFFFFF"/>
        </w:rPr>
        <w:t xml:space="preserve"> 2012; </w:t>
      </w:r>
      <w:r>
        <w:rPr>
          <w:rFonts w:cs="Arial"/>
          <w:b/>
          <w:color w:val="000000"/>
          <w:shd w:val="clear" w:color="auto" w:fill="FFFFFF"/>
        </w:rPr>
        <w:t>35</w:t>
      </w:r>
      <w:r>
        <w:rPr>
          <w:rFonts w:cs="Arial"/>
          <w:color w:val="000000"/>
          <w:shd w:val="clear" w:color="auto" w:fill="FFFFFF"/>
        </w:rPr>
        <w:t>: 1225–1231.</w:t>
      </w:r>
    </w:p>
    <w:p w:rsidR="008A17FA" w:rsidRDefault="00711F9F">
      <w:pPr>
        <w:spacing w:after="200" w:line="360" w:lineRule="auto"/>
        <w:rPr>
          <w:rFonts w:cs="Arial"/>
          <w:color w:val="000000"/>
          <w:shd w:val="clear" w:color="auto" w:fill="FFFFFF"/>
        </w:rPr>
      </w:pPr>
      <w:r>
        <w:rPr>
          <w:rFonts w:cs="Arial"/>
          <w:color w:val="000000"/>
          <w:shd w:val="clear" w:color="auto" w:fill="FFFFFF"/>
        </w:rPr>
        <w:lastRenderedPageBreak/>
        <w:t xml:space="preserve">59. Petersen AB, Christensen M. Clinical potential of lixisenatide once daily treatment for type 2 diabetes mellitus. </w:t>
      </w:r>
      <w:r>
        <w:rPr>
          <w:rFonts w:cs="Arial"/>
          <w:i/>
          <w:color w:val="000000"/>
          <w:shd w:val="clear" w:color="auto" w:fill="FFFFFF"/>
        </w:rPr>
        <w:t>Diabetes Metab Syndr Obes</w:t>
      </w:r>
      <w:r>
        <w:rPr>
          <w:rFonts w:cs="Arial"/>
          <w:color w:val="000000"/>
          <w:shd w:val="clear" w:color="auto" w:fill="FFFFFF"/>
        </w:rPr>
        <w:t xml:space="preserve"> 2013; </w:t>
      </w:r>
      <w:r>
        <w:rPr>
          <w:rFonts w:cs="Arial"/>
          <w:b/>
          <w:color w:val="000000"/>
          <w:shd w:val="clear" w:color="auto" w:fill="FFFFFF"/>
        </w:rPr>
        <w:t>6</w:t>
      </w:r>
      <w:r>
        <w:rPr>
          <w:rFonts w:cs="Arial"/>
          <w:color w:val="000000"/>
          <w:shd w:val="clear" w:color="auto" w:fill="FFFFFF"/>
        </w:rPr>
        <w:t>: 217–231.</w:t>
      </w:r>
    </w:p>
    <w:p w:rsidR="008A17FA" w:rsidRDefault="00711F9F">
      <w:pPr>
        <w:spacing w:after="200" w:line="360" w:lineRule="auto"/>
        <w:rPr>
          <w:rFonts w:cs="Arial"/>
          <w:color w:val="000000"/>
          <w:shd w:val="clear" w:color="auto" w:fill="FFFFFF"/>
        </w:rPr>
      </w:pPr>
      <w:r>
        <w:rPr>
          <w:rFonts w:cs="Arial"/>
          <w:color w:val="000000"/>
          <w:shd w:val="clear" w:color="auto" w:fill="FFFFFF"/>
        </w:rPr>
        <w:t xml:space="preserve">60. Brodows RG, Qu Y, Johns D, Kim D, Holcombe JH. Quantifying the effect of exenatide and insulin glargine on postprandial glucose excursions in patients with type 2 diabetes. </w:t>
      </w:r>
      <w:r>
        <w:rPr>
          <w:rFonts w:cs="Arial"/>
          <w:i/>
          <w:color w:val="000000"/>
          <w:shd w:val="clear" w:color="auto" w:fill="FFFFFF"/>
        </w:rPr>
        <w:t>Curr Med Res Opin</w:t>
      </w:r>
      <w:r>
        <w:rPr>
          <w:rFonts w:cs="Arial"/>
          <w:color w:val="000000"/>
          <w:shd w:val="clear" w:color="auto" w:fill="FFFFFF"/>
        </w:rPr>
        <w:t xml:space="preserve"> 2008; 24: 1395–1397.</w:t>
      </w:r>
    </w:p>
    <w:p w:rsidR="008A17FA" w:rsidRDefault="00711F9F">
      <w:pPr>
        <w:spacing w:after="200" w:line="360" w:lineRule="auto"/>
        <w:rPr>
          <w:bCs/>
        </w:rPr>
      </w:pPr>
      <w:r>
        <w:rPr>
          <w:bCs/>
        </w:rPr>
        <w:t xml:space="preserve">61. IDegLira SmPC. </w:t>
      </w:r>
      <w:hyperlink r:id="rId18" w:history="1">
        <w:r>
          <w:rPr>
            <w:rStyle w:val="Hyperlink"/>
            <w:bCs/>
          </w:rPr>
          <w:t>http://ec.europa.eu/health/documents/community-register/2014/20140918129550/anx_129550_en.pdf</w:t>
        </w:r>
      </w:hyperlink>
      <w:r>
        <w:rPr>
          <w:bCs/>
        </w:rPr>
        <w:t xml:space="preserve"> [Accessed 1 Dec 2014].</w:t>
      </w:r>
    </w:p>
    <w:p w:rsidR="008A17FA" w:rsidRDefault="00711F9F">
      <w:pPr>
        <w:spacing w:after="200" w:line="360" w:lineRule="auto"/>
        <w:rPr>
          <w:rFonts w:cs="Arial"/>
          <w:bCs/>
          <w:iCs/>
          <w:color w:val="000000"/>
          <w:shd w:val="clear" w:color="auto" w:fill="FFFFFF"/>
        </w:rPr>
      </w:pPr>
      <w:r>
        <w:rPr>
          <w:rFonts w:cs="Arial"/>
          <w:bCs/>
          <w:color w:val="000000"/>
          <w:shd w:val="clear" w:color="auto" w:fill="FFFFFF"/>
        </w:rPr>
        <w:t xml:space="preserve">62. Gough SC, Bode B, Woo V, Rodbard HW, Linjawi S, Poulsen P, </w:t>
      </w:r>
      <w:r>
        <w:rPr>
          <w:rFonts w:cs="Arial"/>
          <w:bCs/>
          <w:i/>
          <w:color w:val="000000"/>
          <w:shd w:val="clear" w:color="auto" w:fill="FFFFFF"/>
        </w:rPr>
        <w:t>et al</w:t>
      </w:r>
      <w:r>
        <w:rPr>
          <w:rFonts w:cs="Arial"/>
          <w:bCs/>
          <w:color w:val="000000"/>
          <w:shd w:val="clear" w:color="auto" w:fill="FFFFFF"/>
        </w:rPr>
        <w:t>; NN9068-3697 (DUAL-I) trial investigators.</w:t>
      </w:r>
      <w:r>
        <w:rPr>
          <w:rFonts w:cs="Arial"/>
          <w:bCs/>
          <w:i/>
          <w:iCs/>
          <w:color w:val="000000"/>
          <w:shd w:val="clear" w:color="auto" w:fill="FFFFFF"/>
        </w:rPr>
        <w:t xml:space="preserve"> </w:t>
      </w:r>
      <w:r>
        <w:rPr>
          <w:rFonts w:cs="Arial"/>
          <w:bCs/>
          <w:iCs/>
          <w:color w:val="000000"/>
          <w:shd w:val="clear" w:color="auto" w:fill="FFFFFF"/>
        </w:rPr>
        <w:t xml:space="preserve">Efficacy and safety of a fixed-ratio combination of insulin degludec and liraglutide (IDegLira) compared with its components given alone: results of a phase 3, open-label, randomised, 26-week, treat-to-target trial in insulin-naive patients with type 2 diabetes. </w:t>
      </w:r>
      <w:r>
        <w:rPr>
          <w:rFonts w:cs="Arial"/>
          <w:bCs/>
          <w:i/>
          <w:iCs/>
          <w:color w:val="000000"/>
          <w:shd w:val="clear" w:color="auto" w:fill="FFFFFF"/>
        </w:rPr>
        <w:t>Lancet Diabetes Endocrinol</w:t>
      </w:r>
      <w:r>
        <w:rPr>
          <w:rFonts w:cs="Arial"/>
          <w:bCs/>
          <w:iCs/>
          <w:color w:val="000000"/>
          <w:shd w:val="clear" w:color="auto" w:fill="FFFFFF"/>
        </w:rPr>
        <w:t xml:space="preserve"> 2014; </w:t>
      </w:r>
      <w:r>
        <w:rPr>
          <w:rFonts w:cs="Arial"/>
          <w:b/>
          <w:bCs/>
          <w:iCs/>
          <w:color w:val="000000"/>
          <w:shd w:val="clear" w:color="auto" w:fill="FFFFFF"/>
        </w:rPr>
        <w:t>2:</w:t>
      </w:r>
      <w:r>
        <w:rPr>
          <w:rFonts w:cs="Arial"/>
          <w:bCs/>
          <w:iCs/>
          <w:color w:val="000000"/>
          <w:shd w:val="clear" w:color="auto" w:fill="FFFFFF"/>
        </w:rPr>
        <w:t xml:space="preserve"> 885–893.</w:t>
      </w:r>
    </w:p>
    <w:p w:rsidR="008A17FA" w:rsidRDefault="00711F9F">
      <w:pPr>
        <w:spacing w:after="200" w:line="360" w:lineRule="auto"/>
        <w:rPr>
          <w:rFonts w:cs="Arial"/>
          <w:b/>
          <w:bCs/>
          <w:color w:val="000000"/>
          <w:shd w:val="clear" w:color="auto" w:fill="FFFFFF"/>
        </w:rPr>
      </w:pPr>
      <w:r>
        <w:rPr>
          <w:rFonts w:cs="Arial"/>
          <w:bCs/>
          <w:color w:val="000000"/>
          <w:shd w:val="clear" w:color="auto" w:fill="FFFFFF"/>
          <w:lang w:val="en-US"/>
        </w:rPr>
        <w:t xml:space="preserve">63. Buse JB, Vilsbøll T, Thurman J, Blevins TC, Langbakke IH, Bøttcher SG, </w:t>
      </w:r>
      <w:r>
        <w:rPr>
          <w:rFonts w:cs="Arial"/>
          <w:bCs/>
          <w:i/>
          <w:color w:val="000000"/>
          <w:shd w:val="clear" w:color="auto" w:fill="FFFFFF"/>
          <w:lang w:val="en-US"/>
        </w:rPr>
        <w:t>et al</w:t>
      </w:r>
      <w:r>
        <w:rPr>
          <w:rFonts w:cs="Arial"/>
          <w:bCs/>
          <w:color w:val="000000"/>
          <w:shd w:val="clear" w:color="auto" w:fill="FFFFFF"/>
          <w:lang w:val="en-US"/>
        </w:rPr>
        <w:t xml:space="preserve">; NN9068-3912 (DUAL-II) Trial Investigators. </w:t>
      </w:r>
      <w:r>
        <w:rPr>
          <w:rFonts w:cs="Arial"/>
          <w:bCs/>
          <w:color w:val="000000"/>
          <w:shd w:val="clear" w:color="auto" w:fill="FFFFFF"/>
        </w:rPr>
        <w:t xml:space="preserve">Contribution of Liraglutide in the Fixed-Ratio Combination of Insulin Degludec and Liraglutide (IDegLira). </w:t>
      </w:r>
      <w:r>
        <w:rPr>
          <w:rFonts w:cs="Arial"/>
          <w:bCs/>
          <w:i/>
          <w:color w:val="000000"/>
          <w:shd w:val="clear" w:color="auto" w:fill="FFFFFF"/>
        </w:rPr>
        <w:t>Diabetes Care</w:t>
      </w:r>
      <w:r>
        <w:rPr>
          <w:rFonts w:cs="Arial"/>
          <w:bCs/>
          <w:color w:val="000000"/>
          <w:shd w:val="clear" w:color="auto" w:fill="FFFFFF"/>
        </w:rPr>
        <w:t xml:space="preserve"> 2014; </w:t>
      </w:r>
      <w:r>
        <w:rPr>
          <w:rFonts w:cs="Arial"/>
          <w:b/>
          <w:bCs/>
          <w:color w:val="000000"/>
          <w:shd w:val="clear" w:color="auto" w:fill="FFFFFF"/>
        </w:rPr>
        <w:t>37:</w:t>
      </w:r>
      <w:r>
        <w:rPr>
          <w:rFonts w:cs="Arial"/>
          <w:bCs/>
          <w:color w:val="000000"/>
          <w:shd w:val="clear" w:color="auto" w:fill="FFFFFF"/>
        </w:rPr>
        <w:t xml:space="preserve"> 2926–2933.</w:t>
      </w:r>
    </w:p>
    <w:p w:rsidR="008A17FA" w:rsidRDefault="00711F9F">
      <w:pPr>
        <w:spacing w:after="200" w:line="360" w:lineRule="auto"/>
        <w:rPr>
          <w:rFonts w:cs="Arial"/>
          <w:bCs/>
          <w:color w:val="000000"/>
          <w:shd w:val="clear" w:color="auto" w:fill="FFFFFF"/>
        </w:rPr>
      </w:pPr>
      <w:r>
        <w:rPr>
          <w:rFonts w:cs="Arial"/>
          <w:bCs/>
          <w:color w:val="000000"/>
          <w:shd w:val="clear" w:color="auto" w:fill="FFFFFF"/>
          <w:lang w:val="en-CA"/>
        </w:rPr>
        <w:t xml:space="preserve">64. Gough SC, Bode B, Woo VC, Rodbard HW, Linjawi S, Zacho M, </w:t>
      </w:r>
      <w:r>
        <w:rPr>
          <w:rFonts w:cs="Arial"/>
          <w:bCs/>
          <w:i/>
          <w:color w:val="000000"/>
          <w:shd w:val="clear" w:color="auto" w:fill="FFFFFF"/>
          <w:lang w:val="en-CA"/>
        </w:rPr>
        <w:t>et al</w:t>
      </w:r>
      <w:r>
        <w:rPr>
          <w:rFonts w:cs="Arial"/>
          <w:bCs/>
          <w:color w:val="000000"/>
          <w:shd w:val="clear" w:color="auto" w:fill="FFFFFF"/>
          <w:lang w:val="en-CA"/>
        </w:rPr>
        <w:t>.</w:t>
      </w:r>
      <w:r>
        <w:t xml:space="preserve"> </w:t>
      </w:r>
      <w:r>
        <w:rPr>
          <w:rFonts w:cs="Arial"/>
          <w:bCs/>
          <w:color w:val="000000"/>
          <w:shd w:val="clear" w:color="auto" w:fill="FFFFFF"/>
          <w:lang w:val="en-CA"/>
        </w:rPr>
        <w:t>One-year efficacy and safety of a fixed combination of insulin degludec and liraglutide in patients with type 2 diabetes: results of a 26-week extension to a 26-week main trial.</w:t>
      </w:r>
      <w:r>
        <w:rPr>
          <w:rFonts w:cs="Arial"/>
          <w:bCs/>
          <w:i/>
          <w:iCs/>
          <w:color w:val="000000"/>
          <w:shd w:val="clear" w:color="auto" w:fill="FFFFFF"/>
        </w:rPr>
        <w:t xml:space="preserve"> Diabetes Obes Metab </w:t>
      </w:r>
      <w:r>
        <w:rPr>
          <w:rFonts w:cs="Arial"/>
          <w:bCs/>
          <w:iCs/>
          <w:color w:val="000000"/>
          <w:shd w:val="clear" w:color="auto" w:fill="FFFFFF"/>
        </w:rPr>
        <w:t xml:space="preserve">2015 May 15. </w:t>
      </w:r>
      <w:proofErr w:type="gramStart"/>
      <w:r>
        <w:rPr>
          <w:rFonts w:cs="Arial"/>
          <w:bCs/>
          <w:iCs/>
          <w:color w:val="000000"/>
          <w:shd w:val="clear" w:color="auto" w:fill="FFFFFF"/>
        </w:rPr>
        <w:t>doi</w:t>
      </w:r>
      <w:proofErr w:type="gramEnd"/>
      <w:r>
        <w:rPr>
          <w:rFonts w:cs="Arial"/>
          <w:bCs/>
          <w:iCs/>
          <w:color w:val="000000"/>
          <w:shd w:val="clear" w:color="auto" w:fill="FFFFFF"/>
        </w:rPr>
        <w:t>: 10.1111/dom.12498. [Epub ahead of print]</w:t>
      </w:r>
      <w:r>
        <w:rPr>
          <w:rFonts w:cs="Arial"/>
          <w:bCs/>
          <w:color w:val="000000"/>
          <w:shd w:val="clear" w:color="auto" w:fill="FFFFFF"/>
        </w:rPr>
        <w:t>.</w:t>
      </w:r>
    </w:p>
    <w:p w:rsidR="008A17FA" w:rsidRDefault="00711F9F">
      <w:pPr>
        <w:spacing w:after="200" w:line="360" w:lineRule="auto"/>
        <w:rPr>
          <w:rFonts w:cs="Arial"/>
          <w:bCs/>
          <w:color w:val="000000"/>
          <w:shd w:val="clear" w:color="auto" w:fill="FFFFFF"/>
        </w:rPr>
      </w:pPr>
      <w:r>
        <w:rPr>
          <w:rFonts w:cs="Arial"/>
          <w:bCs/>
          <w:color w:val="000000"/>
          <w:shd w:val="clear" w:color="auto" w:fill="FFFFFF"/>
        </w:rPr>
        <w:t xml:space="preserve">65. Rosenstock J, Diamant M, Silvestre L, Souhami E, Zhou T, Fonseca V. Benefits of a Fixed-Ratio Formulation of Once-Daily Insulin Glargine/Lixisenatide (LixiLan) vs. Glargine in Type 2 Diabetes (T2DM) Inadequately Controlled on Metformin. Presented at ADA 2014 (Abstract </w:t>
      </w:r>
      <w:r>
        <w:t>332-OR).</w:t>
      </w:r>
    </w:p>
    <w:p w:rsidR="008A17FA" w:rsidRDefault="008A17FA">
      <w:pPr>
        <w:spacing w:after="200" w:line="360" w:lineRule="auto"/>
        <w:rPr>
          <w:rFonts w:cs="Arial"/>
          <w:b/>
          <w:bCs/>
          <w:i/>
          <w:iCs/>
          <w:color w:val="000000"/>
          <w:shd w:val="clear" w:color="auto" w:fill="FFFFFF"/>
        </w:rPr>
        <w:sectPr w:rsidR="008A17FA">
          <w:footerReference w:type="default" r:id="rId19"/>
          <w:pgSz w:w="11906" w:h="16838"/>
          <w:pgMar w:top="1440" w:right="1440" w:bottom="1440" w:left="1440" w:header="708" w:footer="708" w:gutter="0"/>
          <w:cols w:space="708"/>
          <w:docGrid w:linePitch="360"/>
        </w:sectPr>
      </w:pPr>
    </w:p>
    <w:p w:rsidR="008A17FA" w:rsidRDefault="008A17FA">
      <w:pPr>
        <w:spacing w:after="200" w:line="360" w:lineRule="auto"/>
        <w:rPr>
          <w:rFonts w:cs="Arial"/>
          <w:b/>
          <w:bCs/>
          <w:i/>
          <w:iCs/>
          <w:color w:val="000000"/>
          <w:shd w:val="clear" w:color="auto" w:fill="FFFFFF"/>
        </w:rPr>
      </w:pPr>
    </w:p>
    <w:p w:rsidR="008A17FA" w:rsidRDefault="00711F9F">
      <w:pPr>
        <w:keepNext/>
        <w:rPr>
          <w:b/>
        </w:rPr>
      </w:pPr>
      <w:r>
        <w:rPr>
          <w:b/>
        </w:rPr>
        <w:t>Tables and figures</w:t>
      </w:r>
    </w:p>
    <w:p w:rsidR="008A17FA" w:rsidRDefault="008A17FA">
      <w:pPr>
        <w:keepNext/>
        <w:rPr>
          <w:b/>
        </w:rPr>
      </w:pPr>
    </w:p>
    <w:p w:rsidR="008A17FA" w:rsidRDefault="00711F9F">
      <w:pPr>
        <w:keepNext/>
      </w:pPr>
      <w:r>
        <w:rPr>
          <w:b/>
        </w:rPr>
        <w:t>Table 1</w:t>
      </w:r>
      <w:r>
        <w:t xml:space="preserve"> Insulin initiation in UK clinical practice [11–13]</w:t>
      </w:r>
    </w:p>
    <w:tbl>
      <w:tblPr>
        <w:tblStyle w:val="TableGrid"/>
        <w:tblW w:w="12758" w:type="dxa"/>
        <w:tblInd w:w="-856" w:type="dxa"/>
        <w:tblLayout w:type="fixed"/>
        <w:tblLook w:val="04A0" w:firstRow="1" w:lastRow="0" w:firstColumn="1" w:lastColumn="0" w:noHBand="0" w:noVBand="1"/>
      </w:tblPr>
      <w:tblGrid>
        <w:gridCol w:w="993"/>
        <w:gridCol w:w="709"/>
        <w:gridCol w:w="992"/>
        <w:gridCol w:w="1418"/>
        <w:gridCol w:w="992"/>
        <w:gridCol w:w="1134"/>
        <w:gridCol w:w="1559"/>
        <w:gridCol w:w="2126"/>
        <w:gridCol w:w="2835"/>
      </w:tblGrid>
      <w:tr w:rsidR="008A17FA">
        <w:tc>
          <w:tcPr>
            <w:tcW w:w="993" w:type="dxa"/>
          </w:tcPr>
          <w:p w:rsidR="008A17FA" w:rsidRDefault="00711F9F">
            <w:pPr>
              <w:keepNext/>
              <w:rPr>
                <w:b/>
                <w:sz w:val="20"/>
              </w:rPr>
            </w:pPr>
            <w:r>
              <w:rPr>
                <w:b/>
                <w:sz w:val="20"/>
              </w:rPr>
              <w:t>Data source</w:t>
            </w:r>
          </w:p>
        </w:tc>
        <w:tc>
          <w:tcPr>
            <w:tcW w:w="709" w:type="dxa"/>
          </w:tcPr>
          <w:p w:rsidR="008A17FA" w:rsidRDefault="00711F9F">
            <w:pPr>
              <w:keepNext/>
              <w:rPr>
                <w:b/>
                <w:sz w:val="20"/>
              </w:rPr>
            </w:pPr>
            <w:r>
              <w:rPr>
                <w:b/>
                <w:sz w:val="20"/>
              </w:rPr>
              <w:t>N</w:t>
            </w:r>
          </w:p>
        </w:tc>
        <w:tc>
          <w:tcPr>
            <w:tcW w:w="992" w:type="dxa"/>
          </w:tcPr>
          <w:p w:rsidR="008A17FA" w:rsidRDefault="00711F9F">
            <w:pPr>
              <w:keepNext/>
              <w:rPr>
                <w:b/>
                <w:sz w:val="20"/>
              </w:rPr>
            </w:pPr>
            <w:r>
              <w:rPr>
                <w:b/>
                <w:sz w:val="20"/>
              </w:rPr>
              <w:t>Duration</w:t>
            </w:r>
          </w:p>
        </w:tc>
        <w:tc>
          <w:tcPr>
            <w:tcW w:w="1418" w:type="dxa"/>
          </w:tcPr>
          <w:p w:rsidR="008A17FA" w:rsidRDefault="00711F9F">
            <w:pPr>
              <w:keepNext/>
              <w:rPr>
                <w:b/>
                <w:sz w:val="20"/>
              </w:rPr>
            </w:pPr>
            <w:r>
              <w:rPr>
                <w:b/>
                <w:sz w:val="20"/>
              </w:rPr>
              <w:t>Type of insulin initiated</w:t>
            </w:r>
          </w:p>
        </w:tc>
        <w:tc>
          <w:tcPr>
            <w:tcW w:w="992" w:type="dxa"/>
          </w:tcPr>
          <w:p w:rsidR="008A17FA" w:rsidRDefault="00711F9F">
            <w:pPr>
              <w:keepNext/>
              <w:rPr>
                <w:b/>
                <w:sz w:val="20"/>
              </w:rPr>
            </w:pPr>
            <w:r>
              <w:rPr>
                <w:b/>
                <w:sz w:val="20"/>
              </w:rPr>
              <w:t>Baseline HbA</w:t>
            </w:r>
            <w:r>
              <w:rPr>
                <w:b/>
                <w:sz w:val="20"/>
                <w:vertAlign w:val="subscript"/>
              </w:rPr>
              <w:t>1c</w:t>
            </w:r>
            <w:r>
              <w:rPr>
                <w:b/>
                <w:sz w:val="20"/>
              </w:rPr>
              <w:t xml:space="preserve"> </w:t>
            </w:r>
          </w:p>
        </w:tc>
        <w:tc>
          <w:tcPr>
            <w:tcW w:w="1134" w:type="dxa"/>
          </w:tcPr>
          <w:p w:rsidR="008A17FA" w:rsidRDefault="00711F9F">
            <w:pPr>
              <w:keepNext/>
              <w:rPr>
                <w:b/>
                <w:sz w:val="20"/>
              </w:rPr>
            </w:pPr>
            <w:r>
              <w:rPr>
                <w:b/>
                <w:sz w:val="20"/>
              </w:rPr>
              <w:t>Change in HbA</w:t>
            </w:r>
            <w:r>
              <w:rPr>
                <w:b/>
                <w:sz w:val="20"/>
                <w:vertAlign w:val="subscript"/>
              </w:rPr>
              <w:t xml:space="preserve">1c </w:t>
            </w:r>
          </w:p>
        </w:tc>
        <w:tc>
          <w:tcPr>
            <w:tcW w:w="1559" w:type="dxa"/>
          </w:tcPr>
          <w:p w:rsidR="008A17FA" w:rsidRDefault="00711F9F">
            <w:pPr>
              <w:keepNext/>
              <w:rPr>
                <w:b/>
                <w:sz w:val="20"/>
              </w:rPr>
            </w:pPr>
            <w:r>
              <w:rPr>
                <w:b/>
                <w:sz w:val="20"/>
              </w:rPr>
              <w:t>End-of-study HbA</w:t>
            </w:r>
            <w:r>
              <w:rPr>
                <w:b/>
                <w:sz w:val="20"/>
                <w:vertAlign w:val="subscript"/>
              </w:rPr>
              <w:t>1c</w:t>
            </w:r>
          </w:p>
        </w:tc>
        <w:tc>
          <w:tcPr>
            <w:tcW w:w="2126" w:type="dxa"/>
          </w:tcPr>
          <w:p w:rsidR="008A17FA" w:rsidRDefault="00711F9F">
            <w:pPr>
              <w:keepNext/>
              <w:rPr>
                <w:b/>
                <w:sz w:val="20"/>
              </w:rPr>
            </w:pPr>
            <w:r>
              <w:rPr>
                <w:b/>
                <w:sz w:val="20"/>
              </w:rPr>
              <w:t>Patients achieving HbA</w:t>
            </w:r>
            <w:r>
              <w:rPr>
                <w:b/>
                <w:sz w:val="20"/>
                <w:vertAlign w:val="subscript"/>
              </w:rPr>
              <w:t xml:space="preserve">1c </w:t>
            </w:r>
            <w:r>
              <w:rPr>
                <w:b/>
                <w:sz w:val="20"/>
              </w:rPr>
              <w:t xml:space="preserve">target(s) </w:t>
            </w:r>
          </w:p>
        </w:tc>
        <w:tc>
          <w:tcPr>
            <w:tcW w:w="2835" w:type="dxa"/>
          </w:tcPr>
          <w:p w:rsidR="008A17FA" w:rsidRDefault="00711F9F">
            <w:pPr>
              <w:keepNext/>
              <w:rPr>
                <w:b/>
                <w:sz w:val="20"/>
              </w:rPr>
            </w:pPr>
            <w:r>
              <w:rPr>
                <w:b/>
                <w:sz w:val="20"/>
              </w:rPr>
              <w:t>Change in body weight</w:t>
            </w:r>
          </w:p>
        </w:tc>
      </w:tr>
      <w:tr w:rsidR="008A17FA">
        <w:tc>
          <w:tcPr>
            <w:tcW w:w="993" w:type="dxa"/>
          </w:tcPr>
          <w:p w:rsidR="008A17FA" w:rsidRDefault="00711F9F">
            <w:pPr>
              <w:keepNext/>
              <w:rPr>
                <w:sz w:val="20"/>
                <w:lang w:val="fr-FR"/>
              </w:rPr>
            </w:pPr>
            <w:r>
              <w:rPr>
                <w:sz w:val="20"/>
                <w:lang w:val="fr-FR"/>
              </w:rPr>
              <w:t xml:space="preserve">Practice </w:t>
            </w:r>
            <w:proofErr w:type="gramStart"/>
            <w:r>
              <w:rPr>
                <w:sz w:val="20"/>
                <w:lang w:val="fr-FR"/>
              </w:rPr>
              <w:t>records</w:t>
            </w:r>
            <w:proofErr w:type="gramEnd"/>
            <w:r>
              <w:rPr>
                <w:sz w:val="20"/>
                <w:lang w:val="fr-FR"/>
              </w:rPr>
              <w:t xml:space="preserve"> [11] </w:t>
            </w:r>
          </w:p>
        </w:tc>
        <w:tc>
          <w:tcPr>
            <w:tcW w:w="709" w:type="dxa"/>
          </w:tcPr>
          <w:p w:rsidR="008A17FA" w:rsidRDefault="00711F9F">
            <w:pPr>
              <w:keepNext/>
              <w:rPr>
                <w:sz w:val="20"/>
              </w:rPr>
            </w:pPr>
            <w:r>
              <w:rPr>
                <w:sz w:val="20"/>
              </w:rPr>
              <w:t>516</w:t>
            </w:r>
          </w:p>
        </w:tc>
        <w:tc>
          <w:tcPr>
            <w:tcW w:w="992" w:type="dxa"/>
          </w:tcPr>
          <w:p w:rsidR="008A17FA" w:rsidRDefault="00711F9F">
            <w:pPr>
              <w:keepNext/>
              <w:rPr>
                <w:sz w:val="20"/>
              </w:rPr>
            </w:pPr>
            <w:r>
              <w:rPr>
                <w:sz w:val="20"/>
              </w:rPr>
              <w:t>3 years</w:t>
            </w:r>
          </w:p>
        </w:tc>
        <w:tc>
          <w:tcPr>
            <w:tcW w:w="1418" w:type="dxa"/>
          </w:tcPr>
          <w:p w:rsidR="008A17FA" w:rsidRDefault="00711F9F">
            <w:pPr>
              <w:keepNext/>
              <w:rPr>
                <w:sz w:val="20"/>
              </w:rPr>
            </w:pPr>
            <w:r>
              <w:rPr>
                <w:sz w:val="20"/>
              </w:rPr>
              <w:t>Basal</w:t>
            </w:r>
          </w:p>
        </w:tc>
        <w:tc>
          <w:tcPr>
            <w:tcW w:w="992" w:type="dxa"/>
          </w:tcPr>
          <w:p w:rsidR="008A17FA" w:rsidRDefault="00711F9F">
            <w:pPr>
              <w:keepNext/>
              <w:rPr>
                <w:sz w:val="20"/>
              </w:rPr>
            </w:pPr>
            <w:r>
              <w:rPr>
                <w:sz w:val="20"/>
              </w:rPr>
              <w:t>78.1 mmol/mol (9.3%)</w:t>
            </w:r>
          </w:p>
        </w:tc>
        <w:tc>
          <w:tcPr>
            <w:tcW w:w="1134" w:type="dxa"/>
          </w:tcPr>
          <w:p w:rsidR="008A17FA" w:rsidRDefault="00711F9F">
            <w:pPr>
              <w:keepNext/>
              <w:rPr>
                <w:sz w:val="20"/>
              </w:rPr>
            </w:pPr>
            <w:r>
              <w:rPr>
                <w:sz w:val="20"/>
              </w:rPr>
              <w:t>−15.3 mmol/mol(−1.4%) at 6 months, similar at 3 years</w:t>
            </w:r>
            <w:r>
              <w:rPr>
                <w:sz w:val="20"/>
                <w:vertAlign w:val="superscript"/>
              </w:rPr>
              <w:t>*</w:t>
            </w:r>
          </w:p>
        </w:tc>
        <w:tc>
          <w:tcPr>
            <w:tcW w:w="1559" w:type="dxa"/>
          </w:tcPr>
          <w:p w:rsidR="008A17FA" w:rsidRDefault="00711F9F">
            <w:pPr>
              <w:keepNext/>
              <w:rPr>
                <w:sz w:val="20"/>
              </w:rPr>
            </w:pPr>
            <w:r>
              <w:rPr>
                <w:sz w:val="20"/>
              </w:rPr>
              <w:t>63 mmol/mol (7.9%) at 6 months, similar at 3 years</w:t>
            </w:r>
            <w:r>
              <w:rPr>
                <w:sz w:val="20"/>
                <w:vertAlign w:val="superscript"/>
              </w:rPr>
              <w:t>*</w:t>
            </w:r>
          </w:p>
        </w:tc>
        <w:tc>
          <w:tcPr>
            <w:tcW w:w="2126" w:type="dxa"/>
          </w:tcPr>
          <w:p w:rsidR="008A17FA" w:rsidRDefault="00711F9F">
            <w:pPr>
              <w:keepNext/>
              <w:rPr>
                <w:sz w:val="20"/>
              </w:rPr>
            </w:pPr>
            <w:r>
              <w:rPr>
                <w:sz w:val="20"/>
              </w:rPr>
              <w:t>HbA</w:t>
            </w:r>
            <w:r>
              <w:rPr>
                <w:sz w:val="20"/>
                <w:vertAlign w:val="subscript"/>
              </w:rPr>
              <w:t>1c</w:t>
            </w:r>
            <w:r>
              <w:rPr>
                <w:sz w:val="20"/>
              </w:rPr>
              <w:t xml:space="preserve"> &lt;53 mmol/mol (&lt;7%): 29%</w:t>
            </w:r>
            <w:r>
              <w:rPr>
                <w:sz w:val="20"/>
                <w:vertAlign w:val="superscript"/>
              </w:rPr>
              <w:t>*</w:t>
            </w:r>
          </w:p>
        </w:tc>
        <w:tc>
          <w:tcPr>
            <w:tcW w:w="2835" w:type="dxa"/>
          </w:tcPr>
          <w:p w:rsidR="008A17FA" w:rsidRDefault="00711F9F">
            <w:pPr>
              <w:keepNext/>
              <w:rPr>
                <w:sz w:val="20"/>
              </w:rPr>
            </w:pPr>
            <w:r>
              <w:rPr>
                <w:sz w:val="20"/>
              </w:rPr>
              <w:t>+3.6 kg</w:t>
            </w:r>
            <w:r>
              <w:rPr>
                <w:sz w:val="20"/>
                <w:vertAlign w:val="superscript"/>
              </w:rPr>
              <w:t>*</w:t>
            </w:r>
          </w:p>
        </w:tc>
      </w:tr>
      <w:tr w:rsidR="008A17FA">
        <w:tc>
          <w:tcPr>
            <w:tcW w:w="993" w:type="dxa"/>
          </w:tcPr>
          <w:p w:rsidR="008A17FA" w:rsidRDefault="00711F9F">
            <w:pPr>
              <w:keepNext/>
              <w:rPr>
                <w:sz w:val="20"/>
              </w:rPr>
            </w:pPr>
            <w:r>
              <w:rPr>
                <w:sz w:val="20"/>
              </w:rPr>
              <w:t>GPRD [12]</w:t>
            </w:r>
          </w:p>
        </w:tc>
        <w:tc>
          <w:tcPr>
            <w:tcW w:w="709" w:type="dxa"/>
          </w:tcPr>
          <w:p w:rsidR="008A17FA" w:rsidRDefault="00711F9F">
            <w:pPr>
              <w:keepNext/>
              <w:rPr>
                <w:sz w:val="20"/>
              </w:rPr>
            </w:pPr>
            <w:r>
              <w:rPr>
                <w:sz w:val="20"/>
              </w:rPr>
              <w:t>3783</w:t>
            </w:r>
          </w:p>
        </w:tc>
        <w:tc>
          <w:tcPr>
            <w:tcW w:w="992" w:type="dxa"/>
          </w:tcPr>
          <w:p w:rsidR="008A17FA" w:rsidRDefault="00711F9F">
            <w:pPr>
              <w:keepNext/>
              <w:rPr>
                <w:sz w:val="20"/>
              </w:rPr>
            </w:pPr>
            <w:r>
              <w:rPr>
                <w:sz w:val="20"/>
              </w:rPr>
              <w:t>2 years</w:t>
            </w:r>
          </w:p>
        </w:tc>
        <w:tc>
          <w:tcPr>
            <w:tcW w:w="1418" w:type="dxa"/>
          </w:tcPr>
          <w:p w:rsidR="008A17FA" w:rsidRDefault="00711F9F">
            <w:pPr>
              <w:keepNext/>
              <w:rPr>
                <w:sz w:val="20"/>
              </w:rPr>
            </w:pPr>
            <w:r>
              <w:rPr>
                <w:sz w:val="20"/>
              </w:rPr>
              <w:t>Basal (41%)</w:t>
            </w:r>
          </w:p>
          <w:p w:rsidR="008A17FA" w:rsidRDefault="00711F9F">
            <w:pPr>
              <w:keepNext/>
              <w:rPr>
                <w:sz w:val="20"/>
              </w:rPr>
            </w:pPr>
            <w:r>
              <w:rPr>
                <w:sz w:val="20"/>
              </w:rPr>
              <w:t>NPH (29%)</w:t>
            </w:r>
          </w:p>
          <w:p w:rsidR="008A17FA" w:rsidRDefault="00711F9F">
            <w:pPr>
              <w:keepNext/>
              <w:rPr>
                <w:sz w:val="20"/>
              </w:rPr>
            </w:pPr>
            <w:r>
              <w:rPr>
                <w:sz w:val="20"/>
              </w:rPr>
              <w:t>Premix (29%)</w:t>
            </w:r>
          </w:p>
          <w:p w:rsidR="008A17FA" w:rsidRDefault="00711F9F">
            <w:pPr>
              <w:keepNext/>
              <w:rPr>
                <w:sz w:val="20"/>
              </w:rPr>
            </w:pPr>
            <w:r>
              <w:rPr>
                <w:sz w:val="20"/>
              </w:rPr>
              <w:t>Short acting (5%)</w:t>
            </w:r>
          </w:p>
        </w:tc>
        <w:tc>
          <w:tcPr>
            <w:tcW w:w="992" w:type="dxa"/>
          </w:tcPr>
          <w:p w:rsidR="008A17FA" w:rsidRDefault="00711F9F">
            <w:pPr>
              <w:keepNext/>
              <w:rPr>
                <w:sz w:val="20"/>
              </w:rPr>
            </w:pPr>
            <w:r>
              <w:rPr>
                <w:sz w:val="20"/>
              </w:rPr>
              <w:t>81.4 mmol/mol (9.6%)</w:t>
            </w:r>
          </w:p>
        </w:tc>
        <w:tc>
          <w:tcPr>
            <w:tcW w:w="1134" w:type="dxa"/>
          </w:tcPr>
          <w:p w:rsidR="008A17FA" w:rsidRDefault="00711F9F">
            <w:pPr>
              <w:keepNext/>
              <w:rPr>
                <w:sz w:val="20"/>
              </w:rPr>
            </w:pPr>
            <w:r>
              <w:rPr>
                <w:sz w:val="20"/>
              </w:rPr>
              <w:t>−15.3 mmol/</w:t>
            </w:r>
            <w:proofErr w:type="gramStart"/>
            <w:r>
              <w:rPr>
                <w:sz w:val="20"/>
              </w:rPr>
              <w:t>mol(</w:t>
            </w:r>
            <w:proofErr w:type="gramEnd"/>
            <w:r>
              <w:rPr>
                <w:sz w:val="20"/>
              </w:rPr>
              <w:t>−1.4%)</w:t>
            </w:r>
          </w:p>
        </w:tc>
        <w:tc>
          <w:tcPr>
            <w:tcW w:w="1559" w:type="dxa"/>
          </w:tcPr>
          <w:p w:rsidR="008A17FA" w:rsidRDefault="00711F9F">
            <w:pPr>
              <w:keepNext/>
              <w:rPr>
                <w:sz w:val="20"/>
              </w:rPr>
            </w:pPr>
            <w:r>
              <w:rPr>
                <w:sz w:val="20"/>
              </w:rPr>
              <w:t>66 mmol/mol (8.2%</w:t>
            </w:r>
            <w:proofErr w:type="gramStart"/>
            <w:r>
              <w:rPr>
                <w:sz w:val="20"/>
              </w:rPr>
              <w:t>)</w:t>
            </w:r>
            <w:r>
              <w:rPr>
                <w:sz w:val="20"/>
                <w:vertAlign w:val="superscript"/>
              </w:rPr>
              <w:t>†</w:t>
            </w:r>
            <w:proofErr w:type="gramEnd"/>
          </w:p>
        </w:tc>
        <w:tc>
          <w:tcPr>
            <w:tcW w:w="2126" w:type="dxa"/>
          </w:tcPr>
          <w:p w:rsidR="008A17FA" w:rsidRDefault="00711F9F">
            <w:pPr>
              <w:keepNext/>
              <w:rPr>
                <w:sz w:val="20"/>
              </w:rPr>
            </w:pPr>
            <w:r>
              <w:rPr>
                <w:sz w:val="20"/>
              </w:rPr>
              <w:t>HbA</w:t>
            </w:r>
            <w:r>
              <w:rPr>
                <w:sz w:val="20"/>
                <w:vertAlign w:val="subscript"/>
              </w:rPr>
              <w:t xml:space="preserve">1c </w:t>
            </w:r>
            <w:r>
              <w:rPr>
                <w:sz w:val="20"/>
              </w:rPr>
              <w:t>≤58 mmol/mol  (≤7.5%):</w:t>
            </w:r>
            <w:r>
              <w:rPr>
                <w:sz w:val="20"/>
              </w:rPr>
              <w:br/>
              <w:t>26–41%, depending on baseline BMI</w:t>
            </w:r>
          </w:p>
        </w:tc>
        <w:tc>
          <w:tcPr>
            <w:tcW w:w="2835" w:type="dxa"/>
          </w:tcPr>
          <w:p w:rsidR="008A17FA" w:rsidRDefault="00711F9F">
            <w:pPr>
              <w:keepNext/>
              <w:rPr>
                <w:sz w:val="20"/>
              </w:rPr>
            </w:pPr>
            <w:r>
              <w:rPr>
                <w:sz w:val="20"/>
              </w:rPr>
              <w:t>After 1 year:</w:t>
            </w:r>
          </w:p>
          <w:p w:rsidR="008A17FA" w:rsidRDefault="00711F9F">
            <w:pPr>
              <w:keepNext/>
              <w:rPr>
                <w:sz w:val="20"/>
              </w:rPr>
            </w:pPr>
            <w:r>
              <w:rPr>
                <w:sz w:val="20"/>
              </w:rPr>
              <w:t>Basal, +3.4 kg</w:t>
            </w:r>
          </w:p>
          <w:p w:rsidR="008A17FA" w:rsidRDefault="00711F9F">
            <w:pPr>
              <w:keepNext/>
              <w:rPr>
                <w:sz w:val="20"/>
              </w:rPr>
            </w:pPr>
            <w:r>
              <w:rPr>
                <w:sz w:val="20"/>
              </w:rPr>
              <w:t>NPH, +3.7 kg</w:t>
            </w:r>
          </w:p>
          <w:p w:rsidR="008A17FA" w:rsidRDefault="00711F9F">
            <w:pPr>
              <w:keepNext/>
              <w:rPr>
                <w:sz w:val="20"/>
              </w:rPr>
            </w:pPr>
            <w:r>
              <w:rPr>
                <w:sz w:val="20"/>
              </w:rPr>
              <w:t>Premix, +4.4 kg</w:t>
            </w:r>
          </w:p>
          <w:p w:rsidR="008A17FA" w:rsidRDefault="00711F9F">
            <w:pPr>
              <w:keepNext/>
              <w:rPr>
                <w:sz w:val="20"/>
              </w:rPr>
            </w:pPr>
            <w:r>
              <w:rPr>
                <w:sz w:val="20"/>
              </w:rPr>
              <w:t>Short acting, +3.5 kg</w:t>
            </w:r>
          </w:p>
        </w:tc>
      </w:tr>
      <w:tr w:rsidR="008A17FA">
        <w:tc>
          <w:tcPr>
            <w:tcW w:w="993" w:type="dxa"/>
          </w:tcPr>
          <w:p w:rsidR="008A17FA" w:rsidRDefault="00711F9F">
            <w:pPr>
              <w:keepNext/>
              <w:rPr>
                <w:sz w:val="20"/>
                <w:lang w:val="da-DK"/>
              </w:rPr>
            </w:pPr>
            <w:r>
              <w:rPr>
                <w:sz w:val="20"/>
                <w:lang w:val="da-DK"/>
              </w:rPr>
              <w:t>THIN [13]</w:t>
            </w:r>
            <w:r>
              <w:rPr>
                <w:sz w:val="20"/>
                <w:lang w:val="da-DK"/>
              </w:rPr>
              <w:br/>
            </w:r>
          </w:p>
        </w:tc>
        <w:tc>
          <w:tcPr>
            <w:tcW w:w="709" w:type="dxa"/>
          </w:tcPr>
          <w:p w:rsidR="008A17FA" w:rsidRDefault="00711F9F">
            <w:pPr>
              <w:keepNext/>
              <w:rPr>
                <w:sz w:val="20"/>
              </w:rPr>
            </w:pPr>
            <w:r>
              <w:rPr>
                <w:sz w:val="20"/>
              </w:rPr>
              <w:t>4045</w:t>
            </w:r>
          </w:p>
        </w:tc>
        <w:tc>
          <w:tcPr>
            <w:tcW w:w="992" w:type="dxa"/>
          </w:tcPr>
          <w:p w:rsidR="008A17FA" w:rsidRDefault="00711F9F">
            <w:pPr>
              <w:keepNext/>
              <w:rPr>
                <w:sz w:val="20"/>
              </w:rPr>
            </w:pPr>
            <w:r>
              <w:rPr>
                <w:sz w:val="20"/>
              </w:rPr>
              <w:t>6 months</w:t>
            </w:r>
          </w:p>
        </w:tc>
        <w:tc>
          <w:tcPr>
            <w:tcW w:w="1418" w:type="dxa"/>
          </w:tcPr>
          <w:p w:rsidR="008A17FA" w:rsidRDefault="00711F9F">
            <w:pPr>
              <w:keepNext/>
              <w:rPr>
                <w:sz w:val="20"/>
                <w:lang w:val="es-ES"/>
              </w:rPr>
            </w:pPr>
            <w:r>
              <w:rPr>
                <w:sz w:val="20"/>
                <w:lang w:val="es-ES"/>
              </w:rPr>
              <w:t>Basal (52%)</w:t>
            </w:r>
          </w:p>
          <w:p w:rsidR="008A17FA" w:rsidRDefault="00711F9F">
            <w:pPr>
              <w:keepNext/>
              <w:rPr>
                <w:sz w:val="20"/>
                <w:lang w:val="es-ES"/>
              </w:rPr>
            </w:pPr>
            <w:r>
              <w:rPr>
                <w:sz w:val="20"/>
                <w:lang w:val="es-ES"/>
              </w:rPr>
              <w:t>Premix (42%)</w:t>
            </w:r>
          </w:p>
          <w:p w:rsidR="008A17FA" w:rsidRDefault="00711F9F">
            <w:pPr>
              <w:keepNext/>
              <w:rPr>
                <w:sz w:val="20"/>
                <w:lang w:val="es-ES"/>
              </w:rPr>
            </w:pPr>
            <w:r>
              <w:rPr>
                <w:sz w:val="20"/>
                <w:lang w:val="es-ES"/>
              </w:rPr>
              <w:t>Basal–bolus (4%)</w:t>
            </w:r>
          </w:p>
          <w:p w:rsidR="008A17FA" w:rsidRDefault="00711F9F">
            <w:pPr>
              <w:keepNext/>
              <w:rPr>
                <w:sz w:val="20"/>
                <w:lang w:val="es-ES"/>
              </w:rPr>
            </w:pPr>
            <w:r>
              <w:rPr>
                <w:sz w:val="20"/>
                <w:lang w:val="es-ES"/>
              </w:rPr>
              <w:t>Prandial (2%)</w:t>
            </w:r>
          </w:p>
        </w:tc>
        <w:tc>
          <w:tcPr>
            <w:tcW w:w="992" w:type="dxa"/>
          </w:tcPr>
          <w:p w:rsidR="008A17FA" w:rsidRDefault="00711F9F">
            <w:pPr>
              <w:keepNext/>
              <w:rPr>
                <w:sz w:val="20"/>
              </w:rPr>
            </w:pPr>
            <w:r>
              <w:rPr>
                <w:sz w:val="20"/>
              </w:rPr>
              <w:t>81.4 mmol/mol (9.6%)</w:t>
            </w:r>
          </w:p>
        </w:tc>
        <w:tc>
          <w:tcPr>
            <w:tcW w:w="1134" w:type="dxa"/>
          </w:tcPr>
          <w:p w:rsidR="008A17FA" w:rsidRDefault="00711F9F">
            <w:pPr>
              <w:keepNext/>
              <w:rPr>
                <w:sz w:val="20"/>
              </w:rPr>
            </w:pPr>
            <w:r>
              <w:rPr>
                <w:sz w:val="20"/>
              </w:rPr>
              <w:t>−14.2 mmol/mol −1.3%</w:t>
            </w:r>
          </w:p>
        </w:tc>
        <w:tc>
          <w:tcPr>
            <w:tcW w:w="1559" w:type="dxa"/>
          </w:tcPr>
          <w:p w:rsidR="008A17FA" w:rsidRDefault="00711F9F">
            <w:pPr>
              <w:keepNext/>
              <w:rPr>
                <w:sz w:val="20"/>
              </w:rPr>
            </w:pPr>
            <w:r>
              <w:rPr>
                <w:sz w:val="20"/>
              </w:rPr>
              <w:t>67 mmol/mol (8.3%)</w:t>
            </w:r>
          </w:p>
        </w:tc>
        <w:tc>
          <w:tcPr>
            <w:tcW w:w="2126" w:type="dxa"/>
          </w:tcPr>
          <w:p w:rsidR="008A17FA" w:rsidRDefault="00711F9F">
            <w:pPr>
              <w:keepNext/>
              <w:rPr>
                <w:sz w:val="20"/>
                <w:lang w:val="it-IT"/>
              </w:rPr>
            </w:pPr>
            <w:r>
              <w:rPr>
                <w:sz w:val="20"/>
                <w:lang w:val="it-IT"/>
              </w:rPr>
              <w:t>HbA</w:t>
            </w:r>
            <w:r>
              <w:rPr>
                <w:sz w:val="20"/>
                <w:vertAlign w:val="subscript"/>
                <w:lang w:val="it-IT"/>
              </w:rPr>
              <w:t>1c</w:t>
            </w:r>
            <w:r>
              <w:rPr>
                <w:sz w:val="20"/>
                <w:lang w:val="it-IT"/>
              </w:rPr>
              <w:t xml:space="preserve"> &lt;53 mmol/mol (&lt;7%):</w:t>
            </w:r>
            <w:r>
              <w:rPr>
                <w:sz w:val="20"/>
                <w:lang w:val="it-IT"/>
              </w:rPr>
              <w:br/>
              <w:t>17%</w:t>
            </w:r>
            <w:r>
              <w:rPr>
                <w:sz w:val="20"/>
                <w:lang w:val="it-IT"/>
              </w:rPr>
              <w:br/>
              <w:t>HbA</w:t>
            </w:r>
            <w:r>
              <w:rPr>
                <w:sz w:val="20"/>
                <w:vertAlign w:val="subscript"/>
                <w:lang w:val="it-IT"/>
              </w:rPr>
              <w:t>1c</w:t>
            </w:r>
            <w:r>
              <w:rPr>
                <w:sz w:val="20"/>
                <w:lang w:val="it-IT"/>
              </w:rPr>
              <w:t xml:space="preserve"> &lt;58 mmol/mol (&lt;7.5%): 30%</w:t>
            </w:r>
          </w:p>
        </w:tc>
        <w:tc>
          <w:tcPr>
            <w:tcW w:w="2835" w:type="dxa"/>
          </w:tcPr>
          <w:p w:rsidR="008A17FA" w:rsidRDefault="00711F9F">
            <w:pPr>
              <w:keepNext/>
              <w:rPr>
                <w:sz w:val="20"/>
              </w:rPr>
            </w:pPr>
            <w:r>
              <w:rPr>
                <w:sz w:val="20"/>
              </w:rPr>
              <w:t xml:space="preserve">+0.9 kg </w:t>
            </w:r>
            <w:r>
              <w:rPr>
                <w:sz w:val="20"/>
              </w:rPr>
              <w:br/>
              <w:t>(25% of patients gained &gt;3.6 kg)</w:t>
            </w:r>
          </w:p>
        </w:tc>
      </w:tr>
    </w:tbl>
    <w:p w:rsidR="008A17FA" w:rsidRDefault="00711F9F">
      <w:pPr>
        <w:keepNext/>
        <w:rPr>
          <w:sz w:val="20"/>
        </w:rPr>
      </w:pPr>
      <w:r>
        <w:rPr>
          <w:sz w:val="20"/>
          <w:vertAlign w:val="superscript"/>
        </w:rPr>
        <w:t>*</w:t>
      </w:r>
      <w:r>
        <w:rPr>
          <w:sz w:val="20"/>
        </w:rPr>
        <w:t xml:space="preserve">At end-of-study, 43% of patients had intensified their basal insulin by incorporating short-acting insulins. </w:t>
      </w:r>
      <w:r>
        <w:rPr>
          <w:sz w:val="20"/>
          <w:vertAlign w:val="superscript"/>
        </w:rPr>
        <w:t>†</w:t>
      </w:r>
      <w:r>
        <w:rPr>
          <w:sz w:val="20"/>
        </w:rPr>
        <w:t>Not reported in publication, calculated by mean baseline value minus mean change.</w:t>
      </w:r>
    </w:p>
    <w:p w:rsidR="008A17FA" w:rsidRDefault="00711F9F">
      <w:pPr>
        <w:keepNext/>
        <w:rPr>
          <w:sz w:val="20"/>
        </w:rPr>
      </w:pPr>
      <w:r>
        <w:rPr>
          <w:sz w:val="20"/>
        </w:rPr>
        <w:t>BMI, body mass index; NPH, neutral protamine Hagedorn</w:t>
      </w:r>
    </w:p>
    <w:p w:rsidR="008A17FA" w:rsidRDefault="00711F9F">
      <w:pPr>
        <w:rPr>
          <w:bCs/>
        </w:rPr>
      </w:pPr>
      <w:r>
        <w:rPr>
          <w:bCs/>
        </w:rPr>
        <w:br w:type="page"/>
      </w:r>
    </w:p>
    <w:p w:rsidR="008A17FA" w:rsidRDefault="008A17FA">
      <w:pPr>
        <w:rPr>
          <w:bCs/>
        </w:rPr>
        <w:sectPr w:rsidR="008A17FA">
          <w:pgSz w:w="16838" w:h="11906" w:orient="landscape"/>
          <w:pgMar w:top="1440" w:right="1440" w:bottom="1440" w:left="1440" w:header="708" w:footer="708" w:gutter="0"/>
          <w:cols w:space="708"/>
          <w:docGrid w:linePitch="360"/>
        </w:sectPr>
      </w:pPr>
    </w:p>
    <w:p w:rsidR="008A17FA" w:rsidRDefault="008A17FA">
      <w:pPr>
        <w:rPr>
          <w:bCs/>
        </w:rPr>
      </w:pPr>
    </w:p>
    <w:p w:rsidR="008A17FA" w:rsidRDefault="00711F9F">
      <w:pPr>
        <w:spacing w:after="0" w:line="480" w:lineRule="auto"/>
      </w:pPr>
      <w:r>
        <w:rPr>
          <w:b/>
        </w:rPr>
        <w:t>Table 2</w:t>
      </w:r>
      <w:r>
        <w:t xml:space="preserve"> Landmark clinical trials studying the effects of insulin intensification [24–27]</w:t>
      </w:r>
    </w:p>
    <w:tbl>
      <w:tblPr>
        <w:tblW w:w="11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113" w:type="dxa"/>
        </w:tblCellMar>
        <w:tblLook w:val="04A0" w:firstRow="1" w:lastRow="0" w:firstColumn="1" w:lastColumn="0" w:noHBand="0" w:noVBand="1"/>
      </w:tblPr>
      <w:tblGrid>
        <w:gridCol w:w="1271"/>
        <w:gridCol w:w="851"/>
        <w:gridCol w:w="1134"/>
        <w:gridCol w:w="2126"/>
        <w:gridCol w:w="1276"/>
        <w:gridCol w:w="850"/>
        <w:gridCol w:w="1276"/>
        <w:gridCol w:w="1701"/>
        <w:gridCol w:w="992"/>
      </w:tblGrid>
      <w:tr w:rsidR="008A17FA">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A17FA" w:rsidRDefault="00711F9F">
            <w:pPr>
              <w:spacing w:after="0" w:line="240" w:lineRule="auto"/>
              <w:rPr>
                <w:rFonts w:cs="Arial"/>
                <w:b/>
                <w:sz w:val="18"/>
                <w:szCs w:val="18"/>
                <w:lang w:val="en-US"/>
              </w:rPr>
            </w:pPr>
            <w:r>
              <w:rPr>
                <w:rFonts w:cs="Arial"/>
                <w:b/>
                <w:sz w:val="18"/>
                <w:szCs w:val="18"/>
                <w:lang w:val="en-US"/>
              </w:rPr>
              <w:t>Study</w:t>
            </w:r>
          </w:p>
        </w:tc>
        <w:tc>
          <w:tcPr>
            <w:tcW w:w="85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A17FA" w:rsidRDefault="00711F9F">
            <w:pPr>
              <w:spacing w:after="0" w:line="240" w:lineRule="auto"/>
              <w:jc w:val="center"/>
              <w:rPr>
                <w:rFonts w:cs="Arial"/>
                <w:b/>
                <w:sz w:val="18"/>
                <w:szCs w:val="18"/>
                <w:lang w:val="en-US"/>
              </w:rPr>
            </w:pPr>
            <w:r>
              <w:rPr>
                <w:rFonts w:cs="Arial"/>
                <w:b/>
                <w:sz w:val="18"/>
                <w:szCs w:val="18"/>
                <w:lang w:val="en-US"/>
              </w:rPr>
              <w:t>Duration</w:t>
            </w:r>
          </w:p>
        </w:tc>
        <w:tc>
          <w:tcPr>
            <w:tcW w:w="1134" w:type="dxa"/>
            <w:tcBorders>
              <w:top w:val="single" w:sz="4" w:space="0" w:color="auto"/>
              <w:left w:val="single" w:sz="4" w:space="0" w:color="auto"/>
              <w:bottom w:val="single" w:sz="4" w:space="0" w:color="auto"/>
              <w:right w:val="single" w:sz="4" w:space="0" w:color="auto"/>
            </w:tcBorders>
            <w:vAlign w:val="center"/>
          </w:tcPr>
          <w:p w:rsidR="008A17FA" w:rsidRDefault="00711F9F">
            <w:pPr>
              <w:spacing w:after="0" w:line="240" w:lineRule="auto"/>
              <w:jc w:val="center"/>
              <w:rPr>
                <w:rFonts w:cs="Arial"/>
                <w:b/>
                <w:sz w:val="18"/>
                <w:szCs w:val="18"/>
                <w:lang w:val="en-US"/>
              </w:rPr>
            </w:pPr>
            <w:r>
              <w:rPr>
                <w:rFonts w:cs="Arial"/>
                <w:b/>
                <w:sz w:val="18"/>
                <w:szCs w:val="18"/>
                <w:lang w:val="en-US"/>
              </w:rPr>
              <w:t xml:space="preserve">Background </w:t>
            </w:r>
            <w:r>
              <w:rPr>
                <w:rFonts w:cs="Arial"/>
                <w:b/>
                <w:sz w:val="18"/>
                <w:szCs w:val="18"/>
                <w:lang w:val="en-US"/>
              </w:rPr>
              <w:br/>
              <w:t>treatment</w:t>
            </w: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A17FA" w:rsidRDefault="00711F9F">
            <w:pPr>
              <w:spacing w:after="0" w:line="240" w:lineRule="auto"/>
              <w:jc w:val="center"/>
              <w:rPr>
                <w:rFonts w:cs="Arial"/>
                <w:b/>
                <w:sz w:val="18"/>
                <w:szCs w:val="18"/>
                <w:lang w:val="en-US"/>
              </w:rPr>
            </w:pPr>
            <w:r>
              <w:rPr>
                <w:rFonts w:cs="Arial"/>
                <w:b/>
                <w:sz w:val="18"/>
                <w:szCs w:val="18"/>
                <w:lang w:val="en-US"/>
              </w:rPr>
              <w:t>Randomized treatment added</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A17FA" w:rsidRDefault="00711F9F">
            <w:pPr>
              <w:spacing w:after="0" w:line="240" w:lineRule="auto"/>
              <w:jc w:val="center"/>
              <w:rPr>
                <w:rFonts w:cs="Arial"/>
                <w:b/>
                <w:sz w:val="18"/>
                <w:szCs w:val="18"/>
                <w:lang w:val="en-US"/>
              </w:rPr>
            </w:pPr>
            <w:r>
              <w:rPr>
                <w:rFonts w:cs="Arial"/>
                <w:b/>
                <w:sz w:val="18"/>
                <w:szCs w:val="18"/>
                <w:lang w:val="en-US"/>
              </w:rPr>
              <w:t>Baseline HbA</w:t>
            </w:r>
            <w:r>
              <w:rPr>
                <w:rFonts w:cs="Arial"/>
                <w:b/>
                <w:sz w:val="18"/>
                <w:szCs w:val="18"/>
                <w:vertAlign w:val="subscript"/>
                <w:lang w:val="en-US"/>
              </w:rPr>
              <w:t>1c</w:t>
            </w:r>
          </w:p>
        </w:tc>
        <w:tc>
          <w:tcPr>
            <w:tcW w:w="85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A17FA" w:rsidRDefault="00711F9F">
            <w:pPr>
              <w:spacing w:after="0" w:line="240" w:lineRule="auto"/>
              <w:jc w:val="center"/>
              <w:rPr>
                <w:rFonts w:cs="Arial"/>
                <w:b/>
                <w:sz w:val="18"/>
                <w:szCs w:val="18"/>
                <w:lang w:val="en-US"/>
              </w:rPr>
            </w:pPr>
            <w:r>
              <w:rPr>
                <w:rFonts w:cs="Arial"/>
                <w:b/>
                <w:sz w:val="18"/>
                <w:szCs w:val="18"/>
                <w:lang w:val="en-US"/>
              </w:rPr>
              <w:t>Change in HbA</w:t>
            </w:r>
            <w:r>
              <w:rPr>
                <w:rFonts w:cs="Arial"/>
                <w:b/>
                <w:sz w:val="18"/>
                <w:szCs w:val="18"/>
                <w:vertAlign w:val="subscript"/>
                <w:lang w:val="en-US"/>
              </w:rPr>
              <w:t>1c</w:t>
            </w:r>
          </w:p>
        </w:tc>
        <w:tc>
          <w:tcPr>
            <w:tcW w:w="1276" w:type="dxa"/>
            <w:tcBorders>
              <w:top w:val="single" w:sz="4" w:space="0" w:color="auto"/>
              <w:left w:val="single" w:sz="4" w:space="0" w:color="auto"/>
              <w:bottom w:val="single" w:sz="4" w:space="0" w:color="auto"/>
              <w:right w:val="single" w:sz="4" w:space="0" w:color="auto"/>
            </w:tcBorders>
          </w:tcPr>
          <w:p w:rsidR="008A17FA" w:rsidRDefault="00711F9F">
            <w:pPr>
              <w:spacing w:after="0" w:line="240" w:lineRule="auto"/>
              <w:ind w:right="-108"/>
              <w:jc w:val="center"/>
              <w:rPr>
                <w:rFonts w:cs="Arial"/>
                <w:b/>
                <w:sz w:val="18"/>
                <w:szCs w:val="18"/>
                <w:lang w:val="en-US"/>
              </w:rPr>
            </w:pPr>
            <w:r>
              <w:rPr>
                <w:rFonts w:cs="Arial"/>
                <w:b/>
                <w:sz w:val="18"/>
                <w:szCs w:val="18"/>
                <w:lang w:val="en-US"/>
              </w:rPr>
              <w:t>End-of-trial HbA</w:t>
            </w:r>
            <w:r>
              <w:rPr>
                <w:rFonts w:cs="Arial"/>
                <w:b/>
                <w:sz w:val="18"/>
                <w:szCs w:val="18"/>
                <w:vertAlign w:val="subscript"/>
                <w:lang w:val="en-US"/>
              </w:rPr>
              <w:t>1c</w:t>
            </w:r>
          </w:p>
        </w:tc>
        <w:tc>
          <w:tcPr>
            <w:tcW w:w="1701" w:type="dxa"/>
            <w:tcBorders>
              <w:top w:val="single" w:sz="4" w:space="0" w:color="auto"/>
              <w:left w:val="single" w:sz="4" w:space="0" w:color="auto"/>
              <w:bottom w:val="single" w:sz="4" w:space="0" w:color="auto"/>
              <w:right w:val="single" w:sz="4" w:space="0" w:color="auto"/>
            </w:tcBorders>
            <w:vAlign w:val="center"/>
          </w:tcPr>
          <w:p w:rsidR="008A17FA" w:rsidRDefault="00711F9F">
            <w:pPr>
              <w:spacing w:after="0" w:line="240" w:lineRule="auto"/>
              <w:ind w:right="-108"/>
              <w:jc w:val="center"/>
              <w:rPr>
                <w:rFonts w:cs="Arial"/>
                <w:b/>
                <w:sz w:val="18"/>
                <w:szCs w:val="18"/>
                <w:lang w:val="en-US"/>
              </w:rPr>
            </w:pPr>
            <w:r>
              <w:rPr>
                <w:rFonts w:cs="Arial"/>
                <w:b/>
                <w:sz w:val="18"/>
                <w:szCs w:val="18"/>
                <w:lang w:val="en-US"/>
              </w:rPr>
              <w:t>Hypoglycaemia</w:t>
            </w:r>
            <w:r>
              <w:rPr>
                <w:rFonts w:cs="Arial"/>
                <w:b/>
                <w:sz w:val="18"/>
                <w:szCs w:val="18"/>
                <w:vertAlign w:val="superscript"/>
                <w:lang w:val="en-US"/>
              </w:rPr>
              <w:br/>
            </w:r>
            <w:r>
              <w:rPr>
                <w:rFonts w:cs="Arial"/>
                <w:b/>
                <w:sz w:val="18"/>
                <w:szCs w:val="18"/>
                <w:lang w:val="en-US"/>
              </w:rPr>
              <w:t>(events/patient/year)</w:t>
            </w:r>
          </w:p>
        </w:tc>
        <w:tc>
          <w:tcPr>
            <w:tcW w:w="99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A17FA" w:rsidRDefault="00711F9F">
            <w:pPr>
              <w:spacing w:after="0" w:line="240" w:lineRule="auto"/>
              <w:ind w:right="-108"/>
              <w:jc w:val="center"/>
              <w:rPr>
                <w:rFonts w:cs="Arial"/>
                <w:b/>
                <w:sz w:val="18"/>
                <w:szCs w:val="18"/>
                <w:lang w:val="en-US"/>
              </w:rPr>
            </w:pPr>
            <w:r>
              <w:rPr>
                <w:rFonts w:cs="Arial"/>
                <w:b/>
                <w:sz w:val="18"/>
                <w:szCs w:val="18"/>
                <w:lang w:val="en-US"/>
              </w:rPr>
              <w:t>Weight change</w:t>
            </w:r>
          </w:p>
        </w:tc>
      </w:tr>
      <w:tr w:rsidR="008A17FA">
        <w:tc>
          <w:tcPr>
            <w:tcW w:w="1271" w:type="dxa"/>
            <w:vMerge w:val="restart"/>
            <w:tcBorders>
              <w:top w:val="single" w:sz="4" w:space="0" w:color="auto"/>
              <w:left w:val="single" w:sz="4" w:space="0" w:color="auto"/>
              <w:right w:val="single" w:sz="4" w:space="0" w:color="auto"/>
            </w:tcBorders>
            <w:shd w:val="clear" w:color="auto" w:fill="auto"/>
            <w:tcMar>
              <w:left w:w="85" w:type="dxa"/>
              <w:right w:w="85" w:type="dxa"/>
            </w:tcMar>
            <w:vAlign w:val="center"/>
          </w:tcPr>
          <w:p w:rsidR="008A17FA" w:rsidRDefault="00711F9F">
            <w:pPr>
              <w:spacing w:after="0" w:line="240" w:lineRule="auto"/>
              <w:rPr>
                <w:rFonts w:cs="Arial"/>
                <w:sz w:val="18"/>
                <w:szCs w:val="18"/>
                <w:lang w:val="en-US"/>
              </w:rPr>
            </w:pPr>
            <w:r>
              <w:rPr>
                <w:rFonts w:cs="Arial"/>
                <w:sz w:val="18"/>
                <w:szCs w:val="18"/>
                <w:lang w:val="en-US"/>
              </w:rPr>
              <w:t xml:space="preserve">Holman </w:t>
            </w:r>
            <w:r>
              <w:rPr>
                <w:rFonts w:cs="Arial"/>
                <w:i/>
                <w:sz w:val="18"/>
                <w:szCs w:val="18"/>
                <w:lang w:val="en-US"/>
              </w:rPr>
              <w:t>et al</w:t>
            </w:r>
            <w:r>
              <w:rPr>
                <w:rFonts w:cs="Arial"/>
                <w:sz w:val="18"/>
                <w:szCs w:val="18"/>
                <w:lang w:val="en-US"/>
              </w:rPr>
              <w:t xml:space="preserve">. 2009 </w:t>
            </w:r>
            <w:r>
              <w:rPr>
                <w:rFonts w:cs="Arial"/>
                <w:sz w:val="18"/>
                <w:szCs w:val="18"/>
                <w:lang w:val="en-US"/>
              </w:rPr>
              <w:br/>
              <w:t>(4-T) [24]</w:t>
            </w:r>
          </w:p>
        </w:tc>
        <w:tc>
          <w:tcPr>
            <w:tcW w:w="851"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rsidR="008A17FA" w:rsidRDefault="00711F9F">
            <w:pPr>
              <w:spacing w:after="0" w:line="240" w:lineRule="auto"/>
              <w:jc w:val="center"/>
              <w:rPr>
                <w:rFonts w:cs="Arial"/>
                <w:sz w:val="18"/>
                <w:szCs w:val="18"/>
                <w:lang w:val="en-US"/>
              </w:rPr>
            </w:pPr>
            <w:r>
              <w:rPr>
                <w:rFonts w:cs="Arial"/>
                <w:sz w:val="18"/>
                <w:szCs w:val="18"/>
                <w:lang w:val="en-US"/>
              </w:rPr>
              <w:t>3 years</w:t>
            </w:r>
          </w:p>
          <w:p w:rsidR="008A17FA" w:rsidRDefault="008A17FA">
            <w:pPr>
              <w:spacing w:after="0" w:line="240" w:lineRule="auto"/>
              <w:jc w:val="center"/>
              <w:rPr>
                <w:rFonts w:cs="Arial"/>
                <w:sz w:val="18"/>
                <w:szCs w:val="18"/>
                <w:lang w:val="en-US"/>
              </w:rPr>
            </w:pPr>
          </w:p>
        </w:tc>
        <w:tc>
          <w:tcPr>
            <w:tcW w:w="1134" w:type="dxa"/>
            <w:tcBorders>
              <w:top w:val="single" w:sz="4" w:space="0" w:color="auto"/>
              <w:left w:val="single" w:sz="4" w:space="0" w:color="auto"/>
              <w:bottom w:val="single" w:sz="4" w:space="0" w:color="auto"/>
              <w:right w:val="single" w:sz="4" w:space="0" w:color="auto"/>
            </w:tcBorders>
            <w:vAlign w:val="center"/>
          </w:tcPr>
          <w:p w:rsidR="008A17FA" w:rsidRDefault="00711F9F">
            <w:pPr>
              <w:spacing w:after="0" w:line="240" w:lineRule="auto"/>
              <w:jc w:val="center"/>
              <w:rPr>
                <w:rFonts w:cs="Arial"/>
                <w:sz w:val="18"/>
                <w:szCs w:val="18"/>
                <w:lang w:val="en-US"/>
              </w:rPr>
            </w:pPr>
            <w:r>
              <w:rPr>
                <w:rFonts w:cs="Arial"/>
                <w:sz w:val="18"/>
                <w:szCs w:val="18"/>
                <w:lang w:val="en-US"/>
              </w:rPr>
              <w:t>MET + SU</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A17FA" w:rsidRDefault="00711F9F">
            <w:pPr>
              <w:spacing w:after="0" w:line="240" w:lineRule="auto"/>
              <w:jc w:val="center"/>
              <w:rPr>
                <w:rFonts w:cs="Arial"/>
                <w:sz w:val="18"/>
                <w:szCs w:val="18"/>
                <w:lang w:val="en-US"/>
              </w:rPr>
            </w:pPr>
            <w:r>
              <w:rPr>
                <w:rFonts w:cs="Arial"/>
                <w:sz w:val="18"/>
                <w:szCs w:val="18"/>
                <w:lang w:val="en-US"/>
              </w:rPr>
              <w:t>BIAsp 70/30 BID</w:t>
            </w:r>
          </w:p>
          <w:p w:rsidR="008A17FA" w:rsidRDefault="00711F9F">
            <w:pPr>
              <w:spacing w:after="0" w:line="240" w:lineRule="auto"/>
              <w:jc w:val="center"/>
              <w:rPr>
                <w:rFonts w:cs="Arial"/>
                <w:sz w:val="18"/>
                <w:szCs w:val="18"/>
                <w:lang w:val="en-US"/>
              </w:rPr>
            </w:pPr>
            <w:r>
              <w:rPr>
                <w:rFonts w:cs="Arial"/>
                <w:sz w:val="18"/>
                <w:szCs w:val="18"/>
                <w:lang w:val="en-US"/>
              </w:rPr>
              <w:t>(+ midday IAsp)</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A17FA" w:rsidRDefault="00711F9F">
            <w:pPr>
              <w:spacing w:after="0" w:line="240" w:lineRule="auto"/>
              <w:ind w:right="-108"/>
              <w:jc w:val="center"/>
              <w:rPr>
                <w:rFonts w:cs="Arial"/>
                <w:sz w:val="18"/>
                <w:szCs w:val="18"/>
                <w:lang w:val="en-US"/>
              </w:rPr>
            </w:pPr>
            <w:r>
              <w:rPr>
                <w:rFonts w:cs="Arial"/>
                <w:sz w:val="18"/>
                <w:szCs w:val="18"/>
                <w:lang w:val="en-US"/>
              </w:rPr>
              <w:t>70 mmol/mol (8.6%)</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A17FA" w:rsidRDefault="00711F9F">
            <w:pPr>
              <w:spacing w:after="0" w:line="240" w:lineRule="auto"/>
              <w:ind w:right="-108"/>
              <w:jc w:val="center"/>
              <w:rPr>
                <w:rFonts w:cs="Arial"/>
                <w:sz w:val="18"/>
                <w:szCs w:val="18"/>
                <w:lang w:val="en-US"/>
              </w:rPr>
            </w:pPr>
            <w:r>
              <w:rPr>
                <w:rFonts w:cs="Arial"/>
                <w:sz w:val="18"/>
                <w:szCs w:val="18"/>
                <w:lang w:val="en-US"/>
              </w:rPr>
              <w:t>−1.3%</w:t>
            </w:r>
          </w:p>
        </w:tc>
        <w:tc>
          <w:tcPr>
            <w:tcW w:w="1276" w:type="dxa"/>
            <w:tcBorders>
              <w:top w:val="single" w:sz="4" w:space="0" w:color="auto"/>
              <w:left w:val="single" w:sz="4" w:space="0" w:color="auto"/>
              <w:bottom w:val="single" w:sz="4" w:space="0" w:color="auto"/>
              <w:right w:val="single" w:sz="4" w:space="0" w:color="auto"/>
            </w:tcBorders>
          </w:tcPr>
          <w:p w:rsidR="008A17FA" w:rsidRDefault="00711F9F">
            <w:pPr>
              <w:spacing w:after="0" w:line="240" w:lineRule="auto"/>
              <w:ind w:right="-108"/>
              <w:jc w:val="center"/>
              <w:rPr>
                <w:rFonts w:cs="Arial"/>
                <w:sz w:val="18"/>
                <w:szCs w:val="18"/>
                <w:lang w:val="en-US"/>
              </w:rPr>
            </w:pPr>
            <w:r>
              <w:rPr>
                <w:rFonts w:cs="Arial"/>
                <w:sz w:val="18"/>
                <w:szCs w:val="18"/>
                <w:lang w:val="en-US"/>
              </w:rPr>
              <w:t>54 mmol/mol (7.1%)</w:t>
            </w:r>
          </w:p>
        </w:tc>
        <w:tc>
          <w:tcPr>
            <w:tcW w:w="1701" w:type="dxa"/>
            <w:tcBorders>
              <w:top w:val="single" w:sz="4" w:space="0" w:color="auto"/>
              <w:left w:val="single" w:sz="4" w:space="0" w:color="auto"/>
              <w:bottom w:val="single" w:sz="4" w:space="0" w:color="auto"/>
              <w:right w:val="single" w:sz="4" w:space="0" w:color="auto"/>
            </w:tcBorders>
            <w:vAlign w:val="center"/>
          </w:tcPr>
          <w:p w:rsidR="008A17FA" w:rsidRDefault="00711F9F">
            <w:pPr>
              <w:spacing w:after="0" w:line="240" w:lineRule="auto"/>
              <w:ind w:right="-108"/>
              <w:jc w:val="center"/>
              <w:rPr>
                <w:rFonts w:cs="Arial"/>
                <w:sz w:val="18"/>
                <w:szCs w:val="18"/>
                <w:lang w:val="en-US"/>
              </w:rPr>
            </w:pPr>
            <w:r>
              <w:rPr>
                <w:rFonts w:cs="Arial"/>
                <w:sz w:val="18"/>
                <w:szCs w:val="18"/>
                <w:lang w:val="en-US"/>
              </w:rPr>
              <w:t>3.0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A17FA" w:rsidRDefault="00711F9F">
            <w:pPr>
              <w:spacing w:after="0" w:line="240" w:lineRule="auto"/>
              <w:ind w:right="-108"/>
              <w:jc w:val="center"/>
              <w:rPr>
                <w:rFonts w:cs="Arial"/>
                <w:sz w:val="18"/>
                <w:szCs w:val="18"/>
                <w:lang w:val="en-US"/>
              </w:rPr>
            </w:pPr>
            <w:r>
              <w:rPr>
                <w:rFonts w:cs="Arial"/>
                <w:sz w:val="18"/>
                <w:szCs w:val="18"/>
                <w:lang w:val="en-US"/>
              </w:rPr>
              <w:t>+5.7 kg</w:t>
            </w:r>
          </w:p>
        </w:tc>
      </w:tr>
      <w:tr w:rsidR="008A17FA">
        <w:tc>
          <w:tcPr>
            <w:tcW w:w="1271" w:type="dxa"/>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8A17FA" w:rsidRPr="008A28AB" w:rsidRDefault="008A17FA">
            <w:pPr>
              <w:spacing w:after="0" w:line="240" w:lineRule="auto"/>
              <w:rPr>
                <w:rFonts w:cs="Arial"/>
                <w:sz w:val="18"/>
                <w:szCs w:val="18"/>
                <w:lang w:val="en-US"/>
              </w:rPr>
            </w:pPr>
          </w:p>
        </w:tc>
        <w:tc>
          <w:tcPr>
            <w:tcW w:w="851" w:type="dxa"/>
            <w:vMerge/>
            <w:tcBorders>
              <w:left w:val="single" w:sz="4" w:space="0" w:color="auto"/>
              <w:right w:val="single" w:sz="4" w:space="0" w:color="auto"/>
            </w:tcBorders>
            <w:shd w:val="clear" w:color="auto" w:fill="auto"/>
            <w:tcMar>
              <w:left w:w="57" w:type="dxa"/>
              <w:right w:w="57" w:type="dxa"/>
            </w:tcMar>
            <w:vAlign w:val="center"/>
          </w:tcPr>
          <w:p w:rsidR="008A17FA" w:rsidRPr="008A28AB" w:rsidRDefault="008A17FA">
            <w:pPr>
              <w:spacing w:after="0" w:line="240" w:lineRule="auto"/>
              <w:jc w:val="center"/>
              <w:rPr>
                <w:rFonts w:cs="Arial"/>
                <w:sz w:val="18"/>
                <w:szCs w:val="18"/>
                <w:lang w:val="en-US"/>
              </w:rPr>
            </w:pPr>
          </w:p>
        </w:tc>
        <w:tc>
          <w:tcPr>
            <w:tcW w:w="1134" w:type="dxa"/>
            <w:tcBorders>
              <w:top w:val="single" w:sz="4" w:space="0" w:color="auto"/>
              <w:left w:val="single" w:sz="4" w:space="0" w:color="auto"/>
              <w:bottom w:val="single" w:sz="4" w:space="0" w:color="auto"/>
              <w:right w:val="single" w:sz="4" w:space="0" w:color="auto"/>
            </w:tcBorders>
            <w:vAlign w:val="center"/>
          </w:tcPr>
          <w:p w:rsidR="008A17FA" w:rsidRPr="008A28AB" w:rsidRDefault="00711F9F">
            <w:pPr>
              <w:spacing w:after="0" w:line="240" w:lineRule="auto"/>
              <w:jc w:val="center"/>
              <w:rPr>
                <w:rFonts w:cs="Arial"/>
                <w:sz w:val="18"/>
                <w:szCs w:val="18"/>
                <w:lang w:val="en-US"/>
              </w:rPr>
            </w:pPr>
            <w:r w:rsidRPr="008A28AB">
              <w:rPr>
                <w:rFonts w:cs="Arial"/>
                <w:sz w:val="18"/>
                <w:szCs w:val="18"/>
                <w:lang w:val="en-US"/>
              </w:rPr>
              <w:t>MET + SU</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A17FA" w:rsidRPr="008A28AB" w:rsidRDefault="00711F9F">
            <w:pPr>
              <w:spacing w:after="0" w:line="240" w:lineRule="auto"/>
              <w:jc w:val="center"/>
              <w:rPr>
                <w:rFonts w:cs="Arial"/>
                <w:sz w:val="18"/>
                <w:szCs w:val="18"/>
                <w:lang w:val="en-US"/>
              </w:rPr>
            </w:pPr>
            <w:r w:rsidRPr="008A28AB">
              <w:rPr>
                <w:rFonts w:cs="Arial"/>
                <w:sz w:val="18"/>
                <w:szCs w:val="18"/>
                <w:lang w:val="en-US"/>
              </w:rPr>
              <w:t>IDet OD (+ IAsp TID)</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A17FA" w:rsidRPr="008A28AB" w:rsidRDefault="00711F9F">
            <w:pPr>
              <w:spacing w:after="0" w:line="240" w:lineRule="auto"/>
              <w:ind w:right="-108"/>
              <w:jc w:val="center"/>
              <w:rPr>
                <w:rFonts w:cs="Arial"/>
                <w:sz w:val="18"/>
                <w:szCs w:val="18"/>
                <w:lang w:val="en-US"/>
              </w:rPr>
            </w:pPr>
            <w:r w:rsidRPr="008A28AB">
              <w:rPr>
                <w:rFonts w:cs="Arial"/>
                <w:sz w:val="18"/>
                <w:szCs w:val="18"/>
                <w:lang w:val="en-US"/>
              </w:rPr>
              <w:t>68 mmol/mol (8.4%)</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A17FA" w:rsidRPr="008A28AB" w:rsidRDefault="00711F9F">
            <w:pPr>
              <w:spacing w:after="0" w:line="240" w:lineRule="auto"/>
              <w:ind w:right="-108"/>
              <w:jc w:val="center"/>
              <w:rPr>
                <w:rFonts w:cs="Arial"/>
                <w:sz w:val="18"/>
                <w:szCs w:val="18"/>
                <w:lang w:val="en-US"/>
              </w:rPr>
            </w:pPr>
            <w:r w:rsidRPr="008A28AB">
              <w:rPr>
                <w:rFonts w:cs="Arial"/>
                <w:sz w:val="18"/>
                <w:szCs w:val="18"/>
                <w:lang w:val="en-US"/>
              </w:rPr>
              <w:t>−1.2%</w:t>
            </w:r>
          </w:p>
        </w:tc>
        <w:tc>
          <w:tcPr>
            <w:tcW w:w="1276" w:type="dxa"/>
            <w:tcBorders>
              <w:top w:val="single" w:sz="4" w:space="0" w:color="auto"/>
              <w:left w:val="single" w:sz="4" w:space="0" w:color="auto"/>
              <w:bottom w:val="single" w:sz="4" w:space="0" w:color="auto"/>
              <w:right w:val="single" w:sz="4" w:space="0" w:color="auto"/>
            </w:tcBorders>
          </w:tcPr>
          <w:p w:rsidR="008A17FA" w:rsidRPr="008A28AB" w:rsidRDefault="00711F9F">
            <w:pPr>
              <w:spacing w:after="0" w:line="240" w:lineRule="auto"/>
              <w:ind w:right="-108"/>
              <w:jc w:val="center"/>
              <w:rPr>
                <w:rFonts w:cs="Arial"/>
                <w:sz w:val="18"/>
                <w:szCs w:val="18"/>
                <w:lang w:val="en-US"/>
              </w:rPr>
            </w:pPr>
            <w:r w:rsidRPr="008A28AB">
              <w:rPr>
                <w:rFonts w:cs="Arial"/>
                <w:sz w:val="18"/>
                <w:szCs w:val="18"/>
                <w:lang w:val="en-US"/>
              </w:rPr>
              <w:t>52 mmol/mol (6.9%)</w:t>
            </w:r>
          </w:p>
        </w:tc>
        <w:tc>
          <w:tcPr>
            <w:tcW w:w="1701" w:type="dxa"/>
            <w:tcBorders>
              <w:top w:val="single" w:sz="4" w:space="0" w:color="auto"/>
              <w:left w:val="single" w:sz="4" w:space="0" w:color="auto"/>
              <w:bottom w:val="single" w:sz="4" w:space="0" w:color="auto"/>
              <w:right w:val="single" w:sz="4" w:space="0" w:color="auto"/>
            </w:tcBorders>
            <w:vAlign w:val="center"/>
          </w:tcPr>
          <w:p w:rsidR="008A17FA" w:rsidRPr="008A28AB" w:rsidRDefault="00711F9F">
            <w:pPr>
              <w:spacing w:after="0" w:line="240" w:lineRule="auto"/>
              <w:ind w:right="-108"/>
              <w:jc w:val="center"/>
              <w:rPr>
                <w:rFonts w:cs="Arial"/>
                <w:sz w:val="18"/>
                <w:szCs w:val="18"/>
                <w:lang w:val="en-US"/>
              </w:rPr>
            </w:pPr>
            <w:r w:rsidRPr="008A28AB">
              <w:rPr>
                <w:rFonts w:cs="Arial"/>
                <w:sz w:val="18"/>
                <w:szCs w:val="18"/>
                <w:lang w:val="en-US"/>
              </w:rPr>
              <w:t>1.7</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A17FA" w:rsidRPr="008A28AB" w:rsidRDefault="00711F9F">
            <w:pPr>
              <w:spacing w:after="0" w:line="240" w:lineRule="auto"/>
              <w:ind w:right="-108"/>
              <w:jc w:val="center"/>
              <w:rPr>
                <w:rFonts w:cs="Arial"/>
                <w:sz w:val="18"/>
                <w:szCs w:val="18"/>
                <w:lang w:val="en-US"/>
              </w:rPr>
            </w:pPr>
            <w:r w:rsidRPr="008A28AB">
              <w:rPr>
                <w:rFonts w:cs="Arial"/>
                <w:sz w:val="18"/>
                <w:szCs w:val="18"/>
                <w:lang w:val="en-US"/>
              </w:rPr>
              <w:t>+3.6 kg</w:t>
            </w:r>
          </w:p>
        </w:tc>
      </w:tr>
      <w:tr w:rsidR="008A17FA">
        <w:tc>
          <w:tcPr>
            <w:tcW w:w="1271" w:type="dxa"/>
            <w:vMerge/>
            <w:tcBorders>
              <w:top w:val="single" w:sz="4" w:space="0" w:color="auto"/>
              <w:left w:val="single" w:sz="4" w:space="0" w:color="auto"/>
              <w:right w:val="single" w:sz="4" w:space="0" w:color="auto"/>
            </w:tcBorders>
            <w:shd w:val="clear" w:color="auto" w:fill="auto"/>
            <w:tcMar>
              <w:left w:w="85" w:type="dxa"/>
              <w:right w:w="85" w:type="dxa"/>
            </w:tcMar>
            <w:vAlign w:val="center"/>
          </w:tcPr>
          <w:p w:rsidR="008A17FA" w:rsidRPr="008A28AB" w:rsidRDefault="008A17FA">
            <w:pPr>
              <w:spacing w:after="0" w:line="240" w:lineRule="auto"/>
              <w:rPr>
                <w:rFonts w:cs="Arial"/>
                <w:sz w:val="18"/>
                <w:szCs w:val="18"/>
                <w:lang w:val="en-US"/>
              </w:rPr>
            </w:pPr>
          </w:p>
        </w:tc>
        <w:tc>
          <w:tcPr>
            <w:tcW w:w="851" w:type="dxa"/>
            <w:vMerge/>
            <w:tcBorders>
              <w:left w:val="single" w:sz="4" w:space="0" w:color="auto"/>
              <w:bottom w:val="single" w:sz="4" w:space="0" w:color="auto"/>
              <w:right w:val="single" w:sz="4" w:space="0" w:color="auto"/>
            </w:tcBorders>
            <w:shd w:val="clear" w:color="auto" w:fill="auto"/>
            <w:tcMar>
              <w:left w:w="57" w:type="dxa"/>
              <w:right w:w="57" w:type="dxa"/>
            </w:tcMar>
            <w:vAlign w:val="center"/>
          </w:tcPr>
          <w:p w:rsidR="008A17FA" w:rsidRPr="008A28AB" w:rsidRDefault="008A17FA">
            <w:pPr>
              <w:spacing w:after="0" w:line="240" w:lineRule="auto"/>
              <w:jc w:val="center"/>
              <w:rPr>
                <w:rFonts w:cs="Arial"/>
                <w:sz w:val="18"/>
                <w:szCs w:val="18"/>
                <w:lang w:val="en-US"/>
              </w:rPr>
            </w:pPr>
          </w:p>
        </w:tc>
        <w:tc>
          <w:tcPr>
            <w:tcW w:w="1134" w:type="dxa"/>
            <w:tcBorders>
              <w:top w:val="single" w:sz="4" w:space="0" w:color="auto"/>
              <w:left w:val="single" w:sz="4" w:space="0" w:color="auto"/>
              <w:bottom w:val="single" w:sz="4" w:space="0" w:color="auto"/>
              <w:right w:val="single" w:sz="4" w:space="0" w:color="auto"/>
            </w:tcBorders>
            <w:vAlign w:val="center"/>
          </w:tcPr>
          <w:p w:rsidR="008A17FA" w:rsidRPr="008A28AB" w:rsidRDefault="00711F9F">
            <w:pPr>
              <w:spacing w:after="0" w:line="240" w:lineRule="auto"/>
              <w:jc w:val="center"/>
              <w:rPr>
                <w:rFonts w:cs="Arial"/>
                <w:sz w:val="18"/>
                <w:szCs w:val="18"/>
                <w:lang w:val="en-US"/>
              </w:rPr>
            </w:pPr>
            <w:r w:rsidRPr="008A28AB">
              <w:rPr>
                <w:rFonts w:cs="Arial"/>
                <w:sz w:val="18"/>
                <w:szCs w:val="18"/>
                <w:lang w:val="en-US"/>
              </w:rPr>
              <w:t>MET + SU</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A17FA" w:rsidRPr="008A28AB" w:rsidRDefault="00711F9F">
            <w:pPr>
              <w:spacing w:after="0" w:line="240" w:lineRule="auto"/>
              <w:jc w:val="center"/>
              <w:rPr>
                <w:rFonts w:cs="Arial"/>
                <w:sz w:val="18"/>
                <w:szCs w:val="18"/>
                <w:lang w:val="en-US"/>
              </w:rPr>
            </w:pPr>
            <w:r w:rsidRPr="008A28AB">
              <w:rPr>
                <w:rFonts w:cs="Arial"/>
                <w:sz w:val="18"/>
                <w:szCs w:val="18"/>
                <w:lang w:val="en-US"/>
              </w:rPr>
              <w:t>IAsp TID (+ IDet OD)</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A17FA" w:rsidRPr="008A28AB" w:rsidRDefault="00711F9F">
            <w:pPr>
              <w:spacing w:after="0" w:line="240" w:lineRule="auto"/>
              <w:jc w:val="center"/>
              <w:rPr>
                <w:rFonts w:cs="Arial"/>
                <w:sz w:val="18"/>
                <w:szCs w:val="18"/>
                <w:lang w:val="en-US"/>
              </w:rPr>
            </w:pPr>
            <w:r w:rsidRPr="008A28AB">
              <w:rPr>
                <w:rFonts w:cs="Arial"/>
                <w:sz w:val="18"/>
                <w:szCs w:val="18"/>
                <w:lang w:val="en-US"/>
              </w:rPr>
              <w:t>70 mmol/mol (8.6%)</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A17FA" w:rsidRPr="008A28AB" w:rsidRDefault="00711F9F">
            <w:pPr>
              <w:spacing w:after="0" w:line="240" w:lineRule="auto"/>
              <w:jc w:val="center"/>
              <w:rPr>
                <w:rFonts w:cs="Arial"/>
                <w:sz w:val="18"/>
                <w:szCs w:val="18"/>
                <w:lang w:val="en-US"/>
              </w:rPr>
            </w:pPr>
            <w:r w:rsidRPr="008A28AB">
              <w:rPr>
                <w:rFonts w:cs="Arial"/>
                <w:sz w:val="18"/>
                <w:szCs w:val="18"/>
                <w:lang w:val="en-US"/>
              </w:rPr>
              <w:t>−1.4%</w:t>
            </w:r>
          </w:p>
        </w:tc>
        <w:tc>
          <w:tcPr>
            <w:tcW w:w="1276" w:type="dxa"/>
            <w:tcBorders>
              <w:top w:val="single" w:sz="4" w:space="0" w:color="auto"/>
              <w:left w:val="single" w:sz="4" w:space="0" w:color="auto"/>
              <w:bottom w:val="single" w:sz="4" w:space="0" w:color="auto"/>
              <w:right w:val="single" w:sz="4" w:space="0" w:color="auto"/>
            </w:tcBorders>
          </w:tcPr>
          <w:p w:rsidR="008A17FA" w:rsidRPr="008A28AB" w:rsidRDefault="00711F9F">
            <w:pPr>
              <w:spacing w:after="0" w:line="240" w:lineRule="auto"/>
              <w:ind w:right="-108"/>
              <w:jc w:val="center"/>
              <w:rPr>
                <w:rFonts w:cs="Arial"/>
                <w:sz w:val="18"/>
                <w:szCs w:val="18"/>
                <w:lang w:val="en-US"/>
              </w:rPr>
            </w:pPr>
            <w:r w:rsidRPr="008A28AB">
              <w:rPr>
                <w:rFonts w:cs="Arial"/>
                <w:sz w:val="18"/>
                <w:szCs w:val="18"/>
                <w:lang w:val="en-US"/>
              </w:rPr>
              <w:t>51 mmol/mol (6.8%)</w:t>
            </w:r>
          </w:p>
        </w:tc>
        <w:tc>
          <w:tcPr>
            <w:tcW w:w="1701" w:type="dxa"/>
            <w:tcBorders>
              <w:top w:val="single" w:sz="4" w:space="0" w:color="auto"/>
              <w:left w:val="single" w:sz="4" w:space="0" w:color="auto"/>
              <w:bottom w:val="single" w:sz="4" w:space="0" w:color="auto"/>
              <w:right w:val="single" w:sz="4" w:space="0" w:color="auto"/>
            </w:tcBorders>
            <w:vAlign w:val="center"/>
          </w:tcPr>
          <w:p w:rsidR="008A17FA" w:rsidRPr="008A28AB" w:rsidRDefault="00711F9F">
            <w:pPr>
              <w:spacing w:after="0" w:line="240" w:lineRule="auto"/>
              <w:ind w:right="-108"/>
              <w:jc w:val="center"/>
              <w:rPr>
                <w:rFonts w:cs="Arial"/>
                <w:sz w:val="18"/>
                <w:szCs w:val="18"/>
                <w:lang w:val="en-US"/>
              </w:rPr>
            </w:pPr>
            <w:r w:rsidRPr="008A28AB">
              <w:rPr>
                <w:rFonts w:cs="Arial"/>
                <w:sz w:val="18"/>
                <w:szCs w:val="18"/>
                <w:lang w:val="en-US"/>
              </w:rPr>
              <w:t>5.7</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A17FA" w:rsidRPr="008A28AB" w:rsidRDefault="00711F9F">
            <w:pPr>
              <w:spacing w:after="0" w:line="240" w:lineRule="auto"/>
              <w:ind w:right="-108"/>
              <w:jc w:val="center"/>
              <w:rPr>
                <w:rFonts w:cs="Arial"/>
                <w:sz w:val="18"/>
                <w:szCs w:val="18"/>
                <w:lang w:val="en-US"/>
              </w:rPr>
            </w:pPr>
            <w:r w:rsidRPr="008A28AB">
              <w:rPr>
                <w:rFonts w:cs="Arial"/>
                <w:sz w:val="18"/>
                <w:szCs w:val="18"/>
                <w:lang w:val="en-US"/>
              </w:rPr>
              <w:t>+6.4 kg</w:t>
            </w:r>
          </w:p>
        </w:tc>
      </w:tr>
      <w:tr w:rsidR="008A17FA">
        <w:trPr>
          <w:trHeight w:val="361"/>
        </w:trPr>
        <w:tc>
          <w:tcPr>
            <w:tcW w:w="1271" w:type="dxa"/>
            <w:vMerge w:val="restart"/>
            <w:tcBorders>
              <w:top w:val="single" w:sz="4" w:space="0" w:color="auto"/>
              <w:left w:val="single" w:sz="4" w:space="0" w:color="auto"/>
              <w:right w:val="single" w:sz="4" w:space="0" w:color="auto"/>
            </w:tcBorders>
            <w:shd w:val="clear" w:color="auto" w:fill="auto"/>
            <w:tcMar>
              <w:left w:w="85" w:type="dxa"/>
              <w:right w:w="85" w:type="dxa"/>
            </w:tcMar>
            <w:vAlign w:val="center"/>
          </w:tcPr>
          <w:p w:rsidR="008A17FA" w:rsidRDefault="00711F9F">
            <w:pPr>
              <w:spacing w:after="0" w:line="240" w:lineRule="auto"/>
              <w:rPr>
                <w:rFonts w:cs="Arial"/>
                <w:sz w:val="18"/>
                <w:szCs w:val="18"/>
                <w:lang w:val="en-US"/>
              </w:rPr>
            </w:pPr>
            <w:r>
              <w:rPr>
                <w:rFonts w:cs="Arial"/>
                <w:sz w:val="18"/>
                <w:szCs w:val="18"/>
                <w:lang w:val="en-US"/>
              </w:rPr>
              <w:t xml:space="preserve">Lankisch </w:t>
            </w:r>
            <w:r>
              <w:rPr>
                <w:rFonts w:cs="Arial"/>
                <w:i/>
                <w:sz w:val="18"/>
                <w:szCs w:val="18"/>
                <w:lang w:val="en-US"/>
              </w:rPr>
              <w:t>et al</w:t>
            </w:r>
            <w:r>
              <w:rPr>
                <w:rFonts w:cs="Arial"/>
                <w:sz w:val="18"/>
                <w:szCs w:val="18"/>
                <w:lang w:val="en-US"/>
              </w:rPr>
              <w:t>. 2008 (OPAL) [25]</w:t>
            </w:r>
          </w:p>
        </w:tc>
        <w:tc>
          <w:tcPr>
            <w:tcW w:w="851"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rsidR="008A17FA" w:rsidRDefault="00711F9F">
            <w:pPr>
              <w:spacing w:after="0" w:line="240" w:lineRule="auto"/>
              <w:jc w:val="center"/>
              <w:rPr>
                <w:rFonts w:cs="Arial"/>
                <w:sz w:val="18"/>
                <w:szCs w:val="18"/>
                <w:lang w:val="en-US"/>
              </w:rPr>
            </w:pPr>
            <w:r>
              <w:rPr>
                <w:rFonts w:cs="Arial"/>
                <w:sz w:val="18"/>
                <w:szCs w:val="18"/>
                <w:lang w:val="en-US"/>
              </w:rPr>
              <w:t>24 weeks</w:t>
            </w:r>
          </w:p>
          <w:p w:rsidR="008A17FA" w:rsidRDefault="008A17FA">
            <w:pPr>
              <w:spacing w:after="0" w:line="240" w:lineRule="auto"/>
              <w:jc w:val="center"/>
              <w:rPr>
                <w:rFonts w:cs="Arial"/>
                <w:sz w:val="18"/>
                <w:szCs w:val="18"/>
                <w:lang w:val="en-US"/>
              </w:rPr>
            </w:pPr>
          </w:p>
        </w:tc>
        <w:tc>
          <w:tcPr>
            <w:tcW w:w="1134" w:type="dxa"/>
            <w:tcBorders>
              <w:top w:val="single" w:sz="4" w:space="0" w:color="auto"/>
              <w:left w:val="single" w:sz="4" w:space="0" w:color="auto"/>
              <w:right w:val="single" w:sz="4" w:space="0" w:color="auto"/>
            </w:tcBorders>
            <w:shd w:val="clear" w:color="auto" w:fill="auto"/>
            <w:vAlign w:val="center"/>
          </w:tcPr>
          <w:p w:rsidR="008A17FA" w:rsidRDefault="00711F9F">
            <w:pPr>
              <w:spacing w:after="0" w:line="240" w:lineRule="auto"/>
              <w:jc w:val="center"/>
              <w:rPr>
                <w:rFonts w:cs="Arial"/>
                <w:sz w:val="18"/>
                <w:szCs w:val="18"/>
                <w:lang w:val="en-US"/>
              </w:rPr>
            </w:pPr>
            <w:r>
              <w:rPr>
                <w:rFonts w:cs="Arial"/>
                <w:sz w:val="18"/>
                <w:szCs w:val="18"/>
                <w:lang w:val="en-US"/>
              </w:rPr>
              <w:t>IGlar + OADs</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A17FA" w:rsidRDefault="00711F9F">
            <w:pPr>
              <w:spacing w:after="0" w:line="240" w:lineRule="auto"/>
              <w:jc w:val="center"/>
              <w:rPr>
                <w:rFonts w:cs="Arial"/>
                <w:sz w:val="18"/>
                <w:szCs w:val="18"/>
                <w:lang w:val="en-US"/>
              </w:rPr>
            </w:pPr>
            <w:r>
              <w:rPr>
                <w:rFonts w:cs="Arial"/>
                <w:sz w:val="18"/>
                <w:szCs w:val="18"/>
                <w:lang w:val="en-US"/>
              </w:rPr>
              <w:t>IGlu breakfast</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A17FA" w:rsidRDefault="00711F9F">
            <w:pPr>
              <w:spacing w:after="0" w:line="240" w:lineRule="auto"/>
              <w:jc w:val="center"/>
              <w:rPr>
                <w:rFonts w:cs="Arial"/>
                <w:sz w:val="18"/>
                <w:szCs w:val="18"/>
                <w:lang w:val="en-US"/>
              </w:rPr>
            </w:pPr>
            <w:r>
              <w:rPr>
                <w:rFonts w:cs="Arial"/>
                <w:sz w:val="18"/>
                <w:szCs w:val="18"/>
                <w:lang w:val="en-US"/>
              </w:rPr>
              <w:t>57 mmol/mol (7.4%)</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A17FA" w:rsidRDefault="00711F9F">
            <w:pPr>
              <w:spacing w:after="0" w:line="240" w:lineRule="auto"/>
              <w:jc w:val="center"/>
              <w:rPr>
                <w:rFonts w:cs="Arial"/>
                <w:sz w:val="18"/>
                <w:szCs w:val="18"/>
                <w:lang w:val="en-US"/>
              </w:rPr>
            </w:pPr>
            <w:r>
              <w:rPr>
                <w:rFonts w:cs="Arial"/>
                <w:sz w:val="18"/>
                <w:szCs w:val="18"/>
                <w:lang w:val="en-US"/>
              </w:rPr>
              <w:t>−0.3%</w:t>
            </w:r>
          </w:p>
        </w:tc>
        <w:tc>
          <w:tcPr>
            <w:tcW w:w="1276" w:type="dxa"/>
            <w:tcBorders>
              <w:top w:val="single" w:sz="4" w:space="0" w:color="auto"/>
              <w:left w:val="single" w:sz="4" w:space="0" w:color="auto"/>
              <w:bottom w:val="single" w:sz="4" w:space="0" w:color="auto"/>
              <w:right w:val="single" w:sz="4" w:space="0" w:color="auto"/>
            </w:tcBorders>
          </w:tcPr>
          <w:p w:rsidR="008A17FA" w:rsidRDefault="00711F9F">
            <w:pPr>
              <w:spacing w:after="0" w:line="240" w:lineRule="auto"/>
              <w:ind w:right="-108"/>
              <w:jc w:val="center"/>
              <w:rPr>
                <w:rFonts w:cs="Arial"/>
                <w:sz w:val="18"/>
                <w:szCs w:val="18"/>
                <w:lang w:val="en-US"/>
              </w:rPr>
            </w:pPr>
            <w:r>
              <w:rPr>
                <w:rFonts w:cs="Arial"/>
                <w:sz w:val="18"/>
                <w:szCs w:val="18"/>
                <w:lang w:val="en-US"/>
              </w:rPr>
              <w:t>53 mmol/mol (7.0%)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A17FA" w:rsidRDefault="00711F9F">
            <w:pPr>
              <w:spacing w:after="0" w:line="240" w:lineRule="auto"/>
              <w:ind w:right="-108"/>
              <w:jc w:val="center"/>
              <w:rPr>
                <w:rFonts w:cs="Arial"/>
                <w:sz w:val="18"/>
                <w:szCs w:val="18"/>
                <w:lang w:val="en-US"/>
              </w:rPr>
            </w:pPr>
            <w:r>
              <w:rPr>
                <w:rFonts w:cs="Arial"/>
                <w:sz w:val="18"/>
                <w:szCs w:val="18"/>
                <w:lang w:val="en-US"/>
              </w:rPr>
              <w:t>Overall: 2.72</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A17FA" w:rsidRDefault="00711F9F">
            <w:pPr>
              <w:spacing w:after="0" w:line="240" w:lineRule="auto"/>
              <w:ind w:right="-108"/>
              <w:jc w:val="center"/>
              <w:rPr>
                <w:rFonts w:cs="Arial"/>
                <w:sz w:val="18"/>
                <w:szCs w:val="18"/>
                <w:lang w:val="en-US"/>
              </w:rPr>
            </w:pPr>
            <w:r>
              <w:rPr>
                <w:rFonts w:cs="Arial"/>
                <w:sz w:val="18"/>
                <w:szCs w:val="18"/>
                <w:lang w:val="en-US"/>
              </w:rPr>
              <w:t>+1.0 kg</w:t>
            </w:r>
          </w:p>
        </w:tc>
      </w:tr>
      <w:tr w:rsidR="008A17FA">
        <w:trPr>
          <w:trHeight w:val="361"/>
        </w:trPr>
        <w:tc>
          <w:tcPr>
            <w:tcW w:w="1271" w:type="dxa"/>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8A17FA" w:rsidRPr="008A28AB" w:rsidRDefault="008A17FA">
            <w:pPr>
              <w:spacing w:after="0" w:line="240" w:lineRule="auto"/>
              <w:rPr>
                <w:rFonts w:cs="Arial"/>
                <w:sz w:val="18"/>
                <w:szCs w:val="18"/>
                <w:lang w:val="en-US"/>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A17FA" w:rsidRPr="008A28AB" w:rsidRDefault="008A17FA">
            <w:pPr>
              <w:spacing w:after="0" w:line="240" w:lineRule="auto"/>
              <w:jc w:val="center"/>
              <w:rPr>
                <w:rFonts w:cs="Arial"/>
                <w:sz w:val="18"/>
                <w:szCs w:val="18"/>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A17FA" w:rsidRPr="008A28AB" w:rsidRDefault="00711F9F">
            <w:pPr>
              <w:spacing w:after="0" w:line="240" w:lineRule="auto"/>
              <w:jc w:val="center"/>
              <w:rPr>
                <w:rFonts w:cs="Arial"/>
                <w:sz w:val="18"/>
                <w:szCs w:val="18"/>
                <w:lang w:val="en-US"/>
              </w:rPr>
            </w:pPr>
            <w:r w:rsidRPr="008A28AB">
              <w:rPr>
                <w:rFonts w:cs="Arial"/>
                <w:sz w:val="18"/>
                <w:szCs w:val="18"/>
                <w:lang w:val="en-US"/>
              </w:rPr>
              <w:t>IGlar + OADs</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A17FA" w:rsidRPr="008A28AB" w:rsidRDefault="00711F9F">
            <w:pPr>
              <w:spacing w:after="0" w:line="240" w:lineRule="auto"/>
              <w:jc w:val="center"/>
              <w:rPr>
                <w:rFonts w:cs="Arial"/>
                <w:sz w:val="18"/>
                <w:szCs w:val="18"/>
                <w:lang w:val="en-US"/>
              </w:rPr>
            </w:pPr>
            <w:r w:rsidRPr="008A28AB">
              <w:rPr>
                <w:rFonts w:cs="Arial"/>
                <w:sz w:val="18"/>
                <w:szCs w:val="18"/>
                <w:lang w:val="en-US"/>
              </w:rPr>
              <w:t>IGlu main meal</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A17FA" w:rsidRPr="008A28AB" w:rsidRDefault="00711F9F">
            <w:pPr>
              <w:spacing w:after="0" w:line="240" w:lineRule="auto"/>
              <w:jc w:val="center"/>
              <w:rPr>
                <w:rFonts w:cs="Arial"/>
                <w:sz w:val="18"/>
                <w:szCs w:val="18"/>
                <w:lang w:val="en-US"/>
              </w:rPr>
            </w:pPr>
            <w:r w:rsidRPr="008A28AB">
              <w:rPr>
                <w:rFonts w:cs="Arial"/>
                <w:sz w:val="18"/>
                <w:szCs w:val="18"/>
                <w:lang w:val="en-US"/>
              </w:rPr>
              <w:t>56 mmol/mol (7.3%)</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A17FA" w:rsidRPr="008A28AB" w:rsidRDefault="00711F9F">
            <w:pPr>
              <w:spacing w:after="0" w:line="240" w:lineRule="auto"/>
              <w:jc w:val="center"/>
              <w:rPr>
                <w:rFonts w:cs="Arial"/>
                <w:sz w:val="18"/>
                <w:szCs w:val="18"/>
                <w:lang w:val="en-US"/>
              </w:rPr>
            </w:pPr>
            <w:r w:rsidRPr="008A28AB">
              <w:rPr>
                <w:rFonts w:cs="Arial"/>
                <w:sz w:val="18"/>
                <w:szCs w:val="18"/>
                <w:lang w:val="en-US"/>
              </w:rPr>
              <w:t>−0.4%</w:t>
            </w:r>
          </w:p>
        </w:tc>
        <w:tc>
          <w:tcPr>
            <w:tcW w:w="1276" w:type="dxa"/>
            <w:tcBorders>
              <w:top w:val="single" w:sz="4" w:space="0" w:color="auto"/>
              <w:left w:val="single" w:sz="4" w:space="0" w:color="auto"/>
              <w:bottom w:val="single" w:sz="4" w:space="0" w:color="auto"/>
              <w:right w:val="single" w:sz="4" w:space="0" w:color="auto"/>
            </w:tcBorders>
          </w:tcPr>
          <w:p w:rsidR="008A17FA" w:rsidRPr="008A28AB" w:rsidRDefault="00711F9F">
            <w:pPr>
              <w:spacing w:after="0" w:line="240" w:lineRule="auto"/>
              <w:ind w:right="-108"/>
              <w:jc w:val="center"/>
              <w:rPr>
                <w:rFonts w:cs="Arial"/>
                <w:sz w:val="18"/>
                <w:szCs w:val="18"/>
                <w:lang w:val="en-US"/>
              </w:rPr>
            </w:pPr>
            <w:r w:rsidRPr="008A28AB">
              <w:rPr>
                <w:rFonts w:cs="Arial"/>
                <w:sz w:val="18"/>
                <w:szCs w:val="18"/>
                <w:lang w:val="en-US"/>
              </w:rPr>
              <w:t>52 mmol/mol (6.9%)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A17FA" w:rsidRPr="008A28AB" w:rsidRDefault="00711F9F">
            <w:pPr>
              <w:spacing w:after="0" w:line="240" w:lineRule="auto"/>
              <w:ind w:right="-108"/>
              <w:jc w:val="center"/>
              <w:rPr>
                <w:rFonts w:cs="Arial"/>
                <w:sz w:val="18"/>
                <w:szCs w:val="18"/>
                <w:lang w:val="en-US"/>
              </w:rPr>
            </w:pPr>
            <w:r w:rsidRPr="008A28AB">
              <w:rPr>
                <w:rFonts w:cs="Arial"/>
                <w:sz w:val="18"/>
                <w:szCs w:val="18"/>
                <w:lang w:val="en-US"/>
              </w:rPr>
              <w:t>Overall: 3.69</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A17FA" w:rsidRPr="008A28AB" w:rsidRDefault="00711F9F">
            <w:pPr>
              <w:spacing w:after="0" w:line="240" w:lineRule="auto"/>
              <w:ind w:right="-108"/>
              <w:jc w:val="center"/>
              <w:rPr>
                <w:rFonts w:cs="Arial"/>
                <w:sz w:val="18"/>
                <w:szCs w:val="18"/>
                <w:lang w:val="en-US"/>
              </w:rPr>
            </w:pPr>
            <w:r w:rsidRPr="008A28AB">
              <w:rPr>
                <w:rFonts w:cs="Arial"/>
                <w:sz w:val="18"/>
                <w:szCs w:val="18"/>
                <w:lang w:val="en-US"/>
              </w:rPr>
              <w:t>+0.9 kg</w:t>
            </w:r>
          </w:p>
        </w:tc>
      </w:tr>
      <w:tr w:rsidR="008A17FA">
        <w:trPr>
          <w:trHeight w:val="361"/>
        </w:trPr>
        <w:tc>
          <w:tcPr>
            <w:tcW w:w="1271" w:type="dxa"/>
            <w:vMerge w:val="restart"/>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8A17FA" w:rsidRDefault="00711F9F">
            <w:pPr>
              <w:spacing w:after="0" w:line="240" w:lineRule="auto"/>
              <w:rPr>
                <w:rFonts w:cs="Arial"/>
                <w:sz w:val="18"/>
                <w:szCs w:val="18"/>
                <w:lang w:val="en-US"/>
              </w:rPr>
            </w:pPr>
            <w:r>
              <w:rPr>
                <w:rFonts w:cs="Arial"/>
                <w:sz w:val="18"/>
                <w:szCs w:val="18"/>
                <w:lang w:val="en-US"/>
              </w:rPr>
              <w:t xml:space="preserve">Meneghini </w:t>
            </w:r>
            <w:r>
              <w:rPr>
                <w:rFonts w:cs="Arial"/>
                <w:i/>
                <w:sz w:val="18"/>
                <w:szCs w:val="18"/>
                <w:lang w:val="en-US"/>
              </w:rPr>
              <w:t>et al</w:t>
            </w:r>
            <w:r>
              <w:rPr>
                <w:rFonts w:cs="Arial"/>
                <w:sz w:val="18"/>
                <w:szCs w:val="18"/>
                <w:lang w:val="en-US"/>
              </w:rPr>
              <w:t>. 2011 (STEPwise) [27]</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A17FA" w:rsidRDefault="00711F9F">
            <w:pPr>
              <w:spacing w:after="0" w:line="240" w:lineRule="auto"/>
              <w:jc w:val="center"/>
              <w:rPr>
                <w:rFonts w:cs="Arial"/>
                <w:sz w:val="18"/>
                <w:szCs w:val="18"/>
                <w:lang w:val="en-US"/>
              </w:rPr>
            </w:pPr>
            <w:r>
              <w:rPr>
                <w:rFonts w:cs="Arial"/>
                <w:sz w:val="18"/>
                <w:szCs w:val="18"/>
                <w:lang w:val="en-US"/>
              </w:rPr>
              <w:t>12 + 3x12 weeks</w:t>
            </w:r>
          </w:p>
          <w:p w:rsidR="008A17FA" w:rsidRDefault="008A17FA">
            <w:pPr>
              <w:spacing w:after="0" w:line="240" w:lineRule="auto"/>
              <w:jc w:val="center"/>
              <w:rPr>
                <w:rFonts w:cs="Arial"/>
                <w:sz w:val="18"/>
                <w:szCs w:val="18"/>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A17FA" w:rsidRDefault="00711F9F">
            <w:pPr>
              <w:spacing w:after="0" w:line="240" w:lineRule="auto"/>
              <w:jc w:val="center"/>
              <w:rPr>
                <w:rFonts w:cs="Arial"/>
                <w:sz w:val="18"/>
                <w:szCs w:val="18"/>
                <w:lang w:val="en-US"/>
              </w:rPr>
            </w:pPr>
            <w:r>
              <w:rPr>
                <w:rFonts w:cs="Arial"/>
                <w:sz w:val="18"/>
                <w:szCs w:val="18"/>
                <w:lang w:val="en-US"/>
              </w:rPr>
              <w:t>IDet + OADs</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A17FA" w:rsidRDefault="00711F9F">
            <w:pPr>
              <w:spacing w:after="0" w:line="240" w:lineRule="auto"/>
              <w:jc w:val="center"/>
              <w:rPr>
                <w:rFonts w:cs="Arial"/>
                <w:sz w:val="18"/>
                <w:szCs w:val="18"/>
                <w:lang w:val="en-US"/>
              </w:rPr>
            </w:pPr>
            <w:r>
              <w:rPr>
                <w:rFonts w:cs="Arial"/>
                <w:sz w:val="18"/>
                <w:szCs w:val="18"/>
                <w:lang w:val="en-US"/>
              </w:rPr>
              <w:t>Stepwise addition of IAsp doses to largest perceived meal</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A17FA" w:rsidRDefault="00711F9F">
            <w:pPr>
              <w:spacing w:after="0" w:line="240" w:lineRule="auto"/>
              <w:jc w:val="center"/>
              <w:rPr>
                <w:rFonts w:cs="Arial"/>
                <w:sz w:val="18"/>
                <w:szCs w:val="18"/>
                <w:lang w:val="en-US"/>
              </w:rPr>
            </w:pPr>
            <w:r>
              <w:rPr>
                <w:rFonts w:cs="Arial"/>
                <w:sz w:val="18"/>
                <w:szCs w:val="18"/>
                <w:lang w:val="en-US"/>
              </w:rPr>
              <w:t>72 mmol/mol (8.7%)</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A17FA" w:rsidRDefault="00711F9F">
            <w:pPr>
              <w:spacing w:after="0" w:line="240" w:lineRule="auto"/>
              <w:jc w:val="center"/>
              <w:rPr>
                <w:rFonts w:cs="Arial"/>
                <w:sz w:val="18"/>
                <w:szCs w:val="18"/>
                <w:lang w:val="en-US"/>
              </w:rPr>
            </w:pPr>
            <w:r>
              <w:rPr>
                <w:rFonts w:cs="Arial"/>
                <w:sz w:val="18"/>
                <w:szCs w:val="18"/>
                <w:lang w:val="en-US"/>
              </w:rPr>
              <w:t>−1.1%</w:t>
            </w:r>
          </w:p>
        </w:tc>
        <w:tc>
          <w:tcPr>
            <w:tcW w:w="1276" w:type="dxa"/>
            <w:tcBorders>
              <w:top w:val="single" w:sz="4" w:space="0" w:color="auto"/>
              <w:left w:val="single" w:sz="4" w:space="0" w:color="auto"/>
              <w:bottom w:val="single" w:sz="4" w:space="0" w:color="auto"/>
              <w:right w:val="single" w:sz="4" w:space="0" w:color="auto"/>
            </w:tcBorders>
          </w:tcPr>
          <w:p w:rsidR="008A17FA" w:rsidRDefault="00711F9F">
            <w:pPr>
              <w:spacing w:after="0" w:line="240" w:lineRule="auto"/>
              <w:jc w:val="center"/>
              <w:rPr>
                <w:rFonts w:cs="Arial"/>
                <w:sz w:val="18"/>
                <w:szCs w:val="18"/>
                <w:lang w:val="en-US"/>
              </w:rPr>
            </w:pPr>
            <w:r>
              <w:rPr>
                <w:rFonts w:cs="Arial"/>
                <w:sz w:val="18"/>
                <w:szCs w:val="18"/>
                <w:lang w:val="en-US"/>
              </w:rPr>
              <w:t>58 mmol/mol (7.5%)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A17FA" w:rsidRDefault="00711F9F">
            <w:pPr>
              <w:spacing w:after="0" w:line="240" w:lineRule="auto"/>
              <w:jc w:val="center"/>
              <w:rPr>
                <w:rFonts w:cs="Arial"/>
                <w:sz w:val="18"/>
                <w:szCs w:val="18"/>
                <w:lang w:val="en-US"/>
              </w:rPr>
            </w:pPr>
            <w:r>
              <w:rPr>
                <w:rFonts w:cs="Arial"/>
                <w:sz w:val="18"/>
                <w:szCs w:val="18"/>
                <w:lang w:val="en-US"/>
              </w:rPr>
              <w:t>Minor: 6.0</w:t>
            </w:r>
          </w:p>
          <w:p w:rsidR="008A17FA" w:rsidRDefault="00711F9F">
            <w:pPr>
              <w:spacing w:after="0" w:line="240" w:lineRule="auto"/>
              <w:ind w:right="-108"/>
              <w:jc w:val="center"/>
              <w:rPr>
                <w:rFonts w:cs="Arial"/>
                <w:sz w:val="18"/>
                <w:szCs w:val="18"/>
                <w:lang w:val="en-US"/>
              </w:rPr>
            </w:pPr>
            <w:r>
              <w:rPr>
                <w:rFonts w:cs="Arial"/>
                <w:sz w:val="18"/>
                <w:szCs w:val="18"/>
                <w:lang w:val="en-US"/>
              </w:rPr>
              <w:t>Major: 0.04</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A17FA" w:rsidRDefault="00711F9F">
            <w:pPr>
              <w:spacing w:after="0" w:line="240" w:lineRule="auto"/>
              <w:ind w:right="-108"/>
              <w:jc w:val="center"/>
              <w:rPr>
                <w:rFonts w:cs="Arial"/>
                <w:sz w:val="18"/>
                <w:szCs w:val="18"/>
                <w:lang w:val="en-US"/>
              </w:rPr>
            </w:pPr>
            <w:r>
              <w:rPr>
                <w:rFonts w:cs="Arial"/>
                <w:sz w:val="18"/>
                <w:szCs w:val="18"/>
                <w:lang w:val="en-US"/>
              </w:rPr>
              <w:t>+2.7 kg</w:t>
            </w:r>
          </w:p>
        </w:tc>
      </w:tr>
      <w:tr w:rsidR="008A17FA">
        <w:trPr>
          <w:trHeight w:val="361"/>
        </w:trPr>
        <w:tc>
          <w:tcPr>
            <w:tcW w:w="1271" w:type="dxa"/>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8A17FA" w:rsidRPr="008A28AB" w:rsidRDefault="008A17FA">
            <w:pPr>
              <w:spacing w:after="0" w:line="240" w:lineRule="auto"/>
              <w:rPr>
                <w:rFonts w:cs="Arial"/>
                <w:sz w:val="18"/>
                <w:szCs w:val="18"/>
                <w:lang w:val="en-US"/>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A17FA" w:rsidRPr="008A28AB" w:rsidRDefault="008A17FA">
            <w:pPr>
              <w:spacing w:after="0" w:line="240" w:lineRule="auto"/>
              <w:jc w:val="center"/>
              <w:rPr>
                <w:rFonts w:cs="Arial"/>
                <w:sz w:val="18"/>
                <w:szCs w:val="18"/>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A17FA" w:rsidRPr="008A28AB" w:rsidRDefault="00711F9F">
            <w:pPr>
              <w:spacing w:after="0" w:line="240" w:lineRule="auto"/>
              <w:jc w:val="center"/>
              <w:rPr>
                <w:rFonts w:cs="Arial"/>
                <w:sz w:val="18"/>
                <w:szCs w:val="18"/>
                <w:lang w:val="en-US"/>
              </w:rPr>
            </w:pPr>
            <w:r w:rsidRPr="008A28AB">
              <w:rPr>
                <w:rFonts w:cs="Arial"/>
                <w:sz w:val="18"/>
                <w:szCs w:val="18"/>
                <w:lang w:val="en-US"/>
              </w:rPr>
              <w:t>IDet + OADs</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A17FA" w:rsidRPr="008A28AB" w:rsidRDefault="00711F9F">
            <w:pPr>
              <w:spacing w:after="0" w:line="240" w:lineRule="auto"/>
              <w:jc w:val="center"/>
              <w:rPr>
                <w:rFonts w:cs="Arial"/>
                <w:sz w:val="18"/>
                <w:szCs w:val="18"/>
                <w:lang w:val="en-US"/>
              </w:rPr>
            </w:pPr>
            <w:r w:rsidRPr="008A28AB">
              <w:rPr>
                <w:rFonts w:cs="Arial"/>
                <w:sz w:val="18"/>
                <w:szCs w:val="18"/>
                <w:lang w:val="en-US"/>
              </w:rPr>
              <w:t>Stepwise addition of IAsp dose to meal with largest PPG increment</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A17FA" w:rsidRPr="008A28AB" w:rsidRDefault="00711F9F">
            <w:pPr>
              <w:spacing w:after="0" w:line="240" w:lineRule="auto"/>
              <w:jc w:val="center"/>
              <w:rPr>
                <w:rFonts w:cs="Arial"/>
                <w:sz w:val="18"/>
                <w:szCs w:val="18"/>
                <w:lang w:val="en-US"/>
              </w:rPr>
            </w:pPr>
            <w:r w:rsidRPr="008A28AB">
              <w:rPr>
                <w:rFonts w:cs="Arial"/>
                <w:sz w:val="18"/>
                <w:szCs w:val="18"/>
                <w:lang w:val="en-US"/>
              </w:rPr>
              <w:t>74 mmol/mol (8.9%)</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A17FA" w:rsidRPr="008A28AB" w:rsidRDefault="00711F9F">
            <w:pPr>
              <w:spacing w:after="0" w:line="240" w:lineRule="auto"/>
              <w:jc w:val="center"/>
              <w:rPr>
                <w:rFonts w:cs="Arial"/>
                <w:sz w:val="18"/>
                <w:szCs w:val="18"/>
                <w:lang w:val="en-US"/>
              </w:rPr>
            </w:pPr>
            <w:r w:rsidRPr="008A28AB">
              <w:rPr>
                <w:rFonts w:cs="Arial"/>
                <w:sz w:val="18"/>
                <w:szCs w:val="18"/>
                <w:lang w:val="en-US"/>
              </w:rPr>
              <w:t>−1.3%</w:t>
            </w:r>
          </w:p>
        </w:tc>
        <w:tc>
          <w:tcPr>
            <w:tcW w:w="1276" w:type="dxa"/>
            <w:tcBorders>
              <w:top w:val="single" w:sz="4" w:space="0" w:color="auto"/>
              <w:left w:val="single" w:sz="4" w:space="0" w:color="auto"/>
              <w:bottom w:val="single" w:sz="4" w:space="0" w:color="auto"/>
              <w:right w:val="single" w:sz="4" w:space="0" w:color="auto"/>
            </w:tcBorders>
          </w:tcPr>
          <w:p w:rsidR="008A17FA" w:rsidRPr="008A28AB" w:rsidRDefault="00711F9F">
            <w:pPr>
              <w:spacing w:after="0" w:line="240" w:lineRule="auto"/>
              <w:jc w:val="center"/>
              <w:rPr>
                <w:rFonts w:cs="Arial"/>
                <w:sz w:val="18"/>
                <w:szCs w:val="18"/>
                <w:lang w:val="en-US"/>
              </w:rPr>
            </w:pPr>
            <w:r w:rsidRPr="008A28AB">
              <w:rPr>
                <w:rFonts w:cs="Arial"/>
                <w:sz w:val="18"/>
                <w:szCs w:val="18"/>
                <w:lang w:val="en-US"/>
              </w:rPr>
              <w:t>61 mmol/mol (7.7%)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A17FA" w:rsidRPr="008A28AB" w:rsidRDefault="00711F9F">
            <w:pPr>
              <w:spacing w:after="0" w:line="240" w:lineRule="auto"/>
              <w:jc w:val="center"/>
              <w:rPr>
                <w:rFonts w:cs="Arial"/>
                <w:sz w:val="18"/>
                <w:szCs w:val="18"/>
                <w:lang w:val="en-US"/>
              </w:rPr>
            </w:pPr>
            <w:r w:rsidRPr="008A28AB">
              <w:rPr>
                <w:rFonts w:cs="Arial"/>
                <w:sz w:val="18"/>
                <w:szCs w:val="18"/>
                <w:lang w:val="en-US"/>
              </w:rPr>
              <w:t>Minor: 5.9</w:t>
            </w:r>
          </w:p>
          <w:p w:rsidR="008A17FA" w:rsidRPr="008A28AB" w:rsidRDefault="00711F9F">
            <w:pPr>
              <w:spacing w:after="0" w:line="240" w:lineRule="auto"/>
              <w:ind w:right="-108"/>
              <w:jc w:val="center"/>
              <w:rPr>
                <w:rFonts w:cs="Arial"/>
                <w:sz w:val="18"/>
                <w:szCs w:val="18"/>
                <w:lang w:val="en-US"/>
              </w:rPr>
            </w:pPr>
            <w:r w:rsidRPr="008A28AB">
              <w:rPr>
                <w:rFonts w:cs="Arial"/>
                <w:sz w:val="18"/>
                <w:szCs w:val="18"/>
                <w:lang w:val="en-US"/>
              </w:rPr>
              <w:t>Major: 0.01</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A17FA" w:rsidRPr="008A28AB" w:rsidRDefault="00711F9F">
            <w:pPr>
              <w:spacing w:after="0" w:line="240" w:lineRule="auto"/>
              <w:ind w:right="-108"/>
              <w:jc w:val="center"/>
              <w:rPr>
                <w:rFonts w:cs="Arial"/>
                <w:sz w:val="18"/>
                <w:szCs w:val="18"/>
                <w:lang w:val="en-US"/>
              </w:rPr>
            </w:pPr>
            <w:r w:rsidRPr="008A28AB">
              <w:rPr>
                <w:rFonts w:cs="Arial"/>
                <w:sz w:val="18"/>
                <w:szCs w:val="18"/>
                <w:lang w:val="en-US"/>
              </w:rPr>
              <w:t>+2.0 kg</w:t>
            </w:r>
          </w:p>
        </w:tc>
      </w:tr>
      <w:tr w:rsidR="008A17FA">
        <w:tc>
          <w:tcPr>
            <w:tcW w:w="1271" w:type="dxa"/>
            <w:vMerge w:val="restart"/>
            <w:tcBorders>
              <w:top w:val="single" w:sz="4" w:space="0" w:color="auto"/>
              <w:left w:val="single" w:sz="4" w:space="0" w:color="auto"/>
              <w:right w:val="single" w:sz="4" w:space="0" w:color="auto"/>
            </w:tcBorders>
            <w:shd w:val="clear" w:color="auto" w:fill="auto"/>
            <w:tcMar>
              <w:left w:w="85" w:type="dxa"/>
              <w:right w:w="85" w:type="dxa"/>
            </w:tcMar>
            <w:vAlign w:val="center"/>
          </w:tcPr>
          <w:p w:rsidR="008A17FA" w:rsidRDefault="00711F9F">
            <w:pPr>
              <w:spacing w:after="0" w:line="240" w:lineRule="auto"/>
              <w:rPr>
                <w:rFonts w:cs="Arial"/>
                <w:sz w:val="18"/>
                <w:szCs w:val="18"/>
                <w:lang w:val="en-US"/>
              </w:rPr>
            </w:pPr>
            <w:r>
              <w:rPr>
                <w:rFonts w:cs="Arial"/>
                <w:sz w:val="18"/>
                <w:szCs w:val="18"/>
                <w:lang w:val="en-US"/>
              </w:rPr>
              <w:t xml:space="preserve">Davidson </w:t>
            </w:r>
            <w:r>
              <w:rPr>
                <w:rFonts w:cs="Arial"/>
                <w:i/>
                <w:sz w:val="18"/>
                <w:szCs w:val="18"/>
                <w:lang w:val="en-US"/>
              </w:rPr>
              <w:t>et al</w:t>
            </w:r>
            <w:r>
              <w:rPr>
                <w:rFonts w:cs="Arial"/>
                <w:sz w:val="18"/>
                <w:szCs w:val="18"/>
                <w:lang w:val="en-US"/>
              </w:rPr>
              <w:t>. 2011</w:t>
            </w:r>
            <w:r>
              <w:rPr>
                <w:rFonts w:cs="Arial"/>
                <w:sz w:val="18"/>
                <w:szCs w:val="18"/>
                <w:vertAlign w:val="superscript"/>
                <w:lang w:val="en-US"/>
              </w:rPr>
              <w:t xml:space="preserve"> </w:t>
            </w:r>
            <w:r>
              <w:rPr>
                <w:rFonts w:cs="Arial"/>
                <w:sz w:val="18"/>
                <w:szCs w:val="18"/>
                <w:lang w:val="en-US"/>
              </w:rPr>
              <w:t>[26]</w:t>
            </w:r>
          </w:p>
        </w:tc>
        <w:tc>
          <w:tcPr>
            <w:tcW w:w="851"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rsidR="008A17FA" w:rsidRDefault="00711F9F">
            <w:pPr>
              <w:spacing w:after="0" w:line="240" w:lineRule="auto"/>
              <w:jc w:val="center"/>
              <w:rPr>
                <w:rFonts w:cs="Arial"/>
                <w:sz w:val="18"/>
                <w:szCs w:val="18"/>
                <w:lang w:val="en-US"/>
              </w:rPr>
            </w:pPr>
            <w:r>
              <w:rPr>
                <w:rFonts w:cs="Arial"/>
                <w:sz w:val="18"/>
                <w:szCs w:val="18"/>
                <w:lang w:val="en-US"/>
              </w:rPr>
              <w:t xml:space="preserve">24 weeks </w:t>
            </w:r>
          </w:p>
        </w:tc>
        <w:tc>
          <w:tcPr>
            <w:tcW w:w="1134" w:type="dxa"/>
            <w:tcBorders>
              <w:top w:val="single" w:sz="4" w:space="0" w:color="auto"/>
              <w:left w:val="single" w:sz="4" w:space="0" w:color="auto"/>
              <w:right w:val="single" w:sz="4" w:space="0" w:color="auto"/>
            </w:tcBorders>
            <w:shd w:val="clear" w:color="auto" w:fill="auto"/>
            <w:vAlign w:val="center"/>
          </w:tcPr>
          <w:p w:rsidR="008A17FA" w:rsidRDefault="00711F9F">
            <w:pPr>
              <w:spacing w:after="0" w:line="240" w:lineRule="auto"/>
              <w:jc w:val="center"/>
              <w:rPr>
                <w:rFonts w:cs="Arial"/>
                <w:sz w:val="18"/>
                <w:szCs w:val="18"/>
                <w:lang w:val="en-US"/>
              </w:rPr>
            </w:pPr>
            <w:r>
              <w:rPr>
                <w:rFonts w:cs="Arial"/>
                <w:sz w:val="18"/>
                <w:szCs w:val="18"/>
                <w:lang w:val="en-US"/>
              </w:rPr>
              <w:t>IGlar + OADs</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A17FA" w:rsidRDefault="00711F9F">
            <w:pPr>
              <w:spacing w:after="0" w:line="240" w:lineRule="auto"/>
              <w:jc w:val="center"/>
              <w:rPr>
                <w:rFonts w:cs="Arial"/>
                <w:sz w:val="18"/>
                <w:szCs w:val="18"/>
                <w:lang w:val="en-US"/>
              </w:rPr>
            </w:pPr>
            <w:r>
              <w:rPr>
                <w:rFonts w:cs="Arial"/>
                <w:sz w:val="18"/>
                <w:szCs w:val="18"/>
                <w:lang w:val="en-US"/>
              </w:rPr>
              <w:t>1 x IGlu</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A17FA" w:rsidRDefault="00711F9F">
            <w:pPr>
              <w:spacing w:after="0" w:line="240" w:lineRule="auto"/>
              <w:ind w:right="-108"/>
              <w:jc w:val="center"/>
              <w:rPr>
                <w:rFonts w:cs="Arial"/>
                <w:sz w:val="18"/>
                <w:szCs w:val="18"/>
                <w:lang w:val="en-US"/>
              </w:rPr>
            </w:pPr>
            <w:r>
              <w:rPr>
                <w:rFonts w:cs="Arial"/>
                <w:sz w:val="18"/>
                <w:szCs w:val="18"/>
                <w:lang w:val="en-US"/>
              </w:rPr>
              <w:t>63 mmol/mol (7.9%)</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A17FA" w:rsidRDefault="00711F9F">
            <w:pPr>
              <w:spacing w:after="0" w:line="240" w:lineRule="auto"/>
              <w:ind w:right="-108"/>
              <w:jc w:val="center"/>
              <w:rPr>
                <w:rFonts w:cs="Arial"/>
                <w:sz w:val="18"/>
                <w:szCs w:val="18"/>
                <w:lang w:val="en-US"/>
              </w:rPr>
            </w:pPr>
            <w:r>
              <w:rPr>
                <w:rFonts w:cs="Arial"/>
                <w:sz w:val="18"/>
                <w:szCs w:val="18"/>
                <w:lang w:val="en-US"/>
              </w:rPr>
              <w:t>−0.4%</w:t>
            </w:r>
          </w:p>
        </w:tc>
        <w:tc>
          <w:tcPr>
            <w:tcW w:w="1276" w:type="dxa"/>
            <w:tcBorders>
              <w:top w:val="single" w:sz="4" w:space="0" w:color="auto"/>
              <w:left w:val="single" w:sz="4" w:space="0" w:color="auto"/>
              <w:bottom w:val="single" w:sz="4" w:space="0" w:color="auto"/>
              <w:right w:val="single" w:sz="4" w:space="0" w:color="auto"/>
            </w:tcBorders>
          </w:tcPr>
          <w:p w:rsidR="008A17FA" w:rsidRDefault="00711F9F">
            <w:pPr>
              <w:spacing w:after="0" w:line="240" w:lineRule="auto"/>
              <w:ind w:right="-108"/>
              <w:jc w:val="center"/>
              <w:rPr>
                <w:rFonts w:cs="Arial"/>
                <w:sz w:val="18"/>
                <w:szCs w:val="18"/>
                <w:lang w:val="en-US"/>
              </w:rPr>
            </w:pPr>
            <w:r>
              <w:rPr>
                <w:rFonts w:cs="Arial"/>
                <w:sz w:val="18"/>
                <w:szCs w:val="18"/>
                <w:lang w:val="en-US"/>
              </w:rPr>
              <w:t>57 mmol/mol (7.4%)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A17FA" w:rsidRDefault="00711F9F">
            <w:pPr>
              <w:spacing w:after="0" w:line="240" w:lineRule="auto"/>
              <w:ind w:right="-108"/>
              <w:jc w:val="center"/>
              <w:rPr>
                <w:rFonts w:cs="Arial"/>
                <w:sz w:val="18"/>
                <w:szCs w:val="18"/>
                <w:lang w:val="en-US"/>
              </w:rPr>
            </w:pPr>
            <w:r>
              <w:rPr>
                <w:rFonts w:cs="Arial"/>
                <w:sz w:val="18"/>
                <w:szCs w:val="18"/>
                <w:lang w:val="en-US"/>
              </w:rPr>
              <w:t>Severe: 0.28</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A17FA" w:rsidRDefault="00711F9F">
            <w:pPr>
              <w:spacing w:after="0" w:line="240" w:lineRule="auto"/>
              <w:ind w:right="-108"/>
              <w:jc w:val="center"/>
              <w:rPr>
                <w:rFonts w:cs="Arial"/>
                <w:sz w:val="18"/>
                <w:szCs w:val="18"/>
                <w:lang w:val="en-US"/>
              </w:rPr>
            </w:pPr>
            <w:r>
              <w:rPr>
                <w:rFonts w:cs="Arial"/>
                <w:sz w:val="18"/>
                <w:szCs w:val="18"/>
                <w:lang w:val="en-US"/>
              </w:rPr>
              <w:t>+3.8 kg</w:t>
            </w:r>
          </w:p>
        </w:tc>
      </w:tr>
      <w:tr w:rsidR="008A17FA">
        <w:tc>
          <w:tcPr>
            <w:tcW w:w="1271" w:type="dxa"/>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8A17FA" w:rsidRPr="008A28AB" w:rsidRDefault="008A17FA">
            <w:pPr>
              <w:spacing w:after="0" w:line="240" w:lineRule="auto"/>
              <w:rPr>
                <w:rFonts w:cs="Arial"/>
                <w:sz w:val="18"/>
                <w:szCs w:val="18"/>
                <w:lang w:val="en-US"/>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A17FA" w:rsidRPr="008A28AB" w:rsidRDefault="008A17FA">
            <w:pPr>
              <w:spacing w:after="0" w:line="240" w:lineRule="auto"/>
              <w:jc w:val="center"/>
              <w:rPr>
                <w:rFonts w:cs="Arial"/>
                <w:sz w:val="18"/>
                <w:szCs w:val="18"/>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A17FA" w:rsidRPr="008A28AB" w:rsidRDefault="00711F9F">
            <w:pPr>
              <w:spacing w:after="0" w:line="240" w:lineRule="auto"/>
              <w:jc w:val="center"/>
              <w:rPr>
                <w:rFonts w:cs="Arial"/>
                <w:sz w:val="18"/>
                <w:szCs w:val="18"/>
                <w:lang w:val="en-US"/>
              </w:rPr>
            </w:pPr>
            <w:r w:rsidRPr="008A28AB">
              <w:rPr>
                <w:rFonts w:cs="Arial"/>
                <w:sz w:val="18"/>
                <w:szCs w:val="18"/>
                <w:lang w:val="en-US"/>
              </w:rPr>
              <w:t>IGlar + OADs</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A17FA" w:rsidRPr="008A28AB" w:rsidRDefault="00711F9F">
            <w:pPr>
              <w:spacing w:after="0" w:line="240" w:lineRule="auto"/>
              <w:jc w:val="center"/>
              <w:rPr>
                <w:rFonts w:cs="Arial"/>
                <w:sz w:val="18"/>
                <w:szCs w:val="18"/>
                <w:lang w:val="en-US"/>
              </w:rPr>
            </w:pPr>
            <w:r w:rsidRPr="008A28AB">
              <w:rPr>
                <w:rFonts w:cs="Arial"/>
                <w:sz w:val="18"/>
                <w:szCs w:val="18"/>
                <w:lang w:val="en-US"/>
              </w:rPr>
              <w:t>2 x IGlu</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A17FA" w:rsidRPr="008A28AB" w:rsidRDefault="00711F9F">
            <w:pPr>
              <w:spacing w:after="0" w:line="240" w:lineRule="auto"/>
              <w:ind w:right="-108"/>
              <w:jc w:val="center"/>
              <w:rPr>
                <w:rFonts w:cs="Arial"/>
                <w:sz w:val="18"/>
                <w:szCs w:val="18"/>
                <w:lang w:val="en-US"/>
              </w:rPr>
            </w:pPr>
            <w:r w:rsidRPr="008A28AB">
              <w:rPr>
                <w:rFonts w:cs="Arial"/>
                <w:sz w:val="18"/>
                <w:szCs w:val="18"/>
                <w:lang w:val="en-US"/>
              </w:rPr>
              <w:t>62 mmol/mol (7.8%)</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A17FA" w:rsidRPr="008A28AB" w:rsidRDefault="00711F9F">
            <w:pPr>
              <w:spacing w:after="0" w:line="240" w:lineRule="auto"/>
              <w:ind w:right="-108"/>
              <w:jc w:val="center"/>
              <w:rPr>
                <w:rFonts w:cs="Arial"/>
                <w:sz w:val="18"/>
                <w:szCs w:val="18"/>
                <w:lang w:val="en-US"/>
              </w:rPr>
            </w:pPr>
            <w:r w:rsidRPr="008A28AB">
              <w:rPr>
                <w:rFonts w:cs="Arial"/>
                <w:sz w:val="18"/>
                <w:szCs w:val="18"/>
                <w:lang w:val="en-US"/>
              </w:rPr>
              <w:t>−0.4%</w:t>
            </w:r>
          </w:p>
        </w:tc>
        <w:tc>
          <w:tcPr>
            <w:tcW w:w="1276" w:type="dxa"/>
            <w:tcBorders>
              <w:top w:val="single" w:sz="4" w:space="0" w:color="auto"/>
              <w:left w:val="single" w:sz="4" w:space="0" w:color="auto"/>
              <w:bottom w:val="single" w:sz="4" w:space="0" w:color="auto"/>
              <w:right w:val="single" w:sz="4" w:space="0" w:color="auto"/>
            </w:tcBorders>
          </w:tcPr>
          <w:p w:rsidR="008A17FA" w:rsidRPr="008A28AB" w:rsidRDefault="00711F9F">
            <w:pPr>
              <w:spacing w:after="0" w:line="240" w:lineRule="auto"/>
              <w:ind w:right="-108"/>
              <w:jc w:val="center"/>
              <w:rPr>
                <w:rFonts w:cs="Arial"/>
                <w:sz w:val="18"/>
                <w:szCs w:val="18"/>
                <w:lang w:val="en-US"/>
              </w:rPr>
            </w:pPr>
            <w:r w:rsidRPr="008A28AB">
              <w:rPr>
                <w:rFonts w:cs="Arial"/>
                <w:sz w:val="18"/>
                <w:szCs w:val="18"/>
                <w:lang w:val="en-US"/>
              </w:rPr>
              <w:t>57 mmol/mol (7.4%)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A17FA" w:rsidRPr="008A28AB" w:rsidRDefault="00711F9F">
            <w:pPr>
              <w:spacing w:after="0" w:line="240" w:lineRule="auto"/>
              <w:ind w:right="-108"/>
              <w:jc w:val="center"/>
              <w:rPr>
                <w:rFonts w:cs="Arial"/>
                <w:sz w:val="18"/>
                <w:szCs w:val="18"/>
                <w:lang w:val="en-US"/>
              </w:rPr>
            </w:pPr>
            <w:r w:rsidRPr="008A28AB">
              <w:rPr>
                <w:rFonts w:cs="Arial"/>
                <w:sz w:val="18"/>
                <w:szCs w:val="18"/>
                <w:lang w:val="en-US"/>
              </w:rPr>
              <w:t>Severe: 0.89</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A17FA" w:rsidRPr="008A28AB" w:rsidRDefault="00711F9F">
            <w:pPr>
              <w:spacing w:after="0" w:line="240" w:lineRule="auto"/>
              <w:ind w:right="-108"/>
              <w:jc w:val="center"/>
              <w:rPr>
                <w:rFonts w:cs="Arial"/>
                <w:sz w:val="18"/>
                <w:szCs w:val="18"/>
                <w:lang w:val="en-US"/>
              </w:rPr>
            </w:pPr>
            <w:r w:rsidRPr="008A28AB">
              <w:rPr>
                <w:rFonts w:cs="Arial"/>
                <w:sz w:val="18"/>
                <w:szCs w:val="18"/>
                <w:lang w:val="en-US"/>
              </w:rPr>
              <w:t>+4.1 kg</w:t>
            </w:r>
          </w:p>
        </w:tc>
      </w:tr>
      <w:tr w:rsidR="008A17FA">
        <w:tc>
          <w:tcPr>
            <w:tcW w:w="1271" w:type="dxa"/>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8A17FA" w:rsidRPr="008A28AB" w:rsidRDefault="008A17FA">
            <w:pPr>
              <w:spacing w:after="0" w:line="240" w:lineRule="auto"/>
              <w:rPr>
                <w:rFonts w:cs="Arial"/>
                <w:sz w:val="18"/>
                <w:szCs w:val="18"/>
                <w:lang w:val="en-US"/>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A17FA" w:rsidRPr="008A28AB" w:rsidRDefault="008A17FA">
            <w:pPr>
              <w:spacing w:after="0" w:line="240" w:lineRule="auto"/>
              <w:jc w:val="center"/>
              <w:rPr>
                <w:rFonts w:cs="Arial"/>
                <w:sz w:val="18"/>
                <w:szCs w:val="18"/>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A17FA" w:rsidRPr="008A28AB" w:rsidRDefault="00711F9F">
            <w:pPr>
              <w:spacing w:after="0" w:line="240" w:lineRule="auto"/>
              <w:jc w:val="center"/>
              <w:rPr>
                <w:rFonts w:cs="Arial"/>
                <w:sz w:val="18"/>
                <w:szCs w:val="18"/>
                <w:lang w:val="en-US"/>
              </w:rPr>
            </w:pPr>
            <w:r w:rsidRPr="008A28AB">
              <w:rPr>
                <w:rFonts w:cs="Arial"/>
                <w:sz w:val="18"/>
                <w:szCs w:val="18"/>
                <w:lang w:val="en-US"/>
              </w:rPr>
              <w:t>IGlar + OADs</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A17FA" w:rsidRPr="008A28AB" w:rsidRDefault="00711F9F">
            <w:pPr>
              <w:spacing w:after="0" w:line="240" w:lineRule="auto"/>
              <w:jc w:val="center"/>
              <w:rPr>
                <w:rFonts w:cs="Arial"/>
                <w:sz w:val="18"/>
                <w:szCs w:val="18"/>
                <w:lang w:val="en-US"/>
              </w:rPr>
            </w:pPr>
            <w:r w:rsidRPr="008A28AB">
              <w:rPr>
                <w:rFonts w:cs="Arial"/>
                <w:sz w:val="18"/>
                <w:szCs w:val="18"/>
                <w:lang w:val="en-US"/>
              </w:rPr>
              <w:t>3 x IGlu</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A17FA" w:rsidRPr="008A28AB" w:rsidRDefault="00711F9F">
            <w:pPr>
              <w:spacing w:after="0" w:line="240" w:lineRule="auto"/>
              <w:ind w:right="-108"/>
              <w:jc w:val="center"/>
              <w:rPr>
                <w:rFonts w:cs="Arial"/>
                <w:sz w:val="18"/>
                <w:szCs w:val="18"/>
                <w:lang w:val="en-US"/>
              </w:rPr>
            </w:pPr>
            <w:r w:rsidRPr="008A28AB">
              <w:rPr>
                <w:rFonts w:cs="Arial"/>
                <w:sz w:val="18"/>
                <w:szCs w:val="18"/>
                <w:lang w:val="en-US"/>
              </w:rPr>
              <w:t>62 mmol/mol (7.8%)</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A17FA" w:rsidRPr="008A28AB" w:rsidRDefault="00711F9F">
            <w:pPr>
              <w:spacing w:after="0" w:line="240" w:lineRule="auto"/>
              <w:ind w:right="-108"/>
              <w:jc w:val="center"/>
              <w:rPr>
                <w:rFonts w:cs="Arial"/>
                <w:sz w:val="18"/>
                <w:szCs w:val="18"/>
                <w:lang w:val="en-US"/>
              </w:rPr>
            </w:pPr>
            <w:r w:rsidRPr="008A28AB">
              <w:rPr>
                <w:rFonts w:cs="Arial"/>
                <w:sz w:val="18"/>
                <w:szCs w:val="18"/>
                <w:lang w:val="en-US"/>
              </w:rPr>
              <w:t>−0.4%</w:t>
            </w:r>
          </w:p>
        </w:tc>
        <w:tc>
          <w:tcPr>
            <w:tcW w:w="1276" w:type="dxa"/>
            <w:tcBorders>
              <w:top w:val="single" w:sz="4" w:space="0" w:color="auto"/>
              <w:left w:val="single" w:sz="4" w:space="0" w:color="auto"/>
              <w:bottom w:val="single" w:sz="4" w:space="0" w:color="auto"/>
              <w:right w:val="single" w:sz="4" w:space="0" w:color="auto"/>
            </w:tcBorders>
          </w:tcPr>
          <w:p w:rsidR="008A17FA" w:rsidRPr="008A28AB" w:rsidRDefault="00711F9F">
            <w:pPr>
              <w:spacing w:after="0" w:line="240" w:lineRule="auto"/>
              <w:ind w:right="-108"/>
              <w:jc w:val="center"/>
              <w:rPr>
                <w:rFonts w:cs="Arial"/>
                <w:sz w:val="18"/>
                <w:szCs w:val="18"/>
                <w:lang w:val="en-US"/>
              </w:rPr>
            </w:pPr>
            <w:r w:rsidRPr="008A28AB">
              <w:rPr>
                <w:rFonts w:cs="Arial"/>
                <w:sz w:val="18"/>
                <w:szCs w:val="18"/>
                <w:lang w:val="en-US"/>
              </w:rPr>
              <w:t>56 mmol/mol (7.3%)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A17FA" w:rsidRPr="008A28AB" w:rsidRDefault="00711F9F">
            <w:pPr>
              <w:spacing w:after="0" w:line="240" w:lineRule="auto"/>
              <w:ind w:right="-108"/>
              <w:jc w:val="center"/>
              <w:rPr>
                <w:rFonts w:cs="Arial"/>
                <w:sz w:val="18"/>
                <w:szCs w:val="18"/>
                <w:lang w:val="en-US"/>
              </w:rPr>
            </w:pPr>
            <w:r w:rsidRPr="008A28AB">
              <w:rPr>
                <w:rFonts w:cs="Arial"/>
                <w:sz w:val="18"/>
                <w:szCs w:val="18"/>
                <w:lang w:val="en-US"/>
              </w:rPr>
              <w:t>Severe: 0.64</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A17FA" w:rsidRPr="008A28AB" w:rsidRDefault="00711F9F">
            <w:pPr>
              <w:spacing w:after="0" w:line="240" w:lineRule="auto"/>
              <w:ind w:right="-108"/>
              <w:jc w:val="center"/>
              <w:rPr>
                <w:rFonts w:cs="Arial"/>
                <w:sz w:val="18"/>
                <w:szCs w:val="18"/>
                <w:lang w:val="en-US"/>
              </w:rPr>
            </w:pPr>
            <w:r w:rsidRPr="008A28AB">
              <w:rPr>
                <w:rFonts w:cs="Arial"/>
                <w:sz w:val="18"/>
                <w:szCs w:val="18"/>
                <w:lang w:val="en-US"/>
              </w:rPr>
              <w:t>+3.9 kg</w:t>
            </w:r>
          </w:p>
        </w:tc>
      </w:tr>
    </w:tbl>
    <w:p w:rsidR="008A17FA" w:rsidRDefault="00711F9F">
      <w:pPr>
        <w:spacing w:after="360" w:line="276" w:lineRule="auto"/>
        <w:rPr>
          <w:rFonts w:cs="Courier"/>
          <w:color w:val="000000"/>
          <w:sz w:val="20"/>
          <w:lang w:val="en-US"/>
        </w:rPr>
      </w:pPr>
      <w:r>
        <w:rPr>
          <w:rFonts w:cs="Courier"/>
          <w:color w:val="000000"/>
          <w:sz w:val="20"/>
          <w:lang w:val="en-US"/>
        </w:rPr>
        <w:t>BIAsp,  biphasic insulin aspart; BID, twice daily; IAsp, insulin aspart; IDet, insulin detemir; IGlar, insulin glargine; IGlu, insulin glulisine; MET, metformin; OAD, oral antidiabetic drug; OD, once daily; PPG, postprandial glucose; SU, sulphonylurea; TID, three-times daily.</w:t>
      </w:r>
    </w:p>
    <w:p w:rsidR="008A17FA" w:rsidRDefault="008A17FA">
      <w:pPr>
        <w:rPr>
          <w:bCs/>
        </w:rPr>
        <w:sectPr w:rsidR="008A17FA">
          <w:pgSz w:w="16838" w:h="11906" w:orient="landscape"/>
          <w:pgMar w:top="1440" w:right="1440" w:bottom="1440" w:left="1440" w:header="708" w:footer="708" w:gutter="0"/>
          <w:cols w:space="708"/>
          <w:docGrid w:linePitch="360"/>
        </w:sectPr>
      </w:pPr>
    </w:p>
    <w:p w:rsidR="008A17FA" w:rsidRDefault="00711F9F">
      <w:pPr>
        <w:keepNext/>
      </w:pPr>
      <w:r>
        <w:rPr>
          <w:b/>
        </w:rPr>
        <w:lastRenderedPageBreak/>
        <w:t>Table 3</w:t>
      </w:r>
      <w:r>
        <w:t xml:space="preserve"> Phase 3 studies assessing the combination of SGLT2 inhibitors, DPP-4 inhibitor and GLP-1 RAs with insulin therapy [33–35</w:t>
      </w:r>
      <w:proofErr w:type="gramStart"/>
      <w:r>
        <w:t>,38</w:t>
      </w:r>
      <w:proofErr w:type="gramEnd"/>
      <w:r>
        <w:t>–42,45,56,51–57]</w:t>
      </w:r>
    </w:p>
    <w:p w:rsidR="008A17FA" w:rsidRDefault="008A17FA">
      <w:pPr>
        <w:keepNext/>
      </w:pPr>
    </w:p>
    <w:tbl>
      <w:tblPr>
        <w:tblStyle w:val="TableGridLight1"/>
        <w:tblW w:w="554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9"/>
        <w:gridCol w:w="1911"/>
        <w:gridCol w:w="2466"/>
        <w:gridCol w:w="1136"/>
        <w:gridCol w:w="2550"/>
        <w:gridCol w:w="1136"/>
        <w:gridCol w:w="1133"/>
        <w:gridCol w:w="991"/>
        <w:gridCol w:w="1133"/>
        <w:gridCol w:w="991"/>
        <w:gridCol w:w="858"/>
      </w:tblGrid>
      <w:tr w:rsidR="008A17FA">
        <w:trPr>
          <w:trHeight w:val="429"/>
        </w:trPr>
        <w:tc>
          <w:tcPr>
            <w:tcW w:w="366" w:type="pct"/>
            <w:tcBorders>
              <w:top w:val="single" w:sz="18" w:space="0" w:color="000000"/>
              <w:left w:val="single" w:sz="18" w:space="0" w:color="000000"/>
              <w:bottom w:val="single" w:sz="4" w:space="0" w:color="auto"/>
            </w:tcBorders>
          </w:tcPr>
          <w:p w:rsidR="008A17FA" w:rsidRDefault="008A17FA">
            <w:pPr>
              <w:kinsoku w:val="0"/>
              <w:overflowPunct w:val="0"/>
              <w:spacing w:before="77"/>
              <w:textAlignment w:val="baseline"/>
              <w:rPr>
                <w:rFonts w:eastAsia="MS PGothic" w:cs="Arial"/>
                <w:b/>
                <w:bCs/>
                <w:kern w:val="24"/>
                <w:sz w:val="18"/>
                <w:szCs w:val="18"/>
                <w:lang w:eastAsia="en-GB"/>
              </w:rPr>
            </w:pPr>
          </w:p>
        </w:tc>
        <w:tc>
          <w:tcPr>
            <w:tcW w:w="619" w:type="pct"/>
            <w:tcBorders>
              <w:top w:val="single" w:sz="18" w:space="0" w:color="000000"/>
              <w:bottom w:val="single" w:sz="18" w:space="0" w:color="000000"/>
            </w:tcBorders>
            <w:hideMark/>
          </w:tcPr>
          <w:p w:rsidR="008A17FA" w:rsidRDefault="00711F9F">
            <w:pPr>
              <w:kinsoku w:val="0"/>
              <w:overflowPunct w:val="0"/>
              <w:spacing w:before="77"/>
              <w:textAlignment w:val="baseline"/>
              <w:rPr>
                <w:rFonts w:eastAsia="Times New Roman" w:cs="Arial"/>
                <w:sz w:val="18"/>
                <w:szCs w:val="18"/>
                <w:lang w:eastAsia="en-GB"/>
              </w:rPr>
            </w:pPr>
            <w:r>
              <w:rPr>
                <w:rFonts w:eastAsia="MS PGothic" w:cs="Arial"/>
                <w:b/>
                <w:bCs/>
                <w:kern w:val="24"/>
                <w:sz w:val="18"/>
                <w:szCs w:val="18"/>
                <w:lang w:eastAsia="en-GB"/>
              </w:rPr>
              <w:t>Reference</w:t>
            </w:r>
          </w:p>
        </w:tc>
        <w:tc>
          <w:tcPr>
            <w:tcW w:w="799" w:type="pct"/>
            <w:tcBorders>
              <w:top w:val="single" w:sz="18" w:space="0" w:color="000000"/>
              <w:bottom w:val="single" w:sz="18" w:space="0" w:color="000000"/>
            </w:tcBorders>
            <w:hideMark/>
          </w:tcPr>
          <w:p w:rsidR="008A17FA" w:rsidRDefault="00711F9F">
            <w:pPr>
              <w:kinsoku w:val="0"/>
              <w:overflowPunct w:val="0"/>
              <w:spacing w:before="77"/>
              <w:textAlignment w:val="baseline"/>
              <w:rPr>
                <w:rFonts w:eastAsia="Times New Roman" w:cs="Arial"/>
                <w:sz w:val="18"/>
                <w:szCs w:val="18"/>
                <w:lang w:eastAsia="en-GB"/>
              </w:rPr>
            </w:pPr>
            <w:r>
              <w:rPr>
                <w:rFonts w:eastAsia="MS PGothic" w:cs="Arial"/>
                <w:b/>
                <w:bCs/>
                <w:kern w:val="24"/>
                <w:sz w:val="18"/>
                <w:szCs w:val="18"/>
                <w:lang w:eastAsia="en-GB"/>
              </w:rPr>
              <w:t>Treatment arm</w:t>
            </w:r>
            <w:r>
              <w:rPr>
                <w:rFonts w:eastAsia="MS PGothic" w:cs="Arial"/>
                <w:b/>
                <w:bCs/>
                <w:kern w:val="24"/>
                <w:sz w:val="18"/>
                <w:szCs w:val="18"/>
                <w:lang w:eastAsia="en-GB"/>
              </w:rPr>
              <w:br/>
              <w:t xml:space="preserve">(not including background OADs or comparator arms) </w:t>
            </w:r>
          </w:p>
        </w:tc>
        <w:tc>
          <w:tcPr>
            <w:tcW w:w="368" w:type="pct"/>
            <w:tcBorders>
              <w:top w:val="single" w:sz="18" w:space="0" w:color="000000"/>
              <w:bottom w:val="single" w:sz="18" w:space="0" w:color="000000"/>
            </w:tcBorders>
          </w:tcPr>
          <w:p w:rsidR="008A17FA" w:rsidRDefault="00711F9F">
            <w:pPr>
              <w:kinsoku w:val="0"/>
              <w:overflowPunct w:val="0"/>
              <w:spacing w:before="77"/>
              <w:textAlignment w:val="baseline"/>
              <w:rPr>
                <w:rFonts w:eastAsia="MS PGothic" w:cs="Arial"/>
                <w:b/>
                <w:bCs/>
                <w:kern w:val="24"/>
                <w:sz w:val="18"/>
                <w:szCs w:val="18"/>
                <w:lang w:eastAsia="en-GB"/>
              </w:rPr>
            </w:pPr>
            <w:r>
              <w:rPr>
                <w:rFonts w:eastAsia="MS PGothic" w:cs="Arial"/>
                <w:b/>
                <w:bCs/>
                <w:kern w:val="24"/>
                <w:sz w:val="18"/>
                <w:szCs w:val="18"/>
                <w:lang w:eastAsia="en-GB"/>
              </w:rPr>
              <w:t>Baseline insulin dose (U/day)</w:t>
            </w:r>
          </w:p>
        </w:tc>
        <w:tc>
          <w:tcPr>
            <w:tcW w:w="826" w:type="pct"/>
            <w:tcBorders>
              <w:top w:val="single" w:sz="18" w:space="0" w:color="000000"/>
              <w:bottom w:val="single" w:sz="18" w:space="0" w:color="000000"/>
            </w:tcBorders>
          </w:tcPr>
          <w:p w:rsidR="008A17FA" w:rsidRDefault="00711F9F">
            <w:pPr>
              <w:kinsoku w:val="0"/>
              <w:overflowPunct w:val="0"/>
              <w:spacing w:before="77"/>
              <w:textAlignment w:val="baseline"/>
              <w:rPr>
                <w:rFonts w:eastAsia="MS PGothic" w:cs="Arial"/>
                <w:b/>
                <w:bCs/>
                <w:kern w:val="24"/>
                <w:sz w:val="18"/>
                <w:szCs w:val="18"/>
                <w:lang w:eastAsia="en-GB"/>
              </w:rPr>
            </w:pPr>
            <w:r>
              <w:rPr>
                <w:rFonts w:eastAsia="MS PGothic" w:cs="Arial"/>
                <w:b/>
                <w:bCs/>
                <w:kern w:val="24"/>
                <w:sz w:val="18"/>
                <w:szCs w:val="18"/>
                <w:lang w:eastAsia="en-GB"/>
              </w:rPr>
              <w:t xml:space="preserve"> Permitted insulin dose changes/titration</w:t>
            </w:r>
          </w:p>
        </w:tc>
        <w:tc>
          <w:tcPr>
            <w:tcW w:w="368" w:type="pct"/>
            <w:tcBorders>
              <w:top w:val="single" w:sz="18" w:space="0" w:color="000000"/>
              <w:bottom w:val="single" w:sz="18" w:space="0" w:color="000000"/>
            </w:tcBorders>
          </w:tcPr>
          <w:p w:rsidR="008A17FA" w:rsidRDefault="00711F9F">
            <w:pPr>
              <w:kinsoku w:val="0"/>
              <w:overflowPunct w:val="0"/>
              <w:spacing w:before="77"/>
              <w:jc w:val="center"/>
              <w:textAlignment w:val="baseline"/>
              <w:rPr>
                <w:rFonts w:eastAsia="MS PGothic" w:cs="Arial"/>
                <w:b/>
                <w:bCs/>
                <w:kern w:val="24"/>
                <w:sz w:val="18"/>
                <w:szCs w:val="18"/>
                <w:lang w:eastAsia="en-GB"/>
              </w:rPr>
            </w:pPr>
            <w:r>
              <w:rPr>
                <w:rFonts w:eastAsia="MS PGothic" w:cs="Arial"/>
                <w:b/>
                <w:bCs/>
                <w:kern w:val="24"/>
                <w:sz w:val="18"/>
                <w:szCs w:val="18"/>
                <w:lang w:eastAsia="en-GB"/>
              </w:rPr>
              <w:t>Change in insulin dose (U/day)</w:t>
            </w:r>
          </w:p>
        </w:tc>
        <w:tc>
          <w:tcPr>
            <w:tcW w:w="367" w:type="pct"/>
            <w:tcBorders>
              <w:top w:val="single" w:sz="18" w:space="0" w:color="000000"/>
              <w:bottom w:val="single" w:sz="18" w:space="0" w:color="000000"/>
            </w:tcBorders>
          </w:tcPr>
          <w:p w:rsidR="008A17FA" w:rsidRDefault="00711F9F">
            <w:pPr>
              <w:kinsoku w:val="0"/>
              <w:overflowPunct w:val="0"/>
              <w:spacing w:before="77"/>
              <w:jc w:val="center"/>
              <w:textAlignment w:val="baseline"/>
              <w:rPr>
                <w:rFonts w:eastAsia="MS PGothic" w:cs="Arial"/>
                <w:b/>
                <w:bCs/>
                <w:kern w:val="24"/>
                <w:sz w:val="18"/>
                <w:szCs w:val="18"/>
                <w:lang w:eastAsia="en-GB"/>
              </w:rPr>
            </w:pPr>
            <w:r>
              <w:rPr>
                <w:rFonts w:eastAsia="MS PGothic" w:cs="Arial"/>
                <w:b/>
                <w:bCs/>
                <w:kern w:val="24"/>
                <w:sz w:val="18"/>
                <w:szCs w:val="18"/>
                <w:lang w:eastAsia="en-GB"/>
              </w:rPr>
              <w:t>Baseline HbA</w:t>
            </w:r>
            <w:r>
              <w:rPr>
                <w:rFonts w:eastAsia="MS PGothic" w:cs="Arial"/>
                <w:b/>
                <w:bCs/>
                <w:kern w:val="24"/>
                <w:sz w:val="18"/>
                <w:szCs w:val="18"/>
                <w:vertAlign w:val="subscript"/>
                <w:lang w:eastAsia="en-GB"/>
              </w:rPr>
              <w:t>1c</w:t>
            </w:r>
            <w:r>
              <w:rPr>
                <w:rFonts w:eastAsia="MS PGothic" w:cs="Arial"/>
                <w:b/>
                <w:bCs/>
                <w:kern w:val="24"/>
                <w:sz w:val="18"/>
                <w:szCs w:val="18"/>
                <w:lang w:eastAsia="en-GB"/>
              </w:rPr>
              <w:t xml:space="preserve"> </w:t>
            </w:r>
          </w:p>
        </w:tc>
        <w:tc>
          <w:tcPr>
            <w:tcW w:w="321" w:type="pct"/>
            <w:tcBorders>
              <w:top w:val="single" w:sz="18" w:space="0" w:color="000000"/>
              <w:bottom w:val="single" w:sz="18" w:space="0" w:color="000000"/>
            </w:tcBorders>
            <w:shd w:val="clear" w:color="auto" w:fill="auto"/>
          </w:tcPr>
          <w:p w:rsidR="008A17FA" w:rsidRDefault="00711F9F">
            <w:pPr>
              <w:kinsoku w:val="0"/>
              <w:overflowPunct w:val="0"/>
              <w:spacing w:before="77"/>
              <w:jc w:val="center"/>
              <w:textAlignment w:val="baseline"/>
              <w:rPr>
                <w:rFonts w:eastAsia="MS PGothic" w:cs="Arial"/>
                <w:b/>
                <w:bCs/>
                <w:kern w:val="24"/>
                <w:sz w:val="18"/>
                <w:szCs w:val="18"/>
                <w:lang w:eastAsia="en-GB"/>
              </w:rPr>
            </w:pPr>
            <w:r>
              <w:rPr>
                <w:rFonts w:eastAsia="MS PGothic" w:cs="Arial"/>
                <w:b/>
                <w:bCs/>
                <w:kern w:val="24"/>
                <w:sz w:val="18"/>
                <w:szCs w:val="18"/>
                <w:lang w:eastAsia="en-GB"/>
              </w:rPr>
              <w:t>Change in HbA</w:t>
            </w:r>
            <w:r>
              <w:rPr>
                <w:rFonts w:eastAsia="MS PGothic" w:cs="Arial"/>
                <w:b/>
                <w:bCs/>
                <w:kern w:val="24"/>
                <w:position w:val="-8"/>
                <w:sz w:val="18"/>
                <w:szCs w:val="18"/>
                <w:vertAlign w:val="subscript"/>
                <w:lang w:eastAsia="en-GB"/>
              </w:rPr>
              <w:t>1c</w:t>
            </w:r>
            <w:r>
              <w:rPr>
                <w:rFonts w:eastAsia="Times New Roman" w:cs="Arial"/>
                <w:sz w:val="18"/>
                <w:szCs w:val="18"/>
                <w:lang w:eastAsia="en-GB"/>
              </w:rPr>
              <w:t xml:space="preserve"> </w:t>
            </w:r>
          </w:p>
        </w:tc>
        <w:tc>
          <w:tcPr>
            <w:tcW w:w="367" w:type="pct"/>
            <w:tcBorders>
              <w:top w:val="single" w:sz="18" w:space="0" w:color="000000"/>
              <w:bottom w:val="single" w:sz="18" w:space="0" w:color="000000"/>
            </w:tcBorders>
          </w:tcPr>
          <w:p w:rsidR="008A17FA" w:rsidRDefault="00711F9F">
            <w:pPr>
              <w:kinsoku w:val="0"/>
              <w:overflowPunct w:val="0"/>
              <w:spacing w:before="77"/>
              <w:jc w:val="center"/>
              <w:textAlignment w:val="baseline"/>
              <w:rPr>
                <w:rFonts w:eastAsia="MS PGothic" w:cs="Arial"/>
                <w:b/>
                <w:bCs/>
                <w:kern w:val="24"/>
                <w:sz w:val="18"/>
                <w:szCs w:val="18"/>
                <w:lang w:eastAsia="en-GB"/>
              </w:rPr>
            </w:pPr>
            <w:r>
              <w:rPr>
                <w:rFonts w:eastAsia="MS PGothic" w:cs="Arial"/>
                <w:b/>
                <w:bCs/>
                <w:kern w:val="24"/>
                <w:sz w:val="18"/>
                <w:szCs w:val="18"/>
                <w:lang w:eastAsia="en-GB"/>
              </w:rPr>
              <w:t>Placebo corrected HbA</w:t>
            </w:r>
            <w:r>
              <w:rPr>
                <w:rFonts w:eastAsia="MS PGothic" w:cs="Arial"/>
                <w:b/>
                <w:bCs/>
                <w:kern w:val="24"/>
                <w:sz w:val="18"/>
                <w:szCs w:val="18"/>
                <w:vertAlign w:val="subscript"/>
                <w:lang w:eastAsia="en-GB"/>
              </w:rPr>
              <w:t>1c</w:t>
            </w:r>
          </w:p>
        </w:tc>
        <w:tc>
          <w:tcPr>
            <w:tcW w:w="321" w:type="pct"/>
            <w:tcBorders>
              <w:top w:val="single" w:sz="18" w:space="0" w:color="000000"/>
              <w:bottom w:val="single" w:sz="18" w:space="0" w:color="000000"/>
            </w:tcBorders>
          </w:tcPr>
          <w:p w:rsidR="008A17FA" w:rsidRDefault="00711F9F">
            <w:pPr>
              <w:kinsoku w:val="0"/>
              <w:overflowPunct w:val="0"/>
              <w:spacing w:before="77"/>
              <w:jc w:val="center"/>
              <w:textAlignment w:val="baseline"/>
              <w:rPr>
                <w:rFonts w:eastAsia="MS PGothic" w:cs="Arial"/>
                <w:b/>
                <w:bCs/>
                <w:kern w:val="24"/>
                <w:sz w:val="18"/>
                <w:szCs w:val="18"/>
                <w:lang w:eastAsia="en-GB"/>
              </w:rPr>
            </w:pPr>
            <w:r>
              <w:rPr>
                <w:rFonts w:eastAsia="MS PGothic" w:cs="Arial"/>
                <w:b/>
                <w:bCs/>
                <w:kern w:val="24"/>
                <w:sz w:val="18"/>
                <w:szCs w:val="18"/>
                <w:lang w:eastAsia="en-GB"/>
              </w:rPr>
              <w:t>End-of-trial HbA</w:t>
            </w:r>
            <w:r>
              <w:rPr>
                <w:rFonts w:eastAsia="MS PGothic" w:cs="Arial"/>
                <w:b/>
                <w:bCs/>
                <w:kern w:val="24"/>
                <w:position w:val="-8"/>
                <w:sz w:val="18"/>
                <w:szCs w:val="18"/>
                <w:vertAlign w:val="subscript"/>
                <w:lang w:eastAsia="en-GB"/>
              </w:rPr>
              <w:t>1c</w:t>
            </w:r>
            <w:r>
              <w:rPr>
                <w:rFonts w:eastAsia="MS PGothic" w:cs="Arial"/>
                <w:b/>
                <w:bCs/>
                <w:kern w:val="24"/>
                <w:position w:val="-8"/>
                <w:sz w:val="18"/>
                <w:szCs w:val="18"/>
                <w:lang w:eastAsia="en-GB"/>
              </w:rPr>
              <w:t xml:space="preserve"> </w:t>
            </w:r>
          </w:p>
        </w:tc>
        <w:tc>
          <w:tcPr>
            <w:tcW w:w="278" w:type="pct"/>
            <w:tcBorders>
              <w:top w:val="single" w:sz="18" w:space="0" w:color="000000"/>
              <w:bottom w:val="single" w:sz="18" w:space="0" w:color="000000"/>
              <w:right w:val="single" w:sz="18" w:space="0" w:color="000000"/>
            </w:tcBorders>
            <w:hideMark/>
          </w:tcPr>
          <w:p w:rsidR="008A17FA" w:rsidRDefault="00711F9F">
            <w:pPr>
              <w:kinsoku w:val="0"/>
              <w:overflowPunct w:val="0"/>
              <w:spacing w:before="77"/>
              <w:jc w:val="center"/>
              <w:textAlignment w:val="baseline"/>
              <w:rPr>
                <w:rFonts w:eastAsia="Times New Roman" w:cs="Arial"/>
                <w:sz w:val="18"/>
                <w:szCs w:val="18"/>
                <w:lang w:eastAsia="en-GB"/>
              </w:rPr>
            </w:pPr>
            <w:r>
              <w:rPr>
                <w:rFonts w:eastAsia="MS PGothic" w:cs="Arial"/>
                <w:b/>
                <w:bCs/>
                <w:kern w:val="24"/>
                <w:sz w:val="18"/>
                <w:szCs w:val="18"/>
                <w:lang w:eastAsia="en-GB"/>
              </w:rPr>
              <w:t xml:space="preserve">Change in body weight </w:t>
            </w:r>
          </w:p>
        </w:tc>
      </w:tr>
      <w:tr w:rsidR="008A17FA">
        <w:trPr>
          <w:trHeight w:val="320"/>
        </w:trPr>
        <w:tc>
          <w:tcPr>
            <w:tcW w:w="366" w:type="pct"/>
            <w:vMerge w:val="restart"/>
            <w:tcBorders>
              <w:top w:val="single" w:sz="18" w:space="0" w:color="000000"/>
              <w:left w:val="single" w:sz="18" w:space="0" w:color="000000"/>
            </w:tcBorders>
            <w:textDirection w:val="btLr"/>
          </w:tcPr>
          <w:p w:rsidR="008A17FA" w:rsidRDefault="00711F9F">
            <w:pPr>
              <w:kinsoku w:val="0"/>
              <w:overflowPunct w:val="0"/>
              <w:spacing w:before="77"/>
              <w:ind w:left="113" w:right="113"/>
              <w:jc w:val="center"/>
              <w:textAlignment w:val="baseline"/>
              <w:rPr>
                <w:rFonts w:eastAsia="Times New Roman" w:cs="Arial"/>
                <w:sz w:val="18"/>
                <w:szCs w:val="18"/>
                <w:lang w:eastAsia="en-GB"/>
              </w:rPr>
            </w:pPr>
            <w:r>
              <w:rPr>
                <w:rFonts w:eastAsia="Times New Roman" w:cs="Arial"/>
                <w:sz w:val="18"/>
                <w:szCs w:val="18"/>
                <w:lang w:eastAsia="en-GB"/>
              </w:rPr>
              <w:t>Addition of an SGLT2 inhibitor to insulin</w:t>
            </w:r>
          </w:p>
        </w:tc>
        <w:tc>
          <w:tcPr>
            <w:tcW w:w="619" w:type="pct"/>
            <w:tcBorders>
              <w:top w:val="single" w:sz="18" w:space="0" w:color="000000"/>
            </w:tcBorders>
            <w:vAlign w:val="center"/>
          </w:tcPr>
          <w:p w:rsidR="008A17FA" w:rsidRDefault="00711F9F">
            <w:pPr>
              <w:kinsoku w:val="0"/>
              <w:overflowPunct w:val="0"/>
              <w:spacing w:before="77"/>
              <w:textAlignment w:val="baseline"/>
              <w:rPr>
                <w:rFonts w:eastAsia="Times New Roman" w:cs="Arial"/>
                <w:sz w:val="18"/>
                <w:szCs w:val="18"/>
                <w:lang w:eastAsia="en-GB"/>
              </w:rPr>
            </w:pPr>
            <w:r>
              <w:rPr>
                <w:rFonts w:eastAsia="Times New Roman" w:cs="Arial"/>
                <w:sz w:val="18"/>
                <w:szCs w:val="18"/>
                <w:lang w:eastAsia="en-GB"/>
              </w:rPr>
              <w:t xml:space="preserve">Neal </w:t>
            </w:r>
            <w:r>
              <w:rPr>
                <w:rFonts w:eastAsia="Times New Roman" w:cs="Arial"/>
                <w:i/>
                <w:sz w:val="18"/>
                <w:szCs w:val="18"/>
                <w:lang w:eastAsia="en-GB"/>
              </w:rPr>
              <w:t>et al</w:t>
            </w:r>
            <w:r>
              <w:rPr>
                <w:rFonts w:eastAsia="Times New Roman" w:cs="Arial"/>
                <w:sz w:val="18"/>
                <w:szCs w:val="18"/>
                <w:lang w:eastAsia="en-GB"/>
              </w:rPr>
              <w:t>. 2015</w:t>
            </w:r>
            <w:r>
              <w:rPr>
                <w:rFonts w:eastAsia="Times New Roman" w:cs="Arial"/>
                <w:sz w:val="18"/>
                <w:szCs w:val="18"/>
                <w:vertAlign w:val="superscript"/>
                <w:lang w:eastAsia="en-GB"/>
              </w:rPr>
              <w:t>≠</w:t>
            </w:r>
            <w:r>
              <w:rPr>
                <w:rFonts w:eastAsia="Times New Roman" w:cs="Arial"/>
                <w:sz w:val="18"/>
                <w:szCs w:val="18"/>
                <w:lang w:eastAsia="en-GB"/>
              </w:rPr>
              <w:t xml:space="preserve"> [34]</w:t>
            </w:r>
          </w:p>
        </w:tc>
        <w:tc>
          <w:tcPr>
            <w:tcW w:w="799" w:type="pct"/>
            <w:tcBorders>
              <w:top w:val="single" w:sz="18" w:space="0" w:color="000000"/>
            </w:tcBorders>
            <w:vAlign w:val="center"/>
          </w:tcPr>
          <w:p w:rsidR="008A17FA" w:rsidRDefault="00711F9F">
            <w:pPr>
              <w:kinsoku w:val="0"/>
              <w:overflowPunct w:val="0"/>
              <w:spacing w:before="77"/>
              <w:textAlignment w:val="baseline"/>
              <w:rPr>
                <w:rFonts w:eastAsia="Times New Roman" w:cs="Arial"/>
                <w:sz w:val="18"/>
                <w:szCs w:val="18"/>
                <w:lang w:eastAsia="en-GB"/>
              </w:rPr>
            </w:pPr>
            <w:r>
              <w:rPr>
                <w:rFonts w:eastAsia="Times New Roman" w:cs="Arial"/>
                <w:sz w:val="18"/>
                <w:szCs w:val="18"/>
                <w:lang w:eastAsia="en-GB"/>
              </w:rPr>
              <w:t>Insulin + canagliflozin 300 mg</w:t>
            </w:r>
          </w:p>
        </w:tc>
        <w:tc>
          <w:tcPr>
            <w:tcW w:w="368" w:type="pct"/>
            <w:tcBorders>
              <w:top w:val="single" w:sz="18" w:space="0" w:color="000000"/>
            </w:tcBorders>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60</w:t>
            </w:r>
          </w:p>
        </w:tc>
        <w:tc>
          <w:tcPr>
            <w:tcW w:w="826" w:type="pct"/>
            <w:tcBorders>
              <w:top w:val="single" w:sz="18" w:space="0" w:color="000000"/>
            </w:tcBorders>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Stable background insulin dose (maintained within 15% of randomisation dose)</w:t>
            </w:r>
          </w:p>
        </w:tc>
        <w:tc>
          <w:tcPr>
            <w:tcW w:w="368" w:type="pct"/>
            <w:tcBorders>
              <w:top w:val="single" w:sz="18" w:space="0" w:color="000000"/>
            </w:tcBorders>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NR</w:t>
            </w:r>
          </w:p>
        </w:tc>
        <w:tc>
          <w:tcPr>
            <w:tcW w:w="367" w:type="pct"/>
            <w:tcBorders>
              <w:top w:val="single" w:sz="18" w:space="0" w:color="000000"/>
            </w:tcBorders>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67 mmol/mol (8.3%)</w:t>
            </w:r>
          </w:p>
        </w:tc>
        <w:tc>
          <w:tcPr>
            <w:tcW w:w="321" w:type="pct"/>
            <w:tcBorders>
              <w:top w:val="single" w:sz="18" w:space="0" w:color="000000"/>
            </w:tcBorders>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NR</w:t>
            </w:r>
          </w:p>
        </w:tc>
        <w:tc>
          <w:tcPr>
            <w:tcW w:w="367" w:type="pct"/>
            <w:tcBorders>
              <w:top w:val="single" w:sz="18" w:space="0" w:color="000000"/>
            </w:tcBorders>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−0.73</w:t>
            </w:r>
          </w:p>
        </w:tc>
        <w:tc>
          <w:tcPr>
            <w:tcW w:w="321" w:type="pct"/>
            <w:tcBorders>
              <w:top w:val="single" w:sz="18" w:space="0" w:color="000000"/>
            </w:tcBorders>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NR</w:t>
            </w:r>
          </w:p>
        </w:tc>
        <w:tc>
          <w:tcPr>
            <w:tcW w:w="278" w:type="pct"/>
            <w:tcBorders>
              <w:top w:val="single" w:sz="18" w:space="0" w:color="000000"/>
              <w:right w:val="single" w:sz="18" w:space="0" w:color="000000"/>
            </w:tcBorders>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−2.4%</w:t>
            </w:r>
          </w:p>
        </w:tc>
      </w:tr>
      <w:tr w:rsidR="008A17FA" w:rsidTr="008A28AB">
        <w:trPr>
          <w:trHeight w:val="320"/>
        </w:trPr>
        <w:tc>
          <w:tcPr>
            <w:tcW w:w="366" w:type="pct"/>
            <w:vMerge/>
            <w:tcBorders>
              <w:left w:val="single" w:sz="18" w:space="0" w:color="000000"/>
            </w:tcBorders>
            <w:textDirection w:val="btLr"/>
          </w:tcPr>
          <w:p w:rsidR="008A17FA" w:rsidRDefault="008A17FA">
            <w:pPr>
              <w:kinsoku w:val="0"/>
              <w:overflowPunct w:val="0"/>
              <w:spacing w:before="77"/>
              <w:ind w:left="113" w:right="113"/>
              <w:jc w:val="center"/>
              <w:textAlignment w:val="baseline"/>
              <w:rPr>
                <w:rFonts w:eastAsia="Times New Roman" w:cs="Arial"/>
                <w:sz w:val="18"/>
                <w:szCs w:val="18"/>
                <w:lang w:eastAsia="en-GB"/>
              </w:rPr>
            </w:pPr>
          </w:p>
        </w:tc>
        <w:tc>
          <w:tcPr>
            <w:tcW w:w="619" w:type="pct"/>
            <w:vAlign w:val="center"/>
          </w:tcPr>
          <w:p w:rsidR="008A17FA" w:rsidRDefault="00711F9F">
            <w:pPr>
              <w:kinsoku w:val="0"/>
              <w:overflowPunct w:val="0"/>
              <w:spacing w:before="77"/>
              <w:textAlignment w:val="baseline"/>
              <w:rPr>
                <w:rFonts w:eastAsia="Times New Roman" w:cs="Arial"/>
                <w:sz w:val="18"/>
                <w:szCs w:val="18"/>
                <w:lang w:eastAsia="en-GB"/>
              </w:rPr>
            </w:pPr>
            <w:r>
              <w:rPr>
                <w:rFonts w:eastAsia="Times New Roman" w:cs="Arial"/>
                <w:sz w:val="18"/>
                <w:szCs w:val="18"/>
                <w:lang w:eastAsia="en-GB"/>
              </w:rPr>
              <w:t xml:space="preserve">Wilding </w:t>
            </w:r>
            <w:r>
              <w:rPr>
                <w:rFonts w:eastAsia="Times New Roman" w:cs="Arial"/>
                <w:i/>
                <w:sz w:val="18"/>
                <w:szCs w:val="18"/>
                <w:lang w:eastAsia="en-GB"/>
              </w:rPr>
              <w:t>et al</w:t>
            </w:r>
            <w:r>
              <w:rPr>
                <w:rFonts w:eastAsia="Times New Roman" w:cs="Arial"/>
                <w:sz w:val="18"/>
                <w:szCs w:val="18"/>
                <w:lang w:eastAsia="en-GB"/>
              </w:rPr>
              <w:t>. 2012 [35]</w:t>
            </w:r>
          </w:p>
        </w:tc>
        <w:tc>
          <w:tcPr>
            <w:tcW w:w="799" w:type="pct"/>
            <w:vAlign w:val="center"/>
          </w:tcPr>
          <w:p w:rsidR="008A17FA" w:rsidRDefault="00711F9F">
            <w:pPr>
              <w:kinsoku w:val="0"/>
              <w:overflowPunct w:val="0"/>
              <w:spacing w:before="77"/>
              <w:textAlignment w:val="baseline"/>
              <w:rPr>
                <w:rFonts w:eastAsia="Times New Roman" w:cs="Arial"/>
                <w:sz w:val="18"/>
                <w:szCs w:val="18"/>
                <w:lang w:eastAsia="en-GB"/>
              </w:rPr>
            </w:pPr>
            <w:r>
              <w:rPr>
                <w:rFonts w:eastAsia="Times New Roman" w:cs="Arial"/>
                <w:sz w:val="18"/>
                <w:szCs w:val="18"/>
                <w:lang w:eastAsia="en-GB"/>
              </w:rPr>
              <w:t>Insulin + dapagliflozin 10 mg</w:t>
            </w:r>
          </w:p>
        </w:tc>
        <w:tc>
          <w:tcPr>
            <w:tcW w:w="368" w:type="pct"/>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78</w:t>
            </w:r>
          </w:p>
        </w:tc>
        <w:tc>
          <w:tcPr>
            <w:tcW w:w="826" w:type="pct"/>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Stable background insulin dose (maintained within 10% of randomisation dose)</w:t>
            </w:r>
          </w:p>
        </w:tc>
        <w:tc>
          <w:tcPr>
            <w:tcW w:w="368" w:type="pct"/>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−0.7 (+10.5 with placebo)</w:t>
            </w:r>
          </w:p>
        </w:tc>
        <w:tc>
          <w:tcPr>
            <w:tcW w:w="367" w:type="pct"/>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70 mmol/mol (8.6%)</w:t>
            </w:r>
          </w:p>
        </w:tc>
        <w:tc>
          <w:tcPr>
            <w:tcW w:w="321" w:type="pct"/>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−0.96</w:t>
            </w:r>
          </w:p>
        </w:tc>
        <w:tc>
          <w:tcPr>
            <w:tcW w:w="367" w:type="pct"/>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−0.57</w:t>
            </w:r>
          </w:p>
        </w:tc>
        <w:tc>
          <w:tcPr>
            <w:tcW w:w="321" w:type="pct"/>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60 mmol/mol (7.6%</w:t>
            </w:r>
            <w:proofErr w:type="gramStart"/>
            <w:r>
              <w:rPr>
                <w:rFonts w:eastAsia="Times New Roman" w:cs="Arial"/>
                <w:sz w:val="18"/>
                <w:szCs w:val="18"/>
                <w:lang w:eastAsia="en-GB"/>
              </w:rPr>
              <w:t>)*</w:t>
            </w:r>
            <w:proofErr w:type="gramEnd"/>
            <w:r>
              <w:rPr>
                <w:rFonts w:eastAsia="Times New Roman" w:cs="Arial"/>
                <w:sz w:val="18"/>
                <w:szCs w:val="18"/>
                <w:lang w:eastAsia="en-GB"/>
              </w:rPr>
              <w:t>*</w:t>
            </w:r>
          </w:p>
        </w:tc>
        <w:tc>
          <w:tcPr>
            <w:tcW w:w="278" w:type="pct"/>
            <w:tcBorders>
              <w:right w:val="single" w:sz="18" w:space="0" w:color="000000"/>
            </w:tcBorders>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−1.61 kg</w:t>
            </w:r>
          </w:p>
        </w:tc>
      </w:tr>
      <w:tr w:rsidR="008A17FA" w:rsidTr="008A28AB">
        <w:trPr>
          <w:trHeight w:val="320"/>
        </w:trPr>
        <w:tc>
          <w:tcPr>
            <w:tcW w:w="366" w:type="pct"/>
            <w:vMerge/>
            <w:tcBorders>
              <w:left w:val="single" w:sz="18" w:space="0" w:color="000000"/>
              <w:bottom w:val="single" w:sz="4" w:space="0" w:color="auto"/>
            </w:tcBorders>
            <w:textDirection w:val="btLr"/>
          </w:tcPr>
          <w:p w:rsidR="008A17FA" w:rsidRDefault="008A17FA">
            <w:pPr>
              <w:kinsoku w:val="0"/>
              <w:overflowPunct w:val="0"/>
              <w:spacing w:before="77"/>
              <w:ind w:left="113" w:right="113"/>
              <w:jc w:val="center"/>
              <w:textAlignment w:val="baseline"/>
              <w:rPr>
                <w:rFonts w:eastAsia="Times New Roman" w:cs="Arial"/>
                <w:sz w:val="18"/>
                <w:szCs w:val="18"/>
                <w:lang w:eastAsia="en-GB"/>
              </w:rPr>
            </w:pPr>
          </w:p>
        </w:tc>
        <w:tc>
          <w:tcPr>
            <w:tcW w:w="619" w:type="pct"/>
            <w:tcBorders>
              <w:bottom w:val="single" w:sz="18" w:space="0" w:color="auto"/>
            </w:tcBorders>
            <w:vAlign w:val="center"/>
          </w:tcPr>
          <w:p w:rsidR="008A17FA" w:rsidRDefault="00711F9F">
            <w:pPr>
              <w:kinsoku w:val="0"/>
              <w:overflowPunct w:val="0"/>
              <w:spacing w:before="77"/>
              <w:textAlignment w:val="baseline"/>
              <w:rPr>
                <w:rFonts w:eastAsia="Times New Roman" w:cs="Arial"/>
                <w:sz w:val="18"/>
                <w:szCs w:val="18"/>
                <w:lang w:eastAsia="en-GB"/>
              </w:rPr>
            </w:pPr>
            <w:r>
              <w:rPr>
                <w:rFonts w:eastAsia="Times New Roman" w:cs="Arial"/>
                <w:sz w:val="18"/>
                <w:szCs w:val="18"/>
                <w:lang w:eastAsia="en-GB"/>
              </w:rPr>
              <w:t xml:space="preserve">Rosenstock </w:t>
            </w:r>
            <w:r>
              <w:rPr>
                <w:rFonts w:eastAsia="Times New Roman" w:cs="Arial"/>
                <w:i/>
                <w:sz w:val="18"/>
                <w:szCs w:val="18"/>
                <w:lang w:eastAsia="en-GB"/>
              </w:rPr>
              <w:t>et al</w:t>
            </w:r>
            <w:r>
              <w:rPr>
                <w:rFonts w:eastAsia="Times New Roman" w:cs="Arial"/>
                <w:sz w:val="18"/>
                <w:szCs w:val="18"/>
                <w:lang w:eastAsia="en-GB"/>
              </w:rPr>
              <w:t>. 2014</w:t>
            </w:r>
            <w:r>
              <w:rPr>
                <w:rFonts w:eastAsia="Times New Roman" w:cs="Arial"/>
                <w:sz w:val="18"/>
                <w:szCs w:val="18"/>
                <w:vertAlign w:val="superscript"/>
                <w:lang w:eastAsia="en-GB"/>
              </w:rPr>
              <w:t xml:space="preserve">≠ </w:t>
            </w:r>
            <w:r>
              <w:rPr>
                <w:rFonts w:eastAsia="Times New Roman" w:cs="Arial"/>
                <w:sz w:val="18"/>
                <w:szCs w:val="18"/>
                <w:lang w:eastAsia="en-GB"/>
              </w:rPr>
              <w:t>[33]</w:t>
            </w:r>
          </w:p>
        </w:tc>
        <w:tc>
          <w:tcPr>
            <w:tcW w:w="799" w:type="pct"/>
            <w:tcBorders>
              <w:bottom w:val="single" w:sz="18" w:space="0" w:color="auto"/>
            </w:tcBorders>
            <w:vAlign w:val="center"/>
          </w:tcPr>
          <w:p w:rsidR="008A17FA" w:rsidRDefault="00711F9F">
            <w:pPr>
              <w:kinsoku w:val="0"/>
              <w:overflowPunct w:val="0"/>
              <w:spacing w:before="77"/>
              <w:textAlignment w:val="baseline"/>
              <w:rPr>
                <w:rFonts w:eastAsia="Times New Roman" w:cs="Arial"/>
                <w:sz w:val="18"/>
                <w:szCs w:val="18"/>
                <w:lang w:eastAsia="en-GB"/>
              </w:rPr>
            </w:pPr>
            <w:r>
              <w:rPr>
                <w:rFonts w:eastAsia="Times New Roman" w:cs="Arial"/>
                <w:sz w:val="18"/>
                <w:szCs w:val="18"/>
                <w:lang w:eastAsia="en-GB"/>
              </w:rPr>
              <w:t>MDI insulin + empagliflozin 25 mg</w:t>
            </w:r>
          </w:p>
        </w:tc>
        <w:tc>
          <w:tcPr>
            <w:tcW w:w="368" w:type="pct"/>
            <w:tcBorders>
              <w:bottom w:val="single" w:sz="18" w:space="0" w:color="auto"/>
            </w:tcBorders>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92</w:t>
            </w:r>
          </w:p>
        </w:tc>
        <w:tc>
          <w:tcPr>
            <w:tcW w:w="826" w:type="pct"/>
            <w:tcBorders>
              <w:bottom w:val="single" w:sz="18" w:space="0" w:color="auto"/>
            </w:tcBorders>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Stable background insulin dose (maintained within 10% of randomisation dose)</w:t>
            </w:r>
          </w:p>
        </w:tc>
        <w:tc>
          <w:tcPr>
            <w:tcW w:w="368" w:type="pct"/>
            <w:tcBorders>
              <w:bottom w:val="single" w:sz="18" w:space="0" w:color="auto"/>
            </w:tcBorders>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NR</w:t>
            </w:r>
          </w:p>
        </w:tc>
        <w:tc>
          <w:tcPr>
            <w:tcW w:w="367" w:type="pct"/>
            <w:tcBorders>
              <w:bottom w:val="single" w:sz="18" w:space="0" w:color="auto"/>
            </w:tcBorders>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67 mmol/mol (8.3%)</w:t>
            </w:r>
          </w:p>
        </w:tc>
        <w:tc>
          <w:tcPr>
            <w:tcW w:w="321" w:type="pct"/>
            <w:tcBorders>
              <w:bottom w:val="single" w:sz="18" w:space="0" w:color="auto"/>
            </w:tcBorders>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−1.02</w:t>
            </w:r>
          </w:p>
        </w:tc>
        <w:tc>
          <w:tcPr>
            <w:tcW w:w="367" w:type="pct"/>
            <w:tcBorders>
              <w:bottom w:val="single" w:sz="18" w:space="0" w:color="auto"/>
            </w:tcBorders>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−0.52</w:t>
            </w:r>
          </w:p>
        </w:tc>
        <w:tc>
          <w:tcPr>
            <w:tcW w:w="321" w:type="pct"/>
            <w:tcBorders>
              <w:bottom w:val="single" w:sz="18" w:space="0" w:color="auto"/>
            </w:tcBorders>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56 mmol/mol (7.3%)</w:t>
            </w:r>
          </w:p>
        </w:tc>
        <w:tc>
          <w:tcPr>
            <w:tcW w:w="278" w:type="pct"/>
            <w:tcBorders>
              <w:bottom w:val="single" w:sz="18" w:space="0" w:color="auto"/>
              <w:right w:val="single" w:sz="18" w:space="0" w:color="000000"/>
            </w:tcBorders>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−1.54 kg</w:t>
            </w:r>
          </w:p>
        </w:tc>
      </w:tr>
      <w:tr w:rsidR="008A17FA" w:rsidTr="008A28AB">
        <w:trPr>
          <w:trHeight w:val="320"/>
        </w:trPr>
        <w:tc>
          <w:tcPr>
            <w:tcW w:w="366" w:type="pct"/>
            <w:vMerge w:val="restart"/>
            <w:tcBorders>
              <w:top w:val="single" w:sz="18" w:space="0" w:color="auto"/>
              <w:left w:val="single" w:sz="18" w:space="0" w:color="000000"/>
            </w:tcBorders>
            <w:textDirection w:val="btLr"/>
          </w:tcPr>
          <w:p w:rsidR="008A17FA" w:rsidRDefault="00711F9F">
            <w:pPr>
              <w:kinsoku w:val="0"/>
              <w:overflowPunct w:val="0"/>
              <w:spacing w:before="77"/>
              <w:ind w:left="113" w:right="113"/>
              <w:jc w:val="center"/>
              <w:textAlignment w:val="baseline"/>
              <w:rPr>
                <w:rFonts w:eastAsia="Times New Roman" w:cs="Arial"/>
                <w:sz w:val="18"/>
                <w:szCs w:val="18"/>
                <w:lang w:eastAsia="en-GB"/>
              </w:rPr>
            </w:pPr>
            <w:r>
              <w:rPr>
                <w:rFonts w:eastAsia="Times New Roman" w:cs="Arial"/>
                <w:sz w:val="18"/>
                <w:szCs w:val="18"/>
                <w:lang w:eastAsia="en-GB"/>
              </w:rPr>
              <w:t xml:space="preserve">Addition of a </w:t>
            </w:r>
            <w:r>
              <w:rPr>
                <w:rFonts w:eastAsia="Times New Roman" w:cs="Arial"/>
                <w:sz w:val="18"/>
                <w:szCs w:val="18"/>
                <w:lang w:eastAsia="en-GB"/>
              </w:rPr>
              <w:br/>
              <w:t>DPP-4 inhibitor to insulin</w:t>
            </w:r>
          </w:p>
        </w:tc>
        <w:tc>
          <w:tcPr>
            <w:tcW w:w="619" w:type="pct"/>
            <w:tcBorders>
              <w:top w:val="single" w:sz="18" w:space="0" w:color="auto"/>
            </w:tcBorders>
            <w:vAlign w:val="center"/>
          </w:tcPr>
          <w:p w:rsidR="008A17FA" w:rsidRDefault="00711F9F">
            <w:pPr>
              <w:kinsoku w:val="0"/>
              <w:overflowPunct w:val="0"/>
              <w:spacing w:before="77"/>
              <w:textAlignment w:val="baseline"/>
              <w:rPr>
                <w:rFonts w:eastAsia="Times New Roman" w:cs="Arial"/>
                <w:sz w:val="18"/>
                <w:szCs w:val="18"/>
                <w:lang w:eastAsia="en-GB"/>
              </w:rPr>
            </w:pPr>
            <w:r>
              <w:rPr>
                <w:rFonts w:eastAsia="Times New Roman" w:cs="Arial"/>
                <w:sz w:val="18"/>
                <w:szCs w:val="18"/>
                <w:lang w:eastAsia="en-GB"/>
              </w:rPr>
              <w:t xml:space="preserve">Rosenstock </w:t>
            </w:r>
            <w:r>
              <w:rPr>
                <w:rFonts w:eastAsia="Times New Roman" w:cs="Arial"/>
                <w:i/>
                <w:sz w:val="18"/>
                <w:szCs w:val="18"/>
                <w:lang w:eastAsia="en-GB"/>
              </w:rPr>
              <w:t>et al.</w:t>
            </w:r>
            <w:r>
              <w:rPr>
                <w:rFonts w:eastAsia="Times New Roman" w:cs="Arial"/>
                <w:sz w:val="18"/>
                <w:szCs w:val="18"/>
                <w:lang w:eastAsia="en-GB"/>
              </w:rPr>
              <w:t xml:space="preserve"> 2009 [38]</w:t>
            </w:r>
          </w:p>
        </w:tc>
        <w:tc>
          <w:tcPr>
            <w:tcW w:w="799" w:type="pct"/>
            <w:tcBorders>
              <w:top w:val="single" w:sz="18" w:space="0" w:color="auto"/>
            </w:tcBorders>
            <w:vAlign w:val="center"/>
          </w:tcPr>
          <w:p w:rsidR="008A17FA" w:rsidRDefault="00711F9F">
            <w:pPr>
              <w:kinsoku w:val="0"/>
              <w:overflowPunct w:val="0"/>
              <w:spacing w:before="77"/>
              <w:textAlignment w:val="baseline"/>
              <w:rPr>
                <w:rFonts w:eastAsia="Times New Roman" w:cs="Arial"/>
                <w:sz w:val="18"/>
                <w:szCs w:val="18"/>
                <w:lang w:eastAsia="en-GB"/>
              </w:rPr>
            </w:pPr>
            <w:r>
              <w:rPr>
                <w:rFonts w:eastAsia="Times New Roman" w:cs="Arial"/>
                <w:sz w:val="18"/>
                <w:szCs w:val="18"/>
                <w:lang w:eastAsia="en-GB"/>
              </w:rPr>
              <w:t>Insulin + alogliptin 25 mg</w:t>
            </w:r>
          </w:p>
        </w:tc>
        <w:tc>
          <w:tcPr>
            <w:tcW w:w="368" w:type="pct"/>
            <w:tcBorders>
              <w:top w:val="single" w:sz="18" w:space="0" w:color="auto"/>
            </w:tcBorders>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55</w:t>
            </w:r>
          </w:p>
        </w:tc>
        <w:tc>
          <w:tcPr>
            <w:tcW w:w="826" w:type="pct"/>
            <w:tcBorders>
              <w:top w:val="single" w:sz="18" w:space="0" w:color="auto"/>
            </w:tcBorders>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Continued pre-randomisation insulin dose</w:t>
            </w:r>
          </w:p>
        </w:tc>
        <w:tc>
          <w:tcPr>
            <w:tcW w:w="368" w:type="pct"/>
            <w:tcBorders>
              <w:top w:val="single" w:sz="18" w:space="0" w:color="auto"/>
            </w:tcBorders>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+0.4 (+0.6 with placebo)</w:t>
            </w:r>
          </w:p>
        </w:tc>
        <w:tc>
          <w:tcPr>
            <w:tcW w:w="367" w:type="pct"/>
            <w:tcBorders>
              <w:top w:val="single" w:sz="18" w:space="0" w:color="auto"/>
            </w:tcBorders>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78 mmol/mol (9.3%)</w:t>
            </w:r>
          </w:p>
        </w:tc>
        <w:tc>
          <w:tcPr>
            <w:tcW w:w="321" w:type="pct"/>
            <w:tcBorders>
              <w:top w:val="single" w:sz="18" w:space="0" w:color="auto"/>
            </w:tcBorders>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−0.7</w:t>
            </w:r>
          </w:p>
        </w:tc>
        <w:tc>
          <w:tcPr>
            <w:tcW w:w="367" w:type="pct"/>
            <w:tcBorders>
              <w:top w:val="single" w:sz="18" w:space="0" w:color="auto"/>
            </w:tcBorders>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−0.6</w:t>
            </w:r>
          </w:p>
        </w:tc>
        <w:tc>
          <w:tcPr>
            <w:tcW w:w="321" w:type="pct"/>
            <w:tcBorders>
              <w:top w:val="single" w:sz="18" w:space="0" w:color="auto"/>
            </w:tcBorders>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70 mmol/mol (8.6%</w:t>
            </w:r>
            <w:proofErr w:type="gramStart"/>
            <w:r>
              <w:rPr>
                <w:rFonts w:eastAsia="Times New Roman" w:cs="Arial"/>
                <w:sz w:val="18"/>
                <w:szCs w:val="18"/>
                <w:lang w:eastAsia="en-GB"/>
              </w:rPr>
              <w:t>)*</w:t>
            </w:r>
            <w:proofErr w:type="gramEnd"/>
            <w:r>
              <w:rPr>
                <w:rFonts w:eastAsia="Times New Roman" w:cs="Arial"/>
                <w:sz w:val="18"/>
                <w:szCs w:val="18"/>
                <w:lang w:eastAsia="en-GB"/>
              </w:rPr>
              <w:t>*</w:t>
            </w:r>
          </w:p>
        </w:tc>
        <w:tc>
          <w:tcPr>
            <w:tcW w:w="278" w:type="pct"/>
            <w:tcBorders>
              <w:top w:val="single" w:sz="18" w:space="0" w:color="auto"/>
              <w:right w:val="single" w:sz="18" w:space="0" w:color="000000"/>
            </w:tcBorders>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+0.6 kg</w:t>
            </w:r>
          </w:p>
        </w:tc>
      </w:tr>
      <w:tr w:rsidR="008A17FA" w:rsidTr="008A28AB">
        <w:trPr>
          <w:trHeight w:val="320"/>
        </w:trPr>
        <w:tc>
          <w:tcPr>
            <w:tcW w:w="366" w:type="pct"/>
            <w:vMerge/>
            <w:tcBorders>
              <w:left w:val="single" w:sz="18" w:space="0" w:color="000000"/>
            </w:tcBorders>
            <w:textDirection w:val="btLr"/>
          </w:tcPr>
          <w:p w:rsidR="008A17FA" w:rsidRDefault="008A17FA">
            <w:pPr>
              <w:kinsoku w:val="0"/>
              <w:overflowPunct w:val="0"/>
              <w:spacing w:before="77"/>
              <w:ind w:left="113" w:right="113"/>
              <w:jc w:val="center"/>
              <w:textAlignment w:val="baseline"/>
              <w:rPr>
                <w:rFonts w:eastAsia="Times New Roman" w:cs="Arial"/>
                <w:sz w:val="18"/>
                <w:szCs w:val="18"/>
                <w:lang w:eastAsia="en-GB"/>
              </w:rPr>
            </w:pPr>
          </w:p>
        </w:tc>
        <w:tc>
          <w:tcPr>
            <w:tcW w:w="619" w:type="pct"/>
            <w:vAlign w:val="center"/>
          </w:tcPr>
          <w:p w:rsidR="008A17FA" w:rsidRDefault="00711F9F">
            <w:pPr>
              <w:kinsoku w:val="0"/>
              <w:overflowPunct w:val="0"/>
              <w:spacing w:before="77"/>
              <w:textAlignment w:val="baseline"/>
              <w:rPr>
                <w:rFonts w:eastAsia="Times New Roman" w:cs="Arial"/>
                <w:sz w:val="18"/>
                <w:szCs w:val="18"/>
                <w:lang w:eastAsia="en-GB"/>
              </w:rPr>
            </w:pPr>
            <w:r>
              <w:rPr>
                <w:rFonts w:eastAsia="Times New Roman" w:cs="Arial"/>
                <w:sz w:val="18"/>
                <w:szCs w:val="18"/>
                <w:lang w:eastAsia="en-GB"/>
              </w:rPr>
              <w:t xml:space="preserve">Vilsbøll </w:t>
            </w:r>
            <w:r>
              <w:rPr>
                <w:rFonts w:eastAsia="Times New Roman" w:cs="Arial"/>
                <w:i/>
                <w:sz w:val="18"/>
                <w:szCs w:val="18"/>
                <w:lang w:eastAsia="en-GB"/>
              </w:rPr>
              <w:t>et al.</w:t>
            </w:r>
            <w:r>
              <w:rPr>
                <w:rFonts w:eastAsia="Times New Roman" w:cs="Arial"/>
                <w:sz w:val="18"/>
                <w:szCs w:val="18"/>
                <w:lang w:eastAsia="en-GB"/>
              </w:rPr>
              <w:t xml:space="preserve"> 2010 [39]</w:t>
            </w:r>
          </w:p>
        </w:tc>
        <w:tc>
          <w:tcPr>
            <w:tcW w:w="799" w:type="pct"/>
            <w:vAlign w:val="center"/>
          </w:tcPr>
          <w:p w:rsidR="008A17FA" w:rsidRDefault="00711F9F">
            <w:pPr>
              <w:kinsoku w:val="0"/>
              <w:overflowPunct w:val="0"/>
              <w:spacing w:before="77"/>
              <w:textAlignment w:val="baseline"/>
              <w:rPr>
                <w:rFonts w:eastAsia="Times New Roman" w:cs="Arial"/>
                <w:sz w:val="18"/>
                <w:szCs w:val="18"/>
                <w:lang w:eastAsia="en-GB"/>
              </w:rPr>
            </w:pPr>
            <w:r>
              <w:rPr>
                <w:rFonts w:eastAsia="Times New Roman" w:cs="Arial"/>
                <w:sz w:val="18"/>
                <w:szCs w:val="18"/>
                <w:lang w:eastAsia="en-GB"/>
              </w:rPr>
              <w:t>Insulin + sitagliptin 100 mg</w:t>
            </w:r>
          </w:p>
        </w:tc>
        <w:tc>
          <w:tcPr>
            <w:tcW w:w="368" w:type="pct"/>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67/44</w:t>
            </w:r>
            <w:r>
              <w:rPr>
                <w:rFonts w:eastAsia="Times New Roman" w:cs="Arial"/>
                <w:sz w:val="18"/>
                <w:szCs w:val="18"/>
                <w:vertAlign w:val="superscript"/>
                <w:lang w:eastAsia="en-GB"/>
              </w:rPr>
              <w:t>†</w:t>
            </w:r>
          </w:p>
        </w:tc>
        <w:tc>
          <w:tcPr>
            <w:tcW w:w="826" w:type="pct"/>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 xml:space="preserve">Stable background insulin dose </w:t>
            </w:r>
          </w:p>
        </w:tc>
        <w:tc>
          <w:tcPr>
            <w:tcW w:w="368" w:type="pct"/>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0 (+1.6 with placebo)</w:t>
            </w:r>
          </w:p>
        </w:tc>
        <w:tc>
          <w:tcPr>
            <w:tcW w:w="367" w:type="pct"/>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72 mmol/mol (8.7%)</w:t>
            </w:r>
          </w:p>
        </w:tc>
        <w:tc>
          <w:tcPr>
            <w:tcW w:w="321" w:type="pct"/>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−0.6</w:t>
            </w:r>
          </w:p>
        </w:tc>
        <w:tc>
          <w:tcPr>
            <w:tcW w:w="367" w:type="pct"/>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−0.6</w:t>
            </w:r>
          </w:p>
        </w:tc>
        <w:tc>
          <w:tcPr>
            <w:tcW w:w="321" w:type="pct"/>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65 mmol/mol (8.1%)</w:t>
            </w:r>
          </w:p>
        </w:tc>
        <w:tc>
          <w:tcPr>
            <w:tcW w:w="278" w:type="pct"/>
            <w:tcBorders>
              <w:right w:val="single" w:sz="18" w:space="0" w:color="000000"/>
            </w:tcBorders>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+0.1 kg</w:t>
            </w:r>
          </w:p>
        </w:tc>
      </w:tr>
      <w:tr w:rsidR="008A17FA" w:rsidTr="008A28AB">
        <w:trPr>
          <w:trHeight w:val="320"/>
        </w:trPr>
        <w:tc>
          <w:tcPr>
            <w:tcW w:w="366" w:type="pct"/>
            <w:vMerge/>
            <w:tcBorders>
              <w:left w:val="single" w:sz="18" w:space="0" w:color="000000"/>
            </w:tcBorders>
            <w:textDirection w:val="btLr"/>
          </w:tcPr>
          <w:p w:rsidR="008A17FA" w:rsidRDefault="008A17FA">
            <w:pPr>
              <w:kinsoku w:val="0"/>
              <w:overflowPunct w:val="0"/>
              <w:spacing w:before="77"/>
              <w:ind w:left="113" w:right="113"/>
              <w:jc w:val="center"/>
              <w:textAlignment w:val="baseline"/>
              <w:rPr>
                <w:rFonts w:eastAsia="Times New Roman" w:cs="Arial"/>
                <w:sz w:val="18"/>
                <w:szCs w:val="18"/>
                <w:lang w:eastAsia="en-GB"/>
              </w:rPr>
            </w:pPr>
          </w:p>
        </w:tc>
        <w:tc>
          <w:tcPr>
            <w:tcW w:w="619" w:type="pct"/>
            <w:vAlign w:val="center"/>
          </w:tcPr>
          <w:p w:rsidR="008A17FA" w:rsidRDefault="00711F9F">
            <w:pPr>
              <w:kinsoku w:val="0"/>
              <w:overflowPunct w:val="0"/>
              <w:spacing w:before="77"/>
              <w:textAlignment w:val="baseline"/>
              <w:rPr>
                <w:rFonts w:eastAsia="Times New Roman" w:cs="Arial"/>
                <w:sz w:val="18"/>
                <w:szCs w:val="18"/>
                <w:lang w:eastAsia="en-GB"/>
              </w:rPr>
            </w:pPr>
            <w:r>
              <w:rPr>
                <w:rFonts w:eastAsia="Times New Roman" w:cs="Arial"/>
                <w:sz w:val="18"/>
                <w:szCs w:val="18"/>
                <w:lang w:eastAsia="en-GB"/>
              </w:rPr>
              <w:t xml:space="preserve">Barnett </w:t>
            </w:r>
            <w:r>
              <w:rPr>
                <w:rFonts w:eastAsia="Times New Roman" w:cs="Arial"/>
                <w:i/>
                <w:sz w:val="18"/>
                <w:szCs w:val="18"/>
                <w:lang w:eastAsia="en-GB"/>
              </w:rPr>
              <w:t>et al</w:t>
            </w:r>
            <w:r>
              <w:rPr>
                <w:rFonts w:eastAsia="Times New Roman" w:cs="Arial"/>
                <w:sz w:val="18"/>
                <w:szCs w:val="18"/>
                <w:lang w:eastAsia="en-GB"/>
              </w:rPr>
              <w:t>. 2012 [40]</w:t>
            </w:r>
          </w:p>
        </w:tc>
        <w:tc>
          <w:tcPr>
            <w:tcW w:w="799" w:type="pct"/>
            <w:vAlign w:val="center"/>
          </w:tcPr>
          <w:p w:rsidR="008A17FA" w:rsidRDefault="00711F9F">
            <w:pPr>
              <w:kinsoku w:val="0"/>
              <w:overflowPunct w:val="0"/>
              <w:spacing w:before="77"/>
              <w:textAlignment w:val="baseline"/>
              <w:rPr>
                <w:rFonts w:eastAsia="Times New Roman" w:cs="Arial"/>
                <w:sz w:val="18"/>
                <w:szCs w:val="18"/>
                <w:lang w:eastAsia="en-GB"/>
              </w:rPr>
            </w:pPr>
            <w:r>
              <w:rPr>
                <w:rFonts w:eastAsia="Times New Roman" w:cs="Arial"/>
                <w:sz w:val="18"/>
                <w:szCs w:val="18"/>
                <w:lang w:eastAsia="en-GB"/>
              </w:rPr>
              <w:t>Insulin + saxagliptin 5 mg</w:t>
            </w:r>
          </w:p>
        </w:tc>
        <w:tc>
          <w:tcPr>
            <w:tcW w:w="368" w:type="pct"/>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53</w:t>
            </w:r>
          </w:p>
        </w:tc>
        <w:tc>
          <w:tcPr>
            <w:tcW w:w="826" w:type="pct"/>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Stable background insulin dose (maintained within 20% of randomisation dose)</w:t>
            </w:r>
          </w:p>
        </w:tc>
        <w:tc>
          <w:tcPr>
            <w:tcW w:w="368" w:type="pct"/>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+1.7 (+5.0 with placebo)</w:t>
            </w:r>
          </w:p>
        </w:tc>
        <w:tc>
          <w:tcPr>
            <w:tcW w:w="367" w:type="pct"/>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72 mmol/mol (8.7%)</w:t>
            </w:r>
          </w:p>
        </w:tc>
        <w:tc>
          <w:tcPr>
            <w:tcW w:w="321" w:type="pct"/>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−0.7</w:t>
            </w:r>
          </w:p>
        </w:tc>
        <w:tc>
          <w:tcPr>
            <w:tcW w:w="367" w:type="pct"/>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−0.4</w:t>
            </w:r>
          </w:p>
        </w:tc>
        <w:tc>
          <w:tcPr>
            <w:tcW w:w="321" w:type="pct"/>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64 mmol/mol (8.0%</w:t>
            </w:r>
            <w:proofErr w:type="gramStart"/>
            <w:r>
              <w:rPr>
                <w:rFonts w:eastAsia="Times New Roman" w:cs="Arial"/>
                <w:sz w:val="18"/>
                <w:szCs w:val="18"/>
                <w:lang w:eastAsia="en-GB"/>
              </w:rPr>
              <w:t>)*</w:t>
            </w:r>
            <w:proofErr w:type="gramEnd"/>
            <w:r>
              <w:rPr>
                <w:rFonts w:eastAsia="Times New Roman" w:cs="Arial"/>
                <w:sz w:val="18"/>
                <w:szCs w:val="18"/>
                <w:lang w:eastAsia="en-GB"/>
              </w:rPr>
              <w:t>*</w:t>
            </w:r>
          </w:p>
        </w:tc>
        <w:tc>
          <w:tcPr>
            <w:tcW w:w="278" w:type="pct"/>
            <w:tcBorders>
              <w:right w:val="single" w:sz="18" w:space="0" w:color="000000"/>
            </w:tcBorders>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+0.4 kg</w:t>
            </w:r>
          </w:p>
        </w:tc>
      </w:tr>
      <w:tr w:rsidR="008A17FA" w:rsidTr="008A28AB">
        <w:trPr>
          <w:trHeight w:val="320"/>
        </w:trPr>
        <w:tc>
          <w:tcPr>
            <w:tcW w:w="366" w:type="pct"/>
            <w:vMerge/>
            <w:tcBorders>
              <w:left w:val="single" w:sz="18" w:space="0" w:color="000000"/>
            </w:tcBorders>
            <w:textDirection w:val="btLr"/>
          </w:tcPr>
          <w:p w:rsidR="008A17FA" w:rsidRDefault="008A17FA">
            <w:pPr>
              <w:kinsoku w:val="0"/>
              <w:overflowPunct w:val="0"/>
              <w:spacing w:before="77"/>
              <w:ind w:left="113" w:right="113"/>
              <w:jc w:val="center"/>
              <w:textAlignment w:val="baseline"/>
              <w:rPr>
                <w:rFonts w:eastAsia="Times New Roman" w:cs="Arial"/>
                <w:sz w:val="18"/>
                <w:szCs w:val="18"/>
                <w:lang w:eastAsia="en-GB"/>
              </w:rPr>
            </w:pPr>
          </w:p>
        </w:tc>
        <w:tc>
          <w:tcPr>
            <w:tcW w:w="619" w:type="pct"/>
            <w:vAlign w:val="center"/>
          </w:tcPr>
          <w:p w:rsidR="008A17FA" w:rsidRDefault="00711F9F">
            <w:pPr>
              <w:kinsoku w:val="0"/>
              <w:overflowPunct w:val="0"/>
              <w:spacing w:before="77"/>
              <w:textAlignment w:val="baseline"/>
              <w:rPr>
                <w:rFonts w:eastAsia="Times New Roman" w:cs="Arial"/>
                <w:sz w:val="18"/>
                <w:szCs w:val="18"/>
                <w:lang w:eastAsia="en-GB"/>
              </w:rPr>
            </w:pPr>
            <w:r>
              <w:rPr>
                <w:rFonts w:eastAsia="Times New Roman" w:cs="Arial"/>
                <w:sz w:val="18"/>
                <w:szCs w:val="18"/>
                <w:lang w:eastAsia="en-GB"/>
              </w:rPr>
              <w:t xml:space="preserve">Yki-Järvinen </w:t>
            </w:r>
            <w:r>
              <w:rPr>
                <w:rFonts w:eastAsia="Times New Roman" w:cs="Arial"/>
                <w:i/>
                <w:sz w:val="18"/>
                <w:szCs w:val="18"/>
                <w:lang w:eastAsia="en-GB"/>
              </w:rPr>
              <w:t>et al</w:t>
            </w:r>
            <w:r>
              <w:rPr>
                <w:rFonts w:eastAsia="Times New Roman" w:cs="Arial"/>
                <w:sz w:val="18"/>
                <w:szCs w:val="18"/>
                <w:lang w:eastAsia="en-GB"/>
              </w:rPr>
              <w:t>. 2013 [41]</w:t>
            </w:r>
          </w:p>
        </w:tc>
        <w:tc>
          <w:tcPr>
            <w:tcW w:w="799" w:type="pct"/>
            <w:vAlign w:val="center"/>
          </w:tcPr>
          <w:p w:rsidR="008A17FA" w:rsidRDefault="00711F9F">
            <w:pPr>
              <w:kinsoku w:val="0"/>
              <w:overflowPunct w:val="0"/>
              <w:spacing w:before="77"/>
              <w:textAlignment w:val="baseline"/>
              <w:rPr>
                <w:rFonts w:eastAsia="Times New Roman" w:cs="Arial"/>
                <w:sz w:val="18"/>
                <w:szCs w:val="18"/>
                <w:lang w:eastAsia="en-GB"/>
              </w:rPr>
            </w:pPr>
            <w:r>
              <w:rPr>
                <w:rFonts w:eastAsia="Times New Roman" w:cs="Arial"/>
                <w:sz w:val="18"/>
                <w:szCs w:val="18"/>
                <w:lang w:eastAsia="en-GB"/>
              </w:rPr>
              <w:t>Basal insulin + linagliptin 5 mg</w:t>
            </w:r>
          </w:p>
        </w:tc>
        <w:tc>
          <w:tcPr>
            <w:tcW w:w="368" w:type="pct"/>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42</w:t>
            </w:r>
          </w:p>
        </w:tc>
        <w:tc>
          <w:tcPr>
            <w:tcW w:w="826" w:type="pct"/>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Stable background insulin dose (maintained within 10% of randomisation dose)</w:t>
            </w:r>
          </w:p>
        </w:tc>
        <w:tc>
          <w:tcPr>
            <w:tcW w:w="368" w:type="pct"/>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+0.1 (+0.4 with placebo)</w:t>
            </w:r>
          </w:p>
        </w:tc>
        <w:tc>
          <w:tcPr>
            <w:tcW w:w="367" w:type="pct"/>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67 mmol/mol (8.3%)</w:t>
            </w:r>
          </w:p>
        </w:tc>
        <w:tc>
          <w:tcPr>
            <w:tcW w:w="321" w:type="pct"/>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−0.6</w:t>
            </w:r>
          </w:p>
        </w:tc>
        <w:tc>
          <w:tcPr>
            <w:tcW w:w="367" w:type="pct"/>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−0.65</w:t>
            </w:r>
          </w:p>
        </w:tc>
        <w:tc>
          <w:tcPr>
            <w:tcW w:w="321" w:type="pct"/>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61 mmol/mol (7.7%)</w:t>
            </w:r>
          </w:p>
        </w:tc>
        <w:tc>
          <w:tcPr>
            <w:tcW w:w="278" w:type="pct"/>
            <w:tcBorders>
              <w:right w:val="single" w:sz="18" w:space="0" w:color="000000"/>
            </w:tcBorders>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−0.2 kg</w:t>
            </w:r>
          </w:p>
        </w:tc>
      </w:tr>
      <w:tr w:rsidR="008A17FA" w:rsidTr="008A28AB">
        <w:trPr>
          <w:trHeight w:val="320"/>
        </w:trPr>
        <w:tc>
          <w:tcPr>
            <w:tcW w:w="366" w:type="pct"/>
            <w:vMerge/>
            <w:tcBorders>
              <w:left w:val="single" w:sz="18" w:space="0" w:color="000000"/>
            </w:tcBorders>
            <w:textDirection w:val="btLr"/>
          </w:tcPr>
          <w:p w:rsidR="008A17FA" w:rsidRDefault="008A17FA">
            <w:pPr>
              <w:kinsoku w:val="0"/>
              <w:overflowPunct w:val="0"/>
              <w:spacing w:before="77"/>
              <w:ind w:left="113" w:right="113"/>
              <w:jc w:val="center"/>
              <w:textAlignment w:val="baseline"/>
              <w:rPr>
                <w:rFonts w:eastAsia="Times New Roman" w:cs="Arial"/>
                <w:sz w:val="18"/>
                <w:szCs w:val="18"/>
                <w:lang w:eastAsia="en-GB"/>
              </w:rPr>
            </w:pPr>
          </w:p>
        </w:tc>
        <w:tc>
          <w:tcPr>
            <w:tcW w:w="619" w:type="pct"/>
            <w:vAlign w:val="center"/>
          </w:tcPr>
          <w:p w:rsidR="008A17FA" w:rsidRDefault="008C4DFD">
            <w:pPr>
              <w:kinsoku w:val="0"/>
              <w:overflowPunct w:val="0"/>
              <w:spacing w:before="77"/>
              <w:textAlignment w:val="baseline"/>
              <w:rPr>
                <w:rFonts w:eastAsia="Times New Roman" w:cs="Arial"/>
                <w:sz w:val="18"/>
                <w:szCs w:val="18"/>
                <w:lang w:eastAsia="en-GB"/>
              </w:rPr>
            </w:pPr>
            <w:hyperlink r:id="rId20" w:history="1">
              <w:r w:rsidR="00711F9F">
                <w:rPr>
                  <w:rFonts w:cs="Arial"/>
                  <w:sz w:val="18"/>
                  <w:szCs w:val="20"/>
                </w:rPr>
                <w:t>Kothny</w:t>
              </w:r>
            </w:hyperlink>
            <w:r w:rsidR="00711F9F">
              <w:rPr>
                <w:rFonts w:cs="Arial"/>
                <w:sz w:val="18"/>
                <w:szCs w:val="20"/>
              </w:rPr>
              <w:t xml:space="preserve"> </w:t>
            </w:r>
            <w:r w:rsidR="00711F9F">
              <w:rPr>
                <w:rFonts w:cs="Arial"/>
                <w:i/>
                <w:sz w:val="18"/>
                <w:szCs w:val="20"/>
              </w:rPr>
              <w:t>et al.</w:t>
            </w:r>
            <w:r w:rsidR="00711F9F">
              <w:rPr>
                <w:rFonts w:cs="Arial"/>
                <w:sz w:val="18"/>
                <w:szCs w:val="20"/>
              </w:rPr>
              <w:t xml:space="preserve"> 2013 [42]</w:t>
            </w:r>
          </w:p>
        </w:tc>
        <w:tc>
          <w:tcPr>
            <w:tcW w:w="799" w:type="pct"/>
            <w:vAlign w:val="center"/>
          </w:tcPr>
          <w:p w:rsidR="008A17FA" w:rsidRDefault="00711F9F">
            <w:pPr>
              <w:kinsoku w:val="0"/>
              <w:overflowPunct w:val="0"/>
              <w:spacing w:before="77"/>
              <w:textAlignment w:val="baseline"/>
              <w:rPr>
                <w:rFonts w:eastAsia="Times New Roman" w:cs="Arial"/>
                <w:sz w:val="18"/>
                <w:szCs w:val="18"/>
                <w:lang w:eastAsia="en-GB"/>
              </w:rPr>
            </w:pPr>
            <w:r>
              <w:rPr>
                <w:rFonts w:eastAsia="Times New Roman" w:cs="Arial"/>
                <w:sz w:val="18"/>
                <w:szCs w:val="18"/>
                <w:lang w:eastAsia="en-GB"/>
              </w:rPr>
              <w:t>Insulin + vildagliptin 50 mg</w:t>
            </w:r>
          </w:p>
        </w:tc>
        <w:tc>
          <w:tcPr>
            <w:tcW w:w="368" w:type="pct"/>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40</w:t>
            </w:r>
          </w:p>
        </w:tc>
        <w:tc>
          <w:tcPr>
            <w:tcW w:w="826" w:type="pct"/>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Stable background insulin dose (maintained within 10% of randomisation dose)</w:t>
            </w:r>
          </w:p>
        </w:tc>
        <w:tc>
          <w:tcPr>
            <w:tcW w:w="368" w:type="pct"/>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−1.1 (−0.2 with placebo)</w:t>
            </w:r>
          </w:p>
        </w:tc>
        <w:tc>
          <w:tcPr>
            <w:tcW w:w="367" w:type="pct"/>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73 mmol/mol (8.8%)</w:t>
            </w:r>
          </w:p>
        </w:tc>
        <w:tc>
          <w:tcPr>
            <w:tcW w:w="321" w:type="pct"/>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−0.8</w:t>
            </w:r>
          </w:p>
        </w:tc>
        <w:tc>
          <w:tcPr>
            <w:tcW w:w="367" w:type="pct"/>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−0.7</w:t>
            </w:r>
          </w:p>
        </w:tc>
        <w:tc>
          <w:tcPr>
            <w:tcW w:w="321" w:type="pct"/>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64 mmol/mol (8.0%</w:t>
            </w:r>
            <w:proofErr w:type="gramStart"/>
            <w:r>
              <w:rPr>
                <w:rFonts w:eastAsia="Times New Roman" w:cs="Arial"/>
                <w:sz w:val="18"/>
                <w:szCs w:val="18"/>
                <w:lang w:eastAsia="en-GB"/>
              </w:rPr>
              <w:t>)*</w:t>
            </w:r>
            <w:proofErr w:type="gramEnd"/>
            <w:r>
              <w:rPr>
                <w:rFonts w:eastAsia="Times New Roman" w:cs="Arial"/>
                <w:sz w:val="18"/>
                <w:szCs w:val="18"/>
                <w:lang w:eastAsia="en-GB"/>
              </w:rPr>
              <w:t>*</w:t>
            </w:r>
          </w:p>
        </w:tc>
        <w:tc>
          <w:tcPr>
            <w:tcW w:w="278" w:type="pct"/>
            <w:tcBorders>
              <w:right w:val="single" w:sz="18" w:space="0" w:color="000000"/>
            </w:tcBorders>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+0.1 kg</w:t>
            </w:r>
          </w:p>
        </w:tc>
      </w:tr>
      <w:tr w:rsidR="008A17FA">
        <w:trPr>
          <w:trHeight w:val="320"/>
        </w:trPr>
        <w:tc>
          <w:tcPr>
            <w:tcW w:w="366" w:type="pct"/>
            <w:vMerge w:val="restart"/>
            <w:tcBorders>
              <w:top w:val="single" w:sz="18" w:space="0" w:color="auto"/>
              <w:left w:val="single" w:sz="18" w:space="0" w:color="000000"/>
            </w:tcBorders>
            <w:textDirection w:val="btLr"/>
          </w:tcPr>
          <w:p w:rsidR="008A17FA" w:rsidRDefault="00711F9F">
            <w:pPr>
              <w:kinsoku w:val="0"/>
              <w:overflowPunct w:val="0"/>
              <w:spacing w:before="77"/>
              <w:ind w:left="113" w:right="113"/>
              <w:jc w:val="center"/>
              <w:textAlignment w:val="baseline"/>
              <w:rPr>
                <w:rFonts w:eastAsia="Times New Roman" w:cs="Arial"/>
                <w:sz w:val="18"/>
                <w:szCs w:val="18"/>
                <w:lang w:eastAsia="en-GB"/>
              </w:rPr>
            </w:pPr>
            <w:r>
              <w:rPr>
                <w:rFonts w:eastAsia="Times New Roman" w:cs="Arial"/>
                <w:sz w:val="18"/>
                <w:szCs w:val="18"/>
                <w:lang w:eastAsia="en-GB"/>
              </w:rPr>
              <w:t>GLP-1 RA in combination with basal insulin</w:t>
            </w:r>
          </w:p>
        </w:tc>
        <w:tc>
          <w:tcPr>
            <w:tcW w:w="4634" w:type="pct"/>
            <w:gridSpan w:val="10"/>
            <w:tcBorders>
              <w:top w:val="single" w:sz="18" w:space="0" w:color="auto"/>
              <w:right w:val="single" w:sz="18" w:space="0" w:color="000000"/>
            </w:tcBorders>
          </w:tcPr>
          <w:p w:rsidR="008A17FA" w:rsidRDefault="00711F9F">
            <w:pPr>
              <w:kinsoku w:val="0"/>
              <w:overflowPunct w:val="0"/>
              <w:spacing w:before="77"/>
              <w:textAlignment w:val="baseline"/>
              <w:rPr>
                <w:rFonts w:eastAsia="Times New Roman" w:cs="Arial"/>
                <w:i/>
                <w:sz w:val="18"/>
                <w:szCs w:val="18"/>
                <w:lang w:eastAsia="en-GB"/>
              </w:rPr>
            </w:pPr>
            <w:r>
              <w:rPr>
                <w:rFonts w:eastAsia="Times New Roman" w:cs="Arial"/>
                <w:i/>
                <w:sz w:val="18"/>
                <w:szCs w:val="18"/>
                <w:lang w:eastAsia="en-GB"/>
              </w:rPr>
              <w:t>Addition of basal insulin to a GLP-1RA</w:t>
            </w:r>
          </w:p>
        </w:tc>
      </w:tr>
      <w:tr w:rsidR="008A17FA">
        <w:trPr>
          <w:trHeight w:val="320"/>
        </w:trPr>
        <w:tc>
          <w:tcPr>
            <w:tcW w:w="366" w:type="pct"/>
            <w:vMerge/>
            <w:tcBorders>
              <w:left w:val="single" w:sz="18" w:space="0" w:color="000000"/>
            </w:tcBorders>
          </w:tcPr>
          <w:p w:rsidR="008A17FA" w:rsidRDefault="008A17FA">
            <w:pPr>
              <w:kinsoku w:val="0"/>
              <w:overflowPunct w:val="0"/>
              <w:spacing w:before="77"/>
              <w:textAlignment w:val="baseline"/>
              <w:rPr>
                <w:rFonts w:eastAsia="MS PGothic" w:cs="Arial"/>
                <w:kern w:val="24"/>
                <w:sz w:val="18"/>
                <w:szCs w:val="18"/>
                <w:lang w:eastAsia="en-GB"/>
              </w:rPr>
            </w:pPr>
          </w:p>
        </w:tc>
        <w:tc>
          <w:tcPr>
            <w:tcW w:w="619" w:type="pct"/>
            <w:vAlign w:val="center"/>
            <w:hideMark/>
          </w:tcPr>
          <w:p w:rsidR="008A17FA" w:rsidRDefault="00711F9F">
            <w:pPr>
              <w:kinsoku w:val="0"/>
              <w:overflowPunct w:val="0"/>
              <w:spacing w:before="77"/>
              <w:textAlignment w:val="baseline"/>
              <w:rPr>
                <w:rFonts w:eastAsia="Times New Roman" w:cs="Arial"/>
                <w:sz w:val="18"/>
                <w:szCs w:val="18"/>
                <w:lang w:eastAsia="en-GB"/>
              </w:rPr>
            </w:pPr>
            <w:r>
              <w:rPr>
                <w:rFonts w:eastAsia="MS PGothic" w:cs="Arial"/>
                <w:kern w:val="24"/>
                <w:sz w:val="18"/>
                <w:szCs w:val="18"/>
                <w:lang w:eastAsia="en-GB"/>
              </w:rPr>
              <w:t xml:space="preserve">DeVries </w:t>
            </w:r>
            <w:r>
              <w:rPr>
                <w:rFonts w:eastAsia="MS PGothic" w:cs="Arial"/>
                <w:i/>
                <w:kern w:val="24"/>
                <w:sz w:val="18"/>
                <w:szCs w:val="18"/>
                <w:lang w:eastAsia="en-GB"/>
              </w:rPr>
              <w:t>et al</w:t>
            </w:r>
            <w:r>
              <w:rPr>
                <w:rFonts w:eastAsia="MS PGothic" w:cs="Arial"/>
                <w:kern w:val="24"/>
                <w:sz w:val="18"/>
                <w:szCs w:val="18"/>
                <w:lang w:eastAsia="en-GB"/>
              </w:rPr>
              <w:t>. 2012 [45]</w:t>
            </w:r>
          </w:p>
        </w:tc>
        <w:tc>
          <w:tcPr>
            <w:tcW w:w="799" w:type="pct"/>
            <w:vAlign w:val="center"/>
            <w:hideMark/>
          </w:tcPr>
          <w:p w:rsidR="008A17FA" w:rsidRDefault="00711F9F">
            <w:pPr>
              <w:kinsoku w:val="0"/>
              <w:overflowPunct w:val="0"/>
              <w:spacing w:before="77"/>
              <w:textAlignment w:val="baseline"/>
              <w:rPr>
                <w:rFonts w:eastAsia="Times New Roman" w:cs="Arial"/>
                <w:sz w:val="18"/>
                <w:szCs w:val="18"/>
                <w:lang w:eastAsia="en-GB"/>
              </w:rPr>
            </w:pPr>
            <w:r>
              <w:rPr>
                <w:rFonts w:eastAsia="MS PGothic" w:cs="Arial"/>
                <w:kern w:val="24"/>
                <w:sz w:val="18"/>
                <w:szCs w:val="18"/>
                <w:lang w:eastAsia="en-GB"/>
              </w:rPr>
              <w:t>Liraglutide 1.8 mg + IDet</w:t>
            </w:r>
          </w:p>
        </w:tc>
        <w:tc>
          <w:tcPr>
            <w:tcW w:w="368" w:type="pct"/>
            <w:vAlign w:val="center"/>
          </w:tcPr>
          <w:p w:rsidR="008A17FA" w:rsidRDefault="00711F9F">
            <w:pPr>
              <w:kinsoku w:val="0"/>
              <w:overflowPunct w:val="0"/>
              <w:spacing w:before="77"/>
              <w:jc w:val="center"/>
              <w:textAlignment w:val="baseline"/>
              <w:rPr>
                <w:rFonts w:eastAsia="MS PGothic" w:cs="Arial"/>
                <w:kern w:val="24"/>
                <w:sz w:val="18"/>
                <w:szCs w:val="18"/>
                <w:lang w:eastAsia="en-GB"/>
              </w:rPr>
            </w:pPr>
            <w:r>
              <w:rPr>
                <w:rFonts w:eastAsia="MS PGothic" w:cs="Arial"/>
                <w:kern w:val="24"/>
                <w:sz w:val="18"/>
                <w:szCs w:val="18"/>
                <w:lang w:eastAsia="en-GB"/>
              </w:rPr>
              <w:t>0</w:t>
            </w:r>
          </w:p>
        </w:tc>
        <w:tc>
          <w:tcPr>
            <w:tcW w:w="826" w:type="pct"/>
          </w:tcPr>
          <w:p w:rsidR="008A17FA" w:rsidRDefault="00711F9F">
            <w:pPr>
              <w:kinsoku w:val="0"/>
              <w:overflowPunct w:val="0"/>
              <w:spacing w:before="77"/>
              <w:jc w:val="center"/>
              <w:textAlignment w:val="baseline"/>
              <w:rPr>
                <w:rFonts w:eastAsia="MS PGothic" w:cs="Arial"/>
                <w:kern w:val="24"/>
                <w:sz w:val="18"/>
                <w:szCs w:val="18"/>
                <w:lang w:eastAsia="en-GB"/>
              </w:rPr>
            </w:pPr>
            <w:r>
              <w:rPr>
                <w:rFonts w:eastAsia="MS PGothic" w:cs="Arial"/>
                <w:kern w:val="24"/>
                <w:sz w:val="18"/>
                <w:szCs w:val="18"/>
                <w:lang w:eastAsia="en-GB"/>
              </w:rPr>
              <w:t>IDet started at 10 U and then titrated weekly to FPG 4.1-6.0 mmol/L</w:t>
            </w:r>
          </w:p>
        </w:tc>
        <w:tc>
          <w:tcPr>
            <w:tcW w:w="368" w:type="pct"/>
            <w:vAlign w:val="center"/>
          </w:tcPr>
          <w:p w:rsidR="008A17FA" w:rsidRDefault="00711F9F">
            <w:pPr>
              <w:kinsoku w:val="0"/>
              <w:overflowPunct w:val="0"/>
              <w:spacing w:before="77"/>
              <w:jc w:val="center"/>
              <w:textAlignment w:val="baseline"/>
              <w:rPr>
                <w:rFonts w:eastAsia="MS PGothic" w:cs="Arial"/>
                <w:kern w:val="24"/>
                <w:sz w:val="18"/>
                <w:szCs w:val="18"/>
                <w:lang w:eastAsia="en-GB"/>
              </w:rPr>
            </w:pPr>
            <w:r>
              <w:rPr>
                <w:rFonts w:eastAsia="MS PGothic" w:cs="Arial"/>
                <w:kern w:val="24"/>
                <w:sz w:val="18"/>
                <w:szCs w:val="18"/>
                <w:lang w:eastAsia="en-GB"/>
              </w:rPr>
              <w:t>+39.5</w:t>
            </w:r>
          </w:p>
        </w:tc>
        <w:tc>
          <w:tcPr>
            <w:tcW w:w="367" w:type="pct"/>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60 mmol/mol (7.6%)</w:t>
            </w:r>
          </w:p>
        </w:tc>
        <w:tc>
          <w:tcPr>
            <w:tcW w:w="321" w:type="pct"/>
            <w:shd w:val="clear" w:color="auto" w:fill="auto"/>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MS PGothic" w:cs="Arial"/>
                <w:kern w:val="24"/>
                <w:sz w:val="18"/>
                <w:szCs w:val="18"/>
                <w:lang w:eastAsia="en-GB"/>
              </w:rPr>
              <w:t>−0.5</w:t>
            </w:r>
          </w:p>
        </w:tc>
        <w:tc>
          <w:tcPr>
            <w:tcW w:w="367" w:type="pct"/>
            <w:vAlign w:val="center"/>
          </w:tcPr>
          <w:p w:rsidR="008A17FA" w:rsidRDefault="00711F9F">
            <w:pPr>
              <w:kinsoku w:val="0"/>
              <w:overflowPunct w:val="0"/>
              <w:spacing w:before="77"/>
              <w:jc w:val="center"/>
              <w:textAlignment w:val="baseline"/>
              <w:rPr>
                <w:rFonts w:eastAsia="MS PGothic" w:cs="Arial"/>
                <w:bCs/>
                <w:kern w:val="24"/>
                <w:sz w:val="18"/>
                <w:szCs w:val="18"/>
                <w:lang w:eastAsia="en-GB"/>
              </w:rPr>
            </w:pPr>
            <w:r>
              <w:rPr>
                <w:rFonts w:eastAsia="MS PGothic" w:cs="Arial"/>
                <w:bCs/>
                <w:kern w:val="24"/>
                <w:sz w:val="18"/>
                <w:szCs w:val="18"/>
                <w:lang w:eastAsia="en-GB"/>
              </w:rPr>
              <w:t>N/A</w:t>
            </w:r>
          </w:p>
        </w:tc>
        <w:tc>
          <w:tcPr>
            <w:tcW w:w="321" w:type="pct"/>
            <w:vAlign w:val="center"/>
          </w:tcPr>
          <w:p w:rsidR="008A17FA" w:rsidRDefault="00711F9F">
            <w:pPr>
              <w:kinsoku w:val="0"/>
              <w:overflowPunct w:val="0"/>
              <w:spacing w:before="77"/>
              <w:jc w:val="center"/>
              <w:textAlignment w:val="baseline"/>
              <w:rPr>
                <w:rFonts w:eastAsia="MS PGothic" w:cs="Arial"/>
                <w:bCs/>
                <w:kern w:val="24"/>
                <w:sz w:val="18"/>
                <w:szCs w:val="18"/>
                <w:lang w:val="da-DK" w:eastAsia="en-GB"/>
              </w:rPr>
            </w:pPr>
            <w:r>
              <w:rPr>
                <w:rFonts w:eastAsia="MS PGothic" w:cs="Arial"/>
                <w:bCs/>
                <w:kern w:val="24"/>
                <w:sz w:val="18"/>
                <w:szCs w:val="18"/>
                <w:lang w:eastAsia="en-GB"/>
              </w:rPr>
              <w:t>54 mmol/mol (7.1%)</w:t>
            </w:r>
          </w:p>
        </w:tc>
        <w:tc>
          <w:tcPr>
            <w:tcW w:w="278" w:type="pct"/>
            <w:tcBorders>
              <w:right w:val="single" w:sz="18" w:space="0" w:color="000000"/>
            </w:tcBorders>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−0.2 kg</w:t>
            </w:r>
          </w:p>
        </w:tc>
      </w:tr>
      <w:tr w:rsidR="008A17FA">
        <w:trPr>
          <w:trHeight w:val="320"/>
        </w:trPr>
        <w:tc>
          <w:tcPr>
            <w:tcW w:w="366" w:type="pct"/>
            <w:vMerge/>
            <w:tcBorders>
              <w:left w:val="single" w:sz="18" w:space="0" w:color="000000"/>
            </w:tcBorders>
          </w:tcPr>
          <w:p w:rsidR="008A17FA" w:rsidRDefault="008A17FA">
            <w:pPr>
              <w:kinsoku w:val="0"/>
              <w:overflowPunct w:val="0"/>
              <w:spacing w:before="77"/>
              <w:textAlignment w:val="baseline"/>
              <w:rPr>
                <w:rFonts w:eastAsia="MS PGothic" w:cs="Arial"/>
                <w:kern w:val="24"/>
                <w:sz w:val="18"/>
                <w:szCs w:val="18"/>
                <w:lang w:val="da-DK" w:eastAsia="en-GB"/>
              </w:rPr>
            </w:pPr>
          </w:p>
        </w:tc>
        <w:tc>
          <w:tcPr>
            <w:tcW w:w="619" w:type="pct"/>
            <w:vAlign w:val="center"/>
            <w:hideMark/>
          </w:tcPr>
          <w:p w:rsidR="008A17FA" w:rsidRDefault="00711F9F">
            <w:pPr>
              <w:kinsoku w:val="0"/>
              <w:overflowPunct w:val="0"/>
              <w:spacing w:before="77"/>
              <w:textAlignment w:val="baseline"/>
              <w:rPr>
                <w:rFonts w:eastAsia="Times New Roman" w:cs="Arial"/>
                <w:sz w:val="18"/>
                <w:szCs w:val="18"/>
                <w:lang w:eastAsia="en-GB"/>
              </w:rPr>
            </w:pPr>
            <w:r>
              <w:rPr>
                <w:rFonts w:eastAsia="MS PGothic" w:cs="Arial"/>
                <w:kern w:val="24"/>
                <w:sz w:val="18"/>
                <w:szCs w:val="18"/>
                <w:lang w:val="da-DK" w:eastAsia="en-GB"/>
              </w:rPr>
              <w:t xml:space="preserve">Aroda </w:t>
            </w:r>
            <w:r>
              <w:rPr>
                <w:rFonts w:eastAsia="MS PGothic" w:cs="Arial"/>
                <w:i/>
                <w:kern w:val="24"/>
                <w:sz w:val="18"/>
                <w:szCs w:val="18"/>
                <w:lang w:val="da-DK" w:eastAsia="en-GB"/>
              </w:rPr>
              <w:t>et al</w:t>
            </w:r>
            <w:r>
              <w:rPr>
                <w:rFonts w:eastAsia="MS PGothic" w:cs="Arial"/>
                <w:kern w:val="24"/>
                <w:sz w:val="18"/>
                <w:szCs w:val="18"/>
                <w:lang w:val="da-DK" w:eastAsia="en-GB"/>
              </w:rPr>
              <w:t>. 2014 [46]</w:t>
            </w:r>
          </w:p>
        </w:tc>
        <w:tc>
          <w:tcPr>
            <w:tcW w:w="799" w:type="pct"/>
            <w:vAlign w:val="center"/>
            <w:hideMark/>
          </w:tcPr>
          <w:p w:rsidR="008A17FA" w:rsidRDefault="00711F9F">
            <w:pPr>
              <w:kinsoku w:val="0"/>
              <w:overflowPunct w:val="0"/>
              <w:spacing w:before="77"/>
              <w:textAlignment w:val="baseline"/>
              <w:rPr>
                <w:rFonts w:eastAsia="Times New Roman" w:cs="Arial"/>
                <w:sz w:val="18"/>
                <w:szCs w:val="18"/>
                <w:lang w:eastAsia="en-GB"/>
              </w:rPr>
            </w:pPr>
            <w:r>
              <w:rPr>
                <w:rFonts w:eastAsia="MS PGothic" w:cs="Arial"/>
                <w:kern w:val="24"/>
                <w:sz w:val="18"/>
                <w:szCs w:val="18"/>
                <w:lang w:val="da-DK" w:eastAsia="en-GB"/>
              </w:rPr>
              <w:t>Liraglutide 1.8 mg + IDeg</w:t>
            </w:r>
          </w:p>
        </w:tc>
        <w:tc>
          <w:tcPr>
            <w:tcW w:w="368" w:type="pct"/>
          </w:tcPr>
          <w:p w:rsidR="008A17FA" w:rsidRDefault="00711F9F">
            <w:pPr>
              <w:kinsoku w:val="0"/>
              <w:overflowPunct w:val="0"/>
              <w:spacing w:before="77"/>
              <w:jc w:val="center"/>
              <w:textAlignment w:val="baseline"/>
              <w:rPr>
                <w:rFonts w:eastAsia="Times New Roman" w:cs="Arial"/>
                <w:kern w:val="24"/>
                <w:sz w:val="18"/>
                <w:szCs w:val="18"/>
                <w:lang w:eastAsia="en-GB"/>
              </w:rPr>
            </w:pPr>
            <w:r>
              <w:rPr>
                <w:rFonts w:eastAsia="Times New Roman" w:cs="Arial"/>
                <w:kern w:val="24"/>
                <w:sz w:val="18"/>
                <w:szCs w:val="18"/>
                <w:lang w:eastAsia="en-GB"/>
              </w:rPr>
              <w:t>0</w:t>
            </w:r>
          </w:p>
        </w:tc>
        <w:tc>
          <w:tcPr>
            <w:tcW w:w="826" w:type="pct"/>
          </w:tcPr>
          <w:p w:rsidR="008A17FA" w:rsidRDefault="00711F9F">
            <w:pPr>
              <w:kinsoku w:val="0"/>
              <w:overflowPunct w:val="0"/>
              <w:spacing w:before="77"/>
              <w:jc w:val="center"/>
              <w:textAlignment w:val="baseline"/>
              <w:rPr>
                <w:rFonts w:eastAsia="Times New Roman" w:cs="Arial"/>
                <w:kern w:val="24"/>
                <w:sz w:val="18"/>
                <w:szCs w:val="18"/>
                <w:lang w:eastAsia="en-GB"/>
              </w:rPr>
            </w:pPr>
            <w:r>
              <w:rPr>
                <w:rFonts w:eastAsia="Times New Roman" w:cs="Arial"/>
                <w:kern w:val="24"/>
                <w:sz w:val="18"/>
                <w:szCs w:val="18"/>
                <w:lang w:eastAsia="en-GB"/>
              </w:rPr>
              <w:t>IDeg started at 10 U and then titrated to FPG 4-5 mmol/L</w:t>
            </w:r>
          </w:p>
        </w:tc>
        <w:tc>
          <w:tcPr>
            <w:tcW w:w="368" w:type="pct"/>
            <w:vAlign w:val="center"/>
          </w:tcPr>
          <w:p w:rsidR="008A17FA" w:rsidRDefault="00711F9F">
            <w:pPr>
              <w:kinsoku w:val="0"/>
              <w:overflowPunct w:val="0"/>
              <w:spacing w:before="77"/>
              <w:jc w:val="center"/>
              <w:textAlignment w:val="baseline"/>
              <w:rPr>
                <w:rFonts w:eastAsia="Times New Roman" w:cs="Arial"/>
                <w:kern w:val="24"/>
                <w:sz w:val="18"/>
                <w:szCs w:val="18"/>
                <w:lang w:eastAsia="en-GB"/>
              </w:rPr>
            </w:pPr>
            <w:r>
              <w:rPr>
                <w:rFonts w:eastAsia="Times New Roman" w:cs="Arial"/>
                <w:kern w:val="24"/>
                <w:sz w:val="18"/>
                <w:szCs w:val="18"/>
                <w:lang w:eastAsia="en-GB"/>
              </w:rPr>
              <w:t>+51</w:t>
            </w:r>
          </w:p>
        </w:tc>
        <w:tc>
          <w:tcPr>
            <w:tcW w:w="367" w:type="pct"/>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58 mmol/mol (7.5%)</w:t>
            </w:r>
          </w:p>
        </w:tc>
        <w:tc>
          <w:tcPr>
            <w:tcW w:w="321" w:type="pct"/>
            <w:shd w:val="clear" w:color="auto" w:fill="auto"/>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kern w:val="24"/>
                <w:sz w:val="18"/>
                <w:szCs w:val="18"/>
                <w:lang w:eastAsia="en-GB"/>
              </w:rPr>
              <w:t>−1.04</w:t>
            </w:r>
          </w:p>
        </w:tc>
        <w:tc>
          <w:tcPr>
            <w:tcW w:w="367" w:type="pct"/>
            <w:vAlign w:val="center"/>
          </w:tcPr>
          <w:p w:rsidR="008A17FA" w:rsidRDefault="00711F9F">
            <w:pPr>
              <w:kinsoku w:val="0"/>
              <w:overflowPunct w:val="0"/>
              <w:spacing w:before="77"/>
              <w:jc w:val="center"/>
              <w:textAlignment w:val="baseline"/>
              <w:rPr>
                <w:rFonts w:eastAsia="MS PGothic" w:cs="Arial"/>
                <w:bCs/>
                <w:kern w:val="24"/>
                <w:sz w:val="18"/>
                <w:szCs w:val="18"/>
                <w:lang w:eastAsia="en-GB"/>
              </w:rPr>
            </w:pPr>
            <w:r>
              <w:rPr>
                <w:rFonts w:eastAsia="MS PGothic" w:cs="Arial"/>
                <w:bCs/>
                <w:kern w:val="24"/>
                <w:sz w:val="18"/>
                <w:szCs w:val="18"/>
                <w:lang w:eastAsia="en-GB"/>
              </w:rPr>
              <w:t>−0.92</w:t>
            </w:r>
          </w:p>
        </w:tc>
        <w:tc>
          <w:tcPr>
            <w:tcW w:w="321" w:type="pct"/>
            <w:vAlign w:val="center"/>
          </w:tcPr>
          <w:p w:rsidR="008A17FA" w:rsidRDefault="00711F9F">
            <w:pPr>
              <w:kinsoku w:val="0"/>
              <w:overflowPunct w:val="0"/>
              <w:spacing w:before="77"/>
              <w:jc w:val="center"/>
              <w:textAlignment w:val="baseline"/>
              <w:rPr>
                <w:rFonts w:eastAsia="MS PGothic" w:cs="Arial"/>
                <w:bCs/>
                <w:kern w:val="24"/>
                <w:sz w:val="18"/>
                <w:szCs w:val="18"/>
                <w:lang w:eastAsia="en-GB"/>
              </w:rPr>
            </w:pPr>
            <w:r>
              <w:rPr>
                <w:rFonts w:eastAsia="MS PGothic" w:cs="Arial"/>
                <w:bCs/>
                <w:kern w:val="24"/>
                <w:sz w:val="18"/>
                <w:szCs w:val="18"/>
                <w:lang w:eastAsia="en-GB"/>
              </w:rPr>
              <w:t>48 mmol/mol (6.5%)</w:t>
            </w:r>
          </w:p>
        </w:tc>
        <w:tc>
          <w:tcPr>
            <w:tcW w:w="278" w:type="pct"/>
            <w:tcBorders>
              <w:right w:val="single" w:sz="18" w:space="0" w:color="000000"/>
            </w:tcBorders>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+2.0 kg</w:t>
            </w:r>
          </w:p>
        </w:tc>
      </w:tr>
      <w:tr w:rsidR="008A17FA">
        <w:trPr>
          <w:trHeight w:val="320"/>
        </w:trPr>
        <w:tc>
          <w:tcPr>
            <w:tcW w:w="366" w:type="pct"/>
            <w:vMerge/>
            <w:tcBorders>
              <w:left w:val="single" w:sz="18" w:space="0" w:color="000000"/>
            </w:tcBorders>
          </w:tcPr>
          <w:p w:rsidR="008A17FA" w:rsidRDefault="008A17FA">
            <w:pPr>
              <w:kinsoku w:val="0"/>
              <w:overflowPunct w:val="0"/>
              <w:spacing w:before="77"/>
              <w:textAlignment w:val="baseline"/>
              <w:rPr>
                <w:rFonts w:eastAsia="Times New Roman" w:cs="Arial"/>
                <w:i/>
                <w:sz w:val="18"/>
                <w:szCs w:val="18"/>
                <w:lang w:eastAsia="en-GB"/>
              </w:rPr>
            </w:pPr>
          </w:p>
        </w:tc>
        <w:tc>
          <w:tcPr>
            <w:tcW w:w="4634" w:type="pct"/>
            <w:gridSpan w:val="10"/>
            <w:tcBorders>
              <w:right w:val="single" w:sz="18" w:space="0" w:color="000000"/>
            </w:tcBorders>
          </w:tcPr>
          <w:p w:rsidR="008A17FA" w:rsidRDefault="00711F9F">
            <w:pPr>
              <w:kinsoku w:val="0"/>
              <w:overflowPunct w:val="0"/>
              <w:spacing w:before="77"/>
              <w:textAlignment w:val="baseline"/>
              <w:rPr>
                <w:rFonts w:eastAsia="Times New Roman" w:cs="Arial"/>
                <w:i/>
                <w:sz w:val="18"/>
                <w:szCs w:val="18"/>
                <w:lang w:eastAsia="en-GB"/>
              </w:rPr>
            </w:pPr>
            <w:r>
              <w:rPr>
                <w:rFonts w:eastAsia="Times New Roman" w:cs="Arial"/>
                <w:i/>
                <w:sz w:val="18"/>
                <w:szCs w:val="18"/>
                <w:lang w:eastAsia="en-GB"/>
              </w:rPr>
              <w:t>Addition of a GLP-1RA to basal insulin vs. placebo</w:t>
            </w:r>
          </w:p>
        </w:tc>
      </w:tr>
      <w:tr w:rsidR="008A17FA">
        <w:trPr>
          <w:trHeight w:val="320"/>
        </w:trPr>
        <w:tc>
          <w:tcPr>
            <w:tcW w:w="366" w:type="pct"/>
            <w:vMerge/>
            <w:tcBorders>
              <w:left w:val="single" w:sz="18" w:space="0" w:color="000000"/>
            </w:tcBorders>
          </w:tcPr>
          <w:p w:rsidR="008A17FA" w:rsidRDefault="008A17FA">
            <w:pPr>
              <w:kinsoku w:val="0"/>
              <w:overflowPunct w:val="0"/>
              <w:spacing w:before="77"/>
              <w:textAlignment w:val="baseline"/>
              <w:rPr>
                <w:rFonts w:eastAsia="MS PGothic" w:cs="Arial"/>
                <w:kern w:val="24"/>
                <w:sz w:val="18"/>
                <w:szCs w:val="18"/>
                <w:lang w:eastAsia="en-GB"/>
              </w:rPr>
            </w:pPr>
          </w:p>
        </w:tc>
        <w:tc>
          <w:tcPr>
            <w:tcW w:w="619" w:type="pct"/>
            <w:vAlign w:val="center"/>
            <w:hideMark/>
          </w:tcPr>
          <w:p w:rsidR="008A17FA" w:rsidRDefault="00711F9F">
            <w:pPr>
              <w:kinsoku w:val="0"/>
              <w:overflowPunct w:val="0"/>
              <w:spacing w:before="77"/>
              <w:textAlignment w:val="baseline"/>
              <w:rPr>
                <w:rFonts w:eastAsia="Times New Roman" w:cs="Arial"/>
                <w:sz w:val="18"/>
                <w:szCs w:val="18"/>
                <w:lang w:eastAsia="en-GB"/>
              </w:rPr>
            </w:pPr>
            <w:r>
              <w:rPr>
                <w:rFonts w:eastAsia="MS PGothic" w:cs="Arial"/>
                <w:kern w:val="24"/>
                <w:sz w:val="18"/>
                <w:szCs w:val="18"/>
                <w:lang w:eastAsia="en-GB"/>
              </w:rPr>
              <w:t xml:space="preserve">Buse </w:t>
            </w:r>
            <w:r>
              <w:rPr>
                <w:rFonts w:eastAsia="MS PGothic" w:cs="Arial"/>
                <w:i/>
                <w:kern w:val="24"/>
                <w:sz w:val="18"/>
                <w:szCs w:val="18"/>
                <w:lang w:eastAsia="en-GB"/>
              </w:rPr>
              <w:t>et al</w:t>
            </w:r>
            <w:r>
              <w:rPr>
                <w:rFonts w:eastAsia="MS PGothic" w:cs="Arial"/>
                <w:kern w:val="24"/>
                <w:sz w:val="18"/>
                <w:szCs w:val="18"/>
                <w:lang w:eastAsia="en-GB"/>
              </w:rPr>
              <w:t>. 2011 [51]</w:t>
            </w:r>
          </w:p>
        </w:tc>
        <w:tc>
          <w:tcPr>
            <w:tcW w:w="799" w:type="pct"/>
            <w:vAlign w:val="center"/>
            <w:hideMark/>
          </w:tcPr>
          <w:p w:rsidR="008A17FA" w:rsidRDefault="00711F9F">
            <w:pPr>
              <w:kinsoku w:val="0"/>
              <w:overflowPunct w:val="0"/>
              <w:spacing w:before="77"/>
              <w:textAlignment w:val="baseline"/>
              <w:rPr>
                <w:rFonts w:eastAsia="Times New Roman" w:cs="Arial"/>
                <w:sz w:val="18"/>
                <w:szCs w:val="18"/>
                <w:lang w:eastAsia="en-GB"/>
              </w:rPr>
            </w:pPr>
            <w:r>
              <w:rPr>
                <w:rFonts w:eastAsia="MS PGothic" w:cs="Arial"/>
                <w:kern w:val="24"/>
                <w:sz w:val="18"/>
                <w:szCs w:val="18"/>
                <w:lang w:eastAsia="en-GB"/>
              </w:rPr>
              <w:t>IGlar + exenatide 10 µg BID</w:t>
            </w:r>
          </w:p>
        </w:tc>
        <w:tc>
          <w:tcPr>
            <w:tcW w:w="368" w:type="pct"/>
            <w:vAlign w:val="center"/>
          </w:tcPr>
          <w:p w:rsidR="008A17FA" w:rsidRDefault="00711F9F">
            <w:pPr>
              <w:kinsoku w:val="0"/>
              <w:overflowPunct w:val="0"/>
              <w:spacing w:before="77"/>
              <w:jc w:val="center"/>
              <w:textAlignment w:val="baseline"/>
              <w:rPr>
                <w:rFonts w:eastAsia="MS PGothic" w:cs="Arial"/>
                <w:kern w:val="24"/>
                <w:sz w:val="18"/>
                <w:szCs w:val="18"/>
                <w:lang w:eastAsia="en-GB"/>
              </w:rPr>
            </w:pPr>
            <w:r>
              <w:rPr>
                <w:rFonts w:eastAsia="MS PGothic" w:cs="Arial"/>
                <w:kern w:val="24"/>
                <w:sz w:val="18"/>
                <w:szCs w:val="18"/>
                <w:lang w:eastAsia="en-GB"/>
              </w:rPr>
              <w:t>50</w:t>
            </w:r>
          </w:p>
        </w:tc>
        <w:tc>
          <w:tcPr>
            <w:tcW w:w="826" w:type="pct"/>
          </w:tcPr>
          <w:p w:rsidR="008A17FA" w:rsidRDefault="00711F9F">
            <w:pPr>
              <w:kinsoku w:val="0"/>
              <w:overflowPunct w:val="0"/>
              <w:spacing w:before="77"/>
              <w:jc w:val="center"/>
              <w:textAlignment w:val="baseline"/>
              <w:rPr>
                <w:rFonts w:eastAsia="MS PGothic" w:cs="Arial"/>
                <w:kern w:val="24"/>
                <w:sz w:val="18"/>
                <w:szCs w:val="18"/>
                <w:lang w:eastAsia="en-GB"/>
              </w:rPr>
            </w:pPr>
            <w:r>
              <w:rPr>
                <w:rFonts w:eastAsia="MS PGothic" w:cs="Arial"/>
                <w:kern w:val="24"/>
                <w:sz w:val="18"/>
                <w:szCs w:val="18"/>
                <w:lang w:eastAsia="en-GB"/>
              </w:rPr>
              <w:t>Background IGlar titrated to &lt;5.6 mmol/L</w:t>
            </w:r>
          </w:p>
        </w:tc>
        <w:tc>
          <w:tcPr>
            <w:tcW w:w="368" w:type="pct"/>
            <w:vAlign w:val="center"/>
          </w:tcPr>
          <w:p w:rsidR="008A17FA" w:rsidRDefault="00711F9F">
            <w:pPr>
              <w:kinsoku w:val="0"/>
              <w:overflowPunct w:val="0"/>
              <w:spacing w:before="77"/>
              <w:jc w:val="center"/>
              <w:textAlignment w:val="baseline"/>
              <w:rPr>
                <w:rFonts w:eastAsia="MS PGothic" w:cs="Arial"/>
                <w:kern w:val="24"/>
                <w:sz w:val="18"/>
                <w:szCs w:val="18"/>
                <w:lang w:eastAsia="en-GB"/>
              </w:rPr>
            </w:pPr>
            <w:r>
              <w:rPr>
                <w:rFonts w:eastAsia="MS PGothic" w:cs="Arial"/>
                <w:kern w:val="24"/>
                <w:sz w:val="18"/>
                <w:szCs w:val="18"/>
                <w:lang w:eastAsia="en-GB"/>
              </w:rPr>
              <w:t>+13 (+20 with placebo)</w:t>
            </w:r>
          </w:p>
        </w:tc>
        <w:tc>
          <w:tcPr>
            <w:tcW w:w="367" w:type="pct"/>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67 mmol/mol (8.3%)</w:t>
            </w:r>
          </w:p>
        </w:tc>
        <w:tc>
          <w:tcPr>
            <w:tcW w:w="321" w:type="pct"/>
            <w:shd w:val="clear" w:color="auto" w:fill="auto"/>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MS PGothic" w:cs="Arial"/>
                <w:kern w:val="24"/>
                <w:sz w:val="18"/>
                <w:szCs w:val="18"/>
                <w:lang w:eastAsia="en-GB"/>
              </w:rPr>
              <w:t>−1.74</w:t>
            </w:r>
          </w:p>
        </w:tc>
        <w:tc>
          <w:tcPr>
            <w:tcW w:w="367" w:type="pct"/>
            <w:vAlign w:val="center"/>
          </w:tcPr>
          <w:p w:rsidR="008A17FA" w:rsidRDefault="00711F9F">
            <w:pPr>
              <w:kinsoku w:val="0"/>
              <w:overflowPunct w:val="0"/>
              <w:spacing w:before="77"/>
              <w:jc w:val="center"/>
              <w:textAlignment w:val="baseline"/>
              <w:rPr>
                <w:rFonts w:eastAsia="MS PGothic" w:cs="Arial"/>
                <w:bCs/>
                <w:kern w:val="24"/>
                <w:sz w:val="18"/>
                <w:szCs w:val="18"/>
                <w:lang w:eastAsia="en-GB"/>
              </w:rPr>
            </w:pPr>
            <w:r>
              <w:rPr>
                <w:rFonts w:eastAsia="MS PGothic" w:cs="Arial"/>
                <w:bCs/>
                <w:kern w:val="24"/>
                <w:sz w:val="18"/>
                <w:szCs w:val="18"/>
                <w:lang w:eastAsia="en-GB"/>
              </w:rPr>
              <w:t>−0.69</w:t>
            </w:r>
          </w:p>
        </w:tc>
        <w:tc>
          <w:tcPr>
            <w:tcW w:w="321" w:type="pct"/>
            <w:vAlign w:val="center"/>
          </w:tcPr>
          <w:p w:rsidR="008A17FA" w:rsidRDefault="00711F9F">
            <w:pPr>
              <w:kinsoku w:val="0"/>
              <w:overflowPunct w:val="0"/>
              <w:spacing w:before="77"/>
              <w:jc w:val="center"/>
              <w:textAlignment w:val="baseline"/>
              <w:rPr>
                <w:rFonts w:eastAsia="MS PGothic" w:cs="Arial"/>
                <w:bCs/>
                <w:kern w:val="24"/>
                <w:sz w:val="18"/>
                <w:szCs w:val="18"/>
                <w:lang w:eastAsia="en-GB"/>
              </w:rPr>
            </w:pPr>
            <w:r>
              <w:rPr>
                <w:rFonts w:eastAsia="MS PGothic" w:cs="Arial"/>
                <w:bCs/>
                <w:kern w:val="24"/>
                <w:sz w:val="18"/>
                <w:szCs w:val="18"/>
                <w:lang w:eastAsia="en-GB"/>
              </w:rPr>
              <w:t>49 mmol/mol (6.6%)</w:t>
            </w:r>
          </w:p>
        </w:tc>
        <w:tc>
          <w:tcPr>
            <w:tcW w:w="278" w:type="pct"/>
            <w:tcBorders>
              <w:right w:val="single" w:sz="18" w:space="0" w:color="000000"/>
            </w:tcBorders>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−1.8 kg</w:t>
            </w:r>
          </w:p>
        </w:tc>
      </w:tr>
      <w:tr w:rsidR="008A17FA">
        <w:trPr>
          <w:trHeight w:val="320"/>
        </w:trPr>
        <w:tc>
          <w:tcPr>
            <w:tcW w:w="366" w:type="pct"/>
            <w:vMerge/>
            <w:tcBorders>
              <w:left w:val="single" w:sz="18" w:space="0" w:color="000000"/>
            </w:tcBorders>
          </w:tcPr>
          <w:p w:rsidR="008A17FA" w:rsidRDefault="008A17FA">
            <w:pPr>
              <w:kinsoku w:val="0"/>
              <w:overflowPunct w:val="0"/>
              <w:spacing w:before="77"/>
              <w:textAlignment w:val="baseline"/>
              <w:rPr>
                <w:rFonts w:eastAsia="MS PGothic" w:cs="Arial"/>
                <w:kern w:val="24"/>
                <w:sz w:val="18"/>
                <w:szCs w:val="18"/>
                <w:lang w:eastAsia="en-GB"/>
              </w:rPr>
            </w:pPr>
          </w:p>
        </w:tc>
        <w:tc>
          <w:tcPr>
            <w:tcW w:w="619" w:type="pct"/>
            <w:vAlign w:val="center"/>
            <w:hideMark/>
          </w:tcPr>
          <w:p w:rsidR="008A17FA" w:rsidRDefault="00711F9F">
            <w:pPr>
              <w:kinsoku w:val="0"/>
              <w:overflowPunct w:val="0"/>
              <w:spacing w:before="77"/>
              <w:textAlignment w:val="baseline"/>
              <w:rPr>
                <w:rFonts w:eastAsia="Times New Roman" w:cs="Arial"/>
                <w:sz w:val="18"/>
                <w:szCs w:val="18"/>
                <w:lang w:eastAsia="en-GB"/>
              </w:rPr>
            </w:pPr>
            <w:r>
              <w:rPr>
                <w:rFonts w:eastAsia="MS PGothic" w:cs="Arial"/>
                <w:kern w:val="24"/>
                <w:sz w:val="18"/>
                <w:szCs w:val="18"/>
                <w:lang w:eastAsia="en-GB"/>
              </w:rPr>
              <w:t xml:space="preserve">Riddle </w:t>
            </w:r>
            <w:r>
              <w:rPr>
                <w:rFonts w:eastAsia="MS PGothic" w:cs="Arial"/>
                <w:i/>
                <w:kern w:val="24"/>
                <w:sz w:val="18"/>
                <w:szCs w:val="18"/>
                <w:lang w:eastAsia="en-GB"/>
              </w:rPr>
              <w:t>et al</w:t>
            </w:r>
            <w:r>
              <w:rPr>
                <w:rFonts w:eastAsia="MS PGothic" w:cs="Arial"/>
                <w:kern w:val="24"/>
                <w:sz w:val="18"/>
                <w:szCs w:val="18"/>
                <w:lang w:eastAsia="en-GB"/>
              </w:rPr>
              <w:t>. 2013 [52]</w:t>
            </w:r>
          </w:p>
        </w:tc>
        <w:tc>
          <w:tcPr>
            <w:tcW w:w="799" w:type="pct"/>
            <w:vAlign w:val="center"/>
            <w:hideMark/>
          </w:tcPr>
          <w:p w:rsidR="008A17FA" w:rsidRDefault="00711F9F">
            <w:pPr>
              <w:kinsoku w:val="0"/>
              <w:overflowPunct w:val="0"/>
              <w:spacing w:before="77"/>
              <w:textAlignment w:val="baseline"/>
              <w:rPr>
                <w:rFonts w:eastAsia="Times New Roman" w:cs="Arial"/>
                <w:sz w:val="18"/>
                <w:szCs w:val="18"/>
                <w:lang w:eastAsia="en-GB"/>
              </w:rPr>
            </w:pPr>
            <w:r>
              <w:rPr>
                <w:rFonts w:eastAsia="MS PGothic" w:cs="Arial"/>
                <w:kern w:val="24"/>
                <w:sz w:val="18"/>
                <w:szCs w:val="18"/>
                <w:lang w:eastAsia="en-GB"/>
              </w:rPr>
              <w:t>IGlar + lixisenatide 20 µg</w:t>
            </w:r>
          </w:p>
        </w:tc>
        <w:tc>
          <w:tcPr>
            <w:tcW w:w="368" w:type="pct"/>
            <w:vAlign w:val="center"/>
          </w:tcPr>
          <w:p w:rsidR="008A17FA" w:rsidRDefault="00711F9F">
            <w:pPr>
              <w:kinsoku w:val="0"/>
              <w:overflowPunct w:val="0"/>
              <w:spacing w:before="77"/>
              <w:jc w:val="center"/>
              <w:textAlignment w:val="baseline"/>
              <w:rPr>
                <w:rFonts w:eastAsia="MS PGothic" w:cs="Arial"/>
                <w:kern w:val="24"/>
                <w:sz w:val="18"/>
                <w:szCs w:val="18"/>
                <w:lang w:eastAsia="en-GB"/>
              </w:rPr>
            </w:pPr>
            <w:r>
              <w:rPr>
                <w:rFonts w:eastAsia="MS PGothic" w:cs="Arial"/>
                <w:kern w:val="24"/>
                <w:sz w:val="18"/>
                <w:szCs w:val="18"/>
                <w:lang w:eastAsia="en-GB"/>
              </w:rPr>
              <w:t>43</w:t>
            </w:r>
          </w:p>
        </w:tc>
        <w:tc>
          <w:tcPr>
            <w:tcW w:w="826" w:type="pct"/>
          </w:tcPr>
          <w:p w:rsidR="008A17FA" w:rsidRDefault="00711F9F">
            <w:pPr>
              <w:kinsoku w:val="0"/>
              <w:overflowPunct w:val="0"/>
              <w:spacing w:before="77"/>
              <w:jc w:val="center"/>
              <w:textAlignment w:val="baseline"/>
              <w:rPr>
                <w:rFonts w:eastAsia="MS PGothic" w:cs="Arial"/>
                <w:kern w:val="24"/>
                <w:sz w:val="18"/>
                <w:szCs w:val="18"/>
                <w:lang w:eastAsia="en-GB"/>
              </w:rPr>
            </w:pPr>
            <w:r>
              <w:rPr>
                <w:rFonts w:eastAsia="MS PGothic" w:cs="Arial"/>
                <w:kern w:val="24"/>
                <w:sz w:val="18"/>
                <w:szCs w:val="18"/>
                <w:lang w:eastAsia="en-GB"/>
              </w:rPr>
              <w:t>Background IGlar titrated to 4.4-5.6 mmol/L</w:t>
            </w:r>
          </w:p>
        </w:tc>
        <w:tc>
          <w:tcPr>
            <w:tcW w:w="368" w:type="pct"/>
            <w:vAlign w:val="center"/>
          </w:tcPr>
          <w:p w:rsidR="008A17FA" w:rsidRDefault="00711F9F">
            <w:pPr>
              <w:kinsoku w:val="0"/>
              <w:overflowPunct w:val="0"/>
              <w:spacing w:before="77"/>
              <w:jc w:val="center"/>
              <w:textAlignment w:val="baseline"/>
              <w:rPr>
                <w:rFonts w:eastAsia="MS PGothic" w:cs="Arial"/>
                <w:kern w:val="24"/>
                <w:sz w:val="18"/>
                <w:szCs w:val="18"/>
                <w:lang w:eastAsia="en-GB"/>
              </w:rPr>
            </w:pPr>
            <w:r>
              <w:rPr>
                <w:rFonts w:eastAsia="MS PGothic" w:cs="Arial"/>
                <w:kern w:val="24"/>
                <w:sz w:val="18"/>
                <w:szCs w:val="18"/>
                <w:lang w:eastAsia="en-GB"/>
              </w:rPr>
              <w:t>+3.1 (+5.3 with placebo)</w:t>
            </w:r>
          </w:p>
        </w:tc>
        <w:tc>
          <w:tcPr>
            <w:tcW w:w="367" w:type="pct"/>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60 mmol/mol (7.6%)</w:t>
            </w:r>
          </w:p>
        </w:tc>
        <w:tc>
          <w:tcPr>
            <w:tcW w:w="321" w:type="pct"/>
            <w:shd w:val="clear" w:color="auto" w:fill="auto"/>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MS PGothic" w:cs="Arial"/>
                <w:kern w:val="24"/>
                <w:sz w:val="18"/>
                <w:szCs w:val="18"/>
                <w:lang w:eastAsia="en-GB"/>
              </w:rPr>
              <w:t>−0.71</w:t>
            </w:r>
          </w:p>
        </w:tc>
        <w:tc>
          <w:tcPr>
            <w:tcW w:w="367" w:type="pct"/>
            <w:vAlign w:val="center"/>
          </w:tcPr>
          <w:p w:rsidR="008A17FA" w:rsidRDefault="00711F9F">
            <w:pPr>
              <w:kinsoku w:val="0"/>
              <w:overflowPunct w:val="0"/>
              <w:spacing w:before="77"/>
              <w:jc w:val="center"/>
              <w:textAlignment w:val="baseline"/>
              <w:rPr>
                <w:rFonts w:eastAsia="MS PGothic" w:cs="Arial"/>
                <w:bCs/>
                <w:kern w:val="24"/>
                <w:sz w:val="18"/>
                <w:szCs w:val="18"/>
                <w:lang w:eastAsia="en-GB"/>
              </w:rPr>
            </w:pPr>
            <w:r>
              <w:rPr>
                <w:rFonts w:eastAsia="MS PGothic" w:cs="Arial"/>
                <w:bCs/>
                <w:kern w:val="24"/>
                <w:sz w:val="18"/>
                <w:szCs w:val="18"/>
                <w:lang w:eastAsia="en-GB"/>
              </w:rPr>
              <w:t>−0.32</w:t>
            </w:r>
          </w:p>
        </w:tc>
        <w:tc>
          <w:tcPr>
            <w:tcW w:w="321" w:type="pct"/>
            <w:vAlign w:val="center"/>
          </w:tcPr>
          <w:p w:rsidR="008A17FA" w:rsidRDefault="00711F9F">
            <w:pPr>
              <w:kinsoku w:val="0"/>
              <w:overflowPunct w:val="0"/>
              <w:spacing w:before="77"/>
              <w:jc w:val="center"/>
              <w:textAlignment w:val="baseline"/>
              <w:rPr>
                <w:rFonts w:eastAsia="MS PGothic" w:cs="Arial"/>
                <w:bCs/>
                <w:kern w:val="24"/>
                <w:sz w:val="18"/>
                <w:szCs w:val="18"/>
                <w:lang w:eastAsia="en-GB"/>
              </w:rPr>
            </w:pPr>
            <w:r>
              <w:rPr>
                <w:rFonts w:eastAsia="MS PGothic" w:cs="Arial"/>
                <w:bCs/>
                <w:kern w:val="24"/>
                <w:sz w:val="18"/>
                <w:szCs w:val="18"/>
                <w:lang w:eastAsia="en-GB"/>
              </w:rPr>
              <w:t>53 mmol/mol (7.0%)</w:t>
            </w:r>
          </w:p>
        </w:tc>
        <w:tc>
          <w:tcPr>
            <w:tcW w:w="278" w:type="pct"/>
            <w:tcBorders>
              <w:right w:val="single" w:sz="18" w:space="0" w:color="000000"/>
            </w:tcBorders>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−1.8 kg</w:t>
            </w:r>
          </w:p>
        </w:tc>
      </w:tr>
      <w:tr w:rsidR="008A17FA">
        <w:trPr>
          <w:trHeight w:val="320"/>
        </w:trPr>
        <w:tc>
          <w:tcPr>
            <w:tcW w:w="366" w:type="pct"/>
            <w:vMerge/>
            <w:tcBorders>
              <w:left w:val="single" w:sz="18" w:space="0" w:color="000000"/>
            </w:tcBorders>
          </w:tcPr>
          <w:p w:rsidR="008A17FA" w:rsidRDefault="008A17FA">
            <w:pPr>
              <w:kinsoku w:val="0"/>
              <w:overflowPunct w:val="0"/>
              <w:spacing w:before="77"/>
              <w:textAlignment w:val="baseline"/>
              <w:rPr>
                <w:rFonts w:eastAsia="MS PGothic" w:cs="Arial"/>
                <w:kern w:val="24"/>
                <w:sz w:val="18"/>
                <w:szCs w:val="18"/>
                <w:lang w:eastAsia="en-GB"/>
              </w:rPr>
            </w:pPr>
          </w:p>
        </w:tc>
        <w:tc>
          <w:tcPr>
            <w:tcW w:w="619" w:type="pct"/>
            <w:vAlign w:val="center"/>
            <w:hideMark/>
          </w:tcPr>
          <w:p w:rsidR="008A17FA" w:rsidRDefault="00711F9F">
            <w:pPr>
              <w:kinsoku w:val="0"/>
              <w:overflowPunct w:val="0"/>
              <w:spacing w:before="77"/>
              <w:textAlignment w:val="baseline"/>
              <w:rPr>
                <w:rFonts w:eastAsia="Times New Roman" w:cs="Arial"/>
                <w:sz w:val="18"/>
                <w:szCs w:val="18"/>
                <w:lang w:eastAsia="en-GB"/>
              </w:rPr>
            </w:pPr>
            <w:r>
              <w:rPr>
                <w:rFonts w:eastAsia="MS PGothic" w:cs="Arial"/>
                <w:kern w:val="24"/>
                <w:sz w:val="18"/>
                <w:szCs w:val="18"/>
                <w:lang w:eastAsia="en-GB"/>
              </w:rPr>
              <w:t xml:space="preserve">Riddle </w:t>
            </w:r>
            <w:r>
              <w:rPr>
                <w:rFonts w:eastAsia="MS PGothic" w:cs="Arial"/>
                <w:i/>
                <w:kern w:val="24"/>
                <w:sz w:val="18"/>
                <w:szCs w:val="18"/>
                <w:lang w:eastAsia="en-GB"/>
              </w:rPr>
              <w:t>et al</w:t>
            </w:r>
            <w:r>
              <w:rPr>
                <w:rFonts w:eastAsia="MS PGothic" w:cs="Arial"/>
                <w:kern w:val="24"/>
                <w:sz w:val="18"/>
                <w:szCs w:val="18"/>
                <w:lang w:eastAsia="en-GB"/>
              </w:rPr>
              <w:t>. 2013 [53]</w:t>
            </w:r>
          </w:p>
        </w:tc>
        <w:tc>
          <w:tcPr>
            <w:tcW w:w="799" w:type="pct"/>
            <w:vAlign w:val="center"/>
            <w:hideMark/>
          </w:tcPr>
          <w:p w:rsidR="008A17FA" w:rsidRDefault="00711F9F">
            <w:pPr>
              <w:kinsoku w:val="0"/>
              <w:overflowPunct w:val="0"/>
              <w:spacing w:before="77"/>
              <w:textAlignment w:val="baseline"/>
              <w:rPr>
                <w:rFonts w:eastAsia="Times New Roman" w:cs="Arial"/>
                <w:sz w:val="18"/>
                <w:szCs w:val="18"/>
                <w:lang w:eastAsia="en-GB"/>
              </w:rPr>
            </w:pPr>
            <w:r>
              <w:rPr>
                <w:rFonts w:eastAsia="MS PGothic" w:cs="Arial"/>
                <w:kern w:val="24"/>
                <w:sz w:val="18"/>
                <w:szCs w:val="18"/>
                <w:lang w:eastAsia="en-GB"/>
              </w:rPr>
              <w:t>Basal insulin + lixisenatide 20 µg</w:t>
            </w:r>
          </w:p>
        </w:tc>
        <w:tc>
          <w:tcPr>
            <w:tcW w:w="368" w:type="pct"/>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MS PGothic" w:cs="Arial"/>
                <w:kern w:val="24"/>
                <w:sz w:val="18"/>
                <w:szCs w:val="18"/>
                <w:lang w:eastAsia="en-GB"/>
              </w:rPr>
              <w:t>54</w:t>
            </w:r>
          </w:p>
        </w:tc>
        <w:tc>
          <w:tcPr>
            <w:tcW w:w="826" w:type="pct"/>
          </w:tcPr>
          <w:p w:rsidR="008A17FA" w:rsidRDefault="00711F9F">
            <w:pPr>
              <w:kinsoku w:val="0"/>
              <w:overflowPunct w:val="0"/>
              <w:spacing w:before="77"/>
              <w:jc w:val="center"/>
              <w:textAlignment w:val="baseline"/>
              <w:rPr>
                <w:rFonts w:eastAsia="MS PGothic" w:cs="Arial"/>
                <w:kern w:val="24"/>
                <w:sz w:val="18"/>
                <w:szCs w:val="18"/>
                <w:lang w:eastAsia="en-GB"/>
              </w:rPr>
            </w:pPr>
            <w:r>
              <w:rPr>
                <w:rFonts w:eastAsia="Times New Roman" w:cs="Arial"/>
                <w:sz w:val="18"/>
                <w:szCs w:val="18"/>
                <w:lang w:eastAsia="en-GB"/>
              </w:rPr>
              <w:t>Basal insulin dose reduced 20% at baseline if HbA1c ≤7.5%. Insulin dose maintained within 20% of randomisation dose</w:t>
            </w:r>
          </w:p>
        </w:tc>
        <w:tc>
          <w:tcPr>
            <w:tcW w:w="368" w:type="pct"/>
            <w:vAlign w:val="center"/>
          </w:tcPr>
          <w:p w:rsidR="008A17FA" w:rsidRDefault="00711F9F">
            <w:pPr>
              <w:kinsoku w:val="0"/>
              <w:overflowPunct w:val="0"/>
              <w:spacing w:before="77"/>
              <w:jc w:val="center"/>
              <w:textAlignment w:val="baseline"/>
              <w:rPr>
                <w:rFonts w:eastAsia="MS PGothic" w:cs="Arial"/>
                <w:kern w:val="24"/>
                <w:sz w:val="18"/>
                <w:szCs w:val="18"/>
                <w:lang w:eastAsia="en-GB"/>
              </w:rPr>
            </w:pPr>
            <w:r>
              <w:rPr>
                <w:rFonts w:eastAsia="MS PGothic" w:cs="Arial"/>
                <w:kern w:val="24"/>
                <w:sz w:val="18"/>
                <w:szCs w:val="18"/>
                <w:lang w:eastAsia="en-GB"/>
              </w:rPr>
              <w:t>−5.6 (−1.9 with placebo)</w:t>
            </w:r>
          </w:p>
        </w:tc>
        <w:tc>
          <w:tcPr>
            <w:tcW w:w="367" w:type="pct"/>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68 mmol/mol (8.4%)</w:t>
            </w:r>
          </w:p>
        </w:tc>
        <w:tc>
          <w:tcPr>
            <w:tcW w:w="321" w:type="pct"/>
            <w:shd w:val="clear" w:color="auto" w:fill="auto"/>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MS PGothic" w:cs="Arial"/>
                <w:kern w:val="24"/>
                <w:sz w:val="18"/>
                <w:szCs w:val="18"/>
                <w:lang w:eastAsia="en-GB"/>
              </w:rPr>
              <w:t>−0.7</w:t>
            </w:r>
          </w:p>
        </w:tc>
        <w:tc>
          <w:tcPr>
            <w:tcW w:w="367" w:type="pct"/>
            <w:vAlign w:val="center"/>
          </w:tcPr>
          <w:p w:rsidR="008A17FA" w:rsidRDefault="00711F9F">
            <w:pPr>
              <w:kinsoku w:val="0"/>
              <w:overflowPunct w:val="0"/>
              <w:spacing w:before="77"/>
              <w:jc w:val="center"/>
              <w:textAlignment w:val="baseline"/>
              <w:rPr>
                <w:rFonts w:eastAsia="MS PGothic" w:cs="Arial"/>
                <w:bCs/>
                <w:kern w:val="24"/>
                <w:sz w:val="18"/>
                <w:szCs w:val="18"/>
                <w:lang w:eastAsia="en-GB"/>
              </w:rPr>
            </w:pPr>
            <w:r>
              <w:rPr>
                <w:rFonts w:eastAsia="MS PGothic" w:cs="Arial"/>
                <w:bCs/>
                <w:kern w:val="24"/>
                <w:sz w:val="18"/>
                <w:szCs w:val="18"/>
                <w:lang w:eastAsia="en-GB"/>
              </w:rPr>
              <w:t>−0.4</w:t>
            </w:r>
          </w:p>
        </w:tc>
        <w:tc>
          <w:tcPr>
            <w:tcW w:w="321" w:type="pct"/>
            <w:vAlign w:val="center"/>
          </w:tcPr>
          <w:p w:rsidR="008A17FA" w:rsidRDefault="00711F9F">
            <w:pPr>
              <w:kinsoku w:val="0"/>
              <w:overflowPunct w:val="0"/>
              <w:spacing w:before="77"/>
              <w:jc w:val="center"/>
              <w:textAlignment w:val="baseline"/>
              <w:rPr>
                <w:rFonts w:eastAsia="MS PGothic" w:cs="Arial"/>
                <w:kern w:val="24"/>
                <w:sz w:val="18"/>
                <w:szCs w:val="18"/>
                <w:lang w:eastAsia="en-GB"/>
              </w:rPr>
            </w:pPr>
            <w:r>
              <w:rPr>
                <w:rFonts w:eastAsia="MS PGothic" w:cs="Arial"/>
                <w:bCs/>
                <w:kern w:val="24"/>
                <w:sz w:val="18"/>
                <w:szCs w:val="18"/>
                <w:lang w:eastAsia="en-GB"/>
              </w:rPr>
              <w:t>62 mmol/mol (7.8%)</w:t>
            </w:r>
          </w:p>
        </w:tc>
        <w:tc>
          <w:tcPr>
            <w:tcW w:w="278" w:type="pct"/>
            <w:tcBorders>
              <w:right w:val="single" w:sz="18" w:space="0" w:color="000000"/>
            </w:tcBorders>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+1.2 kg</w:t>
            </w:r>
          </w:p>
        </w:tc>
      </w:tr>
      <w:tr w:rsidR="008A17FA">
        <w:trPr>
          <w:trHeight w:val="320"/>
        </w:trPr>
        <w:tc>
          <w:tcPr>
            <w:tcW w:w="366" w:type="pct"/>
            <w:vMerge/>
            <w:tcBorders>
              <w:left w:val="single" w:sz="18" w:space="0" w:color="000000"/>
            </w:tcBorders>
          </w:tcPr>
          <w:p w:rsidR="008A17FA" w:rsidRDefault="008A17FA">
            <w:pPr>
              <w:kinsoku w:val="0"/>
              <w:overflowPunct w:val="0"/>
              <w:spacing w:before="77"/>
              <w:textAlignment w:val="baseline"/>
              <w:rPr>
                <w:rFonts w:eastAsia="MS PGothic" w:cs="Arial"/>
                <w:kern w:val="24"/>
                <w:sz w:val="18"/>
                <w:szCs w:val="18"/>
                <w:lang w:val="da-DK" w:eastAsia="en-GB"/>
              </w:rPr>
            </w:pPr>
          </w:p>
        </w:tc>
        <w:tc>
          <w:tcPr>
            <w:tcW w:w="619" w:type="pct"/>
            <w:vAlign w:val="center"/>
          </w:tcPr>
          <w:p w:rsidR="008A17FA" w:rsidRDefault="00711F9F">
            <w:pPr>
              <w:kinsoku w:val="0"/>
              <w:overflowPunct w:val="0"/>
              <w:spacing w:before="77"/>
              <w:textAlignment w:val="baseline"/>
              <w:rPr>
                <w:rFonts w:eastAsia="MS PGothic" w:cs="Arial"/>
                <w:kern w:val="24"/>
                <w:sz w:val="18"/>
                <w:szCs w:val="18"/>
                <w:lang w:val="da-DK" w:eastAsia="en-GB"/>
              </w:rPr>
            </w:pPr>
            <w:r>
              <w:rPr>
                <w:rFonts w:eastAsia="MS PGothic" w:cs="Arial"/>
                <w:kern w:val="24"/>
                <w:sz w:val="18"/>
                <w:szCs w:val="18"/>
                <w:lang w:val="da-DK" w:eastAsia="en-GB"/>
              </w:rPr>
              <w:t xml:space="preserve">Ahmann </w:t>
            </w:r>
            <w:r>
              <w:rPr>
                <w:rFonts w:eastAsia="MS PGothic" w:cs="Arial"/>
                <w:i/>
                <w:kern w:val="24"/>
                <w:sz w:val="18"/>
                <w:szCs w:val="18"/>
                <w:lang w:val="da-DK" w:eastAsia="en-GB"/>
              </w:rPr>
              <w:t>et al</w:t>
            </w:r>
            <w:r>
              <w:rPr>
                <w:rFonts w:eastAsia="MS PGothic" w:cs="Arial"/>
                <w:kern w:val="24"/>
                <w:sz w:val="18"/>
                <w:szCs w:val="18"/>
                <w:lang w:val="da-DK" w:eastAsia="en-GB"/>
              </w:rPr>
              <w:t>. 2014 [56]</w:t>
            </w:r>
          </w:p>
        </w:tc>
        <w:tc>
          <w:tcPr>
            <w:tcW w:w="799" w:type="pct"/>
            <w:vAlign w:val="center"/>
          </w:tcPr>
          <w:p w:rsidR="008A17FA" w:rsidRDefault="00711F9F">
            <w:pPr>
              <w:kinsoku w:val="0"/>
              <w:overflowPunct w:val="0"/>
              <w:spacing w:before="77"/>
              <w:textAlignment w:val="baseline"/>
              <w:rPr>
                <w:rFonts w:eastAsia="MS PGothic" w:cs="Arial"/>
                <w:kern w:val="24"/>
                <w:sz w:val="18"/>
                <w:szCs w:val="18"/>
                <w:lang w:eastAsia="en-GB"/>
              </w:rPr>
            </w:pPr>
            <w:r>
              <w:rPr>
                <w:rFonts w:eastAsia="MS PGothic" w:cs="Arial"/>
                <w:kern w:val="24"/>
                <w:sz w:val="18"/>
                <w:szCs w:val="18"/>
                <w:lang w:eastAsia="en-GB"/>
              </w:rPr>
              <w:t>Basal insulin + liraglutide 1.8 mg</w:t>
            </w:r>
          </w:p>
        </w:tc>
        <w:tc>
          <w:tcPr>
            <w:tcW w:w="368" w:type="pct"/>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MS PGothic" w:cs="Arial"/>
                <w:kern w:val="24"/>
                <w:sz w:val="18"/>
                <w:szCs w:val="18"/>
                <w:lang w:eastAsia="en-GB"/>
              </w:rPr>
              <w:t>48</w:t>
            </w:r>
            <w:r>
              <w:rPr>
                <w:rFonts w:eastAsia="MS PGothic" w:cs="Arial"/>
                <w:kern w:val="24"/>
                <w:sz w:val="18"/>
                <w:szCs w:val="18"/>
                <w:vertAlign w:val="superscript"/>
                <w:lang w:eastAsia="en-GB"/>
              </w:rPr>
              <w:t>#</w:t>
            </w:r>
          </w:p>
        </w:tc>
        <w:tc>
          <w:tcPr>
            <w:tcW w:w="826" w:type="pct"/>
          </w:tcPr>
          <w:p w:rsidR="008A17FA" w:rsidRDefault="00711F9F">
            <w:pPr>
              <w:kinsoku w:val="0"/>
              <w:overflowPunct w:val="0"/>
              <w:spacing w:before="77"/>
              <w:jc w:val="center"/>
              <w:textAlignment w:val="baseline"/>
              <w:rPr>
                <w:rFonts w:eastAsia="MS PGothic" w:cs="Arial"/>
                <w:kern w:val="24"/>
                <w:sz w:val="18"/>
                <w:szCs w:val="18"/>
                <w:lang w:eastAsia="en-GB"/>
              </w:rPr>
            </w:pPr>
            <w:r>
              <w:rPr>
                <w:rFonts w:eastAsia="Times New Roman" w:cs="Arial"/>
                <w:sz w:val="18"/>
                <w:szCs w:val="18"/>
                <w:lang w:eastAsia="en-GB"/>
              </w:rPr>
              <w:t>Basal insulin dose reduced 20% at baseline if HbA1c ≤8.0%. Insulin dose maintained at pre-trial level.</w:t>
            </w:r>
          </w:p>
        </w:tc>
        <w:tc>
          <w:tcPr>
            <w:tcW w:w="368" w:type="pct"/>
            <w:vAlign w:val="center"/>
          </w:tcPr>
          <w:p w:rsidR="008A17FA" w:rsidRDefault="00711F9F">
            <w:pPr>
              <w:kinsoku w:val="0"/>
              <w:overflowPunct w:val="0"/>
              <w:spacing w:before="77"/>
              <w:jc w:val="center"/>
              <w:textAlignment w:val="baseline"/>
              <w:rPr>
                <w:rFonts w:eastAsia="MS PGothic" w:cs="Arial"/>
                <w:kern w:val="24"/>
                <w:sz w:val="18"/>
                <w:szCs w:val="18"/>
                <w:lang w:eastAsia="en-GB"/>
              </w:rPr>
            </w:pPr>
            <w:r>
              <w:rPr>
                <w:rFonts w:eastAsia="MS PGothic" w:cs="Arial"/>
                <w:kern w:val="24"/>
                <w:sz w:val="18"/>
                <w:szCs w:val="18"/>
                <w:lang w:eastAsia="en-GB"/>
              </w:rPr>
              <w:t>−5 (−1 with placebo)</w:t>
            </w:r>
          </w:p>
        </w:tc>
        <w:tc>
          <w:tcPr>
            <w:tcW w:w="367" w:type="pct"/>
            <w:vAlign w:val="center"/>
          </w:tcPr>
          <w:p w:rsidR="008A17FA" w:rsidRDefault="00711F9F">
            <w:pPr>
              <w:kinsoku w:val="0"/>
              <w:overflowPunct w:val="0"/>
              <w:spacing w:before="77"/>
              <w:jc w:val="center"/>
              <w:textAlignment w:val="baseline"/>
              <w:rPr>
                <w:rFonts w:eastAsia="MS PGothic" w:cs="Arial"/>
                <w:kern w:val="24"/>
                <w:sz w:val="18"/>
                <w:szCs w:val="18"/>
                <w:lang w:eastAsia="en-GB"/>
              </w:rPr>
            </w:pPr>
            <w:r>
              <w:rPr>
                <w:rFonts w:eastAsia="MS PGothic" w:cs="Arial"/>
                <w:kern w:val="24"/>
                <w:sz w:val="18"/>
                <w:szCs w:val="18"/>
                <w:lang w:eastAsia="en-GB"/>
              </w:rPr>
              <w:t>66 mmol/mol (8.2%)</w:t>
            </w:r>
          </w:p>
        </w:tc>
        <w:tc>
          <w:tcPr>
            <w:tcW w:w="321" w:type="pct"/>
            <w:shd w:val="clear" w:color="auto" w:fill="auto"/>
            <w:vAlign w:val="center"/>
          </w:tcPr>
          <w:p w:rsidR="008A17FA" w:rsidRDefault="00711F9F">
            <w:pPr>
              <w:kinsoku w:val="0"/>
              <w:overflowPunct w:val="0"/>
              <w:spacing w:before="77"/>
              <w:jc w:val="center"/>
              <w:textAlignment w:val="baseline"/>
              <w:rPr>
                <w:rFonts w:eastAsia="MS PGothic" w:cs="Arial"/>
                <w:bCs/>
                <w:kern w:val="24"/>
                <w:sz w:val="18"/>
                <w:szCs w:val="18"/>
                <w:lang w:val="da-DK" w:eastAsia="en-GB"/>
              </w:rPr>
            </w:pPr>
            <w:r>
              <w:rPr>
                <w:rFonts w:eastAsia="MS PGothic" w:cs="Arial"/>
                <w:kern w:val="24"/>
                <w:sz w:val="18"/>
                <w:szCs w:val="18"/>
                <w:lang w:eastAsia="en-GB"/>
              </w:rPr>
              <w:t>−1.30</w:t>
            </w:r>
          </w:p>
        </w:tc>
        <w:tc>
          <w:tcPr>
            <w:tcW w:w="367" w:type="pct"/>
            <w:vAlign w:val="center"/>
          </w:tcPr>
          <w:p w:rsidR="008A17FA" w:rsidRDefault="00711F9F">
            <w:pPr>
              <w:kinsoku w:val="0"/>
              <w:overflowPunct w:val="0"/>
              <w:spacing w:before="77"/>
              <w:jc w:val="center"/>
              <w:textAlignment w:val="baseline"/>
              <w:rPr>
                <w:rFonts w:eastAsia="MS PGothic" w:cs="Arial"/>
                <w:bCs/>
                <w:kern w:val="24"/>
                <w:sz w:val="18"/>
                <w:szCs w:val="18"/>
                <w:lang w:val="da-DK" w:eastAsia="en-GB"/>
              </w:rPr>
            </w:pPr>
            <w:r>
              <w:rPr>
                <w:rFonts w:eastAsia="MS PGothic" w:cs="Arial"/>
                <w:bCs/>
                <w:kern w:val="24"/>
                <w:sz w:val="18"/>
                <w:szCs w:val="18"/>
                <w:lang w:val="da-DK" w:eastAsia="en-GB"/>
              </w:rPr>
              <w:t>−1.2</w:t>
            </w:r>
          </w:p>
        </w:tc>
        <w:tc>
          <w:tcPr>
            <w:tcW w:w="321" w:type="pct"/>
            <w:vAlign w:val="center"/>
          </w:tcPr>
          <w:p w:rsidR="008A17FA" w:rsidRDefault="00711F9F">
            <w:pPr>
              <w:kinsoku w:val="0"/>
              <w:overflowPunct w:val="0"/>
              <w:spacing w:before="77"/>
              <w:jc w:val="center"/>
              <w:textAlignment w:val="baseline"/>
              <w:rPr>
                <w:rFonts w:eastAsia="MS PGothic" w:cs="Arial"/>
                <w:bCs/>
                <w:kern w:val="24"/>
                <w:sz w:val="18"/>
                <w:szCs w:val="18"/>
                <w:lang w:val="da-DK" w:eastAsia="en-GB"/>
              </w:rPr>
            </w:pPr>
            <w:r>
              <w:rPr>
                <w:rFonts w:eastAsia="MS PGothic" w:cs="Arial"/>
                <w:bCs/>
                <w:kern w:val="24"/>
                <w:sz w:val="18"/>
                <w:szCs w:val="18"/>
                <w:lang w:val="da-DK" w:eastAsia="en-GB"/>
              </w:rPr>
              <w:t>52 mmol/mol (6.9%)</w:t>
            </w:r>
          </w:p>
        </w:tc>
        <w:tc>
          <w:tcPr>
            <w:tcW w:w="278" w:type="pct"/>
            <w:tcBorders>
              <w:right w:val="single" w:sz="18" w:space="0" w:color="000000"/>
            </w:tcBorders>
            <w:vAlign w:val="center"/>
          </w:tcPr>
          <w:p w:rsidR="008A17FA" w:rsidRDefault="00711F9F">
            <w:pPr>
              <w:kinsoku w:val="0"/>
              <w:overflowPunct w:val="0"/>
              <w:spacing w:before="77"/>
              <w:jc w:val="center"/>
              <w:textAlignment w:val="baseline"/>
              <w:rPr>
                <w:rFonts w:eastAsia="Times New Roman" w:cs="Arial"/>
                <w:sz w:val="18"/>
                <w:szCs w:val="18"/>
                <w:lang w:eastAsia="en-GB"/>
              </w:rPr>
            </w:pPr>
            <w:r>
              <w:rPr>
                <w:rFonts w:eastAsia="Times New Roman" w:cs="Arial"/>
                <w:sz w:val="18"/>
                <w:szCs w:val="18"/>
                <w:lang w:eastAsia="en-GB"/>
              </w:rPr>
              <w:t>−3.5 kg</w:t>
            </w:r>
          </w:p>
        </w:tc>
      </w:tr>
      <w:tr w:rsidR="008A17FA">
        <w:trPr>
          <w:trHeight w:val="320"/>
        </w:trPr>
        <w:tc>
          <w:tcPr>
            <w:tcW w:w="366" w:type="pct"/>
            <w:vMerge/>
            <w:tcBorders>
              <w:left w:val="single" w:sz="18" w:space="0" w:color="000000"/>
            </w:tcBorders>
          </w:tcPr>
          <w:p w:rsidR="008A17FA" w:rsidRDefault="008A17FA">
            <w:pPr>
              <w:kinsoku w:val="0"/>
              <w:overflowPunct w:val="0"/>
              <w:spacing w:before="77"/>
              <w:textAlignment w:val="baseline"/>
              <w:rPr>
                <w:rFonts w:eastAsia="MS PGothic" w:cs="Arial"/>
                <w:kern w:val="24"/>
                <w:sz w:val="18"/>
                <w:szCs w:val="18"/>
                <w:lang w:eastAsia="en-GB"/>
              </w:rPr>
            </w:pPr>
          </w:p>
        </w:tc>
        <w:tc>
          <w:tcPr>
            <w:tcW w:w="4634" w:type="pct"/>
            <w:gridSpan w:val="10"/>
            <w:tcBorders>
              <w:right w:val="single" w:sz="18" w:space="0" w:color="000000"/>
            </w:tcBorders>
            <w:vAlign w:val="center"/>
          </w:tcPr>
          <w:p w:rsidR="008A17FA" w:rsidRDefault="00711F9F">
            <w:pPr>
              <w:rPr>
                <w:rFonts w:eastAsia="Times New Roman" w:cs="Times New Roman"/>
                <w:sz w:val="18"/>
                <w:szCs w:val="18"/>
                <w:lang w:eastAsia="en-GB"/>
              </w:rPr>
            </w:pPr>
            <w:r>
              <w:rPr>
                <w:rFonts w:eastAsia="Times New Roman" w:cs="Arial"/>
                <w:i/>
                <w:sz w:val="18"/>
                <w:szCs w:val="18"/>
                <w:lang w:eastAsia="en-GB"/>
              </w:rPr>
              <w:t>Addition of a GLP-1RA to basal insulin vs. meal-time insulin</w:t>
            </w:r>
          </w:p>
        </w:tc>
      </w:tr>
      <w:tr w:rsidR="008A17FA">
        <w:trPr>
          <w:trHeight w:val="151"/>
        </w:trPr>
        <w:tc>
          <w:tcPr>
            <w:tcW w:w="366" w:type="pct"/>
            <w:vMerge/>
            <w:tcBorders>
              <w:left w:val="single" w:sz="18" w:space="0" w:color="000000"/>
            </w:tcBorders>
          </w:tcPr>
          <w:p w:rsidR="008A17FA" w:rsidRDefault="008A17FA">
            <w:pPr>
              <w:kinsoku w:val="0"/>
              <w:overflowPunct w:val="0"/>
              <w:spacing w:before="77"/>
              <w:textAlignment w:val="baseline"/>
              <w:rPr>
                <w:rFonts w:eastAsia="MS PGothic" w:cs="Arial"/>
                <w:kern w:val="24"/>
                <w:sz w:val="18"/>
                <w:szCs w:val="18"/>
                <w:lang w:eastAsia="en-GB"/>
              </w:rPr>
            </w:pPr>
          </w:p>
        </w:tc>
        <w:tc>
          <w:tcPr>
            <w:tcW w:w="619" w:type="pct"/>
            <w:vAlign w:val="center"/>
          </w:tcPr>
          <w:p w:rsidR="008A17FA" w:rsidRDefault="00711F9F">
            <w:pPr>
              <w:kinsoku w:val="0"/>
              <w:overflowPunct w:val="0"/>
              <w:spacing w:before="77"/>
              <w:textAlignment w:val="baseline"/>
              <w:rPr>
                <w:rFonts w:eastAsia="MS PGothic" w:cs="Arial"/>
                <w:kern w:val="24"/>
                <w:sz w:val="18"/>
                <w:szCs w:val="18"/>
                <w:lang w:eastAsia="en-GB"/>
              </w:rPr>
            </w:pPr>
            <w:r>
              <w:rPr>
                <w:rFonts w:eastAsia="MS PGothic" w:cs="Arial"/>
                <w:kern w:val="24"/>
                <w:sz w:val="18"/>
                <w:szCs w:val="18"/>
                <w:lang w:val="da-DK" w:eastAsia="en-GB"/>
              </w:rPr>
              <w:t xml:space="preserve">Mathieu </w:t>
            </w:r>
            <w:r>
              <w:rPr>
                <w:rFonts w:eastAsia="MS PGothic" w:cs="Arial"/>
                <w:i/>
                <w:kern w:val="24"/>
                <w:sz w:val="18"/>
                <w:szCs w:val="18"/>
                <w:lang w:val="da-DK" w:eastAsia="en-GB"/>
              </w:rPr>
              <w:t>et al</w:t>
            </w:r>
            <w:r>
              <w:rPr>
                <w:rFonts w:eastAsia="MS PGothic" w:cs="Arial"/>
                <w:kern w:val="24"/>
                <w:sz w:val="18"/>
                <w:szCs w:val="18"/>
                <w:lang w:val="da-DK" w:eastAsia="en-GB"/>
              </w:rPr>
              <w:t>. 2014 [54]</w:t>
            </w:r>
          </w:p>
        </w:tc>
        <w:tc>
          <w:tcPr>
            <w:tcW w:w="799" w:type="pct"/>
            <w:vAlign w:val="center"/>
          </w:tcPr>
          <w:p w:rsidR="008A17FA" w:rsidRDefault="00711F9F">
            <w:pPr>
              <w:rPr>
                <w:rFonts w:eastAsia="Times New Roman" w:cs="Arial"/>
                <w:sz w:val="18"/>
                <w:szCs w:val="18"/>
                <w:lang w:eastAsia="en-GB"/>
              </w:rPr>
            </w:pPr>
            <w:r>
              <w:rPr>
                <w:rFonts w:eastAsia="MS PGothic" w:cs="Arial"/>
                <w:kern w:val="24"/>
                <w:sz w:val="18"/>
                <w:szCs w:val="18"/>
                <w:lang w:val="da-DK" w:eastAsia="en-GB"/>
              </w:rPr>
              <w:t>IDeg + liraglutide 1.8 mg</w:t>
            </w:r>
          </w:p>
        </w:tc>
        <w:tc>
          <w:tcPr>
            <w:tcW w:w="368" w:type="pct"/>
            <w:vAlign w:val="center"/>
          </w:tcPr>
          <w:p w:rsidR="008A17FA" w:rsidRDefault="00711F9F">
            <w:pPr>
              <w:jc w:val="center"/>
              <w:rPr>
                <w:rFonts w:eastAsia="MS PGothic" w:cs="Arial"/>
                <w:kern w:val="24"/>
                <w:sz w:val="18"/>
                <w:szCs w:val="18"/>
                <w:lang w:eastAsia="en-GB"/>
              </w:rPr>
            </w:pPr>
            <w:r>
              <w:rPr>
                <w:rFonts w:eastAsia="MS PGothic" w:cs="Arial"/>
                <w:kern w:val="24"/>
                <w:sz w:val="18"/>
                <w:szCs w:val="18"/>
                <w:lang w:eastAsia="en-GB"/>
              </w:rPr>
              <w:t>69</w:t>
            </w:r>
            <w:r>
              <w:rPr>
                <w:rFonts w:eastAsia="MS PGothic" w:cs="Arial"/>
                <w:kern w:val="24"/>
                <w:sz w:val="18"/>
                <w:szCs w:val="18"/>
                <w:vertAlign w:val="superscript"/>
                <w:lang w:eastAsia="en-GB"/>
              </w:rPr>
              <w:t>#</w:t>
            </w:r>
          </w:p>
        </w:tc>
        <w:tc>
          <w:tcPr>
            <w:tcW w:w="826" w:type="pct"/>
          </w:tcPr>
          <w:p w:rsidR="008A17FA" w:rsidRDefault="00711F9F">
            <w:pPr>
              <w:jc w:val="center"/>
              <w:rPr>
                <w:rFonts w:eastAsia="Times New Roman" w:cs="Times New Roman"/>
                <w:sz w:val="18"/>
                <w:szCs w:val="18"/>
                <w:lang w:eastAsia="en-GB"/>
              </w:rPr>
            </w:pPr>
            <w:r>
              <w:rPr>
                <w:rFonts w:eastAsia="MS PGothic" w:cs="Arial"/>
                <w:kern w:val="24"/>
                <w:sz w:val="18"/>
                <w:szCs w:val="18"/>
                <w:lang w:eastAsia="en-GB"/>
              </w:rPr>
              <w:t>IDeg dose decreased by 20% at baseline and up-titrated if FPG ≥5 mmol/L after week 6</w:t>
            </w:r>
          </w:p>
        </w:tc>
        <w:tc>
          <w:tcPr>
            <w:tcW w:w="368" w:type="pct"/>
            <w:vAlign w:val="center"/>
          </w:tcPr>
          <w:p w:rsidR="008A17FA" w:rsidRDefault="00711F9F">
            <w:pPr>
              <w:jc w:val="center"/>
              <w:rPr>
                <w:rFonts w:eastAsia="Times New Roman" w:cs="Times New Roman"/>
                <w:sz w:val="18"/>
                <w:szCs w:val="18"/>
                <w:lang w:eastAsia="en-GB"/>
              </w:rPr>
            </w:pPr>
            <w:r>
              <w:rPr>
                <w:rFonts w:eastAsia="Times New Roman" w:cs="Times New Roman"/>
                <w:sz w:val="18"/>
                <w:szCs w:val="18"/>
                <w:lang w:eastAsia="en-GB"/>
              </w:rPr>
              <w:t>−7</w:t>
            </w:r>
          </w:p>
        </w:tc>
        <w:tc>
          <w:tcPr>
            <w:tcW w:w="367" w:type="pct"/>
            <w:vAlign w:val="center"/>
          </w:tcPr>
          <w:p w:rsidR="008A17FA" w:rsidRDefault="00711F9F">
            <w:pPr>
              <w:jc w:val="center"/>
              <w:rPr>
                <w:rFonts w:eastAsia="Times New Roman" w:cs="Times New Roman"/>
                <w:sz w:val="18"/>
                <w:szCs w:val="18"/>
                <w:lang w:eastAsia="en-GB"/>
              </w:rPr>
            </w:pPr>
            <w:r>
              <w:rPr>
                <w:rFonts w:eastAsia="Times New Roman" w:cs="Arial"/>
                <w:sz w:val="18"/>
                <w:szCs w:val="18"/>
                <w:lang w:eastAsia="en-GB"/>
              </w:rPr>
              <w:t>61 mmol/mol (7.7%)</w:t>
            </w:r>
          </w:p>
        </w:tc>
        <w:tc>
          <w:tcPr>
            <w:tcW w:w="321" w:type="pct"/>
            <w:shd w:val="clear" w:color="auto" w:fill="auto"/>
            <w:vAlign w:val="center"/>
          </w:tcPr>
          <w:p w:rsidR="008A17FA" w:rsidRDefault="00711F9F">
            <w:pPr>
              <w:jc w:val="center"/>
              <w:rPr>
                <w:rFonts w:eastAsia="Times New Roman" w:cs="Times New Roman"/>
                <w:sz w:val="18"/>
                <w:szCs w:val="18"/>
                <w:lang w:eastAsia="en-GB"/>
              </w:rPr>
            </w:pPr>
            <w:r>
              <w:rPr>
                <w:rFonts w:eastAsia="MS PGothic" w:cs="Arial"/>
                <w:kern w:val="24"/>
                <w:sz w:val="18"/>
                <w:szCs w:val="18"/>
                <w:lang w:eastAsia="en-GB"/>
              </w:rPr>
              <w:t>−0.74</w:t>
            </w:r>
          </w:p>
        </w:tc>
        <w:tc>
          <w:tcPr>
            <w:tcW w:w="367" w:type="pct"/>
            <w:vAlign w:val="center"/>
          </w:tcPr>
          <w:p w:rsidR="008A17FA" w:rsidRDefault="00711F9F">
            <w:pPr>
              <w:jc w:val="center"/>
              <w:rPr>
                <w:rFonts w:eastAsia="Times New Roman" w:cs="Times New Roman"/>
                <w:sz w:val="18"/>
                <w:szCs w:val="18"/>
                <w:lang w:eastAsia="en-GB"/>
              </w:rPr>
            </w:pPr>
            <w:r>
              <w:rPr>
                <w:rFonts w:eastAsia="MS PGothic" w:cs="Arial"/>
                <w:bCs/>
                <w:kern w:val="24"/>
                <w:sz w:val="18"/>
                <w:szCs w:val="18"/>
                <w:lang w:val="da-DK" w:eastAsia="en-GB"/>
              </w:rPr>
              <w:t>N/A</w:t>
            </w:r>
          </w:p>
        </w:tc>
        <w:tc>
          <w:tcPr>
            <w:tcW w:w="321" w:type="pct"/>
            <w:vAlign w:val="center"/>
          </w:tcPr>
          <w:p w:rsidR="008A17FA" w:rsidRDefault="00711F9F">
            <w:pPr>
              <w:jc w:val="center"/>
              <w:rPr>
                <w:rFonts w:eastAsia="Times New Roman" w:cs="Times New Roman"/>
                <w:sz w:val="18"/>
                <w:szCs w:val="18"/>
                <w:lang w:eastAsia="en-GB"/>
              </w:rPr>
            </w:pPr>
            <w:r>
              <w:rPr>
                <w:rFonts w:eastAsia="MS PGothic" w:cs="Arial"/>
                <w:bCs/>
                <w:kern w:val="24"/>
                <w:sz w:val="18"/>
                <w:szCs w:val="18"/>
                <w:lang w:val="da-DK" w:eastAsia="en-GB"/>
              </w:rPr>
              <w:t>53 mmol/mol (7.0%)</w:t>
            </w:r>
          </w:p>
        </w:tc>
        <w:tc>
          <w:tcPr>
            <w:tcW w:w="278" w:type="pct"/>
            <w:tcBorders>
              <w:right w:val="single" w:sz="18" w:space="0" w:color="000000"/>
            </w:tcBorders>
            <w:vAlign w:val="center"/>
          </w:tcPr>
          <w:p w:rsidR="008A17FA" w:rsidRDefault="00711F9F">
            <w:pPr>
              <w:jc w:val="center"/>
              <w:rPr>
                <w:rFonts w:eastAsia="Times New Roman" w:cs="Times New Roman"/>
                <w:sz w:val="18"/>
                <w:szCs w:val="18"/>
                <w:lang w:eastAsia="en-GB"/>
              </w:rPr>
            </w:pPr>
            <w:r>
              <w:rPr>
                <w:rFonts w:eastAsia="Times New Roman" w:cs="Arial"/>
                <w:sz w:val="18"/>
                <w:szCs w:val="18"/>
                <w:lang w:eastAsia="en-GB"/>
              </w:rPr>
              <w:t>−2.8 kg</w:t>
            </w:r>
          </w:p>
        </w:tc>
      </w:tr>
      <w:tr w:rsidR="008A17FA" w:rsidTr="008A28AB">
        <w:trPr>
          <w:trHeight w:val="151"/>
        </w:trPr>
        <w:tc>
          <w:tcPr>
            <w:tcW w:w="366" w:type="pct"/>
            <w:vMerge/>
            <w:tcBorders>
              <w:left w:val="single" w:sz="18" w:space="0" w:color="000000"/>
            </w:tcBorders>
          </w:tcPr>
          <w:p w:rsidR="008A17FA" w:rsidRDefault="008A17FA">
            <w:pPr>
              <w:kinsoku w:val="0"/>
              <w:overflowPunct w:val="0"/>
              <w:spacing w:before="77"/>
              <w:textAlignment w:val="baseline"/>
              <w:rPr>
                <w:rFonts w:eastAsia="MS PGothic" w:cs="Arial"/>
                <w:kern w:val="24"/>
                <w:sz w:val="18"/>
                <w:szCs w:val="18"/>
                <w:lang w:eastAsia="en-GB"/>
              </w:rPr>
            </w:pPr>
          </w:p>
        </w:tc>
        <w:tc>
          <w:tcPr>
            <w:tcW w:w="619" w:type="pct"/>
            <w:shd w:val="clear" w:color="auto" w:fill="auto"/>
            <w:vAlign w:val="center"/>
          </w:tcPr>
          <w:p w:rsidR="008A17FA" w:rsidRDefault="00711F9F">
            <w:pPr>
              <w:kinsoku w:val="0"/>
              <w:overflowPunct w:val="0"/>
              <w:spacing w:before="77"/>
              <w:textAlignment w:val="baseline"/>
              <w:rPr>
                <w:rFonts w:eastAsia="MS PGothic" w:cs="Arial"/>
                <w:kern w:val="24"/>
                <w:sz w:val="18"/>
                <w:szCs w:val="18"/>
                <w:lang w:eastAsia="en-GB"/>
              </w:rPr>
            </w:pPr>
            <w:r>
              <w:rPr>
                <w:rFonts w:eastAsia="MS PGothic" w:cs="Arial"/>
                <w:kern w:val="24"/>
                <w:sz w:val="18"/>
                <w:szCs w:val="18"/>
                <w:lang w:eastAsia="en-GB"/>
              </w:rPr>
              <w:t xml:space="preserve">Rosenstock </w:t>
            </w:r>
            <w:r>
              <w:rPr>
                <w:rFonts w:eastAsia="MS PGothic" w:cs="Arial"/>
                <w:i/>
                <w:kern w:val="24"/>
                <w:sz w:val="18"/>
                <w:szCs w:val="18"/>
                <w:lang w:eastAsia="en-GB"/>
              </w:rPr>
              <w:t>et al.</w:t>
            </w:r>
            <w:r>
              <w:rPr>
                <w:rFonts w:eastAsia="MS PGothic" w:cs="Arial"/>
                <w:kern w:val="24"/>
                <w:sz w:val="18"/>
                <w:szCs w:val="18"/>
                <w:lang w:eastAsia="en-GB"/>
              </w:rPr>
              <w:t xml:space="preserve"> 2014 [55]</w:t>
            </w:r>
          </w:p>
        </w:tc>
        <w:tc>
          <w:tcPr>
            <w:tcW w:w="799" w:type="pct"/>
            <w:shd w:val="clear" w:color="auto" w:fill="auto"/>
            <w:vAlign w:val="center"/>
          </w:tcPr>
          <w:p w:rsidR="008A17FA" w:rsidRDefault="00711F9F">
            <w:pPr>
              <w:rPr>
                <w:rFonts w:eastAsia="Times New Roman" w:cs="Arial"/>
                <w:sz w:val="18"/>
                <w:szCs w:val="18"/>
                <w:lang w:eastAsia="en-GB"/>
              </w:rPr>
            </w:pPr>
            <w:r>
              <w:rPr>
                <w:rFonts w:eastAsia="Times New Roman" w:cs="Arial"/>
                <w:sz w:val="18"/>
                <w:szCs w:val="18"/>
                <w:lang w:eastAsia="en-GB"/>
              </w:rPr>
              <w:t>IGlar + albiglutide 30 mg OW</w:t>
            </w:r>
          </w:p>
        </w:tc>
        <w:tc>
          <w:tcPr>
            <w:tcW w:w="368" w:type="pct"/>
            <w:shd w:val="clear" w:color="auto" w:fill="auto"/>
            <w:vAlign w:val="center"/>
          </w:tcPr>
          <w:p w:rsidR="008A17FA" w:rsidRDefault="00711F9F">
            <w:pPr>
              <w:jc w:val="center"/>
              <w:rPr>
                <w:rFonts w:eastAsia="Times New Roman" w:cs="Times New Roman"/>
                <w:sz w:val="18"/>
                <w:szCs w:val="18"/>
                <w:lang w:eastAsia="en-GB"/>
              </w:rPr>
            </w:pPr>
            <w:r>
              <w:rPr>
                <w:rFonts w:eastAsia="Times New Roman" w:cs="Times New Roman"/>
                <w:sz w:val="18"/>
                <w:szCs w:val="18"/>
                <w:lang w:eastAsia="en-GB"/>
              </w:rPr>
              <w:t>47</w:t>
            </w:r>
          </w:p>
        </w:tc>
        <w:tc>
          <w:tcPr>
            <w:tcW w:w="826" w:type="pct"/>
            <w:shd w:val="clear" w:color="auto" w:fill="auto"/>
          </w:tcPr>
          <w:p w:rsidR="008A17FA" w:rsidRDefault="00711F9F">
            <w:pPr>
              <w:jc w:val="center"/>
              <w:rPr>
                <w:rFonts w:eastAsia="MS PGothic" w:cs="Arial"/>
                <w:kern w:val="24"/>
                <w:sz w:val="18"/>
                <w:szCs w:val="18"/>
                <w:lang w:eastAsia="en-GB"/>
              </w:rPr>
            </w:pPr>
            <w:r>
              <w:rPr>
                <w:rFonts w:eastAsia="Times New Roman" w:cs="Times New Roman"/>
                <w:sz w:val="18"/>
                <w:szCs w:val="18"/>
                <w:lang w:eastAsia="en-GB"/>
              </w:rPr>
              <w:t>IGlar titrated to &lt;5.6 mmol/L</w:t>
            </w:r>
          </w:p>
        </w:tc>
        <w:tc>
          <w:tcPr>
            <w:tcW w:w="368" w:type="pct"/>
            <w:shd w:val="clear" w:color="auto" w:fill="auto"/>
            <w:vAlign w:val="center"/>
          </w:tcPr>
          <w:p w:rsidR="008A17FA" w:rsidRDefault="00711F9F">
            <w:pPr>
              <w:jc w:val="center"/>
              <w:rPr>
                <w:rFonts w:eastAsia="Times New Roman" w:cs="Times New Roman"/>
                <w:sz w:val="18"/>
                <w:szCs w:val="18"/>
                <w:lang w:eastAsia="en-GB"/>
              </w:rPr>
            </w:pPr>
            <w:r>
              <w:rPr>
                <w:rFonts w:eastAsia="Times New Roman" w:cs="Times New Roman"/>
                <w:sz w:val="18"/>
                <w:szCs w:val="18"/>
                <w:lang w:eastAsia="en-GB"/>
              </w:rPr>
              <w:t>+6</w:t>
            </w:r>
          </w:p>
        </w:tc>
        <w:tc>
          <w:tcPr>
            <w:tcW w:w="367" w:type="pct"/>
            <w:shd w:val="clear" w:color="auto" w:fill="auto"/>
            <w:vAlign w:val="center"/>
          </w:tcPr>
          <w:p w:rsidR="008A17FA" w:rsidRDefault="00711F9F">
            <w:pPr>
              <w:jc w:val="center"/>
              <w:rPr>
                <w:rFonts w:eastAsia="Times New Roman" w:cs="Times New Roman"/>
                <w:sz w:val="18"/>
                <w:szCs w:val="18"/>
                <w:lang w:eastAsia="en-GB"/>
              </w:rPr>
            </w:pPr>
            <w:r>
              <w:rPr>
                <w:rFonts w:eastAsia="Times New Roman" w:cs="Times New Roman"/>
                <w:sz w:val="18"/>
                <w:szCs w:val="18"/>
                <w:lang w:eastAsia="en-GB"/>
              </w:rPr>
              <w:t>69 mmol/mol (8.5%)</w:t>
            </w:r>
          </w:p>
        </w:tc>
        <w:tc>
          <w:tcPr>
            <w:tcW w:w="321" w:type="pct"/>
            <w:shd w:val="clear" w:color="auto" w:fill="auto"/>
            <w:vAlign w:val="center"/>
          </w:tcPr>
          <w:p w:rsidR="008A17FA" w:rsidRDefault="00711F9F">
            <w:pPr>
              <w:jc w:val="center"/>
              <w:rPr>
                <w:rFonts w:eastAsia="Times New Roman" w:cs="Times New Roman"/>
                <w:sz w:val="18"/>
                <w:szCs w:val="18"/>
                <w:lang w:eastAsia="en-GB"/>
              </w:rPr>
            </w:pPr>
            <w:r>
              <w:rPr>
                <w:rFonts w:eastAsia="Times New Roman" w:cs="Times New Roman"/>
                <w:sz w:val="18"/>
                <w:szCs w:val="18"/>
                <w:lang w:eastAsia="en-GB"/>
              </w:rPr>
              <w:t>−0.82</w:t>
            </w:r>
          </w:p>
        </w:tc>
        <w:tc>
          <w:tcPr>
            <w:tcW w:w="367" w:type="pct"/>
            <w:shd w:val="clear" w:color="auto" w:fill="auto"/>
            <w:vAlign w:val="center"/>
          </w:tcPr>
          <w:p w:rsidR="008A17FA" w:rsidRDefault="00711F9F">
            <w:pPr>
              <w:jc w:val="center"/>
              <w:rPr>
                <w:rFonts w:eastAsia="Times New Roman" w:cs="Times New Roman"/>
                <w:sz w:val="18"/>
                <w:szCs w:val="18"/>
                <w:lang w:eastAsia="en-GB"/>
              </w:rPr>
            </w:pPr>
            <w:r>
              <w:rPr>
                <w:rFonts w:eastAsia="Times New Roman" w:cs="Times New Roman"/>
                <w:sz w:val="18"/>
                <w:szCs w:val="18"/>
                <w:lang w:eastAsia="en-GB"/>
              </w:rPr>
              <w:t>N/A</w:t>
            </w:r>
          </w:p>
        </w:tc>
        <w:tc>
          <w:tcPr>
            <w:tcW w:w="321" w:type="pct"/>
            <w:shd w:val="clear" w:color="auto" w:fill="auto"/>
            <w:vAlign w:val="center"/>
          </w:tcPr>
          <w:p w:rsidR="008A17FA" w:rsidRDefault="00711F9F">
            <w:pPr>
              <w:jc w:val="center"/>
              <w:rPr>
                <w:rFonts w:eastAsia="Times New Roman" w:cs="Times New Roman"/>
                <w:sz w:val="18"/>
                <w:szCs w:val="18"/>
                <w:lang w:eastAsia="en-GB"/>
              </w:rPr>
            </w:pPr>
            <w:r>
              <w:rPr>
                <w:rFonts w:eastAsia="Times New Roman" w:cs="Times New Roman"/>
                <w:sz w:val="18"/>
                <w:szCs w:val="18"/>
                <w:lang w:eastAsia="en-GB"/>
              </w:rPr>
              <w:t>60 mmol/mol (7.6%)</w:t>
            </w:r>
          </w:p>
        </w:tc>
        <w:tc>
          <w:tcPr>
            <w:tcW w:w="278" w:type="pct"/>
            <w:tcBorders>
              <w:right w:val="single" w:sz="18" w:space="0" w:color="000000"/>
            </w:tcBorders>
            <w:shd w:val="clear" w:color="auto" w:fill="auto"/>
            <w:vAlign w:val="center"/>
          </w:tcPr>
          <w:p w:rsidR="008A17FA" w:rsidRDefault="00711F9F">
            <w:pPr>
              <w:jc w:val="center"/>
              <w:rPr>
                <w:rFonts w:eastAsia="Times New Roman" w:cs="Times New Roman"/>
                <w:sz w:val="18"/>
                <w:szCs w:val="18"/>
                <w:lang w:eastAsia="en-GB"/>
              </w:rPr>
            </w:pPr>
            <w:r>
              <w:rPr>
                <w:rFonts w:eastAsia="Times New Roman" w:cs="Times New Roman"/>
                <w:sz w:val="18"/>
                <w:szCs w:val="18"/>
                <w:lang w:eastAsia="en-GB"/>
              </w:rPr>
              <w:t>−0.73 kg</w:t>
            </w:r>
          </w:p>
        </w:tc>
      </w:tr>
      <w:tr w:rsidR="008A17FA" w:rsidTr="008A28AB">
        <w:trPr>
          <w:trHeight w:val="151"/>
        </w:trPr>
        <w:tc>
          <w:tcPr>
            <w:tcW w:w="366" w:type="pct"/>
            <w:vMerge/>
            <w:tcBorders>
              <w:left w:val="single" w:sz="18" w:space="0" w:color="000000"/>
              <w:bottom w:val="single" w:sz="4" w:space="0" w:color="auto"/>
            </w:tcBorders>
          </w:tcPr>
          <w:p w:rsidR="008A17FA" w:rsidRDefault="008A17FA">
            <w:pPr>
              <w:kinsoku w:val="0"/>
              <w:overflowPunct w:val="0"/>
              <w:spacing w:before="77"/>
              <w:textAlignment w:val="baseline"/>
              <w:rPr>
                <w:rFonts w:eastAsia="MS PGothic" w:cs="Arial"/>
                <w:kern w:val="24"/>
                <w:sz w:val="18"/>
                <w:szCs w:val="18"/>
                <w:lang w:eastAsia="en-GB"/>
              </w:rPr>
            </w:pPr>
          </w:p>
        </w:tc>
        <w:tc>
          <w:tcPr>
            <w:tcW w:w="619" w:type="pct"/>
            <w:tcBorders>
              <w:bottom w:val="single" w:sz="18" w:space="0" w:color="000000"/>
            </w:tcBorders>
            <w:shd w:val="clear" w:color="auto" w:fill="auto"/>
            <w:vAlign w:val="center"/>
          </w:tcPr>
          <w:p w:rsidR="008A17FA" w:rsidRDefault="00711F9F">
            <w:pPr>
              <w:kinsoku w:val="0"/>
              <w:overflowPunct w:val="0"/>
              <w:spacing w:before="77"/>
              <w:textAlignment w:val="baseline"/>
              <w:rPr>
                <w:rFonts w:eastAsia="MS PGothic" w:cs="Arial"/>
                <w:kern w:val="24"/>
                <w:sz w:val="18"/>
                <w:szCs w:val="18"/>
                <w:lang w:eastAsia="en-GB"/>
              </w:rPr>
            </w:pPr>
            <w:r>
              <w:rPr>
                <w:rFonts w:eastAsia="MS PGothic" w:cs="Arial"/>
                <w:kern w:val="24"/>
                <w:sz w:val="18"/>
                <w:szCs w:val="18"/>
                <w:lang w:eastAsia="en-GB"/>
              </w:rPr>
              <w:t xml:space="preserve">Diamant </w:t>
            </w:r>
            <w:r>
              <w:rPr>
                <w:rFonts w:eastAsia="MS PGothic" w:cs="Arial"/>
                <w:i/>
                <w:kern w:val="24"/>
                <w:sz w:val="18"/>
                <w:szCs w:val="18"/>
                <w:lang w:eastAsia="en-GB"/>
              </w:rPr>
              <w:t>et al.</w:t>
            </w:r>
            <w:r>
              <w:rPr>
                <w:rFonts w:eastAsia="MS PGothic" w:cs="Arial"/>
                <w:kern w:val="24"/>
                <w:sz w:val="18"/>
                <w:szCs w:val="18"/>
                <w:lang w:eastAsia="en-GB"/>
              </w:rPr>
              <w:t xml:space="preserve"> 2014 [57]</w:t>
            </w:r>
          </w:p>
        </w:tc>
        <w:tc>
          <w:tcPr>
            <w:tcW w:w="799" w:type="pct"/>
            <w:tcBorders>
              <w:bottom w:val="single" w:sz="18" w:space="0" w:color="000000"/>
            </w:tcBorders>
            <w:shd w:val="clear" w:color="auto" w:fill="auto"/>
            <w:vAlign w:val="center"/>
          </w:tcPr>
          <w:p w:rsidR="008A17FA" w:rsidRDefault="00711F9F">
            <w:pPr>
              <w:rPr>
                <w:rFonts w:eastAsia="Times New Roman" w:cs="Arial"/>
                <w:sz w:val="18"/>
                <w:szCs w:val="18"/>
                <w:lang w:eastAsia="en-GB"/>
              </w:rPr>
            </w:pPr>
            <w:r>
              <w:rPr>
                <w:rFonts w:eastAsia="Times New Roman" w:cs="Arial"/>
                <w:sz w:val="18"/>
                <w:szCs w:val="18"/>
                <w:lang w:eastAsia="en-GB"/>
              </w:rPr>
              <w:t xml:space="preserve">IGlar + </w:t>
            </w:r>
            <w:r>
              <w:rPr>
                <w:rFonts w:eastAsia="MS PGothic" w:cs="Arial"/>
                <w:kern w:val="24"/>
                <w:sz w:val="18"/>
                <w:szCs w:val="18"/>
                <w:lang w:eastAsia="en-GB"/>
              </w:rPr>
              <w:t>exenatide 10 µg BID</w:t>
            </w:r>
          </w:p>
        </w:tc>
        <w:tc>
          <w:tcPr>
            <w:tcW w:w="368" w:type="pct"/>
            <w:tcBorders>
              <w:bottom w:val="single" w:sz="18" w:space="0" w:color="000000"/>
            </w:tcBorders>
            <w:shd w:val="clear" w:color="auto" w:fill="auto"/>
            <w:vAlign w:val="center"/>
          </w:tcPr>
          <w:p w:rsidR="008A17FA" w:rsidRDefault="00711F9F">
            <w:pPr>
              <w:jc w:val="center"/>
              <w:rPr>
                <w:rFonts w:eastAsia="Times New Roman" w:cs="Times New Roman"/>
                <w:sz w:val="18"/>
                <w:szCs w:val="18"/>
                <w:lang w:eastAsia="en-GB"/>
              </w:rPr>
            </w:pPr>
            <w:r>
              <w:rPr>
                <w:rFonts w:eastAsia="Times New Roman" w:cs="Times New Roman"/>
                <w:sz w:val="18"/>
                <w:szCs w:val="18"/>
                <w:lang w:eastAsia="en-GB"/>
              </w:rPr>
              <w:t>61</w:t>
            </w:r>
          </w:p>
        </w:tc>
        <w:tc>
          <w:tcPr>
            <w:tcW w:w="826" w:type="pct"/>
            <w:tcBorders>
              <w:bottom w:val="single" w:sz="18" w:space="0" w:color="000000"/>
            </w:tcBorders>
            <w:shd w:val="clear" w:color="auto" w:fill="auto"/>
          </w:tcPr>
          <w:p w:rsidR="008A17FA" w:rsidRDefault="00711F9F">
            <w:pPr>
              <w:jc w:val="center"/>
              <w:rPr>
                <w:rFonts w:eastAsia="MS PGothic" w:cs="Arial"/>
                <w:kern w:val="24"/>
                <w:sz w:val="18"/>
                <w:szCs w:val="18"/>
                <w:lang w:eastAsia="en-GB"/>
              </w:rPr>
            </w:pPr>
            <w:r>
              <w:rPr>
                <w:rFonts w:eastAsia="MS PGothic" w:cs="Arial"/>
                <w:kern w:val="24"/>
                <w:sz w:val="18"/>
                <w:szCs w:val="18"/>
                <w:lang w:eastAsia="en-GB"/>
              </w:rPr>
              <w:t>Background IGlar reduced by 10% at baseline and then titrated to ≤5.6 mmol/L</w:t>
            </w:r>
          </w:p>
        </w:tc>
        <w:tc>
          <w:tcPr>
            <w:tcW w:w="368" w:type="pct"/>
            <w:tcBorders>
              <w:bottom w:val="single" w:sz="18" w:space="0" w:color="000000"/>
            </w:tcBorders>
            <w:shd w:val="clear" w:color="auto" w:fill="auto"/>
            <w:vAlign w:val="center"/>
          </w:tcPr>
          <w:p w:rsidR="008A17FA" w:rsidRDefault="00711F9F">
            <w:pPr>
              <w:jc w:val="center"/>
              <w:rPr>
                <w:rFonts w:eastAsia="Times New Roman" w:cs="Times New Roman"/>
                <w:sz w:val="18"/>
                <w:szCs w:val="18"/>
                <w:lang w:eastAsia="en-GB"/>
              </w:rPr>
            </w:pPr>
            <w:r>
              <w:rPr>
                <w:rFonts w:eastAsia="Times New Roman" w:cs="Times New Roman"/>
                <w:sz w:val="18"/>
                <w:szCs w:val="18"/>
                <w:lang w:eastAsia="en-GB"/>
              </w:rPr>
              <w:t>−4.5</w:t>
            </w:r>
          </w:p>
        </w:tc>
        <w:tc>
          <w:tcPr>
            <w:tcW w:w="367" w:type="pct"/>
            <w:tcBorders>
              <w:bottom w:val="single" w:sz="18" w:space="0" w:color="000000"/>
            </w:tcBorders>
            <w:shd w:val="clear" w:color="auto" w:fill="auto"/>
            <w:vAlign w:val="center"/>
          </w:tcPr>
          <w:p w:rsidR="008A17FA" w:rsidRDefault="00711F9F">
            <w:pPr>
              <w:jc w:val="center"/>
              <w:rPr>
                <w:rFonts w:eastAsia="Times New Roman" w:cs="Times New Roman"/>
                <w:sz w:val="18"/>
                <w:szCs w:val="18"/>
                <w:lang w:eastAsia="en-GB"/>
              </w:rPr>
            </w:pPr>
            <w:r>
              <w:rPr>
                <w:rFonts w:eastAsia="Times New Roman" w:cs="Times New Roman"/>
                <w:sz w:val="18"/>
                <w:szCs w:val="18"/>
                <w:lang w:eastAsia="en-GB"/>
              </w:rPr>
              <w:t>67 mmol/mol (8.3%)</w:t>
            </w:r>
          </w:p>
        </w:tc>
        <w:tc>
          <w:tcPr>
            <w:tcW w:w="321" w:type="pct"/>
            <w:tcBorders>
              <w:bottom w:val="single" w:sz="18" w:space="0" w:color="000000"/>
            </w:tcBorders>
            <w:shd w:val="clear" w:color="auto" w:fill="auto"/>
            <w:vAlign w:val="center"/>
          </w:tcPr>
          <w:p w:rsidR="008A17FA" w:rsidRDefault="00711F9F">
            <w:pPr>
              <w:jc w:val="center"/>
              <w:rPr>
                <w:rFonts w:eastAsia="Times New Roman" w:cs="Times New Roman"/>
                <w:sz w:val="18"/>
                <w:szCs w:val="18"/>
                <w:lang w:eastAsia="en-GB"/>
              </w:rPr>
            </w:pPr>
            <w:r>
              <w:rPr>
                <w:rFonts w:eastAsia="Times New Roman" w:cs="Times New Roman"/>
                <w:sz w:val="18"/>
                <w:szCs w:val="18"/>
                <w:lang w:eastAsia="en-GB"/>
              </w:rPr>
              <w:t>−1.13</w:t>
            </w:r>
          </w:p>
        </w:tc>
        <w:tc>
          <w:tcPr>
            <w:tcW w:w="367" w:type="pct"/>
            <w:tcBorders>
              <w:bottom w:val="single" w:sz="18" w:space="0" w:color="000000"/>
            </w:tcBorders>
            <w:shd w:val="clear" w:color="auto" w:fill="auto"/>
            <w:vAlign w:val="center"/>
          </w:tcPr>
          <w:p w:rsidR="008A17FA" w:rsidRDefault="00711F9F">
            <w:pPr>
              <w:jc w:val="center"/>
              <w:rPr>
                <w:rFonts w:eastAsia="Times New Roman" w:cs="Times New Roman"/>
                <w:sz w:val="18"/>
                <w:szCs w:val="18"/>
                <w:lang w:eastAsia="en-GB"/>
              </w:rPr>
            </w:pPr>
            <w:r>
              <w:rPr>
                <w:rFonts w:eastAsia="Times New Roman" w:cs="Times New Roman"/>
                <w:sz w:val="18"/>
                <w:szCs w:val="18"/>
                <w:lang w:eastAsia="en-GB"/>
              </w:rPr>
              <w:t>N/A</w:t>
            </w:r>
          </w:p>
        </w:tc>
        <w:tc>
          <w:tcPr>
            <w:tcW w:w="321" w:type="pct"/>
            <w:tcBorders>
              <w:bottom w:val="single" w:sz="18" w:space="0" w:color="000000"/>
            </w:tcBorders>
            <w:shd w:val="clear" w:color="auto" w:fill="auto"/>
            <w:vAlign w:val="center"/>
          </w:tcPr>
          <w:p w:rsidR="008A17FA" w:rsidRDefault="00711F9F">
            <w:pPr>
              <w:jc w:val="center"/>
              <w:rPr>
                <w:rFonts w:eastAsia="Times New Roman" w:cs="Times New Roman"/>
                <w:sz w:val="18"/>
                <w:szCs w:val="18"/>
                <w:lang w:eastAsia="en-GB"/>
              </w:rPr>
            </w:pPr>
            <w:r>
              <w:rPr>
                <w:rFonts w:eastAsia="Times New Roman" w:cs="Times New Roman"/>
                <w:sz w:val="18"/>
                <w:szCs w:val="18"/>
                <w:lang w:eastAsia="en-GB"/>
              </w:rPr>
              <w:t>55 mmol/mol (7.2%)</w:t>
            </w:r>
          </w:p>
        </w:tc>
        <w:tc>
          <w:tcPr>
            <w:tcW w:w="278" w:type="pct"/>
            <w:tcBorders>
              <w:bottom w:val="single" w:sz="18" w:space="0" w:color="000000"/>
              <w:right w:val="single" w:sz="18" w:space="0" w:color="000000"/>
            </w:tcBorders>
            <w:shd w:val="clear" w:color="auto" w:fill="auto"/>
            <w:vAlign w:val="center"/>
          </w:tcPr>
          <w:p w:rsidR="008A17FA" w:rsidRDefault="00711F9F">
            <w:pPr>
              <w:jc w:val="center"/>
              <w:rPr>
                <w:rFonts w:eastAsia="Times New Roman" w:cs="Times New Roman"/>
                <w:sz w:val="18"/>
                <w:szCs w:val="18"/>
                <w:lang w:eastAsia="en-GB"/>
              </w:rPr>
            </w:pPr>
            <w:r>
              <w:rPr>
                <w:rFonts w:eastAsia="Times New Roman" w:cs="Times New Roman"/>
                <w:sz w:val="18"/>
                <w:szCs w:val="18"/>
                <w:lang w:eastAsia="en-GB"/>
              </w:rPr>
              <w:t>−2.5 kg</w:t>
            </w:r>
          </w:p>
        </w:tc>
      </w:tr>
    </w:tbl>
    <w:p w:rsidR="008A17FA" w:rsidRDefault="00711F9F">
      <w:pPr>
        <w:keepNext/>
        <w:spacing w:before="120"/>
        <w:rPr>
          <w:rFonts w:eastAsia="MS PGothic" w:cs="Arial"/>
          <w:kern w:val="24"/>
          <w:sz w:val="20"/>
          <w:szCs w:val="18"/>
          <w:lang w:eastAsia="en-GB"/>
        </w:rPr>
      </w:pPr>
      <w:r>
        <w:rPr>
          <w:rFonts w:eastAsia="Times New Roman" w:cs="Arial"/>
          <w:sz w:val="20"/>
          <w:szCs w:val="18"/>
          <w:vertAlign w:val="superscript"/>
          <w:lang w:eastAsia="en-GB"/>
        </w:rPr>
        <w:t>≠</w:t>
      </w:r>
      <w:r>
        <w:rPr>
          <w:rFonts w:eastAsia="Times New Roman" w:cs="Arial"/>
          <w:sz w:val="20"/>
          <w:szCs w:val="18"/>
          <w:lang w:eastAsia="en-GB"/>
        </w:rPr>
        <w:t xml:space="preserve">18-week efficacy data are presented before insulin titration was permitted in the study. </w:t>
      </w:r>
      <w:r>
        <w:rPr>
          <w:sz w:val="20"/>
        </w:rPr>
        <w:t>*Placebo-corrected value; **Not reported, calculated using baseline value and change in HbA</w:t>
      </w:r>
      <w:r>
        <w:rPr>
          <w:sz w:val="20"/>
          <w:vertAlign w:val="subscript"/>
        </w:rPr>
        <w:t>1c</w:t>
      </w:r>
      <w:r>
        <w:rPr>
          <w:sz w:val="20"/>
        </w:rPr>
        <w:t xml:space="preserve"> value reported; </w:t>
      </w:r>
      <w:r>
        <w:rPr>
          <w:rFonts w:eastAsia="Times New Roman" w:cs="Arial"/>
          <w:sz w:val="20"/>
          <w:vertAlign w:val="superscript"/>
          <w:lang w:eastAsia="en-GB"/>
        </w:rPr>
        <w:t xml:space="preserve">† </w:t>
      </w:r>
      <w:r>
        <w:rPr>
          <w:rFonts w:eastAsia="Times New Roman" w:cs="Arial"/>
          <w:sz w:val="20"/>
          <w:lang w:eastAsia="en-GB"/>
        </w:rPr>
        <w:t xml:space="preserve">67 U for those on premixed insulin (27%) and 44 U for those on long- or intermediate-acting insulin (73%); </w:t>
      </w:r>
      <w:r>
        <w:rPr>
          <w:rFonts w:eastAsia="MS PGothic" w:cs="Arial"/>
          <w:kern w:val="24"/>
          <w:sz w:val="20"/>
          <w:szCs w:val="18"/>
          <w:vertAlign w:val="superscript"/>
          <w:lang w:eastAsia="en-GB"/>
        </w:rPr>
        <w:t xml:space="preserve"># </w:t>
      </w:r>
      <w:r>
        <w:rPr>
          <w:rFonts w:eastAsia="MS PGothic" w:cs="Arial"/>
          <w:kern w:val="24"/>
          <w:sz w:val="20"/>
          <w:szCs w:val="18"/>
          <w:lang w:eastAsia="en-GB"/>
        </w:rPr>
        <w:t xml:space="preserve">Basal insulin dose reduced by 20% at randomization </w:t>
      </w:r>
    </w:p>
    <w:p w:rsidR="008A17FA" w:rsidRDefault="00711F9F">
      <w:pPr>
        <w:keepNext/>
        <w:spacing w:before="120"/>
        <w:rPr>
          <w:sz w:val="20"/>
        </w:rPr>
        <w:sectPr w:rsidR="008A17FA">
          <w:pgSz w:w="16838" w:h="11906" w:orient="landscape"/>
          <w:pgMar w:top="1440" w:right="1440" w:bottom="1440" w:left="1440" w:header="709" w:footer="709" w:gutter="0"/>
          <w:cols w:space="708"/>
          <w:docGrid w:linePitch="360"/>
        </w:sectPr>
      </w:pPr>
      <w:r>
        <w:rPr>
          <w:rFonts w:eastAsia="MS PGothic" w:cs="Arial"/>
          <w:kern w:val="24"/>
          <w:sz w:val="20"/>
          <w:szCs w:val="18"/>
          <w:lang w:eastAsia="en-GB"/>
        </w:rPr>
        <w:t xml:space="preserve">BID, twice daily; DPP-4, dipeptidyl peptidase-4; GLP-1 RA, glucagon-like peptide-1 receptor agonist; IDeg, insulin degludec; IDet, insulin detemir; IGlar, insulin glargine; </w:t>
      </w:r>
      <w:r>
        <w:rPr>
          <w:sz w:val="20"/>
        </w:rPr>
        <w:t xml:space="preserve">MDI, multiple daily injections; NR, not reported; </w:t>
      </w:r>
      <w:r>
        <w:rPr>
          <w:rFonts w:eastAsia="MS PGothic" w:cs="Arial"/>
          <w:kern w:val="24"/>
          <w:sz w:val="20"/>
          <w:szCs w:val="18"/>
          <w:lang w:eastAsia="en-GB"/>
        </w:rPr>
        <w:t xml:space="preserve">OAD, oral antidiabetic drug; OW, once weekly; </w:t>
      </w:r>
      <w:r>
        <w:rPr>
          <w:sz w:val="20"/>
        </w:rPr>
        <w:t>SGLT2, sodium–glucose co-transporter-2</w:t>
      </w:r>
    </w:p>
    <w:p w:rsidR="008A17FA" w:rsidRDefault="00711F9F">
      <w:r>
        <w:rPr>
          <w:b/>
          <w:noProof/>
          <w:lang w:eastAsia="en-GB"/>
        </w:rPr>
        <w:lastRenderedPageBreak/>
        <mc:AlternateContent>
          <mc:Choice Requires="wps">
            <w:drawing>
              <wp:anchor distT="45720" distB="45720" distL="114300" distR="114300" simplePos="0" relativeHeight="251697152" behindDoc="0" locked="0" layoutInCell="1" allowOverlap="1" wp14:anchorId="718BF876" wp14:editId="21C7B9F6">
                <wp:simplePos x="0" y="0"/>
                <wp:positionH relativeFrom="column">
                  <wp:posOffset>4762500</wp:posOffset>
                </wp:positionH>
                <wp:positionV relativeFrom="paragraph">
                  <wp:posOffset>3825875</wp:posOffset>
                </wp:positionV>
                <wp:extent cx="257175" cy="266700"/>
                <wp:effectExtent l="0" t="0" r="952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66700"/>
                        </a:xfrm>
                        <a:prstGeom prst="rect">
                          <a:avLst/>
                        </a:prstGeom>
                        <a:solidFill>
                          <a:schemeClr val="bg1"/>
                        </a:solidFill>
                        <a:ln w="9525">
                          <a:noFill/>
                          <a:miter lim="800000"/>
                          <a:headEnd/>
                          <a:tailEnd/>
                        </a:ln>
                      </wps:spPr>
                      <wps:txbx>
                        <w:txbxContent>
                          <w:p w:rsidR="008A17FA" w:rsidRDefault="008A17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8BF876" id="_x0000_t202" coordsize="21600,21600" o:spt="202" path="m,l,21600r21600,l21600,xe">
                <v:stroke joinstyle="miter"/>
                <v:path gradientshapeok="t" o:connecttype="rect"/>
              </v:shapetype>
              <v:shape id="Text Box 2" o:spid="_x0000_s1026" type="#_x0000_t202" style="position:absolute;margin-left:375pt;margin-top:301.25pt;width:20.25pt;height:21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" fillcolor="white [3212]" stroked="f">
                <v:textbox>
                  <w:txbxContent>
                    <w:p w:rsidR="008A17FA" w:rsidRDefault="008A17FA"/>
                  </w:txbxContent>
                </v:textbox>
              </v:shape>
            </w:pict>
          </mc:Fallback>
        </mc:AlternateContent>
      </w:r>
      <w:r>
        <w:rPr>
          <w:b/>
        </w:rPr>
        <w:t>Table 4</w:t>
      </w:r>
      <w:r>
        <w:t xml:space="preserve"> Summary of key data from the IDegLira phase 3a clinical trials [62–64]</w:t>
      </w:r>
    </w:p>
    <w:tbl>
      <w:tblPr>
        <w:tblStyle w:val="TableGrid"/>
        <w:tblW w:w="9356" w:type="dxa"/>
        <w:tblInd w:w="-157" w:type="dxa"/>
        <w:tblLayout w:type="fixed"/>
        <w:tblCellMar>
          <w:left w:w="57" w:type="dxa"/>
          <w:right w:w="57" w:type="dxa"/>
        </w:tblCellMar>
        <w:tblLook w:val="04A0" w:firstRow="1" w:lastRow="0" w:firstColumn="1" w:lastColumn="0" w:noHBand="0" w:noVBand="1"/>
      </w:tblPr>
      <w:tblGrid>
        <w:gridCol w:w="993"/>
        <w:gridCol w:w="992"/>
        <w:gridCol w:w="1418"/>
        <w:gridCol w:w="1417"/>
        <w:gridCol w:w="992"/>
        <w:gridCol w:w="993"/>
        <w:gridCol w:w="1417"/>
        <w:gridCol w:w="1134"/>
      </w:tblGrid>
      <w:tr w:rsidR="008A17FA">
        <w:trPr>
          <w:trHeight w:val="669"/>
        </w:trPr>
        <w:tc>
          <w:tcPr>
            <w:tcW w:w="993" w:type="dxa"/>
            <w:tcBorders>
              <w:top w:val="single" w:sz="12" w:space="0" w:color="auto"/>
              <w:left w:val="single" w:sz="12" w:space="0" w:color="auto"/>
              <w:bottom w:val="single" w:sz="12" w:space="0" w:color="auto"/>
            </w:tcBorders>
          </w:tcPr>
          <w:p w:rsidR="008A17FA" w:rsidRDefault="00711F9F">
            <w:pPr>
              <w:rPr>
                <w:b/>
                <w:sz w:val="20"/>
              </w:rPr>
            </w:pPr>
            <w:r>
              <w:rPr>
                <w:b/>
                <w:sz w:val="20"/>
              </w:rPr>
              <w:t>Study</w:t>
            </w:r>
          </w:p>
        </w:tc>
        <w:tc>
          <w:tcPr>
            <w:tcW w:w="992" w:type="dxa"/>
            <w:tcBorders>
              <w:top w:val="single" w:sz="12" w:space="0" w:color="auto"/>
              <w:bottom w:val="single" w:sz="12" w:space="0" w:color="auto"/>
            </w:tcBorders>
          </w:tcPr>
          <w:p w:rsidR="008A17FA" w:rsidRDefault="00711F9F">
            <w:pPr>
              <w:rPr>
                <w:b/>
                <w:sz w:val="20"/>
              </w:rPr>
            </w:pPr>
            <w:r>
              <w:rPr>
                <w:b/>
                <w:sz w:val="20"/>
              </w:rPr>
              <w:t>Study duration</w:t>
            </w:r>
          </w:p>
        </w:tc>
        <w:tc>
          <w:tcPr>
            <w:tcW w:w="1418" w:type="dxa"/>
            <w:tcBorders>
              <w:top w:val="single" w:sz="12" w:space="0" w:color="auto"/>
              <w:bottom w:val="single" w:sz="12" w:space="0" w:color="auto"/>
            </w:tcBorders>
          </w:tcPr>
          <w:p w:rsidR="008A17FA" w:rsidRDefault="00711F9F">
            <w:pPr>
              <w:rPr>
                <w:b/>
                <w:sz w:val="20"/>
              </w:rPr>
            </w:pPr>
            <w:r>
              <w:rPr>
                <w:b/>
                <w:sz w:val="20"/>
              </w:rPr>
              <w:t xml:space="preserve">Treatment </w:t>
            </w:r>
            <w:r>
              <w:rPr>
                <w:b/>
                <w:sz w:val="20"/>
              </w:rPr>
              <w:br/>
              <w:t>arms</w:t>
            </w:r>
          </w:p>
        </w:tc>
        <w:tc>
          <w:tcPr>
            <w:tcW w:w="1417" w:type="dxa"/>
            <w:tcBorders>
              <w:top w:val="single" w:sz="12" w:space="0" w:color="auto"/>
              <w:bottom w:val="single" w:sz="12" w:space="0" w:color="auto"/>
            </w:tcBorders>
          </w:tcPr>
          <w:p w:rsidR="008A17FA" w:rsidRDefault="00711F9F">
            <w:pPr>
              <w:jc w:val="center"/>
              <w:rPr>
                <w:b/>
                <w:sz w:val="20"/>
              </w:rPr>
            </w:pPr>
            <w:r>
              <w:rPr>
                <w:b/>
                <w:sz w:val="20"/>
              </w:rPr>
              <w:t xml:space="preserve">Mean EOT </w:t>
            </w:r>
            <w:r>
              <w:rPr>
                <w:b/>
                <w:sz w:val="20"/>
              </w:rPr>
              <w:br/>
              <w:t>dose</w:t>
            </w:r>
          </w:p>
        </w:tc>
        <w:tc>
          <w:tcPr>
            <w:tcW w:w="992" w:type="dxa"/>
            <w:tcBorders>
              <w:top w:val="single" w:sz="12" w:space="0" w:color="auto"/>
              <w:bottom w:val="single" w:sz="12" w:space="0" w:color="auto"/>
            </w:tcBorders>
          </w:tcPr>
          <w:p w:rsidR="008A17FA" w:rsidRDefault="00711F9F">
            <w:pPr>
              <w:jc w:val="center"/>
              <w:rPr>
                <w:b/>
                <w:sz w:val="20"/>
              </w:rPr>
            </w:pPr>
            <w:r>
              <w:rPr>
                <w:b/>
                <w:sz w:val="20"/>
              </w:rPr>
              <w:t>Mean ΔHbA</w:t>
            </w:r>
            <w:r>
              <w:rPr>
                <w:b/>
                <w:sz w:val="20"/>
                <w:vertAlign w:val="subscript"/>
              </w:rPr>
              <w:t>1c</w:t>
            </w:r>
            <w:r>
              <w:rPr>
                <w:b/>
                <w:sz w:val="20"/>
              </w:rPr>
              <w:t xml:space="preserve"> (%)</w:t>
            </w:r>
          </w:p>
        </w:tc>
        <w:tc>
          <w:tcPr>
            <w:tcW w:w="993" w:type="dxa"/>
            <w:tcBorders>
              <w:top w:val="single" w:sz="12" w:space="0" w:color="auto"/>
              <w:bottom w:val="single" w:sz="12" w:space="0" w:color="auto"/>
            </w:tcBorders>
          </w:tcPr>
          <w:p w:rsidR="008A17FA" w:rsidRDefault="00711F9F">
            <w:pPr>
              <w:jc w:val="center"/>
              <w:rPr>
                <w:b/>
                <w:sz w:val="20"/>
              </w:rPr>
            </w:pPr>
            <w:r>
              <w:rPr>
                <w:b/>
                <w:sz w:val="20"/>
              </w:rPr>
              <w:t>Mean EOT HbA</w:t>
            </w:r>
            <w:r>
              <w:rPr>
                <w:b/>
                <w:sz w:val="20"/>
                <w:vertAlign w:val="subscript"/>
              </w:rPr>
              <w:t>1c</w:t>
            </w:r>
            <w:r>
              <w:rPr>
                <w:b/>
                <w:sz w:val="20"/>
              </w:rPr>
              <w:t xml:space="preserve"> (%)</w:t>
            </w:r>
          </w:p>
        </w:tc>
        <w:tc>
          <w:tcPr>
            <w:tcW w:w="1417" w:type="dxa"/>
            <w:tcBorders>
              <w:top w:val="single" w:sz="12" w:space="0" w:color="auto"/>
              <w:bottom w:val="single" w:sz="12" w:space="0" w:color="auto"/>
            </w:tcBorders>
          </w:tcPr>
          <w:p w:rsidR="008A17FA" w:rsidRDefault="00711F9F">
            <w:pPr>
              <w:jc w:val="center"/>
              <w:rPr>
                <w:b/>
                <w:sz w:val="20"/>
              </w:rPr>
            </w:pPr>
            <w:r>
              <w:rPr>
                <w:b/>
                <w:sz w:val="20"/>
              </w:rPr>
              <w:t xml:space="preserve">Hypoglycaemia (events/ </w:t>
            </w:r>
            <w:r>
              <w:rPr>
                <w:b/>
                <w:sz w:val="20"/>
              </w:rPr>
              <w:br/>
              <w:t>patient-year)</w:t>
            </w:r>
          </w:p>
        </w:tc>
        <w:tc>
          <w:tcPr>
            <w:tcW w:w="1134" w:type="dxa"/>
            <w:tcBorders>
              <w:top w:val="single" w:sz="12" w:space="0" w:color="auto"/>
              <w:bottom w:val="single" w:sz="12" w:space="0" w:color="auto"/>
              <w:right w:val="single" w:sz="12" w:space="0" w:color="auto"/>
            </w:tcBorders>
          </w:tcPr>
          <w:p w:rsidR="008A17FA" w:rsidRDefault="00711F9F">
            <w:pPr>
              <w:jc w:val="center"/>
              <w:rPr>
                <w:b/>
                <w:sz w:val="20"/>
              </w:rPr>
            </w:pPr>
            <w:r>
              <w:rPr>
                <w:b/>
                <w:sz w:val="20"/>
              </w:rPr>
              <w:t>Mean Δ body weight (kg)</w:t>
            </w:r>
          </w:p>
        </w:tc>
      </w:tr>
      <w:tr w:rsidR="008A17FA">
        <w:trPr>
          <w:trHeight w:val="499"/>
        </w:trPr>
        <w:tc>
          <w:tcPr>
            <w:tcW w:w="993" w:type="dxa"/>
            <w:vMerge w:val="restart"/>
            <w:tcBorders>
              <w:top w:val="single" w:sz="12" w:space="0" w:color="auto"/>
              <w:left w:val="single" w:sz="12" w:space="0" w:color="auto"/>
            </w:tcBorders>
            <w:vAlign w:val="center"/>
          </w:tcPr>
          <w:p w:rsidR="008A17FA" w:rsidRDefault="00711F9F">
            <w:pPr>
              <w:rPr>
                <w:sz w:val="20"/>
                <w:lang w:val="da-DK"/>
              </w:rPr>
            </w:pPr>
            <w:r>
              <w:rPr>
                <w:sz w:val="20"/>
                <w:lang w:val="da-DK"/>
              </w:rPr>
              <w:t>DUAL I</w:t>
            </w:r>
            <w:r>
              <w:rPr>
                <w:sz w:val="20"/>
                <w:lang w:val="da-DK"/>
              </w:rPr>
              <w:br/>
              <w:t xml:space="preserve">(Gough </w:t>
            </w:r>
            <w:r>
              <w:rPr>
                <w:i/>
                <w:sz w:val="20"/>
                <w:lang w:val="da-DK"/>
              </w:rPr>
              <w:t>et al</w:t>
            </w:r>
            <w:r>
              <w:rPr>
                <w:sz w:val="20"/>
                <w:lang w:val="da-DK"/>
              </w:rPr>
              <w:t>. 2014) [62]</w:t>
            </w:r>
          </w:p>
        </w:tc>
        <w:tc>
          <w:tcPr>
            <w:tcW w:w="992" w:type="dxa"/>
            <w:vMerge w:val="restart"/>
            <w:tcBorders>
              <w:top w:val="single" w:sz="12" w:space="0" w:color="auto"/>
            </w:tcBorders>
            <w:vAlign w:val="center"/>
          </w:tcPr>
          <w:p w:rsidR="008A17FA" w:rsidRDefault="00711F9F">
            <w:pPr>
              <w:rPr>
                <w:sz w:val="20"/>
              </w:rPr>
            </w:pPr>
            <w:r>
              <w:rPr>
                <w:sz w:val="20"/>
              </w:rPr>
              <w:t>26 weeks</w:t>
            </w:r>
          </w:p>
        </w:tc>
        <w:tc>
          <w:tcPr>
            <w:tcW w:w="1418" w:type="dxa"/>
            <w:tcBorders>
              <w:top w:val="single" w:sz="12" w:space="0" w:color="auto"/>
            </w:tcBorders>
            <w:vAlign w:val="center"/>
          </w:tcPr>
          <w:p w:rsidR="008A17FA" w:rsidRDefault="00711F9F">
            <w:pPr>
              <w:rPr>
                <w:sz w:val="20"/>
              </w:rPr>
            </w:pPr>
            <w:r>
              <w:rPr>
                <w:sz w:val="20"/>
              </w:rPr>
              <w:t>IDegLira</w:t>
            </w:r>
          </w:p>
        </w:tc>
        <w:tc>
          <w:tcPr>
            <w:tcW w:w="1417" w:type="dxa"/>
            <w:tcBorders>
              <w:top w:val="single" w:sz="12" w:space="0" w:color="auto"/>
            </w:tcBorders>
            <w:vAlign w:val="center"/>
          </w:tcPr>
          <w:p w:rsidR="008A17FA" w:rsidRDefault="00711F9F">
            <w:pPr>
              <w:jc w:val="center"/>
              <w:rPr>
                <w:sz w:val="20"/>
              </w:rPr>
            </w:pPr>
            <w:r>
              <w:rPr>
                <w:sz w:val="20"/>
              </w:rPr>
              <w:t xml:space="preserve">38 dose steps </w:t>
            </w:r>
            <w:r>
              <w:rPr>
                <w:sz w:val="20"/>
              </w:rPr>
              <w:br/>
              <w:t>(38 U; 1.4 mg)</w:t>
            </w:r>
          </w:p>
        </w:tc>
        <w:tc>
          <w:tcPr>
            <w:tcW w:w="992" w:type="dxa"/>
            <w:tcBorders>
              <w:top w:val="single" w:sz="12" w:space="0" w:color="auto"/>
            </w:tcBorders>
            <w:vAlign w:val="center"/>
          </w:tcPr>
          <w:p w:rsidR="008A17FA" w:rsidRDefault="00711F9F">
            <w:pPr>
              <w:jc w:val="center"/>
              <w:rPr>
                <w:sz w:val="20"/>
              </w:rPr>
            </w:pPr>
            <w:r>
              <w:rPr>
                <w:sz w:val="20"/>
              </w:rPr>
              <w:t>−1.9*</w:t>
            </w:r>
            <w:r>
              <w:rPr>
                <w:sz w:val="20"/>
                <w:vertAlign w:val="superscript"/>
              </w:rPr>
              <w:t>,†</w:t>
            </w:r>
          </w:p>
        </w:tc>
        <w:tc>
          <w:tcPr>
            <w:tcW w:w="993" w:type="dxa"/>
            <w:tcBorders>
              <w:top w:val="single" w:sz="12" w:space="0" w:color="auto"/>
            </w:tcBorders>
            <w:vAlign w:val="center"/>
          </w:tcPr>
          <w:p w:rsidR="008A17FA" w:rsidRDefault="00711F9F">
            <w:pPr>
              <w:jc w:val="center"/>
              <w:rPr>
                <w:sz w:val="20"/>
              </w:rPr>
            </w:pPr>
            <w:r>
              <w:rPr>
                <w:sz w:val="20"/>
              </w:rPr>
              <w:t>6.4</w:t>
            </w:r>
          </w:p>
        </w:tc>
        <w:tc>
          <w:tcPr>
            <w:tcW w:w="1417" w:type="dxa"/>
            <w:tcBorders>
              <w:top w:val="single" w:sz="12" w:space="0" w:color="auto"/>
            </w:tcBorders>
            <w:vAlign w:val="center"/>
          </w:tcPr>
          <w:p w:rsidR="008A17FA" w:rsidRDefault="00711F9F">
            <w:pPr>
              <w:jc w:val="center"/>
              <w:rPr>
                <w:sz w:val="20"/>
              </w:rPr>
            </w:pPr>
            <w:r>
              <w:rPr>
                <w:sz w:val="20"/>
              </w:rPr>
              <w:t>1.8*</w:t>
            </w:r>
            <w:r>
              <w:rPr>
                <w:sz w:val="20"/>
                <w:vertAlign w:val="superscript"/>
              </w:rPr>
              <w:t>,†</w:t>
            </w:r>
          </w:p>
        </w:tc>
        <w:tc>
          <w:tcPr>
            <w:tcW w:w="1134" w:type="dxa"/>
            <w:tcBorders>
              <w:top w:val="single" w:sz="12" w:space="0" w:color="auto"/>
              <w:right w:val="single" w:sz="12" w:space="0" w:color="auto"/>
            </w:tcBorders>
            <w:vAlign w:val="center"/>
          </w:tcPr>
          <w:p w:rsidR="008A17FA" w:rsidRDefault="00711F9F">
            <w:pPr>
              <w:jc w:val="center"/>
              <w:rPr>
                <w:sz w:val="20"/>
              </w:rPr>
            </w:pPr>
            <w:r>
              <w:rPr>
                <w:sz w:val="20"/>
              </w:rPr>
              <w:t>−0.5*</w:t>
            </w:r>
            <w:r>
              <w:rPr>
                <w:sz w:val="20"/>
                <w:vertAlign w:val="superscript"/>
              </w:rPr>
              <w:t>,†</w:t>
            </w:r>
          </w:p>
        </w:tc>
      </w:tr>
      <w:tr w:rsidR="008A17FA">
        <w:trPr>
          <w:trHeight w:val="499"/>
        </w:trPr>
        <w:tc>
          <w:tcPr>
            <w:tcW w:w="993" w:type="dxa"/>
            <w:vMerge/>
            <w:tcBorders>
              <w:left w:val="single" w:sz="12" w:space="0" w:color="auto"/>
            </w:tcBorders>
            <w:vAlign w:val="center"/>
          </w:tcPr>
          <w:p w:rsidR="008A17FA" w:rsidRDefault="008A17FA">
            <w:pPr>
              <w:rPr>
                <w:sz w:val="20"/>
              </w:rPr>
            </w:pPr>
          </w:p>
        </w:tc>
        <w:tc>
          <w:tcPr>
            <w:tcW w:w="992" w:type="dxa"/>
            <w:vMerge/>
            <w:vAlign w:val="center"/>
          </w:tcPr>
          <w:p w:rsidR="008A17FA" w:rsidRDefault="008A17FA">
            <w:pPr>
              <w:rPr>
                <w:sz w:val="20"/>
              </w:rPr>
            </w:pPr>
          </w:p>
        </w:tc>
        <w:tc>
          <w:tcPr>
            <w:tcW w:w="1418" w:type="dxa"/>
            <w:vAlign w:val="center"/>
          </w:tcPr>
          <w:p w:rsidR="008A17FA" w:rsidRDefault="00711F9F">
            <w:pPr>
              <w:rPr>
                <w:sz w:val="20"/>
              </w:rPr>
            </w:pPr>
            <w:r>
              <w:rPr>
                <w:sz w:val="20"/>
              </w:rPr>
              <w:t>IDeg</w:t>
            </w:r>
          </w:p>
        </w:tc>
        <w:tc>
          <w:tcPr>
            <w:tcW w:w="1417" w:type="dxa"/>
            <w:vAlign w:val="center"/>
          </w:tcPr>
          <w:p w:rsidR="008A17FA" w:rsidRDefault="00711F9F">
            <w:pPr>
              <w:jc w:val="center"/>
              <w:rPr>
                <w:sz w:val="20"/>
              </w:rPr>
            </w:pPr>
            <w:r>
              <w:rPr>
                <w:sz w:val="20"/>
              </w:rPr>
              <w:t>53 U</w:t>
            </w:r>
          </w:p>
        </w:tc>
        <w:tc>
          <w:tcPr>
            <w:tcW w:w="992" w:type="dxa"/>
            <w:vAlign w:val="center"/>
          </w:tcPr>
          <w:p w:rsidR="008A17FA" w:rsidRDefault="00711F9F">
            <w:pPr>
              <w:jc w:val="center"/>
              <w:rPr>
                <w:sz w:val="20"/>
              </w:rPr>
            </w:pPr>
            <w:r>
              <w:rPr>
                <w:sz w:val="20"/>
              </w:rPr>
              <w:t>−1.4</w:t>
            </w:r>
          </w:p>
        </w:tc>
        <w:tc>
          <w:tcPr>
            <w:tcW w:w="993" w:type="dxa"/>
            <w:vAlign w:val="center"/>
          </w:tcPr>
          <w:p w:rsidR="008A17FA" w:rsidRDefault="00711F9F">
            <w:pPr>
              <w:jc w:val="center"/>
              <w:rPr>
                <w:sz w:val="20"/>
              </w:rPr>
            </w:pPr>
            <w:r>
              <w:rPr>
                <w:sz w:val="20"/>
              </w:rPr>
              <w:t>6.9</w:t>
            </w:r>
          </w:p>
        </w:tc>
        <w:tc>
          <w:tcPr>
            <w:tcW w:w="1417" w:type="dxa"/>
            <w:vAlign w:val="center"/>
          </w:tcPr>
          <w:p w:rsidR="008A17FA" w:rsidRDefault="00711F9F">
            <w:pPr>
              <w:jc w:val="center"/>
              <w:rPr>
                <w:sz w:val="20"/>
              </w:rPr>
            </w:pPr>
            <w:r>
              <w:rPr>
                <w:sz w:val="20"/>
              </w:rPr>
              <w:t>2.6</w:t>
            </w:r>
          </w:p>
        </w:tc>
        <w:tc>
          <w:tcPr>
            <w:tcW w:w="1134" w:type="dxa"/>
            <w:tcBorders>
              <w:right w:val="single" w:sz="12" w:space="0" w:color="auto"/>
            </w:tcBorders>
            <w:vAlign w:val="center"/>
          </w:tcPr>
          <w:p w:rsidR="008A17FA" w:rsidRDefault="00711F9F">
            <w:pPr>
              <w:jc w:val="center"/>
              <w:rPr>
                <w:sz w:val="20"/>
              </w:rPr>
            </w:pPr>
            <w:r>
              <w:rPr>
                <w:sz w:val="20"/>
              </w:rPr>
              <w:t>+1.6</w:t>
            </w:r>
          </w:p>
        </w:tc>
      </w:tr>
      <w:tr w:rsidR="008A17FA">
        <w:trPr>
          <w:trHeight w:val="499"/>
        </w:trPr>
        <w:tc>
          <w:tcPr>
            <w:tcW w:w="993" w:type="dxa"/>
            <w:vMerge/>
            <w:tcBorders>
              <w:left w:val="single" w:sz="12" w:space="0" w:color="auto"/>
              <w:bottom w:val="single" w:sz="12" w:space="0" w:color="auto"/>
            </w:tcBorders>
            <w:vAlign w:val="center"/>
          </w:tcPr>
          <w:p w:rsidR="008A17FA" w:rsidRDefault="008A17FA">
            <w:pPr>
              <w:rPr>
                <w:sz w:val="20"/>
              </w:rPr>
            </w:pPr>
          </w:p>
        </w:tc>
        <w:tc>
          <w:tcPr>
            <w:tcW w:w="992" w:type="dxa"/>
            <w:vMerge/>
            <w:tcBorders>
              <w:bottom w:val="single" w:sz="12" w:space="0" w:color="auto"/>
            </w:tcBorders>
            <w:vAlign w:val="center"/>
          </w:tcPr>
          <w:p w:rsidR="008A17FA" w:rsidRDefault="008A17FA">
            <w:pPr>
              <w:rPr>
                <w:sz w:val="20"/>
              </w:rPr>
            </w:pPr>
          </w:p>
        </w:tc>
        <w:tc>
          <w:tcPr>
            <w:tcW w:w="1418" w:type="dxa"/>
            <w:tcBorders>
              <w:bottom w:val="single" w:sz="12" w:space="0" w:color="auto"/>
            </w:tcBorders>
            <w:vAlign w:val="center"/>
          </w:tcPr>
          <w:p w:rsidR="008A17FA" w:rsidRDefault="00711F9F">
            <w:pPr>
              <w:rPr>
                <w:sz w:val="20"/>
              </w:rPr>
            </w:pPr>
            <w:r>
              <w:rPr>
                <w:sz w:val="20"/>
              </w:rPr>
              <w:t>Lira 1.8 mg</w:t>
            </w:r>
          </w:p>
        </w:tc>
        <w:tc>
          <w:tcPr>
            <w:tcW w:w="1417" w:type="dxa"/>
            <w:tcBorders>
              <w:bottom w:val="single" w:sz="12" w:space="0" w:color="auto"/>
            </w:tcBorders>
            <w:vAlign w:val="center"/>
          </w:tcPr>
          <w:p w:rsidR="008A17FA" w:rsidRDefault="00711F9F">
            <w:pPr>
              <w:jc w:val="center"/>
              <w:rPr>
                <w:sz w:val="20"/>
              </w:rPr>
            </w:pPr>
            <w:r>
              <w:rPr>
                <w:sz w:val="20"/>
              </w:rPr>
              <w:t>1.8 mg</w:t>
            </w:r>
          </w:p>
        </w:tc>
        <w:tc>
          <w:tcPr>
            <w:tcW w:w="992" w:type="dxa"/>
            <w:tcBorders>
              <w:bottom w:val="single" w:sz="12" w:space="0" w:color="auto"/>
            </w:tcBorders>
            <w:vAlign w:val="center"/>
          </w:tcPr>
          <w:p w:rsidR="008A17FA" w:rsidRDefault="00711F9F">
            <w:pPr>
              <w:jc w:val="center"/>
              <w:rPr>
                <w:sz w:val="20"/>
              </w:rPr>
            </w:pPr>
            <w:r>
              <w:rPr>
                <w:sz w:val="20"/>
              </w:rPr>
              <w:t>−1.3</w:t>
            </w:r>
          </w:p>
        </w:tc>
        <w:tc>
          <w:tcPr>
            <w:tcW w:w="993" w:type="dxa"/>
            <w:tcBorders>
              <w:bottom w:val="single" w:sz="12" w:space="0" w:color="auto"/>
            </w:tcBorders>
            <w:vAlign w:val="center"/>
          </w:tcPr>
          <w:p w:rsidR="008A17FA" w:rsidRDefault="00711F9F">
            <w:pPr>
              <w:jc w:val="center"/>
              <w:rPr>
                <w:sz w:val="20"/>
              </w:rPr>
            </w:pPr>
            <w:r>
              <w:rPr>
                <w:sz w:val="20"/>
              </w:rPr>
              <w:t>7.0</w:t>
            </w:r>
          </w:p>
        </w:tc>
        <w:tc>
          <w:tcPr>
            <w:tcW w:w="1417" w:type="dxa"/>
            <w:tcBorders>
              <w:bottom w:val="single" w:sz="12" w:space="0" w:color="auto"/>
            </w:tcBorders>
            <w:vAlign w:val="center"/>
          </w:tcPr>
          <w:p w:rsidR="008A17FA" w:rsidRDefault="00711F9F">
            <w:pPr>
              <w:jc w:val="center"/>
              <w:rPr>
                <w:sz w:val="20"/>
              </w:rPr>
            </w:pPr>
            <w:r>
              <w:rPr>
                <w:sz w:val="20"/>
              </w:rPr>
              <w:t>0.2</w:t>
            </w:r>
          </w:p>
        </w:tc>
        <w:tc>
          <w:tcPr>
            <w:tcW w:w="1134" w:type="dxa"/>
            <w:tcBorders>
              <w:bottom w:val="single" w:sz="12" w:space="0" w:color="auto"/>
              <w:right w:val="single" w:sz="12" w:space="0" w:color="auto"/>
            </w:tcBorders>
            <w:vAlign w:val="center"/>
          </w:tcPr>
          <w:p w:rsidR="008A17FA" w:rsidRDefault="00711F9F">
            <w:pPr>
              <w:jc w:val="center"/>
              <w:rPr>
                <w:sz w:val="20"/>
              </w:rPr>
            </w:pPr>
            <w:r>
              <w:rPr>
                <w:sz w:val="20"/>
              </w:rPr>
              <w:t>−3.0</w:t>
            </w:r>
          </w:p>
        </w:tc>
      </w:tr>
      <w:tr w:rsidR="008A17FA">
        <w:trPr>
          <w:trHeight w:val="499"/>
        </w:trPr>
        <w:tc>
          <w:tcPr>
            <w:tcW w:w="993" w:type="dxa"/>
            <w:vMerge w:val="restart"/>
            <w:tcBorders>
              <w:top w:val="single" w:sz="12" w:space="0" w:color="auto"/>
              <w:left w:val="single" w:sz="12" w:space="0" w:color="auto"/>
            </w:tcBorders>
            <w:vAlign w:val="center"/>
          </w:tcPr>
          <w:p w:rsidR="008A17FA" w:rsidRDefault="00711F9F">
            <w:pPr>
              <w:rPr>
                <w:sz w:val="20"/>
              </w:rPr>
            </w:pPr>
            <w:r>
              <w:rPr>
                <w:sz w:val="20"/>
              </w:rPr>
              <w:t>DUAL I extension</w:t>
            </w:r>
            <w:r>
              <w:rPr>
                <w:sz w:val="20"/>
              </w:rPr>
              <w:br/>
              <w:t xml:space="preserve">(Gough </w:t>
            </w:r>
            <w:r>
              <w:rPr>
                <w:i/>
                <w:sz w:val="20"/>
              </w:rPr>
              <w:t>et al</w:t>
            </w:r>
            <w:r>
              <w:rPr>
                <w:sz w:val="20"/>
              </w:rPr>
              <w:t>. 2014) [64]</w:t>
            </w:r>
          </w:p>
        </w:tc>
        <w:tc>
          <w:tcPr>
            <w:tcW w:w="992" w:type="dxa"/>
            <w:vMerge w:val="restart"/>
            <w:tcBorders>
              <w:top w:val="single" w:sz="12" w:space="0" w:color="auto"/>
            </w:tcBorders>
            <w:vAlign w:val="center"/>
          </w:tcPr>
          <w:p w:rsidR="008A17FA" w:rsidRDefault="00711F9F">
            <w:pPr>
              <w:rPr>
                <w:sz w:val="20"/>
              </w:rPr>
            </w:pPr>
            <w:r>
              <w:rPr>
                <w:sz w:val="20"/>
              </w:rPr>
              <w:t>52 weeks</w:t>
            </w:r>
          </w:p>
        </w:tc>
        <w:tc>
          <w:tcPr>
            <w:tcW w:w="1418" w:type="dxa"/>
            <w:tcBorders>
              <w:top w:val="single" w:sz="12" w:space="0" w:color="auto"/>
            </w:tcBorders>
            <w:vAlign w:val="center"/>
          </w:tcPr>
          <w:p w:rsidR="008A17FA" w:rsidRDefault="00711F9F">
            <w:pPr>
              <w:rPr>
                <w:sz w:val="20"/>
              </w:rPr>
            </w:pPr>
            <w:r>
              <w:rPr>
                <w:sz w:val="20"/>
              </w:rPr>
              <w:t>IDegLira</w:t>
            </w:r>
          </w:p>
        </w:tc>
        <w:tc>
          <w:tcPr>
            <w:tcW w:w="1417" w:type="dxa"/>
            <w:tcBorders>
              <w:top w:val="single" w:sz="12" w:space="0" w:color="auto"/>
            </w:tcBorders>
            <w:vAlign w:val="center"/>
          </w:tcPr>
          <w:p w:rsidR="008A17FA" w:rsidRDefault="00711F9F">
            <w:pPr>
              <w:jc w:val="center"/>
              <w:rPr>
                <w:sz w:val="20"/>
              </w:rPr>
            </w:pPr>
            <w:r>
              <w:rPr>
                <w:sz w:val="20"/>
              </w:rPr>
              <w:t xml:space="preserve">39 dose steps </w:t>
            </w:r>
            <w:r>
              <w:rPr>
                <w:sz w:val="20"/>
              </w:rPr>
              <w:br/>
              <w:t>(39 U; 1.4 mg)</w:t>
            </w:r>
          </w:p>
        </w:tc>
        <w:tc>
          <w:tcPr>
            <w:tcW w:w="992" w:type="dxa"/>
            <w:tcBorders>
              <w:top w:val="single" w:sz="12" w:space="0" w:color="auto"/>
            </w:tcBorders>
            <w:vAlign w:val="center"/>
          </w:tcPr>
          <w:p w:rsidR="008A17FA" w:rsidRDefault="00711F9F">
            <w:pPr>
              <w:jc w:val="center"/>
              <w:rPr>
                <w:sz w:val="20"/>
              </w:rPr>
            </w:pPr>
            <w:r>
              <w:rPr>
                <w:sz w:val="20"/>
              </w:rPr>
              <w:t>−1.8*</w:t>
            </w:r>
            <w:r>
              <w:rPr>
                <w:sz w:val="20"/>
                <w:vertAlign w:val="superscript"/>
              </w:rPr>
              <w:t>,†</w:t>
            </w:r>
          </w:p>
        </w:tc>
        <w:tc>
          <w:tcPr>
            <w:tcW w:w="993" w:type="dxa"/>
            <w:tcBorders>
              <w:top w:val="single" w:sz="12" w:space="0" w:color="auto"/>
            </w:tcBorders>
            <w:vAlign w:val="center"/>
          </w:tcPr>
          <w:p w:rsidR="008A17FA" w:rsidRDefault="00711F9F">
            <w:pPr>
              <w:jc w:val="center"/>
              <w:rPr>
                <w:sz w:val="20"/>
              </w:rPr>
            </w:pPr>
            <w:r>
              <w:rPr>
                <w:sz w:val="20"/>
              </w:rPr>
              <w:t>6.4</w:t>
            </w:r>
          </w:p>
        </w:tc>
        <w:tc>
          <w:tcPr>
            <w:tcW w:w="1417" w:type="dxa"/>
            <w:tcBorders>
              <w:top w:val="single" w:sz="12" w:space="0" w:color="auto"/>
            </w:tcBorders>
            <w:vAlign w:val="center"/>
          </w:tcPr>
          <w:p w:rsidR="008A17FA" w:rsidRDefault="00711F9F">
            <w:pPr>
              <w:jc w:val="center"/>
              <w:rPr>
                <w:sz w:val="20"/>
              </w:rPr>
            </w:pPr>
            <w:r>
              <w:rPr>
                <w:sz w:val="20"/>
              </w:rPr>
              <w:t>1.8*</w:t>
            </w:r>
            <w:r>
              <w:rPr>
                <w:sz w:val="20"/>
                <w:vertAlign w:val="superscript"/>
              </w:rPr>
              <w:t>,†</w:t>
            </w:r>
          </w:p>
        </w:tc>
        <w:tc>
          <w:tcPr>
            <w:tcW w:w="1134" w:type="dxa"/>
            <w:tcBorders>
              <w:top w:val="single" w:sz="12" w:space="0" w:color="auto"/>
              <w:right w:val="single" w:sz="12" w:space="0" w:color="auto"/>
            </w:tcBorders>
            <w:vAlign w:val="center"/>
          </w:tcPr>
          <w:p w:rsidR="008A17FA" w:rsidRDefault="00711F9F">
            <w:pPr>
              <w:jc w:val="center"/>
              <w:rPr>
                <w:sz w:val="20"/>
              </w:rPr>
            </w:pPr>
            <w:r>
              <w:rPr>
                <w:sz w:val="20"/>
              </w:rPr>
              <w:t>-0.4*</w:t>
            </w:r>
            <w:r>
              <w:rPr>
                <w:sz w:val="20"/>
                <w:vertAlign w:val="superscript"/>
              </w:rPr>
              <w:t>,†</w:t>
            </w:r>
          </w:p>
        </w:tc>
      </w:tr>
      <w:tr w:rsidR="008A17FA">
        <w:trPr>
          <w:trHeight w:val="499"/>
        </w:trPr>
        <w:tc>
          <w:tcPr>
            <w:tcW w:w="993" w:type="dxa"/>
            <w:vMerge/>
            <w:tcBorders>
              <w:left w:val="single" w:sz="12" w:space="0" w:color="auto"/>
            </w:tcBorders>
            <w:vAlign w:val="center"/>
          </w:tcPr>
          <w:p w:rsidR="008A17FA" w:rsidRDefault="008A17FA">
            <w:pPr>
              <w:rPr>
                <w:sz w:val="20"/>
              </w:rPr>
            </w:pPr>
          </w:p>
        </w:tc>
        <w:tc>
          <w:tcPr>
            <w:tcW w:w="992" w:type="dxa"/>
            <w:vMerge/>
            <w:vAlign w:val="center"/>
          </w:tcPr>
          <w:p w:rsidR="008A17FA" w:rsidRDefault="008A17FA">
            <w:pPr>
              <w:rPr>
                <w:sz w:val="20"/>
              </w:rPr>
            </w:pPr>
          </w:p>
        </w:tc>
        <w:tc>
          <w:tcPr>
            <w:tcW w:w="1418" w:type="dxa"/>
            <w:vAlign w:val="center"/>
          </w:tcPr>
          <w:p w:rsidR="008A17FA" w:rsidRDefault="00711F9F">
            <w:pPr>
              <w:rPr>
                <w:sz w:val="20"/>
              </w:rPr>
            </w:pPr>
            <w:r>
              <w:rPr>
                <w:sz w:val="20"/>
              </w:rPr>
              <w:t>IDeg</w:t>
            </w:r>
          </w:p>
        </w:tc>
        <w:tc>
          <w:tcPr>
            <w:tcW w:w="1417" w:type="dxa"/>
            <w:vAlign w:val="center"/>
          </w:tcPr>
          <w:p w:rsidR="008A17FA" w:rsidRDefault="00711F9F">
            <w:pPr>
              <w:jc w:val="center"/>
              <w:rPr>
                <w:sz w:val="20"/>
              </w:rPr>
            </w:pPr>
            <w:r>
              <w:rPr>
                <w:sz w:val="20"/>
              </w:rPr>
              <w:t>62 U</w:t>
            </w:r>
          </w:p>
        </w:tc>
        <w:tc>
          <w:tcPr>
            <w:tcW w:w="992" w:type="dxa"/>
            <w:vAlign w:val="center"/>
          </w:tcPr>
          <w:p w:rsidR="008A17FA" w:rsidRDefault="00711F9F">
            <w:pPr>
              <w:jc w:val="center"/>
              <w:rPr>
                <w:sz w:val="20"/>
              </w:rPr>
            </w:pPr>
            <w:r>
              <w:rPr>
                <w:sz w:val="20"/>
              </w:rPr>
              <w:t>−1.4</w:t>
            </w:r>
          </w:p>
        </w:tc>
        <w:tc>
          <w:tcPr>
            <w:tcW w:w="993" w:type="dxa"/>
            <w:vAlign w:val="center"/>
          </w:tcPr>
          <w:p w:rsidR="008A17FA" w:rsidRDefault="00711F9F">
            <w:pPr>
              <w:jc w:val="center"/>
              <w:rPr>
                <w:sz w:val="20"/>
              </w:rPr>
            </w:pPr>
            <w:r>
              <w:rPr>
                <w:sz w:val="20"/>
              </w:rPr>
              <w:t>6.9</w:t>
            </w:r>
          </w:p>
        </w:tc>
        <w:tc>
          <w:tcPr>
            <w:tcW w:w="1417" w:type="dxa"/>
            <w:vAlign w:val="center"/>
          </w:tcPr>
          <w:p w:rsidR="008A17FA" w:rsidRDefault="00711F9F">
            <w:pPr>
              <w:jc w:val="center"/>
              <w:rPr>
                <w:sz w:val="20"/>
              </w:rPr>
            </w:pPr>
            <w:r>
              <w:rPr>
                <w:sz w:val="20"/>
              </w:rPr>
              <w:t>2.8</w:t>
            </w:r>
          </w:p>
        </w:tc>
        <w:tc>
          <w:tcPr>
            <w:tcW w:w="1134" w:type="dxa"/>
            <w:tcBorders>
              <w:right w:val="single" w:sz="12" w:space="0" w:color="auto"/>
            </w:tcBorders>
            <w:vAlign w:val="center"/>
          </w:tcPr>
          <w:p w:rsidR="008A17FA" w:rsidRDefault="00711F9F">
            <w:pPr>
              <w:jc w:val="center"/>
              <w:rPr>
                <w:sz w:val="20"/>
              </w:rPr>
            </w:pPr>
            <w:r>
              <w:rPr>
                <w:sz w:val="20"/>
              </w:rPr>
              <w:t>+2.3</w:t>
            </w:r>
          </w:p>
        </w:tc>
      </w:tr>
      <w:tr w:rsidR="008A17FA">
        <w:trPr>
          <w:trHeight w:val="499"/>
        </w:trPr>
        <w:tc>
          <w:tcPr>
            <w:tcW w:w="993" w:type="dxa"/>
            <w:vMerge/>
            <w:tcBorders>
              <w:left w:val="single" w:sz="12" w:space="0" w:color="auto"/>
              <w:bottom w:val="single" w:sz="12" w:space="0" w:color="auto"/>
            </w:tcBorders>
            <w:vAlign w:val="center"/>
          </w:tcPr>
          <w:p w:rsidR="008A17FA" w:rsidRDefault="008A17FA">
            <w:pPr>
              <w:rPr>
                <w:sz w:val="20"/>
              </w:rPr>
            </w:pPr>
          </w:p>
        </w:tc>
        <w:tc>
          <w:tcPr>
            <w:tcW w:w="992" w:type="dxa"/>
            <w:vMerge/>
            <w:tcBorders>
              <w:bottom w:val="single" w:sz="12" w:space="0" w:color="auto"/>
            </w:tcBorders>
            <w:vAlign w:val="center"/>
          </w:tcPr>
          <w:p w:rsidR="008A17FA" w:rsidRDefault="008A17FA">
            <w:pPr>
              <w:rPr>
                <w:sz w:val="20"/>
              </w:rPr>
            </w:pPr>
          </w:p>
        </w:tc>
        <w:tc>
          <w:tcPr>
            <w:tcW w:w="1418" w:type="dxa"/>
            <w:tcBorders>
              <w:bottom w:val="single" w:sz="12" w:space="0" w:color="auto"/>
            </w:tcBorders>
            <w:vAlign w:val="center"/>
          </w:tcPr>
          <w:p w:rsidR="008A17FA" w:rsidRDefault="00711F9F">
            <w:pPr>
              <w:rPr>
                <w:sz w:val="20"/>
              </w:rPr>
            </w:pPr>
            <w:r>
              <w:rPr>
                <w:sz w:val="20"/>
              </w:rPr>
              <w:t>Lira 1.8 mg</w:t>
            </w:r>
          </w:p>
        </w:tc>
        <w:tc>
          <w:tcPr>
            <w:tcW w:w="1417" w:type="dxa"/>
            <w:tcBorders>
              <w:bottom w:val="single" w:sz="12" w:space="0" w:color="auto"/>
            </w:tcBorders>
            <w:vAlign w:val="center"/>
          </w:tcPr>
          <w:p w:rsidR="008A17FA" w:rsidRDefault="00711F9F">
            <w:pPr>
              <w:jc w:val="center"/>
              <w:rPr>
                <w:sz w:val="20"/>
              </w:rPr>
            </w:pPr>
            <w:r>
              <w:rPr>
                <w:sz w:val="20"/>
              </w:rPr>
              <w:t>1.8 mg</w:t>
            </w:r>
          </w:p>
        </w:tc>
        <w:tc>
          <w:tcPr>
            <w:tcW w:w="992" w:type="dxa"/>
            <w:tcBorders>
              <w:bottom w:val="single" w:sz="12" w:space="0" w:color="auto"/>
            </w:tcBorders>
            <w:vAlign w:val="center"/>
          </w:tcPr>
          <w:p w:rsidR="008A17FA" w:rsidRDefault="00711F9F">
            <w:pPr>
              <w:jc w:val="center"/>
              <w:rPr>
                <w:sz w:val="20"/>
              </w:rPr>
            </w:pPr>
            <w:r>
              <w:rPr>
                <w:sz w:val="20"/>
              </w:rPr>
              <w:t>−1.2</w:t>
            </w:r>
          </w:p>
        </w:tc>
        <w:tc>
          <w:tcPr>
            <w:tcW w:w="993" w:type="dxa"/>
            <w:tcBorders>
              <w:bottom w:val="single" w:sz="12" w:space="0" w:color="auto"/>
            </w:tcBorders>
            <w:vAlign w:val="center"/>
          </w:tcPr>
          <w:p w:rsidR="008A17FA" w:rsidRDefault="00711F9F">
            <w:pPr>
              <w:jc w:val="center"/>
              <w:rPr>
                <w:sz w:val="20"/>
              </w:rPr>
            </w:pPr>
            <w:r>
              <w:rPr>
                <w:sz w:val="20"/>
              </w:rPr>
              <w:t>7.1</w:t>
            </w:r>
          </w:p>
        </w:tc>
        <w:tc>
          <w:tcPr>
            <w:tcW w:w="1417" w:type="dxa"/>
            <w:tcBorders>
              <w:bottom w:val="single" w:sz="12" w:space="0" w:color="auto"/>
            </w:tcBorders>
            <w:vAlign w:val="center"/>
          </w:tcPr>
          <w:p w:rsidR="008A17FA" w:rsidRDefault="00711F9F">
            <w:pPr>
              <w:jc w:val="center"/>
              <w:rPr>
                <w:sz w:val="20"/>
              </w:rPr>
            </w:pPr>
            <w:r>
              <w:rPr>
                <w:sz w:val="20"/>
              </w:rPr>
              <w:t>0.2</w:t>
            </w:r>
          </w:p>
        </w:tc>
        <w:tc>
          <w:tcPr>
            <w:tcW w:w="1134" w:type="dxa"/>
            <w:tcBorders>
              <w:bottom w:val="single" w:sz="12" w:space="0" w:color="auto"/>
              <w:right w:val="single" w:sz="12" w:space="0" w:color="auto"/>
            </w:tcBorders>
            <w:vAlign w:val="center"/>
          </w:tcPr>
          <w:p w:rsidR="008A17FA" w:rsidRDefault="00711F9F">
            <w:pPr>
              <w:jc w:val="center"/>
              <w:rPr>
                <w:sz w:val="20"/>
              </w:rPr>
            </w:pPr>
            <w:r>
              <w:rPr>
                <w:sz w:val="20"/>
              </w:rPr>
              <w:t>−3.0</w:t>
            </w:r>
          </w:p>
        </w:tc>
      </w:tr>
      <w:tr w:rsidR="008A17FA">
        <w:trPr>
          <w:trHeight w:val="499"/>
        </w:trPr>
        <w:tc>
          <w:tcPr>
            <w:tcW w:w="993" w:type="dxa"/>
            <w:vMerge w:val="restart"/>
            <w:tcBorders>
              <w:top w:val="single" w:sz="12" w:space="0" w:color="auto"/>
              <w:left w:val="single" w:sz="12" w:space="0" w:color="auto"/>
            </w:tcBorders>
            <w:vAlign w:val="center"/>
          </w:tcPr>
          <w:p w:rsidR="008A17FA" w:rsidRDefault="00711F9F">
            <w:pPr>
              <w:rPr>
                <w:sz w:val="20"/>
                <w:lang w:val="fr-FR"/>
              </w:rPr>
            </w:pPr>
            <w:r>
              <w:rPr>
                <w:sz w:val="20"/>
                <w:lang w:val="fr-FR"/>
              </w:rPr>
              <w:t xml:space="preserve">DUAL </w:t>
            </w:r>
            <w:proofErr w:type="gramStart"/>
            <w:r>
              <w:rPr>
                <w:sz w:val="20"/>
                <w:lang w:val="fr-FR"/>
              </w:rPr>
              <w:t>II</w:t>
            </w:r>
            <w:proofErr w:type="gramEnd"/>
            <w:r>
              <w:rPr>
                <w:sz w:val="20"/>
                <w:lang w:val="fr-FR"/>
              </w:rPr>
              <w:br/>
              <w:t xml:space="preserve">(Buse </w:t>
            </w:r>
            <w:r>
              <w:rPr>
                <w:i/>
                <w:sz w:val="20"/>
                <w:lang w:val="fr-FR"/>
              </w:rPr>
              <w:t>et al</w:t>
            </w:r>
            <w:r>
              <w:rPr>
                <w:sz w:val="20"/>
                <w:lang w:val="fr-FR"/>
              </w:rPr>
              <w:t>. 2014) [63]</w:t>
            </w:r>
          </w:p>
        </w:tc>
        <w:tc>
          <w:tcPr>
            <w:tcW w:w="992" w:type="dxa"/>
            <w:vMerge w:val="restart"/>
            <w:tcBorders>
              <w:top w:val="single" w:sz="12" w:space="0" w:color="auto"/>
            </w:tcBorders>
            <w:vAlign w:val="center"/>
          </w:tcPr>
          <w:p w:rsidR="008A17FA" w:rsidRDefault="00711F9F">
            <w:pPr>
              <w:rPr>
                <w:sz w:val="20"/>
              </w:rPr>
            </w:pPr>
            <w:r>
              <w:rPr>
                <w:sz w:val="20"/>
              </w:rPr>
              <w:t>26 weeks</w:t>
            </w:r>
          </w:p>
        </w:tc>
        <w:tc>
          <w:tcPr>
            <w:tcW w:w="1418" w:type="dxa"/>
            <w:tcBorders>
              <w:top w:val="single" w:sz="12" w:space="0" w:color="auto"/>
            </w:tcBorders>
            <w:vAlign w:val="center"/>
          </w:tcPr>
          <w:p w:rsidR="008A17FA" w:rsidRDefault="00711F9F">
            <w:pPr>
              <w:rPr>
                <w:sz w:val="20"/>
              </w:rPr>
            </w:pPr>
            <w:r>
              <w:rPr>
                <w:sz w:val="20"/>
              </w:rPr>
              <w:t>IDegLira</w:t>
            </w:r>
          </w:p>
        </w:tc>
        <w:tc>
          <w:tcPr>
            <w:tcW w:w="1417" w:type="dxa"/>
            <w:tcBorders>
              <w:top w:val="single" w:sz="12" w:space="0" w:color="auto"/>
            </w:tcBorders>
            <w:vAlign w:val="center"/>
          </w:tcPr>
          <w:p w:rsidR="008A17FA" w:rsidRDefault="00711F9F">
            <w:pPr>
              <w:jc w:val="center"/>
              <w:rPr>
                <w:sz w:val="20"/>
              </w:rPr>
            </w:pPr>
            <w:r>
              <w:rPr>
                <w:sz w:val="20"/>
              </w:rPr>
              <w:t xml:space="preserve">45 dose steps </w:t>
            </w:r>
            <w:r>
              <w:rPr>
                <w:sz w:val="20"/>
              </w:rPr>
              <w:br/>
              <w:t>(45 U; 1.6 mg)</w:t>
            </w:r>
          </w:p>
        </w:tc>
        <w:tc>
          <w:tcPr>
            <w:tcW w:w="992" w:type="dxa"/>
            <w:tcBorders>
              <w:top w:val="single" w:sz="12" w:space="0" w:color="auto"/>
            </w:tcBorders>
            <w:vAlign w:val="center"/>
          </w:tcPr>
          <w:p w:rsidR="008A17FA" w:rsidRDefault="00711F9F">
            <w:pPr>
              <w:jc w:val="center"/>
              <w:rPr>
                <w:sz w:val="20"/>
              </w:rPr>
            </w:pPr>
            <w:r>
              <w:rPr>
                <w:sz w:val="20"/>
              </w:rPr>
              <w:t>½1.9*</w:t>
            </w:r>
          </w:p>
        </w:tc>
        <w:tc>
          <w:tcPr>
            <w:tcW w:w="993" w:type="dxa"/>
            <w:tcBorders>
              <w:top w:val="single" w:sz="12" w:space="0" w:color="auto"/>
            </w:tcBorders>
            <w:vAlign w:val="center"/>
          </w:tcPr>
          <w:p w:rsidR="008A17FA" w:rsidRDefault="00711F9F">
            <w:pPr>
              <w:jc w:val="center"/>
              <w:rPr>
                <w:sz w:val="20"/>
              </w:rPr>
            </w:pPr>
            <w:r>
              <w:rPr>
                <w:sz w:val="20"/>
              </w:rPr>
              <w:t>6.9</w:t>
            </w:r>
          </w:p>
        </w:tc>
        <w:tc>
          <w:tcPr>
            <w:tcW w:w="1417" w:type="dxa"/>
            <w:tcBorders>
              <w:top w:val="single" w:sz="12" w:space="0" w:color="auto"/>
            </w:tcBorders>
            <w:vAlign w:val="center"/>
          </w:tcPr>
          <w:p w:rsidR="008A17FA" w:rsidRDefault="00711F9F">
            <w:pPr>
              <w:jc w:val="center"/>
              <w:rPr>
                <w:sz w:val="20"/>
              </w:rPr>
            </w:pPr>
            <w:r>
              <w:rPr>
                <w:sz w:val="20"/>
              </w:rPr>
              <w:t>1.5</w:t>
            </w:r>
          </w:p>
        </w:tc>
        <w:tc>
          <w:tcPr>
            <w:tcW w:w="1134" w:type="dxa"/>
            <w:tcBorders>
              <w:top w:val="single" w:sz="12" w:space="0" w:color="auto"/>
              <w:right w:val="single" w:sz="12" w:space="0" w:color="auto"/>
            </w:tcBorders>
            <w:vAlign w:val="center"/>
          </w:tcPr>
          <w:p w:rsidR="008A17FA" w:rsidRDefault="00711F9F">
            <w:pPr>
              <w:jc w:val="center"/>
              <w:rPr>
                <w:sz w:val="20"/>
              </w:rPr>
            </w:pPr>
            <w:r>
              <w:rPr>
                <w:sz w:val="20"/>
              </w:rPr>
              <w:t>−2.7*</w:t>
            </w:r>
          </w:p>
        </w:tc>
      </w:tr>
      <w:tr w:rsidR="008A17FA">
        <w:trPr>
          <w:trHeight w:val="499"/>
        </w:trPr>
        <w:tc>
          <w:tcPr>
            <w:tcW w:w="993" w:type="dxa"/>
            <w:vMerge/>
            <w:tcBorders>
              <w:left w:val="single" w:sz="12" w:space="0" w:color="auto"/>
              <w:bottom w:val="single" w:sz="12" w:space="0" w:color="auto"/>
            </w:tcBorders>
            <w:vAlign w:val="center"/>
          </w:tcPr>
          <w:p w:rsidR="008A17FA" w:rsidRDefault="008A17FA">
            <w:pPr>
              <w:rPr>
                <w:sz w:val="20"/>
              </w:rPr>
            </w:pPr>
          </w:p>
        </w:tc>
        <w:tc>
          <w:tcPr>
            <w:tcW w:w="992" w:type="dxa"/>
            <w:vMerge/>
            <w:tcBorders>
              <w:bottom w:val="single" w:sz="12" w:space="0" w:color="auto"/>
            </w:tcBorders>
            <w:vAlign w:val="center"/>
          </w:tcPr>
          <w:p w:rsidR="008A17FA" w:rsidRDefault="008A17FA">
            <w:pPr>
              <w:rPr>
                <w:sz w:val="20"/>
              </w:rPr>
            </w:pPr>
          </w:p>
        </w:tc>
        <w:tc>
          <w:tcPr>
            <w:tcW w:w="1418" w:type="dxa"/>
            <w:tcBorders>
              <w:bottom w:val="single" w:sz="12" w:space="0" w:color="auto"/>
            </w:tcBorders>
            <w:vAlign w:val="center"/>
          </w:tcPr>
          <w:p w:rsidR="008A17FA" w:rsidRDefault="00711F9F">
            <w:pPr>
              <w:rPr>
                <w:sz w:val="20"/>
              </w:rPr>
            </w:pPr>
            <w:r>
              <w:rPr>
                <w:sz w:val="20"/>
              </w:rPr>
              <w:t>IDeg (max 50 U)</w:t>
            </w:r>
          </w:p>
        </w:tc>
        <w:tc>
          <w:tcPr>
            <w:tcW w:w="1417" w:type="dxa"/>
            <w:tcBorders>
              <w:bottom w:val="single" w:sz="12" w:space="0" w:color="auto"/>
            </w:tcBorders>
            <w:vAlign w:val="center"/>
          </w:tcPr>
          <w:p w:rsidR="008A17FA" w:rsidRDefault="00711F9F">
            <w:pPr>
              <w:jc w:val="center"/>
              <w:rPr>
                <w:sz w:val="20"/>
              </w:rPr>
            </w:pPr>
            <w:r>
              <w:rPr>
                <w:sz w:val="20"/>
              </w:rPr>
              <w:t>45 U</w:t>
            </w:r>
          </w:p>
        </w:tc>
        <w:tc>
          <w:tcPr>
            <w:tcW w:w="992" w:type="dxa"/>
            <w:tcBorders>
              <w:bottom w:val="single" w:sz="12" w:space="0" w:color="auto"/>
            </w:tcBorders>
            <w:vAlign w:val="center"/>
          </w:tcPr>
          <w:p w:rsidR="008A17FA" w:rsidRDefault="00711F9F">
            <w:pPr>
              <w:jc w:val="center"/>
              <w:rPr>
                <w:sz w:val="20"/>
              </w:rPr>
            </w:pPr>
            <w:r>
              <w:rPr>
                <w:sz w:val="20"/>
              </w:rPr>
              <w:t>−0.9</w:t>
            </w:r>
          </w:p>
        </w:tc>
        <w:tc>
          <w:tcPr>
            <w:tcW w:w="993" w:type="dxa"/>
            <w:tcBorders>
              <w:bottom w:val="single" w:sz="12" w:space="0" w:color="auto"/>
            </w:tcBorders>
            <w:vAlign w:val="center"/>
          </w:tcPr>
          <w:p w:rsidR="008A17FA" w:rsidRDefault="00711F9F">
            <w:pPr>
              <w:jc w:val="center"/>
              <w:rPr>
                <w:sz w:val="20"/>
              </w:rPr>
            </w:pPr>
            <w:r>
              <w:rPr>
                <w:sz w:val="20"/>
              </w:rPr>
              <w:t>8.0</w:t>
            </w:r>
          </w:p>
        </w:tc>
        <w:tc>
          <w:tcPr>
            <w:tcW w:w="1417" w:type="dxa"/>
            <w:tcBorders>
              <w:bottom w:val="single" w:sz="12" w:space="0" w:color="auto"/>
            </w:tcBorders>
            <w:vAlign w:val="center"/>
          </w:tcPr>
          <w:p w:rsidR="008A17FA" w:rsidRDefault="00711F9F">
            <w:pPr>
              <w:jc w:val="center"/>
              <w:rPr>
                <w:sz w:val="20"/>
              </w:rPr>
            </w:pPr>
            <w:r>
              <w:rPr>
                <w:sz w:val="20"/>
              </w:rPr>
              <w:t>2.6</w:t>
            </w:r>
          </w:p>
        </w:tc>
        <w:tc>
          <w:tcPr>
            <w:tcW w:w="1134" w:type="dxa"/>
            <w:tcBorders>
              <w:bottom w:val="single" w:sz="12" w:space="0" w:color="auto"/>
              <w:right w:val="single" w:sz="12" w:space="0" w:color="auto"/>
            </w:tcBorders>
            <w:vAlign w:val="center"/>
          </w:tcPr>
          <w:p w:rsidR="008A17FA" w:rsidRDefault="00711F9F">
            <w:pPr>
              <w:jc w:val="center"/>
              <w:rPr>
                <w:sz w:val="20"/>
              </w:rPr>
            </w:pPr>
            <w:r>
              <w:rPr>
                <w:sz w:val="20"/>
              </w:rPr>
              <w:t>0.0</w:t>
            </w:r>
          </w:p>
        </w:tc>
      </w:tr>
    </w:tbl>
    <w:p w:rsidR="008A17FA" w:rsidRDefault="00711F9F">
      <w:pPr>
        <w:rPr>
          <w:lang w:val="da-DK"/>
        </w:rPr>
      </w:pPr>
      <w:r>
        <w:rPr>
          <w:lang w:val="da-DK"/>
        </w:rPr>
        <w:t>*</w:t>
      </w:r>
      <w:r>
        <w:rPr>
          <w:i/>
          <w:lang w:val="da-DK"/>
        </w:rPr>
        <w:t xml:space="preserve">P </w:t>
      </w:r>
      <w:r>
        <w:rPr>
          <w:lang w:val="da-DK"/>
        </w:rPr>
        <w:t xml:space="preserve">&lt; 0.0001 vs. IDeg; </w:t>
      </w:r>
      <w:r>
        <w:rPr>
          <w:vertAlign w:val="superscript"/>
          <w:lang w:val="da-DK"/>
        </w:rPr>
        <w:t>†</w:t>
      </w:r>
      <w:r>
        <w:rPr>
          <w:i/>
          <w:lang w:val="da-DK"/>
        </w:rPr>
        <w:t xml:space="preserve">P </w:t>
      </w:r>
      <w:r>
        <w:rPr>
          <w:lang w:val="da-DK"/>
        </w:rPr>
        <w:t>&lt; 0.0001 vs. liraglutide</w:t>
      </w:r>
    </w:p>
    <w:p w:rsidR="008A17FA" w:rsidRDefault="008A17FA">
      <w:pPr>
        <w:keepNext/>
        <w:spacing w:before="120"/>
        <w:rPr>
          <w:sz w:val="20"/>
        </w:rPr>
      </w:pPr>
    </w:p>
    <w:p w:rsidR="008A17FA" w:rsidRDefault="00711F9F">
      <w:pPr>
        <w:keepNext/>
        <w:spacing w:before="120"/>
        <w:rPr>
          <w:sz w:val="20"/>
        </w:rPr>
        <w:sectPr w:rsidR="008A17FA">
          <w:pgSz w:w="16838" w:h="11906" w:orient="landscape"/>
          <w:pgMar w:top="1440" w:right="1440" w:bottom="1440" w:left="1440" w:header="709" w:footer="709" w:gutter="0"/>
          <w:cols w:space="708"/>
          <w:docGrid w:linePitch="360"/>
        </w:sectPr>
      </w:pPr>
      <w:r>
        <w:rPr>
          <w:sz w:val="20"/>
        </w:rPr>
        <w:t>EOT, end-of-trial; IDeg, insulin degludec; IDegLira, insulin degludec/liraglutide</w:t>
      </w:r>
    </w:p>
    <w:p w:rsidR="008A17FA" w:rsidRDefault="00711F9F">
      <w:pPr>
        <w:keepNext/>
      </w:pPr>
      <w:r>
        <w:rPr>
          <w:b/>
        </w:rPr>
        <w:lastRenderedPageBreak/>
        <w:t>Figure 1</w:t>
      </w:r>
      <w:r>
        <w:t xml:space="preserve"> Relationship between incidence of hypoglycaemia (events per patient-year) and end-of-study HbA</w:t>
      </w:r>
      <w:r>
        <w:rPr>
          <w:vertAlign w:val="subscript"/>
        </w:rPr>
        <w:t xml:space="preserve">1c </w:t>
      </w:r>
      <w:r>
        <w:t>[16</w:t>
      </w:r>
      <w:proofErr w:type="gramStart"/>
      <w:r>
        <w:t>,20</w:t>
      </w:r>
      <w:proofErr w:type="gramEnd"/>
      <w:r>
        <w:t>]</w:t>
      </w:r>
    </w:p>
    <w:p w:rsidR="008A17FA" w:rsidRDefault="008A17FA">
      <w:pPr>
        <w:keepNext/>
      </w:pPr>
    </w:p>
    <w:p w:rsidR="008A17FA" w:rsidRDefault="00711F9F">
      <w:pPr>
        <w:keepNext/>
      </w:pPr>
      <w:r>
        <w:rPr>
          <w:noProof/>
          <w:lang w:eastAsia="en-GB"/>
        </w:rPr>
        <w:drawing>
          <wp:inline distT="0" distB="0" distL="0" distR="0">
            <wp:extent cx="4917831" cy="2767948"/>
            <wp:effectExtent l="0" t="0" r="0" b="0"/>
            <wp:docPr id="1" name="Picture 1" descr="S:\Watermeadow\Projects\Hermes\NVO\IDL\GB-13481 Glycaemic control and side effects with insulin therapy review ms\Graphics\13481 Figure 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atermeadow\Projects\Hermes\NVO\IDL\GB-13481 Glycaemic control and side effects with insulin therapy review ms\Graphics\13481 Figure A.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48111" cy="2784991"/>
                    </a:xfrm>
                    <a:prstGeom prst="rect">
                      <a:avLst/>
                    </a:prstGeom>
                    <a:noFill/>
                    <a:ln>
                      <a:noFill/>
                    </a:ln>
                  </pic:spPr>
                </pic:pic>
              </a:graphicData>
            </a:graphic>
          </wp:inline>
        </w:drawing>
      </w:r>
    </w:p>
    <w:p w:rsidR="008A17FA" w:rsidRDefault="008A17FA"/>
    <w:p w:rsidR="008A17FA" w:rsidRDefault="00711F9F">
      <w:r>
        <w:rPr>
          <w:noProof/>
          <w:lang w:eastAsia="en-GB"/>
        </w:rPr>
        <w:drawing>
          <wp:inline distT="0" distB="0" distL="0" distR="0">
            <wp:extent cx="4941277" cy="2780924"/>
            <wp:effectExtent l="0" t="0" r="0" b="635"/>
            <wp:docPr id="2" name="Picture 2" descr="S:\Watermeadow\Projects\Hermes\NVO\IDL\GB-13481 Glycaemic control and side effects with insulin therapy review ms\Graphics\13481 Figure 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atermeadow\Projects\Hermes\NVO\IDL\GB-13481 Glycaemic control and side effects with insulin therapy review ms\Graphics\13481 Figure B.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65293" cy="2794440"/>
                    </a:xfrm>
                    <a:prstGeom prst="rect">
                      <a:avLst/>
                    </a:prstGeom>
                    <a:noFill/>
                    <a:ln>
                      <a:noFill/>
                    </a:ln>
                  </pic:spPr>
                </pic:pic>
              </a:graphicData>
            </a:graphic>
          </wp:inline>
        </w:drawing>
      </w:r>
    </w:p>
    <w:p w:rsidR="008A17FA" w:rsidRDefault="008A17FA"/>
    <w:p w:rsidR="008A17FA" w:rsidRDefault="00711F9F">
      <w:pPr>
        <w:pStyle w:val="ListParagraph"/>
        <w:numPr>
          <w:ilvl w:val="0"/>
          <w:numId w:val="32"/>
        </w:numPr>
        <w:rPr>
          <w:sz w:val="20"/>
        </w:rPr>
      </w:pPr>
      <w:r>
        <w:rPr>
          <w:sz w:val="20"/>
        </w:rPr>
        <w:t xml:space="preserve">IDet vs. NPH as add-on to OAD therapy in insulin-naïve patients with T2D in a 26-week study [16]. (Adapted from Hermansen </w:t>
      </w:r>
      <w:r>
        <w:rPr>
          <w:i/>
          <w:sz w:val="20"/>
        </w:rPr>
        <w:t>et al. Diabetes Care</w:t>
      </w:r>
      <w:r>
        <w:rPr>
          <w:sz w:val="20"/>
        </w:rPr>
        <w:t xml:space="preserve"> 2006, with permission from Elsevier.)</w:t>
      </w:r>
    </w:p>
    <w:p w:rsidR="008A17FA" w:rsidRDefault="00711F9F">
      <w:pPr>
        <w:pStyle w:val="ListParagraph"/>
        <w:numPr>
          <w:ilvl w:val="0"/>
          <w:numId w:val="32"/>
        </w:numPr>
        <w:rPr>
          <w:sz w:val="20"/>
        </w:rPr>
      </w:pPr>
      <w:r>
        <w:rPr>
          <w:sz w:val="20"/>
        </w:rPr>
        <w:t xml:space="preserve">IGlar vs. NPH in combination with OAD therapy in patients with T2D in a 5-year study. Prandial insulin could be added at the investigator’s discretion [20]. (Adapted from Rosenstock </w:t>
      </w:r>
      <w:r>
        <w:rPr>
          <w:i/>
          <w:sz w:val="20"/>
        </w:rPr>
        <w:t>et al. J Diabetes Complications</w:t>
      </w:r>
      <w:r>
        <w:rPr>
          <w:sz w:val="20"/>
        </w:rPr>
        <w:t>, with permission from the American Diabetes Association.)</w:t>
      </w:r>
    </w:p>
    <w:p w:rsidR="008A17FA" w:rsidRDefault="00711F9F">
      <w:pPr>
        <w:ind w:left="360"/>
        <w:rPr>
          <w:sz w:val="20"/>
        </w:rPr>
      </w:pPr>
      <w:r>
        <w:rPr>
          <w:sz w:val="20"/>
        </w:rPr>
        <w:t>IDet, insulin detemir; IGlar, insulin glargine; NPH, neutral protamine Hagedorn; OAD, oral antidiabetic drug; T2D, type 2 diabetes</w:t>
      </w:r>
    </w:p>
    <w:p w:rsidR="008A17FA" w:rsidRDefault="008A17FA">
      <w:pPr>
        <w:keepNext/>
        <w:rPr>
          <w:bCs/>
        </w:rPr>
      </w:pPr>
    </w:p>
    <w:sectPr w:rsidR="008A17FA">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17FA" w:rsidRDefault="00711F9F">
      <w:pPr>
        <w:spacing w:after="0" w:line="240" w:lineRule="auto"/>
      </w:pPr>
      <w:r>
        <w:separator/>
      </w:r>
    </w:p>
  </w:endnote>
  <w:endnote w:type="continuationSeparator" w:id="0">
    <w:p w:rsidR="008A17FA" w:rsidRDefault="00711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FF" w:usb1="C0007841" w:usb2="00000009" w:usb3="00000000" w:csb0="000001FF" w:csb1="00000000"/>
  </w:font>
  <w:font w:name="Minion-Regular">
    <w:altName w:val="Times New Roman"/>
    <w:panose1 w:val="00000000000000000000"/>
    <w:charset w:val="00"/>
    <w:family w:val="roman"/>
    <w:notTrueType/>
    <w:pitch w:val="default"/>
    <w:sig w:usb0="00000003" w:usb1="00000000" w:usb2="00000000" w:usb3="00000000" w:csb0="00000001" w:csb1="00000000"/>
  </w:font>
  <w:font w:name="AGaramond-Regular">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dvOT96667d11">
    <w:panose1 w:val="00000000000000000000"/>
    <w:charset w:val="00"/>
    <w:family w:val="roman"/>
    <w:notTrueType/>
    <w:pitch w:val="default"/>
    <w:sig w:usb0="00000003" w:usb1="00000000" w:usb2="00000000" w:usb3="00000000" w:csb0="00000001" w:csb1="00000000"/>
  </w:font>
  <w:font w:name="AdvOT96667d11+20">
    <w:panose1 w:val="00000000000000000000"/>
    <w:charset w:val="00"/>
    <w:family w:val="swiss"/>
    <w:notTrueType/>
    <w:pitch w:val="default"/>
    <w:sig w:usb0="00000003" w:usb1="00000000" w:usb2="00000000" w:usb3="00000000" w:csb0="00000001" w:csb1="00000000"/>
  </w:font>
  <w:font w:name="Frutiger-Light">
    <w:altName w:val="Times New Roman"/>
    <w:panose1 w:val="00000000000000000000"/>
    <w:charset w:val="FE"/>
    <w:family w:val="auto"/>
    <w:notTrueType/>
    <w:pitch w:val="default"/>
    <w:sig w:usb0="00000003" w:usb1="00000000" w:usb2="00000000" w:usb3="00000000" w:csb0="00000001" w:csb1="00000000"/>
  </w:font>
  <w:font w:name="Frutiger-LightItalic">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9334549"/>
      <w:docPartObj>
        <w:docPartGallery w:val="Page Numbers (Bottom of Page)"/>
        <w:docPartUnique/>
      </w:docPartObj>
    </w:sdtPr>
    <w:sdtEndPr>
      <w:rPr>
        <w:noProof/>
      </w:rPr>
    </w:sdtEndPr>
    <w:sdtContent>
      <w:p w:rsidR="008A17FA" w:rsidRDefault="00711F9F">
        <w:pPr>
          <w:pStyle w:val="Footer"/>
          <w:jc w:val="right"/>
        </w:pPr>
        <w:r>
          <w:fldChar w:fldCharType="begin"/>
        </w:r>
        <w:r>
          <w:instrText xml:space="preserve"> PAGE   \* MERGEFORMAT </w:instrText>
        </w:r>
        <w:r>
          <w:fldChar w:fldCharType="separate"/>
        </w:r>
        <w:r w:rsidR="008C4DFD">
          <w:rPr>
            <w:noProof/>
          </w:rPr>
          <w:t>3</w:t>
        </w:r>
        <w:r>
          <w:rPr>
            <w:noProof/>
          </w:rPr>
          <w:fldChar w:fldCharType="end"/>
        </w:r>
      </w:p>
    </w:sdtContent>
  </w:sdt>
  <w:p w:rsidR="008A17FA" w:rsidRDefault="008A17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1793542"/>
      <w:docPartObj>
        <w:docPartGallery w:val="Page Numbers (Bottom of Page)"/>
        <w:docPartUnique/>
      </w:docPartObj>
    </w:sdtPr>
    <w:sdtEndPr>
      <w:rPr>
        <w:noProof/>
      </w:rPr>
    </w:sdtEndPr>
    <w:sdtContent>
      <w:p w:rsidR="008A17FA" w:rsidRDefault="00711F9F">
        <w:pPr>
          <w:pStyle w:val="Footer"/>
          <w:jc w:val="right"/>
        </w:pPr>
        <w:r>
          <w:fldChar w:fldCharType="begin"/>
        </w:r>
        <w:r>
          <w:instrText xml:space="preserve"> PAGE   \* MERGEFORMAT </w:instrText>
        </w:r>
        <w:r>
          <w:fldChar w:fldCharType="separate"/>
        </w:r>
        <w:r w:rsidR="008C4DFD">
          <w:rPr>
            <w:noProof/>
          </w:rPr>
          <w:t>31</w:t>
        </w:r>
        <w:r>
          <w:rPr>
            <w:noProof/>
          </w:rPr>
          <w:fldChar w:fldCharType="end"/>
        </w:r>
      </w:p>
    </w:sdtContent>
  </w:sdt>
  <w:p w:rsidR="008A17FA" w:rsidRDefault="008A17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17FA" w:rsidRDefault="00711F9F">
      <w:pPr>
        <w:spacing w:after="0" w:line="240" w:lineRule="auto"/>
      </w:pPr>
      <w:r>
        <w:separator/>
      </w:r>
    </w:p>
  </w:footnote>
  <w:footnote w:type="continuationSeparator" w:id="0">
    <w:p w:rsidR="008A17FA" w:rsidRDefault="00711F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B2EE9"/>
    <w:multiLevelType w:val="multilevel"/>
    <w:tmpl w:val="9BBE4B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9B4104"/>
    <w:multiLevelType w:val="multilevel"/>
    <w:tmpl w:val="0DB2BA2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92F03B9"/>
    <w:multiLevelType w:val="hybridMultilevel"/>
    <w:tmpl w:val="251E4C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F23271"/>
    <w:multiLevelType w:val="hybridMultilevel"/>
    <w:tmpl w:val="BA4A5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9F14B9"/>
    <w:multiLevelType w:val="hybridMultilevel"/>
    <w:tmpl w:val="98E02E76"/>
    <w:lvl w:ilvl="0" w:tplc="D16CA8CA">
      <w:start w:val="1"/>
      <w:numFmt w:val="decimal"/>
      <w:lvlText w:val="%1."/>
      <w:lvlJc w:val="left"/>
      <w:pPr>
        <w:ind w:left="360" w:hanging="360"/>
      </w:pPr>
      <w:rPr>
        <w:b w:val="0"/>
        <w:i w:val="0"/>
        <w:sz w:val="12"/>
        <w:szCs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E852423"/>
    <w:multiLevelType w:val="hybridMultilevel"/>
    <w:tmpl w:val="576653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2F4DB6"/>
    <w:multiLevelType w:val="multilevel"/>
    <w:tmpl w:val="0DCE1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5708E1"/>
    <w:multiLevelType w:val="hybridMultilevel"/>
    <w:tmpl w:val="C75CACBA"/>
    <w:lvl w:ilvl="0" w:tplc="34BC9DA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E0907C8"/>
    <w:multiLevelType w:val="hybridMultilevel"/>
    <w:tmpl w:val="DFA8ADA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506BFE"/>
    <w:multiLevelType w:val="hybridMultilevel"/>
    <w:tmpl w:val="6540D67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A37382"/>
    <w:multiLevelType w:val="hybridMultilevel"/>
    <w:tmpl w:val="56E6297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9F13F6"/>
    <w:multiLevelType w:val="multilevel"/>
    <w:tmpl w:val="F1E0CC2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4773190"/>
    <w:multiLevelType w:val="hybridMultilevel"/>
    <w:tmpl w:val="4FBA1F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F809AF"/>
    <w:multiLevelType w:val="multilevel"/>
    <w:tmpl w:val="4B067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F0422A"/>
    <w:multiLevelType w:val="hybridMultilevel"/>
    <w:tmpl w:val="272ACBA4"/>
    <w:lvl w:ilvl="0" w:tplc="04EE6290">
      <w:start w:val="1"/>
      <w:numFmt w:val="bullet"/>
      <w:lvlText w:val="•"/>
      <w:lvlJc w:val="left"/>
      <w:pPr>
        <w:tabs>
          <w:tab w:val="num" w:pos="720"/>
        </w:tabs>
        <w:ind w:left="720" w:hanging="360"/>
      </w:pPr>
      <w:rPr>
        <w:rFonts w:ascii="Times New Roman" w:hAnsi="Times New Roman" w:hint="default"/>
      </w:rPr>
    </w:lvl>
    <w:lvl w:ilvl="1" w:tplc="ACC8F790">
      <w:start w:val="1"/>
      <w:numFmt w:val="bullet"/>
      <w:lvlText w:val="•"/>
      <w:lvlJc w:val="left"/>
      <w:pPr>
        <w:tabs>
          <w:tab w:val="num" w:pos="1440"/>
        </w:tabs>
        <w:ind w:left="1440" w:hanging="360"/>
      </w:pPr>
      <w:rPr>
        <w:rFonts w:ascii="Times New Roman" w:hAnsi="Times New Roman" w:hint="default"/>
      </w:rPr>
    </w:lvl>
    <w:lvl w:ilvl="2" w:tplc="083C581E" w:tentative="1">
      <w:start w:val="1"/>
      <w:numFmt w:val="bullet"/>
      <w:lvlText w:val="•"/>
      <w:lvlJc w:val="left"/>
      <w:pPr>
        <w:tabs>
          <w:tab w:val="num" w:pos="2160"/>
        </w:tabs>
        <w:ind w:left="2160" w:hanging="360"/>
      </w:pPr>
      <w:rPr>
        <w:rFonts w:ascii="Times New Roman" w:hAnsi="Times New Roman" w:hint="default"/>
      </w:rPr>
    </w:lvl>
    <w:lvl w:ilvl="3" w:tplc="F72CD3AE" w:tentative="1">
      <w:start w:val="1"/>
      <w:numFmt w:val="bullet"/>
      <w:lvlText w:val="•"/>
      <w:lvlJc w:val="left"/>
      <w:pPr>
        <w:tabs>
          <w:tab w:val="num" w:pos="2880"/>
        </w:tabs>
        <w:ind w:left="2880" w:hanging="360"/>
      </w:pPr>
      <w:rPr>
        <w:rFonts w:ascii="Times New Roman" w:hAnsi="Times New Roman" w:hint="default"/>
      </w:rPr>
    </w:lvl>
    <w:lvl w:ilvl="4" w:tplc="39FAA72C" w:tentative="1">
      <w:start w:val="1"/>
      <w:numFmt w:val="bullet"/>
      <w:lvlText w:val="•"/>
      <w:lvlJc w:val="left"/>
      <w:pPr>
        <w:tabs>
          <w:tab w:val="num" w:pos="3600"/>
        </w:tabs>
        <w:ind w:left="3600" w:hanging="360"/>
      </w:pPr>
      <w:rPr>
        <w:rFonts w:ascii="Times New Roman" w:hAnsi="Times New Roman" w:hint="default"/>
      </w:rPr>
    </w:lvl>
    <w:lvl w:ilvl="5" w:tplc="BDC028DA" w:tentative="1">
      <w:start w:val="1"/>
      <w:numFmt w:val="bullet"/>
      <w:lvlText w:val="•"/>
      <w:lvlJc w:val="left"/>
      <w:pPr>
        <w:tabs>
          <w:tab w:val="num" w:pos="4320"/>
        </w:tabs>
        <w:ind w:left="4320" w:hanging="360"/>
      </w:pPr>
      <w:rPr>
        <w:rFonts w:ascii="Times New Roman" w:hAnsi="Times New Roman" w:hint="default"/>
      </w:rPr>
    </w:lvl>
    <w:lvl w:ilvl="6" w:tplc="AC141688" w:tentative="1">
      <w:start w:val="1"/>
      <w:numFmt w:val="bullet"/>
      <w:lvlText w:val="•"/>
      <w:lvlJc w:val="left"/>
      <w:pPr>
        <w:tabs>
          <w:tab w:val="num" w:pos="5040"/>
        </w:tabs>
        <w:ind w:left="5040" w:hanging="360"/>
      </w:pPr>
      <w:rPr>
        <w:rFonts w:ascii="Times New Roman" w:hAnsi="Times New Roman" w:hint="default"/>
      </w:rPr>
    </w:lvl>
    <w:lvl w:ilvl="7" w:tplc="AAEA834E" w:tentative="1">
      <w:start w:val="1"/>
      <w:numFmt w:val="bullet"/>
      <w:lvlText w:val="•"/>
      <w:lvlJc w:val="left"/>
      <w:pPr>
        <w:tabs>
          <w:tab w:val="num" w:pos="5760"/>
        </w:tabs>
        <w:ind w:left="5760" w:hanging="360"/>
      </w:pPr>
      <w:rPr>
        <w:rFonts w:ascii="Times New Roman" w:hAnsi="Times New Roman" w:hint="default"/>
      </w:rPr>
    </w:lvl>
    <w:lvl w:ilvl="8" w:tplc="D4A43F7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AE83468"/>
    <w:multiLevelType w:val="hybridMultilevel"/>
    <w:tmpl w:val="792882F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44B54D3"/>
    <w:multiLevelType w:val="multilevel"/>
    <w:tmpl w:val="F44243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7B55F9D"/>
    <w:multiLevelType w:val="multilevel"/>
    <w:tmpl w:val="898A07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F32046E"/>
    <w:multiLevelType w:val="hybridMultilevel"/>
    <w:tmpl w:val="5240C4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3003D1"/>
    <w:multiLevelType w:val="multilevel"/>
    <w:tmpl w:val="3C342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7CF67C3"/>
    <w:multiLevelType w:val="hybridMultilevel"/>
    <w:tmpl w:val="FE188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1A1B14"/>
    <w:multiLevelType w:val="multilevel"/>
    <w:tmpl w:val="241E0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A496934"/>
    <w:multiLevelType w:val="hybridMultilevel"/>
    <w:tmpl w:val="DFA8ADA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F616344"/>
    <w:multiLevelType w:val="hybridMultilevel"/>
    <w:tmpl w:val="FB70AC9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1902712"/>
    <w:multiLevelType w:val="multilevel"/>
    <w:tmpl w:val="51F2002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2C57929"/>
    <w:multiLevelType w:val="hybridMultilevel"/>
    <w:tmpl w:val="1598A8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FE7B59"/>
    <w:multiLevelType w:val="hybridMultilevel"/>
    <w:tmpl w:val="BB1A4B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D1562E"/>
    <w:multiLevelType w:val="hybridMultilevel"/>
    <w:tmpl w:val="B0C86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D301BB"/>
    <w:multiLevelType w:val="hybridMultilevel"/>
    <w:tmpl w:val="DFA8ADA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AB552CC"/>
    <w:multiLevelType w:val="hybridMultilevel"/>
    <w:tmpl w:val="58CC00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C6A4FCB"/>
    <w:multiLevelType w:val="hybridMultilevel"/>
    <w:tmpl w:val="DFA8ADA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E5F54C1"/>
    <w:multiLevelType w:val="hybridMultilevel"/>
    <w:tmpl w:val="4B880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5"/>
  </w:num>
  <w:num w:numId="3">
    <w:abstractNumId w:val="17"/>
  </w:num>
  <w:num w:numId="4">
    <w:abstractNumId w:val="0"/>
  </w:num>
  <w:num w:numId="5">
    <w:abstractNumId w:val="8"/>
  </w:num>
  <w:num w:numId="6">
    <w:abstractNumId w:val="18"/>
  </w:num>
  <w:num w:numId="7">
    <w:abstractNumId w:val="12"/>
  </w:num>
  <w:num w:numId="8">
    <w:abstractNumId w:val="3"/>
  </w:num>
  <w:num w:numId="9">
    <w:abstractNumId w:val="27"/>
  </w:num>
  <w:num w:numId="10">
    <w:abstractNumId w:val="26"/>
  </w:num>
  <w:num w:numId="11">
    <w:abstractNumId w:val="20"/>
  </w:num>
  <w:num w:numId="12">
    <w:abstractNumId w:val="9"/>
  </w:num>
  <w:num w:numId="13">
    <w:abstractNumId w:val="14"/>
  </w:num>
  <w:num w:numId="14">
    <w:abstractNumId w:val="23"/>
  </w:num>
  <w:num w:numId="15">
    <w:abstractNumId w:val="15"/>
  </w:num>
  <w:num w:numId="16">
    <w:abstractNumId w:val="7"/>
  </w:num>
  <w:num w:numId="17">
    <w:abstractNumId w:val="2"/>
  </w:num>
  <w:num w:numId="18">
    <w:abstractNumId w:val="4"/>
  </w:num>
  <w:num w:numId="19">
    <w:abstractNumId w:val="31"/>
  </w:num>
  <w:num w:numId="20">
    <w:abstractNumId w:val="16"/>
  </w:num>
  <w:num w:numId="21">
    <w:abstractNumId w:val="24"/>
  </w:num>
  <w:num w:numId="22">
    <w:abstractNumId w:val="1"/>
  </w:num>
  <w:num w:numId="23">
    <w:abstractNumId w:val="11"/>
  </w:num>
  <w:num w:numId="24">
    <w:abstractNumId w:val="6"/>
  </w:num>
  <w:num w:numId="25">
    <w:abstractNumId w:val="13"/>
  </w:num>
  <w:num w:numId="26">
    <w:abstractNumId w:val="21"/>
  </w:num>
  <w:num w:numId="27">
    <w:abstractNumId w:val="19"/>
  </w:num>
  <w:num w:numId="28">
    <w:abstractNumId w:val="29"/>
  </w:num>
  <w:num w:numId="29">
    <w:abstractNumId w:val="10"/>
  </w:num>
  <w:num w:numId="30">
    <w:abstractNumId w:val="28"/>
  </w:num>
  <w:num w:numId="31">
    <w:abstractNumId w:val="30"/>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7FA"/>
    <w:rsid w:val="003479A9"/>
    <w:rsid w:val="00585167"/>
    <w:rsid w:val="00655856"/>
    <w:rsid w:val="00711F9F"/>
    <w:rsid w:val="008A17FA"/>
    <w:rsid w:val="008A28AB"/>
    <w:rsid w:val="008C4DF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Arial" w:eastAsiaTheme="majorEastAsia" w:hAnsi="Arial" w:cs="Arial"/>
      <w:b/>
      <w:i/>
      <w:sz w:val="20"/>
      <w:szCs w:val="20"/>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style>
  <w:style w:type="character" w:styleId="Hyperlink">
    <w:name w:val="Hyperlink"/>
    <w:basedOn w:val="DefaultParagraphFont"/>
    <w:uiPriority w:val="99"/>
    <w:unhideWhenUsed/>
    <w:rPr>
      <w:color w:val="0000FF"/>
      <w:u w:val="single"/>
    </w:rPr>
  </w:style>
  <w:style w:type="character" w:styleId="Emphasis">
    <w:name w:val="Emphasis"/>
    <w:basedOn w:val="DefaultParagraphFont"/>
    <w:uiPriority w:val="20"/>
    <w:qFormat/>
    <w:rPr>
      <w:i/>
      <w:iCs/>
    </w:rPr>
  </w:style>
  <w:style w:type="character" w:customStyle="1" w:styleId="cit-auth">
    <w:name w:val="cit-auth"/>
    <w:basedOn w:val="DefaultParagraphFont"/>
  </w:style>
  <w:style w:type="character" w:customStyle="1" w:styleId="cit-name-surname">
    <w:name w:val="cit-name-surname"/>
    <w:basedOn w:val="DefaultParagraphFont"/>
  </w:style>
  <w:style w:type="character" w:customStyle="1" w:styleId="cit-name-given-names">
    <w:name w:val="cit-name-given-names"/>
    <w:basedOn w:val="DefaultParagraphFont"/>
  </w:style>
  <w:style w:type="character" w:customStyle="1" w:styleId="cit-etal">
    <w:name w:val="cit-etal"/>
    <w:basedOn w:val="DefaultParagraphFont"/>
  </w:style>
  <w:style w:type="character" w:styleId="HTMLCite">
    <w:name w:val="HTML Cite"/>
    <w:basedOn w:val="DefaultParagraphFont"/>
    <w:uiPriority w:val="99"/>
    <w:semiHidden/>
    <w:unhideWhenUsed/>
    <w:rPr>
      <w:i/>
      <w:iCs/>
    </w:rPr>
  </w:style>
  <w:style w:type="character" w:customStyle="1" w:styleId="cit-article-title">
    <w:name w:val="cit-article-title"/>
    <w:basedOn w:val="DefaultParagraphFont"/>
  </w:style>
  <w:style w:type="character" w:customStyle="1" w:styleId="cit-pub-date">
    <w:name w:val="cit-pub-date"/>
    <w:basedOn w:val="DefaultParagraphFont"/>
  </w:style>
  <w:style w:type="character" w:customStyle="1" w:styleId="cit-vol">
    <w:name w:val="cit-vol"/>
    <w:basedOn w:val="DefaultParagraphFont"/>
  </w:style>
  <w:style w:type="character" w:customStyle="1" w:styleId="cit-fpage">
    <w:name w:val="cit-fpage"/>
    <w:basedOn w:val="DefaultParagraphFont"/>
  </w:style>
  <w:style w:type="character" w:customStyle="1" w:styleId="cit-lpage">
    <w:name w:val="cit-lpage"/>
    <w:basedOn w:val="DefaultParagraphFont"/>
  </w:style>
  <w:style w:type="character" w:customStyle="1" w:styleId="cit-reflinks-abstract">
    <w:name w:val="cit-reflinks-abstract"/>
    <w:basedOn w:val="DefaultParagraphFont"/>
  </w:style>
  <w:style w:type="character" w:customStyle="1" w:styleId="cit-sep">
    <w:name w:val="cit-sep"/>
    <w:basedOn w:val="DefaultParagraphFont"/>
  </w:style>
  <w:style w:type="character" w:customStyle="1" w:styleId="cit-reflinks-full-text">
    <w:name w:val="cit-reflinks-full-text"/>
    <w:basedOn w:val="DefaultParagraphFont"/>
  </w:style>
  <w:style w:type="character" w:customStyle="1" w:styleId="free-full-text">
    <w:name w:val="free-full-text"/>
    <w:basedOn w:val="DefaultParagraphFont"/>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A7">
    <w:name w:val="A7"/>
    <w:uiPriority w:val="99"/>
    <w:rPr>
      <w:rFonts w:cs="Times"/>
      <w:color w:val="000000"/>
      <w:sz w:val="20"/>
      <w:szCs w:val="20"/>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Pr>
      <w:color w:val="954F72" w:themeColor="followedHyperlink"/>
      <w:u w:val="single"/>
    </w:rPr>
  </w:style>
  <w:style w:type="table" w:customStyle="1" w:styleId="TableGridLight1">
    <w:name w:val="Table Grid Light1"/>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it-name-suffix">
    <w:name w:val="cit-name-suffix"/>
    <w:basedOn w:val="DefaultParagraphFont"/>
  </w:style>
  <w:style w:type="character" w:customStyle="1" w:styleId="highlight">
    <w:name w:val="highlight"/>
    <w:basedOn w:val="DefaultParagraphFont"/>
  </w:style>
  <w:style w:type="character" w:customStyle="1" w:styleId="Heading2Char">
    <w:name w:val="Heading 2 Char"/>
    <w:basedOn w:val="DefaultParagraphFont"/>
    <w:link w:val="Heading2"/>
    <w:uiPriority w:val="9"/>
    <w:rPr>
      <w:rFonts w:ascii="Arial" w:eastAsiaTheme="majorEastAsia" w:hAnsi="Arial" w:cs="Arial"/>
      <w:b/>
      <w:i/>
      <w:sz w:val="20"/>
      <w:szCs w:val="20"/>
    </w:rPr>
  </w:style>
  <w:style w:type="paragraph" w:styleId="Revision">
    <w:name w:val="Revision"/>
    <w:hidden/>
    <w:uiPriority w:val="99"/>
    <w:semiHidden/>
    <w:pPr>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0415">
      <w:bodyDiv w:val="1"/>
      <w:marLeft w:val="0"/>
      <w:marRight w:val="0"/>
      <w:marTop w:val="0"/>
      <w:marBottom w:val="0"/>
      <w:divBdr>
        <w:top w:val="none" w:sz="0" w:space="0" w:color="auto"/>
        <w:left w:val="none" w:sz="0" w:space="0" w:color="auto"/>
        <w:bottom w:val="none" w:sz="0" w:space="0" w:color="auto"/>
        <w:right w:val="none" w:sz="0" w:space="0" w:color="auto"/>
      </w:divBdr>
    </w:div>
    <w:div w:id="36244501">
      <w:bodyDiv w:val="1"/>
      <w:marLeft w:val="0"/>
      <w:marRight w:val="0"/>
      <w:marTop w:val="0"/>
      <w:marBottom w:val="0"/>
      <w:divBdr>
        <w:top w:val="none" w:sz="0" w:space="0" w:color="auto"/>
        <w:left w:val="none" w:sz="0" w:space="0" w:color="auto"/>
        <w:bottom w:val="none" w:sz="0" w:space="0" w:color="auto"/>
        <w:right w:val="none" w:sz="0" w:space="0" w:color="auto"/>
      </w:divBdr>
    </w:div>
    <w:div w:id="51511682">
      <w:bodyDiv w:val="1"/>
      <w:marLeft w:val="0"/>
      <w:marRight w:val="0"/>
      <w:marTop w:val="0"/>
      <w:marBottom w:val="0"/>
      <w:divBdr>
        <w:top w:val="none" w:sz="0" w:space="0" w:color="auto"/>
        <w:left w:val="none" w:sz="0" w:space="0" w:color="auto"/>
        <w:bottom w:val="none" w:sz="0" w:space="0" w:color="auto"/>
        <w:right w:val="none" w:sz="0" w:space="0" w:color="auto"/>
      </w:divBdr>
      <w:divsChild>
        <w:div w:id="1636834967">
          <w:marLeft w:val="0"/>
          <w:marRight w:val="0"/>
          <w:marTop w:val="168"/>
          <w:marBottom w:val="0"/>
          <w:divBdr>
            <w:top w:val="none" w:sz="0" w:space="0" w:color="auto"/>
            <w:left w:val="none" w:sz="0" w:space="0" w:color="auto"/>
            <w:bottom w:val="none" w:sz="0" w:space="0" w:color="auto"/>
            <w:right w:val="none" w:sz="0" w:space="0" w:color="auto"/>
          </w:divBdr>
          <w:divsChild>
            <w:div w:id="462192399">
              <w:marLeft w:val="0"/>
              <w:marRight w:val="0"/>
              <w:marTop w:val="0"/>
              <w:marBottom w:val="0"/>
              <w:divBdr>
                <w:top w:val="none" w:sz="0" w:space="0" w:color="auto"/>
                <w:left w:val="none" w:sz="0" w:space="0" w:color="auto"/>
                <w:bottom w:val="none" w:sz="0" w:space="0" w:color="auto"/>
                <w:right w:val="none" w:sz="0" w:space="0" w:color="auto"/>
              </w:divBdr>
            </w:div>
            <w:div w:id="505092517">
              <w:marLeft w:val="0"/>
              <w:marRight w:val="0"/>
              <w:marTop w:val="0"/>
              <w:marBottom w:val="0"/>
              <w:divBdr>
                <w:top w:val="none" w:sz="0" w:space="0" w:color="auto"/>
                <w:left w:val="none" w:sz="0" w:space="0" w:color="auto"/>
                <w:bottom w:val="none" w:sz="0" w:space="0" w:color="auto"/>
                <w:right w:val="none" w:sz="0" w:space="0" w:color="auto"/>
              </w:divBdr>
            </w:div>
          </w:divsChild>
        </w:div>
        <w:div w:id="1689484183">
          <w:marLeft w:val="0"/>
          <w:marRight w:val="0"/>
          <w:marTop w:val="0"/>
          <w:marBottom w:val="0"/>
          <w:divBdr>
            <w:top w:val="none" w:sz="0" w:space="0" w:color="auto"/>
            <w:left w:val="none" w:sz="0" w:space="0" w:color="auto"/>
            <w:bottom w:val="none" w:sz="0" w:space="0" w:color="auto"/>
            <w:right w:val="none" w:sz="0" w:space="0" w:color="auto"/>
          </w:divBdr>
          <w:divsChild>
            <w:div w:id="682126174">
              <w:marLeft w:val="0"/>
              <w:marRight w:val="0"/>
              <w:marTop w:val="0"/>
              <w:marBottom w:val="0"/>
              <w:divBdr>
                <w:top w:val="none" w:sz="0" w:space="0" w:color="auto"/>
                <w:left w:val="none" w:sz="0" w:space="0" w:color="auto"/>
                <w:bottom w:val="none" w:sz="0" w:space="0" w:color="auto"/>
                <w:right w:val="none" w:sz="0" w:space="0" w:color="auto"/>
              </w:divBdr>
            </w:div>
            <w:div w:id="748162695">
              <w:marLeft w:val="0"/>
              <w:marRight w:val="0"/>
              <w:marTop w:val="0"/>
              <w:marBottom w:val="0"/>
              <w:divBdr>
                <w:top w:val="none" w:sz="0" w:space="0" w:color="auto"/>
                <w:left w:val="none" w:sz="0" w:space="0" w:color="auto"/>
                <w:bottom w:val="none" w:sz="0" w:space="0" w:color="auto"/>
                <w:right w:val="none" w:sz="0" w:space="0" w:color="auto"/>
              </w:divBdr>
            </w:div>
          </w:divsChild>
        </w:div>
        <w:div w:id="1225870315">
          <w:marLeft w:val="0"/>
          <w:marRight w:val="0"/>
          <w:marTop w:val="0"/>
          <w:marBottom w:val="0"/>
          <w:divBdr>
            <w:top w:val="none" w:sz="0" w:space="0" w:color="auto"/>
            <w:left w:val="none" w:sz="0" w:space="0" w:color="auto"/>
            <w:bottom w:val="none" w:sz="0" w:space="0" w:color="auto"/>
            <w:right w:val="none" w:sz="0" w:space="0" w:color="auto"/>
          </w:divBdr>
          <w:divsChild>
            <w:div w:id="2089226675">
              <w:marLeft w:val="0"/>
              <w:marRight w:val="0"/>
              <w:marTop w:val="0"/>
              <w:marBottom w:val="0"/>
              <w:divBdr>
                <w:top w:val="none" w:sz="0" w:space="0" w:color="auto"/>
                <w:left w:val="none" w:sz="0" w:space="0" w:color="auto"/>
                <w:bottom w:val="none" w:sz="0" w:space="0" w:color="auto"/>
                <w:right w:val="none" w:sz="0" w:space="0" w:color="auto"/>
              </w:divBdr>
            </w:div>
            <w:div w:id="56058138">
              <w:marLeft w:val="0"/>
              <w:marRight w:val="0"/>
              <w:marTop w:val="0"/>
              <w:marBottom w:val="0"/>
              <w:divBdr>
                <w:top w:val="none" w:sz="0" w:space="0" w:color="auto"/>
                <w:left w:val="none" w:sz="0" w:space="0" w:color="auto"/>
                <w:bottom w:val="none" w:sz="0" w:space="0" w:color="auto"/>
                <w:right w:val="none" w:sz="0" w:space="0" w:color="auto"/>
              </w:divBdr>
            </w:div>
          </w:divsChild>
        </w:div>
        <w:div w:id="1440180380">
          <w:marLeft w:val="0"/>
          <w:marRight w:val="0"/>
          <w:marTop w:val="0"/>
          <w:marBottom w:val="0"/>
          <w:divBdr>
            <w:top w:val="none" w:sz="0" w:space="0" w:color="auto"/>
            <w:left w:val="none" w:sz="0" w:space="0" w:color="auto"/>
            <w:bottom w:val="none" w:sz="0" w:space="0" w:color="auto"/>
            <w:right w:val="none" w:sz="0" w:space="0" w:color="auto"/>
          </w:divBdr>
          <w:divsChild>
            <w:div w:id="317343283">
              <w:marLeft w:val="0"/>
              <w:marRight w:val="0"/>
              <w:marTop w:val="0"/>
              <w:marBottom w:val="0"/>
              <w:divBdr>
                <w:top w:val="none" w:sz="0" w:space="0" w:color="auto"/>
                <w:left w:val="none" w:sz="0" w:space="0" w:color="auto"/>
                <w:bottom w:val="none" w:sz="0" w:space="0" w:color="auto"/>
                <w:right w:val="none" w:sz="0" w:space="0" w:color="auto"/>
              </w:divBdr>
            </w:div>
            <w:div w:id="479201546">
              <w:marLeft w:val="0"/>
              <w:marRight w:val="0"/>
              <w:marTop w:val="0"/>
              <w:marBottom w:val="0"/>
              <w:divBdr>
                <w:top w:val="none" w:sz="0" w:space="0" w:color="auto"/>
                <w:left w:val="none" w:sz="0" w:space="0" w:color="auto"/>
                <w:bottom w:val="none" w:sz="0" w:space="0" w:color="auto"/>
                <w:right w:val="none" w:sz="0" w:space="0" w:color="auto"/>
              </w:divBdr>
            </w:div>
          </w:divsChild>
        </w:div>
        <w:div w:id="904997441">
          <w:marLeft w:val="0"/>
          <w:marRight w:val="0"/>
          <w:marTop w:val="168"/>
          <w:marBottom w:val="0"/>
          <w:divBdr>
            <w:top w:val="none" w:sz="0" w:space="0" w:color="auto"/>
            <w:left w:val="none" w:sz="0" w:space="0" w:color="auto"/>
            <w:bottom w:val="none" w:sz="0" w:space="0" w:color="auto"/>
            <w:right w:val="none" w:sz="0" w:space="0" w:color="auto"/>
          </w:divBdr>
          <w:divsChild>
            <w:div w:id="1304264339">
              <w:marLeft w:val="0"/>
              <w:marRight w:val="0"/>
              <w:marTop w:val="0"/>
              <w:marBottom w:val="0"/>
              <w:divBdr>
                <w:top w:val="none" w:sz="0" w:space="0" w:color="auto"/>
                <w:left w:val="none" w:sz="0" w:space="0" w:color="auto"/>
                <w:bottom w:val="none" w:sz="0" w:space="0" w:color="auto"/>
                <w:right w:val="none" w:sz="0" w:space="0" w:color="auto"/>
              </w:divBdr>
            </w:div>
            <w:div w:id="1969361082">
              <w:marLeft w:val="0"/>
              <w:marRight w:val="0"/>
              <w:marTop w:val="0"/>
              <w:marBottom w:val="0"/>
              <w:divBdr>
                <w:top w:val="none" w:sz="0" w:space="0" w:color="auto"/>
                <w:left w:val="none" w:sz="0" w:space="0" w:color="auto"/>
                <w:bottom w:val="none" w:sz="0" w:space="0" w:color="auto"/>
                <w:right w:val="none" w:sz="0" w:space="0" w:color="auto"/>
              </w:divBdr>
            </w:div>
          </w:divsChild>
        </w:div>
        <w:div w:id="430784052">
          <w:marLeft w:val="0"/>
          <w:marRight w:val="0"/>
          <w:marTop w:val="0"/>
          <w:marBottom w:val="0"/>
          <w:divBdr>
            <w:top w:val="none" w:sz="0" w:space="0" w:color="auto"/>
            <w:left w:val="none" w:sz="0" w:space="0" w:color="auto"/>
            <w:bottom w:val="none" w:sz="0" w:space="0" w:color="auto"/>
            <w:right w:val="none" w:sz="0" w:space="0" w:color="auto"/>
          </w:divBdr>
          <w:divsChild>
            <w:div w:id="346441841">
              <w:marLeft w:val="0"/>
              <w:marRight w:val="0"/>
              <w:marTop w:val="0"/>
              <w:marBottom w:val="0"/>
              <w:divBdr>
                <w:top w:val="none" w:sz="0" w:space="0" w:color="auto"/>
                <w:left w:val="none" w:sz="0" w:space="0" w:color="auto"/>
                <w:bottom w:val="none" w:sz="0" w:space="0" w:color="auto"/>
                <w:right w:val="none" w:sz="0" w:space="0" w:color="auto"/>
              </w:divBdr>
            </w:div>
            <w:div w:id="832070370">
              <w:marLeft w:val="0"/>
              <w:marRight w:val="0"/>
              <w:marTop w:val="0"/>
              <w:marBottom w:val="0"/>
              <w:divBdr>
                <w:top w:val="none" w:sz="0" w:space="0" w:color="auto"/>
                <w:left w:val="none" w:sz="0" w:space="0" w:color="auto"/>
                <w:bottom w:val="none" w:sz="0" w:space="0" w:color="auto"/>
                <w:right w:val="none" w:sz="0" w:space="0" w:color="auto"/>
              </w:divBdr>
            </w:div>
          </w:divsChild>
        </w:div>
        <w:div w:id="151609272">
          <w:marLeft w:val="0"/>
          <w:marRight w:val="0"/>
          <w:marTop w:val="168"/>
          <w:marBottom w:val="0"/>
          <w:divBdr>
            <w:top w:val="none" w:sz="0" w:space="0" w:color="auto"/>
            <w:left w:val="none" w:sz="0" w:space="0" w:color="auto"/>
            <w:bottom w:val="none" w:sz="0" w:space="0" w:color="auto"/>
            <w:right w:val="none" w:sz="0" w:space="0" w:color="auto"/>
          </w:divBdr>
          <w:divsChild>
            <w:div w:id="1780181858">
              <w:marLeft w:val="0"/>
              <w:marRight w:val="0"/>
              <w:marTop w:val="0"/>
              <w:marBottom w:val="0"/>
              <w:divBdr>
                <w:top w:val="none" w:sz="0" w:space="0" w:color="auto"/>
                <w:left w:val="none" w:sz="0" w:space="0" w:color="auto"/>
                <w:bottom w:val="none" w:sz="0" w:space="0" w:color="auto"/>
                <w:right w:val="none" w:sz="0" w:space="0" w:color="auto"/>
              </w:divBdr>
            </w:div>
            <w:div w:id="1237861017">
              <w:marLeft w:val="0"/>
              <w:marRight w:val="0"/>
              <w:marTop w:val="0"/>
              <w:marBottom w:val="0"/>
              <w:divBdr>
                <w:top w:val="none" w:sz="0" w:space="0" w:color="auto"/>
                <w:left w:val="none" w:sz="0" w:space="0" w:color="auto"/>
                <w:bottom w:val="none" w:sz="0" w:space="0" w:color="auto"/>
                <w:right w:val="none" w:sz="0" w:space="0" w:color="auto"/>
              </w:divBdr>
            </w:div>
          </w:divsChild>
        </w:div>
        <w:div w:id="1085147881">
          <w:marLeft w:val="0"/>
          <w:marRight w:val="0"/>
          <w:marTop w:val="168"/>
          <w:marBottom w:val="0"/>
          <w:divBdr>
            <w:top w:val="none" w:sz="0" w:space="0" w:color="auto"/>
            <w:left w:val="none" w:sz="0" w:space="0" w:color="auto"/>
            <w:bottom w:val="none" w:sz="0" w:space="0" w:color="auto"/>
            <w:right w:val="none" w:sz="0" w:space="0" w:color="auto"/>
          </w:divBdr>
          <w:divsChild>
            <w:div w:id="726270974">
              <w:marLeft w:val="0"/>
              <w:marRight w:val="0"/>
              <w:marTop w:val="0"/>
              <w:marBottom w:val="0"/>
              <w:divBdr>
                <w:top w:val="none" w:sz="0" w:space="0" w:color="auto"/>
                <w:left w:val="none" w:sz="0" w:space="0" w:color="auto"/>
                <w:bottom w:val="none" w:sz="0" w:space="0" w:color="auto"/>
                <w:right w:val="none" w:sz="0" w:space="0" w:color="auto"/>
              </w:divBdr>
            </w:div>
            <w:div w:id="947934255">
              <w:marLeft w:val="0"/>
              <w:marRight w:val="0"/>
              <w:marTop w:val="0"/>
              <w:marBottom w:val="0"/>
              <w:divBdr>
                <w:top w:val="none" w:sz="0" w:space="0" w:color="auto"/>
                <w:left w:val="none" w:sz="0" w:space="0" w:color="auto"/>
                <w:bottom w:val="none" w:sz="0" w:space="0" w:color="auto"/>
                <w:right w:val="none" w:sz="0" w:space="0" w:color="auto"/>
              </w:divBdr>
            </w:div>
          </w:divsChild>
        </w:div>
        <w:div w:id="1619489737">
          <w:marLeft w:val="0"/>
          <w:marRight w:val="0"/>
          <w:marTop w:val="168"/>
          <w:marBottom w:val="0"/>
          <w:divBdr>
            <w:top w:val="none" w:sz="0" w:space="0" w:color="auto"/>
            <w:left w:val="none" w:sz="0" w:space="0" w:color="auto"/>
            <w:bottom w:val="none" w:sz="0" w:space="0" w:color="auto"/>
            <w:right w:val="none" w:sz="0" w:space="0" w:color="auto"/>
          </w:divBdr>
          <w:divsChild>
            <w:div w:id="377700810">
              <w:marLeft w:val="0"/>
              <w:marRight w:val="0"/>
              <w:marTop w:val="0"/>
              <w:marBottom w:val="0"/>
              <w:divBdr>
                <w:top w:val="none" w:sz="0" w:space="0" w:color="auto"/>
                <w:left w:val="none" w:sz="0" w:space="0" w:color="auto"/>
                <w:bottom w:val="none" w:sz="0" w:space="0" w:color="auto"/>
                <w:right w:val="none" w:sz="0" w:space="0" w:color="auto"/>
              </w:divBdr>
            </w:div>
            <w:div w:id="198831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5125">
      <w:bodyDiv w:val="1"/>
      <w:marLeft w:val="0"/>
      <w:marRight w:val="0"/>
      <w:marTop w:val="0"/>
      <w:marBottom w:val="0"/>
      <w:divBdr>
        <w:top w:val="none" w:sz="0" w:space="0" w:color="auto"/>
        <w:left w:val="none" w:sz="0" w:space="0" w:color="auto"/>
        <w:bottom w:val="none" w:sz="0" w:space="0" w:color="auto"/>
        <w:right w:val="none" w:sz="0" w:space="0" w:color="auto"/>
      </w:divBdr>
    </w:div>
    <w:div w:id="112485006">
      <w:bodyDiv w:val="1"/>
      <w:marLeft w:val="0"/>
      <w:marRight w:val="0"/>
      <w:marTop w:val="0"/>
      <w:marBottom w:val="0"/>
      <w:divBdr>
        <w:top w:val="none" w:sz="0" w:space="0" w:color="auto"/>
        <w:left w:val="none" w:sz="0" w:space="0" w:color="auto"/>
        <w:bottom w:val="none" w:sz="0" w:space="0" w:color="auto"/>
        <w:right w:val="none" w:sz="0" w:space="0" w:color="auto"/>
      </w:divBdr>
    </w:div>
    <w:div w:id="117918648">
      <w:bodyDiv w:val="1"/>
      <w:marLeft w:val="0"/>
      <w:marRight w:val="0"/>
      <w:marTop w:val="0"/>
      <w:marBottom w:val="0"/>
      <w:divBdr>
        <w:top w:val="none" w:sz="0" w:space="0" w:color="auto"/>
        <w:left w:val="none" w:sz="0" w:space="0" w:color="auto"/>
        <w:bottom w:val="none" w:sz="0" w:space="0" w:color="auto"/>
        <w:right w:val="none" w:sz="0" w:space="0" w:color="auto"/>
      </w:divBdr>
    </w:div>
    <w:div w:id="123080071">
      <w:bodyDiv w:val="1"/>
      <w:marLeft w:val="0"/>
      <w:marRight w:val="0"/>
      <w:marTop w:val="0"/>
      <w:marBottom w:val="0"/>
      <w:divBdr>
        <w:top w:val="none" w:sz="0" w:space="0" w:color="auto"/>
        <w:left w:val="none" w:sz="0" w:space="0" w:color="auto"/>
        <w:bottom w:val="none" w:sz="0" w:space="0" w:color="auto"/>
        <w:right w:val="none" w:sz="0" w:space="0" w:color="auto"/>
      </w:divBdr>
    </w:div>
    <w:div w:id="167913068">
      <w:bodyDiv w:val="1"/>
      <w:marLeft w:val="0"/>
      <w:marRight w:val="0"/>
      <w:marTop w:val="0"/>
      <w:marBottom w:val="0"/>
      <w:divBdr>
        <w:top w:val="none" w:sz="0" w:space="0" w:color="auto"/>
        <w:left w:val="none" w:sz="0" w:space="0" w:color="auto"/>
        <w:bottom w:val="none" w:sz="0" w:space="0" w:color="auto"/>
        <w:right w:val="none" w:sz="0" w:space="0" w:color="auto"/>
      </w:divBdr>
    </w:div>
    <w:div w:id="168761408">
      <w:bodyDiv w:val="1"/>
      <w:marLeft w:val="0"/>
      <w:marRight w:val="0"/>
      <w:marTop w:val="0"/>
      <w:marBottom w:val="0"/>
      <w:divBdr>
        <w:top w:val="none" w:sz="0" w:space="0" w:color="auto"/>
        <w:left w:val="none" w:sz="0" w:space="0" w:color="auto"/>
        <w:bottom w:val="none" w:sz="0" w:space="0" w:color="auto"/>
        <w:right w:val="none" w:sz="0" w:space="0" w:color="auto"/>
      </w:divBdr>
    </w:div>
    <w:div w:id="211968562">
      <w:bodyDiv w:val="1"/>
      <w:marLeft w:val="0"/>
      <w:marRight w:val="0"/>
      <w:marTop w:val="0"/>
      <w:marBottom w:val="0"/>
      <w:divBdr>
        <w:top w:val="none" w:sz="0" w:space="0" w:color="auto"/>
        <w:left w:val="none" w:sz="0" w:space="0" w:color="auto"/>
        <w:bottom w:val="none" w:sz="0" w:space="0" w:color="auto"/>
        <w:right w:val="none" w:sz="0" w:space="0" w:color="auto"/>
      </w:divBdr>
      <w:divsChild>
        <w:div w:id="1068259232">
          <w:marLeft w:val="0"/>
          <w:marRight w:val="0"/>
          <w:marTop w:val="168"/>
          <w:marBottom w:val="0"/>
          <w:divBdr>
            <w:top w:val="none" w:sz="0" w:space="0" w:color="auto"/>
            <w:left w:val="none" w:sz="0" w:space="0" w:color="auto"/>
            <w:bottom w:val="none" w:sz="0" w:space="0" w:color="auto"/>
            <w:right w:val="none" w:sz="0" w:space="0" w:color="auto"/>
          </w:divBdr>
          <w:divsChild>
            <w:div w:id="2124181711">
              <w:marLeft w:val="0"/>
              <w:marRight w:val="0"/>
              <w:marTop w:val="0"/>
              <w:marBottom w:val="0"/>
              <w:divBdr>
                <w:top w:val="none" w:sz="0" w:space="0" w:color="auto"/>
                <w:left w:val="none" w:sz="0" w:space="0" w:color="auto"/>
                <w:bottom w:val="none" w:sz="0" w:space="0" w:color="auto"/>
                <w:right w:val="none" w:sz="0" w:space="0" w:color="auto"/>
              </w:divBdr>
            </w:div>
            <w:div w:id="1368212970">
              <w:marLeft w:val="0"/>
              <w:marRight w:val="0"/>
              <w:marTop w:val="0"/>
              <w:marBottom w:val="0"/>
              <w:divBdr>
                <w:top w:val="none" w:sz="0" w:space="0" w:color="auto"/>
                <w:left w:val="none" w:sz="0" w:space="0" w:color="auto"/>
                <w:bottom w:val="none" w:sz="0" w:space="0" w:color="auto"/>
                <w:right w:val="none" w:sz="0" w:space="0" w:color="auto"/>
              </w:divBdr>
            </w:div>
          </w:divsChild>
        </w:div>
        <w:div w:id="1218281430">
          <w:marLeft w:val="0"/>
          <w:marRight w:val="0"/>
          <w:marTop w:val="0"/>
          <w:marBottom w:val="0"/>
          <w:divBdr>
            <w:top w:val="none" w:sz="0" w:space="0" w:color="auto"/>
            <w:left w:val="none" w:sz="0" w:space="0" w:color="auto"/>
            <w:bottom w:val="none" w:sz="0" w:space="0" w:color="auto"/>
            <w:right w:val="none" w:sz="0" w:space="0" w:color="auto"/>
          </w:divBdr>
          <w:divsChild>
            <w:div w:id="607546258">
              <w:marLeft w:val="0"/>
              <w:marRight w:val="0"/>
              <w:marTop w:val="0"/>
              <w:marBottom w:val="0"/>
              <w:divBdr>
                <w:top w:val="none" w:sz="0" w:space="0" w:color="auto"/>
                <w:left w:val="none" w:sz="0" w:space="0" w:color="auto"/>
                <w:bottom w:val="none" w:sz="0" w:space="0" w:color="auto"/>
                <w:right w:val="none" w:sz="0" w:space="0" w:color="auto"/>
              </w:divBdr>
            </w:div>
            <w:div w:id="1561137692">
              <w:marLeft w:val="0"/>
              <w:marRight w:val="0"/>
              <w:marTop w:val="0"/>
              <w:marBottom w:val="0"/>
              <w:divBdr>
                <w:top w:val="none" w:sz="0" w:space="0" w:color="auto"/>
                <w:left w:val="none" w:sz="0" w:space="0" w:color="auto"/>
                <w:bottom w:val="none" w:sz="0" w:space="0" w:color="auto"/>
                <w:right w:val="none" w:sz="0" w:space="0" w:color="auto"/>
              </w:divBdr>
            </w:div>
          </w:divsChild>
        </w:div>
        <w:div w:id="780878970">
          <w:marLeft w:val="0"/>
          <w:marRight w:val="0"/>
          <w:marTop w:val="0"/>
          <w:marBottom w:val="0"/>
          <w:divBdr>
            <w:top w:val="none" w:sz="0" w:space="0" w:color="auto"/>
            <w:left w:val="none" w:sz="0" w:space="0" w:color="auto"/>
            <w:bottom w:val="none" w:sz="0" w:space="0" w:color="auto"/>
            <w:right w:val="none" w:sz="0" w:space="0" w:color="auto"/>
          </w:divBdr>
          <w:divsChild>
            <w:div w:id="1365718181">
              <w:marLeft w:val="0"/>
              <w:marRight w:val="0"/>
              <w:marTop w:val="0"/>
              <w:marBottom w:val="0"/>
              <w:divBdr>
                <w:top w:val="none" w:sz="0" w:space="0" w:color="auto"/>
                <w:left w:val="none" w:sz="0" w:space="0" w:color="auto"/>
                <w:bottom w:val="none" w:sz="0" w:space="0" w:color="auto"/>
                <w:right w:val="none" w:sz="0" w:space="0" w:color="auto"/>
              </w:divBdr>
            </w:div>
            <w:div w:id="1036854809">
              <w:marLeft w:val="0"/>
              <w:marRight w:val="0"/>
              <w:marTop w:val="0"/>
              <w:marBottom w:val="0"/>
              <w:divBdr>
                <w:top w:val="none" w:sz="0" w:space="0" w:color="auto"/>
                <w:left w:val="none" w:sz="0" w:space="0" w:color="auto"/>
                <w:bottom w:val="none" w:sz="0" w:space="0" w:color="auto"/>
                <w:right w:val="none" w:sz="0" w:space="0" w:color="auto"/>
              </w:divBdr>
            </w:div>
          </w:divsChild>
        </w:div>
        <w:div w:id="1713578007">
          <w:marLeft w:val="0"/>
          <w:marRight w:val="0"/>
          <w:marTop w:val="0"/>
          <w:marBottom w:val="0"/>
          <w:divBdr>
            <w:top w:val="none" w:sz="0" w:space="0" w:color="auto"/>
            <w:left w:val="none" w:sz="0" w:space="0" w:color="auto"/>
            <w:bottom w:val="none" w:sz="0" w:space="0" w:color="auto"/>
            <w:right w:val="none" w:sz="0" w:space="0" w:color="auto"/>
          </w:divBdr>
          <w:divsChild>
            <w:div w:id="223491626">
              <w:marLeft w:val="0"/>
              <w:marRight w:val="0"/>
              <w:marTop w:val="0"/>
              <w:marBottom w:val="0"/>
              <w:divBdr>
                <w:top w:val="none" w:sz="0" w:space="0" w:color="auto"/>
                <w:left w:val="none" w:sz="0" w:space="0" w:color="auto"/>
                <w:bottom w:val="none" w:sz="0" w:space="0" w:color="auto"/>
                <w:right w:val="none" w:sz="0" w:space="0" w:color="auto"/>
              </w:divBdr>
            </w:div>
            <w:div w:id="155609995">
              <w:marLeft w:val="0"/>
              <w:marRight w:val="0"/>
              <w:marTop w:val="0"/>
              <w:marBottom w:val="0"/>
              <w:divBdr>
                <w:top w:val="none" w:sz="0" w:space="0" w:color="auto"/>
                <w:left w:val="none" w:sz="0" w:space="0" w:color="auto"/>
                <w:bottom w:val="none" w:sz="0" w:space="0" w:color="auto"/>
                <w:right w:val="none" w:sz="0" w:space="0" w:color="auto"/>
              </w:divBdr>
            </w:div>
          </w:divsChild>
        </w:div>
        <w:div w:id="2091198833">
          <w:marLeft w:val="0"/>
          <w:marRight w:val="0"/>
          <w:marTop w:val="168"/>
          <w:marBottom w:val="0"/>
          <w:divBdr>
            <w:top w:val="none" w:sz="0" w:space="0" w:color="auto"/>
            <w:left w:val="none" w:sz="0" w:space="0" w:color="auto"/>
            <w:bottom w:val="none" w:sz="0" w:space="0" w:color="auto"/>
            <w:right w:val="none" w:sz="0" w:space="0" w:color="auto"/>
          </w:divBdr>
          <w:divsChild>
            <w:div w:id="709453213">
              <w:marLeft w:val="0"/>
              <w:marRight w:val="0"/>
              <w:marTop w:val="0"/>
              <w:marBottom w:val="0"/>
              <w:divBdr>
                <w:top w:val="none" w:sz="0" w:space="0" w:color="auto"/>
                <w:left w:val="none" w:sz="0" w:space="0" w:color="auto"/>
                <w:bottom w:val="none" w:sz="0" w:space="0" w:color="auto"/>
                <w:right w:val="none" w:sz="0" w:space="0" w:color="auto"/>
              </w:divBdr>
            </w:div>
            <w:div w:id="1539588527">
              <w:marLeft w:val="0"/>
              <w:marRight w:val="0"/>
              <w:marTop w:val="0"/>
              <w:marBottom w:val="0"/>
              <w:divBdr>
                <w:top w:val="none" w:sz="0" w:space="0" w:color="auto"/>
                <w:left w:val="none" w:sz="0" w:space="0" w:color="auto"/>
                <w:bottom w:val="none" w:sz="0" w:space="0" w:color="auto"/>
                <w:right w:val="none" w:sz="0" w:space="0" w:color="auto"/>
              </w:divBdr>
            </w:div>
          </w:divsChild>
        </w:div>
        <w:div w:id="2087724066">
          <w:marLeft w:val="0"/>
          <w:marRight w:val="0"/>
          <w:marTop w:val="0"/>
          <w:marBottom w:val="0"/>
          <w:divBdr>
            <w:top w:val="none" w:sz="0" w:space="0" w:color="auto"/>
            <w:left w:val="none" w:sz="0" w:space="0" w:color="auto"/>
            <w:bottom w:val="none" w:sz="0" w:space="0" w:color="auto"/>
            <w:right w:val="none" w:sz="0" w:space="0" w:color="auto"/>
          </w:divBdr>
          <w:divsChild>
            <w:div w:id="1507162506">
              <w:marLeft w:val="0"/>
              <w:marRight w:val="0"/>
              <w:marTop w:val="0"/>
              <w:marBottom w:val="0"/>
              <w:divBdr>
                <w:top w:val="none" w:sz="0" w:space="0" w:color="auto"/>
                <w:left w:val="none" w:sz="0" w:space="0" w:color="auto"/>
                <w:bottom w:val="none" w:sz="0" w:space="0" w:color="auto"/>
                <w:right w:val="none" w:sz="0" w:space="0" w:color="auto"/>
              </w:divBdr>
            </w:div>
            <w:div w:id="1077168493">
              <w:marLeft w:val="0"/>
              <w:marRight w:val="0"/>
              <w:marTop w:val="0"/>
              <w:marBottom w:val="0"/>
              <w:divBdr>
                <w:top w:val="none" w:sz="0" w:space="0" w:color="auto"/>
                <w:left w:val="none" w:sz="0" w:space="0" w:color="auto"/>
                <w:bottom w:val="none" w:sz="0" w:space="0" w:color="auto"/>
                <w:right w:val="none" w:sz="0" w:space="0" w:color="auto"/>
              </w:divBdr>
            </w:div>
          </w:divsChild>
        </w:div>
        <w:div w:id="381757544">
          <w:marLeft w:val="0"/>
          <w:marRight w:val="0"/>
          <w:marTop w:val="168"/>
          <w:marBottom w:val="0"/>
          <w:divBdr>
            <w:top w:val="none" w:sz="0" w:space="0" w:color="auto"/>
            <w:left w:val="none" w:sz="0" w:space="0" w:color="auto"/>
            <w:bottom w:val="none" w:sz="0" w:space="0" w:color="auto"/>
            <w:right w:val="none" w:sz="0" w:space="0" w:color="auto"/>
          </w:divBdr>
          <w:divsChild>
            <w:div w:id="1262688932">
              <w:marLeft w:val="0"/>
              <w:marRight w:val="0"/>
              <w:marTop w:val="0"/>
              <w:marBottom w:val="0"/>
              <w:divBdr>
                <w:top w:val="none" w:sz="0" w:space="0" w:color="auto"/>
                <w:left w:val="none" w:sz="0" w:space="0" w:color="auto"/>
                <w:bottom w:val="none" w:sz="0" w:space="0" w:color="auto"/>
                <w:right w:val="none" w:sz="0" w:space="0" w:color="auto"/>
              </w:divBdr>
            </w:div>
            <w:div w:id="636685907">
              <w:marLeft w:val="0"/>
              <w:marRight w:val="0"/>
              <w:marTop w:val="0"/>
              <w:marBottom w:val="0"/>
              <w:divBdr>
                <w:top w:val="none" w:sz="0" w:space="0" w:color="auto"/>
                <w:left w:val="none" w:sz="0" w:space="0" w:color="auto"/>
                <w:bottom w:val="none" w:sz="0" w:space="0" w:color="auto"/>
                <w:right w:val="none" w:sz="0" w:space="0" w:color="auto"/>
              </w:divBdr>
            </w:div>
          </w:divsChild>
        </w:div>
        <w:div w:id="738863107">
          <w:marLeft w:val="0"/>
          <w:marRight w:val="0"/>
          <w:marTop w:val="168"/>
          <w:marBottom w:val="0"/>
          <w:divBdr>
            <w:top w:val="none" w:sz="0" w:space="0" w:color="auto"/>
            <w:left w:val="none" w:sz="0" w:space="0" w:color="auto"/>
            <w:bottom w:val="none" w:sz="0" w:space="0" w:color="auto"/>
            <w:right w:val="none" w:sz="0" w:space="0" w:color="auto"/>
          </w:divBdr>
          <w:divsChild>
            <w:div w:id="834229789">
              <w:marLeft w:val="0"/>
              <w:marRight w:val="0"/>
              <w:marTop w:val="0"/>
              <w:marBottom w:val="0"/>
              <w:divBdr>
                <w:top w:val="none" w:sz="0" w:space="0" w:color="auto"/>
                <w:left w:val="none" w:sz="0" w:space="0" w:color="auto"/>
                <w:bottom w:val="none" w:sz="0" w:space="0" w:color="auto"/>
                <w:right w:val="none" w:sz="0" w:space="0" w:color="auto"/>
              </w:divBdr>
            </w:div>
            <w:div w:id="861674008">
              <w:marLeft w:val="0"/>
              <w:marRight w:val="0"/>
              <w:marTop w:val="0"/>
              <w:marBottom w:val="0"/>
              <w:divBdr>
                <w:top w:val="none" w:sz="0" w:space="0" w:color="auto"/>
                <w:left w:val="none" w:sz="0" w:space="0" w:color="auto"/>
                <w:bottom w:val="none" w:sz="0" w:space="0" w:color="auto"/>
                <w:right w:val="none" w:sz="0" w:space="0" w:color="auto"/>
              </w:divBdr>
            </w:div>
          </w:divsChild>
        </w:div>
        <w:div w:id="1007364826">
          <w:marLeft w:val="0"/>
          <w:marRight w:val="0"/>
          <w:marTop w:val="168"/>
          <w:marBottom w:val="0"/>
          <w:divBdr>
            <w:top w:val="none" w:sz="0" w:space="0" w:color="auto"/>
            <w:left w:val="none" w:sz="0" w:space="0" w:color="auto"/>
            <w:bottom w:val="none" w:sz="0" w:space="0" w:color="auto"/>
            <w:right w:val="none" w:sz="0" w:space="0" w:color="auto"/>
          </w:divBdr>
          <w:divsChild>
            <w:div w:id="120999115">
              <w:marLeft w:val="0"/>
              <w:marRight w:val="0"/>
              <w:marTop w:val="0"/>
              <w:marBottom w:val="0"/>
              <w:divBdr>
                <w:top w:val="none" w:sz="0" w:space="0" w:color="auto"/>
                <w:left w:val="none" w:sz="0" w:space="0" w:color="auto"/>
                <w:bottom w:val="none" w:sz="0" w:space="0" w:color="auto"/>
                <w:right w:val="none" w:sz="0" w:space="0" w:color="auto"/>
              </w:divBdr>
            </w:div>
            <w:div w:id="86463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93632">
      <w:bodyDiv w:val="1"/>
      <w:marLeft w:val="0"/>
      <w:marRight w:val="0"/>
      <w:marTop w:val="0"/>
      <w:marBottom w:val="0"/>
      <w:divBdr>
        <w:top w:val="none" w:sz="0" w:space="0" w:color="auto"/>
        <w:left w:val="none" w:sz="0" w:space="0" w:color="auto"/>
        <w:bottom w:val="none" w:sz="0" w:space="0" w:color="auto"/>
        <w:right w:val="none" w:sz="0" w:space="0" w:color="auto"/>
      </w:divBdr>
    </w:div>
    <w:div w:id="261887700">
      <w:bodyDiv w:val="1"/>
      <w:marLeft w:val="0"/>
      <w:marRight w:val="0"/>
      <w:marTop w:val="0"/>
      <w:marBottom w:val="0"/>
      <w:divBdr>
        <w:top w:val="none" w:sz="0" w:space="0" w:color="auto"/>
        <w:left w:val="none" w:sz="0" w:space="0" w:color="auto"/>
        <w:bottom w:val="none" w:sz="0" w:space="0" w:color="auto"/>
        <w:right w:val="none" w:sz="0" w:space="0" w:color="auto"/>
      </w:divBdr>
    </w:div>
    <w:div w:id="266087094">
      <w:bodyDiv w:val="1"/>
      <w:marLeft w:val="0"/>
      <w:marRight w:val="0"/>
      <w:marTop w:val="0"/>
      <w:marBottom w:val="0"/>
      <w:divBdr>
        <w:top w:val="none" w:sz="0" w:space="0" w:color="auto"/>
        <w:left w:val="none" w:sz="0" w:space="0" w:color="auto"/>
        <w:bottom w:val="none" w:sz="0" w:space="0" w:color="auto"/>
        <w:right w:val="none" w:sz="0" w:space="0" w:color="auto"/>
      </w:divBdr>
    </w:div>
    <w:div w:id="310213350">
      <w:bodyDiv w:val="1"/>
      <w:marLeft w:val="0"/>
      <w:marRight w:val="0"/>
      <w:marTop w:val="0"/>
      <w:marBottom w:val="0"/>
      <w:divBdr>
        <w:top w:val="none" w:sz="0" w:space="0" w:color="auto"/>
        <w:left w:val="none" w:sz="0" w:space="0" w:color="auto"/>
        <w:bottom w:val="none" w:sz="0" w:space="0" w:color="auto"/>
        <w:right w:val="none" w:sz="0" w:space="0" w:color="auto"/>
      </w:divBdr>
    </w:div>
    <w:div w:id="327103826">
      <w:bodyDiv w:val="1"/>
      <w:marLeft w:val="0"/>
      <w:marRight w:val="0"/>
      <w:marTop w:val="0"/>
      <w:marBottom w:val="0"/>
      <w:divBdr>
        <w:top w:val="none" w:sz="0" w:space="0" w:color="auto"/>
        <w:left w:val="none" w:sz="0" w:space="0" w:color="auto"/>
        <w:bottom w:val="none" w:sz="0" w:space="0" w:color="auto"/>
        <w:right w:val="none" w:sz="0" w:space="0" w:color="auto"/>
      </w:divBdr>
    </w:div>
    <w:div w:id="338850423">
      <w:bodyDiv w:val="1"/>
      <w:marLeft w:val="0"/>
      <w:marRight w:val="0"/>
      <w:marTop w:val="0"/>
      <w:marBottom w:val="0"/>
      <w:divBdr>
        <w:top w:val="none" w:sz="0" w:space="0" w:color="auto"/>
        <w:left w:val="none" w:sz="0" w:space="0" w:color="auto"/>
        <w:bottom w:val="none" w:sz="0" w:space="0" w:color="auto"/>
        <w:right w:val="none" w:sz="0" w:space="0" w:color="auto"/>
      </w:divBdr>
    </w:div>
    <w:div w:id="356782325">
      <w:bodyDiv w:val="1"/>
      <w:marLeft w:val="0"/>
      <w:marRight w:val="0"/>
      <w:marTop w:val="0"/>
      <w:marBottom w:val="0"/>
      <w:divBdr>
        <w:top w:val="none" w:sz="0" w:space="0" w:color="auto"/>
        <w:left w:val="none" w:sz="0" w:space="0" w:color="auto"/>
        <w:bottom w:val="none" w:sz="0" w:space="0" w:color="auto"/>
        <w:right w:val="none" w:sz="0" w:space="0" w:color="auto"/>
      </w:divBdr>
    </w:div>
    <w:div w:id="421491709">
      <w:bodyDiv w:val="1"/>
      <w:marLeft w:val="0"/>
      <w:marRight w:val="0"/>
      <w:marTop w:val="0"/>
      <w:marBottom w:val="0"/>
      <w:divBdr>
        <w:top w:val="none" w:sz="0" w:space="0" w:color="auto"/>
        <w:left w:val="none" w:sz="0" w:space="0" w:color="auto"/>
        <w:bottom w:val="none" w:sz="0" w:space="0" w:color="auto"/>
        <w:right w:val="none" w:sz="0" w:space="0" w:color="auto"/>
      </w:divBdr>
    </w:div>
    <w:div w:id="508565813">
      <w:bodyDiv w:val="1"/>
      <w:marLeft w:val="0"/>
      <w:marRight w:val="0"/>
      <w:marTop w:val="0"/>
      <w:marBottom w:val="0"/>
      <w:divBdr>
        <w:top w:val="none" w:sz="0" w:space="0" w:color="auto"/>
        <w:left w:val="none" w:sz="0" w:space="0" w:color="auto"/>
        <w:bottom w:val="none" w:sz="0" w:space="0" w:color="auto"/>
        <w:right w:val="none" w:sz="0" w:space="0" w:color="auto"/>
      </w:divBdr>
    </w:div>
    <w:div w:id="514270864">
      <w:bodyDiv w:val="1"/>
      <w:marLeft w:val="0"/>
      <w:marRight w:val="0"/>
      <w:marTop w:val="0"/>
      <w:marBottom w:val="0"/>
      <w:divBdr>
        <w:top w:val="none" w:sz="0" w:space="0" w:color="auto"/>
        <w:left w:val="none" w:sz="0" w:space="0" w:color="auto"/>
        <w:bottom w:val="none" w:sz="0" w:space="0" w:color="auto"/>
        <w:right w:val="none" w:sz="0" w:space="0" w:color="auto"/>
      </w:divBdr>
    </w:div>
    <w:div w:id="533343746">
      <w:bodyDiv w:val="1"/>
      <w:marLeft w:val="0"/>
      <w:marRight w:val="0"/>
      <w:marTop w:val="0"/>
      <w:marBottom w:val="0"/>
      <w:divBdr>
        <w:top w:val="none" w:sz="0" w:space="0" w:color="auto"/>
        <w:left w:val="none" w:sz="0" w:space="0" w:color="auto"/>
        <w:bottom w:val="none" w:sz="0" w:space="0" w:color="auto"/>
        <w:right w:val="none" w:sz="0" w:space="0" w:color="auto"/>
      </w:divBdr>
    </w:div>
    <w:div w:id="552081730">
      <w:bodyDiv w:val="1"/>
      <w:marLeft w:val="0"/>
      <w:marRight w:val="0"/>
      <w:marTop w:val="0"/>
      <w:marBottom w:val="0"/>
      <w:divBdr>
        <w:top w:val="none" w:sz="0" w:space="0" w:color="auto"/>
        <w:left w:val="none" w:sz="0" w:space="0" w:color="auto"/>
        <w:bottom w:val="none" w:sz="0" w:space="0" w:color="auto"/>
        <w:right w:val="none" w:sz="0" w:space="0" w:color="auto"/>
      </w:divBdr>
    </w:div>
    <w:div w:id="557547382">
      <w:bodyDiv w:val="1"/>
      <w:marLeft w:val="0"/>
      <w:marRight w:val="0"/>
      <w:marTop w:val="0"/>
      <w:marBottom w:val="0"/>
      <w:divBdr>
        <w:top w:val="none" w:sz="0" w:space="0" w:color="auto"/>
        <w:left w:val="none" w:sz="0" w:space="0" w:color="auto"/>
        <w:bottom w:val="none" w:sz="0" w:space="0" w:color="auto"/>
        <w:right w:val="none" w:sz="0" w:space="0" w:color="auto"/>
      </w:divBdr>
    </w:div>
    <w:div w:id="573274337">
      <w:bodyDiv w:val="1"/>
      <w:marLeft w:val="0"/>
      <w:marRight w:val="0"/>
      <w:marTop w:val="0"/>
      <w:marBottom w:val="0"/>
      <w:divBdr>
        <w:top w:val="none" w:sz="0" w:space="0" w:color="auto"/>
        <w:left w:val="none" w:sz="0" w:space="0" w:color="auto"/>
        <w:bottom w:val="none" w:sz="0" w:space="0" w:color="auto"/>
        <w:right w:val="none" w:sz="0" w:space="0" w:color="auto"/>
      </w:divBdr>
    </w:div>
    <w:div w:id="591089694">
      <w:bodyDiv w:val="1"/>
      <w:marLeft w:val="0"/>
      <w:marRight w:val="0"/>
      <w:marTop w:val="0"/>
      <w:marBottom w:val="0"/>
      <w:divBdr>
        <w:top w:val="none" w:sz="0" w:space="0" w:color="auto"/>
        <w:left w:val="none" w:sz="0" w:space="0" w:color="auto"/>
        <w:bottom w:val="none" w:sz="0" w:space="0" w:color="auto"/>
        <w:right w:val="none" w:sz="0" w:space="0" w:color="auto"/>
      </w:divBdr>
    </w:div>
    <w:div w:id="596249543">
      <w:bodyDiv w:val="1"/>
      <w:marLeft w:val="0"/>
      <w:marRight w:val="0"/>
      <w:marTop w:val="0"/>
      <w:marBottom w:val="0"/>
      <w:divBdr>
        <w:top w:val="none" w:sz="0" w:space="0" w:color="auto"/>
        <w:left w:val="none" w:sz="0" w:space="0" w:color="auto"/>
        <w:bottom w:val="none" w:sz="0" w:space="0" w:color="auto"/>
        <w:right w:val="none" w:sz="0" w:space="0" w:color="auto"/>
      </w:divBdr>
    </w:div>
    <w:div w:id="631440973">
      <w:bodyDiv w:val="1"/>
      <w:marLeft w:val="0"/>
      <w:marRight w:val="0"/>
      <w:marTop w:val="0"/>
      <w:marBottom w:val="0"/>
      <w:divBdr>
        <w:top w:val="none" w:sz="0" w:space="0" w:color="auto"/>
        <w:left w:val="none" w:sz="0" w:space="0" w:color="auto"/>
        <w:bottom w:val="none" w:sz="0" w:space="0" w:color="auto"/>
        <w:right w:val="none" w:sz="0" w:space="0" w:color="auto"/>
      </w:divBdr>
    </w:div>
    <w:div w:id="649821199">
      <w:bodyDiv w:val="1"/>
      <w:marLeft w:val="0"/>
      <w:marRight w:val="0"/>
      <w:marTop w:val="0"/>
      <w:marBottom w:val="0"/>
      <w:divBdr>
        <w:top w:val="none" w:sz="0" w:space="0" w:color="auto"/>
        <w:left w:val="none" w:sz="0" w:space="0" w:color="auto"/>
        <w:bottom w:val="none" w:sz="0" w:space="0" w:color="auto"/>
        <w:right w:val="none" w:sz="0" w:space="0" w:color="auto"/>
      </w:divBdr>
    </w:div>
    <w:div w:id="653992472">
      <w:bodyDiv w:val="1"/>
      <w:marLeft w:val="0"/>
      <w:marRight w:val="0"/>
      <w:marTop w:val="0"/>
      <w:marBottom w:val="0"/>
      <w:divBdr>
        <w:top w:val="none" w:sz="0" w:space="0" w:color="auto"/>
        <w:left w:val="none" w:sz="0" w:space="0" w:color="auto"/>
        <w:bottom w:val="none" w:sz="0" w:space="0" w:color="auto"/>
        <w:right w:val="none" w:sz="0" w:space="0" w:color="auto"/>
      </w:divBdr>
    </w:div>
    <w:div w:id="691299017">
      <w:bodyDiv w:val="1"/>
      <w:marLeft w:val="0"/>
      <w:marRight w:val="0"/>
      <w:marTop w:val="0"/>
      <w:marBottom w:val="0"/>
      <w:divBdr>
        <w:top w:val="none" w:sz="0" w:space="0" w:color="auto"/>
        <w:left w:val="none" w:sz="0" w:space="0" w:color="auto"/>
        <w:bottom w:val="none" w:sz="0" w:space="0" w:color="auto"/>
        <w:right w:val="none" w:sz="0" w:space="0" w:color="auto"/>
      </w:divBdr>
    </w:div>
    <w:div w:id="692077355">
      <w:bodyDiv w:val="1"/>
      <w:marLeft w:val="0"/>
      <w:marRight w:val="0"/>
      <w:marTop w:val="0"/>
      <w:marBottom w:val="0"/>
      <w:divBdr>
        <w:top w:val="none" w:sz="0" w:space="0" w:color="auto"/>
        <w:left w:val="none" w:sz="0" w:space="0" w:color="auto"/>
        <w:bottom w:val="none" w:sz="0" w:space="0" w:color="auto"/>
        <w:right w:val="none" w:sz="0" w:space="0" w:color="auto"/>
      </w:divBdr>
    </w:div>
    <w:div w:id="703604237">
      <w:bodyDiv w:val="1"/>
      <w:marLeft w:val="0"/>
      <w:marRight w:val="0"/>
      <w:marTop w:val="0"/>
      <w:marBottom w:val="0"/>
      <w:divBdr>
        <w:top w:val="none" w:sz="0" w:space="0" w:color="auto"/>
        <w:left w:val="none" w:sz="0" w:space="0" w:color="auto"/>
        <w:bottom w:val="none" w:sz="0" w:space="0" w:color="auto"/>
        <w:right w:val="none" w:sz="0" w:space="0" w:color="auto"/>
      </w:divBdr>
    </w:div>
    <w:div w:id="740366627">
      <w:bodyDiv w:val="1"/>
      <w:marLeft w:val="0"/>
      <w:marRight w:val="0"/>
      <w:marTop w:val="0"/>
      <w:marBottom w:val="0"/>
      <w:divBdr>
        <w:top w:val="none" w:sz="0" w:space="0" w:color="auto"/>
        <w:left w:val="none" w:sz="0" w:space="0" w:color="auto"/>
        <w:bottom w:val="none" w:sz="0" w:space="0" w:color="auto"/>
        <w:right w:val="none" w:sz="0" w:space="0" w:color="auto"/>
      </w:divBdr>
      <w:divsChild>
        <w:div w:id="1212613309">
          <w:marLeft w:val="0"/>
          <w:marRight w:val="0"/>
          <w:marTop w:val="168"/>
          <w:marBottom w:val="0"/>
          <w:divBdr>
            <w:top w:val="none" w:sz="0" w:space="0" w:color="auto"/>
            <w:left w:val="none" w:sz="0" w:space="0" w:color="auto"/>
            <w:bottom w:val="none" w:sz="0" w:space="0" w:color="auto"/>
            <w:right w:val="none" w:sz="0" w:space="0" w:color="auto"/>
          </w:divBdr>
          <w:divsChild>
            <w:div w:id="1825468004">
              <w:marLeft w:val="0"/>
              <w:marRight w:val="0"/>
              <w:marTop w:val="0"/>
              <w:marBottom w:val="0"/>
              <w:divBdr>
                <w:top w:val="none" w:sz="0" w:space="0" w:color="auto"/>
                <w:left w:val="none" w:sz="0" w:space="0" w:color="auto"/>
                <w:bottom w:val="none" w:sz="0" w:space="0" w:color="auto"/>
                <w:right w:val="none" w:sz="0" w:space="0" w:color="auto"/>
              </w:divBdr>
            </w:div>
            <w:div w:id="192698216">
              <w:marLeft w:val="0"/>
              <w:marRight w:val="0"/>
              <w:marTop w:val="0"/>
              <w:marBottom w:val="0"/>
              <w:divBdr>
                <w:top w:val="none" w:sz="0" w:space="0" w:color="auto"/>
                <w:left w:val="none" w:sz="0" w:space="0" w:color="auto"/>
                <w:bottom w:val="none" w:sz="0" w:space="0" w:color="auto"/>
                <w:right w:val="none" w:sz="0" w:space="0" w:color="auto"/>
              </w:divBdr>
            </w:div>
          </w:divsChild>
        </w:div>
        <w:div w:id="2124304493">
          <w:marLeft w:val="0"/>
          <w:marRight w:val="0"/>
          <w:marTop w:val="0"/>
          <w:marBottom w:val="0"/>
          <w:divBdr>
            <w:top w:val="none" w:sz="0" w:space="0" w:color="auto"/>
            <w:left w:val="none" w:sz="0" w:space="0" w:color="auto"/>
            <w:bottom w:val="none" w:sz="0" w:space="0" w:color="auto"/>
            <w:right w:val="none" w:sz="0" w:space="0" w:color="auto"/>
          </w:divBdr>
          <w:divsChild>
            <w:div w:id="111874094">
              <w:marLeft w:val="0"/>
              <w:marRight w:val="0"/>
              <w:marTop w:val="0"/>
              <w:marBottom w:val="0"/>
              <w:divBdr>
                <w:top w:val="none" w:sz="0" w:space="0" w:color="auto"/>
                <w:left w:val="none" w:sz="0" w:space="0" w:color="auto"/>
                <w:bottom w:val="none" w:sz="0" w:space="0" w:color="auto"/>
                <w:right w:val="none" w:sz="0" w:space="0" w:color="auto"/>
              </w:divBdr>
            </w:div>
            <w:div w:id="1291323649">
              <w:marLeft w:val="0"/>
              <w:marRight w:val="0"/>
              <w:marTop w:val="0"/>
              <w:marBottom w:val="0"/>
              <w:divBdr>
                <w:top w:val="none" w:sz="0" w:space="0" w:color="auto"/>
                <w:left w:val="none" w:sz="0" w:space="0" w:color="auto"/>
                <w:bottom w:val="none" w:sz="0" w:space="0" w:color="auto"/>
                <w:right w:val="none" w:sz="0" w:space="0" w:color="auto"/>
              </w:divBdr>
            </w:div>
          </w:divsChild>
        </w:div>
        <w:div w:id="1740787108">
          <w:marLeft w:val="0"/>
          <w:marRight w:val="0"/>
          <w:marTop w:val="0"/>
          <w:marBottom w:val="0"/>
          <w:divBdr>
            <w:top w:val="none" w:sz="0" w:space="0" w:color="auto"/>
            <w:left w:val="none" w:sz="0" w:space="0" w:color="auto"/>
            <w:bottom w:val="none" w:sz="0" w:space="0" w:color="auto"/>
            <w:right w:val="none" w:sz="0" w:space="0" w:color="auto"/>
          </w:divBdr>
          <w:divsChild>
            <w:div w:id="240067105">
              <w:marLeft w:val="0"/>
              <w:marRight w:val="0"/>
              <w:marTop w:val="0"/>
              <w:marBottom w:val="0"/>
              <w:divBdr>
                <w:top w:val="none" w:sz="0" w:space="0" w:color="auto"/>
                <w:left w:val="none" w:sz="0" w:space="0" w:color="auto"/>
                <w:bottom w:val="none" w:sz="0" w:space="0" w:color="auto"/>
                <w:right w:val="none" w:sz="0" w:space="0" w:color="auto"/>
              </w:divBdr>
            </w:div>
            <w:div w:id="1645308438">
              <w:marLeft w:val="0"/>
              <w:marRight w:val="0"/>
              <w:marTop w:val="0"/>
              <w:marBottom w:val="0"/>
              <w:divBdr>
                <w:top w:val="none" w:sz="0" w:space="0" w:color="auto"/>
                <w:left w:val="none" w:sz="0" w:space="0" w:color="auto"/>
                <w:bottom w:val="none" w:sz="0" w:space="0" w:color="auto"/>
                <w:right w:val="none" w:sz="0" w:space="0" w:color="auto"/>
              </w:divBdr>
            </w:div>
          </w:divsChild>
        </w:div>
        <w:div w:id="2100173755">
          <w:marLeft w:val="0"/>
          <w:marRight w:val="0"/>
          <w:marTop w:val="0"/>
          <w:marBottom w:val="0"/>
          <w:divBdr>
            <w:top w:val="none" w:sz="0" w:space="0" w:color="auto"/>
            <w:left w:val="none" w:sz="0" w:space="0" w:color="auto"/>
            <w:bottom w:val="none" w:sz="0" w:space="0" w:color="auto"/>
            <w:right w:val="none" w:sz="0" w:space="0" w:color="auto"/>
          </w:divBdr>
          <w:divsChild>
            <w:div w:id="552696906">
              <w:marLeft w:val="0"/>
              <w:marRight w:val="0"/>
              <w:marTop w:val="0"/>
              <w:marBottom w:val="0"/>
              <w:divBdr>
                <w:top w:val="none" w:sz="0" w:space="0" w:color="auto"/>
                <w:left w:val="none" w:sz="0" w:space="0" w:color="auto"/>
                <w:bottom w:val="none" w:sz="0" w:space="0" w:color="auto"/>
                <w:right w:val="none" w:sz="0" w:space="0" w:color="auto"/>
              </w:divBdr>
            </w:div>
            <w:div w:id="1303658664">
              <w:marLeft w:val="0"/>
              <w:marRight w:val="0"/>
              <w:marTop w:val="0"/>
              <w:marBottom w:val="0"/>
              <w:divBdr>
                <w:top w:val="none" w:sz="0" w:space="0" w:color="auto"/>
                <w:left w:val="none" w:sz="0" w:space="0" w:color="auto"/>
                <w:bottom w:val="none" w:sz="0" w:space="0" w:color="auto"/>
                <w:right w:val="none" w:sz="0" w:space="0" w:color="auto"/>
              </w:divBdr>
            </w:div>
          </w:divsChild>
        </w:div>
        <w:div w:id="1086075207">
          <w:marLeft w:val="0"/>
          <w:marRight w:val="0"/>
          <w:marTop w:val="168"/>
          <w:marBottom w:val="0"/>
          <w:divBdr>
            <w:top w:val="none" w:sz="0" w:space="0" w:color="auto"/>
            <w:left w:val="none" w:sz="0" w:space="0" w:color="auto"/>
            <w:bottom w:val="none" w:sz="0" w:space="0" w:color="auto"/>
            <w:right w:val="none" w:sz="0" w:space="0" w:color="auto"/>
          </w:divBdr>
          <w:divsChild>
            <w:div w:id="1845050074">
              <w:marLeft w:val="0"/>
              <w:marRight w:val="0"/>
              <w:marTop w:val="0"/>
              <w:marBottom w:val="0"/>
              <w:divBdr>
                <w:top w:val="none" w:sz="0" w:space="0" w:color="auto"/>
                <w:left w:val="none" w:sz="0" w:space="0" w:color="auto"/>
                <w:bottom w:val="none" w:sz="0" w:space="0" w:color="auto"/>
                <w:right w:val="none" w:sz="0" w:space="0" w:color="auto"/>
              </w:divBdr>
            </w:div>
            <w:div w:id="1516188570">
              <w:marLeft w:val="0"/>
              <w:marRight w:val="0"/>
              <w:marTop w:val="0"/>
              <w:marBottom w:val="0"/>
              <w:divBdr>
                <w:top w:val="none" w:sz="0" w:space="0" w:color="auto"/>
                <w:left w:val="none" w:sz="0" w:space="0" w:color="auto"/>
                <w:bottom w:val="none" w:sz="0" w:space="0" w:color="auto"/>
                <w:right w:val="none" w:sz="0" w:space="0" w:color="auto"/>
              </w:divBdr>
            </w:div>
          </w:divsChild>
        </w:div>
        <w:div w:id="1076050425">
          <w:marLeft w:val="0"/>
          <w:marRight w:val="0"/>
          <w:marTop w:val="0"/>
          <w:marBottom w:val="0"/>
          <w:divBdr>
            <w:top w:val="none" w:sz="0" w:space="0" w:color="auto"/>
            <w:left w:val="none" w:sz="0" w:space="0" w:color="auto"/>
            <w:bottom w:val="none" w:sz="0" w:space="0" w:color="auto"/>
            <w:right w:val="none" w:sz="0" w:space="0" w:color="auto"/>
          </w:divBdr>
          <w:divsChild>
            <w:div w:id="337268566">
              <w:marLeft w:val="0"/>
              <w:marRight w:val="0"/>
              <w:marTop w:val="0"/>
              <w:marBottom w:val="0"/>
              <w:divBdr>
                <w:top w:val="none" w:sz="0" w:space="0" w:color="auto"/>
                <w:left w:val="none" w:sz="0" w:space="0" w:color="auto"/>
                <w:bottom w:val="none" w:sz="0" w:space="0" w:color="auto"/>
                <w:right w:val="none" w:sz="0" w:space="0" w:color="auto"/>
              </w:divBdr>
            </w:div>
            <w:div w:id="1065760660">
              <w:marLeft w:val="0"/>
              <w:marRight w:val="0"/>
              <w:marTop w:val="0"/>
              <w:marBottom w:val="0"/>
              <w:divBdr>
                <w:top w:val="none" w:sz="0" w:space="0" w:color="auto"/>
                <w:left w:val="none" w:sz="0" w:space="0" w:color="auto"/>
                <w:bottom w:val="none" w:sz="0" w:space="0" w:color="auto"/>
                <w:right w:val="none" w:sz="0" w:space="0" w:color="auto"/>
              </w:divBdr>
            </w:div>
          </w:divsChild>
        </w:div>
        <w:div w:id="631642656">
          <w:marLeft w:val="0"/>
          <w:marRight w:val="0"/>
          <w:marTop w:val="168"/>
          <w:marBottom w:val="0"/>
          <w:divBdr>
            <w:top w:val="none" w:sz="0" w:space="0" w:color="auto"/>
            <w:left w:val="none" w:sz="0" w:space="0" w:color="auto"/>
            <w:bottom w:val="none" w:sz="0" w:space="0" w:color="auto"/>
            <w:right w:val="none" w:sz="0" w:space="0" w:color="auto"/>
          </w:divBdr>
          <w:divsChild>
            <w:div w:id="256717346">
              <w:marLeft w:val="0"/>
              <w:marRight w:val="0"/>
              <w:marTop w:val="0"/>
              <w:marBottom w:val="0"/>
              <w:divBdr>
                <w:top w:val="none" w:sz="0" w:space="0" w:color="auto"/>
                <w:left w:val="none" w:sz="0" w:space="0" w:color="auto"/>
                <w:bottom w:val="none" w:sz="0" w:space="0" w:color="auto"/>
                <w:right w:val="none" w:sz="0" w:space="0" w:color="auto"/>
              </w:divBdr>
            </w:div>
            <w:div w:id="1372344847">
              <w:marLeft w:val="0"/>
              <w:marRight w:val="0"/>
              <w:marTop w:val="0"/>
              <w:marBottom w:val="0"/>
              <w:divBdr>
                <w:top w:val="none" w:sz="0" w:space="0" w:color="auto"/>
                <w:left w:val="none" w:sz="0" w:space="0" w:color="auto"/>
                <w:bottom w:val="none" w:sz="0" w:space="0" w:color="auto"/>
                <w:right w:val="none" w:sz="0" w:space="0" w:color="auto"/>
              </w:divBdr>
            </w:div>
          </w:divsChild>
        </w:div>
        <w:div w:id="1273516193">
          <w:marLeft w:val="0"/>
          <w:marRight w:val="0"/>
          <w:marTop w:val="168"/>
          <w:marBottom w:val="0"/>
          <w:divBdr>
            <w:top w:val="none" w:sz="0" w:space="0" w:color="auto"/>
            <w:left w:val="none" w:sz="0" w:space="0" w:color="auto"/>
            <w:bottom w:val="none" w:sz="0" w:space="0" w:color="auto"/>
            <w:right w:val="none" w:sz="0" w:space="0" w:color="auto"/>
          </w:divBdr>
          <w:divsChild>
            <w:div w:id="1398279790">
              <w:marLeft w:val="0"/>
              <w:marRight w:val="0"/>
              <w:marTop w:val="0"/>
              <w:marBottom w:val="0"/>
              <w:divBdr>
                <w:top w:val="none" w:sz="0" w:space="0" w:color="auto"/>
                <w:left w:val="none" w:sz="0" w:space="0" w:color="auto"/>
                <w:bottom w:val="none" w:sz="0" w:space="0" w:color="auto"/>
                <w:right w:val="none" w:sz="0" w:space="0" w:color="auto"/>
              </w:divBdr>
            </w:div>
            <w:div w:id="638192316">
              <w:marLeft w:val="0"/>
              <w:marRight w:val="0"/>
              <w:marTop w:val="0"/>
              <w:marBottom w:val="0"/>
              <w:divBdr>
                <w:top w:val="none" w:sz="0" w:space="0" w:color="auto"/>
                <w:left w:val="none" w:sz="0" w:space="0" w:color="auto"/>
                <w:bottom w:val="none" w:sz="0" w:space="0" w:color="auto"/>
                <w:right w:val="none" w:sz="0" w:space="0" w:color="auto"/>
              </w:divBdr>
            </w:div>
          </w:divsChild>
        </w:div>
        <w:div w:id="1717389401">
          <w:marLeft w:val="0"/>
          <w:marRight w:val="0"/>
          <w:marTop w:val="168"/>
          <w:marBottom w:val="0"/>
          <w:divBdr>
            <w:top w:val="none" w:sz="0" w:space="0" w:color="auto"/>
            <w:left w:val="none" w:sz="0" w:space="0" w:color="auto"/>
            <w:bottom w:val="none" w:sz="0" w:space="0" w:color="auto"/>
            <w:right w:val="none" w:sz="0" w:space="0" w:color="auto"/>
          </w:divBdr>
          <w:divsChild>
            <w:div w:id="1380976932">
              <w:marLeft w:val="0"/>
              <w:marRight w:val="0"/>
              <w:marTop w:val="0"/>
              <w:marBottom w:val="0"/>
              <w:divBdr>
                <w:top w:val="none" w:sz="0" w:space="0" w:color="auto"/>
                <w:left w:val="none" w:sz="0" w:space="0" w:color="auto"/>
                <w:bottom w:val="none" w:sz="0" w:space="0" w:color="auto"/>
                <w:right w:val="none" w:sz="0" w:space="0" w:color="auto"/>
              </w:divBdr>
            </w:div>
            <w:div w:id="98671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461468">
      <w:bodyDiv w:val="1"/>
      <w:marLeft w:val="0"/>
      <w:marRight w:val="0"/>
      <w:marTop w:val="0"/>
      <w:marBottom w:val="0"/>
      <w:divBdr>
        <w:top w:val="none" w:sz="0" w:space="0" w:color="auto"/>
        <w:left w:val="none" w:sz="0" w:space="0" w:color="auto"/>
        <w:bottom w:val="none" w:sz="0" w:space="0" w:color="auto"/>
        <w:right w:val="none" w:sz="0" w:space="0" w:color="auto"/>
      </w:divBdr>
    </w:div>
    <w:div w:id="771515685">
      <w:bodyDiv w:val="1"/>
      <w:marLeft w:val="0"/>
      <w:marRight w:val="0"/>
      <w:marTop w:val="0"/>
      <w:marBottom w:val="0"/>
      <w:divBdr>
        <w:top w:val="none" w:sz="0" w:space="0" w:color="auto"/>
        <w:left w:val="none" w:sz="0" w:space="0" w:color="auto"/>
        <w:bottom w:val="none" w:sz="0" w:space="0" w:color="auto"/>
        <w:right w:val="none" w:sz="0" w:space="0" w:color="auto"/>
      </w:divBdr>
    </w:div>
    <w:div w:id="772936845">
      <w:bodyDiv w:val="1"/>
      <w:marLeft w:val="0"/>
      <w:marRight w:val="0"/>
      <w:marTop w:val="0"/>
      <w:marBottom w:val="0"/>
      <w:divBdr>
        <w:top w:val="none" w:sz="0" w:space="0" w:color="auto"/>
        <w:left w:val="none" w:sz="0" w:space="0" w:color="auto"/>
        <w:bottom w:val="none" w:sz="0" w:space="0" w:color="auto"/>
        <w:right w:val="none" w:sz="0" w:space="0" w:color="auto"/>
      </w:divBdr>
    </w:div>
    <w:div w:id="781339498">
      <w:bodyDiv w:val="1"/>
      <w:marLeft w:val="0"/>
      <w:marRight w:val="0"/>
      <w:marTop w:val="0"/>
      <w:marBottom w:val="0"/>
      <w:divBdr>
        <w:top w:val="none" w:sz="0" w:space="0" w:color="auto"/>
        <w:left w:val="none" w:sz="0" w:space="0" w:color="auto"/>
        <w:bottom w:val="none" w:sz="0" w:space="0" w:color="auto"/>
        <w:right w:val="none" w:sz="0" w:space="0" w:color="auto"/>
      </w:divBdr>
    </w:div>
    <w:div w:id="781455019">
      <w:bodyDiv w:val="1"/>
      <w:marLeft w:val="0"/>
      <w:marRight w:val="0"/>
      <w:marTop w:val="0"/>
      <w:marBottom w:val="0"/>
      <w:divBdr>
        <w:top w:val="none" w:sz="0" w:space="0" w:color="auto"/>
        <w:left w:val="none" w:sz="0" w:space="0" w:color="auto"/>
        <w:bottom w:val="none" w:sz="0" w:space="0" w:color="auto"/>
        <w:right w:val="none" w:sz="0" w:space="0" w:color="auto"/>
      </w:divBdr>
    </w:div>
    <w:div w:id="815495159">
      <w:bodyDiv w:val="1"/>
      <w:marLeft w:val="0"/>
      <w:marRight w:val="0"/>
      <w:marTop w:val="0"/>
      <w:marBottom w:val="0"/>
      <w:divBdr>
        <w:top w:val="none" w:sz="0" w:space="0" w:color="auto"/>
        <w:left w:val="none" w:sz="0" w:space="0" w:color="auto"/>
        <w:bottom w:val="none" w:sz="0" w:space="0" w:color="auto"/>
        <w:right w:val="none" w:sz="0" w:space="0" w:color="auto"/>
      </w:divBdr>
    </w:div>
    <w:div w:id="864363401">
      <w:bodyDiv w:val="1"/>
      <w:marLeft w:val="0"/>
      <w:marRight w:val="0"/>
      <w:marTop w:val="0"/>
      <w:marBottom w:val="0"/>
      <w:divBdr>
        <w:top w:val="none" w:sz="0" w:space="0" w:color="auto"/>
        <w:left w:val="none" w:sz="0" w:space="0" w:color="auto"/>
        <w:bottom w:val="none" w:sz="0" w:space="0" w:color="auto"/>
        <w:right w:val="none" w:sz="0" w:space="0" w:color="auto"/>
      </w:divBdr>
    </w:div>
    <w:div w:id="898512031">
      <w:bodyDiv w:val="1"/>
      <w:marLeft w:val="0"/>
      <w:marRight w:val="0"/>
      <w:marTop w:val="0"/>
      <w:marBottom w:val="0"/>
      <w:divBdr>
        <w:top w:val="none" w:sz="0" w:space="0" w:color="auto"/>
        <w:left w:val="none" w:sz="0" w:space="0" w:color="auto"/>
        <w:bottom w:val="none" w:sz="0" w:space="0" w:color="auto"/>
        <w:right w:val="none" w:sz="0" w:space="0" w:color="auto"/>
      </w:divBdr>
    </w:div>
    <w:div w:id="904947049">
      <w:bodyDiv w:val="1"/>
      <w:marLeft w:val="0"/>
      <w:marRight w:val="0"/>
      <w:marTop w:val="0"/>
      <w:marBottom w:val="0"/>
      <w:divBdr>
        <w:top w:val="none" w:sz="0" w:space="0" w:color="auto"/>
        <w:left w:val="none" w:sz="0" w:space="0" w:color="auto"/>
        <w:bottom w:val="none" w:sz="0" w:space="0" w:color="auto"/>
        <w:right w:val="none" w:sz="0" w:space="0" w:color="auto"/>
      </w:divBdr>
    </w:div>
    <w:div w:id="927007950">
      <w:bodyDiv w:val="1"/>
      <w:marLeft w:val="0"/>
      <w:marRight w:val="0"/>
      <w:marTop w:val="0"/>
      <w:marBottom w:val="0"/>
      <w:divBdr>
        <w:top w:val="none" w:sz="0" w:space="0" w:color="auto"/>
        <w:left w:val="none" w:sz="0" w:space="0" w:color="auto"/>
        <w:bottom w:val="none" w:sz="0" w:space="0" w:color="auto"/>
        <w:right w:val="none" w:sz="0" w:space="0" w:color="auto"/>
      </w:divBdr>
    </w:div>
    <w:div w:id="930627375">
      <w:bodyDiv w:val="1"/>
      <w:marLeft w:val="0"/>
      <w:marRight w:val="0"/>
      <w:marTop w:val="0"/>
      <w:marBottom w:val="0"/>
      <w:divBdr>
        <w:top w:val="none" w:sz="0" w:space="0" w:color="auto"/>
        <w:left w:val="none" w:sz="0" w:space="0" w:color="auto"/>
        <w:bottom w:val="none" w:sz="0" w:space="0" w:color="auto"/>
        <w:right w:val="none" w:sz="0" w:space="0" w:color="auto"/>
      </w:divBdr>
    </w:div>
    <w:div w:id="935359288">
      <w:bodyDiv w:val="1"/>
      <w:marLeft w:val="0"/>
      <w:marRight w:val="0"/>
      <w:marTop w:val="0"/>
      <w:marBottom w:val="0"/>
      <w:divBdr>
        <w:top w:val="none" w:sz="0" w:space="0" w:color="auto"/>
        <w:left w:val="none" w:sz="0" w:space="0" w:color="auto"/>
        <w:bottom w:val="none" w:sz="0" w:space="0" w:color="auto"/>
        <w:right w:val="none" w:sz="0" w:space="0" w:color="auto"/>
      </w:divBdr>
    </w:div>
    <w:div w:id="974332998">
      <w:bodyDiv w:val="1"/>
      <w:marLeft w:val="0"/>
      <w:marRight w:val="0"/>
      <w:marTop w:val="0"/>
      <w:marBottom w:val="0"/>
      <w:divBdr>
        <w:top w:val="none" w:sz="0" w:space="0" w:color="auto"/>
        <w:left w:val="none" w:sz="0" w:space="0" w:color="auto"/>
        <w:bottom w:val="none" w:sz="0" w:space="0" w:color="auto"/>
        <w:right w:val="none" w:sz="0" w:space="0" w:color="auto"/>
      </w:divBdr>
    </w:div>
    <w:div w:id="989401241">
      <w:bodyDiv w:val="1"/>
      <w:marLeft w:val="0"/>
      <w:marRight w:val="0"/>
      <w:marTop w:val="0"/>
      <w:marBottom w:val="0"/>
      <w:divBdr>
        <w:top w:val="none" w:sz="0" w:space="0" w:color="auto"/>
        <w:left w:val="none" w:sz="0" w:space="0" w:color="auto"/>
        <w:bottom w:val="none" w:sz="0" w:space="0" w:color="auto"/>
        <w:right w:val="none" w:sz="0" w:space="0" w:color="auto"/>
      </w:divBdr>
    </w:div>
    <w:div w:id="1010644520">
      <w:bodyDiv w:val="1"/>
      <w:marLeft w:val="0"/>
      <w:marRight w:val="0"/>
      <w:marTop w:val="0"/>
      <w:marBottom w:val="0"/>
      <w:divBdr>
        <w:top w:val="none" w:sz="0" w:space="0" w:color="auto"/>
        <w:left w:val="none" w:sz="0" w:space="0" w:color="auto"/>
        <w:bottom w:val="none" w:sz="0" w:space="0" w:color="auto"/>
        <w:right w:val="none" w:sz="0" w:space="0" w:color="auto"/>
      </w:divBdr>
    </w:div>
    <w:div w:id="1012494932">
      <w:bodyDiv w:val="1"/>
      <w:marLeft w:val="0"/>
      <w:marRight w:val="0"/>
      <w:marTop w:val="0"/>
      <w:marBottom w:val="0"/>
      <w:divBdr>
        <w:top w:val="none" w:sz="0" w:space="0" w:color="auto"/>
        <w:left w:val="none" w:sz="0" w:space="0" w:color="auto"/>
        <w:bottom w:val="none" w:sz="0" w:space="0" w:color="auto"/>
        <w:right w:val="none" w:sz="0" w:space="0" w:color="auto"/>
      </w:divBdr>
    </w:div>
    <w:div w:id="1017774928">
      <w:bodyDiv w:val="1"/>
      <w:marLeft w:val="0"/>
      <w:marRight w:val="0"/>
      <w:marTop w:val="0"/>
      <w:marBottom w:val="0"/>
      <w:divBdr>
        <w:top w:val="none" w:sz="0" w:space="0" w:color="auto"/>
        <w:left w:val="none" w:sz="0" w:space="0" w:color="auto"/>
        <w:bottom w:val="none" w:sz="0" w:space="0" w:color="auto"/>
        <w:right w:val="none" w:sz="0" w:space="0" w:color="auto"/>
      </w:divBdr>
    </w:div>
    <w:div w:id="1035276034">
      <w:bodyDiv w:val="1"/>
      <w:marLeft w:val="0"/>
      <w:marRight w:val="0"/>
      <w:marTop w:val="0"/>
      <w:marBottom w:val="0"/>
      <w:divBdr>
        <w:top w:val="none" w:sz="0" w:space="0" w:color="auto"/>
        <w:left w:val="none" w:sz="0" w:space="0" w:color="auto"/>
        <w:bottom w:val="none" w:sz="0" w:space="0" w:color="auto"/>
        <w:right w:val="none" w:sz="0" w:space="0" w:color="auto"/>
      </w:divBdr>
      <w:divsChild>
        <w:div w:id="1938977410">
          <w:marLeft w:val="1555"/>
          <w:marRight w:val="0"/>
          <w:marTop w:val="86"/>
          <w:marBottom w:val="0"/>
          <w:divBdr>
            <w:top w:val="none" w:sz="0" w:space="0" w:color="auto"/>
            <w:left w:val="none" w:sz="0" w:space="0" w:color="auto"/>
            <w:bottom w:val="none" w:sz="0" w:space="0" w:color="auto"/>
            <w:right w:val="none" w:sz="0" w:space="0" w:color="auto"/>
          </w:divBdr>
        </w:div>
        <w:div w:id="1057977754">
          <w:marLeft w:val="1555"/>
          <w:marRight w:val="0"/>
          <w:marTop w:val="86"/>
          <w:marBottom w:val="360"/>
          <w:divBdr>
            <w:top w:val="none" w:sz="0" w:space="0" w:color="auto"/>
            <w:left w:val="none" w:sz="0" w:space="0" w:color="auto"/>
            <w:bottom w:val="none" w:sz="0" w:space="0" w:color="auto"/>
            <w:right w:val="none" w:sz="0" w:space="0" w:color="auto"/>
          </w:divBdr>
        </w:div>
      </w:divsChild>
    </w:div>
    <w:div w:id="1080714262">
      <w:bodyDiv w:val="1"/>
      <w:marLeft w:val="0"/>
      <w:marRight w:val="0"/>
      <w:marTop w:val="0"/>
      <w:marBottom w:val="0"/>
      <w:divBdr>
        <w:top w:val="none" w:sz="0" w:space="0" w:color="auto"/>
        <w:left w:val="none" w:sz="0" w:space="0" w:color="auto"/>
        <w:bottom w:val="none" w:sz="0" w:space="0" w:color="auto"/>
        <w:right w:val="none" w:sz="0" w:space="0" w:color="auto"/>
      </w:divBdr>
    </w:div>
    <w:div w:id="1126312319">
      <w:bodyDiv w:val="1"/>
      <w:marLeft w:val="0"/>
      <w:marRight w:val="0"/>
      <w:marTop w:val="0"/>
      <w:marBottom w:val="0"/>
      <w:divBdr>
        <w:top w:val="none" w:sz="0" w:space="0" w:color="auto"/>
        <w:left w:val="none" w:sz="0" w:space="0" w:color="auto"/>
        <w:bottom w:val="none" w:sz="0" w:space="0" w:color="auto"/>
        <w:right w:val="none" w:sz="0" w:space="0" w:color="auto"/>
      </w:divBdr>
    </w:div>
    <w:div w:id="1137452013">
      <w:bodyDiv w:val="1"/>
      <w:marLeft w:val="0"/>
      <w:marRight w:val="0"/>
      <w:marTop w:val="0"/>
      <w:marBottom w:val="0"/>
      <w:divBdr>
        <w:top w:val="none" w:sz="0" w:space="0" w:color="auto"/>
        <w:left w:val="none" w:sz="0" w:space="0" w:color="auto"/>
        <w:bottom w:val="none" w:sz="0" w:space="0" w:color="auto"/>
        <w:right w:val="none" w:sz="0" w:space="0" w:color="auto"/>
      </w:divBdr>
    </w:div>
    <w:div w:id="1139345760">
      <w:bodyDiv w:val="1"/>
      <w:marLeft w:val="0"/>
      <w:marRight w:val="0"/>
      <w:marTop w:val="0"/>
      <w:marBottom w:val="0"/>
      <w:divBdr>
        <w:top w:val="none" w:sz="0" w:space="0" w:color="auto"/>
        <w:left w:val="none" w:sz="0" w:space="0" w:color="auto"/>
        <w:bottom w:val="none" w:sz="0" w:space="0" w:color="auto"/>
        <w:right w:val="none" w:sz="0" w:space="0" w:color="auto"/>
      </w:divBdr>
      <w:divsChild>
        <w:div w:id="163982234">
          <w:marLeft w:val="0"/>
          <w:marRight w:val="0"/>
          <w:marTop w:val="0"/>
          <w:marBottom w:val="0"/>
          <w:divBdr>
            <w:top w:val="none" w:sz="0" w:space="0" w:color="auto"/>
            <w:left w:val="none" w:sz="0" w:space="0" w:color="auto"/>
            <w:bottom w:val="none" w:sz="0" w:space="0" w:color="auto"/>
            <w:right w:val="none" w:sz="0" w:space="0" w:color="auto"/>
          </w:divBdr>
          <w:divsChild>
            <w:div w:id="403376064">
              <w:marLeft w:val="0"/>
              <w:marRight w:val="0"/>
              <w:marTop w:val="0"/>
              <w:marBottom w:val="0"/>
              <w:divBdr>
                <w:top w:val="none" w:sz="0" w:space="0" w:color="auto"/>
                <w:left w:val="none" w:sz="0" w:space="0" w:color="auto"/>
                <w:bottom w:val="none" w:sz="0" w:space="0" w:color="auto"/>
                <w:right w:val="none" w:sz="0" w:space="0" w:color="auto"/>
              </w:divBdr>
            </w:div>
            <w:div w:id="1375427097">
              <w:marLeft w:val="0"/>
              <w:marRight w:val="0"/>
              <w:marTop w:val="0"/>
              <w:marBottom w:val="0"/>
              <w:divBdr>
                <w:top w:val="none" w:sz="0" w:space="0" w:color="auto"/>
                <w:left w:val="none" w:sz="0" w:space="0" w:color="auto"/>
                <w:bottom w:val="none" w:sz="0" w:space="0" w:color="auto"/>
                <w:right w:val="none" w:sz="0" w:space="0" w:color="auto"/>
              </w:divBdr>
            </w:div>
          </w:divsChild>
        </w:div>
        <w:div w:id="740759358">
          <w:marLeft w:val="0"/>
          <w:marRight w:val="0"/>
          <w:marTop w:val="168"/>
          <w:marBottom w:val="0"/>
          <w:divBdr>
            <w:top w:val="none" w:sz="0" w:space="0" w:color="auto"/>
            <w:left w:val="none" w:sz="0" w:space="0" w:color="auto"/>
            <w:bottom w:val="none" w:sz="0" w:space="0" w:color="auto"/>
            <w:right w:val="none" w:sz="0" w:space="0" w:color="auto"/>
          </w:divBdr>
          <w:divsChild>
            <w:div w:id="151213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82967">
      <w:bodyDiv w:val="1"/>
      <w:marLeft w:val="0"/>
      <w:marRight w:val="0"/>
      <w:marTop w:val="0"/>
      <w:marBottom w:val="0"/>
      <w:divBdr>
        <w:top w:val="none" w:sz="0" w:space="0" w:color="auto"/>
        <w:left w:val="none" w:sz="0" w:space="0" w:color="auto"/>
        <w:bottom w:val="none" w:sz="0" w:space="0" w:color="auto"/>
        <w:right w:val="none" w:sz="0" w:space="0" w:color="auto"/>
      </w:divBdr>
    </w:div>
    <w:div w:id="1179615022">
      <w:bodyDiv w:val="1"/>
      <w:marLeft w:val="0"/>
      <w:marRight w:val="0"/>
      <w:marTop w:val="0"/>
      <w:marBottom w:val="0"/>
      <w:divBdr>
        <w:top w:val="none" w:sz="0" w:space="0" w:color="auto"/>
        <w:left w:val="none" w:sz="0" w:space="0" w:color="auto"/>
        <w:bottom w:val="none" w:sz="0" w:space="0" w:color="auto"/>
        <w:right w:val="none" w:sz="0" w:space="0" w:color="auto"/>
      </w:divBdr>
    </w:div>
    <w:div w:id="1188757656">
      <w:bodyDiv w:val="1"/>
      <w:marLeft w:val="0"/>
      <w:marRight w:val="0"/>
      <w:marTop w:val="0"/>
      <w:marBottom w:val="0"/>
      <w:divBdr>
        <w:top w:val="none" w:sz="0" w:space="0" w:color="auto"/>
        <w:left w:val="none" w:sz="0" w:space="0" w:color="auto"/>
        <w:bottom w:val="none" w:sz="0" w:space="0" w:color="auto"/>
        <w:right w:val="none" w:sz="0" w:space="0" w:color="auto"/>
      </w:divBdr>
    </w:div>
    <w:div w:id="1206141896">
      <w:bodyDiv w:val="1"/>
      <w:marLeft w:val="0"/>
      <w:marRight w:val="0"/>
      <w:marTop w:val="0"/>
      <w:marBottom w:val="0"/>
      <w:divBdr>
        <w:top w:val="none" w:sz="0" w:space="0" w:color="auto"/>
        <w:left w:val="none" w:sz="0" w:space="0" w:color="auto"/>
        <w:bottom w:val="none" w:sz="0" w:space="0" w:color="auto"/>
        <w:right w:val="none" w:sz="0" w:space="0" w:color="auto"/>
      </w:divBdr>
    </w:div>
    <w:div w:id="1233857083">
      <w:bodyDiv w:val="1"/>
      <w:marLeft w:val="0"/>
      <w:marRight w:val="0"/>
      <w:marTop w:val="0"/>
      <w:marBottom w:val="0"/>
      <w:divBdr>
        <w:top w:val="none" w:sz="0" w:space="0" w:color="auto"/>
        <w:left w:val="none" w:sz="0" w:space="0" w:color="auto"/>
        <w:bottom w:val="none" w:sz="0" w:space="0" w:color="auto"/>
        <w:right w:val="none" w:sz="0" w:space="0" w:color="auto"/>
      </w:divBdr>
    </w:div>
    <w:div w:id="1262764371">
      <w:bodyDiv w:val="1"/>
      <w:marLeft w:val="0"/>
      <w:marRight w:val="0"/>
      <w:marTop w:val="0"/>
      <w:marBottom w:val="0"/>
      <w:divBdr>
        <w:top w:val="none" w:sz="0" w:space="0" w:color="auto"/>
        <w:left w:val="none" w:sz="0" w:space="0" w:color="auto"/>
        <w:bottom w:val="none" w:sz="0" w:space="0" w:color="auto"/>
        <w:right w:val="none" w:sz="0" w:space="0" w:color="auto"/>
      </w:divBdr>
    </w:div>
    <w:div w:id="1272318987">
      <w:bodyDiv w:val="1"/>
      <w:marLeft w:val="0"/>
      <w:marRight w:val="0"/>
      <w:marTop w:val="0"/>
      <w:marBottom w:val="0"/>
      <w:divBdr>
        <w:top w:val="none" w:sz="0" w:space="0" w:color="auto"/>
        <w:left w:val="none" w:sz="0" w:space="0" w:color="auto"/>
        <w:bottom w:val="none" w:sz="0" w:space="0" w:color="auto"/>
        <w:right w:val="none" w:sz="0" w:space="0" w:color="auto"/>
      </w:divBdr>
    </w:div>
    <w:div w:id="1272711466">
      <w:bodyDiv w:val="1"/>
      <w:marLeft w:val="0"/>
      <w:marRight w:val="0"/>
      <w:marTop w:val="0"/>
      <w:marBottom w:val="0"/>
      <w:divBdr>
        <w:top w:val="none" w:sz="0" w:space="0" w:color="auto"/>
        <w:left w:val="none" w:sz="0" w:space="0" w:color="auto"/>
        <w:bottom w:val="none" w:sz="0" w:space="0" w:color="auto"/>
        <w:right w:val="none" w:sz="0" w:space="0" w:color="auto"/>
      </w:divBdr>
    </w:div>
    <w:div w:id="1278870897">
      <w:bodyDiv w:val="1"/>
      <w:marLeft w:val="0"/>
      <w:marRight w:val="0"/>
      <w:marTop w:val="0"/>
      <w:marBottom w:val="0"/>
      <w:divBdr>
        <w:top w:val="none" w:sz="0" w:space="0" w:color="auto"/>
        <w:left w:val="none" w:sz="0" w:space="0" w:color="auto"/>
        <w:bottom w:val="none" w:sz="0" w:space="0" w:color="auto"/>
        <w:right w:val="none" w:sz="0" w:space="0" w:color="auto"/>
      </w:divBdr>
    </w:div>
    <w:div w:id="1304700078">
      <w:bodyDiv w:val="1"/>
      <w:marLeft w:val="0"/>
      <w:marRight w:val="0"/>
      <w:marTop w:val="0"/>
      <w:marBottom w:val="0"/>
      <w:divBdr>
        <w:top w:val="none" w:sz="0" w:space="0" w:color="auto"/>
        <w:left w:val="none" w:sz="0" w:space="0" w:color="auto"/>
        <w:bottom w:val="none" w:sz="0" w:space="0" w:color="auto"/>
        <w:right w:val="none" w:sz="0" w:space="0" w:color="auto"/>
      </w:divBdr>
    </w:div>
    <w:div w:id="1335500142">
      <w:bodyDiv w:val="1"/>
      <w:marLeft w:val="0"/>
      <w:marRight w:val="0"/>
      <w:marTop w:val="0"/>
      <w:marBottom w:val="0"/>
      <w:divBdr>
        <w:top w:val="none" w:sz="0" w:space="0" w:color="auto"/>
        <w:left w:val="none" w:sz="0" w:space="0" w:color="auto"/>
        <w:bottom w:val="none" w:sz="0" w:space="0" w:color="auto"/>
        <w:right w:val="none" w:sz="0" w:space="0" w:color="auto"/>
      </w:divBdr>
    </w:div>
    <w:div w:id="1343363087">
      <w:bodyDiv w:val="1"/>
      <w:marLeft w:val="0"/>
      <w:marRight w:val="0"/>
      <w:marTop w:val="0"/>
      <w:marBottom w:val="0"/>
      <w:divBdr>
        <w:top w:val="none" w:sz="0" w:space="0" w:color="auto"/>
        <w:left w:val="none" w:sz="0" w:space="0" w:color="auto"/>
        <w:bottom w:val="none" w:sz="0" w:space="0" w:color="auto"/>
        <w:right w:val="none" w:sz="0" w:space="0" w:color="auto"/>
      </w:divBdr>
    </w:div>
    <w:div w:id="1348680575">
      <w:bodyDiv w:val="1"/>
      <w:marLeft w:val="0"/>
      <w:marRight w:val="0"/>
      <w:marTop w:val="0"/>
      <w:marBottom w:val="0"/>
      <w:divBdr>
        <w:top w:val="none" w:sz="0" w:space="0" w:color="auto"/>
        <w:left w:val="none" w:sz="0" w:space="0" w:color="auto"/>
        <w:bottom w:val="none" w:sz="0" w:space="0" w:color="auto"/>
        <w:right w:val="none" w:sz="0" w:space="0" w:color="auto"/>
      </w:divBdr>
    </w:div>
    <w:div w:id="1379745933">
      <w:bodyDiv w:val="1"/>
      <w:marLeft w:val="0"/>
      <w:marRight w:val="0"/>
      <w:marTop w:val="0"/>
      <w:marBottom w:val="0"/>
      <w:divBdr>
        <w:top w:val="none" w:sz="0" w:space="0" w:color="auto"/>
        <w:left w:val="none" w:sz="0" w:space="0" w:color="auto"/>
        <w:bottom w:val="none" w:sz="0" w:space="0" w:color="auto"/>
        <w:right w:val="none" w:sz="0" w:space="0" w:color="auto"/>
      </w:divBdr>
    </w:div>
    <w:div w:id="1403792060">
      <w:bodyDiv w:val="1"/>
      <w:marLeft w:val="0"/>
      <w:marRight w:val="0"/>
      <w:marTop w:val="0"/>
      <w:marBottom w:val="0"/>
      <w:divBdr>
        <w:top w:val="none" w:sz="0" w:space="0" w:color="auto"/>
        <w:left w:val="none" w:sz="0" w:space="0" w:color="auto"/>
        <w:bottom w:val="none" w:sz="0" w:space="0" w:color="auto"/>
        <w:right w:val="none" w:sz="0" w:space="0" w:color="auto"/>
      </w:divBdr>
    </w:div>
    <w:div w:id="1446344784">
      <w:bodyDiv w:val="1"/>
      <w:marLeft w:val="0"/>
      <w:marRight w:val="0"/>
      <w:marTop w:val="0"/>
      <w:marBottom w:val="0"/>
      <w:divBdr>
        <w:top w:val="none" w:sz="0" w:space="0" w:color="auto"/>
        <w:left w:val="none" w:sz="0" w:space="0" w:color="auto"/>
        <w:bottom w:val="none" w:sz="0" w:space="0" w:color="auto"/>
        <w:right w:val="none" w:sz="0" w:space="0" w:color="auto"/>
      </w:divBdr>
    </w:div>
    <w:div w:id="1455370474">
      <w:bodyDiv w:val="1"/>
      <w:marLeft w:val="0"/>
      <w:marRight w:val="0"/>
      <w:marTop w:val="0"/>
      <w:marBottom w:val="0"/>
      <w:divBdr>
        <w:top w:val="none" w:sz="0" w:space="0" w:color="auto"/>
        <w:left w:val="none" w:sz="0" w:space="0" w:color="auto"/>
        <w:bottom w:val="none" w:sz="0" w:space="0" w:color="auto"/>
        <w:right w:val="none" w:sz="0" w:space="0" w:color="auto"/>
      </w:divBdr>
    </w:div>
    <w:div w:id="1462461584">
      <w:bodyDiv w:val="1"/>
      <w:marLeft w:val="0"/>
      <w:marRight w:val="0"/>
      <w:marTop w:val="0"/>
      <w:marBottom w:val="0"/>
      <w:divBdr>
        <w:top w:val="none" w:sz="0" w:space="0" w:color="auto"/>
        <w:left w:val="none" w:sz="0" w:space="0" w:color="auto"/>
        <w:bottom w:val="none" w:sz="0" w:space="0" w:color="auto"/>
        <w:right w:val="none" w:sz="0" w:space="0" w:color="auto"/>
      </w:divBdr>
    </w:div>
    <w:div w:id="1475681007">
      <w:bodyDiv w:val="1"/>
      <w:marLeft w:val="0"/>
      <w:marRight w:val="0"/>
      <w:marTop w:val="0"/>
      <w:marBottom w:val="0"/>
      <w:divBdr>
        <w:top w:val="none" w:sz="0" w:space="0" w:color="auto"/>
        <w:left w:val="none" w:sz="0" w:space="0" w:color="auto"/>
        <w:bottom w:val="none" w:sz="0" w:space="0" w:color="auto"/>
        <w:right w:val="none" w:sz="0" w:space="0" w:color="auto"/>
      </w:divBdr>
    </w:div>
    <w:div w:id="1478691927">
      <w:bodyDiv w:val="1"/>
      <w:marLeft w:val="0"/>
      <w:marRight w:val="0"/>
      <w:marTop w:val="0"/>
      <w:marBottom w:val="0"/>
      <w:divBdr>
        <w:top w:val="none" w:sz="0" w:space="0" w:color="auto"/>
        <w:left w:val="none" w:sz="0" w:space="0" w:color="auto"/>
        <w:bottom w:val="none" w:sz="0" w:space="0" w:color="auto"/>
        <w:right w:val="none" w:sz="0" w:space="0" w:color="auto"/>
      </w:divBdr>
    </w:div>
    <w:div w:id="1495074087">
      <w:bodyDiv w:val="1"/>
      <w:marLeft w:val="0"/>
      <w:marRight w:val="0"/>
      <w:marTop w:val="0"/>
      <w:marBottom w:val="0"/>
      <w:divBdr>
        <w:top w:val="none" w:sz="0" w:space="0" w:color="auto"/>
        <w:left w:val="none" w:sz="0" w:space="0" w:color="auto"/>
        <w:bottom w:val="none" w:sz="0" w:space="0" w:color="auto"/>
        <w:right w:val="none" w:sz="0" w:space="0" w:color="auto"/>
      </w:divBdr>
    </w:div>
    <w:div w:id="1506818726">
      <w:bodyDiv w:val="1"/>
      <w:marLeft w:val="0"/>
      <w:marRight w:val="0"/>
      <w:marTop w:val="0"/>
      <w:marBottom w:val="0"/>
      <w:divBdr>
        <w:top w:val="none" w:sz="0" w:space="0" w:color="auto"/>
        <w:left w:val="none" w:sz="0" w:space="0" w:color="auto"/>
        <w:bottom w:val="none" w:sz="0" w:space="0" w:color="auto"/>
        <w:right w:val="none" w:sz="0" w:space="0" w:color="auto"/>
      </w:divBdr>
    </w:div>
    <w:div w:id="1539856891">
      <w:bodyDiv w:val="1"/>
      <w:marLeft w:val="0"/>
      <w:marRight w:val="0"/>
      <w:marTop w:val="0"/>
      <w:marBottom w:val="0"/>
      <w:divBdr>
        <w:top w:val="none" w:sz="0" w:space="0" w:color="auto"/>
        <w:left w:val="none" w:sz="0" w:space="0" w:color="auto"/>
        <w:bottom w:val="none" w:sz="0" w:space="0" w:color="auto"/>
        <w:right w:val="none" w:sz="0" w:space="0" w:color="auto"/>
      </w:divBdr>
    </w:div>
    <w:div w:id="1545630081">
      <w:bodyDiv w:val="1"/>
      <w:marLeft w:val="0"/>
      <w:marRight w:val="0"/>
      <w:marTop w:val="0"/>
      <w:marBottom w:val="0"/>
      <w:divBdr>
        <w:top w:val="none" w:sz="0" w:space="0" w:color="auto"/>
        <w:left w:val="none" w:sz="0" w:space="0" w:color="auto"/>
        <w:bottom w:val="none" w:sz="0" w:space="0" w:color="auto"/>
        <w:right w:val="none" w:sz="0" w:space="0" w:color="auto"/>
      </w:divBdr>
    </w:div>
    <w:div w:id="1559322596">
      <w:bodyDiv w:val="1"/>
      <w:marLeft w:val="0"/>
      <w:marRight w:val="0"/>
      <w:marTop w:val="0"/>
      <w:marBottom w:val="0"/>
      <w:divBdr>
        <w:top w:val="none" w:sz="0" w:space="0" w:color="auto"/>
        <w:left w:val="none" w:sz="0" w:space="0" w:color="auto"/>
        <w:bottom w:val="none" w:sz="0" w:space="0" w:color="auto"/>
        <w:right w:val="none" w:sz="0" w:space="0" w:color="auto"/>
      </w:divBdr>
    </w:div>
    <w:div w:id="1566647506">
      <w:bodyDiv w:val="1"/>
      <w:marLeft w:val="0"/>
      <w:marRight w:val="0"/>
      <w:marTop w:val="0"/>
      <w:marBottom w:val="0"/>
      <w:divBdr>
        <w:top w:val="none" w:sz="0" w:space="0" w:color="auto"/>
        <w:left w:val="none" w:sz="0" w:space="0" w:color="auto"/>
        <w:bottom w:val="none" w:sz="0" w:space="0" w:color="auto"/>
        <w:right w:val="none" w:sz="0" w:space="0" w:color="auto"/>
      </w:divBdr>
    </w:div>
    <w:div w:id="1569657904">
      <w:bodyDiv w:val="1"/>
      <w:marLeft w:val="0"/>
      <w:marRight w:val="0"/>
      <w:marTop w:val="0"/>
      <w:marBottom w:val="0"/>
      <w:divBdr>
        <w:top w:val="none" w:sz="0" w:space="0" w:color="auto"/>
        <w:left w:val="none" w:sz="0" w:space="0" w:color="auto"/>
        <w:bottom w:val="none" w:sz="0" w:space="0" w:color="auto"/>
        <w:right w:val="none" w:sz="0" w:space="0" w:color="auto"/>
      </w:divBdr>
    </w:div>
    <w:div w:id="1641766773">
      <w:bodyDiv w:val="1"/>
      <w:marLeft w:val="0"/>
      <w:marRight w:val="0"/>
      <w:marTop w:val="0"/>
      <w:marBottom w:val="0"/>
      <w:divBdr>
        <w:top w:val="none" w:sz="0" w:space="0" w:color="auto"/>
        <w:left w:val="none" w:sz="0" w:space="0" w:color="auto"/>
        <w:bottom w:val="none" w:sz="0" w:space="0" w:color="auto"/>
        <w:right w:val="none" w:sz="0" w:space="0" w:color="auto"/>
      </w:divBdr>
    </w:div>
    <w:div w:id="1653019877">
      <w:bodyDiv w:val="1"/>
      <w:marLeft w:val="0"/>
      <w:marRight w:val="0"/>
      <w:marTop w:val="0"/>
      <w:marBottom w:val="0"/>
      <w:divBdr>
        <w:top w:val="none" w:sz="0" w:space="0" w:color="auto"/>
        <w:left w:val="none" w:sz="0" w:space="0" w:color="auto"/>
        <w:bottom w:val="none" w:sz="0" w:space="0" w:color="auto"/>
        <w:right w:val="none" w:sz="0" w:space="0" w:color="auto"/>
      </w:divBdr>
    </w:div>
    <w:div w:id="1658462243">
      <w:bodyDiv w:val="1"/>
      <w:marLeft w:val="0"/>
      <w:marRight w:val="0"/>
      <w:marTop w:val="0"/>
      <w:marBottom w:val="0"/>
      <w:divBdr>
        <w:top w:val="none" w:sz="0" w:space="0" w:color="auto"/>
        <w:left w:val="none" w:sz="0" w:space="0" w:color="auto"/>
        <w:bottom w:val="none" w:sz="0" w:space="0" w:color="auto"/>
        <w:right w:val="none" w:sz="0" w:space="0" w:color="auto"/>
      </w:divBdr>
    </w:div>
    <w:div w:id="1668360653">
      <w:bodyDiv w:val="1"/>
      <w:marLeft w:val="0"/>
      <w:marRight w:val="0"/>
      <w:marTop w:val="0"/>
      <w:marBottom w:val="0"/>
      <w:divBdr>
        <w:top w:val="none" w:sz="0" w:space="0" w:color="auto"/>
        <w:left w:val="none" w:sz="0" w:space="0" w:color="auto"/>
        <w:bottom w:val="none" w:sz="0" w:space="0" w:color="auto"/>
        <w:right w:val="none" w:sz="0" w:space="0" w:color="auto"/>
      </w:divBdr>
    </w:div>
    <w:div w:id="1683435144">
      <w:bodyDiv w:val="1"/>
      <w:marLeft w:val="0"/>
      <w:marRight w:val="0"/>
      <w:marTop w:val="0"/>
      <w:marBottom w:val="0"/>
      <w:divBdr>
        <w:top w:val="none" w:sz="0" w:space="0" w:color="auto"/>
        <w:left w:val="none" w:sz="0" w:space="0" w:color="auto"/>
        <w:bottom w:val="none" w:sz="0" w:space="0" w:color="auto"/>
        <w:right w:val="none" w:sz="0" w:space="0" w:color="auto"/>
      </w:divBdr>
    </w:div>
    <w:div w:id="1736853122">
      <w:bodyDiv w:val="1"/>
      <w:marLeft w:val="0"/>
      <w:marRight w:val="0"/>
      <w:marTop w:val="0"/>
      <w:marBottom w:val="0"/>
      <w:divBdr>
        <w:top w:val="none" w:sz="0" w:space="0" w:color="auto"/>
        <w:left w:val="none" w:sz="0" w:space="0" w:color="auto"/>
        <w:bottom w:val="none" w:sz="0" w:space="0" w:color="auto"/>
        <w:right w:val="none" w:sz="0" w:space="0" w:color="auto"/>
      </w:divBdr>
    </w:div>
    <w:div w:id="1746494750">
      <w:bodyDiv w:val="1"/>
      <w:marLeft w:val="0"/>
      <w:marRight w:val="0"/>
      <w:marTop w:val="0"/>
      <w:marBottom w:val="0"/>
      <w:divBdr>
        <w:top w:val="none" w:sz="0" w:space="0" w:color="auto"/>
        <w:left w:val="none" w:sz="0" w:space="0" w:color="auto"/>
        <w:bottom w:val="none" w:sz="0" w:space="0" w:color="auto"/>
        <w:right w:val="none" w:sz="0" w:space="0" w:color="auto"/>
      </w:divBdr>
    </w:div>
    <w:div w:id="1747847584">
      <w:bodyDiv w:val="1"/>
      <w:marLeft w:val="0"/>
      <w:marRight w:val="0"/>
      <w:marTop w:val="0"/>
      <w:marBottom w:val="0"/>
      <w:divBdr>
        <w:top w:val="none" w:sz="0" w:space="0" w:color="auto"/>
        <w:left w:val="none" w:sz="0" w:space="0" w:color="auto"/>
        <w:bottom w:val="none" w:sz="0" w:space="0" w:color="auto"/>
        <w:right w:val="none" w:sz="0" w:space="0" w:color="auto"/>
      </w:divBdr>
    </w:div>
    <w:div w:id="1773894545">
      <w:bodyDiv w:val="1"/>
      <w:marLeft w:val="0"/>
      <w:marRight w:val="0"/>
      <w:marTop w:val="0"/>
      <w:marBottom w:val="0"/>
      <w:divBdr>
        <w:top w:val="none" w:sz="0" w:space="0" w:color="auto"/>
        <w:left w:val="none" w:sz="0" w:space="0" w:color="auto"/>
        <w:bottom w:val="none" w:sz="0" w:space="0" w:color="auto"/>
        <w:right w:val="none" w:sz="0" w:space="0" w:color="auto"/>
      </w:divBdr>
    </w:div>
    <w:div w:id="1789659824">
      <w:bodyDiv w:val="1"/>
      <w:marLeft w:val="0"/>
      <w:marRight w:val="0"/>
      <w:marTop w:val="0"/>
      <w:marBottom w:val="0"/>
      <w:divBdr>
        <w:top w:val="none" w:sz="0" w:space="0" w:color="auto"/>
        <w:left w:val="none" w:sz="0" w:space="0" w:color="auto"/>
        <w:bottom w:val="none" w:sz="0" w:space="0" w:color="auto"/>
        <w:right w:val="none" w:sz="0" w:space="0" w:color="auto"/>
      </w:divBdr>
    </w:div>
    <w:div w:id="1800604577">
      <w:bodyDiv w:val="1"/>
      <w:marLeft w:val="0"/>
      <w:marRight w:val="0"/>
      <w:marTop w:val="0"/>
      <w:marBottom w:val="0"/>
      <w:divBdr>
        <w:top w:val="none" w:sz="0" w:space="0" w:color="auto"/>
        <w:left w:val="none" w:sz="0" w:space="0" w:color="auto"/>
        <w:bottom w:val="none" w:sz="0" w:space="0" w:color="auto"/>
        <w:right w:val="none" w:sz="0" w:space="0" w:color="auto"/>
      </w:divBdr>
    </w:div>
    <w:div w:id="1843352863">
      <w:bodyDiv w:val="1"/>
      <w:marLeft w:val="0"/>
      <w:marRight w:val="0"/>
      <w:marTop w:val="0"/>
      <w:marBottom w:val="0"/>
      <w:divBdr>
        <w:top w:val="none" w:sz="0" w:space="0" w:color="auto"/>
        <w:left w:val="none" w:sz="0" w:space="0" w:color="auto"/>
        <w:bottom w:val="none" w:sz="0" w:space="0" w:color="auto"/>
        <w:right w:val="none" w:sz="0" w:space="0" w:color="auto"/>
      </w:divBdr>
    </w:div>
    <w:div w:id="1844853044">
      <w:bodyDiv w:val="1"/>
      <w:marLeft w:val="0"/>
      <w:marRight w:val="0"/>
      <w:marTop w:val="0"/>
      <w:marBottom w:val="0"/>
      <w:divBdr>
        <w:top w:val="none" w:sz="0" w:space="0" w:color="auto"/>
        <w:left w:val="none" w:sz="0" w:space="0" w:color="auto"/>
        <w:bottom w:val="none" w:sz="0" w:space="0" w:color="auto"/>
        <w:right w:val="none" w:sz="0" w:space="0" w:color="auto"/>
      </w:divBdr>
    </w:div>
    <w:div w:id="1853571836">
      <w:bodyDiv w:val="1"/>
      <w:marLeft w:val="0"/>
      <w:marRight w:val="0"/>
      <w:marTop w:val="0"/>
      <w:marBottom w:val="0"/>
      <w:divBdr>
        <w:top w:val="none" w:sz="0" w:space="0" w:color="auto"/>
        <w:left w:val="none" w:sz="0" w:space="0" w:color="auto"/>
        <w:bottom w:val="none" w:sz="0" w:space="0" w:color="auto"/>
        <w:right w:val="none" w:sz="0" w:space="0" w:color="auto"/>
      </w:divBdr>
    </w:div>
    <w:div w:id="1856842478">
      <w:bodyDiv w:val="1"/>
      <w:marLeft w:val="0"/>
      <w:marRight w:val="0"/>
      <w:marTop w:val="0"/>
      <w:marBottom w:val="0"/>
      <w:divBdr>
        <w:top w:val="none" w:sz="0" w:space="0" w:color="auto"/>
        <w:left w:val="none" w:sz="0" w:space="0" w:color="auto"/>
        <w:bottom w:val="none" w:sz="0" w:space="0" w:color="auto"/>
        <w:right w:val="none" w:sz="0" w:space="0" w:color="auto"/>
      </w:divBdr>
    </w:div>
    <w:div w:id="1918442980">
      <w:bodyDiv w:val="1"/>
      <w:marLeft w:val="0"/>
      <w:marRight w:val="0"/>
      <w:marTop w:val="0"/>
      <w:marBottom w:val="0"/>
      <w:divBdr>
        <w:top w:val="none" w:sz="0" w:space="0" w:color="auto"/>
        <w:left w:val="none" w:sz="0" w:space="0" w:color="auto"/>
        <w:bottom w:val="none" w:sz="0" w:space="0" w:color="auto"/>
        <w:right w:val="none" w:sz="0" w:space="0" w:color="auto"/>
      </w:divBdr>
    </w:div>
    <w:div w:id="1932930075">
      <w:bodyDiv w:val="1"/>
      <w:marLeft w:val="0"/>
      <w:marRight w:val="0"/>
      <w:marTop w:val="0"/>
      <w:marBottom w:val="0"/>
      <w:divBdr>
        <w:top w:val="none" w:sz="0" w:space="0" w:color="auto"/>
        <w:left w:val="none" w:sz="0" w:space="0" w:color="auto"/>
        <w:bottom w:val="none" w:sz="0" w:space="0" w:color="auto"/>
        <w:right w:val="none" w:sz="0" w:space="0" w:color="auto"/>
      </w:divBdr>
    </w:div>
    <w:div w:id="1949072232">
      <w:bodyDiv w:val="1"/>
      <w:marLeft w:val="0"/>
      <w:marRight w:val="0"/>
      <w:marTop w:val="0"/>
      <w:marBottom w:val="0"/>
      <w:divBdr>
        <w:top w:val="none" w:sz="0" w:space="0" w:color="auto"/>
        <w:left w:val="none" w:sz="0" w:space="0" w:color="auto"/>
        <w:bottom w:val="none" w:sz="0" w:space="0" w:color="auto"/>
        <w:right w:val="none" w:sz="0" w:space="0" w:color="auto"/>
      </w:divBdr>
    </w:div>
    <w:div w:id="1956138629">
      <w:bodyDiv w:val="1"/>
      <w:marLeft w:val="0"/>
      <w:marRight w:val="0"/>
      <w:marTop w:val="0"/>
      <w:marBottom w:val="0"/>
      <w:divBdr>
        <w:top w:val="none" w:sz="0" w:space="0" w:color="auto"/>
        <w:left w:val="none" w:sz="0" w:space="0" w:color="auto"/>
        <w:bottom w:val="none" w:sz="0" w:space="0" w:color="auto"/>
        <w:right w:val="none" w:sz="0" w:space="0" w:color="auto"/>
      </w:divBdr>
      <w:divsChild>
        <w:div w:id="724530414">
          <w:marLeft w:val="0"/>
          <w:marRight w:val="0"/>
          <w:marTop w:val="0"/>
          <w:marBottom w:val="0"/>
          <w:divBdr>
            <w:top w:val="none" w:sz="0" w:space="0" w:color="auto"/>
            <w:left w:val="none" w:sz="0" w:space="0" w:color="auto"/>
            <w:bottom w:val="none" w:sz="0" w:space="0" w:color="auto"/>
            <w:right w:val="none" w:sz="0" w:space="0" w:color="auto"/>
          </w:divBdr>
          <w:divsChild>
            <w:div w:id="41474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845682">
      <w:bodyDiv w:val="1"/>
      <w:marLeft w:val="0"/>
      <w:marRight w:val="0"/>
      <w:marTop w:val="0"/>
      <w:marBottom w:val="0"/>
      <w:divBdr>
        <w:top w:val="none" w:sz="0" w:space="0" w:color="auto"/>
        <w:left w:val="none" w:sz="0" w:space="0" w:color="auto"/>
        <w:bottom w:val="none" w:sz="0" w:space="0" w:color="auto"/>
        <w:right w:val="none" w:sz="0" w:space="0" w:color="auto"/>
      </w:divBdr>
    </w:div>
    <w:div w:id="1995183375">
      <w:bodyDiv w:val="1"/>
      <w:marLeft w:val="0"/>
      <w:marRight w:val="0"/>
      <w:marTop w:val="0"/>
      <w:marBottom w:val="0"/>
      <w:divBdr>
        <w:top w:val="none" w:sz="0" w:space="0" w:color="auto"/>
        <w:left w:val="none" w:sz="0" w:space="0" w:color="auto"/>
        <w:bottom w:val="none" w:sz="0" w:space="0" w:color="auto"/>
        <w:right w:val="none" w:sz="0" w:space="0" w:color="auto"/>
      </w:divBdr>
    </w:div>
    <w:div w:id="2001881379">
      <w:bodyDiv w:val="1"/>
      <w:marLeft w:val="0"/>
      <w:marRight w:val="0"/>
      <w:marTop w:val="0"/>
      <w:marBottom w:val="0"/>
      <w:divBdr>
        <w:top w:val="none" w:sz="0" w:space="0" w:color="auto"/>
        <w:left w:val="none" w:sz="0" w:space="0" w:color="auto"/>
        <w:bottom w:val="none" w:sz="0" w:space="0" w:color="auto"/>
        <w:right w:val="none" w:sz="0" w:space="0" w:color="auto"/>
      </w:divBdr>
    </w:div>
    <w:div w:id="2033264033">
      <w:bodyDiv w:val="1"/>
      <w:marLeft w:val="0"/>
      <w:marRight w:val="0"/>
      <w:marTop w:val="0"/>
      <w:marBottom w:val="0"/>
      <w:divBdr>
        <w:top w:val="none" w:sz="0" w:space="0" w:color="auto"/>
        <w:left w:val="none" w:sz="0" w:space="0" w:color="auto"/>
        <w:bottom w:val="none" w:sz="0" w:space="0" w:color="auto"/>
        <w:right w:val="none" w:sz="0" w:space="0" w:color="auto"/>
      </w:divBdr>
    </w:div>
    <w:div w:id="2045978276">
      <w:bodyDiv w:val="1"/>
      <w:marLeft w:val="0"/>
      <w:marRight w:val="0"/>
      <w:marTop w:val="0"/>
      <w:marBottom w:val="0"/>
      <w:divBdr>
        <w:top w:val="none" w:sz="0" w:space="0" w:color="auto"/>
        <w:left w:val="none" w:sz="0" w:space="0" w:color="auto"/>
        <w:bottom w:val="none" w:sz="0" w:space="0" w:color="auto"/>
        <w:right w:val="none" w:sz="0" w:space="0" w:color="auto"/>
      </w:divBdr>
    </w:div>
    <w:div w:id="2057731998">
      <w:bodyDiv w:val="1"/>
      <w:marLeft w:val="0"/>
      <w:marRight w:val="0"/>
      <w:marTop w:val="0"/>
      <w:marBottom w:val="0"/>
      <w:divBdr>
        <w:top w:val="none" w:sz="0" w:space="0" w:color="auto"/>
        <w:left w:val="none" w:sz="0" w:space="0" w:color="auto"/>
        <w:bottom w:val="none" w:sz="0" w:space="0" w:color="auto"/>
        <w:right w:val="none" w:sz="0" w:space="0" w:color="auto"/>
      </w:divBdr>
    </w:div>
    <w:div w:id="2096827418">
      <w:bodyDiv w:val="1"/>
      <w:marLeft w:val="0"/>
      <w:marRight w:val="0"/>
      <w:marTop w:val="0"/>
      <w:marBottom w:val="0"/>
      <w:divBdr>
        <w:top w:val="none" w:sz="0" w:space="0" w:color="auto"/>
        <w:left w:val="none" w:sz="0" w:space="0" w:color="auto"/>
        <w:bottom w:val="none" w:sz="0" w:space="0" w:color="auto"/>
        <w:right w:val="none" w:sz="0" w:space="0" w:color="auto"/>
      </w:divBdr>
    </w:div>
    <w:div w:id="2097053265">
      <w:bodyDiv w:val="1"/>
      <w:marLeft w:val="0"/>
      <w:marRight w:val="0"/>
      <w:marTop w:val="0"/>
      <w:marBottom w:val="0"/>
      <w:divBdr>
        <w:top w:val="none" w:sz="0" w:space="0" w:color="auto"/>
        <w:left w:val="none" w:sz="0" w:space="0" w:color="auto"/>
        <w:bottom w:val="none" w:sz="0" w:space="0" w:color="auto"/>
        <w:right w:val="none" w:sz="0" w:space="0" w:color="auto"/>
      </w:divBdr>
    </w:div>
    <w:div w:id="2101369803">
      <w:bodyDiv w:val="1"/>
      <w:marLeft w:val="0"/>
      <w:marRight w:val="0"/>
      <w:marTop w:val="0"/>
      <w:marBottom w:val="0"/>
      <w:divBdr>
        <w:top w:val="none" w:sz="0" w:space="0" w:color="auto"/>
        <w:left w:val="none" w:sz="0" w:space="0" w:color="auto"/>
        <w:bottom w:val="none" w:sz="0" w:space="0" w:color="auto"/>
        <w:right w:val="none" w:sz="0" w:space="0" w:color="auto"/>
      </w:divBdr>
    </w:div>
    <w:div w:id="2135951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P.H.Wilding@liverpool.ac.uk" TargetMode="External"/><Relationship Id="rId13" Type="http://schemas.openxmlformats.org/officeDocument/2006/relationships/hyperlink" Target="http://www.novonordisk.com/bin/getPDF.1909281.pdf" TargetMode="External"/><Relationship Id="rId18" Type="http://schemas.openxmlformats.org/officeDocument/2006/relationships/hyperlink" Target="http://ec.europa.eu/health/documents/community-register/2014/20140918129550/anx_129550_en.pdf" TargetMode="External"/><Relationship Id="rId3" Type="http://schemas.openxmlformats.org/officeDocument/2006/relationships/styles" Target="styles.xml"/><Relationship Id="rId21" Type="http://schemas.openxmlformats.org/officeDocument/2006/relationships/image" Target="media/image1.tiff"/><Relationship Id="rId7" Type="http://schemas.openxmlformats.org/officeDocument/2006/relationships/endnotes" Target="endnotes.xml"/><Relationship Id="rId12" Type="http://schemas.openxmlformats.org/officeDocument/2006/relationships/hyperlink" Target="http://www.novonordisk.com/bin/getPDF.1906649.pdf" TargetMode="External"/><Relationship Id="rId17" Type="http://schemas.openxmlformats.org/officeDocument/2006/relationships/hyperlink" Target="http://www.fda.gov/Drugs/DrugSafety/ucm446845.htm" TargetMode="External"/><Relationship Id="rId2" Type="http://schemas.openxmlformats.org/officeDocument/2006/relationships/numbering" Target="numbering.xml"/><Relationship Id="rId16" Type="http://schemas.openxmlformats.org/officeDocument/2006/relationships/hyperlink" Target="https://www.medicines.org.uk/emc/medicine/28974" TargetMode="External"/><Relationship Id="rId20" Type="http://schemas.openxmlformats.org/officeDocument/2006/relationships/hyperlink" Target="http://www.ncbi.nlm.nih.gov/pubmed?term=Kothny%20W%5BAuthor%5D&amp;cauthor=true&amp;cauthor_uid=230393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ovonordisk.com/bin/getPDF.1676900.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edicines.org.uk/emc/medicine/28400" TargetMode="External"/><Relationship Id="rId23" Type="http://schemas.openxmlformats.org/officeDocument/2006/relationships/fontTable" Target="fontTable.xml"/><Relationship Id="rId10" Type="http://schemas.openxmlformats.org/officeDocument/2006/relationships/hyperlink" Target="http://www.nice.org.uk/guidance/cg87/resources/cg87-type-2-diabetes-newer-agents-a-partial-update-of-cg66-short-guideline2"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medicines.org.uk/emc/medicine/27188/SPC/Forxiga+5+mg++%26+10+mg+film+coated+tablets/" TargetMode="External"/><Relationship Id="rId22"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56E01E-EC82-430E-9294-D7333D166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9109</Words>
  <Characters>51925</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60913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2017-04-03T10:20:00Z</dcterms:created>
  <dcterms:modified xsi:type="dcterms:W3CDTF">2017-04-03T10:20:00Z</dcterms:modified>
</cp:coreProperties>
</file>