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8B" w:rsidRPr="003A1A2D" w:rsidRDefault="000F3A41" w:rsidP="004C531E">
      <w:pPr>
        <w:pStyle w:val="RSCM01ReceivedAccepted"/>
      </w:pPr>
      <w:r w:rsidRPr="003A1A2D">
        <mc:AlternateContent>
          <mc:Choice Requires="wps">
            <w:drawing>
              <wp:anchor distT="180340" distB="0" distL="114300" distR="114300" simplePos="0" relativeHeight="251657728" behindDoc="1" locked="1" layoutInCell="0" allowOverlap="0" wp14:anchorId="64B766F8" wp14:editId="6AF6184D">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4F4522" w:rsidRPr="00433BDA" w:rsidRDefault="004F4522" w:rsidP="00433BDA">
                            <w:pPr>
                              <w:pStyle w:val="RSCF01FootnoteAuthorAddress"/>
                            </w:pPr>
                            <w:r w:rsidRPr="00433BDA">
                              <w:t>Department of Chemistry, University of Liverpool, Crown Street, Liverpool, L69 7ZD, UK. E-mail: tomm@liv.ac.uk; Tel: +44 (0)151 795 0524.</w:t>
                            </w:r>
                          </w:p>
                          <w:p w:rsidR="004F4522" w:rsidRPr="00433BDA" w:rsidRDefault="004F4522" w:rsidP="00433BDA">
                            <w:pPr>
                              <w:pStyle w:val="RSCF01FootnoteAuthorAddress"/>
                            </w:pPr>
                            <w:r w:rsidRPr="00433BDA">
                              <w:t>Department of Molecular and Clinical Pharmacology, University of Liverpool, Block H, 70 Pembroke Place, Liverpool, L69 3GF, UK</w:t>
                            </w:r>
                          </w:p>
                          <w:p w:rsidR="004F4522" w:rsidRPr="00433BDA" w:rsidRDefault="004F4522" w:rsidP="00433BDA">
                            <w:pPr>
                              <w:pStyle w:val="RSCF01FootnoteAuthorAddress"/>
                            </w:pPr>
                            <w:r w:rsidRPr="00433BDA">
                              <w:t>Centre for Materials Discovery, University of Liverpool, Crown Street, Liverpool, L69 7ZD</w:t>
                            </w:r>
                            <w:r>
                              <w:t>, UK</w:t>
                            </w:r>
                            <w:r w:rsidRPr="00433BDA">
                              <w:t>.</w:t>
                            </w:r>
                          </w:p>
                          <w:p w:rsidR="004F4522" w:rsidRPr="003A1A2D" w:rsidRDefault="004F4522" w:rsidP="00433BDA">
                            <w:pPr>
                              <w:pStyle w:val="RSCF01FootnoteAuthorAddress"/>
                            </w:pPr>
                            <w:r w:rsidRPr="003A1A2D">
                              <w:t>School of Engineering, University of Liverpool, George Holt Building, Brownlow Hill, Liverpool, L69 3GH, UK.</w:t>
                            </w:r>
                          </w:p>
                          <w:p w:rsidR="004F4522" w:rsidRPr="00241ACD" w:rsidRDefault="004F4522" w:rsidP="00241ACD">
                            <w:pPr>
                              <w:pStyle w:val="RSCF02FootnotestoTitleAuthors"/>
                            </w:pPr>
                            <w:r w:rsidRPr="00241ACD">
                              <w:t xml:space="preserve">† Footnotes relating to the title and/or authors should appear here. </w:t>
                            </w:r>
                          </w:p>
                          <w:p w:rsidR="004F4522" w:rsidRPr="00241ACD" w:rsidRDefault="004F4522"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4B766F8" id="_x0000_t202" coordsize="21600,21600" o:spt="202" path="m,l,21600r21600,l21600,xe">
                <v:stroke joinstyle="miter"/>
                <v:path gradientshapeok="t" o:connecttype="rect"/>
              </v:shapetype>
              <v:shape id="Text Box 2" o:spid="_x0000_s1026" type="#_x0000_t202" style="position:absolute;margin-left:0;margin-top:0;width:248.75pt;height:128.2pt;z-index:-251658752;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4F4522" w:rsidRPr="00433BDA" w:rsidRDefault="004F4522" w:rsidP="00433BDA">
                      <w:pPr>
                        <w:pStyle w:val="RSCF01FootnoteAuthorAddress"/>
                      </w:pPr>
                      <w:r w:rsidRPr="00433BDA">
                        <w:t>Department of Chemistry, University of Liverpool, Crown Street, Liverpool, L69 7ZD, UK. E-mail: tomm@liv.ac.uk; Tel: +44 (0)151 795 0524.</w:t>
                      </w:r>
                    </w:p>
                    <w:p w:rsidR="004F4522" w:rsidRPr="00433BDA" w:rsidRDefault="004F4522" w:rsidP="00433BDA">
                      <w:pPr>
                        <w:pStyle w:val="RSCF01FootnoteAuthorAddress"/>
                      </w:pPr>
                      <w:r w:rsidRPr="00433BDA">
                        <w:t>Department of Molecular and Clinical Pharmacology, University of Liverpool, Block H, 70 Pembroke Place, Liverpool, L69 3GF, UK</w:t>
                      </w:r>
                    </w:p>
                    <w:p w:rsidR="004F4522" w:rsidRPr="00433BDA" w:rsidRDefault="004F4522" w:rsidP="00433BDA">
                      <w:pPr>
                        <w:pStyle w:val="RSCF01FootnoteAuthorAddress"/>
                      </w:pPr>
                      <w:r w:rsidRPr="00433BDA">
                        <w:t>Centre for Materials Discovery, University of Liverpool, Crown Street, Liverpool, L69 7ZD</w:t>
                      </w:r>
                      <w:r>
                        <w:t>, UK</w:t>
                      </w:r>
                      <w:r w:rsidRPr="00433BDA">
                        <w:t>.</w:t>
                      </w:r>
                    </w:p>
                    <w:p w:rsidR="004F4522" w:rsidRPr="003A1A2D" w:rsidRDefault="004F4522" w:rsidP="00433BDA">
                      <w:pPr>
                        <w:pStyle w:val="RSCF01FootnoteAuthorAddress"/>
                      </w:pPr>
                      <w:r w:rsidRPr="003A1A2D">
                        <w:t>School of Engineering, University of Liverpool, George Holt Building, Brownlow Hill, Liverpool, L69 3GH, UK.</w:t>
                      </w:r>
                    </w:p>
                    <w:p w:rsidR="004F4522" w:rsidRPr="00241ACD" w:rsidRDefault="004F4522" w:rsidP="00241ACD">
                      <w:pPr>
                        <w:pStyle w:val="RSCF02FootnotestoTitleAuthors"/>
                      </w:pPr>
                      <w:r w:rsidRPr="00241ACD">
                        <w:t xml:space="preserve">† Footnotes relating to the title and/or authors should appear here. </w:t>
                      </w:r>
                    </w:p>
                    <w:p w:rsidR="004F4522" w:rsidRPr="00241ACD" w:rsidRDefault="004F4522"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3A1A2D">
        <w:t>Received 00th January 20</w:t>
      </w:r>
      <w:r w:rsidR="00F15F90" w:rsidRPr="003A1A2D">
        <w:t>xx</w:t>
      </w:r>
      <w:r w:rsidR="00F62C8B" w:rsidRPr="003A1A2D">
        <w:t>,</w:t>
      </w:r>
    </w:p>
    <w:p w:rsidR="00F62C8B" w:rsidRPr="003A1A2D" w:rsidRDefault="00F62C8B" w:rsidP="004C531E">
      <w:pPr>
        <w:pStyle w:val="RSCM01ReceivedAccepted"/>
      </w:pPr>
      <w:r w:rsidRPr="003A1A2D">
        <w:t>Accepted 00th January 20</w:t>
      </w:r>
      <w:r w:rsidR="00F15F90" w:rsidRPr="003A1A2D">
        <w:t>xx</w:t>
      </w:r>
    </w:p>
    <w:p w:rsidR="00F62C8B" w:rsidRPr="003A1A2D" w:rsidRDefault="00F62C8B" w:rsidP="004C531E">
      <w:pPr>
        <w:pStyle w:val="RSCM02DOI"/>
      </w:pPr>
      <w:r w:rsidRPr="003A1A2D">
        <w:t>DOI: 10.1039/x0xx00000x</w:t>
      </w:r>
    </w:p>
    <w:p w:rsidR="00A9649E" w:rsidRPr="003A1A2D" w:rsidRDefault="00A9649E" w:rsidP="004C531E">
      <w:pPr>
        <w:pStyle w:val="RSCM03Website"/>
      </w:pPr>
      <w:r w:rsidRPr="003A1A2D">
        <w:t>www.rsc.org/</w:t>
      </w:r>
    </w:p>
    <w:p w:rsidR="004414A5" w:rsidRPr="003A1A2D" w:rsidRDefault="00F62C8B" w:rsidP="00C32EDF">
      <w:pPr>
        <w:pStyle w:val="RSCH01PaperTitle"/>
      </w:pPr>
      <w:r w:rsidRPr="003A1A2D">
        <w:br w:type="column"/>
      </w:r>
      <w:r w:rsidR="00890764" w:rsidRPr="003A1A2D">
        <w:t>Dual-stimuli responsive injectable microgel/solid drug nanoparticle nanocomposites for release of poorly soluble drugs</w:t>
      </w:r>
    </w:p>
    <w:p w:rsidR="00890764" w:rsidRPr="003A1A2D" w:rsidRDefault="00890764" w:rsidP="00890764">
      <w:pPr>
        <w:jc w:val="both"/>
        <w:rPr>
          <w:bCs/>
          <w:sz w:val="18"/>
          <w:szCs w:val="18"/>
        </w:rPr>
      </w:pPr>
      <w:r w:rsidRPr="003A1A2D">
        <w:rPr>
          <w:bCs/>
          <w:sz w:val="18"/>
          <w:szCs w:val="18"/>
        </w:rPr>
        <w:t xml:space="preserve">Adam </w:t>
      </w:r>
      <w:proofErr w:type="spellStart"/>
      <w:r w:rsidRPr="003A1A2D">
        <w:rPr>
          <w:bCs/>
          <w:sz w:val="18"/>
          <w:szCs w:val="18"/>
        </w:rPr>
        <w:t>Town,</w:t>
      </w:r>
      <w:r w:rsidRPr="003A1A2D">
        <w:rPr>
          <w:bCs/>
          <w:sz w:val="18"/>
          <w:szCs w:val="18"/>
          <w:vertAlign w:val="superscript"/>
        </w:rPr>
        <w:t>a</w:t>
      </w:r>
      <w:proofErr w:type="spellEnd"/>
      <w:r w:rsidRPr="003A1A2D">
        <w:rPr>
          <w:bCs/>
          <w:sz w:val="18"/>
          <w:szCs w:val="18"/>
        </w:rPr>
        <w:t xml:space="preserve"> Marco </w:t>
      </w:r>
      <w:proofErr w:type="spellStart"/>
      <w:r w:rsidRPr="003A1A2D">
        <w:rPr>
          <w:bCs/>
          <w:sz w:val="18"/>
          <w:szCs w:val="18"/>
        </w:rPr>
        <w:t>Giardiello,</w:t>
      </w:r>
      <w:r w:rsidRPr="003A1A2D">
        <w:rPr>
          <w:bCs/>
          <w:sz w:val="18"/>
          <w:szCs w:val="18"/>
          <w:vertAlign w:val="superscript"/>
        </w:rPr>
        <w:t>a</w:t>
      </w:r>
      <w:proofErr w:type="spellEnd"/>
      <w:r w:rsidRPr="003A1A2D">
        <w:rPr>
          <w:bCs/>
          <w:sz w:val="18"/>
          <w:szCs w:val="18"/>
        </w:rPr>
        <w:t xml:space="preserve"> Rohan </w:t>
      </w:r>
      <w:proofErr w:type="spellStart"/>
      <w:r w:rsidRPr="003A1A2D">
        <w:rPr>
          <w:bCs/>
          <w:sz w:val="18"/>
          <w:szCs w:val="18"/>
        </w:rPr>
        <w:t>Gurjar,</w:t>
      </w:r>
      <w:r w:rsidRPr="003A1A2D">
        <w:rPr>
          <w:bCs/>
          <w:sz w:val="18"/>
          <w:szCs w:val="18"/>
          <w:vertAlign w:val="superscript"/>
        </w:rPr>
        <w:t>b</w:t>
      </w:r>
      <w:proofErr w:type="spellEnd"/>
      <w:r w:rsidRPr="003A1A2D">
        <w:rPr>
          <w:bCs/>
          <w:sz w:val="18"/>
          <w:szCs w:val="18"/>
        </w:rPr>
        <w:t xml:space="preserve"> Marco </w:t>
      </w:r>
      <w:proofErr w:type="spellStart"/>
      <w:r w:rsidRPr="003A1A2D">
        <w:rPr>
          <w:bCs/>
          <w:sz w:val="18"/>
          <w:szCs w:val="18"/>
        </w:rPr>
        <w:t>Siccardi,</w:t>
      </w:r>
      <w:r w:rsidRPr="003A1A2D">
        <w:rPr>
          <w:bCs/>
          <w:sz w:val="18"/>
          <w:szCs w:val="18"/>
          <w:vertAlign w:val="superscript"/>
        </w:rPr>
        <w:t>b</w:t>
      </w:r>
      <w:proofErr w:type="spellEnd"/>
      <w:r w:rsidRPr="003A1A2D">
        <w:rPr>
          <w:bCs/>
          <w:sz w:val="18"/>
          <w:szCs w:val="18"/>
        </w:rPr>
        <w:t xml:space="preserve"> Michael E. </w:t>
      </w:r>
      <w:proofErr w:type="spellStart"/>
      <w:r w:rsidRPr="003A1A2D">
        <w:rPr>
          <w:bCs/>
          <w:sz w:val="18"/>
          <w:szCs w:val="18"/>
        </w:rPr>
        <w:t>Briggs,</w:t>
      </w:r>
      <w:r w:rsidRPr="003A1A2D">
        <w:rPr>
          <w:bCs/>
          <w:sz w:val="18"/>
          <w:szCs w:val="18"/>
          <w:vertAlign w:val="superscript"/>
        </w:rPr>
        <w:t>c</w:t>
      </w:r>
      <w:proofErr w:type="spellEnd"/>
      <w:r w:rsidRPr="003A1A2D">
        <w:rPr>
          <w:bCs/>
          <w:sz w:val="18"/>
          <w:szCs w:val="18"/>
        </w:rPr>
        <w:t xml:space="preserve"> Riaz </w:t>
      </w:r>
      <w:proofErr w:type="spellStart"/>
      <w:r w:rsidRPr="003A1A2D">
        <w:rPr>
          <w:bCs/>
          <w:sz w:val="18"/>
          <w:szCs w:val="18"/>
        </w:rPr>
        <w:t>Akhtar,</w:t>
      </w:r>
      <w:r w:rsidRPr="003A1A2D">
        <w:rPr>
          <w:bCs/>
          <w:sz w:val="18"/>
          <w:szCs w:val="18"/>
          <w:vertAlign w:val="superscript"/>
        </w:rPr>
        <w:t>d</w:t>
      </w:r>
      <w:proofErr w:type="spellEnd"/>
      <w:r w:rsidRPr="003A1A2D">
        <w:rPr>
          <w:bCs/>
          <w:sz w:val="18"/>
          <w:szCs w:val="18"/>
        </w:rPr>
        <w:t xml:space="preserve"> Tom O. McDonald*</w:t>
      </w:r>
      <w:r w:rsidRPr="003A1A2D">
        <w:rPr>
          <w:bCs/>
          <w:sz w:val="18"/>
          <w:szCs w:val="18"/>
          <w:vertAlign w:val="superscript"/>
        </w:rPr>
        <w:t>a</w:t>
      </w:r>
      <w:r w:rsidRPr="003A1A2D">
        <w:rPr>
          <w:bCs/>
          <w:sz w:val="18"/>
          <w:szCs w:val="18"/>
        </w:rPr>
        <w:t xml:space="preserve"> </w:t>
      </w:r>
    </w:p>
    <w:p w:rsidR="00890764" w:rsidRDefault="00890764" w:rsidP="00890764">
      <w:pPr>
        <w:pStyle w:val="RSCB01ARTAbstract"/>
      </w:pPr>
      <w:r w:rsidRPr="003A1A2D">
        <w:t xml:space="preserve">An </w:t>
      </w:r>
      <w:r w:rsidRPr="003A1A2D">
        <w:rPr>
          <w:i/>
        </w:rPr>
        <w:t>in situ</w:t>
      </w:r>
      <w:r w:rsidRPr="003A1A2D">
        <w:t xml:space="preserve"> forming implant (ISFI) for drug delivery combines the potential to improve therapeutic adherence for patients with simple administration by injection. Herein, we describe the preparation of an injectable nanocomposite ISFI composed of thermoresponsive poly(N-isopropylacrylamide) based microgels and solid drug nanoparticles. Monodisperse poly(N</w:t>
      </w:r>
      <w:r w:rsidRPr="003A1A2D">
        <w:noBreakHyphen/>
        <w:t>isopropylacrylamide) or poly(N-isopropylacrylamide-co-allylamine) microgels were prepared by precipitation polymerisation with mean diameters of approximately 550 nm at 25 °C. Concentrated dispersions of these microgels displayed dual-stimuli responsive behaviour, forming shape persistent bulk aggregates in the presence of both salt (at physiological ionic strength) and at body temperature (above the lower critical solution temperature of the polymer).  These dual-stimuli responsive microgels could be injected into an agarose gel tissue mimic leading to rapid aggregation of the particles to form a drug depot. Additionally, the microgel particles aggregated in the presence of other payload nanoparticles (such as dye-containing polystyrene nanoparticles or lopinavir solid drug nanoparticles) to form nanocomposites with high entrapment efficiency of the payload. The resulting microgel and solid drug nanoparticle nanocomposites displayed sustained drug release for at least 120 days, with the rate of release tuned by blending microgels of poly(N</w:t>
      </w:r>
      <w:r w:rsidRPr="003A1A2D">
        <w:noBreakHyphen/>
        <w:t>isopropylacrylamide) with poly(N-isopropylacrylamide-co-allylamine) microgels. Cytotoxicity studies revealed that the microgels were not toxic to MDCK-II  cells even at high concentrations. Collectively, these results demonstrate a novel, easily injectable, nanocomposite ISFI that provides long-term sustained release for poorly water-soluble drugs without a burst release.</w:t>
      </w:r>
    </w:p>
    <w:p w:rsidR="003A1A2D" w:rsidRPr="003A1A2D" w:rsidRDefault="003A1A2D" w:rsidP="00890764">
      <w:pPr>
        <w:pStyle w:val="RSCB01ARTAbstract"/>
        <w:sectPr w:rsidR="003A1A2D" w:rsidRPr="003A1A2D"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rsidR="00890764" w:rsidRPr="003A1A2D" w:rsidRDefault="00890764" w:rsidP="00890764">
      <w:pPr>
        <w:pStyle w:val="RSCB06BHeadingSub-Section"/>
        <w:rPr>
          <w:sz w:val="24"/>
        </w:rPr>
      </w:pPr>
      <w:r w:rsidRPr="003A1A2D">
        <w:rPr>
          <w:sz w:val="24"/>
        </w:rPr>
        <w:t>1. Introduction</w:t>
      </w:r>
    </w:p>
    <w:p w:rsidR="00890764" w:rsidRPr="003A1A2D" w:rsidRDefault="00890764" w:rsidP="00890764">
      <w:pPr>
        <w:pStyle w:val="RSCB06BHeadingSub-Section"/>
        <w:ind w:firstLine="284"/>
        <w:jc w:val="both"/>
        <w:rPr>
          <w:b w:val="0"/>
          <w:color w:val="000000" w:themeColor="text1"/>
          <w:szCs w:val="18"/>
        </w:rPr>
      </w:pPr>
      <w:r w:rsidRPr="003A1A2D">
        <w:rPr>
          <w:b w:val="0"/>
          <w:szCs w:val="18"/>
        </w:rPr>
        <w:t>Medication adherence to long-term therapy is vital in the successful treatment of chronic illness. However, data from the World Health Organization revealed that the average medication adherence lies at only 50% in developed countries and even less in the developing world.</w:t>
      </w:r>
      <w:r w:rsidRPr="003A1A2D">
        <w:rPr>
          <w:b w:val="0"/>
          <w:noProof/>
          <w:szCs w:val="18"/>
          <w:vertAlign w:val="superscript"/>
        </w:rPr>
        <w:t>1</w:t>
      </w:r>
      <w:r w:rsidRPr="003A1A2D">
        <w:rPr>
          <w:b w:val="0"/>
          <w:szCs w:val="18"/>
        </w:rPr>
        <w:t xml:space="preserve"> Furthermore, potentially life threatening conditions can have a low adherence; for example, patients with diabetes display a mean adherence rate of only 67.5%.</w:t>
      </w:r>
      <w:r w:rsidRPr="003A1A2D">
        <w:rPr>
          <w:b w:val="0"/>
          <w:noProof/>
          <w:szCs w:val="18"/>
          <w:vertAlign w:val="superscript"/>
        </w:rPr>
        <w:t>2</w:t>
      </w:r>
      <w:r w:rsidRPr="003A1A2D">
        <w:rPr>
          <w:b w:val="0"/>
          <w:szCs w:val="18"/>
        </w:rPr>
        <w:t xml:space="preserve"> One way to achieve higher adherence rates for chronic conditions is to simplify the drug regimen for the patient.</w:t>
      </w:r>
      <w:r w:rsidRPr="003A1A2D">
        <w:rPr>
          <w:b w:val="0"/>
          <w:noProof/>
          <w:szCs w:val="18"/>
          <w:vertAlign w:val="superscript"/>
        </w:rPr>
        <w:t>3</w:t>
      </w:r>
      <w:r w:rsidRPr="003A1A2D">
        <w:rPr>
          <w:b w:val="0"/>
          <w:szCs w:val="18"/>
        </w:rPr>
        <w:t xml:space="preserve"> Daily oral doses can be replaced by a long acting system, which provides a sustained release of drug to maintain a blood plasma concentration at a therapeutic level. This has been shown to improve adherence by avoiding issues such as ‘pill fatigue’ and missed doses.</w:t>
      </w:r>
      <w:r w:rsidRPr="003A1A2D">
        <w:rPr>
          <w:b w:val="0"/>
          <w:noProof/>
          <w:szCs w:val="18"/>
          <w:vertAlign w:val="superscript"/>
        </w:rPr>
        <w:t>4,5</w:t>
      </w:r>
      <w:r w:rsidRPr="003A1A2D">
        <w:rPr>
          <w:b w:val="0"/>
          <w:szCs w:val="18"/>
        </w:rPr>
        <w:t xml:space="preserve"> This is particularly the case for patients with psychological dysfunctions where oral medication compliance </w:t>
      </w:r>
      <w:r w:rsidRPr="003A1A2D">
        <w:rPr>
          <w:b w:val="0"/>
          <w:szCs w:val="18"/>
        </w:rPr>
        <w:t>can be less than 40%,</w:t>
      </w:r>
      <w:r w:rsidRPr="003A1A2D">
        <w:rPr>
          <w:b w:val="0"/>
          <w:noProof/>
          <w:szCs w:val="18"/>
          <w:vertAlign w:val="superscript"/>
        </w:rPr>
        <w:t>6</w:t>
      </w:r>
      <w:r w:rsidRPr="003A1A2D">
        <w:rPr>
          <w:b w:val="0"/>
          <w:szCs w:val="18"/>
        </w:rPr>
        <w:t xml:space="preserve"> or patients with drug addictions where a large stocks of tablets cannot be provided.</w:t>
      </w:r>
      <w:r w:rsidRPr="003A1A2D">
        <w:rPr>
          <w:b w:val="0"/>
          <w:noProof/>
          <w:szCs w:val="18"/>
          <w:vertAlign w:val="superscript"/>
        </w:rPr>
        <w:t>7,8</w:t>
      </w:r>
      <w:r w:rsidRPr="003A1A2D">
        <w:rPr>
          <w:b w:val="0"/>
          <w:szCs w:val="18"/>
        </w:rPr>
        <w:t xml:space="preserve"> Long acting systems can include injectable formulations,</w:t>
      </w:r>
      <w:r w:rsidRPr="003A1A2D">
        <w:rPr>
          <w:b w:val="0"/>
          <w:noProof/>
          <w:szCs w:val="18"/>
          <w:vertAlign w:val="superscript"/>
        </w:rPr>
        <w:t>9</w:t>
      </w:r>
      <w:r w:rsidRPr="003A1A2D">
        <w:rPr>
          <w:b w:val="0"/>
          <w:szCs w:val="18"/>
        </w:rPr>
        <w:t xml:space="preserve"> polymeric implants,</w:t>
      </w:r>
      <w:r w:rsidRPr="003A1A2D">
        <w:rPr>
          <w:b w:val="0"/>
          <w:noProof/>
          <w:szCs w:val="18"/>
          <w:vertAlign w:val="superscript"/>
        </w:rPr>
        <w:t>10</w:t>
      </w:r>
      <w:r w:rsidRPr="003A1A2D">
        <w:rPr>
          <w:b w:val="0"/>
          <w:szCs w:val="18"/>
        </w:rPr>
        <w:t xml:space="preserve"> microspheres,</w:t>
      </w:r>
      <w:r w:rsidRPr="003A1A2D">
        <w:rPr>
          <w:b w:val="0"/>
          <w:noProof/>
          <w:szCs w:val="18"/>
          <w:vertAlign w:val="superscript"/>
        </w:rPr>
        <w:t>11</w:t>
      </w:r>
      <w:r w:rsidRPr="003A1A2D">
        <w:rPr>
          <w:b w:val="0"/>
          <w:szCs w:val="18"/>
        </w:rPr>
        <w:t xml:space="preserve"> mucosal inserts,</w:t>
      </w:r>
      <w:r w:rsidRPr="003A1A2D">
        <w:rPr>
          <w:b w:val="0"/>
          <w:noProof/>
          <w:szCs w:val="18"/>
          <w:vertAlign w:val="superscript"/>
        </w:rPr>
        <w:t>12</w:t>
      </w:r>
      <w:r w:rsidRPr="003A1A2D">
        <w:rPr>
          <w:b w:val="0"/>
          <w:szCs w:val="18"/>
        </w:rPr>
        <w:t xml:space="preserve"> and topical patches.</w:t>
      </w:r>
      <w:r w:rsidRPr="003A1A2D">
        <w:rPr>
          <w:b w:val="0"/>
          <w:noProof/>
          <w:szCs w:val="18"/>
          <w:vertAlign w:val="superscript"/>
        </w:rPr>
        <w:t>13</w:t>
      </w:r>
      <w:r w:rsidRPr="003A1A2D">
        <w:rPr>
          <w:b w:val="0"/>
          <w:szCs w:val="18"/>
        </w:rPr>
        <w:t xml:space="preserve"> These systems can be significantly more convenient for the patient and reduce healthcare costs by avoiding the effects of poor adherence such as hospital admissions. Initial implant systems were preformed and required micro surgery, or later the use of large </w:t>
      </w:r>
      <w:r w:rsidRPr="003A1A2D">
        <w:rPr>
          <w:b w:val="0"/>
          <w:color w:val="000000" w:themeColor="text1"/>
          <w:szCs w:val="18"/>
        </w:rPr>
        <w:t>hypodermic</w:t>
      </w:r>
      <w:r w:rsidRPr="003A1A2D">
        <w:rPr>
          <w:b w:val="0"/>
          <w:szCs w:val="18"/>
        </w:rPr>
        <w:t xml:space="preserve"> needles.</w:t>
      </w:r>
      <w:r w:rsidRPr="003A1A2D">
        <w:rPr>
          <w:b w:val="0"/>
          <w:noProof/>
          <w:szCs w:val="18"/>
          <w:vertAlign w:val="superscript"/>
        </w:rPr>
        <w:t>12</w:t>
      </w:r>
      <w:r w:rsidRPr="003A1A2D">
        <w:rPr>
          <w:b w:val="0"/>
          <w:szCs w:val="18"/>
        </w:rPr>
        <w:t xml:space="preserve"> This led to the development of </w:t>
      </w:r>
      <w:r w:rsidRPr="003A1A2D">
        <w:rPr>
          <w:b w:val="0"/>
          <w:i/>
          <w:szCs w:val="18"/>
        </w:rPr>
        <w:t>in situ</w:t>
      </w:r>
      <w:r w:rsidRPr="003A1A2D">
        <w:rPr>
          <w:b w:val="0"/>
          <w:szCs w:val="18"/>
        </w:rPr>
        <w:t xml:space="preserve"> forming implants (ISFI’s).</w:t>
      </w:r>
      <w:r w:rsidRPr="003A1A2D">
        <w:rPr>
          <w:b w:val="0"/>
          <w:noProof/>
          <w:szCs w:val="18"/>
          <w:vertAlign w:val="superscript"/>
        </w:rPr>
        <w:t>14,15</w:t>
      </w:r>
      <w:r w:rsidRPr="003A1A2D">
        <w:rPr>
          <w:b w:val="0"/>
          <w:szCs w:val="18"/>
        </w:rPr>
        <w:t xml:space="preserve"> These implants consist of an injectable drug formulation which solidifies after injection into the body, to form a depot, i.e. a site with a large storage of drug from which sustained drug release can occur over a long period of time. A number of ISFI systems have been developed, which achieve </w:t>
      </w:r>
      <w:r w:rsidRPr="003A1A2D">
        <w:rPr>
          <w:b w:val="0"/>
          <w:i/>
          <w:szCs w:val="18"/>
        </w:rPr>
        <w:t>in situ</w:t>
      </w:r>
      <w:r w:rsidRPr="003A1A2D">
        <w:rPr>
          <w:b w:val="0"/>
          <w:szCs w:val="18"/>
        </w:rPr>
        <w:t xml:space="preserve"> gelation or solidification by different methods such as chemical or physiochemical cross-linking,</w:t>
      </w:r>
      <w:r w:rsidRPr="003A1A2D">
        <w:rPr>
          <w:b w:val="0"/>
          <w:noProof/>
          <w:szCs w:val="18"/>
          <w:vertAlign w:val="superscript"/>
        </w:rPr>
        <w:t>16,17</w:t>
      </w:r>
      <w:r w:rsidRPr="003A1A2D">
        <w:rPr>
          <w:b w:val="0"/>
          <w:color w:val="FF0000"/>
          <w:szCs w:val="18"/>
        </w:rPr>
        <w:t xml:space="preserve"> </w:t>
      </w:r>
      <w:r w:rsidRPr="003A1A2D">
        <w:rPr>
          <w:b w:val="0"/>
          <w:szCs w:val="18"/>
        </w:rPr>
        <w:t>solidifying organogels,</w:t>
      </w:r>
      <w:r w:rsidRPr="003A1A2D">
        <w:rPr>
          <w:b w:val="0"/>
          <w:noProof/>
          <w:szCs w:val="18"/>
          <w:vertAlign w:val="superscript"/>
        </w:rPr>
        <w:t>18</w:t>
      </w:r>
      <w:r w:rsidRPr="003A1A2D">
        <w:rPr>
          <w:b w:val="0"/>
          <w:color w:val="FF0000"/>
          <w:szCs w:val="18"/>
        </w:rPr>
        <w:t xml:space="preserve"> </w:t>
      </w:r>
      <w:r w:rsidRPr="003A1A2D">
        <w:rPr>
          <w:b w:val="0"/>
          <w:szCs w:val="18"/>
        </w:rPr>
        <w:t>and in situ phase separation.</w:t>
      </w:r>
      <w:r w:rsidRPr="003A1A2D">
        <w:rPr>
          <w:b w:val="0"/>
          <w:noProof/>
          <w:szCs w:val="18"/>
          <w:vertAlign w:val="superscript"/>
        </w:rPr>
        <w:t>19</w:t>
      </w:r>
      <w:r w:rsidRPr="003A1A2D">
        <w:rPr>
          <w:b w:val="0"/>
          <w:szCs w:val="18"/>
        </w:rPr>
        <w:t xml:space="preserve"> </w:t>
      </w:r>
      <w:r w:rsidRPr="003A1A2D">
        <w:rPr>
          <w:b w:val="0"/>
          <w:color w:val="000000" w:themeColor="text1"/>
          <w:szCs w:val="18"/>
        </w:rPr>
        <w:t>ISFI’s can suffer from many issues and limitations, and to our knowledge an ISFI without any has yet to be developed. These include a large burst release of drug,</w:t>
      </w:r>
      <w:r w:rsidRPr="003A1A2D">
        <w:rPr>
          <w:b w:val="0"/>
          <w:noProof/>
          <w:color w:val="000000" w:themeColor="text1"/>
          <w:szCs w:val="18"/>
          <w:vertAlign w:val="superscript"/>
        </w:rPr>
        <w:t>20</w:t>
      </w:r>
      <w:r w:rsidRPr="003A1A2D">
        <w:rPr>
          <w:b w:val="0"/>
          <w:color w:val="000000" w:themeColor="text1"/>
          <w:szCs w:val="18"/>
        </w:rPr>
        <w:t xml:space="preserve"> potential toxicity of materials,</w:t>
      </w:r>
      <w:r w:rsidRPr="003A1A2D">
        <w:rPr>
          <w:b w:val="0"/>
          <w:noProof/>
          <w:color w:val="000000" w:themeColor="text1"/>
          <w:szCs w:val="18"/>
          <w:vertAlign w:val="superscript"/>
        </w:rPr>
        <w:t>17</w:t>
      </w:r>
      <w:r w:rsidRPr="003A1A2D">
        <w:rPr>
          <w:b w:val="0"/>
          <w:color w:val="000000" w:themeColor="text1"/>
          <w:szCs w:val="18"/>
        </w:rPr>
        <w:t xml:space="preserve"> cytotoxicity and inflammation response,</w:t>
      </w:r>
      <w:r w:rsidRPr="003A1A2D">
        <w:rPr>
          <w:b w:val="0"/>
          <w:noProof/>
          <w:color w:val="000000" w:themeColor="text1"/>
          <w:szCs w:val="18"/>
          <w:vertAlign w:val="superscript"/>
        </w:rPr>
        <w:t>10</w:t>
      </w:r>
      <w:r w:rsidRPr="003A1A2D">
        <w:rPr>
          <w:b w:val="0"/>
          <w:color w:val="000000" w:themeColor="text1"/>
          <w:szCs w:val="18"/>
        </w:rPr>
        <w:t xml:space="preserve"> long-term stability of the drugs,</w:t>
      </w:r>
      <w:r w:rsidRPr="003A1A2D">
        <w:rPr>
          <w:b w:val="0"/>
          <w:noProof/>
          <w:color w:val="000000" w:themeColor="text1"/>
          <w:szCs w:val="18"/>
          <w:vertAlign w:val="superscript"/>
        </w:rPr>
        <w:t>16</w:t>
      </w:r>
      <w:r w:rsidRPr="003A1A2D">
        <w:rPr>
          <w:b w:val="0"/>
          <w:color w:val="000000" w:themeColor="text1"/>
          <w:szCs w:val="18"/>
        </w:rPr>
        <w:t xml:space="preserve"> mechanical stability of the depot,</w:t>
      </w:r>
      <w:r w:rsidRPr="003A1A2D">
        <w:rPr>
          <w:b w:val="0"/>
          <w:noProof/>
          <w:color w:val="000000" w:themeColor="text1"/>
          <w:szCs w:val="18"/>
          <w:vertAlign w:val="superscript"/>
        </w:rPr>
        <w:t>21</w:t>
      </w:r>
      <w:r w:rsidRPr="003A1A2D">
        <w:rPr>
          <w:b w:val="0"/>
          <w:color w:val="000000" w:themeColor="text1"/>
          <w:szCs w:val="18"/>
        </w:rPr>
        <w:t xml:space="preserve"> limit to injection depth,</w:t>
      </w:r>
      <w:r w:rsidRPr="003A1A2D">
        <w:rPr>
          <w:b w:val="0"/>
          <w:noProof/>
          <w:color w:val="000000" w:themeColor="text1"/>
          <w:szCs w:val="18"/>
          <w:vertAlign w:val="superscript"/>
        </w:rPr>
        <w:t>22</w:t>
      </w:r>
      <w:r w:rsidRPr="003A1A2D">
        <w:rPr>
          <w:b w:val="0"/>
          <w:color w:val="000000" w:themeColor="text1"/>
          <w:szCs w:val="18"/>
        </w:rPr>
        <w:t xml:space="preserve"> pre-heating before injection,</w:t>
      </w:r>
      <w:r w:rsidRPr="003A1A2D">
        <w:rPr>
          <w:b w:val="0"/>
          <w:noProof/>
          <w:color w:val="000000" w:themeColor="text1"/>
          <w:szCs w:val="18"/>
          <w:vertAlign w:val="superscript"/>
        </w:rPr>
        <w:t>23</w:t>
      </w:r>
      <w:r w:rsidRPr="003A1A2D">
        <w:rPr>
          <w:b w:val="0"/>
          <w:color w:val="000000" w:themeColor="text1"/>
          <w:szCs w:val="18"/>
        </w:rPr>
        <w:t xml:space="preserve"> and variation in the shape of the implant formed, which leads to a variation in the amount of drug released.</w:t>
      </w:r>
      <w:r w:rsidRPr="003A1A2D">
        <w:rPr>
          <w:b w:val="0"/>
          <w:noProof/>
          <w:color w:val="000000" w:themeColor="text1"/>
          <w:szCs w:val="18"/>
          <w:vertAlign w:val="superscript"/>
        </w:rPr>
        <w:t>24</w:t>
      </w:r>
    </w:p>
    <w:p w:rsidR="00890764" w:rsidRPr="003A1A2D" w:rsidRDefault="00890764" w:rsidP="00890764">
      <w:pPr>
        <w:pStyle w:val="RSCB06BHeadingSub-Section"/>
        <w:ind w:firstLine="284"/>
        <w:jc w:val="both"/>
        <w:rPr>
          <w:b w:val="0"/>
          <w:color w:val="000000" w:themeColor="text1"/>
          <w:szCs w:val="18"/>
        </w:rPr>
      </w:pPr>
      <w:r w:rsidRPr="003A1A2D">
        <w:rPr>
          <w:b w:val="0"/>
          <w:color w:val="000000" w:themeColor="text1"/>
          <w:szCs w:val="18"/>
        </w:rPr>
        <w:lastRenderedPageBreak/>
        <w:t>With over 60% of new drug candidates estimated to be poorly water soluble,</w:t>
      </w:r>
      <w:r w:rsidRPr="003A1A2D">
        <w:rPr>
          <w:b w:val="0"/>
          <w:noProof/>
          <w:color w:val="000000" w:themeColor="text1"/>
          <w:szCs w:val="18"/>
          <w:vertAlign w:val="superscript"/>
        </w:rPr>
        <w:t>25</w:t>
      </w:r>
      <w:r w:rsidRPr="003A1A2D">
        <w:rPr>
          <w:b w:val="0"/>
          <w:color w:val="000000" w:themeColor="text1"/>
          <w:szCs w:val="18"/>
        </w:rPr>
        <w:t xml:space="preserve"> there is a need for an ISFI that could deliver poorly soluble drugs with enhanced control of release rate. One way to increase the solubility of poorly water soluble drugs is to formulate the drug into solid drug nanoparticles (SDNs).</w:t>
      </w:r>
      <w:r w:rsidRPr="003A1A2D">
        <w:rPr>
          <w:b w:val="0"/>
          <w:noProof/>
          <w:color w:val="000000" w:themeColor="text1"/>
          <w:szCs w:val="18"/>
          <w:vertAlign w:val="superscript"/>
        </w:rPr>
        <w:t>26–30</w:t>
      </w:r>
      <w:r w:rsidRPr="003A1A2D">
        <w:rPr>
          <w:b w:val="0"/>
          <w:color w:val="000000" w:themeColor="text1"/>
          <w:szCs w:val="18"/>
        </w:rPr>
        <w:t xml:space="preserve"> These are nanoparticles formed sole</w:t>
      </w:r>
      <w:r w:rsidR="003A0749" w:rsidRPr="003A1A2D">
        <w:rPr>
          <w:b w:val="0"/>
          <w:color w:val="000000" w:themeColor="text1"/>
          <w:szCs w:val="18"/>
        </w:rPr>
        <w:t>ly of drug and stabilis</w:t>
      </w:r>
      <w:r w:rsidRPr="003A1A2D">
        <w:rPr>
          <w:b w:val="0"/>
          <w:color w:val="000000" w:themeColor="text1"/>
          <w:szCs w:val="18"/>
        </w:rPr>
        <w:t>ed by polymers and surfactants. SDNs have already been demonstrated to increase the bioavailability of drug when orally dosed.</w:t>
      </w:r>
      <w:r w:rsidRPr="003A1A2D">
        <w:rPr>
          <w:b w:val="0"/>
          <w:noProof/>
          <w:color w:val="000000" w:themeColor="text1"/>
          <w:szCs w:val="18"/>
          <w:vertAlign w:val="superscript"/>
        </w:rPr>
        <w:t>31</w:t>
      </w:r>
      <w:r w:rsidRPr="003A1A2D">
        <w:rPr>
          <w:b w:val="0"/>
          <w:color w:val="000000" w:themeColor="text1"/>
          <w:szCs w:val="18"/>
        </w:rPr>
        <w:t xml:space="preserve"> SDNs have also previously been demonstrated as long acting injectable formulations,</w:t>
      </w:r>
      <w:r w:rsidRPr="003A1A2D">
        <w:rPr>
          <w:b w:val="0"/>
          <w:noProof/>
          <w:color w:val="000000" w:themeColor="text1"/>
          <w:szCs w:val="18"/>
          <w:vertAlign w:val="superscript"/>
        </w:rPr>
        <w:t>32</w:t>
      </w:r>
      <w:r w:rsidRPr="003A1A2D">
        <w:rPr>
          <w:b w:val="0"/>
          <w:color w:val="000000" w:themeColor="text1"/>
          <w:szCs w:val="18"/>
        </w:rPr>
        <w:t xml:space="preserve"> requiring repeated monthly injections. We hypothesised that the release rate of drug can be tuned by entrapping SDNs in an ISFI, so that for potent drugs, the injection frequency can be lowered.</w:t>
      </w:r>
    </w:p>
    <w:p w:rsidR="00890764" w:rsidRPr="003A1A2D" w:rsidRDefault="00890764" w:rsidP="00890764">
      <w:pPr>
        <w:pStyle w:val="RSCB06BHeadingSub-Section"/>
        <w:ind w:firstLine="284"/>
        <w:jc w:val="both"/>
        <w:rPr>
          <w:b w:val="0"/>
          <w:color w:val="000000" w:themeColor="text1"/>
          <w:szCs w:val="18"/>
        </w:rPr>
      </w:pPr>
      <w:r w:rsidRPr="003A1A2D">
        <w:rPr>
          <w:b w:val="0"/>
          <w:color w:val="000000" w:themeColor="text1"/>
          <w:szCs w:val="18"/>
        </w:rPr>
        <w:t>Poly(</w:t>
      </w:r>
      <w:r w:rsidRPr="003A1A2D">
        <w:rPr>
          <w:b w:val="0"/>
          <w:i/>
          <w:color w:val="000000" w:themeColor="text1"/>
          <w:szCs w:val="18"/>
        </w:rPr>
        <w:t>N</w:t>
      </w:r>
      <w:r w:rsidRPr="003A1A2D">
        <w:rPr>
          <w:b w:val="0"/>
          <w:color w:val="000000" w:themeColor="text1"/>
          <w:szCs w:val="18"/>
        </w:rPr>
        <w:t>-Isopropylacrylamide) (PNIPAm) is a well-established thermoresponsive polymer that can be prepared in the form of nanoparticles known as microgels.</w:t>
      </w:r>
      <w:r w:rsidRPr="003A1A2D">
        <w:rPr>
          <w:b w:val="0"/>
          <w:noProof/>
          <w:color w:val="000000" w:themeColor="text1"/>
          <w:szCs w:val="18"/>
          <w:vertAlign w:val="superscript"/>
        </w:rPr>
        <w:t>33–38</w:t>
      </w:r>
      <w:r w:rsidRPr="003A1A2D">
        <w:rPr>
          <w:b w:val="0"/>
          <w:color w:val="000000" w:themeColor="text1"/>
          <w:szCs w:val="18"/>
        </w:rPr>
        <w:t xml:space="preserve"> PNIPAm microgels swell in response to temperature,</w:t>
      </w:r>
      <w:r w:rsidRPr="003A1A2D">
        <w:rPr>
          <w:b w:val="0"/>
          <w:noProof/>
          <w:color w:val="000000" w:themeColor="text1"/>
          <w:szCs w:val="18"/>
          <w:vertAlign w:val="superscript"/>
        </w:rPr>
        <w:t>39</w:t>
      </w:r>
      <w:r w:rsidRPr="003A1A2D">
        <w:rPr>
          <w:b w:val="0"/>
          <w:color w:val="000000" w:themeColor="text1"/>
          <w:szCs w:val="18"/>
        </w:rPr>
        <w:t xml:space="preserve"> exhibiting a volume phase transition temperature (VPTT), which is </w:t>
      </w:r>
      <w:proofErr w:type="gramStart"/>
      <w:r w:rsidRPr="003A1A2D">
        <w:rPr>
          <w:b w:val="0"/>
          <w:color w:val="000000" w:themeColor="text1"/>
          <w:szCs w:val="18"/>
        </w:rPr>
        <w:t>similar to</w:t>
      </w:r>
      <w:proofErr w:type="gramEnd"/>
      <w:r w:rsidRPr="003A1A2D">
        <w:rPr>
          <w:b w:val="0"/>
          <w:color w:val="000000" w:themeColor="text1"/>
          <w:szCs w:val="18"/>
        </w:rPr>
        <w:t xml:space="preserve"> the lower critical solution temperature (LCST) of linear PNIPAm.</w:t>
      </w:r>
      <w:r w:rsidRPr="003A1A2D">
        <w:rPr>
          <w:b w:val="0"/>
          <w:noProof/>
          <w:color w:val="000000" w:themeColor="text1"/>
          <w:szCs w:val="18"/>
          <w:vertAlign w:val="superscript"/>
        </w:rPr>
        <w:t>40</w:t>
      </w:r>
      <w:r w:rsidRPr="003A1A2D">
        <w:rPr>
          <w:b w:val="0"/>
          <w:color w:val="000000" w:themeColor="text1"/>
          <w:szCs w:val="18"/>
        </w:rPr>
        <w:t xml:space="preserve"> Below the VPTT the polymer exists as hydrophilic particles, with the network swollen by water molecules. This is due to favourable hydrogen bonding between the amide units of the PNIPAm and water.</w:t>
      </w:r>
      <w:r w:rsidRPr="003A1A2D">
        <w:rPr>
          <w:b w:val="0"/>
          <w:noProof/>
          <w:color w:val="000000" w:themeColor="text1"/>
          <w:szCs w:val="18"/>
          <w:vertAlign w:val="superscript"/>
        </w:rPr>
        <w:t>36</w:t>
      </w:r>
      <w:r w:rsidRPr="003A1A2D">
        <w:rPr>
          <w:b w:val="0"/>
          <w:color w:val="000000" w:themeColor="text1"/>
          <w:szCs w:val="18"/>
        </w:rPr>
        <w:t xml:space="preserve"> Above the VPTT, the polymer-polymer hydrogen bonding becomes more favourable and the particles de-swell as they expel solvent, resulting in a dramatic decrease in the diameter of the particle. PNIPAm microgels typically display both steric and electrostatic colloidal stability; below the VPTT the polymer chains extend out into solu</w:t>
      </w:r>
      <w:r w:rsidR="003A0749" w:rsidRPr="003A1A2D">
        <w:rPr>
          <w:b w:val="0"/>
          <w:color w:val="000000" w:themeColor="text1"/>
          <w:szCs w:val="18"/>
        </w:rPr>
        <w:t>tion and provide steric stabilis</w:t>
      </w:r>
      <w:r w:rsidRPr="003A1A2D">
        <w:rPr>
          <w:b w:val="0"/>
          <w:color w:val="000000" w:themeColor="text1"/>
          <w:szCs w:val="18"/>
        </w:rPr>
        <w:t>ation,</w:t>
      </w:r>
      <w:r w:rsidRPr="003A1A2D">
        <w:rPr>
          <w:b w:val="0"/>
          <w:noProof/>
          <w:color w:val="000000" w:themeColor="text1"/>
          <w:szCs w:val="18"/>
          <w:vertAlign w:val="superscript"/>
        </w:rPr>
        <w:t>39</w:t>
      </w:r>
      <w:r w:rsidRPr="003A1A2D">
        <w:rPr>
          <w:b w:val="0"/>
          <w:color w:val="000000" w:themeColor="text1"/>
          <w:szCs w:val="18"/>
        </w:rPr>
        <w:t xml:space="preserve"> while the charged chain end (derived from use of an initiator such as potassium persulfate (KPS)) gives the particles electrostatic stabilisation.</w:t>
      </w:r>
      <w:r w:rsidRPr="003A1A2D">
        <w:rPr>
          <w:b w:val="0"/>
          <w:noProof/>
          <w:color w:val="000000" w:themeColor="text1"/>
          <w:szCs w:val="18"/>
          <w:vertAlign w:val="superscript"/>
        </w:rPr>
        <w:t>41</w:t>
      </w:r>
      <w:r w:rsidRPr="003A1A2D">
        <w:rPr>
          <w:b w:val="0"/>
          <w:color w:val="000000" w:themeColor="text1"/>
          <w:szCs w:val="18"/>
        </w:rPr>
        <w:t xml:space="preserve"> Above the VPTT, the electrostatic repulsion between particles provides colloidal stability, despite the collapse of the chain ends providing steric stabilisation.</w:t>
      </w:r>
      <w:r w:rsidRPr="003A1A2D">
        <w:rPr>
          <w:b w:val="0"/>
          <w:noProof/>
          <w:color w:val="000000" w:themeColor="text1"/>
          <w:szCs w:val="18"/>
          <w:vertAlign w:val="superscript"/>
        </w:rPr>
        <w:t>42</w:t>
      </w:r>
      <w:r w:rsidRPr="003A1A2D">
        <w:rPr>
          <w:b w:val="0"/>
          <w:color w:val="000000" w:themeColor="text1"/>
          <w:szCs w:val="18"/>
        </w:rPr>
        <w:t xml:space="preserve"> However in the presence of salts, such as that of physiological fluid, flocculation occurs as the charges are screened.</w:t>
      </w:r>
      <w:r w:rsidRPr="003A1A2D">
        <w:rPr>
          <w:b w:val="0"/>
          <w:noProof/>
          <w:color w:val="000000" w:themeColor="text1"/>
          <w:szCs w:val="18"/>
          <w:vertAlign w:val="superscript"/>
        </w:rPr>
        <w:t>43</w:t>
      </w:r>
      <w:r w:rsidRPr="003A1A2D">
        <w:rPr>
          <w:b w:val="0"/>
          <w:color w:val="000000" w:themeColor="text1"/>
          <w:szCs w:val="18"/>
        </w:rPr>
        <w:t xml:space="preserve"> Such behaviour allows dual</w:t>
      </w:r>
      <w:r w:rsidRPr="003A1A2D">
        <w:rPr>
          <w:b w:val="0"/>
          <w:color w:val="000000" w:themeColor="text1"/>
          <w:szCs w:val="18"/>
        </w:rPr>
        <w:noBreakHyphen/>
        <w:t>stimuli responsive microgels to be designed. The flocculation of the microgels has previously been used to block both membrane pores</w:t>
      </w:r>
      <w:r w:rsidRPr="003A1A2D">
        <w:rPr>
          <w:b w:val="0"/>
          <w:noProof/>
          <w:color w:val="000000" w:themeColor="text1"/>
          <w:szCs w:val="18"/>
          <w:vertAlign w:val="superscript"/>
        </w:rPr>
        <w:t>44,45</w:t>
      </w:r>
      <w:r w:rsidRPr="003A1A2D">
        <w:rPr>
          <w:b w:val="0"/>
          <w:color w:val="000000" w:themeColor="text1"/>
          <w:szCs w:val="18"/>
        </w:rPr>
        <w:t xml:space="preserve"> and release drug.</w:t>
      </w:r>
      <w:r w:rsidRPr="003A1A2D">
        <w:rPr>
          <w:b w:val="0"/>
          <w:noProof/>
          <w:color w:val="000000" w:themeColor="text1"/>
          <w:szCs w:val="18"/>
          <w:vertAlign w:val="superscript"/>
        </w:rPr>
        <w:t>46</w:t>
      </w:r>
      <w:r w:rsidRPr="003A1A2D">
        <w:rPr>
          <w:b w:val="0"/>
          <w:color w:val="000000" w:themeColor="text1"/>
          <w:szCs w:val="18"/>
        </w:rPr>
        <w:t xml:space="preserve"> </w:t>
      </w:r>
    </w:p>
    <w:p w:rsidR="00890764" w:rsidRPr="003A1A2D" w:rsidRDefault="00890764" w:rsidP="00890764">
      <w:pPr>
        <w:pStyle w:val="RSCB06BHeadingSub-Section"/>
        <w:ind w:firstLine="284"/>
        <w:jc w:val="both"/>
        <w:rPr>
          <w:b w:val="0"/>
          <w:color w:val="000000" w:themeColor="text1"/>
          <w:szCs w:val="18"/>
        </w:rPr>
      </w:pPr>
      <w:r w:rsidRPr="003A1A2D">
        <w:rPr>
          <w:b w:val="0"/>
          <w:color w:val="000000" w:themeColor="text1"/>
          <w:szCs w:val="18"/>
        </w:rPr>
        <w:t xml:space="preserve">We hypothesised that by utilising the dual-stimuli responsive properties of PNIPAm microgels with SDNs we could produce a nanocomposite ISFI that forms a depot upon injection into a tissue environment. In the work presented here, </w:t>
      </w:r>
      <w:r w:rsidRPr="003A1A2D">
        <w:rPr>
          <w:b w:val="0"/>
          <w:szCs w:val="18"/>
        </w:rPr>
        <w:t xml:space="preserve">SDNs are combined with a PNIPAm microgel in a liquid formulation which can then be injected </w:t>
      </w:r>
      <w:r w:rsidRPr="003A1A2D">
        <w:rPr>
          <w:b w:val="0"/>
          <w:szCs w:val="18"/>
        </w:rPr>
        <w:t>into a depot site. Here, rapid aggregation of the microgel particles entraps the SDNs in a polymer network, forming a nanocomposite depot for sustained drug release. Premature aggregation in the injection needle is avoided as the microgels only aggregate in the presence of both the elevated temperature and salt when they have left the injection needle (see Fig. 1).</w:t>
      </w:r>
      <w:r w:rsidRPr="003A1A2D">
        <w:rPr>
          <w:b w:val="0"/>
          <w:color w:val="000000" w:themeColor="text1"/>
          <w:szCs w:val="18"/>
        </w:rPr>
        <w:t xml:space="preserve"> In this article, we demonstrate the following: the efficient entrapment of payload nanoparticles within a nanocomposite; that the rate of drug release from a nanocomposite containing SDNs can be controlled by blending microgels with different comonomer compositions and show that such ISFIs display sustained release profiles exceeding 120 days with very little burst release.</w:t>
      </w:r>
    </w:p>
    <w:p w:rsidR="00890764" w:rsidRPr="003A1A2D" w:rsidRDefault="00890764" w:rsidP="00890764">
      <w:pPr>
        <w:pStyle w:val="RSCB06BHeadingSub-Section"/>
        <w:jc w:val="both"/>
        <w:rPr>
          <w:b w:val="0"/>
          <w:color w:val="000000" w:themeColor="text1"/>
          <w:szCs w:val="18"/>
        </w:rPr>
      </w:pPr>
    </w:p>
    <w:p w:rsidR="00890764" w:rsidRPr="003A1A2D" w:rsidRDefault="00890764" w:rsidP="00890764">
      <w:pPr>
        <w:pStyle w:val="RSCB06BHeadingSub-Section"/>
        <w:rPr>
          <w:sz w:val="24"/>
        </w:rPr>
      </w:pPr>
      <w:r w:rsidRPr="003A1A2D">
        <w:rPr>
          <w:sz w:val="24"/>
        </w:rPr>
        <w:t>2. Experimental Section</w:t>
      </w:r>
    </w:p>
    <w:p w:rsidR="00890764" w:rsidRPr="003A1A2D" w:rsidRDefault="00890764" w:rsidP="00890764">
      <w:pPr>
        <w:jc w:val="both"/>
        <w:outlineLvl w:val="0"/>
        <w:rPr>
          <w:b/>
          <w:color w:val="000000" w:themeColor="text1"/>
          <w:sz w:val="18"/>
          <w:szCs w:val="18"/>
        </w:rPr>
      </w:pPr>
      <w:r w:rsidRPr="003A1A2D">
        <w:rPr>
          <w:b/>
          <w:color w:val="000000" w:themeColor="text1"/>
          <w:sz w:val="18"/>
          <w:szCs w:val="18"/>
        </w:rPr>
        <w:t>2.1 Materials</w:t>
      </w:r>
    </w:p>
    <w:tbl>
      <w:tblPr>
        <w:tblStyle w:val="TableGrid"/>
        <w:tblpPr w:leftFromText="181" w:rightFromText="181" w:vertAnchor="page" w:horzAnchor="margin" w:tblpY="11574"/>
        <w:tblOverlap w:val="never"/>
        <w:tblW w:w="0" w:type="auto"/>
        <w:tblLook w:val="04A0" w:firstRow="1" w:lastRow="0" w:firstColumn="1" w:lastColumn="0" w:noHBand="0" w:noVBand="1"/>
      </w:tblPr>
      <w:tblGrid>
        <w:gridCol w:w="4976"/>
      </w:tblGrid>
      <w:tr w:rsidR="00890764" w:rsidRPr="003A1A2D" w:rsidTr="007F4127">
        <w:trPr>
          <w:trHeight w:val="2642"/>
        </w:trPr>
        <w:tc>
          <w:tcPr>
            <w:tcW w:w="4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90764" w:rsidRPr="003A1A2D" w:rsidRDefault="00890764" w:rsidP="007F4127">
            <w:pPr>
              <w:jc w:val="both"/>
              <w:rPr>
                <w:color w:val="000000" w:themeColor="text1"/>
                <w:sz w:val="18"/>
                <w:szCs w:val="18"/>
              </w:rPr>
            </w:pPr>
            <w:r w:rsidRPr="003A1A2D">
              <w:rPr>
                <w:noProof/>
                <w:color w:val="000000" w:themeColor="text1"/>
                <w:sz w:val="18"/>
                <w:szCs w:val="18"/>
                <w:lang w:eastAsia="en-GB"/>
              </w:rPr>
              <w:drawing>
                <wp:inline distT="0" distB="0" distL="0" distR="0" wp14:anchorId="7E0F2480" wp14:editId="25F83D4F">
                  <wp:extent cx="3014980" cy="15981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4980" cy="1598181"/>
                          </a:xfrm>
                          <a:prstGeom prst="rect">
                            <a:avLst/>
                          </a:prstGeom>
                        </pic:spPr>
                      </pic:pic>
                    </a:graphicData>
                  </a:graphic>
                </wp:inline>
              </w:drawing>
            </w:r>
          </w:p>
        </w:tc>
      </w:tr>
      <w:tr w:rsidR="00890764" w:rsidRPr="003A1A2D" w:rsidTr="007F4127">
        <w:trPr>
          <w:trHeight w:val="407"/>
        </w:trPr>
        <w:tc>
          <w:tcPr>
            <w:tcW w:w="4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90764" w:rsidRPr="003A1A2D" w:rsidRDefault="00890764" w:rsidP="007F4127">
            <w:pPr>
              <w:jc w:val="both"/>
              <w:rPr>
                <w:bCs/>
                <w:color w:val="000000" w:themeColor="text1"/>
                <w:sz w:val="18"/>
                <w:szCs w:val="18"/>
              </w:rPr>
            </w:pPr>
            <w:r w:rsidRPr="003A1A2D">
              <w:rPr>
                <w:b/>
                <w:bCs/>
                <w:color w:val="000000" w:themeColor="text1"/>
                <w:sz w:val="18"/>
                <w:szCs w:val="18"/>
              </w:rPr>
              <w:t xml:space="preserve">Fig. 1 </w:t>
            </w:r>
            <w:r w:rsidRPr="003A1A2D">
              <w:rPr>
                <w:bCs/>
                <w:color w:val="000000" w:themeColor="text1"/>
                <w:sz w:val="18"/>
                <w:szCs w:val="18"/>
              </w:rPr>
              <w:t>Microgel/solid drug nanoparticle composite ISFI system (A) Microgel/SDN solution loaded into syringe (B) De-swelling of microgel particles in hypodermic needle above VPTT (C) Aggregation of microgel particles entrapping SDNs at depot site, due to contact with salt.</w:t>
            </w:r>
          </w:p>
        </w:tc>
      </w:tr>
    </w:tbl>
    <w:p w:rsidR="00890764" w:rsidRPr="003A1A2D" w:rsidRDefault="00890764" w:rsidP="00890764">
      <w:pPr>
        <w:jc w:val="both"/>
        <w:outlineLvl w:val="0"/>
        <w:rPr>
          <w:b/>
          <w:color w:val="000000" w:themeColor="text1"/>
          <w:sz w:val="18"/>
          <w:szCs w:val="18"/>
        </w:rPr>
      </w:pPr>
      <w:r w:rsidRPr="003A1A2D">
        <w:rPr>
          <w:i/>
          <w:color w:val="000000" w:themeColor="text1"/>
          <w:sz w:val="18"/>
          <w:szCs w:val="18"/>
        </w:rPr>
        <w:t>N</w:t>
      </w:r>
      <w:r w:rsidRPr="003A1A2D">
        <w:rPr>
          <w:color w:val="000000" w:themeColor="text1"/>
          <w:sz w:val="18"/>
          <w:szCs w:val="18"/>
        </w:rPr>
        <w:t xml:space="preserve">-Isopropylacrylamide (NIPAm, Sigma-Aldrich), allylamine (AlA, Sigma-Aldrich), azobisisobutyronitrile (AIBN, Sigma-Aldrich) </w:t>
      </w:r>
      <w:r w:rsidRPr="003A1A2D">
        <w:rPr>
          <w:i/>
          <w:color w:val="000000" w:themeColor="text1"/>
          <w:sz w:val="18"/>
          <w:szCs w:val="18"/>
        </w:rPr>
        <w:t>N,N</w:t>
      </w:r>
      <w:r w:rsidRPr="003A1A2D">
        <w:rPr>
          <w:color w:val="000000" w:themeColor="text1"/>
          <w:sz w:val="18"/>
          <w:szCs w:val="18"/>
        </w:rPr>
        <w:noBreakHyphen/>
        <w:t xml:space="preserve">methylenebis(acrylamide) (BIS, Sigma-Aldrich), potassium persulfate (KPS, Sigma-Aldrich), oil red O (OR, Sigma-Aldrich), agarose (Sigma-Aldrich), sodium chloride (NaCl, Sigma-Aldrich), styrene (Sigma-Aldrich), phosphate buffered saline tablets (PBS, Fischer Scientific), 50% (w/v) aqueous poly(acrylic acid) (P(AcA), </w:t>
      </w:r>
      <m:oMath>
        <m:bar>
          <m:barPr>
            <m:pos m:val="top"/>
            <m:ctrlPr>
              <w:rPr>
                <w:rFonts w:ascii="Cambria Math" w:hAnsi="Cambria Math"/>
                <w:color w:val="000000" w:themeColor="text1"/>
                <w:sz w:val="18"/>
                <w:szCs w:val="18"/>
              </w:rPr>
            </m:ctrlPr>
          </m:barPr>
          <m:e>
            <m:r>
              <m:rPr>
                <m:sty m:val="p"/>
              </m:rPr>
              <w:rPr>
                <w:rFonts w:ascii="Cambria Math" w:hAnsi="Cambria Math"/>
                <w:color w:val="000000" w:themeColor="text1"/>
                <w:sz w:val="18"/>
                <w:szCs w:val="18"/>
              </w:rPr>
              <m:t>M</m:t>
            </m:r>
          </m:e>
        </m:bar>
      </m:oMath>
      <w:r w:rsidRPr="003A1A2D">
        <w:rPr>
          <w:rFonts w:eastAsiaTheme="minorEastAsia"/>
          <w:color w:val="000000" w:themeColor="text1"/>
          <w:sz w:val="18"/>
          <w:szCs w:val="18"/>
          <w:vertAlign w:val="subscript"/>
        </w:rPr>
        <w:t xml:space="preserve">n </w:t>
      </w:r>
      <w:r w:rsidRPr="003A1A2D">
        <w:rPr>
          <w:color w:val="000000" w:themeColor="text1"/>
          <w:sz w:val="18"/>
          <w:szCs w:val="18"/>
        </w:rPr>
        <w:t xml:space="preserve">= 2,000, Sigma-Aldrich), tetrahydrofuran (THF, Fischer Scientific), ethanol (EtOH, Fisher Scientific), HPLC grade acetonitrile (MeCN, Fisher Scientific), </w:t>
      </w:r>
      <w:r w:rsidRPr="003A1A2D">
        <w:rPr>
          <w:sz w:val="18"/>
          <w:szCs w:val="18"/>
        </w:rPr>
        <w:t>dichloromethane (DCM, Sigma-Aldrich), Polyvinyl alcohol (PVA grade 4-88, MW 57-77,000, Sigma-Aldrich),</w:t>
      </w:r>
      <w:r w:rsidRPr="003A1A2D">
        <w:rPr>
          <w:color w:val="000000" w:themeColor="text1"/>
          <w:sz w:val="18"/>
          <w:szCs w:val="18"/>
        </w:rPr>
        <w:t xml:space="preserve"> </w:t>
      </w:r>
      <w:r w:rsidRPr="003A1A2D">
        <w:rPr>
          <w:sz w:val="18"/>
          <w:szCs w:val="18"/>
        </w:rPr>
        <w:t>Kolliphor TPGS</w:t>
      </w:r>
      <w:r w:rsidRPr="003A1A2D">
        <w:rPr>
          <w:color w:val="000000" w:themeColor="text1"/>
          <w:sz w:val="18"/>
          <w:szCs w:val="18"/>
        </w:rPr>
        <w:t xml:space="preserve"> (BASF), potassium phosphate monobasic (KH</w:t>
      </w:r>
      <w:r w:rsidRPr="003A1A2D">
        <w:rPr>
          <w:color w:val="000000" w:themeColor="text1"/>
          <w:sz w:val="18"/>
          <w:szCs w:val="18"/>
          <w:vertAlign w:val="subscript"/>
        </w:rPr>
        <w:t>2</w:t>
      </w:r>
      <w:r w:rsidRPr="003A1A2D">
        <w:rPr>
          <w:color w:val="000000" w:themeColor="text1"/>
          <w:sz w:val="18"/>
          <w:szCs w:val="18"/>
        </w:rPr>
        <w:t>PO</w:t>
      </w:r>
      <w:r w:rsidRPr="003A1A2D">
        <w:rPr>
          <w:color w:val="000000" w:themeColor="text1"/>
          <w:sz w:val="18"/>
          <w:szCs w:val="18"/>
          <w:vertAlign w:val="subscript"/>
        </w:rPr>
        <w:t>4</w:t>
      </w:r>
      <w:r w:rsidRPr="003A1A2D">
        <w:rPr>
          <w:color w:val="000000" w:themeColor="text1"/>
          <w:sz w:val="18"/>
          <w:szCs w:val="18"/>
        </w:rPr>
        <w:t>, Sigma</w:t>
      </w:r>
      <w:r w:rsidRPr="003A1A2D">
        <w:rPr>
          <w:color w:val="000000" w:themeColor="text1"/>
          <w:sz w:val="18"/>
          <w:szCs w:val="18"/>
        </w:rPr>
        <w:noBreakHyphen/>
        <w:t>Aldrich),  orthophosphoric acid solution 50% (KH</w:t>
      </w:r>
      <w:r w:rsidRPr="003A1A2D">
        <w:rPr>
          <w:color w:val="000000" w:themeColor="text1"/>
          <w:sz w:val="18"/>
          <w:szCs w:val="18"/>
          <w:vertAlign w:val="subscript"/>
        </w:rPr>
        <w:t>2</w:t>
      </w:r>
      <w:r w:rsidRPr="003A1A2D">
        <w:rPr>
          <w:color w:val="000000" w:themeColor="text1"/>
          <w:sz w:val="18"/>
          <w:szCs w:val="18"/>
        </w:rPr>
        <w:t>PO</w:t>
      </w:r>
      <w:r w:rsidRPr="003A1A2D">
        <w:rPr>
          <w:color w:val="000000" w:themeColor="text1"/>
          <w:sz w:val="18"/>
          <w:szCs w:val="18"/>
          <w:vertAlign w:val="subscript"/>
        </w:rPr>
        <w:t>4</w:t>
      </w:r>
      <w:r w:rsidRPr="003A1A2D">
        <w:rPr>
          <w:color w:val="000000" w:themeColor="text1"/>
          <w:sz w:val="18"/>
          <w:szCs w:val="18"/>
        </w:rPr>
        <w:t xml:space="preserve">, Sigma-Aldrich), hydrochloric acid 37% (HCl, Fischer Scientific), anhydrous sodium hydroxide pellets (NaOH, Sigma-Aldrich), </w:t>
      </w:r>
      <w:proofErr w:type="spellStart"/>
      <w:r w:rsidRPr="003A1A2D">
        <w:rPr>
          <w:color w:val="000000" w:themeColor="text1"/>
          <w:sz w:val="18"/>
          <w:szCs w:val="18"/>
        </w:rPr>
        <w:t>CellTiter-Glo</w:t>
      </w:r>
      <w:proofErr w:type="spellEnd"/>
      <w:r w:rsidRPr="003A1A2D">
        <w:rPr>
          <w:color w:val="000000" w:themeColor="text1"/>
          <w:sz w:val="18"/>
          <w:szCs w:val="18"/>
        </w:rPr>
        <w:t>® substrate (</w:t>
      </w:r>
      <w:proofErr w:type="spellStart"/>
      <w:r w:rsidRPr="003A1A2D">
        <w:rPr>
          <w:color w:val="000000" w:themeColor="text1"/>
          <w:sz w:val="18"/>
          <w:szCs w:val="18"/>
        </w:rPr>
        <w:t>Promega</w:t>
      </w:r>
      <w:proofErr w:type="spellEnd"/>
      <w:r w:rsidRPr="003A1A2D">
        <w:rPr>
          <w:color w:val="000000" w:themeColor="text1"/>
          <w:sz w:val="18"/>
          <w:szCs w:val="18"/>
        </w:rPr>
        <w:t xml:space="preserve">), </w:t>
      </w:r>
      <w:proofErr w:type="spellStart"/>
      <w:r w:rsidRPr="003A1A2D">
        <w:rPr>
          <w:color w:val="000000" w:themeColor="text1"/>
          <w:sz w:val="18"/>
          <w:szCs w:val="18"/>
        </w:rPr>
        <w:t>CellTiter-Glo</w:t>
      </w:r>
      <w:proofErr w:type="spellEnd"/>
      <w:r w:rsidRPr="003A1A2D">
        <w:rPr>
          <w:color w:val="000000" w:themeColor="text1"/>
          <w:sz w:val="18"/>
          <w:szCs w:val="18"/>
        </w:rPr>
        <w:t>® buffer (</w:t>
      </w:r>
      <w:proofErr w:type="spellStart"/>
      <w:r w:rsidRPr="003A1A2D">
        <w:rPr>
          <w:color w:val="000000" w:themeColor="text1"/>
          <w:sz w:val="18"/>
          <w:szCs w:val="18"/>
        </w:rPr>
        <w:t>Promega</w:t>
      </w:r>
      <w:proofErr w:type="spellEnd"/>
      <w:r w:rsidRPr="003A1A2D">
        <w:rPr>
          <w:color w:val="000000" w:themeColor="text1"/>
          <w:sz w:val="18"/>
          <w:szCs w:val="18"/>
        </w:rPr>
        <w:t>), 3</w:t>
      </w:r>
      <w:r w:rsidRPr="003A1A2D">
        <w:rPr>
          <w:color w:val="000000" w:themeColor="text1"/>
          <w:sz w:val="18"/>
          <w:szCs w:val="18"/>
        </w:rPr>
        <w:noBreakHyphen/>
        <w:t>(4,5-dimethylthiazol-2-yl)-2,5-diphenyltetrazolium bromide (MTT, Sigma-Aldrich), dulbecco's modified eagle's medium (DMEM, Sigma-Aldrich), rotenone (Sigma-Aldrich), Hank’s balanced salt solution (HBSS, Sigma-Aldrich), MDCK-II cell lines (Sigma-Aldrich), N,N</w:t>
      </w:r>
      <w:r w:rsidRPr="003A1A2D">
        <w:rPr>
          <w:color w:val="000000" w:themeColor="text1"/>
          <w:sz w:val="18"/>
          <w:szCs w:val="18"/>
        </w:rPr>
        <w:noBreakHyphen/>
        <w:t xml:space="preserve">dimethylformamide (DMF, Sigma-Aldrich), sodium dodecyl </w:t>
      </w:r>
      <w:proofErr w:type="spellStart"/>
      <w:r w:rsidRPr="003A1A2D">
        <w:rPr>
          <w:color w:val="000000" w:themeColor="text1"/>
          <w:sz w:val="18"/>
          <w:szCs w:val="18"/>
        </w:rPr>
        <w:t>sulfate</w:t>
      </w:r>
      <w:proofErr w:type="spellEnd"/>
      <w:r w:rsidRPr="003A1A2D">
        <w:rPr>
          <w:color w:val="000000" w:themeColor="text1"/>
          <w:sz w:val="18"/>
          <w:szCs w:val="18"/>
        </w:rPr>
        <w:t xml:space="preserve"> (SDS, Sigma-Aldrich) were all used as received. The model drug used was lopinavir (LPV, WuXi PharmaTech). Type I distilled water obtained from a water purification system had a resistivity of &gt; 18 MΩ cm</w:t>
      </w:r>
      <w:r w:rsidRPr="003A1A2D">
        <w:rPr>
          <w:color w:val="000000" w:themeColor="text1"/>
          <w:sz w:val="18"/>
          <w:szCs w:val="18"/>
          <w:vertAlign w:val="superscript"/>
        </w:rPr>
        <w:t>-1</w:t>
      </w:r>
      <w:r w:rsidRPr="003A1A2D">
        <w:rPr>
          <w:color w:val="000000" w:themeColor="text1"/>
          <w:sz w:val="18"/>
          <w:szCs w:val="18"/>
        </w:rPr>
        <w:t xml:space="preserve"> (PURELAB option R, Veolia). </w:t>
      </w:r>
    </w:p>
    <w:p w:rsidR="00890764" w:rsidRPr="003A1A2D" w:rsidRDefault="00890764" w:rsidP="00890764">
      <w:pPr>
        <w:jc w:val="both"/>
        <w:outlineLvl w:val="0"/>
        <w:rPr>
          <w:b/>
          <w:color w:val="000000" w:themeColor="text1"/>
          <w:sz w:val="18"/>
          <w:szCs w:val="18"/>
        </w:rPr>
      </w:pPr>
      <w:r w:rsidRPr="003A1A2D">
        <w:rPr>
          <w:b/>
          <w:sz w:val="18"/>
          <w:szCs w:val="18"/>
        </w:rPr>
        <w:t xml:space="preserve">2.2 Synthesis </w:t>
      </w:r>
      <w:r w:rsidRPr="003A1A2D">
        <w:rPr>
          <w:b/>
          <w:color w:val="000000" w:themeColor="text1"/>
          <w:sz w:val="18"/>
          <w:szCs w:val="18"/>
        </w:rPr>
        <w:t>of PNIPAm microgels</w:t>
      </w:r>
    </w:p>
    <w:p w:rsidR="00890764" w:rsidRPr="003A1A2D" w:rsidRDefault="00890764" w:rsidP="00890764">
      <w:pPr>
        <w:jc w:val="both"/>
        <w:rPr>
          <w:color w:val="000000" w:themeColor="text1"/>
          <w:sz w:val="18"/>
          <w:szCs w:val="18"/>
        </w:rPr>
      </w:pPr>
      <w:r w:rsidRPr="003A1A2D">
        <w:rPr>
          <w:color w:val="000000" w:themeColor="text1"/>
          <w:sz w:val="18"/>
          <w:szCs w:val="18"/>
        </w:rPr>
        <w:t xml:space="preserve">The PNIPAm microgels were synthesised by precipitation polymerisation. A summary of the formulation </w:t>
      </w:r>
      <w:r w:rsidR="006F719C" w:rsidRPr="003A1A2D">
        <w:rPr>
          <w:color w:val="000000" w:themeColor="text1"/>
          <w:sz w:val="18"/>
          <w:szCs w:val="18"/>
        </w:rPr>
        <w:t xml:space="preserve">which was used </w:t>
      </w:r>
      <w:r w:rsidRPr="003A1A2D">
        <w:rPr>
          <w:color w:val="000000" w:themeColor="text1"/>
          <w:sz w:val="18"/>
          <w:szCs w:val="18"/>
        </w:rPr>
        <w:t>for each microgel</w:t>
      </w:r>
      <w:r w:rsidRPr="003A1A2D">
        <w:rPr>
          <w:color w:val="000000" w:themeColor="text1"/>
          <w:szCs w:val="18"/>
        </w:rPr>
        <w:t xml:space="preserve"> </w:t>
      </w:r>
      <w:r w:rsidRPr="003A1A2D">
        <w:rPr>
          <w:color w:val="000000" w:themeColor="text1"/>
          <w:sz w:val="18"/>
          <w:szCs w:val="18"/>
        </w:rPr>
        <w:t xml:space="preserve">species can be found in Table 1. In a typical synthesis, the NIPAm monomer, </w:t>
      </w:r>
      <w:r w:rsidRPr="003A1A2D">
        <w:rPr>
          <w:bCs/>
          <w:sz w:val="18"/>
          <w:szCs w:val="18"/>
        </w:rPr>
        <w:t>AlA comonomer and</w:t>
      </w:r>
      <w:r w:rsidRPr="003A1A2D">
        <w:rPr>
          <w:color w:val="000000" w:themeColor="text1"/>
          <w:sz w:val="18"/>
          <w:szCs w:val="18"/>
        </w:rPr>
        <w:t xml:space="preserve"> BIS crosslinker were dissolved in distilled water (130 mL for PNA-00 and 160 mL for PNA-25) in a 250 ml two-neck round bottom flask equipped with a reflux condenser. This was then sealed and nitrogen</w:t>
      </w:r>
      <w:r w:rsidRPr="003A1A2D">
        <w:rPr>
          <w:color w:val="000000" w:themeColor="text1"/>
          <w:sz w:val="18"/>
          <w:szCs w:val="18"/>
          <w:vertAlign w:val="subscript"/>
        </w:rPr>
        <w:t xml:space="preserve"> </w:t>
      </w:r>
      <w:r w:rsidRPr="003A1A2D">
        <w:rPr>
          <w:color w:val="000000" w:themeColor="text1"/>
          <w:sz w:val="18"/>
          <w:szCs w:val="18"/>
        </w:rPr>
        <w:t>was bubbled through the aqueous solution for 1 hour whilst stirring (400 rpm) to remove dissolved oxygen. The solution was then heated to 60 </w:t>
      </w:r>
      <w:r w:rsidRPr="003A1A2D">
        <w:rPr>
          <w:color w:val="000000" w:themeColor="text1"/>
          <w:sz w:val="18"/>
          <w:szCs w:val="18"/>
        </w:rPr>
        <w:sym w:font="Symbol" w:char="F0B0"/>
      </w:r>
      <w:r w:rsidRPr="003A1A2D">
        <w:rPr>
          <w:color w:val="000000" w:themeColor="text1"/>
          <w:sz w:val="18"/>
          <w:szCs w:val="18"/>
        </w:rPr>
        <w:t xml:space="preserve">C. Separately KPS initiator was dissolved in distilled water (3.75 mL for PNA-00 and </w:t>
      </w:r>
      <w:r w:rsidRPr="003A1A2D">
        <w:rPr>
          <w:color w:val="000000" w:themeColor="text1"/>
          <w:sz w:val="18"/>
          <w:szCs w:val="18"/>
        </w:rPr>
        <w:lastRenderedPageBreak/>
        <w:t>10.5 mL for PNA-25) and degassed with N</w:t>
      </w:r>
      <w:r w:rsidRPr="003A1A2D">
        <w:rPr>
          <w:color w:val="000000" w:themeColor="text1"/>
          <w:sz w:val="18"/>
          <w:szCs w:val="18"/>
          <w:vertAlign w:val="subscript"/>
        </w:rPr>
        <w:t>2</w:t>
      </w:r>
      <w:r w:rsidRPr="003A1A2D">
        <w:rPr>
          <w:color w:val="000000" w:themeColor="text1"/>
          <w:sz w:val="18"/>
          <w:szCs w:val="18"/>
        </w:rPr>
        <w:t xml:space="preserve"> for 1 hour before being transferred to the flask containing the monomers. The reaction was maintained under a N</w:t>
      </w:r>
      <w:r w:rsidRPr="003A1A2D">
        <w:rPr>
          <w:color w:val="000000" w:themeColor="text1"/>
          <w:sz w:val="18"/>
          <w:szCs w:val="18"/>
          <w:vertAlign w:val="subscript"/>
        </w:rPr>
        <w:t>2</w:t>
      </w:r>
      <w:r w:rsidRPr="003A1A2D">
        <w:rPr>
          <w:color w:val="000000" w:themeColor="text1"/>
          <w:sz w:val="18"/>
          <w:szCs w:val="18"/>
        </w:rPr>
        <w:t xml:space="preserve"> atmosphere for 4 hours at 60 </w:t>
      </w:r>
      <w:r w:rsidRPr="003A1A2D">
        <w:rPr>
          <w:color w:val="000000" w:themeColor="text1"/>
          <w:sz w:val="18"/>
          <w:szCs w:val="18"/>
        </w:rPr>
        <w:sym w:font="Symbol" w:char="F0B0"/>
      </w:r>
      <w:r w:rsidRPr="003A1A2D">
        <w:rPr>
          <w:color w:val="000000" w:themeColor="text1"/>
          <w:sz w:val="18"/>
          <w:szCs w:val="18"/>
        </w:rPr>
        <w:t xml:space="preserve">C before being cooled down to room temperature. To remove unreacted impurities, the microgel suspension was dialysed for 5 days using 12-14 kD MWCO dialysis tubing, replacing the distilled water every 12 hours. The purified suspension was then lyophilised (Virtis Benchtop K with ultra-low temperature condenser) and sealed for storage. </w:t>
      </w:r>
    </w:p>
    <w:p w:rsidR="00890764" w:rsidRPr="003A1A2D" w:rsidRDefault="00890764" w:rsidP="00890764">
      <w:pPr>
        <w:jc w:val="both"/>
        <w:rPr>
          <w:color w:val="000000" w:themeColor="text1"/>
          <w:sz w:val="18"/>
          <w:szCs w:val="18"/>
        </w:rPr>
      </w:pPr>
      <w:r w:rsidRPr="003A1A2D">
        <w:rPr>
          <w:b/>
          <w:color w:val="000000" w:themeColor="text1"/>
          <w:sz w:val="18"/>
          <w:szCs w:val="18"/>
        </w:rPr>
        <w:t xml:space="preserve">2.3 Characterisation of </w:t>
      </w:r>
      <w:r w:rsidR="00EF483D" w:rsidRPr="003A1A2D">
        <w:rPr>
          <w:b/>
          <w:color w:val="000000" w:themeColor="text1"/>
          <w:sz w:val="18"/>
          <w:szCs w:val="18"/>
        </w:rPr>
        <w:t>PNIPAm microgels and aggregate material</w:t>
      </w:r>
    </w:p>
    <w:p w:rsidR="00890764" w:rsidRPr="003A1A2D" w:rsidRDefault="00890764" w:rsidP="00EA0C5E">
      <w:pPr>
        <w:jc w:val="both"/>
        <w:rPr>
          <w:color w:val="000000" w:themeColor="text1"/>
          <w:sz w:val="18"/>
          <w:szCs w:val="18"/>
        </w:rPr>
      </w:pPr>
      <w:r w:rsidRPr="003A1A2D">
        <w:rPr>
          <w:color w:val="000000" w:themeColor="text1"/>
          <w:sz w:val="18"/>
          <w:szCs w:val="18"/>
        </w:rPr>
        <w:t>C</w:t>
      </w:r>
      <w:r w:rsidR="00EF483D" w:rsidRPr="003A1A2D">
        <w:rPr>
          <w:color w:val="000000" w:themeColor="text1"/>
          <w:sz w:val="18"/>
          <w:szCs w:val="18"/>
        </w:rPr>
        <w:t>haracterisation of the microgel dispersions and aggregates</w:t>
      </w:r>
      <w:r w:rsidRPr="003A1A2D">
        <w:rPr>
          <w:color w:val="000000" w:themeColor="text1"/>
          <w:sz w:val="18"/>
          <w:szCs w:val="18"/>
        </w:rPr>
        <w:t xml:space="preserve"> was carried out using dynamic light scattering (DLS), laser Doppler electrophoresis</w:t>
      </w:r>
      <w:r w:rsidRPr="003A1A2D">
        <w:rPr>
          <w:b/>
          <w:color w:val="000000" w:themeColor="text1"/>
          <w:sz w:val="18"/>
          <w:szCs w:val="18"/>
        </w:rPr>
        <w:t xml:space="preserve"> </w:t>
      </w:r>
      <w:r w:rsidRPr="003A1A2D">
        <w:rPr>
          <w:color w:val="000000" w:themeColor="text1"/>
          <w:sz w:val="18"/>
          <w:szCs w:val="18"/>
        </w:rPr>
        <w:t>(LDE)</w:t>
      </w:r>
      <w:r w:rsidRPr="003A1A2D">
        <w:rPr>
          <w:b/>
          <w:color w:val="000000" w:themeColor="text1"/>
          <w:sz w:val="18"/>
          <w:szCs w:val="18"/>
        </w:rPr>
        <w:t>,</w:t>
      </w:r>
      <w:r w:rsidRPr="003A1A2D">
        <w:rPr>
          <w:color w:val="000000" w:themeColor="text1"/>
          <w:sz w:val="18"/>
          <w:szCs w:val="18"/>
        </w:rPr>
        <w:t xml:space="preserve"> scanning electron microscopy (SEM), </w:t>
      </w:r>
      <w:r w:rsidRPr="003A1A2D">
        <w:rPr>
          <w:sz w:val="18"/>
          <w:szCs w:val="18"/>
          <w:vertAlign w:val="superscript"/>
        </w:rPr>
        <w:t>1</w:t>
      </w:r>
      <w:r w:rsidRPr="003A1A2D">
        <w:rPr>
          <w:sz w:val="18"/>
          <w:szCs w:val="18"/>
        </w:rPr>
        <w:t>H nuclear magnetic resonance (NMR)</w:t>
      </w:r>
      <w:r w:rsidR="006F719C" w:rsidRPr="003A1A2D">
        <w:rPr>
          <w:sz w:val="18"/>
          <w:szCs w:val="18"/>
        </w:rPr>
        <w:t>,</w:t>
      </w:r>
      <w:r w:rsidRPr="003A1A2D">
        <w:rPr>
          <w:sz w:val="18"/>
          <w:szCs w:val="18"/>
        </w:rPr>
        <w:t xml:space="preserve"> </w:t>
      </w:r>
      <w:r w:rsidR="00EF483D" w:rsidRPr="003A1A2D">
        <w:rPr>
          <w:sz w:val="18"/>
          <w:szCs w:val="18"/>
        </w:rPr>
        <w:t xml:space="preserve">potentiometric titration, </w:t>
      </w:r>
      <w:r w:rsidR="00EF483D" w:rsidRPr="003A1A2D">
        <w:rPr>
          <w:color w:val="000000" w:themeColor="text1"/>
          <w:sz w:val="18"/>
          <w:szCs w:val="18"/>
        </w:rPr>
        <w:t>Atomic force microscopy (AFM)</w:t>
      </w:r>
      <w:r w:rsidR="00EF483D" w:rsidRPr="003A1A2D">
        <w:rPr>
          <w:sz w:val="18"/>
          <w:szCs w:val="18"/>
        </w:rPr>
        <w:t xml:space="preserve"> </w:t>
      </w:r>
      <w:r w:rsidRPr="003A1A2D">
        <w:rPr>
          <w:sz w:val="18"/>
          <w:szCs w:val="18"/>
        </w:rPr>
        <w:t xml:space="preserve">and Fourier transform infrared spectroscopy (FTIR). </w:t>
      </w:r>
      <w:r w:rsidRPr="003A1A2D">
        <w:rPr>
          <w:color w:val="000000" w:themeColor="text1"/>
          <w:sz w:val="18"/>
          <w:szCs w:val="18"/>
        </w:rPr>
        <w:t xml:space="preserve">DLS and LDE was performed using a Malvern Zetasizer Nano ZS (running Malvern Zetasizer software V7.11) </w:t>
      </w:r>
      <w:r w:rsidR="006F719C" w:rsidRPr="003A1A2D">
        <w:rPr>
          <w:color w:val="000000" w:themeColor="text1"/>
          <w:sz w:val="18"/>
          <w:szCs w:val="18"/>
        </w:rPr>
        <w:t xml:space="preserve">(Malvern Instruments, Malvern, UK) </w:t>
      </w:r>
      <w:r w:rsidRPr="003A1A2D">
        <w:rPr>
          <w:color w:val="000000" w:themeColor="text1"/>
          <w:sz w:val="18"/>
          <w:szCs w:val="18"/>
        </w:rPr>
        <w:t xml:space="preserve">with 633 nm He-Ne laser and the detector positioned at 173°. </w:t>
      </w:r>
      <w:r w:rsidRPr="003A1A2D">
        <w:rPr>
          <w:sz w:val="18"/>
          <w:szCs w:val="18"/>
        </w:rPr>
        <w:t>Dialysed samples were diluted to 1 mg mL</w:t>
      </w:r>
      <w:r w:rsidRPr="003A1A2D">
        <w:rPr>
          <w:sz w:val="18"/>
          <w:szCs w:val="18"/>
          <w:vertAlign w:val="superscript"/>
        </w:rPr>
        <w:t>-1</w:t>
      </w:r>
      <w:r w:rsidRPr="003A1A2D">
        <w:rPr>
          <w:color w:val="000000" w:themeColor="text1"/>
          <w:sz w:val="18"/>
          <w:szCs w:val="18"/>
        </w:rPr>
        <w:t xml:space="preserve">. The Z-average diameter was recorded in the range (20-50 </w:t>
      </w:r>
      <w:r w:rsidRPr="003A1A2D">
        <w:rPr>
          <w:color w:val="000000" w:themeColor="text1"/>
          <w:sz w:val="18"/>
          <w:szCs w:val="18"/>
        </w:rPr>
        <w:sym w:font="Symbol" w:char="F0B0"/>
      </w:r>
      <w:r w:rsidRPr="003A1A2D">
        <w:rPr>
          <w:color w:val="000000" w:themeColor="text1"/>
          <w:sz w:val="18"/>
          <w:szCs w:val="18"/>
        </w:rPr>
        <w:t xml:space="preserve">C) using a thermal equilibration time of 600 seconds in 1 cm path length disposable cuvettes. Measurements were repeated in triplicate to give a mean Z-average diameter and polydispersity index (PdI). </w:t>
      </w:r>
      <w:r w:rsidRPr="003A1A2D">
        <w:rPr>
          <w:sz w:val="18"/>
          <w:szCs w:val="18"/>
        </w:rPr>
        <w:t xml:space="preserve">Zeta Potential measurements were performed using DTS1070 folded capillary cells (Malvern, UK). </w:t>
      </w:r>
      <w:r w:rsidRPr="003A1A2D">
        <w:rPr>
          <w:color w:val="000000" w:themeColor="text1"/>
          <w:sz w:val="18"/>
          <w:szCs w:val="18"/>
        </w:rPr>
        <w:t xml:space="preserve">The pH of the sample was measured before performing zeta potential measurements, and for both samples fell in the range pH 7 +/- 0.5. </w:t>
      </w:r>
      <w:r w:rsidRPr="003A1A2D">
        <w:rPr>
          <w:sz w:val="18"/>
          <w:szCs w:val="18"/>
        </w:rPr>
        <w:t xml:space="preserve">Capillary cells were flushed with ethanol and water prior to usage. </w:t>
      </w:r>
      <w:r w:rsidRPr="003A1A2D">
        <w:rPr>
          <w:color w:val="000000" w:themeColor="text1"/>
          <w:sz w:val="18"/>
          <w:szCs w:val="18"/>
        </w:rPr>
        <w:t>The zeta potential measurement was made with a minimum of 10 and maximum of 40 runs, and the voltage applied was automatically selected by the software.</w:t>
      </w:r>
      <w:r w:rsidRPr="003A1A2D">
        <w:rPr>
          <w:color w:val="FF0000"/>
          <w:sz w:val="18"/>
          <w:szCs w:val="18"/>
        </w:rPr>
        <w:t xml:space="preserve"> </w:t>
      </w:r>
      <w:r w:rsidRPr="003A1A2D">
        <w:rPr>
          <w:color w:val="000000" w:themeColor="text1"/>
          <w:sz w:val="18"/>
          <w:szCs w:val="18"/>
        </w:rPr>
        <w:t>To prepare</w:t>
      </w:r>
      <w:r w:rsidR="00D8079B" w:rsidRPr="003A1A2D">
        <w:rPr>
          <w:color w:val="000000" w:themeColor="text1"/>
          <w:sz w:val="18"/>
          <w:szCs w:val="18"/>
        </w:rPr>
        <w:t xml:space="preserve"> the microgel dispersions </w:t>
      </w:r>
      <w:r w:rsidRPr="003A1A2D">
        <w:rPr>
          <w:color w:val="000000" w:themeColor="text1"/>
          <w:sz w:val="18"/>
          <w:szCs w:val="18"/>
        </w:rPr>
        <w:t xml:space="preserve">for SEM imaging, the samples </w:t>
      </w:r>
      <w:r w:rsidRPr="003A1A2D">
        <w:rPr>
          <w:sz w:val="18"/>
          <w:szCs w:val="18"/>
        </w:rPr>
        <w:t xml:space="preserve">were diluted </w:t>
      </w:r>
      <w:r w:rsidRPr="003A1A2D">
        <w:rPr>
          <w:color w:val="000000" w:themeColor="text1"/>
          <w:sz w:val="18"/>
          <w:szCs w:val="18"/>
        </w:rPr>
        <w:t>to 0.01 mg mL</w:t>
      </w:r>
      <w:r w:rsidRPr="003A1A2D">
        <w:rPr>
          <w:color w:val="000000" w:themeColor="text1"/>
          <w:sz w:val="18"/>
          <w:szCs w:val="18"/>
          <w:vertAlign w:val="superscript"/>
        </w:rPr>
        <w:t>-1</w:t>
      </w:r>
      <w:r w:rsidRPr="003A1A2D">
        <w:rPr>
          <w:color w:val="000000" w:themeColor="text1"/>
          <w:sz w:val="18"/>
          <w:szCs w:val="18"/>
        </w:rPr>
        <w:t xml:space="preserve"> in distilled water. 50 </w:t>
      </w:r>
      <w:r w:rsidRPr="003A1A2D">
        <w:rPr>
          <w:sz w:val="18"/>
          <w:szCs w:val="18"/>
        </w:rPr>
        <w:t xml:space="preserve">μL of solution was pipetted onto a circular cover glass (10 mm diameter) attached to a carbon adhesive disc on an aluminium SEM specimen stub (12.5 mm diameter). </w:t>
      </w:r>
      <w:r w:rsidR="00064EF6" w:rsidRPr="003A1A2D">
        <w:rPr>
          <w:sz w:val="18"/>
          <w:szCs w:val="18"/>
        </w:rPr>
        <w:t xml:space="preserve">For SEM images of the aggregated material, swollen gel was formed in PBS and then adhered to a coverslip on an SEM stub. This was heated to 37 </w:t>
      </w:r>
      <w:r w:rsidR="00064EF6" w:rsidRPr="003A1A2D">
        <w:rPr>
          <w:color w:val="000000" w:themeColor="text1"/>
          <w:sz w:val="18"/>
          <w:szCs w:val="18"/>
        </w:rPr>
        <w:sym w:font="Symbol" w:char="F0B0"/>
      </w:r>
      <w:r w:rsidR="00064EF6" w:rsidRPr="003A1A2D">
        <w:rPr>
          <w:color w:val="000000" w:themeColor="text1"/>
          <w:sz w:val="18"/>
          <w:szCs w:val="18"/>
        </w:rPr>
        <w:t xml:space="preserve">C to induce aggregation. </w:t>
      </w:r>
      <w:r w:rsidRPr="003A1A2D">
        <w:rPr>
          <w:sz w:val="18"/>
          <w:szCs w:val="18"/>
        </w:rPr>
        <w:t xml:space="preserve">The samples were left to air-dry for 24 hours, followed by sputter coating with gold (EMITECH K550X) with a </w:t>
      </w:r>
      <w:r w:rsidRPr="003A1A2D">
        <w:rPr>
          <w:color w:val="000000" w:themeColor="text1"/>
          <w:sz w:val="18"/>
          <w:szCs w:val="18"/>
        </w:rPr>
        <w:t>deposition</w:t>
      </w:r>
      <w:r w:rsidRPr="003A1A2D">
        <w:rPr>
          <w:sz w:val="18"/>
          <w:szCs w:val="18"/>
        </w:rPr>
        <w:t xml:space="preserve"> current of 25 mA for 100 seconds before imaging. </w:t>
      </w:r>
      <w:r w:rsidRPr="003A1A2D">
        <w:rPr>
          <w:color w:val="000000" w:themeColor="text1"/>
          <w:sz w:val="18"/>
          <w:szCs w:val="18"/>
        </w:rPr>
        <w:t>SEM images of the microgel morphology were then obtained using a Hitachi S-4800 FE-SEM at 3 kV</w:t>
      </w:r>
      <w:r w:rsidR="00064EF6" w:rsidRPr="003A1A2D">
        <w:rPr>
          <w:sz w:val="18"/>
          <w:szCs w:val="18"/>
        </w:rPr>
        <w:t>.</w:t>
      </w:r>
      <w:r w:rsidR="00064EF6" w:rsidRPr="003A1A2D">
        <w:rPr>
          <w:color w:val="000000" w:themeColor="text1"/>
          <w:sz w:val="18"/>
          <w:szCs w:val="18"/>
        </w:rPr>
        <w:t xml:space="preserve"> </w:t>
      </w:r>
      <w:r w:rsidRPr="003A1A2D">
        <w:rPr>
          <w:sz w:val="18"/>
          <w:szCs w:val="18"/>
        </w:rPr>
        <w:t>To record</w:t>
      </w:r>
      <w:r w:rsidRPr="003A1A2D">
        <w:rPr>
          <w:sz w:val="18"/>
          <w:szCs w:val="18"/>
          <w:vertAlign w:val="superscript"/>
        </w:rPr>
        <w:t xml:space="preserve"> 1</w:t>
      </w:r>
      <w:r w:rsidRPr="003A1A2D">
        <w:rPr>
          <w:sz w:val="18"/>
          <w:szCs w:val="18"/>
        </w:rPr>
        <w:t xml:space="preserve">H NMR spectra lyophilised </w:t>
      </w:r>
      <w:r w:rsidRPr="003A1A2D">
        <w:rPr>
          <w:color w:val="000000" w:themeColor="text1"/>
          <w:sz w:val="18"/>
          <w:szCs w:val="18"/>
        </w:rPr>
        <w:t>microgel sample was dissolved in D</w:t>
      </w:r>
      <w:r w:rsidRPr="003A1A2D">
        <w:rPr>
          <w:color w:val="000000" w:themeColor="text1"/>
          <w:sz w:val="18"/>
          <w:szCs w:val="18"/>
          <w:vertAlign w:val="subscript"/>
        </w:rPr>
        <w:t>2</w:t>
      </w:r>
      <w:r w:rsidRPr="003A1A2D">
        <w:rPr>
          <w:color w:val="000000" w:themeColor="text1"/>
          <w:sz w:val="18"/>
          <w:szCs w:val="18"/>
        </w:rPr>
        <w:t>0 at 20 mg mL</w:t>
      </w:r>
      <w:r w:rsidRPr="003A1A2D">
        <w:rPr>
          <w:color w:val="000000" w:themeColor="text1"/>
          <w:sz w:val="18"/>
          <w:szCs w:val="18"/>
          <w:vertAlign w:val="superscript"/>
        </w:rPr>
        <w:t>-1</w:t>
      </w:r>
      <w:r w:rsidRPr="003A1A2D">
        <w:rPr>
          <w:color w:val="000000" w:themeColor="text1"/>
          <w:sz w:val="18"/>
          <w:szCs w:val="18"/>
        </w:rPr>
        <w:t xml:space="preserve"> and analysed on a Bruker 400 MHz spectrometer (Bruker, MA, USA).</w:t>
      </w:r>
      <w:r w:rsidRPr="003A1A2D">
        <w:rPr>
          <w:color w:val="FF0000"/>
          <w:sz w:val="18"/>
          <w:szCs w:val="18"/>
        </w:rPr>
        <w:t xml:space="preserve"> </w:t>
      </w:r>
      <w:r w:rsidR="00EF483D" w:rsidRPr="003A1A2D">
        <w:rPr>
          <w:sz w:val="18"/>
          <w:szCs w:val="18"/>
        </w:rPr>
        <w:t>The potentiometric titration of P</w:t>
      </w:r>
      <w:r w:rsidR="003A0749" w:rsidRPr="003A1A2D">
        <w:rPr>
          <w:sz w:val="18"/>
          <w:szCs w:val="18"/>
        </w:rPr>
        <w:t xml:space="preserve">NA-25 was conducted with a </w:t>
      </w:r>
      <w:r w:rsidR="00A03A29" w:rsidRPr="003A1A2D">
        <w:rPr>
          <w:sz w:val="18"/>
          <w:szCs w:val="18"/>
        </w:rPr>
        <w:t>50 mL</w:t>
      </w:r>
      <w:r w:rsidR="00EF483D" w:rsidRPr="003A1A2D">
        <w:rPr>
          <w:sz w:val="18"/>
          <w:szCs w:val="18"/>
        </w:rPr>
        <w:t xml:space="preserve"> aqueous dispersion of PNA-25</w:t>
      </w:r>
      <w:r w:rsidR="00A03A29" w:rsidRPr="003A1A2D">
        <w:rPr>
          <w:sz w:val="18"/>
          <w:szCs w:val="18"/>
        </w:rPr>
        <w:t xml:space="preserve"> at 1</w:t>
      </w:r>
      <w:r w:rsidR="003A0749" w:rsidRPr="003A1A2D">
        <w:rPr>
          <w:sz w:val="18"/>
          <w:szCs w:val="18"/>
        </w:rPr>
        <w:t xml:space="preserve"> </w:t>
      </w:r>
      <w:r w:rsidR="00A03A29" w:rsidRPr="003A1A2D">
        <w:rPr>
          <w:sz w:val="18"/>
          <w:szCs w:val="18"/>
        </w:rPr>
        <w:t>mg mL</w:t>
      </w:r>
      <w:r w:rsidR="00A03A29" w:rsidRPr="003A1A2D">
        <w:rPr>
          <w:sz w:val="18"/>
          <w:szCs w:val="18"/>
          <w:vertAlign w:val="superscript"/>
        </w:rPr>
        <w:t>-1</w:t>
      </w:r>
      <w:r w:rsidR="00A03A29" w:rsidRPr="003A1A2D">
        <w:rPr>
          <w:sz w:val="18"/>
          <w:szCs w:val="18"/>
        </w:rPr>
        <w:t xml:space="preserve">. The sample pH was then lowered below pH4 using 0.1M HCl. The sample was then titrated with 0.1M NaOH at 25 °C +/- 0.5 °C under a nitrogen atmosphere. </w:t>
      </w:r>
      <w:r w:rsidR="002E43C6" w:rsidRPr="003A1A2D">
        <w:rPr>
          <w:sz w:val="18"/>
          <w:szCs w:val="18"/>
        </w:rPr>
        <w:t xml:space="preserve">A Hanna Instruments HI-11310 pH electrode (Hanna Instruments, Bedfordshire, UK) was used to record the change in </w:t>
      </w:r>
      <w:proofErr w:type="spellStart"/>
      <w:r w:rsidR="002E43C6" w:rsidRPr="003A1A2D">
        <w:rPr>
          <w:sz w:val="18"/>
          <w:szCs w:val="18"/>
        </w:rPr>
        <w:t>pH.</w:t>
      </w:r>
      <w:proofErr w:type="spellEnd"/>
      <w:r w:rsidR="002E43C6" w:rsidRPr="003A1A2D">
        <w:rPr>
          <w:sz w:val="18"/>
          <w:szCs w:val="18"/>
        </w:rPr>
        <w:t xml:space="preserve"> </w:t>
      </w:r>
      <w:r w:rsidRPr="003A1A2D">
        <w:rPr>
          <w:color w:val="000000" w:themeColor="text1"/>
          <w:sz w:val="18"/>
          <w:szCs w:val="18"/>
        </w:rPr>
        <w:t>To record FTIR spectra a blank background scan was performed, followed by a recording of the spectra of lyophilised microgel ca. 5 mg, which was clamped onto the ATR crystal of a Bruker alpha platinum ATR</w:t>
      </w:r>
      <w:r w:rsidR="006F719C" w:rsidRPr="003A1A2D">
        <w:rPr>
          <w:color w:val="000000" w:themeColor="text1"/>
          <w:sz w:val="18"/>
          <w:szCs w:val="18"/>
        </w:rPr>
        <w:t xml:space="preserve"> (Bruker, Santa Barbara, CA, USA)</w:t>
      </w:r>
      <w:r w:rsidRPr="003A1A2D">
        <w:rPr>
          <w:color w:val="000000" w:themeColor="text1"/>
          <w:sz w:val="18"/>
          <w:szCs w:val="18"/>
        </w:rPr>
        <w:t>.</w:t>
      </w:r>
      <w:r w:rsidR="00EA0C5E" w:rsidRPr="003A1A2D">
        <w:rPr>
          <w:color w:val="000000" w:themeColor="text1"/>
          <w:sz w:val="18"/>
          <w:szCs w:val="18"/>
        </w:rPr>
        <w:t xml:space="preserve"> </w:t>
      </w:r>
      <w:r w:rsidR="00D8079B" w:rsidRPr="003A1A2D">
        <w:rPr>
          <w:color w:val="000000" w:themeColor="text1"/>
          <w:sz w:val="18"/>
          <w:szCs w:val="18"/>
        </w:rPr>
        <w:t>Atomic force microscopy (</w:t>
      </w:r>
      <w:r w:rsidR="00EA0C5E" w:rsidRPr="003A1A2D">
        <w:rPr>
          <w:color w:val="000000" w:themeColor="text1"/>
          <w:sz w:val="18"/>
          <w:szCs w:val="18"/>
        </w:rPr>
        <w:t>AFM</w:t>
      </w:r>
      <w:r w:rsidR="00D8079B" w:rsidRPr="003A1A2D">
        <w:rPr>
          <w:color w:val="000000" w:themeColor="text1"/>
          <w:sz w:val="18"/>
          <w:szCs w:val="18"/>
        </w:rPr>
        <w:t>)</w:t>
      </w:r>
      <w:r w:rsidR="00EA0C5E" w:rsidRPr="003A1A2D">
        <w:rPr>
          <w:color w:val="000000" w:themeColor="text1"/>
          <w:sz w:val="18"/>
          <w:szCs w:val="18"/>
        </w:rPr>
        <w:t xml:space="preserve"> was carried </w:t>
      </w:r>
      <w:r w:rsidR="00EA0C5E" w:rsidRPr="003A1A2D">
        <w:rPr>
          <w:color w:val="000000" w:themeColor="text1"/>
          <w:sz w:val="18"/>
          <w:szCs w:val="18"/>
        </w:rPr>
        <w:t xml:space="preserve">out using a Bruker Multimode 8 system (Bruker, Santa Barbara, CA, USA) operated with </w:t>
      </w:r>
      <w:proofErr w:type="spellStart"/>
      <w:r w:rsidR="00EA0C5E" w:rsidRPr="003A1A2D">
        <w:rPr>
          <w:color w:val="000000" w:themeColor="text1"/>
          <w:sz w:val="18"/>
          <w:szCs w:val="18"/>
        </w:rPr>
        <w:t>ScanAsyst</w:t>
      </w:r>
      <w:proofErr w:type="spellEnd"/>
      <w:r w:rsidR="00EA0C5E" w:rsidRPr="003A1A2D">
        <w:rPr>
          <w:color w:val="000000" w:themeColor="text1"/>
          <w:sz w:val="18"/>
          <w:szCs w:val="18"/>
        </w:rPr>
        <w:t xml:space="preserve"> Mode in ambient conditions. All testing was conducted using a Bruker RTESPA-150 probe with a nominal radius of 8 nm and a spring constant of 5 N/m. Each scan was conducted with a resolution of 256 pixels/line and with a scan rate </w:t>
      </w:r>
      <w:r w:rsidR="00CF2AC5" w:rsidRPr="003A1A2D">
        <w:rPr>
          <w:color w:val="000000" w:themeColor="text1"/>
          <w:sz w:val="18"/>
          <w:szCs w:val="18"/>
        </w:rPr>
        <w:t>of</w:t>
      </w:r>
      <w:r w:rsidR="00EA0C5E" w:rsidRPr="003A1A2D">
        <w:rPr>
          <w:color w:val="000000" w:themeColor="text1"/>
          <w:sz w:val="18"/>
          <w:szCs w:val="18"/>
        </w:rPr>
        <w:t xml:space="preserve"> 0.799 Hz.</w:t>
      </w:r>
      <w:r w:rsidR="00CF2AC5" w:rsidRPr="003A1A2D">
        <w:rPr>
          <w:color w:val="000000" w:themeColor="text1"/>
          <w:sz w:val="18"/>
          <w:szCs w:val="18"/>
        </w:rPr>
        <w:t xml:space="preserve"> </w:t>
      </w:r>
      <w:r w:rsidR="00EA0C5E" w:rsidRPr="003A1A2D">
        <w:rPr>
          <w:color w:val="000000" w:themeColor="text1"/>
          <w:sz w:val="18"/>
          <w:szCs w:val="18"/>
        </w:rPr>
        <w:t xml:space="preserve">The samples were prepared by </w:t>
      </w:r>
      <w:r w:rsidR="00CF2AC5" w:rsidRPr="003A1A2D">
        <w:rPr>
          <w:color w:val="000000" w:themeColor="text1"/>
          <w:sz w:val="18"/>
          <w:szCs w:val="18"/>
        </w:rPr>
        <w:t>placing a thin layer of swollen gel</w:t>
      </w:r>
      <w:r w:rsidR="00EA0C5E" w:rsidRPr="003A1A2D">
        <w:rPr>
          <w:color w:val="000000" w:themeColor="text1"/>
          <w:sz w:val="18"/>
          <w:szCs w:val="18"/>
        </w:rPr>
        <w:t xml:space="preserve"> </w:t>
      </w:r>
      <w:r w:rsidR="00CF2AC5" w:rsidRPr="003A1A2D">
        <w:rPr>
          <w:color w:val="000000" w:themeColor="text1"/>
          <w:sz w:val="18"/>
          <w:szCs w:val="18"/>
        </w:rPr>
        <w:t xml:space="preserve">formed in PBS </w:t>
      </w:r>
      <w:r w:rsidR="00EA0C5E" w:rsidRPr="003A1A2D">
        <w:rPr>
          <w:color w:val="000000" w:themeColor="text1"/>
          <w:sz w:val="18"/>
          <w:szCs w:val="18"/>
        </w:rPr>
        <w:t>on</w:t>
      </w:r>
      <w:r w:rsidR="00CF2AC5" w:rsidRPr="003A1A2D">
        <w:rPr>
          <w:color w:val="000000" w:themeColor="text1"/>
          <w:sz w:val="18"/>
          <w:szCs w:val="18"/>
        </w:rPr>
        <w:t>to</w:t>
      </w:r>
      <w:r w:rsidR="00EA0C5E" w:rsidRPr="003A1A2D">
        <w:rPr>
          <w:color w:val="000000" w:themeColor="text1"/>
          <w:sz w:val="18"/>
          <w:szCs w:val="18"/>
        </w:rPr>
        <w:t xml:space="preserve"> glass coverslips</w:t>
      </w:r>
      <w:r w:rsidR="00CF2AC5" w:rsidRPr="003A1A2D">
        <w:rPr>
          <w:color w:val="000000" w:themeColor="text1"/>
          <w:sz w:val="18"/>
          <w:szCs w:val="18"/>
        </w:rPr>
        <w:t xml:space="preserve">, which were then incubated at 37 </w:t>
      </w:r>
      <w:r w:rsidR="00CF2AC5" w:rsidRPr="003A1A2D">
        <w:rPr>
          <w:color w:val="000000" w:themeColor="text1"/>
          <w:sz w:val="18"/>
          <w:szCs w:val="18"/>
        </w:rPr>
        <w:sym w:font="Symbol" w:char="F0B0"/>
      </w:r>
      <w:r w:rsidR="00CF2AC5" w:rsidRPr="003A1A2D">
        <w:rPr>
          <w:color w:val="000000" w:themeColor="text1"/>
          <w:sz w:val="18"/>
          <w:szCs w:val="18"/>
        </w:rPr>
        <w:t xml:space="preserve">C in a water saturated atmosphere for 72 hours. The coverslips </w:t>
      </w:r>
      <w:r w:rsidR="00EA0C5E" w:rsidRPr="003A1A2D">
        <w:rPr>
          <w:color w:val="000000" w:themeColor="text1"/>
          <w:sz w:val="18"/>
          <w:szCs w:val="18"/>
        </w:rPr>
        <w:t>were</w:t>
      </w:r>
      <w:r w:rsidR="00CF2AC5" w:rsidRPr="003A1A2D">
        <w:rPr>
          <w:color w:val="000000" w:themeColor="text1"/>
          <w:sz w:val="18"/>
          <w:szCs w:val="18"/>
        </w:rPr>
        <w:t xml:space="preserve"> then</w:t>
      </w:r>
      <w:r w:rsidR="00EA0C5E" w:rsidRPr="003A1A2D">
        <w:rPr>
          <w:color w:val="000000" w:themeColor="text1"/>
          <w:sz w:val="18"/>
          <w:szCs w:val="18"/>
        </w:rPr>
        <w:t xml:space="preserve"> adhered to 15 mm diameter metal stubs for mounting in the AFM</w:t>
      </w:r>
      <w:r w:rsidR="00CF2AC5" w:rsidRPr="003A1A2D">
        <w:rPr>
          <w:color w:val="000000" w:themeColor="text1"/>
          <w:sz w:val="18"/>
          <w:szCs w:val="18"/>
        </w:rPr>
        <w:t xml:space="preserve">. </w:t>
      </w:r>
      <w:r w:rsidR="00EA0C5E" w:rsidRPr="003A1A2D">
        <w:rPr>
          <w:color w:val="000000" w:themeColor="text1"/>
          <w:sz w:val="18"/>
          <w:szCs w:val="18"/>
        </w:rPr>
        <w:t xml:space="preserve">The AFM images were analysed off-line using Bruker </w:t>
      </w:r>
      <w:proofErr w:type="spellStart"/>
      <w:r w:rsidR="00EA0C5E" w:rsidRPr="003A1A2D">
        <w:rPr>
          <w:color w:val="000000" w:themeColor="text1"/>
          <w:sz w:val="18"/>
          <w:szCs w:val="18"/>
        </w:rPr>
        <w:t>Nanoscope</w:t>
      </w:r>
      <w:proofErr w:type="spellEnd"/>
      <w:r w:rsidR="00EA0C5E" w:rsidRPr="003A1A2D">
        <w:rPr>
          <w:color w:val="000000" w:themeColor="text1"/>
          <w:sz w:val="18"/>
          <w:szCs w:val="18"/>
        </w:rPr>
        <w:t xml:space="preserve"> Analysis 1.7 software.</w:t>
      </w:r>
    </w:p>
    <w:tbl>
      <w:tblPr>
        <w:tblStyle w:val="TableGrid"/>
        <w:tblpPr w:leftFromText="181" w:rightFromText="181" w:vertAnchor="page" w:tblpXSpec="center" w:tblpY="12821"/>
        <w:tblOverlap w:val="never"/>
        <w:tblW w:w="4786" w:type="dxa"/>
        <w:tblLook w:val="04A0" w:firstRow="1" w:lastRow="0" w:firstColumn="1" w:lastColumn="0" w:noHBand="0" w:noVBand="1"/>
      </w:tblPr>
      <w:tblGrid>
        <w:gridCol w:w="817"/>
        <w:gridCol w:w="799"/>
        <w:gridCol w:w="699"/>
        <w:gridCol w:w="696"/>
        <w:gridCol w:w="832"/>
        <w:gridCol w:w="943"/>
      </w:tblGrid>
      <w:tr w:rsidR="00890764" w:rsidRPr="003A1A2D" w:rsidTr="00306808">
        <w:trPr>
          <w:trHeight w:val="444"/>
        </w:trPr>
        <w:tc>
          <w:tcPr>
            <w:tcW w:w="4786" w:type="dxa"/>
            <w:gridSpan w:val="6"/>
            <w:tcBorders>
              <w:top w:val="single" w:sz="4" w:space="0" w:color="FFFFFF" w:themeColor="background1"/>
              <w:left w:val="single" w:sz="4" w:space="0" w:color="FFFFFF"/>
              <w:right w:val="single" w:sz="4" w:space="0" w:color="FFFFFF"/>
            </w:tcBorders>
          </w:tcPr>
          <w:p w:rsidR="00890764" w:rsidRPr="003A1A2D" w:rsidRDefault="00890764" w:rsidP="006F719C">
            <w:pPr>
              <w:jc w:val="both"/>
              <w:rPr>
                <w:color w:val="000000" w:themeColor="text1"/>
                <w:sz w:val="18"/>
                <w:szCs w:val="18"/>
              </w:rPr>
            </w:pPr>
            <w:r w:rsidRPr="003A1A2D">
              <w:rPr>
                <w:b/>
                <w:color w:val="000000" w:themeColor="text1"/>
                <w:sz w:val="18"/>
                <w:szCs w:val="18"/>
              </w:rPr>
              <w:t>Table 1</w:t>
            </w:r>
            <w:r w:rsidRPr="003A1A2D">
              <w:rPr>
                <w:color w:val="000000" w:themeColor="text1"/>
                <w:sz w:val="18"/>
                <w:szCs w:val="18"/>
              </w:rPr>
              <w:t xml:space="preserve">    The composition </w:t>
            </w:r>
            <w:r w:rsidR="006F719C" w:rsidRPr="003A1A2D">
              <w:rPr>
                <w:color w:val="000000" w:themeColor="text1"/>
                <w:sz w:val="18"/>
                <w:szCs w:val="18"/>
              </w:rPr>
              <w:t>used in microgel</w:t>
            </w:r>
            <w:r w:rsidRPr="003A1A2D">
              <w:rPr>
                <w:color w:val="000000" w:themeColor="text1"/>
                <w:sz w:val="18"/>
                <w:szCs w:val="18"/>
              </w:rPr>
              <w:t xml:space="preserve"> synthesis.</w:t>
            </w:r>
          </w:p>
        </w:tc>
      </w:tr>
      <w:tr w:rsidR="00890764" w:rsidRPr="003A1A2D" w:rsidTr="00306808">
        <w:trPr>
          <w:trHeight w:val="529"/>
        </w:trPr>
        <w:tc>
          <w:tcPr>
            <w:tcW w:w="817" w:type="dxa"/>
            <w:tcBorders>
              <w:top w:val="single" w:sz="4" w:space="0" w:color="FFFFFF"/>
              <w:left w:val="single" w:sz="4" w:space="0" w:color="FFFFFF"/>
              <w:right w:val="single" w:sz="4" w:space="0" w:color="FFFFFF"/>
            </w:tcBorders>
            <w:vAlign w:val="center"/>
          </w:tcPr>
          <w:p w:rsidR="00890764" w:rsidRPr="003A1A2D" w:rsidRDefault="00890764" w:rsidP="00306808">
            <w:pPr>
              <w:rPr>
                <w:color w:val="000000" w:themeColor="text1"/>
                <w:sz w:val="18"/>
                <w:szCs w:val="18"/>
              </w:rPr>
            </w:pPr>
            <w:r w:rsidRPr="003A1A2D">
              <w:rPr>
                <w:color w:val="000000" w:themeColor="text1"/>
                <w:sz w:val="18"/>
                <w:szCs w:val="18"/>
              </w:rPr>
              <w:t>Sample</w:t>
            </w:r>
          </w:p>
        </w:tc>
        <w:tc>
          <w:tcPr>
            <w:tcW w:w="799" w:type="dxa"/>
            <w:tcBorders>
              <w:left w:val="single" w:sz="4" w:space="0" w:color="FFFFFF"/>
              <w:right w:val="single" w:sz="4" w:space="0" w:color="FFFFFF"/>
            </w:tcBorders>
            <w:vAlign w:val="center"/>
          </w:tcPr>
          <w:p w:rsidR="00890764" w:rsidRPr="003A1A2D" w:rsidRDefault="00890764" w:rsidP="00306808">
            <w:pPr>
              <w:rPr>
                <w:color w:val="000000" w:themeColor="text1"/>
                <w:sz w:val="18"/>
                <w:szCs w:val="18"/>
              </w:rPr>
            </w:pPr>
            <w:r w:rsidRPr="003A1A2D">
              <w:rPr>
                <w:color w:val="000000" w:themeColor="text1"/>
                <w:sz w:val="18"/>
                <w:szCs w:val="18"/>
              </w:rPr>
              <w:t>NIPAm</w:t>
            </w:r>
          </w:p>
          <w:p w:rsidR="00890764" w:rsidRPr="003A1A2D" w:rsidRDefault="00890764" w:rsidP="00306808">
            <w:pPr>
              <w:rPr>
                <w:color w:val="000000" w:themeColor="text1"/>
                <w:sz w:val="18"/>
                <w:szCs w:val="18"/>
              </w:rPr>
            </w:pPr>
            <w:r w:rsidRPr="003A1A2D">
              <w:rPr>
                <w:color w:val="000000" w:themeColor="text1"/>
                <w:sz w:val="18"/>
                <w:szCs w:val="18"/>
              </w:rPr>
              <w:t>mol%</w:t>
            </w:r>
          </w:p>
        </w:tc>
        <w:tc>
          <w:tcPr>
            <w:tcW w:w="699" w:type="dxa"/>
            <w:tcBorders>
              <w:left w:val="single" w:sz="4" w:space="0" w:color="FFFFFF"/>
              <w:right w:val="single" w:sz="4" w:space="0" w:color="FFFFFF"/>
            </w:tcBorders>
            <w:vAlign w:val="center"/>
          </w:tcPr>
          <w:p w:rsidR="00890764" w:rsidRPr="003A1A2D" w:rsidRDefault="00890764" w:rsidP="00306808">
            <w:pPr>
              <w:rPr>
                <w:color w:val="000000" w:themeColor="text1"/>
                <w:sz w:val="18"/>
                <w:szCs w:val="18"/>
              </w:rPr>
            </w:pPr>
            <w:r w:rsidRPr="003A1A2D">
              <w:rPr>
                <w:color w:val="000000" w:themeColor="text1"/>
                <w:sz w:val="18"/>
                <w:szCs w:val="18"/>
              </w:rPr>
              <w:t>AlA</w:t>
            </w:r>
          </w:p>
          <w:p w:rsidR="00890764" w:rsidRPr="003A1A2D" w:rsidRDefault="00890764" w:rsidP="00306808">
            <w:pPr>
              <w:rPr>
                <w:color w:val="000000" w:themeColor="text1"/>
                <w:sz w:val="18"/>
                <w:szCs w:val="18"/>
              </w:rPr>
            </w:pPr>
            <w:r w:rsidRPr="003A1A2D">
              <w:rPr>
                <w:color w:val="000000" w:themeColor="text1"/>
                <w:sz w:val="18"/>
                <w:szCs w:val="18"/>
              </w:rPr>
              <w:t>mol%</w:t>
            </w:r>
          </w:p>
        </w:tc>
        <w:tc>
          <w:tcPr>
            <w:tcW w:w="696" w:type="dxa"/>
            <w:tcBorders>
              <w:top w:val="single" w:sz="4" w:space="0" w:color="FFFFFF"/>
              <w:left w:val="single" w:sz="4" w:space="0" w:color="FFFFFF"/>
              <w:right w:val="single" w:sz="4" w:space="0" w:color="FFFFFF"/>
            </w:tcBorders>
            <w:vAlign w:val="center"/>
          </w:tcPr>
          <w:p w:rsidR="00890764" w:rsidRPr="003A1A2D" w:rsidRDefault="00890764" w:rsidP="00306808">
            <w:pPr>
              <w:rPr>
                <w:color w:val="000000" w:themeColor="text1"/>
                <w:sz w:val="18"/>
                <w:szCs w:val="18"/>
              </w:rPr>
            </w:pPr>
            <w:r w:rsidRPr="003A1A2D">
              <w:rPr>
                <w:color w:val="000000" w:themeColor="text1"/>
                <w:sz w:val="18"/>
                <w:szCs w:val="18"/>
              </w:rPr>
              <w:t>BIS</w:t>
            </w:r>
          </w:p>
          <w:p w:rsidR="00890764" w:rsidRPr="003A1A2D" w:rsidRDefault="00890764" w:rsidP="00306808">
            <w:pPr>
              <w:rPr>
                <w:color w:val="000000" w:themeColor="text1"/>
                <w:sz w:val="18"/>
                <w:szCs w:val="18"/>
              </w:rPr>
            </w:pPr>
            <w:r w:rsidRPr="003A1A2D">
              <w:rPr>
                <w:color w:val="000000" w:themeColor="text1"/>
                <w:sz w:val="18"/>
                <w:szCs w:val="18"/>
              </w:rPr>
              <w:t>mol%</w:t>
            </w:r>
          </w:p>
        </w:tc>
        <w:tc>
          <w:tcPr>
            <w:tcW w:w="832" w:type="dxa"/>
            <w:tcBorders>
              <w:top w:val="single" w:sz="4" w:space="0" w:color="FFFFFF"/>
              <w:left w:val="single" w:sz="4" w:space="0" w:color="FFFFFF"/>
              <w:right w:val="single" w:sz="4" w:space="0" w:color="FFFFFF"/>
            </w:tcBorders>
            <w:vAlign w:val="center"/>
          </w:tcPr>
          <w:p w:rsidR="00890764" w:rsidRPr="003A1A2D" w:rsidRDefault="00890764" w:rsidP="00306808">
            <w:pPr>
              <w:rPr>
                <w:i/>
                <w:color w:val="000000" w:themeColor="text1"/>
                <w:sz w:val="18"/>
                <w:szCs w:val="18"/>
                <w:vertAlign w:val="superscript"/>
              </w:rPr>
            </w:pPr>
            <w:r w:rsidRPr="003A1A2D">
              <w:rPr>
                <w:color w:val="000000" w:themeColor="text1"/>
                <w:sz w:val="18"/>
                <w:szCs w:val="18"/>
              </w:rPr>
              <w:t>KPS</w:t>
            </w:r>
            <w:r w:rsidRPr="003A1A2D">
              <w:rPr>
                <w:i/>
                <w:color w:val="000000" w:themeColor="text1"/>
                <w:sz w:val="18"/>
                <w:szCs w:val="18"/>
                <w:vertAlign w:val="superscript"/>
              </w:rPr>
              <w:t>a</w:t>
            </w:r>
          </w:p>
          <w:p w:rsidR="00890764" w:rsidRPr="003A1A2D" w:rsidRDefault="00890764" w:rsidP="00306808">
            <w:pPr>
              <w:rPr>
                <w:color w:val="000000" w:themeColor="text1"/>
                <w:sz w:val="18"/>
                <w:szCs w:val="18"/>
              </w:rPr>
            </w:pPr>
            <w:r w:rsidRPr="003A1A2D">
              <w:rPr>
                <w:color w:val="000000" w:themeColor="text1"/>
                <w:sz w:val="18"/>
                <w:szCs w:val="18"/>
              </w:rPr>
              <w:t>mol%</w:t>
            </w:r>
          </w:p>
        </w:tc>
        <w:tc>
          <w:tcPr>
            <w:tcW w:w="943" w:type="dxa"/>
            <w:tcBorders>
              <w:top w:val="single" w:sz="4" w:space="0" w:color="FFFFFF"/>
              <w:left w:val="single" w:sz="4" w:space="0" w:color="FFFFFF"/>
              <w:right w:val="single" w:sz="4" w:space="0" w:color="FFFFFF"/>
            </w:tcBorders>
            <w:vAlign w:val="center"/>
          </w:tcPr>
          <w:p w:rsidR="00890764" w:rsidRPr="003A1A2D" w:rsidRDefault="00890764" w:rsidP="00306808">
            <w:pPr>
              <w:rPr>
                <w:color w:val="000000" w:themeColor="text1"/>
                <w:sz w:val="18"/>
                <w:szCs w:val="18"/>
              </w:rPr>
            </w:pPr>
            <w:r w:rsidRPr="003A1A2D">
              <w:rPr>
                <w:color w:val="000000" w:themeColor="text1"/>
                <w:sz w:val="18"/>
                <w:szCs w:val="18"/>
              </w:rPr>
              <w:t>[NIPAm]</w:t>
            </w:r>
          </w:p>
          <w:p w:rsidR="00890764" w:rsidRPr="003A1A2D" w:rsidRDefault="00890764" w:rsidP="00306808">
            <w:pPr>
              <w:rPr>
                <w:color w:val="000000" w:themeColor="text1"/>
                <w:sz w:val="18"/>
                <w:szCs w:val="18"/>
                <w:vertAlign w:val="superscript"/>
              </w:rPr>
            </w:pPr>
            <w:r w:rsidRPr="003A1A2D">
              <w:rPr>
                <w:color w:val="000000" w:themeColor="text1"/>
                <w:sz w:val="18"/>
                <w:szCs w:val="18"/>
              </w:rPr>
              <w:t>mg mL</w:t>
            </w:r>
            <w:r w:rsidRPr="003A1A2D">
              <w:rPr>
                <w:color w:val="000000" w:themeColor="text1"/>
                <w:sz w:val="18"/>
                <w:szCs w:val="18"/>
                <w:vertAlign w:val="superscript"/>
              </w:rPr>
              <w:t>-1</w:t>
            </w:r>
          </w:p>
        </w:tc>
      </w:tr>
      <w:tr w:rsidR="00890764" w:rsidRPr="003A1A2D" w:rsidTr="00306808">
        <w:trPr>
          <w:trHeight w:val="138"/>
        </w:trPr>
        <w:tc>
          <w:tcPr>
            <w:tcW w:w="817" w:type="dxa"/>
            <w:tcBorders>
              <w:left w:val="single" w:sz="4" w:space="0" w:color="FFFFFF"/>
              <w:bottom w:val="single" w:sz="4" w:space="0" w:color="FFFFFF"/>
              <w:right w:val="single" w:sz="4" w:space="0" w:color="FFFFFF"/>
            </w:tcBorders>
            <w:vAlign w:val="center"/>
          </w:tcPr>
          <w:p w:rsidR="00890764" w:rsidRPr="003A1A2D" w:rsidRDefault="00890764" w:rsidP="00306808">
            <w:pPr>
              <w:rPr>
                <w:b/>
                <w:color w:val="000000" w:themeColor="text1"/>
                <w:sz w:val="18"/>
                <w:szCs w:val="18"/>
              </w:rPr>
            </w:pPr>
            <w:r w:rsidRPr="003A1A2D">
              <w:rPr>
                <w:b/>
                <w:color w:val="000000" w:themeColor="text1"/>
                <w:sz w:val="18"/>
                <w:szCs w:val="18"/>
              </w:rPr>
              <w:t>PNA-00</w:t>
            </w:r>
          </w:p>
        </w:tc>
        <w:tc>
          <w:tcPr>
            <w:tcW w:w="799" w:type="dxa"/>
            <w:tcBorders>
              <w:left w:val="single" w:sz="4" w:space="0" w:color="FFFFFF"/>
              <w:bottom w:val="single" w:sz="4" w:space="0" w:color="FFFFFF"/>
              <w:right w:val="single" w:sz="4" w:space="0" w:color="FFFFFF"/>
            </w:tcBorders>
            <w:vAlign w:val="center"/>
          </w:tcPr>
          <w:p w:rsidR="00890764" w:rsidRPr="003A1A2D" w:rsidRDefault="00890764" w:rsidP="00306808">
            <w:pPr>
              <w:rPr>
                <w:color w:val="000000" w:themeColor="text1"/>
                <w:sz w:val="18"/>
                <w:szCs w:val="18"/>
              </w:rPr>
            </w:pPr>
            <w:r w:rsidRPr="003A1A2D">
              <w:rPr>
                <w:color w:val="000000" w:themeColor="text1"/>
                <w:sz w:val="18"/>
                <w:szCs w:val="18"/>
              </w:rPr>
              <w:t>94.3</w:t>
            </w:r>
          </w:p>
        </w:tc>
        <w:tc>
          <w:tcPr>
            <w:tcW w:w="699" w:type="dxa"/>
            <w:tcBorders>
              <w:left w:val="single" w:sz="4" w:space="0" w:color="FFFFFF"/>
              <w:bottom w:val="single" w:sz="4" w:space="0" w:color="FFFFFF"/>
              <w:right w:val="single" w:sz="4" w:space="0" w:color="FFFFFF"/>
            </w:tcBorders>
            <w:vAlign w:val="center"/>
          </w:tcPr>
          <w:p w:rsidR="00890764" w:rsidRPr="003A1A2D" w:rsidRDefault="00890764" w:rsidP="00306808">
            <w:pPr>
              <w:rPr>
                <w:color w:val="000000" w:themeColor="text1"/>
                <w:sz w:val="18"/>
                <w:szCs w:val="18"/>
              </w:rPr>
            </w:pPr>
            <w:r w:rsidRPr="003A1A2D">
              <w:rPr>
                <w:color w:val="000000" w:themeColor="text1"/>
                <w:sz w:val="18"/>
                <w:szCs w:val="18"/>
              </w:rPr>
              <w:t>-</w:t>
            </w:r>
          </w:p>
        </w:tc>
        <w:tc>
          <w:tcPr>
            <w:tcW w:w="696" w:type="dxa"/>
            <w:tcBorders>
              <w:left w:val="single" w:sz="4" w:space="0" w:color="FFFFFF"/>
              <w:bottom w:val="single" w:sz="4" w:space="0" w:color="FFFFFF"/>
              <w:right w:val="single" w:sz="4" w:space="0" w:color="FFFFFF"/>
            </w:tcBorders>
            <w:vAlign w:val="center"/>
          </w:tcPr>
          <w:p w:rsidR="00890764" w:rsidRPr="003A1A2D" w:rsidRDefault="00890764" w:rsidP="00306808">
            <w:pPr>
              <w:rPr>
                <w:color w:val="000000" w:themeColor="text1"/>
                <w:sz w:val="18"/>
                <w:szCs w:val="18"/>
              </w:rPr>
            </w:pPr>
            <w:r w:rsidRPr="003A1A2D">
              <w:rPr>
                <w:color w:val="000000" w:themeColor="text1"/>
                <w:sz w:val="18"/>
                <w:szCs w:val="18"/>
              </w:rPr>
              <w:t>3.6</w:t>
            </w:r>
          </w:p>
        </w:tc>
        <w:tc>
          <w:tcPr>
            <w:tcW w:w="832" w:type="dxa"/>
            <w:tcBorders>
              <w:left w:val="single" w:sz="4" w:space="0" w:color="FFFFFF"/>
              <w:bottom w:val="single" w:sz="4" w:space="0" w:color="FFFFFF"/>
              <w:right w:val="single" w:sz="4" w:space="0" w:color="FFFFFF"/>
            </w:tcBorders>
            <w:vAlign w:val="center"/>
          </w:tcPr>
          <w:p w:rsidR="00890764" w:rsidRPr="003A1A2D" w:rsidRDefault="00890764" w:rsidP="00306808">
            <w:pPr>
              <w:rPr>
                <w:color w:val="000000" w:themeColor="text1"/>
                <w:sz w:val="18"/>
                <w:szCs w:val="18"/>
              </w:rPr>
            </w:pPr>
            <w:r w:rsidRPr="003A1A2D">
              <w:rPr>
                <w:color w:val="000000" w:themeColor="text1"/>
                <w:sz w:val="18"/>
                <w:szCs w:val="18"/>
              </w:rPr>
              <w:t>2.1</w:t>
            </w:r>
          </w:p>
        </w:tc>
        <w:tc>
          <w:tcPr>
            <w:tcW w:w="943" w:type="dxa"/>
            <w:tcBorders>
              <w:left w:val="single" w:sz="4" w:space="0" w:color="FFFFFF"/>
              <w:bottom w:val="single" w:sz="4" w:space="0" w:color="FFFFFF"/>
              <w:right w:val="single" w:sz="4" w:space="0" w:color="FFFFFF"/>
            </w:tcBorders>
            <w:vAlign w:val="center"/>
          </w:tcPr>
          <w:p w:rsidR="00890764" w:rsidRPr="003A1A2D" w:rsidRDefault="00890764" w:rsidP="00306808">
            <w:pPr>
              <w:rPr>
                <w:color w:val="000000" w:themeColor="text1"/>
                <w:sz w:val="18"/>
                <w:szCs w:val="18"/>
              </w:rPr>
            </w:pPr>
            <w:r w:rsidRPr="003A1A2D">
              <w:rPr>
                <w:color w:val="000000" w:themeColor="text1"/>
                <w:sz w:val="18"/>
                <w:szCs w:val="18"/>
              </w:rPr>
              <w:t>5.8</w:t>
            </w:r>
          </w:p>
        </w:tc>
      </w:tr>
      <w:tr w:rsidR="00890764" w:rsidRPr="003A1A2D" w:rsidTr="00306808">
        <w:trPr>
          <w:trHeight w:val="60"/>
        </w:trPr>
        <w:tc>
          <w:tcPr>
            <w:tcW w:w="817" w:type="dxa"/>
            <w:tcBorders>
              <w:top w:val="single" w:sz="4" w:space="0" w:color="FFFFFF"/>
              <w:left w:val="single" w:sz="4" w:space="0" w:color="FFFFFF"/>
              <w:bottom w:val="single" w:sz="4" w:space="0" w:color="FFFFFF"/>
              <w:right w:val="single" w:sz="4" w:space="0" w:color="FFFFFF"/>
            </w:tcBorders>
            <w:vAlign w:val="center"/>
          </w:tcPr>
          <w:p w:rsidR="00890764" w:rsidRPr="003A1A2D" w:rsidRDefault="00890764" w:rsidP="00306808">
            <w:pPr>
              <w:rPr>
                <w:b/>
                <w:color w:val="000000" w:themeColor="text1"/>
                <w:sz w:val="18"/>
                <w:szCs w:val="18"/>
              </w:rPr>
            </w:pPr>
            <w:r w:rsidRPr="003A1A2D">
              <w:rPr>
                <w:b/>
                <w:color w:val="000000" w:themeColor="text1"/>
                <w:sz w:val="18"/>
                <w:szCs w:val="18"/>
              </w:rPr>
              <w:t>PNA-25</w:t>
            </w:r>
          </w:p>
        </w:tc>
        <w:tc>
          <w:tcPr>
            <w:tcW w:w="799" w:type="dxa"/>
            <w:tcBorders>
              <w:top w:val="single" w:sz="4" w:space="0" w:color="FFFFFF"/>
              <w:left w:val="single" w:sz="4" w:space="0" w:color="FFFFFF"/>
              <w:bottom w:val="single" w:sz="4" w:space="0" w:color="FFFFFF"/>
              <w:right w:val="single" w:sz="4" w:space="0" w:color="FFFFFF"/>
            </w:tcBorders>
            <w:vAlign w:val="center"/>
          </w:tcPr>
          <w:p w:rsidR="00890764" w:rsidRPr="003A1A2D" w:rsidRDefault="00890764" w:rsidP="00306808">
            <w:pPr>
              <w:rPr>
                <w:color w:val="000000" w:themeColor="text1"/>
                <w:sz w:val="18"/>
                <w:szCs w:val="18"/>
              </w:rPr>
            </w:pPr>
            <w:r w:rsidRPr="003A1A2D">
              <w:rPr>
                <w:color w:val="000000" w:themeColor="text1"/>
                <w:sz w:val="18"/>
                <w:szCs w:val="18"/>
              </w:rPr>
              <w:t>70.9</w:t>
            </w:r>
          </w:p>
        </w:tc>
        <w:tc>
          <w:tcPr>
            <w:tcW w:w="699" w:type="dxa"/>
            <w:tcBorders>
              <w:top w:val="single" w:sz="4" w:space="0" w:color="FFFFFF"/>
              <w:left w:val="single" w:sz="4" w:space="0" w:color="FFFFFF"/>
              <w:bottom w:val="single" w:sz="4" w:space="0" w:color="FFFFFF"/>
              <w:right w:val="single" w:sz="4" w:space="0" w:color="FFFFFF"/>
            </w:tcBorders>
            <w:vAlign w:val="center"/>
          </w:tcPr>
          <w:p w:rsidR="00890764" w:rsidRPr="003A1A2D" w:rsidRDefault="00890764" w:rsidP="00306808">
            <w:pPr>
              <w:rPr>
                <w:color w:val="000000" w:themeColor="text1"/>
                <w:sz w:val="18"/>
                <w:szCs w:val="18"/>
              </w:rPr>
            </w:pPr>
            <w:r w:rsidRPr="003A1A2D">
              <w:rPr>
                <w:color w:val="000000" w:themeColor="text1"/>
                <w:sz w:val="18"/>
                <w:szCs w:val="18"/>
              </w:rPr>
              <w:t>24.8</w:t>
            </w:r>
          </w:p>
        </w:tc>
        <w:tc>
          <w:tcPr>
            <w:tcW w:w="696" w:type="dxa"/>
            <w:tcBorders>
              <w:top w:val="single" w:sz="4" w:space="0" w:color="FFFFFF"/>
              <w:left w:val="single" w:sz="4" w:space="0" w:color="FFFFFF"/>
              <w:bottom w:val="single" w:sz="4" w:space="0" w:color="FFFFFF"/>
              <w:right w:val="single" w:sz="4" w:space="0" w:color="FFFFFF"/>
            </w:tcBorders>
            <w:vAlign w:val="center"/>
          </w:tcPr>
          <w:p w:rsidR="00890764" w:rsidRPr="003A1A2D" w:rsidRDefault="00890764" w:rsidP="00306808">
            <w:pPr>
              <w:rPr>
                <w:color w:val="000000" w:themeColor="text1"/>
                <w:sz w:val="18"/>
                <w:szCs w:val="18"/>
              </w:rPr>
            </w:pPr>
            <w:r w:rsidRPr="003A1A2D">
              <w:rPr>
                <w:color w:val="000000" w:themeColor="text1"/>
                <w:sz w:val="18"/>
                <w:szCs w:val="18"/>
              </w:rPr>
              <w:t xml:space="preserve">2.7 </w:t>
            </w:r>
          </w:p>
        </w:tc>
        <w:tc>
          <w:tcPr>
            <w:tcW w:w="832" w:type="dxa"/>
            <w:tcBorders>
              <w:top w:val="single" w:sz="4" w:space="0" w:color="FFFFFF"/>
              <w:left w:val="single" w:sz="4" w:space="0" w:color="FFFFFF"/>
              <w:bottom w:val="single" w:sz="4" w:space="0" w:color="FFFFFF"/>
              <w:right w:val="single" w:sz="4" w:space="0" w:color="FFFFFF"/>
            </w:tcBorders>
            <w:vAlign w:val="center"/>
          </w:tcPr>
          <w:p w:rsidR="00890764" w:rsidRPr="003A1A2D" w:rsidRDefault="00890764" w:rsidP="00306808">
            <w:pPr>
              <w:rPr>
                <w:color w:val="000000" w:themeColor="text1"/>
                <w:sz w:val="18"/>
                <w:szCs w:val="18"/>
              </w:rPr>
            </w:pPr>
            <w:r w:rsidRPr="003A1A2D">
              <w:rPr>
                <w:color w:val="000000" w:themeColor="text1"/>
                <w:sz w:val="18"/>
                <w:szCs w:val="18"/>
              </w:rPr>
              <w:t>1.6</w:t>
            </w:r>
          </w:p>
        </w:tc>
        <w:tc>
          <w:tcPr>
            <w:tcW w:w="943" w:type="dxa"/>
            <w:tcBorders>
              <w:top w:val="single" w:sz="4" w:space="0" w:color="FFFFFF"/>
              <w:left w:val="single" w:sz="4" w:space="0" w:color="FFFFFF"/>
              <w:bottom w:val="single" w:sz="4" w:space="0" w:color="FFFFFF"/>
              <w:right w:val="single" w:sz="4" w:space="0" w:color="FFFFFF"/>
            </w:tcBorders>
            <w:vAlign w:val="center"/>
          </w:tcPr>
          <w:p w:rsidR="00890764" w:rsidRPr="003A1A2D" w:rsidRDefault="00890764" w:rsidP="00306808">
            <w:pPr>
              <w:rPr>
                <w:color w:val="000000" w:themeColor="text1"/>
                <w:sz w:val="18"/>
                <w:szCs w:val="18"/>
              </w:rPr>
            </w:pPr>
            <w:r w:rsidRPr="003A1A2D">
              <w:rPr>
                <w:color w:val="000000" w:themeColor="text1"/>
                <w:sz w:val="18"/>
                <w:szCs w:val="18"/>
              </w:rPr>
              <w:t>25.0</w:t>
            </w:r>
          </w:p>
        </w:tc>
      </w:tr>
      <w:tr w:rsidR="00890764" w:rsidRPr="003A1A2D" w:rsidTr="00306808">
        <w:trPr>
          <w:trHeight w:val="220"/>
        </w:trPr>
        <w:tc>
          <w:tcPr>
            <w:tcW w:w="817" w:type="dxa"/>
            <w:tcBorders>
              <w:top w:val="single" w:sz="4" w:space="0" w:color="FFFFFF"/>
              <w:left w:val="single" w:sz="4" w:space="0" w:color="FFFFFF"/>
              <w:bottom w:val="single" w:sz="4" w:space="0" w:color="FFFFFF"/>
              <w:right w:val="single" w:sz="4" w:space="0" w:color="FFFFFF"/>
            </w:tcBorders>
          </w:tcPr>
          <w:p w:rsidR="00890764" w:rsidRPr="003A1A2D" w:rsidRDefault="00890764" w:rsidP="00306808">
            <w:pPr>
              <w:jc w:val="both"/>
              <w:rPr>
                <w:color w:val="000000" w:themeColor="text1"/>
                <w:sz w:val="18"/>
                <w:szCs w:val="18"/>
              </w:rPr>
            </w:pPr>
          </w:p>
        </w:tc>
        <w:tc>
          <w:tcPr>
            <w:tcW w:w="799" w:type="dxa"/>
            <w:tcBorders>
              <w:top w:val="single" w:sz="4" w:space="0" w:color="FFFFFF"/>
              <w:left w:val="single" w:sz="4" w:space="0" w:color="FFFFFF"/>
              <w:bottom w:val="single" w:sz="4" w:space="0" w:color="FFFFFF"/>
              <w:right w:val="single" w:sz="4" w:space="0" w:color="FFFFFF"/>
            </w:tcBorders>
          </w:tcPr>
          <w:p w:rsidR="00890764" w:rsidRPr="003A1A2D" w:rsidRDefault="00890764" w:rsidP="00306808">
            <w:pPr>
              <w:jc w:val="both"/>
              <w:rPr>
                <w:color w:val="000000" w:themeColor="text1"/>
                <w:sz w:val="18"/>
                <w:szCs w:val="18"/>
              </w:rPr>
            </w:pPr>
          </w:p>
        </w:tc>
        <w:tc>
          <w:tcPr>
            <w:tcW w:w="699" w:type="dxa"/>
            <w:tcBorders>
              <w:top w:val="single" w:sz="4" w:space="0" w:color="FFFFFF"/>
              <w:left w:val="single" w:sz="4" w:space="0" w:color="FFFFFF"/>
              <w:bottom w:val="single" w:sz="4" w:space="0" w:color="FFFFFF"/>
              <w:right w:val="single" w:sz="4" w:space="0" w:color="FFFFFF"/>
            </w:tcBorders>
          </w:tcPr>
          <w:p w:rsidR="00890764" w:rsidRPr="003A1A2D" w:rsidRDefault="00890764" w:rsidP="00306808">
            <w:pPr>
              <w:jc w:val="both"/>
              <w:rPr>
                <w:color w:val="000000" w:themeColor="text1"/>
                <w:sz w:val="18"/>
                <w:szCs w:val="18"/>
              </w:rPr>
            </w:pPr>
          </w:p>
        </w:tc>
        <w:tc>
          <w:tcPr>
            <w:tcW w:w="696" w:type="dxa"/>
            <w:tcBorders>
              <w:top w:val="single" w:sz="4" w:space="0" w:color="FFFFFF"/>
              <w:left w:val="single" w:sz="4" w:space="0" w:color="FFFFFF"/>
              <w:bottom w:val="single" w:sz="4" w:space="0" w:color="FFFFFF"/>
              <w:right w:val="single" w:sz="4" w:space="0" w:color="FFFFFF"/>
            </w:tcBorders>
          </w:tcPr>
          <w:p w:rsidR="00890764" w:rsidRPr="003A1A2D" w:rsidRDefault="00890764" w:rsidP="00306808">
            <w:pPr>
              <w:jc w:val="both"/>
              <w:rPr>
                <w:color w:val="000000" w:themeColor="text1"/>
                <w:sz w:val="18"/>
                <w:szCs w:val="18"/>
              </w:rPr>
            </w:pPr>
          </w:p>
        </w:tc>
        <w:tc>
          <w:tcPr>
            <w:tcW w:w="832" w:type="dxa"/>
            <w:tcBorders>
              <w:top w:val="single" w:sz="4" w:space="0" w:color="FFFFFF"/>
              <w:left w:val="single" w:sz="4" w:space="0" w:color="FFFFFF"/>
              <w:bottom w:val="single" w:sz="4" w:space="0" w:color="FFFFFF"/>
              <w:right w:val="single" w:sz="4" w:space="0" w:color="FFFFFF"/>
            </w:tcBorders>
          </w:tcPr>
          <w:p w:rsidR="00890764" w:rsidRPr="003A1A2D" w:rsidRDefault="00890764" w:rsidP="00306808">
            <w:pPr>
              <w:jc w:val="both"/>
              <w:rPr>
                <w:color w:val="000000" w:themeColor="text1"/>
                <w:sz w:val="18"/>
                <w:szCs w:val="18"/>
              </w:rPr>
            </w:pPr>
          </w:p>
        </w:tc>
        <w:tc>
          <w:tcPr>
            <w:tcW w:w="943" w:type="dxa"/>
            <w:tcBorders>
              <w:top w:val="single" w:sz="4" w:space="0" w:color="FFFFFF"/>
              <w:left w:val="single" w:sz="4" w:space="0" w:color="FFFFFF"/>
              <w:bottom w:val="single" w:sz="4" w:space="0" w:color="FFFFFF"/>
              <w:right w:val="single" w:sz="4" w:space="0" w:color="FFFFFF"/>
            </w:tcBorders>
          </w:tcPr>
          <w:p w:rsidR="00890764" w:rsidRPr="003A1A2D" w:rsidRDefault="00890764" w:rsidP="00306808">
            <w:pPr>
              <w:jc w:val="both"/>
              <w:rPr>
                <w:color w:val="000000" w:themeColor="text1"/>
                <w:sz w:val="18"/>
                <w:szCs w:val="18"/>
              </w:rPr>
            </w:pPr>
          </w:p>
        </w:tc>
      </w:tr>
      <w:tr w:rsidR="00890764" w:rsidRPr="003A1A2D" w:rsidTr="00306808">
        <w:trPr>
          <w:trHeight w:val="221"/>
        </w:trPr>
        <w:tc>
          <w:tcPr>
            <w:tcW w:w="3843" w:type="dxa"/>
            <w:gridSpan w:val="5"/>
            <w:tcBorders>
              <w:top w:val="single" w:sz="4" w:space="0" w:color="FFFFFF"/>
              <w:left w:val="single" w:sz="4" w:space="0" w:color="FFFFFF"/>
              <w:bottom w:val="single" w:sz="4" w:space="0" w:color="auto"/>
              <w:right w:val="single" w:sz="4" w:space="0" w:color="FFFFFF"/>
            </w:tcBorders>
          </w:tcPr>
          <w:p w:rsidR="00890764" w:rsidRPr="003A1A2D" w:rsidRDefault="00890764" w:rsidP="00306808">
            <w:pPr>
              <w:jc w:val="both"/>
              <w:rPr>
                <w:color w:val="000000" w:themeColor="text1"/>
                <w:sz w:val="18"/>
                <w:szCs w:val="18"/>
              </w:rPr>
            </w:pPr>
            <w:r w:rsidRPr="003A1A2D">
              <w:rPr>
                <w:i/>
                <w:color w:val="000000" w:themeColor="text1"/>
                <w:sz w:val="18"/>
                <w:szCs w:val="18"/>
                <w:vertAlign w:val="superscript"/>
              </w:rPr>
              <w:t>a</w:t>
            </w:r>
            <w:r w:rsidRPr="003A1A2D">
              <w:rPr>
                <w:color w:val="000000" w:themeColor="text1"/>
                <w:sz w:val="18"/>
                <w:szCs w:val="18"/>
              </w:rPr>
              <w:t xml:space="preserve"> KPS dissolved at 20 mg mL</w:t>
            </w:r>
            <w:r w:rsidRPr="003A1A2D">
              <w:rPr>
                <w:color w:val="000000" w:themeColor="text1"/>
                <w:sz w:val="18"/>
                <w:szCs w:val="18"/>
                <w:vertAlign w:val="superscript"/>
              </w:rPr>
              <w:t>-1</w:t>
            </w:r>
            <w:r w:rsidRPr="003A1A2D">
              <w:rPr>
                <w:color w:val="000000" w:themeColor="text1"/>
                <w:sz w:val="18"/>
                <w:szCs w:val="18"/>
              </w:rPr>
              <w:t xml:space="preserve"> in distilled water</w:t>
            </w:r>
          </w:p>
        </w:tc>
        <w:tc>
          <w:tcPr>
            <w:tcW w:w="943" w:type="dxa"/>
            <w:tcBorders>
              <w:top w:val="single" w:sz="4" w:space="0" w:color="FFFFFF"/>
              <w:left w:val="single" w:sz="4" w:space="0" w:color="FFFFFF"/>
              <w:bottom w:val="single" w:sz="4" w:space="0" w:color="auto"/>
              <w:right w:val="single" w:sz="4" w:space="0" w:color="FFFFFF"/>
            </w:tcBorders>
          </w:tcPr>
          <w:p w:rsidR="00890764" w:rsidRPr="003A1A2D" w:rsidRDefault="00890764" w:rsidP="00306808">
            <w:pPr>
              <w:jc w:val="both"/>
              <w:rPr>
                <w:i/>
                <w:color w:val="000000" w:themeColor="text1"/>
                <w:sz w:val="18"/>
                <w:szCs w:val="18"/>
                <w:vertAlign w:val="superscript"/>
              </w:rPr>
            </w:pPr>
          </w:p>
        </w:tc>
      </w:tr>
      <w:tr w:rsidR="00890764" w:rsidRPr="003A1A2D" w:rsidTr="00306808">
        <w:trPr>
          <w:trHeight w:val="221"/>
        </w:trPr>
        <w:tc>
          <w:tcPr>
            <w:tcW w:w="3843" w:type="dxa"/>
            <w:gridSpan w:val="5"/>
            <w:tcBorders>
              <w:top w:val="single" w:sz="4" w:space="0" w:color="auto"/>
              <w:left w:val="nil"/>
              <w:bottom w:val="nil"/>
              <w:right w:val="nil"/>
            </w:tcBorders>
          </w:tcPr>
          <w:p w:rsidR="00890764" w:rsidRPr="003A1A2D" w:rsidRDefault="00890764" w:rsidP="00306808">
            <w:pPr>
              <w:jc w:val="both"/>
              <w:rPr>
                <w:i/>
                <w:color w:val="000000" w:themeColor="text1"/>
                <w:sz w:val="18"/>
                <w:szCs w:val="18"/>
                <w:vertAlign w:val="superscript"/>
              </w:rPr>
            </w:pPr>
          </w:p>
        </w:tc>
        <w:tc>
          <w:tcPr>
            <w:tcW w:w="943" w:type="dxa"/>
            <w:tcBorders>
              <w:top w:val="single" w:sz="4" w:space="0" w:color="auto"/>
              <w:left w:val="nil"/>
              <w:bottom w:val="nil"/>
              <w:right w:val="nil"/>
            </w:tcBorders>
          </w:tcPr>
          <w:p w:rsidR="00890764" w:rsidRPr="003A1A2D" w:rsidRDefault="00890764" w:rsidP="00306808">
            <w:pPr>
              <w:jc w:val="both"/>
              <w:rPr>
                <w:i/>
                <w:color w:val="000000" w:themeColor="text1"/>
                <w:sz w:val="18"/>
                <w:szCs w:val="18"/>
                <w:vertAlign w:val="superscript"/>
              </w:rPr>
            </w:pPr>
          </w:p>
        </w:tc>
      </w:tr>
    </w:tbl>
    <w:p w:rsidR="00890764" w:rsidRPr="003A1A2D" w:rsidRDefault="00890764" w:rsidP="00890764">
      <w:pPr>
        <w:jc w:val="both"/>
        <w:outlineLvl w:val="0"/>
        <w:rPr>
          <w:b/>
          <w:sz w:val="18"/>
          <w:szCs w:val="18"/>
        </w:rPr>
      </w:pPr>
      <w:r w:rsidRPr="003A1A2D">
        <w:rPr>
          <w:b/>
          <w:color w:val="000000" w:themeColor="text1"/>
          <w:sz w:val="18"/>
          <w:szCs w:val="18"/>
        </w:rPr>
        <w:t xml:space="preserve">2.4 </w:t>
      </w:r>
      <w:r w:rsidRPr="003A1A2D">
        <w:rPr>
          <w:b/>
          <w:sz w:val="18"/>
          <w:szCs w:val="18"/>
        </w:rPr>
        <w:t xml:space="preserve">PNIPAm microgel gelation and </w:t>
      </w:r>
      <w:r w:rsidRPr="003A1A2D">
        <w:rPr>
          <w:b/>
          <w:color w:val="000000" w:themeColor="text1"/>
          <w:sz w:val="18"/>
          <w:szCs w:val="18"/>
        </w:rPr>
        <w:t>aggregation studies</w:t>
      </w:r>
    </w:p>
    <w:p w:rsidR="00890764" w:rsidRPr="003A1A2D" w:rsidRDefault="00890764" w:rsidP="00890764">
      <w:pPr>
        <w:jc w:val="both"/>
        <w:outlineLvl w:val="0"/>
        <w:rPr>
          <w:color w:val="000000" w:themeColor="text1"/>
          <w:sz w:val="18"/>
          <w:szCs w:val="18"/>
        </w:rPr>
      </w:pPr>
      <w:r w:rsidRPr="003A1A2D">
        <w:rPr>
          <w:color w:val="000000" w:themeColor="text1"/>
          <w:sz w:val="18"/>
          <w:szCs w:val="18"/>
        </w:rPr>
        <w:t>The concentration at which the microgel samples formed a self</w:t>
      </w:r>
      <w:r w:rsidRPr="003A1A2D">
        <w:rPr>
          <w:color w:val="000000" w:themeColor="text1"/>
          <w:sz w:val="18"/>
          <w:szCs w:val="18"/>
        </w:rPr>
        <w:noBreakHyphen/>
        <w:t>supporting gel was found by first adding 10 mg of material to 1 mL of phosphate buffered saline (PBS) in a glass vial with an internal diameter of 20 mm. Using the tube inversion method, the mass of microgel was increased in increments until the microgel no longer flowed upon inversion of the vial for 30 seconds. The % (w/w) of water contained in the microgel at 25 </w:t>
      </w:r>
      <w:r w:rsidRPr="003A1A2D">
        <w:rPr>
          <w:color w:val="000000" w:themeColor="text1"/>
          <w:sz w:val="18"/>
          <w:szCs w:val="18"/>
        </w:rPr>
        <w:sym w:font="Symbol" w:char="F0B0"/>
      </w:r>
      <w:r w:rsidRPr="003A1A2D">
        <w:rPr>
          <w:color w:val="000000" w:themeColor="text1"/>
          <w:sz w:val="18"/>
          <w:szCs w:val="18"/>
        </w:rPr>
        <w:t xml:space="preserve">C is calculated from the mass of freeze dried microgel and water in the swollen microgel formed from the tube inversion method. After heating to 37 </w:t>
      </w:r>
      <w:r w:rsidRPr="003A1A2D">
        <w:rPr>
          <w:color w:val="000000" w:themeColor="text1"/>
          <w:sz w:val="18"/>
          <w:szCs w:val="18"/>
        </w:rPr>
        <w:sym w:font="Symbol" w:char="F0B0"/>
      </w:r>
      <w:r w:rsidRPr="003A1A2D">
        <w:rPr>
          <w:color w:val="000000" w:themeColor="text1"/>
          <w:sz w:val="18"/>
          <w:szCs w:val="18"/>
        </w:rPr>
        <w:t xml:space="preserve">C the aggregate was separated from the eluted solvent to determine its mass. The mass of microgel remains constant, so the difference in mass is due to any solvent remaining in the aggregate, allowing the % (w/w) of water at 37 </w:t>
      </w:r>
      <w:r w:rsidRPr="003A1A2D">
        <w:rPr>
          <w:color w:val="000000" w:themeColor="text1"/>
          <w:sz w:val="18"/>
          <w:szCs w:val="18"/>
        </w:rPr>
        <w:sym w:font="Symbol" w:char="F0B0"/>
      </w:r>
      <w:r w:rsidRPr="003A1A2D">
        <w:rPr>
          <w:color w:val="000000" w:themeColor="text1"/>
          <w:sz w:val="18"/>
          <w:szCs w:val="18"/>
        </w:rPr>
        <w:t xml:space="preserve">C to be calculated. </w:t>
      </w:r>
    </w:p>
    <w:p w:rsidR="00890764" w:rsidRPr="003A1A2D" w:rsidRDefault="00890764" w:rsidP="00890764">
      <w:pPr>
        <w:jc w:val="both"/>
        <w:outlineLvl w:val="0"/>
        <w:rPr>
          <w:b/>
          <w:sz w:val="18"/>
          <w:szCs w:val="18"/>
        </w:rPr>
      </w:pPr>
      <w:r w:rsidRPr="003A1A2D">
        <w:rPr>
          <w:b/>
          <w:sz w:val="18"/>
          <w:szCs w:val="18"/>
        </w:rPr>
        <w:t xml:space="preserve">2.5 </w:t>
      </w:r>
      <w:r w:rsidR="003A0749" w:rsidRPr="003A1A2D">
        <w:rPr>
          <w:b/>
          <w:sz w:val="18"/>
          <w:szCs w:val="18"/>
        </w:rPr>
        <w:t>Tissue</w:t>
      </w:r>
      <w:r w:rsidRPr="003A1A2D">
        <w:rPr>
          <w:b/>
          <w:sz w:val="18"/>
          <w:szCs w:val="18"/>
        </w:rPr>
        <w:t xml:space="preserve"> injection simulation</w:t>
      </w:r>
    </w:p>
    <w:p w:rsidR="00890764" w:rsidRPr="003A1A2D" w:rsidRDefault="00890764" w:rsidP="00890764">
      <w:pPr>
        <w:jc w:val="both"/>
        <w:outlineLvl w:val="0"/>
        <w:rPr>
          <w:sz w:val="18"/>
          <w:szCs w:val="18"/>
        </w:rPr>
      </w:pPr>
      <w:r w:rsidRPr="003A1A2D">
        <w:rPr>
          <w:sz w:val="18"/>
          <w:szCs w:val="18"/>
        </w:rPr>
        <w:t xml:space="preserve">Agarose powder (0.5% (w/w)  was slowly added to a beaker of PBS whilst stirring, and then weighed, before covering the beaker with plastic wrap with a hole for ventilation, and heating to 95 </w:t>
      </w:r>
      <w:r w:rsidRPr="003A1A2D">
        <w:rPr>
          <w:color w:val="000000" w:themeColor="text1"/>
          <w:sz w:val="18"/>
          <w:szCs w:val="18"/>
        </w:rPr>
        <w:sym w:font="Symbol" w:char="F0B0"/>
      </w:r>
      <w:r w:rsidRPr="003A1A2D">
        <w:rPr>
          <w:sz w:val="18"/>
          <w:szCs w:val="18"/>
        </w:rPr>
        <w:t xml:space="preserve">C for 10 minutes. Hot water was then added to bring the contents to the original weight. This was then cooled to 55 </w:t>
      </w:r>
      <w:r w:rsidRPr="003A1A2D">
        <w:rPr>
          <w:color w:val="000000" w:themeColor="text1"/>
          <w:sz w:val="18"/>
          <w:szCs w:val="18"/>
        </w:rPr>
        <w:sym w:font="Symbol" w:char="F0B0"/>
      </w:r>
      <w:r w:rsidRPr="003A1A2D">
        <w:rPr>
          <w:color w:val="000000" w:themeColor="text1"/>
          <w:sz w:val="18"/>
          <w:szCs w:val="18"/>
        </w:rPr>
        <w:t>C and cast into pre-warmed vials</w:t>
      </w:r>
      <w:r w:rsidRPr="003A1A2D">
        <w:rPr>
          <w:sz w:val="18"/>
          <w:szCs w:val="18"/>
        </w:rPr>
        <w:t xml:space="preserve"> with an internal diameter of 20 mm. These were then left for 12 hours at 37 </w:t>
      </w:r>
      <w:r w:rsidRPr="003A1A2D">
        <w:rPr>
          <w:color w:val="000000" w:themeColor="text1"/>
          <w:sz w:val="18"/>
          <w:szCs w:val="18"/>
        </w:rPr>
        <w:sym w:font="Symbol" w:char="F0B0"/>
      </w:r>
      <w:r w:rsidRPr="003A1A2D">
        <w:rPr>
          <w:color w:val="000000" w:themeColor="text1"/>
          <w:sz w:val="18"/>
          <w:szCs w:val="18"/>
        </w:rPr>
        <w:t xml:space="preserve">C before use. PNA-25 at 6.2% and </w:t>
      </w:r>
      <w:r w:rsidRPr="003A1A2D">
        <w:rPr>
          <w:sz w:val="18"/>
          <w:szCs w:val="18"/>
        </w:rPr>
        <w:t>2.0% (w/w) and PNA</w:t>
      </w:r>
      <w:r w:rsidRPr="003A1A2D">
        <w:rPr>
          <w:sz w:val="18"/>
          <w:szCs w:val="18"/>
        </w:rPr>
        <w:noBreakHyphen/>
        <w:t xml:space="preserve">00 at 14.9% and 5.7% (w/w) in distilled water </w:t>
      </w:r>
      <w:r w:rsidRPr="003A1A2D">
        <w:rPr>
          <w:color w:val="000000" w:themeColor="text1"/>
          <w:sz w:val="18"/>
          <w:szCs w:val="18"/>
        </w:rPr>
        <w:t xml:space="preserve">were injected through a 18G </w:t>
      </w:r>
      <w:r w:rsidRPr="003A1A2D">
        <w:rPr>
          <w:sz w:val="18"/>
          <w:szCs w:val="18"/>
        </w:rPr>
        <w:t>hypodermic needle into 0.5% (w/w) agarose gel at 37 </w:t>
      </w:r>
      <w:r w:rsidRPr="003A1A2D">
        <w:rPr>
          <w:color w:val="000000" w:themeColor="text1"/>
          <w:sz w:val="18"/>
          <w:szCs w:val="18"/>
        </w:rPr>
        <w:sym w:font="Symbol" w:char="F0B0"/>
      </w:r>
      <w:r w:rsidRPr="003A1A2D">
        <w:rPr>
          <w:color w:val="000000" w:themeColor="text1"/>
          <w:sz w:val="18"/>
          <w:szCs w:val="18"/>
        </w:rPr>
        <w:t>C.</w:t>
      </w:r>
    </w:p>
    <w:p w:rsidR="00890764" w:rsidRPr="003A1A2D" w:rsidRDefault="00890764" w:rsidP="00890764">
      <w:pPr>
        <w:jc w:val="both"/>
        <w:outlineLvl w:val="0"/>
        <w:rPr>
          <w:b/>
          <w:color w:val="000000" w:themeColor="text1"/>
          <w:sz w:val="18"/>
          <w:szCs w:val="18"/>
        </w:rPr>
      </w:pPr>
      <w:r w:rsidRPr="003A1A2D">
        <w:rPr>
          <w:b/>
          <w:color w:val="000000" w:themeColor="text1"/>
          <w:sz w:val="18"/>
          <w:szCs w:val="18"/>
        </w:rPr>
        <w:t xml:space="preserve">2.6.1 Polystyrene Nanoparticle Synthesis and Oil Red dye (OR) encapsulation </w:t>
      </w:r>
    </w:p>
    <w:p w:rsidR="00890764" w:rsidRPr="003A1A2D" w:rsidRDefault="00890764" w:rsidP="00890764">
      <w:pPr>
        <w:jc w:val="both"/>
        <w:rPr>
          <w:color w:val="000000" w:themeColor="text1"/>
          <w:sz w:val="18"/>
          <w:szCs w:val="18"/>
        </w:rPr>
      </w:pPr>
      <w:r w:rsidRPr="003A1A2D">
        <w:rPr>
          <w:color w:val="000000" w:themeColor="text1"/>
          <w:sz w:val="18"/>
          <w:szCs w:val="18"/>
        </w:rPr>
        <w:t xml:space="preserve">Polystyrene (PS) nanoparticles were prepared using modifications of a dispersion polymerisation method in which colloidal stability was </w:t>
      </w:r>
      <w:r w:rsidRPr="003A1A2D">
        <w:rPr>
          <w:color w:val="000000" w:themeColor="text1"/>
          <w:sz w:val="18"/>
          <w:szCs w:val="18"/>
        </w:rPr>
        <w:lastRenderedPageBreak/>
        <w:t>provided by p(AcA).</w:t>
      </w:r>
      <w:r w:rsidRPr="003A1A2D">
        <w:rPr>
          <w:noProof/>
          <w:color w:val="000000" w:themeColor="text1"/>
          <w:sz w:val="18"/>
          <w:szCs w:val="18"/>
          <w:vertAlign w:val="superscript"/>
        </w:rPr>
        <w:t>47</w:t>
      </w:r>
      <w:r w:rsidRPr="003A1A2D">
        <w:rPr>
          <w:color w:val="000000" w:themeColor="text1"/>
          <w:sz w:val="18"/>
          <w:szCs w:val="18"/>
        </w:rPr>
        <w:t xml:space="preserve"> Briefly, styrene monomer (15.35 mL) was dissolved in ethanol (26.23 mL) and distilled water (101.05 mL) in a 250 mL two-neck round bottom flask equipped with a reflux condenser. 50% (w/v) aqueous p(AcA) (2.92 mL) was then added along with KPS (234 mg) in distilled water (3.32 mL). This was then sealed and nitrogen</w:t>
      </w:r>
      <w:r w:rsidRPr="003A1A2D">
        <w:rPr>
          <w:color w:val="000000" w:themeColor="text1"/>
          <w:sz w:val="18"/>
          <w:szCs w:val="18"/>
          <w:vertAlign w:val="subscript"/>
        </w:rPr>
        <w:t xml:space="preserve"> </w:t>
      </w:r>
      <w:r w:rsidRPr="003A1A2D">
        <w:rPr>
          <w:color w:val="000000" w:themeColor="text1"/>
          <w:sz w:val="18"/>
          <w:szCs w:val="18"/>
        </w:rPr>
        <w:t xml:space="preserve">was bubbled through the aqueous solution for 1 hour whilst stirring (400 rpm), to remove dissolved oxygen. The solution was then heated to 70 </w:t>
      </w:r>
      <w:r w:rsidRPr="003A1A2D">
        <w:rPr>
          <w:color w:val="000000" w:themeColor="text1"/>
          <w:sz w:val="18"/>
          <w:szCs w:val="18"/>
        </w:rPr>
        <w:sym w:font="Symbol" w:char="F0B0"/>
      </w:r>
      <w:r w:rsidRPr="003A1A2D">
        <w:rPr>
          <w:color w:val="000000" w:themeColor="text1"/>
          <w:sz w:val="18"/>
          <w:szCs w:val="18"/>
        </w:rPr>
        <w:t>C. The reaction was maintained under a N</w:t>
      </w:r>
      <w:r w:rsidRPr="003A1A2D">
        <w:rPr>
          <w:color w:val="000000" w:themeColor="text1"/>
          <w:sz w:val="18"/>
          <w:szCs w:val="18"/>
          <w:vertAlign w:val="subscript"/>
        </w:rPr>
        <w:t>2</w:t>
      </w:r>
      <w:r w:rsidRPr="003A1A2D">
        <w:rPr>
          <w:color w:val="000000" w:themeColor="text1"/>
          <w:sz w:val="18"/>
          <w:szCs w:val="18"/>
        </w:rPr>
        <w:t xml:space="preserve"> atmosphere for 24 hours before being cooled to room temperature. The PS nanoparticle suspension was purified by centrifugation (Thermo Scientific Heraeus Megafuge 8R centrifuge) at a relative centrifugal force (RCF) of 10,900 in 50 mL centrifuge tubes for 1 hour, and washed with distilled water (ca 50 mL), this process was repeated twice. OR was encapsulated into the particles by modifying a previous swelling-diffusion technique.</w:t>
      </w:r>
      <w:r w:rsidRPr="003A1A2D">
        <w:rPr>
          <w:noProof/>
          <w:color w:val="000000" w:themeColor="text1"/>
          <w:sz w:val="18"/>
          <w:szCs w:val="18"/>
          <w:vertAlign w:val="superscript"/>
        </w:rPr>
        <w:t>48</w:t>
      </w:r>
      <w:r w:rsidRPr="003A1A2D">
        <w:rPr>
          <w:color w:val="000000" w:themeColor="text1"/>
          <w:sz w:val="18"/>
          <w:szCs w:val="18"/>
        </w:rPr>
        <w:t xml:space="preserve"> Firstly, the aqueous PS suspension (32 mg mL</w:t>
      </w:r>
      <w:r w:rsidRPr="003A1A2D">
        <w:rPr>
          <w:color w:val="000000" w:themeColor="text1"/>
          <w:sz w:val="18"/>
          <w:szCs w:val="18"/>
          <w:vertAlign w:val="superscript"/>
        </w:rPr>
        <w:t>-1</w:t>
      </w:r>
      <w:r w:rsidRPr="003A1A2D">
        <w:rPr>
          <w:color w:val="000000" w:themeColor="text1"/>
          <w:sz w:val="18"/>
          <w:szCs w:val="18"/>
        </w:rPr>
        <w:t>,</w:t>
      </w:r>
      <w:r w:rsidRPr="003A1A2D">
        <w:rPr>
          <w:color w:val="000000" w:themeColor="text1"/>
          <w:sz w:val="18"/>
          <w:szCs w:val="18"/>
          <w:vertAlign w:val="superscript"/>
        </w:rPr>
        <w:t xml:space="preserve"> </w:t>
      </w:r>
      <w:r w:rsidRPr="003A1A2D">
        <w:rPr>
          <w:color w:val="000000" w:themeColor="text1"/>
          <w:sz w:val="18"/>
          <w:szCs w:val="18"/>
        </w:rPr>
        <w:t>25 mL) and aqueous Pluronic F127 (72 mg mL</w:t>
      </w:r>
      <w:r w:rsidRPr="003A1A2D">
        <w:rPr>
          <w:color w:val="000000" w:themeColor="text1"/>
          <w:sz w:val="18"/>
          <w:szCs w:val="18"/>
          <w:vertAlign w:val="superscript"/>
        </w:rPr>
        <w:t>-1</w:t>
      </w:r>
      <w:r w:rsidRPr="003A1A2D">
        <w:rPr>
          <w:color w:val="000000" w:themeColor="text1"/>
          <w:sz w:val="18"/>
          <w:szCs w:val="18"/>
        </w:rPr>
        <w:t>, 8.3 mL) were added to a 50 ml centrifuge tube. This was vortexed at 3,000 rpm for 60 seconds and then left for 24 hours on a tube roller (33 rpm). Tetrahydrofuran (THF) (16.66 mL, 33% (v/v)) containing oil red O (OR) (14.7 mg) was added to the suspension, and then vortexed at 3,000 rpm for 600 seconds, followed by 0.5 hours on a tube roller (33 rpm). The colloid was then washed five times with distilled water using a centrifuge (RCF = 10,900, 1 hour) between washes and then lyophilised (Virtis Benchtop K with ultra-low temperature condenser). A sample of the PS nanoparticles with encapsulated OR was prepared at a concentration of 0.1 mg mL</w:t>
      </w:r>
      <w:r w:rsidRPr="003A1A2D">
        <w:rPr>
          <w:color w:val="000000" w:themeColor="text1"/>
          <w:sz w:val="18"/>
          <w:szCs w:val="18"/>
          <w:vertAlign w:val="superscript"/>
        </w:rPr>
        <w:t>-1</w:t>
      </w:r>
      <w:r w:rsidRPr="003A1A2D">
        <w:rPr>
          <w:color w:val="000000" w:themeColor="text1"/>
          <w:sz w:val="18"/>
          <w:szCs w:val="18"/>
        </w:rPr>
        <w:t xml:space="preserve"> and was analysed with DLS after synthesis and after lyophilisation.</w:t>
      </w:r>
    </w:p>
    <w:p w:rsidR="00890764" w:rsidRPr="003A1A2D" w:rsidRDefault="00890764" w:rsidP="00890764">
      <w:pPr>
        <w:jc w:val="both"/>
        <w:outlineLvl w:val="0"/>
        <w:rPr>
          <w:b/>
          <w:color w:val="000000" w:themeColor="text1"/>
          <w:sz w:val="18"/>
          <w:szCs w:val="18"/>
        </w:rPr>
      </w:pPr>
      <w:r w:rsidRPr="003A1A2D">
        <w:rPr>
          <w:b/>
          <w:color w:val="000000" w:themeColor="text1"/>
          <w:sz w:val="18"/>
          <w:szCs w:val="18"/>
        </w:rPr>
        <w:t>2.6.2 Polystyrene Nanoparticle Entrapment Study</w:t>
      </w:r>
    </w:p>
    <w:tbl>
      <w:tblPr>
        <w:tblStyle w:val="TableGrid"/>
        <w:tblpPr w:leftFromText="181" w:rightFromText="181" w:vertAnchor="page" w:horzAnchor="margin" w:tblpXSpec="right" w:tblpY="12835"/>
        <w:tblOverlap w:val="never"/>
        <w:tblW w:w="0" w:type="auto"/>
        <w:tblLook w:val="04A0" w:firstRow="1" w:lastRow="0" w:firstColumn="1" w:lastColumn="0" w:noHBand="0" w:noVBand="1"/>
      </w:tblPr>
      <w:tblGrid>
        <w:gridCol w:w="1337"/>
        <w:gridCol w:w="1200"/>
        <w:gridCol w:w="1266"/>
        <w:gridCol w:w="1121"/>
      </w:tblGrid>
      <w:tr w:rsidR="00844884" w:rsidRPr="003A1A2D" w:rsidTr="00844884">
        <w:trPr>
          <w:trHeight w:val="352"/>
        </w:trPr>
        <w:tc>
          <w:tcPr>
            <w:tcW w:w="4924" w:type="dxa"/>
            <w:gridSpan w:val="4"/>
            <w:tcBorders>
              <w:top w:val="single" w:sz="4" w:space="0" w:color="FFFFFF" w:themeColor="background1"/>
              <w:left w:val="single" w:sz="4" w:space="0" w:color="FFFFFF" w:themeColor="background1"/>
              <w:right w:val="single" w:sz="4" w:space="0" w:color="FFFFFF" w:themeColor="background1"/>
            </w:tcBorders>
          </w:tcPr>
          <w:p w:rsidR="00844884" w:rsidRPr="003A1A2D" w:rsidRDefault="00844884" w:rsidP="00844884">
            <w:pPr>
              <w:rPr>
                <w:color w:val="000000" w:themeColor="text1"/>
                <w:sz w:val="18"/>
                <w:szCs w:val="18"/>
              </w:rPr>
            </w:pPr>
            <w:r w:rsidRPr="003A1A2D">
              <w:rPr>
                <w:b/>
                <w:color w:val="000000" w:themeColor="text1"/>
                <w:sz w:val="18"/>
                <w:szCs w:val="18"/>
              </w:rPr>
              <w:t>Table 2</w:t>
            </w:r>
            <w:r w:rsidRPr="003A1A2D">
              <w:rPr>
                <w:color w:val="000000" w:themeColor="text1"/>
                <w:sz w:val="18"/>
                <w:szCs w:val="18"/>
              </w:rPr>
              <w:t xml:space="preserve">     The solvent gradient used in the HPLC method.</w:t>
            </w:r>
          </w:p>
        </w:tc>
      </w:tr>
      <w:tr w:rsidR="00844884" w:rsidRPr="003A1A2D" w:rsidTr="00844884">
        <w:trPr>
          <w:trHeight w:val="556"/>
        </w:trPr>
        <w:tc>
          <w:tcPr>
            <w:tcW w:w="1337" w:type="dxa"/>
            <w:tcBorders>
              <w:left w:val="single" w:sz="4" w:space="0" w:color="FFFFFF" w:themeColor="background1"/>
              <w:right w:val="single" w:sz="4" w:space="0" w:color="FFFFFF" w:themeColor="background1"/>
            </w:tcBorders>
            <w:vAlign w:val="center"/>
          </w:tcPr>
          <w:p w:rsidR="00844884" w:rsidRPr="003A1A2D" w:rsidRDefault="00844884" w:rsidP="00844884">
            <w:pPr>
              <w:jc w:val="center"/>
              <w:rPr>
                <w:color w:val="000000" w:themeColor="text1"/>
                <w:sz w:val="18"/>
                <w:szCs w:val="18"/>
              </w:rPr>
            </w:pPr>
            <w:r w:rsidRPr="003A1A2D">
              <w:rPr>
                <w:color w:val="000000" w:themeColor="text1"/>
                <w:sz w:val="18"/>
                <w:szCs w:val="18"/>
              </w:rPr>
              <w:t xml:space="preserve">Time </w:t>
            </w:r>
          </w:p>
          <w:p w:rsidR="00844884" w:rsidRPr="003A1A2D" w:rsidRDefault="00844884" w:rsidP="00844884">
            <w:pPr>
              <w:jc w:val="center"/>
              <w:rPr>
                <w:color w:val="000000" w:themeColor="text1"/>
                <w:sz w:val="18"/>
                <w:szCs w:val="18"/>
              </w:rPr>
            </w:pPr>
            <w:r w:rsidRPr="003A1A2D">
              <w:rPr>
                <w:color w:val="000000" w:themeColor="text1"/>
                <w:sz w:val="18"/>
                <w:szCs w:val="18"/>
              </w:rPr>
              <w:t>(min)</w:t>
            </w:r>
          </w:p>
        </w:tc>
        <w:tc>
          <w:tcPr>
            <w:tcW w:w="1200" w:type="dxa"/>
            <w:tcBorders>
              <w:left w:val="single" w:sz="4" w:space="0" w:color="FFFFFF" w:themeColor="background1"/>
              <w:right w:val="single" w:sz="4" w:space="0" w:color="FFFFFF" w:themeColor="background1"/>
            </w:tcBorders>
            <w:vAlign w:val="center"/>
          </w:tcPr>
          <w:p w:rsidR="00844884" w:rsidRPr="003A1A2D" w:rsidRDefault="00844884" w:rsidP="00844884">
            <w:pPr>
              <w:jc w:val="center"/>
              <w:rPr>
                <w:color w:val="000000" w:themeColor="text1"/>
                <w:sz w:val="18"/>
                <w:szCs w:val="18"/>
              </w:rPr>
            </w:pPr>
            <w:r w:rsidRPr="003A1A2D">
              <w:rPr>
                <w:color w:val="000000" w:themeColor="text1"/>
                <w:sz w:val="18"/>
                <w:szCs w:val="18"/>
              </w:rPr>
              <w:t xml:space="preserve">Solvent A </w:t>
            </w:r>
          </w:p>
          <w:p w:rsidR="00844884" w:rsidRPr="003A1A2D" w:rsidRDefault="00844884" w:rsidP="00844884">
            <w:pPr>
              <w:jc w:val="center"/>
              <w:rPr>
                <w:color w:val="000000" w:themeColor="text1"/>
                <w:sz w:val="18"/>
                <w:szCs w:val="18"/>
              </w:rPr>
            </w:pPr>
            <w:r w:rsidRPr="003A1A2D">
              <w:rPr>
                <w:color w:val="000000" w:themeColor="text1"/>
                <w:sz w:val="18"/>
                <w:szCs w:val="18"/>
              </w:rPr>
              <w:t>% (v/v)</w:t>
            </w:r>
          </w:p>
        </w:tc>
        <w:tc>
          <w:tcPr>
            <w:tcW w:w="1266" w:type="dxa"/>
            <w:tcBorders>
              <w:left w:val="single" w:sz="4" w:space="0" w:color="FFFFFF" w:themeColor="background1"/>
              <w:right w:val="single" w:sz="4" w:space="0" w:color="FFFFFF" w:themeColor="background1"/>
            </w:tcBorders>
            <w:vAlign w:val="center"/>
          </w:tcPr>
          <w:p w:rsidR="00844884" w:rsidRPr="003A1A2D" w:rsidRDefault="00844884" w:rsidP="00844884">
            <w:pPr>
              <w:jc w:val="center"/>
              <w:rPr>
                <w:color w:val="000000" w:themeColor="text1"/>
                <w:sz w:val="18"/>
                <w:szCs w:val="18"/>
              </w:rPr>
            </w:pPr>
            <w:r w:rsidRPr="003A1A2D">
              <w:rPr>
                <w:color w:val="000000" w:themeColor="text1"/>
                <w:sz w:val="18"/>
                <w:szCs w:val="18"/>
              </w:rPr>
              <w:t xml:space="preserve">Solvent B </w:t>
            </w:r>
          </w:p>
          <w:p w:rsidR="00844884" w:rsidRPr="003A1A2D" w:rsidRDefault="00844884" w:rsidP="00844884">
            <w:pPr>
              <w:jc w:val="center"/>
              <w:rPr>
                <w:color w:val="000000" w:themeColor="text1"/>
                <w:sz w:val="18"/>
                <w:szCs w:val="18"/>
              </w:rPr>
            </w:pPr>
            <w:r w:rsidRPr="003A1A2D">
              <w:rPr>
                <w:color w:val="000000" w:themeColor="text1"/>
                <w:sz w:val="18"/>
                <w:szCs w:val="18"/>
              </w:rPr>
              <w:t>% (v/v)</w:t>
            </w:r>
          </w:p>
        </w:tc>
        <w:tc>
          <w:tcPr>
            <w:tcW w:w="1121" w:type="dxa"/>
            <w:tcBorders>
              <w:left w:val="single" w:sz="4" w:space="0" w:color="FFFFFF" w:themeColor="background1"/>
              <w:right w:val="single" w:sz="4" w:space="0" w:color="FFFFFF" w:themeColor="background1"/>
            </w:tcBorders>
            <w:vAlign w:val="center"/>
          </w:tcPr>
          <w:p w:rsidR="00844884" w:rsidRPr="003A1A2D" w:rsidRDefault="00844884" w:rsidP="00844884">
            <w:pPr>
              <w:jc w:val="center"/>
              <w:rPr>
                <w:color w:val="000000" w:themeColor="text1"/>
                <w:sz w:val="18"/>
                <w:szCs w:val="18"/>
              </w:rPr>
            </w:pPr>
            <w:r w:rsidRPr="003A1A2D">
              <w:rPr>
                <w:color w:val="000000" w:themeColor="text1"/>
                <w:sz w:val="18"/>
                <w:szCs w:val="18"/>
              </w:rPr>
              <w:t xml:space="preserve">Flow </w:t>
            </w:r>
          </w:p>
          <w:p w:rsidR="00844884" w:rsidRPr="003A1A2D" w:rsidRDefault="00844884" w:rsidP="00844884">
            <w:pPr>
              <w:jc w:val="center"/>
              <w:rPr>
                <w:color w:val="000000" w:themeColor="text1"/>
                <w:sz w:val="18"/>
                <w:szCs w:val="18"/>
              </w:rPr>
            </w:pPr>
            <w:r w:rsidRPr="003A1A2D">
              <w:rPr>
                <w:color w:val="000000" w:themeColor="text1"/>
                <w:sz w:val="18"/>
                <w:szCs w:val="18"/>
              </w:rPr>
              <w:t>(mL min</w:t>
            </w:r>
            <w:r w:rsidRPr="003A1A2D">
              <w:rPr>
                <w:color w:val="000000" w:themeColor="text1"/>
                <w:sz w:val="18"/>
                <w:szCs w:val="18"/>
                <w:vertAlign w:val="superscript"/>
              </w:rPr>
              <w:t>-1</w:t>
            </w:r>
            <w:r w:rsidRPr="003A1A2D">
              <w:rPr>
                <w:color w:val="000000" w:themeColor="text1"/>
                <w:sz w:val="18"/>
                <w:szCs w:val="18"/>
              </w:rPr>
              <w:t>)</w:t>
            </w:r>
          </w:p>
        </w:tc>
      </w:tr>
      <w:tr w:rsidR="00844884" w:rsidRPr="003A1A2D" w:rsidTr="00844884">
        <w:tc>
          <w:tcPr>
            <w:tcW w:w="1337" w:type="dxa"/>
            <w:tcBorders>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0.0</w:t>
            </w:r>
          </w:p>
        </w:tc>
        <w:tc>
          <w:tcPr>
            <w:tcW w:w="1200" w:type="dxa"/>
            <w:tcBorders>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70</w:t>
            </w:r>
          </w:p>
        </w:tc>
        <w:tc>
          <w:tcPr>
            <w:tcW w:w="1266" w:type="dxa"/>
            <w:tcBorders>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30</w:t>
            </w:r>
          </w:p>
        </w:tc>
        <w:tc>
          <w:tcPr>
            <w:tcW w:w="1121" w:type="dxa"/>
            <w:tcBorders>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0.5</w:t>
            </w:r>
          </w:p>
        </w:tc>
      </w:tr>
      <w:tr w:rsidR="00844884" w:rsidRPr="003A1A2D" w:rsidTr="00844884">
        <w:tc>
          <w:tcPr>
            <w:tcW w:w="1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1.0</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70</w:t>
            </w: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30</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0.5</w:t>
            </w:r>
          </w:p>
        </w:tc>
      </w:tr>
      <w:tr w:rsidR="00844884" w:rsidRPr="003A1A2D" w:rsidTr="00844884">
        <w:tc>
          <w:tcPr>
            <w:tcW w:w="1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3.0</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30</w:t>
            </w: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70</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0.5</w:t>
            </w:r>
          </w:p>
        </w:tc>
      </w:tr>
      <w:tr w:rsidR="00844884" w:rsidRPr="003A1A2D" w:rsidTr="00844884">
        <w:tc>
          <w:tcPr>
            <w:tcW w:w="1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11.5</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30</w:t>
            </w: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70</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0.5</w:t>
            </w:r>
          </w:p>
        </w:tc>
      </w:tr>
      <w:tr w:rsidR="00844884" w:rsidRPr="003A1A2D" w:rsidTr="00844884">
        <w:tc>
          <w:tcPr>
            <w:tcW w:w="1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12.0</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70</w:t>
            </w: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30</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0.5</w:t>
            </w:r>
          </w:p>
        </w:tc>
      </w:tr>
      <w:tr w:rsidR="00844884" w:rsidRPr="003A1A2D" w:rsidTr="00844884">
        <w:tc>
          <w:tcPr>
            <w:tcW w:w="1337" w:type="dxa"/>
            <w:tcBorders>
              <w:top w:val="single" w:sz="4" w:space="0" w:color="FFFFFF" w:themeColor="background1"/>
              <w:left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12.5</w:t>
            </w:r>
          </w:p>
        </w:tc>
        <w:tc>
          <w:tcPr>
            <w:tcW w:w="1200" w:type="dxa"/>
            <w:tcBorders>
              <w:top w:val="single" w:sz="4" w:space="0" w:color="FFFFFF" w:themeColor="background1"/>
              <w:left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70</w:t>
            </w:r>
          </w:p>
        </w:tc>
        <w:tc>
          <w:tcPr>
            <w:tcW w:w="1266" w:type="dxa"/>
            <w:tcBorders>
              <w:top w:val="single" w:sz="4" w:space="0" w:color="FFFFFF" w:themeColor="background1"/>
              <w:left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30</w:t>
            </w:r>
          </w:p>
        </w:tc>
        <w:tc>
          <w:tcPr>
            <w:tcW w:w="1121" w:type="dxa"/>
            <w:tcBorders>
              <w:top w:val="single" w:sz="4" w:space="0" w:color="FFFFFF" w:themeColor="background1"/>
              <w:left w:val="single" w:sz="4" w:space="0" w:color="FFFFFF" w:themeColor="background1"/>
              <w:right w:val="single" w:sz="4" w:space="0" w:color="FFFFFF" w:themeColor="background1"/>
            </w:tcBorders>
          </w:tcPr>
          <w:p w:rsidR="00844884" w:rsidRPr="003A1A2D" w:rsidRDefault="00844884" w:rsidP="00844884">
            <w:pPr>
              <w:jc w:val="center"/>
              <w:rPr>
                <w:color w:val="000000" w:themeColor="text1"/>
                <w:sz w:val="18"/>
                <w:szCs w:val="18"/>
              </w:rPr>
            </w:pPr>
            <w:r w:rsidRPr="003A1A2D">
              <w:rPr>
                <w:color w:val="000000" w:themeColor="text1"/>
                <w:sz w:val="18"/>
                <w:szCs w:val="18"/>
              </w:rPr>
              <w:t>0.5</w:t>
            </w:r>
          </w:p>
        </w:tc>
      </w:tr>
    </w:tbl>
    <w:p w:rsidR="00890764" w:rsidRPr="003A1A2D" w:rsidRDefault="00890764" w:rsidP="00890764">
      <w:pPr>
        <w:jc w:val="both"/>
        <w:rPr>
          <w:color w:val="000000" w:themeColor="text1"/>
          <w:sz w:val="18"/>
          <w:szCs w:val="18"/>
        </w:rPr>
      </w:pPr>
      <w:r w:rsidRPr="003A1A2D">
        <w:rPr>
          <w:color w:val="000000" w:themeColor="text1"/>
          <w:sz w:val="18"/>
          <w:szCs w:val="18"/>
        </w:rPr>
        <w:t>In a glass vial with internal diameter 20</w:t>
      </w:r>
      <w:r w:rsidRPr="003A1A2D">
        <w:rPr>
          <w:color w:val="FF0000"/>
          <w:sz w:val="18"/>
          <w:szCs w:val="18"/>
        </w:rPr>
        <w:t xml:space="preserve"> </w:t>
      </w:r>
      <w:r w:rsidRPr="003A1A2D">
        <w:rPr>
          <w:color w:val="000000" w:themeColor="text1"/>
          <w:sz w:val="18"/>
          <w:szCs w:val="18"/>
        </w:rPr>
        <w:t xml:space="preserve">mm, 66.6 mg of PNA-25 was mixed with lyophilised PS nanoparticles of 10, 20 and 40% (w/w) relative to the microgel. After adding 1 mL of PBS the dispersion was left for 10 min to allow the lyophilised microgel to swell. The samples were then vortexed at 300 rpm to mix the PS nanoparticles through the swollen microgel dispersion. These samples were then heated (in a water bath) to 37 </w:t>
      </w:r>
      <w:r w:rsidRPr="003A1A2D">
        <w:rPr>
          <w:color w:val="000000" w:themeColor="text1"/>
          <w:sz w:val="18"/>
          <w:szCs w:val="18"/>
        </w:rPr>
        <w:sym w:font="Symbol" w:char="F0B0"/>
      </w:r>
      <w:r w:rsidRPr="003A1A2D">
        <w:rPr>
          <w:color w:val="000000" w:themeColor="text1"/>
          <w:sz w:val="18"/>
          <w:szCs w:val="18"/>
        </w:rPr>
        <w:t>C for 1 hour to form shrunken discs of aggregated microgel, with excess PBS expelled from the discs in the heating process. A negative control of microgel alone and positive control of PS particles alone were conducted alongside the samples. 0.2 mL of solution was removed for UV-visible spectrophotometric analysis (Thermo Scientific NanoDrop 2000c) with a 1 cm path length quartz cuvette at a wavelength of 565 nm (λ</w:t>
      </w:r>
      <w:r w:rsidRPr="003A1A2D">
        <w:rPr>
          <w:color w:val="000000" w:themeColor="text1"/>
          <w:sz w:val="18"/>
          <w:szCs w:val="18"/>
          <w:vertAlign w:val="subscript"/>
        </w:rPr>
        <w:t>max</w:t>
      </w:r>
      <w:r w:rsidRPr="003A1A2D">
        <w:rPr>
          <w:color w:val="000000" w:themeColor="text1"/>
          <w:sz w:val="18"/>
          <w:szCs w:val="18"/>
        </w:rPr>
        <w:t xml:space="preserve"> for OR). To determine the concentration of PS nanoparticles a stock solution of 1 mg mL</w:t>
      </w:r>
      <w:r w:rsidRPr="003A1A2D">
        <w:rPr>
          <w:color w:val="000000" w:themeColor="text1"/>
          <w:sz w:val="18"/>
          <w:szCs w:val="18"/>
          <w:vertAlign w:val="superscript"/>
        </w:rPr>
        <w:t>-1</w:t>
      </w:r>
      <w:r w:rsidRPr="003A1A2D">
        <w:rPr>
          <w:color w:val="000000" w:themeColor="text1"/>
          <w:sz w:val="18"/>
          <w:szCs w:val="18"/>
        </w:rPr>
        <w:t xml:space="preserve"> dispersed in PBS was serially diluted to form a linear calibration curve of absorbance at 565 nm against concentration in the range 1</w:t>
      </w:r>
      <w:r w:rsidRPr="003A1A2D">
        <w:rPr>
          <w:color w:val="000000" w:themeColor="text1"/>
          <w:sz w:val="18"/>
          <w:szCs w:val="18"/>
        </w:rPr>
        <w:noBreakHyphen/>
        <w:t>100 </w:t>
      </w:r>
      <w:r w:rsidRPr="003A1A2D">
        <w:rPr>
          <w:color w:val="000000" w:themeColor="text1"/>
          <w:sz w:val="18"/>
          <w:szCs w:val="18"/>
        </w:rPr>
        <w:sym w:font="Symbol" w:char="F06D"/>
      </w:r>
      <w:r w:rsidRPr="003A1A2D">
        <w:rPr>
          <w:color w:val="000000" w:themeColor="text1"/>
          <w:sz w:val="18"/>
          <w:szCs w:val="18"/>
        </w:rPr>
        <w:t>g mL</w:t>
      </w:r>
      <w:r w:rsidRPr="003A1A2D">
        <w:rPr>
          <w:color w:val="000000" w:themeColor="text1"/>
          <w:sz w:val="18"/>
          <w:szCs w:val="18"/>
          <w:vertAlign w:val="superscript"/>
        </w:rPr>
        <w:t>-1</w:t>
      </w:r>
      <w:r w:rsidRPr="003A1A2D">
        <w:rPr>
          <w:color w:val="000000" w:themeColor="text1"/>
          <w:sz w:val="18"/>
          <w:szCs w:val="18"/>
        </w:rPr>
        <w:t>.</w:t>
      </w:r>
    </w:p>
    <w:p w:rsidR="0091217C" w:rsidRPr="003A1A2D" w:rsidRDefault="0091217C" w:rsidP="00890764">
      <w:pPr>
        <w:jc w:val="both"/>
        <w:outlineLvl w:val="0"/>
        <w:rPr>
          <w:b/>
          <w:color w:val="000000" w:themeColor="text1"/>
          <w:sz w:val="18"/>
          <w:szCs w:val="18"/>
        </w:rPr>
      </w:pPr>
    </w:p>
    <w:p w:rsidR="00890764" w:rsidRPr="003A1A2D" w:rsidRDefault="00890764" w:rsidP="00890764">
      <w:pPr>
        <w:jc w:val="both"/>
        <w:outlineLvl w:val="0"/>
        <w:rPr>
          <w:color w:val="000000" w:themeColor="text1"/>
          <w:sz w:val="18"/>
          <w:szCs w:val="18"/>
        </w:rPr>
      </w:pPr>
      <w:r w:rsidRPr="003A1A2D">
        <w:rPr>
          <w:b/>
          <w:color w:val="000000" w:themeColor="text1"/>
          <w:sz w:val="18"/>
          <w:szCs w:val="18"/>
        </w:rPr>
        <w:t>2.7 Lopinavir (LPV) solid drug nanoparticle (SDN) synthesis</w:t>
      </w:r>
    </w:p>
    <w:p w:rsidR="00890764" w:rsidRPr="003A1A2D" w:rsidRDefault="00890764" w:rsidP="00890764">
      <w:pPr>
        <w:jc w:val="both"/>
        <w:rPr>
          <w:sz w:val="18"/>
          <w:szCs w:val="18"/>
        </w:rPr>
      </w:pPr>
      <w:r w:rsidRPr="003A1A2D">
        <w:rPr>
          <w:sz w:val="18"/>
          <w:szCs w:val="18"/>
        </w:rPr>
        <w:t xml:space="preserve">The LPV SDNs were prepared by emulsion-spray-drying as described by Owen </w:t>
      </w:r>
      <w:r w:rsidRPr="003A1A2D">
        <w:rPr>
          <w:i/>
          <w:sz w:val="18"/>
          <w:szCs w:val="18"/>
        </w:rPr>
        <w:t>et al.</w:t>
      </w:r>
      <w:r w:rsidRPr="003A1A2D">
        <w:rPr>
          <w:noProof/>
          <w:sz w:val="18"/>
          <w:szCs w:val="18"/>
          <w:vertAlign w:val="superscript"/>
        </w:rPr>
        <w:t>49</w:t>
      </w:r>
      <w:r w:rsidRPr="003A1A2D">
        <w:rPr>
          <w:sz w:val="18"/>
          <w:szCs w:val="18"/>
        </w:rPr>
        <w:t xml:space="preserve"> Briefly, a stock solution of LPV (200 mg/mL in </w:t>
      </w:r>
      <w:r w:rsidRPr="003A1A2D">
        <w:rPr>
          <w:sz w:val="18"/>
          <w:szCs w:val="18"/>
        </w:rPr>
        <w:t>dichloromethane (DCM)), polyvinyl alcohol (PVA grade 4-88, MW 57</w:t>
      </w:r>
      <w:r w:rsidRPr="003A1A2D">
        <w:rPr>
          <w:sz w:val="18"/>
          <w:szCs w:val="18"/>
        </w:rPr>
        <w:noBreakHyphen/>
        <w:t>77,000) (50 mg mL</w:t>
      </w:r>
      <w:r w:rsidRPr="003A1A2D">
        <w:rPr>
          <w:sz w:val="18"/>
          <w:szCs w:val="18"/>
          <w:vertAlign w:val="superscript"/>
        </w:rPr>
        <w:t>-1</w:t>
      </w:r>
      <w:r w:rsidRPr="003A1A2D">
        <w:rPr>
          <w:sz w:val="18"/>
          <w:szCs w:val="18"/>
        </w:rPr>
        <w:t xml:space="preserve"> in water), Kolliphor TPGS (50 mg/mL in water) were prepared. Three stock solutions were mixed in the </w:t>
      </w:r>
      <w:proofErr w:type="gramStart"/>
      <w:r w:rsidRPr="003A1A2D">
        <w:rPr>
          <w:sz w:val="18"/>
          <w:szCs w:val="18"/>
        </w:rPr>
        <w:t>LPV:PVA</w:t>
      </w:r>
      <w:proofErr w:type="gramEnd"/>
      <w:r w:rsidRPr="003A1A2D">
        <w:rPr>
          <w:sz w:val="18"/>
          <w:szCs w:val="18"/>
        </w:rPr>
        <w:t xml:space="preserve">:Kolliphor TPGS ratio of 60:192:48 (mL) in a 1:4 DCM to water mixture. Emulsification was conducted using a </w:t>
      </w:r>
      <w:r w:rsidRPr="003A1A2D">
        <w:rPr>
          <w:bCs/>
          <w:sz w:val="18"/>
          <w:szCs w:val="18"/>
        </w:rPr>
        <w:t>Hielscher UP400S ultrasonic processor equipped with a H14 Probe at 100% output (140 W) for 180 seconds</w:t>
      </w:r>
      <w:r w:rsidRPr="003A1A2D">
        <w:rPr>
          <w:sz w:val="18"/>
          <w:szCs w:val="18"/>
        </w:rPr>
        <w:t xml:space="preserve">, with immediate spray-drying using a benchtop spray-dryer (BUCHI Mini-290) with an air-atomizing nozzle and compressed air as the drying gas. Spray-drying process conditions: 7 mL/min solution flow rate; 65 </w:t>
      </w:r>
      <w:r w:rsidRPr="003A1A2D">
        <w:rPr>
          <w:color w:val="000000" w:themeColor="text1"/>
          <w:sz w:val="18"/>
          <w:szCs w:val="18"/>
        </w:rPr>
        <w:t>°</w:t>
      </w:r>
      <w:r w:rsidRPr="003A1A2D">
        <w:rPr>
          <w:sz w:val="18"/>
          <w:szCs w:val="18"/>
        </w:rPr>
        <w:t xml:space="preserve">C outlet temperature; 110 </w:t>
      </w:r>
      <w:r w:rsidRPr="003A1A2D">
        <w:rPr>
          <w:color w:val="000000" w:themeColor="text1"/>
          <w:sz w:val="18"/>
          <w:szCs w:val="18"/>
        </w:rPr>
        <w:t>°</w:t>
      </w:r>
      <w:r w:rsidRPr="003A1A2D">
        <w:rPr>
          <w:sz w:val="18"/>
          <w:szCs w:val="18"/>
        </w:rPr>
        <w:t>C inlet temperature. Resultant powders were further dried under vacuum for 48 hours to remove residual DCM. SDN dispersions result from subsequent powder dispersion in water; for DLS characterisation, powders were dispersed in distilled water at 2 mg mL</w:t>
      </w:r>
      <w:r w:rsidRPr="003A1A2D">
        <w:rPr>
          <w:sz w:val="18"/>
          <w:szCs w:val="18"/>
          <w:vertAlign w:val="superscript"/>
        </w:rPr>
        <w:t xml:space="preserve">-1 </w:t>
      </w:r>
      <w:r w:rsidRPr="003A1A2D">
        <w:rPr>
          <w:sz w:val="18"/>
          <w:szCs w:val="18"/>
        </w:rPr>
        <w:t>(1 mg mL</w:t>
      </w:r>
      <w:r w:rsidRPr="003A1A2D">
        <w:rPr>
          <w:sz w:val="18"/>
          <w:szCs w:val="18"/>
          <w:vertAlign w:val="superscript"/>
        </w:rPr>
        <w:t xml:space="preserve">-1 </w:t>
      </w:r>
      <w:r w:rsidRPr="003A1A2D">
        <w:rPr>
          <w:i/>
          <w:sz w:val="18"/>
          <w:szCs w:val="18"/>
        </w:rPr>
        <w:t>c.f.</w:t>
      </w:r>
      <w:r w:rsidRPr="003A1A2D">
        <w:rPr>
          <w:sz w:val="18"/>
          <w:szCs w:val="18"/>
        </w:rPr>
        <w:t xml:space="preserve"> LPV)</w:t>
      </w:r>
    </w:p>
    <w:p w:rsidR="00890764" w:rsidRPr="003A1A2D" w:rsidRDefault="00890764" w:rsidP="00890764">
      <w:pPr>
        <w:jc w:val="both"/>
        <w:outlineLvl w:val="0"/>
        <w:rPr>
          <w:b/>
          <w:sz w:val="18"/>
          <w:szCs w:val="18"/>
        </w:rPr>
      </w:pPr>
      <w:r w:rsidRPr="003A1A2D">
        <w:rPr>
          <w:b/>
          <w:sz w:val="18"/>
          <w:szCs w:val="18"/>
        </w:rPr>
        <w:t>2.8 Drug Release in Phosphate-Buffer Saline (PBS)</w:t>
      </w:r>
    </w:p>
    <w:p w:rsidR="00890764" w:rsidRPr="003A1A2D" w:rsidRDefault="00890764" w:rsidP="00890764">
      <w:pPr>
        <w:jc w:val="both"/>
        <w:outlineLvl w:val="0"/>
        <w:rPr>
          <w:b/>
          <w:sz w:val="18"/>
          <w:szCs w:val="18"/>
        </w:rPr>
      </w:pPr>
      <w:r w:rsidRPr="003A1A2D">
        <w:rPr>
          <w:sz w:val="18"/>
          <w:szCs w:val="18"/>
        </w:rPr>
        <w:t xml:space="preserve">The </w:t>
      </w:r>
      <w:r w:rsidRPr="003A1A2D">
        <w:rPr>
          <w:i/>
          <w:sz w:val="18"/>
          <w:szCs w:val="18"/>
        </w:rPr>
        <w:t>in vitro</w:t>
      </w:r>
      <w:r w:rsidRPr="003A1A2D">
        <w:rPr>
          <w:sz w:val="18"/>
          <w:szCs w:val="18"/>
        </w:rPr>
        <w:t xml:space="preserve"> drug </w:t>
      </w:r>
      <w:r w:rsidRPr="003A1A2D">
        <w:rPr>
          <w:color w:val="000000" w:themeColor="text1"/>
          <w:sz w:val="18"/>
          <w:szCs w:val="18"/>
        </w:rPr>
        <w:t>release was performed using adaptations of the sample and separate method,</w:t>
      </w:r>
      <w:r w:rsidRPr="003A1A2D">
        <w:rPr>
          <w:noProof/>
          <w:color w:val="000000" w:themeColor="text1"/>
          <w:sz w:val="18"/>
          <w:szCs w:val="18"/>
          <w:vertAlign w:val="superscript"/>
        </w:rPr>
        <w:t>50</w:t>
      </w:r>
      <w:r w:rsidRPr="003A1A2D">
        <w:rPr>
          <w:color w:val="000000" w:themeColor="text1"/>
          <w:sz w:val="18"/>
          <w:szCs w:val="18"/>
        </w:rPr>
        <w:t xml:space="preserve"> as performed in previous work.</w:t>
      </w:r>
      <w:r w:rsidRPr="003A1A2D">
        <w:rPr>
          <w:noProof/>
          <w:color w:val="000000" w:themeColor="text1"/>
          <w:sz w:val="18"/>
          <w:szCs w:val="18"/>
          <w:vertAlign w:val="superscript"/>
        </w:rPr>
        <w:t>51</w:t>
      </w:r>
      <w:r w:rsidRPr="003A1A2D">
        <w:rPr>
          <w:color w:val="000000" w:themeColor="text1"/>
          <w:sz w:val="18"/>
          <w:szCs w:val="18"/>
        </w:rPr>
        <w:t xml:space="preserve"> The required amount of each lyophilised microgel, 6.24% (w/w) for PNA</w:t>
      </w:r>
      <w:r w:rsidRPr="003A1A2D">
        <w:rPr>
          <w:color w:val="000000" w:themeColor="text1"/>
          <w:sz w:val="18"/>
          <w:szCs w:val="18"/>
        </w:rPr>
        <w:noBreakHyphen/>
        <w:t xml:space="preserve">25, and 14.90% (w/w) for PNA-00, was dispersed to form a swollen self-supporting gel in 1 mL of PBS (pH 7.4, 0.137M NaCl and 0.0027M KCl) in a glass vial of internal diameter 20 mm. To this 22.2 mg of LPV or 44.4 mg of LPV SDNs (50% (w/w) loading of LPV) were vortexed to give 22.2 mg of LPV per formulation. These were then heated to 37 °C for 1 hour to form shrunken discs with excess PBS expelled from the discs in the heating process, this was removed and used as the first release time point. These discs were transferred to larger 250 mL glass sample jars with 100 mL of fresh PBS. Subsequent release samples were taken at pre-determined intervals by removing 100 mL from the vessel and replacing with 100 mL of fresh PBS at 37 </w:t>
      </w:r>
      <w:r w:rsidRPr="003A1A2D">
        <w:rPr>
          <w:color w:val="000000" w:themeColor="text1"/>
          <w:sz w:val="18"/>
          <w:szCs w:val="18"/>
        </w:rPr>
        <w:sym w:font="Symbol" w:char="F0B0"/>
      </w:r>
      <w:r w:rsidRPr="003A1A2D">
        <w:rPr>
          <w:color w:val="000000" w:themeColor="text1"/>
          <w:sz w:val="18"/>
          <w:szCs w:val="18"/>
        </w:rPr>
        <w:t xml:space="preserve">C to prevent a saturation limit with a large excess of solvent. Release vessels were kept at 37 </w:t>
      </w:r>
      <w:r w:rsidRPr="003A1A2D">
        <w:rPr>
          <w:color w:val="000000" w:themeColor="text1"/>
          <w:sz w:val="18"/>
          <w:szCs w:val="18"/>
        </w:rPr>
        <w:sym w:font="Symbol" w:char="F0B0"/>
      </w:r>
      <w:r w:rsidRPr="003A1A2D">
        <w:rPr>
          <w:color w:val="000000" w:themeColor="text1"/>
          <w:sz w:val="18"/>
          <w:szCs w:val="18"/>
        </w:rPr>
        <w:t xml:space="preserve">C </w:t>
      </w:r>
      <w:r w:rsidRPr="003A1A2D">
        <w:rPr>
          <w:color w:val="000000" w:themeColor="text1"/>
          <w:sz w:val="18"/>
          <w:szCs w:val="18"/>
        </w:rPr>
        <w:sym w:font="Symbol" w:char="F0B1"/>
      </w:r>
      <w:r w:rsidRPr="003A1A2D">
        <w:rPr>
          <w:color w:val="000000" w:themeColor="text1"/>
          <w:sz w:val="18"/>
          <w:szCs w:val="18"/>
        </w:rPr>
        <w:t xml:space="preserve"> 0.5 </w:t>
      </w:r>
      <w:r w:rsidRPr="003A1A2D">
        <w:rPr>
          <w:color w:val="000000" w:themeColor="text1"/>
          <w:sz w:val="18"/>
          <w:szCs w:val="18"/>
        </w:rPr>
        <w:sym w:font="Symbol" w:char="F0B0"/>
      </w:r>
      <w:r w:rsidRPr="003A1A2D">
        <w:rPr>
          <w:color w:val="000000" w:themeColor="text1"/>
          <w:sz w:val="18"/>
          <w:szCs w:val="18"/>
        </w:rPr>
        <w:t>C in a water bath. The amount of LPV released was quantified by HPLC analysis.</w:t>
      </w:r>
    </w:p>
    <w:p w:rsidR="00890764" w:rsidRPr="003A1A2D" w:rsidRDefault="00890764" w:rsidP="00890764">
      <w:pPr>
        <w:jc w:val="both"/>
        <w:outlineLvl w:val="0"/>
        <w:rPr>
          <w:b/>
          <w:color w:val="000000" w:themeColor="text1"/>
          <w:sz w:val="18"/>
          <w:szCs w:val="18"/>
        </w:rPr>
      </w:pPr>
      <w:r w:rsidRPr="003A1A2D">
        <w:rPr>
          <w:b/>
          <w:color w:val="000000" w:themeColor="text1"/>
          <w:sz w:val="18"/>
          <w:szCs w:val="18"/>
        </w:rPr>
        <w:t>2.9 HPLC Procedure</w:t>
      </w:r>
    </w:p>
    <w:p w:rsidR="00844884" w:rsidRPr="003A1A2D" w:rsidRDefault="00890764" w:rsidP="00890764">
      <w:pPr>
        <w:jc w:val="both"/>
        <w:rPr>
          <w:color w:val="000000" w:themeColor="text1"/>
          <w:sz w:val="18"/>
          <w:szCs w:val="18"/>
        </w:rPr>
      </w:pPr>
      <w:r w:rsidRPr="003A1A2D">
        <w:rPr>
          <w:color w:val="000000" w:themeColor="text1"/>
          <w:sz w:val="18"/>
          <w:szCs w:val="18"/>
        </w:rPr>
        <w:t>The HPLC method is adapted from the method published by</w:t>
      </w:r>
      <w:r w:rsidRPr="003A1A2D">
        <w:t xml:space="preserve"> </w:t>
      </w:r>
      <w:r w:rsidRPr="003A1A2D">
        <w:rPr>
          <w:color w:val="000000" w:themeColor="text1"/>
          <w:sz w:val="18"/>
          <w:szCs w:val="18"/>
        </w:rPr>
        <w:t xml:space="preserve">Giovanni Di Perri </w:t>
      </w:r>
      <w:r w:rsidRPr="003A1A2D">
        <w:rPr>
          <w:i/>
          <w:color w:val="000000" w:themeColor="text1"/>
          <w:sz w:val="18"/>
          <w:szCs w:val="18"/>
        </w:rPr>
        <w:t>et al.</w:t>
      </w:r>
      <w:r w:rsidRPr="003A1A2D">
        <w:rPr>
          <w:noProof/>
          <w:color w:val="000000" w:themeColor="text1"/>
          <w:sz w:val="18"/>
          <w:szCs w:val="18"/>
          <w:vertAlign w:val="superscript"/>
        </w:rPr>
        <w:t>52</w:t>
      </w:r>
      <w:r w:rsidRPr="003A1A2D">
        <w:rPr>
          <w:color w:val="000000" w:themeColor="text1"/>
          <w:sz w:val="18"/>
          <w:szCs w:val="18"/>
        </w:rPr>
        <w:t xml:space="preserve"> Briefly, HPLC grade acetonitrile (MeCN) (1.8 mL) was added to each release sample (4.2 mL) to create 30% (v/v) MeCN samples, followed by filtering through a 0.45 </w:t>
      </w:r>
      <w:r w:rsidRPr="003A1A2D">
        <w:rPr>
          <w:color w:val="000000" w:themeColor="text1"/>
          <w:sz w:val="18"/>
          <w:szCs w:val="18"/>
        </w:rPr>
        <w:sym w:font="Symbol" w:char="F06D"/>
      </w:r>
      <w:r w:rsidRPr="003A1A2D">
        <w:rPr>
          <w:color w:val="000000" w:themeColor="text1"/>
          <w:sz w:val="18"/>
          <w:szCs w:val="18"/>
        </w:rPr>
        <w:t xml:space="preserve">m PTFE syringe filter. 40 </w:t>
      </w:r>
      <w:r w:rsidRPr="003A1A2D">
        <w:rPr>
          <w:color w:val="000000" w:themeColor="text1"/>
          <w:sz w:val="18"/>
          <w:szCs w:val="18"/>
        </w:rPr>
        <w:sym w:font="Symbol" w:char="F06D"/>
      </w:r>
      <w:r w:rsidRPr="003A1A2D">
        <w:rPr>
          <w:color w:val="000000" w:themeColor="text1"/>
          <w:sz w:val="18"/>
          <w:szCs w:val="18"/>
        </w:rPr>
        <w:t>L of the solution was injected into a HPLC-PDA system (Perkin Elmer Series 200). The mobile phase was composed of solvent A (KH</w:t>
      </w:r>
      <w:r w:rsidRPr="003A1A2D">
        <w:rPr>
          <w:color w:val="000000" w:themeColor="text1"/>
          <w:sz w:val="18"/>
          <w:szCs w:val="18"/>
          <w:vertAlign w:val="subscript"/>
        </w:rPr>
        <w:t>2</w:t>
      </w:r>
      <w:r w:rsidRPr="003A1A2D">
        <w:rPr>
          <w:color w:val="000000" w:themeColor="text1"/>
          <w:sz w:val="18"/>
          <w:szCs w:val="18"/>
        </w:rPr>
        <w:t>PO</w:t>
      </w:r>
      <w:r w:rsidRPr="003A1A2D">
        <w:rPr>
          <w:color w:val="000000" w:themeColor="text1"/>
          <w:sz w:val="18"/>
          <w:szCs w:val="18"/>
          <w:vertAlign w:val="subscript"/>
        </w:rPr>
        <w:t>4</w:t>
      </w:r>
      <w:r w:rsidRPr="003A1A2D">
        <w:rPr>
          <w:color w:val="000000" w:themeColor="text1"/>
          <w:sz w:val="18"/>
          <w:szCs w:val="18"/>
        </w:rPr>
        <w:t xml:space="preserve"> 50 mM dissolved in HPLC grade water then pH adjusted with H</w:t>
      </w:r>
      <w:r w:rsidRPr="003A1A2D">
        <w:rPr>
          <w:color w:val="000000" w:themeColor="text1"/>
          <w:sz w:val="18"/>
          <w:szCs w:val="18"/>
          <w:vertAlign w:val="subscript"/>
        </w:rPr>
        <w:t>3</w:t>
      </w:r>
      <w:r w:rsidRPr="003A1A2D">
        <w:rPr>
          <w:color w:val="000000" w:themeColor="text1"/>
          <w:sz w:val="18"/>
          <w:szCs w:val="18"/>
        </w:rPr>
        <w:t>PO</w:t>
      </w:r>
      <w:r w:rsidRPr="003A1A2D">
        <w:rPr>
          <w:color w:val="000000" w:themeColor="text1"/>
          <w:sz w:val="18"/>
          <w:szCs w:val="18"/>
          <w:vertAlign w:val="subscript"/>
        </w:rPr>
        <w:t>4</w:t>
      </w:r>
      <w:r w:rsidRPr="003A1A2D">
        <w:rPr>
          <w:color w:val="000000" w:themeColor="text1"/>
          <w:sz w:val="18"/>
          <w:szCs w:val="18"/>
        </w:rPr>
        <w:t xml:space="preserve"> to reach pH 3.23) and solvent B (MeCN) with the gradient </w:t>
      </w:r>
      <w:r w:rsidRPr="003A1A2D">
        <w:rPr>
          <w:color w:val="000000" w:themeColor="text1"/>
          <w:sz w:val="18"/>
          <w:szCs w:val="18"/>
        </w:rPr>
        <w:lastRenderedPageBreak/>
        <w:t xml:space="preserve">reported in Table 2. Chromatographic separation was performed with an Agilent ZORBAX Eclipse Plus 3.5 </w:t>
      </w:r>
      <w:proofErr w:type="spellStart"/>
      <w:r w:rsidRPr="003A1A2D">
        <w:rPr>
          <w:color w:val="000000" w:themeColor="text1"/>
          <w:sz w:val="18"/>
          <w:szCs w:val="18"/>
        </w:rPr>
        <w:t>μm</w:t>
      </w:r>
      <w:proofErr w:type="spellEnd"/>
      <w:r w:rsidRPr="003A1A2D">
        <w:rPr>
          <w:color w:val="000000" w:themeColor="text1"/>
          <w:sz w:val="18"/>
          <w:szCs w:val="18"/>
        </w:rPr>
        <w:t xml:space="preserve"> C18 column</w:t>
      </w:r>
      <w:r w:rsidR="002C0325" w:rsidRPr="003A1A2D">
        <w:rPr>
          <w:color w:val="000000" w:themeColor="text1"/>
          <w:sz w:val="18"/>
          <w:szCs w:val="18"/>
        </w:rPr>
        <w:t xml:space="preserve"> (100 x 4.6 mm ID, Santa Clara, CA) maintained at 25 </w:t>
      </w:r>
      <w:r w:rsidR="002C0325" w:rsidRPr="003A1A2D">
        <w:rPr>
          <w:color w:val="000000" w:themeColor="text1"/>
          <w:sz w:val="18"/>
          <w:szCs w:val="18"/>
        </w:rPr>
        <w:sym w:font="Symbol" w:char="F0B0"/>
      </w:r>
      <w:r w:rsidR="002C0325" w:rsidRPr="003A1A2D">
        <w:rPr>
          <w:color w:val="000000" w:themeColor="text1"/>
          <w:sz w:val="18"/>
          <w:szCs w:val="18"/>
        </w:rPr>
        <w:t>C in a column oven with a solvent flow rate of 0.5 mL min</w:t>
      </w:r>
      <w:r w:rsidR="002C0325" w:rsidRPr="003A1A2D">
        <w:rPr>
          <w:color w:val="000000" w:themeColor="text1"/>
          <w:sz w:val="18"/>
          <w:szCs w:val="18"/>
          <w:vertAlign w:val="superscript"/>
        </w:rPr>
        <w:t>-1</w:t>
      </w:r>
      <w:r w:rsidR="002C0325" w:rsidRPr="003A1A2D">
        <w:rPr>
          <w:color w:val="000000" w:themeColor="text1"/>
          <w:sz w:val="18"/>
          <w:szCs w:val="18"/>
        </w:rPr>
        <w:t xml:space="preserve"> giving a retention time of LPV of 9.6 </w:t>
      </w:r>
      <w:r w:rsidR="002C0325" w:rsidRPr="003A1A2D">
        <w:rPr>
          <w:color w:val="000000" w:themeColor="text1"/>
          <w:sz w:val="18"/>
          <w:szCs w:val="18"/>
        </w:rPr>
        <w:sym w:font="Symbol" w:char="F0B1"/>
      </w:r>
      <w:r w:rsidR="002C0325" w:rsidRPr="003A1A2D">
        <w:rPr>
          <w:color w:val="000000" w:themeColor="text1"/>
          <w:sz w:val="18"/>
          <w:szCs w:val="18"/>
        </w:rPr>
        <w:t xml:space="preserve"> 0.2 min. The PDA detector was set to 210 nm with a bandwidth of 2 nm. The concentration of LPV in the samples was calculated against known standards using the area under the chromatogram peaks. Three standards covering the concentration range of the HPLC method were used to verify the results, and samples were analysed in duplicate.</w:t>
      </w:r>
      <w:r w:rsidRPr="003A1A2D">
        <w:rPr>
          <w:color w:val="000000" w:themeColor="text1"/>
          <w:sz w:val="18"/>
          <w:szCs w:val="18"/>
        </w:rPr>
        <w:t xml:space="preserve"> </w:t>
      </w:r>
    </w:p>
    <w:tbl>
      <w:tblPr>
        <w:tblStyle w:val="TableGrid"/>
        <w:tblpPr w:leftFromText="181" w:rightFromText="181" w:vertAnchor="page" w:horzAnchor="margin" w:tblpXSpec="right" w:tblpY="1214"/>
        <w:tblOverlap w:val="never"/>
        <w:tblW w:w="0" w:type="auto"/>
        <w:tblLook w:val="04A0" w:firstRow="1" w:lastRow="0" w:firstColumn="1" w:lastColumn="0" w:noHBand="0" w:noVBand="1"/>
      </w:tblPr>
      <w:tblGrid>
        <w:gridCol w:w="4979"/>
      </w:tblGrid>
      <w:tr w:rsidR="00844884" w:rsidRPr="003A1A2D" w:rsidTr="00844884">
        <w:tc>
          <w:tcPr>
            <w:tcW w:w="4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both"/>
              <w:rPr>
                <w:sz w:val="18"/>
                <w:szCs w:val="18"/>
              </w:rPr>
            </w:pPr>
            <w:r w:rsidRPr="003A1A2D">
              <w:rPr>
                <w:noProof/>
                <w:sz w:val="18"/>
                <w:szCs w:val="18"/>
                <w:lang w:eastAsia="en-GB"/>
              </w:rPr>
              <w:drawing>
                <wp:anchor distT="0" distB="0" distL="114300" distR="114300" simplePos="0" relativeHeight="251658752" behindDoc="0" locked="0" layoutInCell="1" allowOverlap="1" wp14:anchorId="3F54CE73" wp14:editId="3380E7F2">
                  <wp:simplePos x="0" y="0"/>
                  <wp:positionH relativeFrom="column">
                    <wp:posOffset>-7620</wp:posOffset>
                  </wp:positionH>
                  <wp:positionV relativeFrom="paragraph">
                    <wp:posOffset>142875</wp:posOffset>
                  </wp:positionV>
                  <wp:extent cx="2999105" cy="673227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9105" cy="6732270"/>
                          </a:xfrm>
                          <a:prstGeom prst="rect">
                            <a:avLst/>
                          </a:prstGeom>
                        </pic:spPr>
                      </pic:pic>
                    </a:graphicData>
                  </a:graphic>
                  <wp14:sizeRelH relativeFrom="page">
                    <wp14:pctWidth>0</wp14:pctWidth>
                  </wp14:sizeRelH>
                  <wp14:sizeRelV relativeFrom="page">
                    <wp14:pctHeight>0</wp14:pctHeight>
                  </wp14:sizeRelV>
                </wp:anchor>
              </w:drawing>
            </w:r>
          </w:p>
        </w:tc>
      </w:tr>
      <w:tr w:rsidR="00844884" w:rsidRPr="003A1A2D" w:rsidTr="00844884">
        <w:tc>
          <w:tcPr>
            <w:tcW w:w="4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884" w:rsidRPr="003A1A2D" w:rsidRDefault="00844884" w:rsidP="00844884">
            <w:pPr>
              <w:jc w:val="both"/>
              <w:rPr>
                <w:bCs/>
                <w:color w:val="000000" w:themeColor="text1"/>
                <w:sz w:val="18"/>
                <w:szCs w:val="18"/>
              </w:rPr>
            </w:pPr>
            <w:r w:rsidRPr="003A1A2D">
              <w:rPr>
                <w:b/>
                <w:bCs/>
                <w:color w:val="000000" w:themeColor="text1"/>
                <w:sz w:val="18"/>
                <w:szCs w:val="18"/>
              </w:rPr>
              <w:t xml:space="preserve">Fig. 2 </w:t>
            </w:r>
            <w:r w:rsidRPr="003A1A2D">
              <w:rPr>
                <w:bCs/>
                <w:color w:val="000000" w:themeColor="text1"/>
                <w:sz w:val="18"/>
                <w:szCs w:val="18"/>
              </w:rPr>
              <w:t>Characterisation of PNA-00 and PNA-25 microgels by dynamic light scattering, l</w:t>
            </w:r>
            <w:r w:rsidRPr="003A1A2D">
              <w:rPr>
                <w:color w:val="000000" w:themeColor="text1"/>
                <w:sz w:val="18"/>
                <w:szCs w:val="18"/>
              </w:rPr>
              <w:t>aser Doppler electrophoresis</w:t>
            </w:r>
            <w:r w:rsidRPr="003A1A2D">
              <w:rPr>
                <w:bCs/>
                <w:color w:val="000000" w:themeColor="text1"/>
                <w:sz w:val="18"/>
                <w:szCs w:val="18"/>
              </w:rPr>
              <w:t xml:space="preserve"> and SEM. (A) SEM images of the dried microgel particles and DLS size distribution by intensity at 25 </w:t>
            </w:r>
            <w:bookmarkStart w:id="0" w:name="OLE_LINK2"/>
            <w:r w:rsidRPr="003A1A2D">
              <w:rPr>
                <w:color w:val="000000" w:themeColor="text1"/>
                <w:sz w:val="18"/>
                <w:szCs w:val="18"/>
              </w:rPr>
              <w:sym w:font="Symbol" w:char="F0B0"/>
            </w:r>
            <w:r w:rsidRPr="003A1A2D">
              <w:rPr>
                <w:bCs/>
                <w:color w:val="000000" w:themeColor="text1"/>
                <w:sz w:val="18"/>
                <w:szCs w:val="18"/>
              </w:rPr>
              <w:t>C</w:t>
            </w:r>
            <w:bookmarkEnd w:id="0"/>
            <w:r w:rsidRPr="003A1A2D">
              <w:rPr>
                <w:bCs/>
                <w:color w:val="000000" w:themeColor="text1"/>
                <w:sz w:val="18"/>
                <w:szCs w:val="18"/>
              </w:rPr>
              <w:t xml:space="preserve"> (i) PNA-00 (ii) PNA-25. (B) Temperature dependence of the hydrodynamic diameter in either water or phosphate buffered saline (PBS) and zeta potential of (i) PNA-00 (ii) PNA-025 in water.</w:t>
            </w:r>
          </w:p>
          <w:p w:rsidR="00844884" w:rsidRPr="003A1A2D" w:rsidRDefault="00844884" w:rsidP="00844884">
            <w:pPr>
              <w:jc w:val="both"/>
              <w:rPr>
                <w:sz w:val="18"/>
                <w:szCs w:val="18"/>
              </w:rPr>
            </w:pPr>
          </w:p>
        </w:tc>
      </w:tr>
    </w:tbl>
    <w:p w:rsidR="00890764" w:rsidRPr="003A1A2D" w:rsidRDefault="00890764" w:rsidP="00890764">
      <w:pPr>
        <w:jc w:val="both"/>
        <w:rPr>
          <w:b/>
          <w:color w:val="000000" w:themeColor="text1"/>
          <w:sz w:val="18"/>
          <w:szCs w:val="18"/>
        </w:rPr>
      </w:pPr>
      <w:r w:rsidRPr="003A1A2D">
        <w:rPr>
          <w:b/>
          <w:color w:val="000000" w:themeColor="text1"/>
          <w:sz w:val="18"/>
          <w:szCs w:val="18"/>
        </w:rPr>
        <w:t xml:space="preserve">2.10 </w:t>
      </w:r>
      <w:r w:rsidRPr="003A1A2D">
        <w:rPr>
          <w:b/>
          <w:i/>
          <w:color w:val="000000" w:themeColor="text1"/>
          <w:sz w:val="18"/>
          <w:szCs w:val="18"/>
        </w:rPr>
        <w:t xml:space="preserve">In vitro </w:t>
      </w:r>
      <w:r w:rsidRPr="003A1A2D">
        <w:rPr>
          <w:b/>
          <w:color w:val="000000" w:themeColor="text1"/>
          <w:sz w:val="18"/>
          <w:szCs w:val="18"/>
        </w:rPr>
        <w:t>microgel cytotoxicity study</w:t>
      </w:r>
    </w:p>
    <w:p w:rsidR="00095A9D" w:rsidRPr="003A1A2D" w:rsidRDefault="00890764" w:rsidP="00890764">
      <w:pPr>
        <w:jc w:val="both"/>
        <w:rPr>
          <w:color w:val="000000" w:themeColor="text1"/>
          <w:sz w:val="18"/>
          <w:szCs w:val="18"/>
        </w:rPr>
      </w:pPr>
      <w:r w:rsidRPr="003A1A2D">
        <w:rPr>
          <w:color w:val="000000" w:themeColor="text1"/>
          <w:sz w:val="18"/>
          <w:szCs w:val="18"/>
        </w:rPr>
        <w:t>Cytotoxicity experiments were carried out on MDCK-II cell lines by MTT and ATP assay (</w:t>
      </w:r>
      <w:proofErr w:type="spellStart"/>
      <w:r w:rsidRPr="003A1A2D">
        <w:rPr>
          <w:color w:val="000000" w:themeColor="text1"/>
          <w:sz w:val="18"/>
          <w:szCs w:val="18"/>
        </w:rPr>
        <w:t>Promega</w:t>
      </w:r>
      <w:proofErr w:type="spellEnd"/>
      <w:r w:rsidRPr="003A1A2D">
        <w:rPr>
          <w:color w:val="000000" w:themeColor="text1"/>
          <w:sz w:val="18"/>
          <w:szCs w:val="18"/>
        </w:rPr>
        <w:t xml:space="preserve"> </w:t>
      </w:r>
      <w:proofErr w:type="spellStart"/>
      <w:r w:rsidRPr="003A1A2D">
        <w:rPr>
          <w:color w:val="000000" w:themeColor="text1"/>
          <w:sz w:val="18"/>
          <w:szCs w:val="18"/>
        </w:rPr>
        <w:t>CellTiter-Glo</w:t>
      </w:r>
      <w:proofErr w:type="spellEnd"/>
      <w:r w:rsidRPr="003A1A2D">
        <w:rPr>
          <w:color w:val="000000" w:themeColor="text1"/>
          <w:sz w:val="18"/>
          <w:szCs w:val="18"/>
        </w:rPr>
        <w:t>® Luminescent Cell Viability Assay, Madison, WI). In both assays cells were seeded on 96</w:t>
      </w:r>
      <w:r w:rsidRPr="003A1A2D">
        <w:rPr>
          <w:color w:val="000000" w:themeColor="text1"/>
          <w:sz w:val="18"/>
          <w:szCs w:val="18"/>
        </w:rPr>
        <w:noBreakHyphen/>
        <w:t>well plates at a density 2x10</w:t>
      </w:r>
      <w:r w:rsidRPr="003A1A2D">
        <w:rPr>
          <w:color w:val="000000" w:themeColor="text1"/>
          <w:sz w:val="18"/>
          <w:szCs w:val="18"/>
          <w:vertAlign w:val="superscript"/>
        </w:rPr>
        <w:t xml:space="preserve">4 </w:t>
      </w:r>
      <w:r w:rsidRPr="003A1A2D">
        <w:rPr>
          <w:color w:val="000000" w:themeColor="text1"/>
          <w:sz w:val="18"/>
          <w:szCs w:val="18"/>
        </w:rPr>
        <w:t>cells per well in 100</w:t>
      </w:r>
      <w:r w:rsidRPr="003A1A2D">
        <w:rPr>
          <w:sz w:val="18"/>
          <w:szCs w:val="18"/>
        </w:rPr>
        <w:t xml:space="preserve"> μL of</w:t>
      </w:r>
      <w:r w:rsidRPr="003A1A2D">
        <w:rPr>
          <w:color w:val="000000" w:themeColor="text1"/>
          <w:sz w:val="18"/>
          <w:szCs w:val="18"/>
        </w:rPr>
        <w:t xml:space="preserve"> Dulbecco’s Modified Eagle Medium (DMEM) and incubated for 24 hours. Ten different concentrations of the microgels were prepared by ten-fold serial dilution with the media, starting at </w:t>
      </w:r>
      <w:r w:rsidRPr="003A1A2D">
        <w:rPr>
          <w:sz w:val="18"/>
          <w:szCs w:val="18"/>
        </w:rPr>
        <w:t>1</w:t>
      </w:r>
      <w:r w:rsidRPr="003A1A2D">
        <w:rPr>
          <w:color w:val="000000" w:themeColor="text1"/>
          <w:sz w:val="18"/>
          <w:szCs w:val="18"/>
        </w:rPr>
        <w:t>0 mg mL</w:t>
      </w:r>
      <w:r w:rsidRPr="003A1A2D">
        <w:rPr>
          <w:color w:val="000000" w:themeColor="text1"/>
          <w:sz w:val="18"/>
          <w:szCs w:val="18"/>
          <w:vertAlign w:val="superscript"/>
        </w:rPr>
        <w:t>-1</w:t>
      </w:r>
      <w:r w:rsidRPr="003A1A2D">
        <w:rPr>
          <w:color w:val="000000" w:themeColor="text1"/>
          <w:sz w:val="18"/>
          <w:szCs w:val="18"/>
        </w:rPr>
        <w:t xml:space="preserve">. A ten-fold serial dilution of rotenone from </w:t>
      </w:r>
      <w:r w:rsidRPr="003A1A2D">
        <w:rPr>
          <w:sz w:val="18"/>
          <w:szCs w:val="18"/>
        </w:rPr>
        <w:t>100 µM</w:t>
      </w:r>
      <w:r w:rsidRPr="003A1A2D">
        <w:rPr>
          <w:color w:val="000000" w:themeColor="text1"/>
          <w:sz w:val="18"/>
          <w:szCs w:val="18"/>
        </w:rPr>
        <w:t xml:space="preserve"> acted as a positive control, and cells alone in media as a negative control. Cells were incubated for 72 hours at 37 </w:t>
      </w:r>
      <w:r w:rsidRPr="003A1A2D">
        <w:rPr>
          <w:color w:val="000000" w:themeColor="text1"/>
          <w:sz w:val="18"/>
          <w:szCs w:val="18"/>
        </w:rPr>
        <w:sym w:font="Symbol" w:char="F0B0"/>
      </w:r>
      <w:r w:rsidRPr="003A1A2D">
        <w:rPr>
          <w:color w:val="000000" w:themeColor="text1"/>
          <w:sz w:val="18"/>
          <w:szCs w:val="18"/>
        </w:rPr>
        <w:t>C. In the ATP assay the wells were then equilibrated at room temperature for 30 minutes. 100</w:t>
      </w:r>
      <w:r w:rsidRPr="003A1A2D">
        <w:rPr>
          <w:sz w:val="18"/>
          <w:szCs w:val="18"/>
        </w:rPr>
        <w:t xml:space="preserve"> μL of</w:t>
      </w:r>
      <w:r w:rsidRPr="003A1A2D">
        <w:rPr>
          <w:color w:val="000000" w:themeColor="text1"/>
          <w:sz w:val="18"/>
          <w:szCs w:val="18"/>
        </w:rPr>
        <w:t xml:space="preserve"> Beetle Luciferin (</w:t>
      </w:r>
      <w:proofErr w:type="spellStart"/>
      <w:r w:rsidRPr="003A1A2D">
        <w:rPr>
          <w:color w:val="000000" w:themeColor="text1"/>
          <w:sz w:val="18"/>
          <w:szCs w:val="18"/>
        </w:rPr>
        <w:t>CellTiter-Glo</w:t>
      </w:r>
      <w:proofErr w:type="spellEnd"/>
      <w:r w:rsidRPr="003A1A2D">
        <w:rPr>
          <w:color w:val="000000" w:themeColor="text1"/>
          <w:sz w:val="18"/>
          <w:szCs w:val="18"/>
        </w:rPr>
        <w:t>® Reagent) was added and mixed on an orbital shaker for 2 minutes to induce cell lysis. After incubation for 10 minutes at room temperature the luminescent signal was measured</w:t>
      </w:r>
      <w:r w:rsidRPr="003A1A2D">
        <w:rPr>
          <w:sz w:val="18"/>
          <w:szCs w:val="18"/>
        </w:rPr>
        <w:t xml:space="preserve"> using a </w:t>
      </w:r>
      <w:r w:rsidR="002C0325" w:rsidRPr="003A1A2D">
        <w:rPr>
          <w:sz w:val="18"/>
          <w:szCs w:val="18"/>
        </w:rPr>
        <w:t>GENios microplate reader (TECAN). Samples were repeated in quadruplicate. The background luminescence of DMEM was subtracted from the sample luminescence. In the MTT assay after the 72 hour incubation period, 5 mg of MTT was dissolved in 1 mL of hank’s balanced salt solution (HBSS). 20 μL was added to each well and incubated for 2 hours, followed by 100 μL of lysis buffer (50% DMF in water containing 20% SDS) for 12 hours. The absorbance of each well was measured at a wavelength of 560 nm using a GENios microplate reader (TECAN). Samples were repeated in quadruplicate. The absorbance of DMEM, and the absorbance of microgel interaction with MTT without cells present, was subtracted from the sample absorption.</w:t>
      </w:r>
    </w:p>
    <w:p w:rsidR="00890764" w:rsidRPr="003A1A2D" w:rsidRDefault="00890764" w:rsidP="00890764">
      <w:pPr>
        <w:jc w:val="both"/>
        <w:outlineLvl w:val="0"/>
        <w:rPr>
          <w:b/>
          <w:bCs/>
          <w:sz w:val="24"/>
          <w:szCs w:val="18"/>
        </w:rPr>
      </w:pPr>
      <w:r w:rsidRPr="003A1A2D">
        <w:rPr>
          <w:b/>
          <w:bCs/>
          <w:sz w:val="24"/>
          <w:szCs w:val="18"/>
        </w:rPr>
        <w:t>3. Results and discussion</w:t>
      </w:r>
    </w:p>
    <w:p w:rsidR="00890764" w:rsidRPr="003A1A2D" w:rsidRDefault="00890764" w:rsidP="00890764">
      <w:pPr>
        <w:jc w:val="both"/>
        <w:outlineLvl w:val="0"/>
        <w:rPr>
          <w:b/>
          <w:sz w:val="18"/>
          <w:szCs w:val="18"/>
        </w:rPr>
      </w:pPr>
      <w:r w:rsidRPr="003A1A2D">
        <w:rPr>
          <w:b/>
          <w:sz w:val="18"/>
          <w:szCs w:val="18"/>
        </w:rPr>
        <w:t>3.1 Preparation and characterisation of PNIPAm microgels</w:t>
      </w:r>
    </w:p>
    <w:p w:rsidR="002C0325" w:rsidRPr="003A1A2D" w:rsidRDefault="00890764" w:rsidP="002C0325">
      <w:pPr>
        <w:jc w:val="both"/>
        <w:rPr>
          <w:color w:val="000000" w:themeColor="text1"/>
          <w:sz w:val="18"/>
          <w:szCs w:val="18"/>
        </w:rPr>
      </w:pPr>
      <w:r w:rsidRPr="003A1A2D">
        <w:rPr>
          <w:sz w:val="18"/>
          <w:szCs w:val="18"/>
        </w:rPr>
        <w:t xml:space="preserve">PNIPAm microgels were prepared </w:t>
      </w:r>
      <w:r w:rsidRPr="003A1A2D">
        <w:rPr>
          <w:i/>
          <w:sz w:val="18"/>
          <w:szCs w:val="18"/>
        </w:rPr>
        <w:t>via</w:t>
      </w:r>
      <w:r w:rsidRPr="003A1A2D">
        <w:rPr>
          <w:sz w:val="18"/>
          <w:szCs w:val="18"/>
        </w:rPr>
        <w:t xml:space="preserve"> precipitation polymerisation before being characterised by dynamic light scattering (DLS)</w:t>
      </w:r>
      <w:r w:rsidR="00C13454" w:rsidRPr="003A1A2D">
        <w:rPr>
          <w:sz w:val="18"/>
          <w:szCs w:val="18"/>
        </w:rPr>
        <w:t>, scanning electron microscopy (SEM), Fourier transform infrared spectroscopy (FTIR) and potentiometric titration</w:t>
      </w:r>
      <w:r w:rsidRPr="003A1A2D">
        <w:rPr>
          <w:sz w:val="18"/>
          <w:szCs w:val="18"/>
        </w:rPr>
        <w:t>. When the NIPAm monomer is used at a sufficiently low concentration (5.8 mg mL</w:t>
      </w:r>
      <w:r w:rsidRPr="003A1A2D">
        <w:rPr>
          <w:sz w:val="18"/>
          <w:szCs w:val="18"/>
          <w:vertAlign w:val="superscript"/>
        </w:rPr>
        <w:t>-1</w:t>
      </w:r>
      <w:r w:rsidRPr="003A1A2D">
        <w:rPr>
          <w:sz w:val="18"/>
          <w:szCs w:val="18"/>
        </w:rPr>
        <w:t xml:space="preserve">) in aqueous solution, Table 1, narrow </w:t>
      </w:r>
      <w:r w:rsidR="001D56B4">
        <w:rPr>
          <w:sz w:val="18"/>
          <w:szCs w:val="18"/>
        </w:rPr>
        <w:t>poly</w:t>
      </w:r>
      <w:r w:rsidRPr="003A1A2D">
        <w:rPr>
          <w:sz w:val="18"/>
          <w:szCs w:val="18"/>
        </w:rPr>
        <w:t xml:space="preserve">dispersity microgel particles, PNA-00 (mean Z-average diameter = 567 nm, PdI = 0.24 at 25 </w:t>
      </w:r>
      <w:r w:rsidRPr="003A1A2D">
        <w:rPr>
          <w:color w:val="000000" w:themeColor="text1"/>
          <w:sz w:val="18"/>
          <w:szCs w:val="18"/>
        </w:rPr>
        <w:sym w:font="Symbol" w:char="F0B0"/>
      </w:r>
      <w:r w:rsidRPr="003A1A2D">
        <w:rPr>
          <w:sz w:val="18"/>
          <w:szCs w:val="18"/>
        </w:rPr>
        <w:t>C</w:t>
      </w:r>
      <w:r w:rsidRPr="003A1A2D">
        <w:rPr>
          <w:color w:val="000000" w:themeColor="text1"/>
          <w:sz w:val="18"/>
          <w:szCs w:val="18"/>
        </w:rPr>
        <w:t>)</w:t>
      </w:r>
      <w:r w:rsidRPr="003A1A2D">
        <w:rPr>
          <w:sz w:val="18"/>
          <w:szCs w:val="18"/>
        </w:rPr>
        <w:t xml:space="preserve"> were produced, Fig. 2 (A)(i). When the charged comonomer allyl amine (AlA) was introduced at 25 mol% the concentration of NIPAm in the synthesis could be increased, Table 1, whilst still obtaining </w:t>
      </w:r>
      <w:r w:rsidR="002C0325" w:rsidRPr="003A1A2D">
        <w:rPr>
          <w:sz w:val="18"/>
          <w:szCs w:val="18"/>
        </w:rPr>
        <w:t xml:space="preserve">monodisperse particles of a similar size, as in PNA-25 (mean Z-average diameter = 547 nm, PdI = 0.11 at 25 </w:t>
      </w:r>
      <w:r w:rsidR="002C0325" w:rsidRPr="003A1A2D">
        <w:rPr>
          <w:color w:val="000000" w:themeColor="text1"/>
          <w:sz w:val="18"/>
          <w:szCs w:val="18"/>
        </w:rPr>
        <w:sym w:font="Symbol" w:char="F0B0"/>
      </w:r>
      <w:r w:rsidR="002C0325" w:rsidRPr="003A1A2D">
        <w:rPr>
          <w:sz w:val="18"/>
          <w:szCs w:val="18"/>
        </w:rPr>
        <w:t>C</w:t>
      </w:r>
      <w:r w:rsidR="002C0325" w:rsidRPr="003A1A2D">
        <w:rPr>
          <w:color w:val="000000" w:themeColor="text1"/>
          <w:sz w:val="18"/>
          <w:szCs w:val="18"/>
        </w:rPr>
        <w:t>)</w:t>
      </w:r>
      <w:r w:rsidR="002C0325" w:rsidRPr="003A1A2D">
        <w:rPr>
          <w:sz w:val="18"/>
          <w:szCs w:val="18"/>
        </w:rPr>
        <w:t xml:space="preserve"> Fig. 2 (A)(ii). This was attributed to the comonomer providing electrostatic stabilisation of the particles during synthesis, preventing aggregation when the concentration of growing particles </w:t>
      </w:r>
      <w:r w:rsidR="003A0749" w:rsidRPr="003A1A2D">
        <w:rPr>
          <w:sz w:val="18"/>
          <w:szCs w:val="18"/>
        </w:rPr>
        <w:t xml:space="preserve">during synthesis is increased. </w:t>
      </w:r>
      <w:r w:rsidR="002C0325" w:rsidRPr="003A1A2D">
        <w:rPr>
          <w:sz w:val="18"/>
          <w:szCs w:val="18"/>
        </w:rPr>
        <w:t xml:space="preserve">SEM images show that discrete monodisperse particles were formed for </w:t>
      </w:r>
      <w:r w:rsidR="002C0325" w:rsidRPr="003A1A2D">
        <w:rPr>
          <w:sz w:val="18"/>
          <w:szCs w:val="18"/>
        </w:rPr>
        <w:lastRenderedPageBreak/>
        <w:t xml:space="preserve">both microgel samples PNA-00 and PNA-25, with a diameter corresponding to the Z-average diameter of the particles above the VPTT measured via DLS (approximately 250 nm). </w:t>
      </w:r>
      <w:r w:rsidR="002C0325" w:rsidRPr="003A1A2D">
        <w:rPr>
          <w:sz w:val="18"/>
          <w:szCs w:val="18"/>
          <w:vertAlign w:val="superscript"/>
        </w:rPr>
        <w:t>1</w:t>
      </w:r>
      <w:r w:rsidR="002C0325" w:rsidRPr="003A1A2D">
        <w:rPr>
          <w:sz w:val="18"/>
          <w:szCs w:val="18"/>
        </w:rPr>
        <w:t>H NMR and FTIR spectra is consistent with previous microgel characterisations, with all proton signals of PNIPAM accounted for (see ESI Fig. S1) with a weak signal detected at 2.81 ppm for the CH</w:t>
      </w:r>
      <w:r w:rsidR="002C0325" w:rsidRPr="003A1A2D">
        <w:rPr>
          <w:sz w:val="18"/>
          <w:szCs w:val="18"/>
          <w:vertAlign w:val="subscript"/>
        </w:rPr>
        <w:t>2</w:t>
      </w:r>
      <w:r w:rsidR="002C0325" w:rsidRPr="003A1A2D">
        <w:rPr>
          <w:sz w:val="18"/>
          <w:szCs w:val="18"/>
        </w:rPr>
        <w:t xml:space="preserve"> in the side group of the polyallylamine repeat unit.</w:t>
      </w:r>
      <w:r w:rsidR="002C0325" w:rsidRPr="003A1A2D">
        <w:rPr>
          <w:noProof/>
          <w:sz w:val="18"/>
          <w:szCs w:val="18"/>
          <w:vertAlign w:val="superscript"/>
        </w:rPr>
        <w:t>53–55</w:t>
      </w:r>
      <w:r w:rsidR="002C0325" w:rsidRPr="003A1A2D">
        <w:rPr>
          <w:sz w:val="18"/>
          <w:szCs w:val="18"/>
        </w:rPr>
        <w:t xml:space="preserve"> </w:t>
      </w:r>
      <w:r w:rsidR="002C0325" w:rsidRPr="003A1A2D">
        <w:rPr>
          <w:color w:val="000000" w:themeColor="text1"/>
          <w:sz w:val="18"/>
          <w:szCs w:val="18"/>
        </w:rPr>
        <w:t xml:space="preserve">NMR analysis also demonstrated that all unreacted monomers were removed during workup of the microgels as no vinyl peaks can be seen in the range 5.5-6.5 ppm. </w:t>
      </w:r>
      <w:r w:rsidR="002C0325" w:rsidRPr="003A1A2D">
        <w:rPr>
          <w:sz w:val="18"/>
          <w:szCs w:val="18"/>
        </w:rPr>
        <w:t xml:space="preserve">The FTIR spectra for the microgels were found to match that of previously studied PNIPAM microgels, however there was no noticeable difference between the IR spectra for PNA-00 and PNA-25. This was likely because the mol% of comonomer AlA incorporation was low or due to overlap between the signals for the primary amines of the </w:t>
      </w:r>
      <w:proofErr w:type="gramStart"/>
      <w:r w:rsidR="002C0325" w:rsidRPr="003A1A2D">
        <w:rPr>
          <w:sz w:val="18"/>
          <w:szCs w:val="18"/>
        </w:rPr>
        <w:t>poly(</w:t>
      </w:r>
      <w:proofErr w:type="gramEnd"/>
      <w:r w:rsidR="002C0325" w:rsidRPr="003A1A2D">
        <w:rPr>
          <w:sz w:val="18"/>
          <w:szCs w:val="18"/>
        </w:rPr>
        <w:t>allyl amine) repeat unit compared to the signal from the amides from poly(N-isopropylacrylamide) (see ESI Fig.  S2).</w:t>
      </w:r>
      <w:r w:rsidR="002C0325" w:rsidRPr="003A1A2D">
        <w:rPr>
          <w:noProof/>
          <w:sz w:val="18"/>
          <w:szCs w:val="18"/>
          <w:vertAlign w:val="superscript"/>
        </w:rPr>
        <w:t>36</w:t>
      </w:r>
      <w:r w:rsidR="002C0325" w:rsidRPr="003A1A2D">
        <w:rPr>
          <w:sz w:val="18"/>
          <w:szCs w:val="18"/>
        </w:rPr>
        <w:t xml:space="preserve"> </w:t>
      </w:r>
      <w:r w:rsidR="002C0325" w:rsidRPr="003A1A2D">
        <w:rPr>
          <w:color w:val="000000" w:themeColor="text1"/>
          <w:sz w:val="18"/>
          <w:szCs w:val="18"/>
        </w:rPr>
        <w:t>Due to the lack of clear signals to prove allyl amine inclusion potentiometric titration was used to quantify the number of amines present in the sample.</w:t>
      </w:r>
      <w:r w:rsidR="002C0325" w:rsidRPr="003A1A2D">
        <w:rPr>
          <w:noProof/>
          <w:color w:val="000000" w:themeColor="text1"/>
          <w:sz w:val="18"/>
          <w:szCs w:val="18"/>
          <w:vertAlign w:val="superscript"/>
        </w:rPr>
        <w:t>38,56,57</w:t>
      </w:r>
      <w:r w:rsidR="002C0325" w:rsidRPr="003A1A2D">
        <w:rPr>
          <w:color w:val="000000" w:themeColor="text1"/>
          <w:sz w:val="18"/>
          <w:szCs w:val="18"/>
        </w:rPr>
        <w:t xml:space="preserve"> This suggests </w:t>
      </w:r>
      <w:r w:rsidR="002C0325" w:rsidRPr="003A1A2D">
        <w:rPr>
          <w:sz w:val="18"/>
          <w:szCs w:val="18"/>
        </w:rPr>
        <w:t>3.1 mol% AlA was incorporated into the microgel. (see ESI Fig. S3).</w:t>
      </w:r>
    </w:p>
    <w:p w:rsidR="00405CFA" w:rsidRPr="003A1A2D" w:rsidRDefault="00890764" w:rsidP="00E3215D">
      <w:pPr>
        <w:jc w:val="both"/>
        <w:rPr>
          <w:color w:val="000000" w:themeColor="text1"/>
          <w:sz w:val="18"/>
          <w:szCs w:val="18"/>
        </w:rPr>
      </w:pPr>
      <w:r w:rsidRPr="003A1A2D">
        <w:rPr>
          <w:sz w:val="18"/>
          <w:szCs w:val="18"/>
        </w:rPr>
        <w:t xml:space="preserve">In order to investigate the dual-stimuli responsive properties of the microgel samples, the Z-average diameter and zeta potential of the microgels were measured at intervals over the temperature range </w:t>
      </w:r>
      <w:r w:rsidRPr="003A1A2D">
        <w:rPr>
          <w:color w:val="000000" w:themeColor="text1"/>
          <w:sz w:val="18"/>
          <w:szCs w:val="18"/>
        </w:rPr>
        <w:t xml:space="preserve">15 to 55 </w:t>
      </w:r>
      <w:r w:rsidRPr="003A1A2D">
        <w:rPr>
          <w:color w:val="000000" w:themeColor="text1"/>
          <w:sz w:val="18"/>
          <w:szCs w:val="18"/>
        </w:rPr>
        <w:sym w:font="Symbol" w:char="F0B0"/>
      </w:r>
      <w:r w:rsidRPr="003A1A2D">
        <w:rPr>
          <w:color w:val="000000" w:themeColor="text1"/>
          <w:sz w:val="18"/>
          <w:szCs w:val="18"/>
        </w:rPr>
        <w:t>C for both PNA-00 and PNA-25. As PNA-00 is heated in water the particles de-swell but remain colloidally stable, resulting in the dramatic decrease in Z-average diameter</w:t>
      </w:r>
      <w:r w:rsidRPr="003A1A2D">
        <w:rPr>
          <w:color w:val="000000" w:themeColor="text1"/>
          <w:sz w:val="18"/>
          <w:szCs w:val="18"/>
          <w:vertAlign w:val="subscript"/>
        </w:rPr>
        <w:t xml:space="preserve"> </w:t>
      </w:r>
      <w:r w:rsidRPr="003A1A2D">
        <w:rPr>
          <w:color w:val="000000" w:themeColor="text1"/>
          <w:sz w:val="18"/>
          <w:szCs w:val="18"/>
        </w:rPr>
        <w:t>at the VPTT, Fig. 2 (B)(i), as first shown by Pelton et al.</w:t>
      </w:r>
      <w:r w:rsidR="00E76CCF" w:rsidRPr="003A1A2D">
        <w:rPr>
          <w:noProof/>
          <w:color w:val="000000" w:themeColor="text1"/>
          <w:sz w:val="18"/>
          <w:szCs w:val="18"/>
          <w:vertAlign w:val="superscript"/>
        </w:rPr>
        <w:t>58</w:t>
      </w:r>
      <w:r w:rsidRPr="003A1A2D">
        <w:rPr>
          <w:color w:val="000000" w:themeColor="text1"/>
          <w:sz w:val="18"/>
          <w:szCs w:val="18"/>
        </w:rPr>
        <w:t xml:space="preserve"> In the presence of salts at physiological concentrations (0.137 M) the particles flocculate as they reach the VPTT, indicated by the dramatic increase in Z-average diameter</w:t>
      </w:r>
      <w:r w:rsidRPr="003A1A2D">
        <w:rPr>
          <w:color w:val="000000" w:themeColor="text1"/>
          <w:sz w:val="18"/>
          <w:szCs w:val="18"/>
          <w:vertAlign w:val="subscript"/>
        </w:rPr>
        <w:t xml:space="preserve"> </w:t>
      </w:r>
      <w:r w:rsidRPr="003A1A2D">
        <w:rPr>
          <w:color w:val="000000" w:themeColor="text1"/>
          <w:sz w:val="18"/>
          <w:szCs w:val="18"/>
        </w:rPr>
        <w:t xml:space="preserve">beyond 32 </w:t>
      </w:r>
      <w:r w:rsidRPr="003A1A2D">
        <w:rPr>
          <w:color w:val="000000" w:themeColor="text1"/>
          <w:sz w:val="18"/>
          <w:szCs w:val="18"/>
        </w:rPr>
        <w:sym w:font="Symbol" w:char="F0B0"/>
      </w:r>
      <w:r w:rsidRPr="003A1A2D">
        <w:rPr>
          <w:color w:val="000000" w:themeColor="text1"/>
          <w:sz w:val="18"/>
          <w:szCs w:val="18"/>
        </w:rPr>
        <w:t>C.</w:t>
      </w:r>
      <w:r w:rsidRPr="003A1A2D">
        <w:rPr>
          <w:noProof/>
          <w:color w:val="000000" w:themeColor="text1"/>
          <w:sz w:val="18"/>
          <w:szCs w:val="18"/>
          <w:vertAlign w:val="superscript"/>
        </w:rPr>
        <w:t>39</w:t>
      </w:r>
      <w:r w:rsidRPr="003A1A2D">
        <w:rPr>
          <w:color w:val="000000" w:themeColor="text1"/>
          <w:sz w:val="18"/>
          <w:szCs w:val="18"/>
        </w:rPr>
        <w:t xml:space="preserve"> </w:t>
      </w:r>
      <w:r w:rsidRPr="003A1A2D">
        <w:rPr>
          <w:sz w:val="18"/>
          <w:szCs w:val="18"/>
        </w:rPr>
        <w:t xml:space="preserve">The sample containing 25 mol% AlA (PNA-25) showed the same colloidal stability in water and triggered flocculation in PBS, Fig. 2(B)(ii). </w:t>
      </w:r>
      <w:r w:rsidR="00862FF0" w:rsidRPr="003A1A2D">
        <w:rPr>
          <w:color w:val="000000" w:themeColor="text1"/>
          <w:sz w:val="18"/>
          <w:szCs w:val="18"/>
        </w:rPr>
        <w:t xml:space="preserve">The salt-responsive </w:t>
      </w:r>
      <w:r w:rsidR="00162495" w:rsidRPr="003A1A2D">
        <w:rPr>
          <w:color w:val="000000" w:themeColor="text1"/>
          <w:sz w:val="18"/>
          <w:szCs w:val="18"/>
        </w:rPr>
        <w:t>flocculation</w:t>
      </w:r>
      <w:r w:rsidR="00862FF0" w:rsidRPr="003A1A2D">
        <w:rPr>
          <w:color w:val="000000" w:themeColor="text1"/>
          <w:sz w:val="18"/>
          <w:szCs w:val="18"/>
        </w:rPr>
        <w:t xml:space="preserve"> of the microgels was also investigated with</w:t>
      </w:r>
      <w:r w:rsidR="00DC1351" w:rsidRPr="003A1A2D">
        <w:rPr>
          <w:color w:val="000000" w:themeColor="text1"/>
          <w:sz w:val="18"/>
          <w:szCs w:val="18"/>
        </w:rPr>
        <w:t xml:space="preserve"> a range of NaCl concentrations</w:t>
      </w:r>
      <w:r w:rsidR="00862FF0" w:rsidRPr="003A1A2D">
        <w:rPr>
          <w:color w:val="000000" w:themeColor="text1"/>
          <w:sz w:val="18"/>
          <w:szCs w:val="18"/>
        </w:rPr>
        <w:t>.</w:t>
      </w:r>
      <w:r w:rsidR="004F4522" w:rsidRPr="003A1A2D">
        <w:rPr>
          <w:color w:val="000000" w:themeColor="text1"/>
          <w:sz w:val="18"/>
          <w:szCs w:val="18"/>
        </w:rPr>
        <w:t xml:space="preserve"> Increasing the NaCl concentration resulted in the aggregation temperature decreasing due to the poorer solvent environment for the PNIPAM. PNA</w:t>
      </w:r>
      <w:r w:rsidR="004F4522" w:rsidRPr="003A1A2D">
        <w:rPr>
          <w:color w:val="000000" w:themeColor="text1"/>
          <w:sz w:val="18"/>
          <w:szCs w:val="18"/>
        </w:rPr>
        <w:noBreakHyphen/>
        <w:t xml:space="preserve">00 and PNA-25 were both found to show similar responses, table 3. </w:t>
      </w:r>
      <w:r w:rsidR="00862FF0" w:rsidRPr="003A1A2D">
        <w:rPr>
          <w:color w:val="000000" w:themeColor="text1"/>
          <w:sz w:val="18"/>
          <w:szCs w:val="18"/>
        </w:rPr>
        <w:t xml:space="preserve"> Previous work by Vincent et al has shown that PNIPAM microgels synthesised with BIS and a sulphate initiator </w:t>
      </w:r>
      <w:r w:rsidR="00162495" w:rsidRPr="003A1A2D">
        <w:rPr>
          <w:color w:val="000000" w:themeColor="text1"/>
          <w:sz w:val="18"/>
          <w:szCs w:val="18"/>
        </w:rPr>
        <w:t>flocculate</w:t>
      </w:r>
      <w:r w:rsidR="00862FF0" w:rsidRPr="003A1A2D">
        <w:rPr>
          <w:color w:val="000000" w:themeColor="text1"/>
          <w:sz w:val="18"/>
          <w:szCs w:val="18"/>
        </w:rPr>
        <w:t xml:space="preserve"> in NaCl above a concentration of 0.025M</w:t>
      </w:r>
      <w:r w:rsidR="00DC1351" w:rsidRPr="003A1A2D">
        <w:rPr>
          <w:color w:val="000000" w:themeColor="text1"/>
          <w:sz w:val="18"/>
          <w:szCs w:val="18"/>
        </w:rPr>
        <w:t xml:space="preserve"> when raising the temperature</w:t>
      </w:r>
      <w:r w:rsidR="00862FF0" w:rsidRPr="003A1A2D">
        <w:rPr>
          <w:color w:val="000000" w:themeColor="text1"/>
          <w:sz w:val="18"/>
          <w:szCs w:val="18"/>
        </w:rPr>
        <w:t>.</w:t>
      </w:r>
      <w:r w:rsidR="00862FF0" w:rsidRPr="003A1A2D">
        <w:rPr>
          <w:noProof/>
          <w:color w:val="000000" w:themeColor="text1"/>
          <w:sz w:val="18"/>
          <w:szCs w:val="18"/>
          <w:vertAlign w:val="superscript"/>
        </w:rPr>
        <w:t>43</w:t>
      </w:r>
      <w:r w:rsidR="00862FF0" w:rsidRPr="003A1A2D">
        <w:rPr>
          <w:color w:val="000000" w:themeColor="text1"/>
          <w:sz w:val="18"/>
          <w:szCs w:val="18"/>
        </w:rPr>
        <w:t xml:space="preserve"> </w:t>
      </w:r>
      <w:r w:rsidR="00DC1351" w:rsidRPr="003A1A2D">
        <w:rPr>
          <w:color w:val="000000" w:themeColor="text1"/>
          <w:sz w:val="18"/>
          <w:szCs w:val="18"/>
        </w:rPr>
        <w:t xml:space="preserve">At a low NaCl concentration the interparticle electrostatic repulsion was great enough to prevent </w:t>
      </w:r>
      <w:r w:rsidR="00162495" w:rsidRPr="003A1A2D">
        <w:rPr>
          <w:color w:val="000000" w:themeColor="text1"/>
          <w:sz w:val="18"/>
          <w:szCs w:val="18"/>
        </w:rPr>
        <w:t>flocculation</w:t>
      </w:r>
      <w:r w:rsidR="003A0749" w:rsidRPr="003A1A2D">
        <w:rPr>
          <w:color w:val="000000" w:themeColor="text1"/>
          <w:sz w:val="18"/>
          <w:szCs w:val="18"/>
        </w:rPr>
        <w:t>. At</w:t>
      </w:r>
      <w:r w:rsidR="00DC1351" w:rsidRPr="003A1A2D">
        <w:rPr>
          <w:color w:val="000000" w:themeColor="text1"/>
          <w:sz w:val="18"/>
          <w:szCs w:val="18"/>
        </w:rPr>
        <w:t xml:space="preserve"> higher concentration</w:t>
      </w:r>
      <w:r w:rsidR="003A0749" w:rsidRPr="003A1A2D">
        <w:rPr>
          <w:color w:val="000000" w:themeColor="text1"/>
          <w:sz w:val="18"/>
          <w:szCs w:val="18"/>
        </w:rPr>
        <w:t>s</w:t>
      </w:r>
      <w:r w:rsidR="00DC1351" w:rsidRPr="003A1A2D">
        <w:rPr>
          <w:color w:val="000000" w:themeColor="text1"/>
          <w:sz w:val="18"/>
          <w:szCs w:val="18"/>
        </w:rPr>
        <w:t xml:space="preserve"> these electrostatic forces are weakened enough to allow </w:t>
      </w:r>
      <w:r w:rsidR="00162495" w:rsidRPr="003A1A2D">
        <w:rPr>
          <w:color w:val="000000" w:themeColor="text1"/>
          <w:sz w:val="18"/>
          <w:szCs w:val="18"/>
        </w:rPr>
        <w:t>flocculation</w:t>
      </w:r>
      <w:r w:rsidR="00DC1351" w:rsidRPr="003A1A2D">
        <w:rPr>
          <w:color w:val="000000" w:themeColor="text1"/>
          <w:sz w:val="18"/>
          <w:szCs w:val="18"/>
        </w:rPr>
        <w:t xml:space="preserve">. </w:t>
      </w:r>
      <w:r w:rsidRPr="003A1A2D">
        <w:rPr>
          <w:color w:val="000000" w:themeColor="text1"/>
          <w:sz w:val="18"/>
          <w:szCs w:val="18"/>
        </w:rPr>
        <w:t>Analysis of the zeta potential of PNA</w:t>
      </w:r>
      <w:r w:rsidRPr="003A1A2D">
        <w:rPr>
          <w:color w:val="000000" w:themeColor="text1"/>
          <w:sz w:val="18"/>
          <w:szCs w:val="18"/>
        </w:rPr>
        <w:noBreakHyphen/>
        <w:t xml:space="preserve">00 with increasing temperature in water displayed an initial negative </w:t>
      </w:r>
      <w:bookmarkStart w:id="1" w:name="OLE_LINK1"/>
      <w:r w:rsidRPr="003A1A2D">
        <w:rPr>
          <w:sz w:val="18"/>
          <w:szCs w:val="18"/>
        </w:rPr>
        <w:t xml:space="preserve">zeta-potential </w:t>
      </w:r>
      <w:bookmarkEnd w:id="1"/>
      <w:r w:rsidRPr="003A1A2D">
        <w:rPr>
          <w:sz w:val="18"/>
          <w:szCs w:val="18"/>
        </w:rPr>
        <w:t xml:space="preserve">of -12 mV up to 25 </w:t>
      </w:r>
      <w:r w:rsidRPr="003A1A2D">
        <w:rPr>
          <w:color w:val="000000" w:themeColor="text1"/>
          <w:sz w:val="18"/>
          <w:szCs w:val="18"/>
        </w:rPr>
        <w:sym w:font="Symbol" w:char="F0B0"/>
      </w:r>
      <w:r w:rsidRPr="003A1A2D">
        <w:rPr>
          <w:color w:val="000000" w:themeColor="text1"/>
          <w:sz w:val="18"/>
          <w:szCs w:val="18"/>
        </w:rPr>
        <w:t>C, attributed</w:t>
      </w:r>
      <w:r w:rsidRPr="003A1A2D">
        <w:rPr>
          <w:sz w:val="18"/>
          <w:szCs w:val="18"/>
        </w:rPr>
        <w:t xml:space="preserve"> to the KPS providing a negative surface charge on the microgels through its incorporation at the polymer chain ends. As the temperature increases above the VPTT the zeta potential shows a corresponding decrease to &gt; -40 mV as the surface charge density increases with the decrease in particle surface area, and the chains ends collapse onto the surface. For sample PNA-25 the zeta potential was positive, indicating successful incorporation of</w:t>
      </w:r>
      <w:r w:rsidR="004F4522" w:rsidRPr="003A1A2D">
        <w:rPr>
          <w:sz w:val="18"/>
          <w:szCs w:val="18"/>
        </w:rPr>
        <w:t xml:space="preserve"> a proportion of the</w:t>
      </w:r>
      <w:r w:rsidRPr="003A1A2D">
        <w:rPr>
          <w:sz w:val="18"/>
          <w:szCs w:val="18"/>
        </w:rPr>
        <w:t xml:space="preserve"> AlA comonomer to give a cationic charge that counters the anionic charge of the chain ends. When the particles were heated above their VPTT the zeta potential increased as the reduction in size resulted in an increase in charge density.</w:t>
      </w:r>
      <w:r w:rsidR="00BC6542" w:rsidRPr="003A1A2D">
        <w:rPr>
          <w:color w:val="000000" w:themeColor="text1"/>
          <w:sz w:val="18"/>
          <w:szCs w:val="18"/>
        </w:rPr>
        <w:t xml:space="preserve"> </w:t>
      </w:r>
      <w:r w:rsidRPr="003A1A2D">
        <w:rPr>
          <w:sz w:val="18"/>
          <w:szCs w:val="18"/>
        </w:rPr>
        <w:t>The two microgels show temperature and salt responsive behaviour, with flocculation only occurring when both the temperature is above the VPTT and the ionic strength is sufficient. This is ideal for triggered aggregation in response to physiological conditions in an ISFI system.</w:t>
      </w:r>
    </w:p>
    <w:tbl>
      <w:tblPr>
        <w:tblStyle w:val="TableGrid"/>
        <w:tblpPr w:leftFromText="181" w:rightFromText="181" w:vertAnchor="page" w:horzAnchor="margin" w:tblpY="12535"/>
        <w:tblOverlap w:val="never"/>
        <w:tblW w:w="0" w:type="auto"/>
        <w:tblLook w:val="04A0" w:firstRow="1" w:lastRow="0" w:firstColumn="1" w:lastColumn="0" w:noHBand="0" w:noVBand="1"/>
      </w:tblPr>
      <w:tblGrid>
        <w:gridCol w:w="1689"/>
        <w:gridCol w:w="1645"/>
        <w:gridCol w:w="1645"/>
      </w:tblGrid>
      <w:tr w:rsidR="00E3215D" w:rsidRPr="003A1A2D" w:rsidTr="00E3215D">
        <w:trPr>
          <w:trHeight w:val="274"/>
        </w:trPr>
        <w:tc>
          <w:tcPr>
            <w:tcW w:w="4979" w:type="dxa"/>
            <w:gridSpan w:val="3"/>
            <w:tcBorders>
              <w:top w:val="single" w:sz="4" w:space="0" w:color="FFFFFF" w:themeColor="background1"/>
              <w:left w:val="single" w:sz="4" w:space="0" w:color="FFFFFF" w:themeColor="background1"/>
              <w:right w:val="single" w:sz="4" w:space="0" w:color="FFFFFF" w:themeColor="background1"/>
            </w:tcBorders>
          </w:tcPr>
          <w:p w:rsidR="00E3215D" w:rsidRPr="003A1A2D" w:rsidRDefault="00E3215D" w:rsidP="00AE5867">
            <w:r w:rsidRPr="003A1A2D">
              <w:rPr>
                <w:b/>
                <w:color w:val="000000" w:themeColor="text1"/>
                <w:sz w:val="18"/>
                <w:szCs w:val="18"/>
              </w:rPr>
              <w:t>Table 3</w:t>
            </w:r>
            <w:r w:rsidRPr="003A1A2D">
              <w:rPr>
                <w:color w:val="000000" w:themeColor="text1"/>
                <w:sz w:val="18"/>
                <w:szCs w:val="18"/>
              </w:rPr>
              <w:t xml:space="preserve">     Microgel </w:t>
            </w:r>
            <w:r w:rsidR="00AE5867" w:rsidRPr="003A1A2D">
              <w:rPr>
                <w:color w:val="000000" w:themeColor="text1"/>
                <w:sz w:val="18"/>
                <w:szCs w:val="18"/>
              </w:rPr>
              <w:t>flocculation in NaCl</w:t>
            </w:r>
          </w:p>
        </w:tc>
      </w:tr>
      <w:tr w:rsidR="00E3215D" w:rsidRPr="003A1A2D" w:rsidTr="00E3215D">
        <w:tc>
          <w:tcPr>
            <w:tcW w:w="1689" w:type="dxa"/>
            <w:tcBorders>
              <w:left w:val="single" w:sz="4" w:space="0" w:color="FFFFFF" w:themeColor="background1"/>
              <w:bottom w:val="single" w:sz="4" w:space="0" w:color="FFFFFF" w:themeColor="background1"/>
              <w:right w:val="single" w:sz="4" w:space="0" w:color="FFFFFF" w:themeColor="background1"/>
            </w:tcBorders>
          </w:tcPr>
          <w:p w:rsidR="00E3215D" w:rsidRPr="003A1A2D" w:rsidRDefault="00E3215D" w:rsidP="00E3215D"/>
        </w:tc>
        <w:tc>
          <w:tcPr>
            <w:tcW w:w="3290" w:type="dxa"/>
            <w:gridSpan w:val="2"/>
            <w:tcBorders>
              <w:left w:val="single" w:sz="4" w:space="0" w:color="FFFFFF" w:themeColor="background1"/>
              <w:right w:val="single" w:sz="4" w:space="0" w:color="FFFFFF" w:themeColor="background1"/>
            </w:tcBorders>
          </w:tcPr>
          <w:p w:rsidR="00E3215D" w:rsidRPr="003A1A2D" w:rsidRDefault="00E3215D" w:rsidP="00E3215D">
            <w:r w:rsidRPr="003A1A2D">
              <w:rPr>
                <w:color w:val="000000" w:themeColor="text1"/>
                <w:sz w:val="18"/>
                <w:szCs w:val="18"/>
              </w:rPr>
              <w:t>Aggregation Temperature (</w:t>
            </w:r>
            <w:r w:rsidRPr="003A1A2D">
              <w:rPr>
                <w:color w:val="000000" w:themeColor="text1"/>
                <w:sz w:val="18"/>
                <w:szCs w:val="18"/>
              </w:rPr>
              <w:sym w:font="Symbol" w:char="F0B0"/>
            </w:r>
            <w:proofErr w:type="gramStart"/>
            <w:r w:rsidRPr="003A1A2D">
              <w:rPr>
                <w:color w:val="000000" w:themeColor="text1"/>
                <w:sz w:val="18"/>
                <w:szCs w:val="18"/>
              </w:rPr>
              <w:t>C)</w:t>
            </w:r>
            <w:r w:rsidR="0075691F" w:rsidRPr="003A1A2D">
              <w:rPr>
                <w:i/>
                <w:color w:val="000000" w:themeColor="text1"/>
                <w:sz w:val="18"/>
                <w:szCs w:val="18"/>
                <w:vertAlign w:val="superscript"/>
              </w:rPr>
              <w:t>a</w:t>
            </w:r>
            <w:proofErr w:type="gramEnd"/>
          </w:p>
        </w:tc>
      </w:tr>
      <w:tr w:rsidR="00E3215D" w:rsidRPr="003A1A2D" w:rsidTr="00E3215D">
        <w:tc>
          <w:tcPr>
            <w:tcW w:w="1689" w:type="dxa"/>
            <w:tcBorders>
              <w:top w:val="single" w:sz="4" w:space="0" w:color="FFFFFF" w:themeColor="background1"/>
              <w:left w:val="single" w:sz="4" w:space="0" w:color="FFFFFF" w:themeColor="background1"/>
              <w:right w:val="single" w:sz="4" w:space="0" w:color="FFFFFF" w:themeColor="background1"/>
            </w:tcBorders>
          </w:tcPr>
          <w:p w:rsidR="00E3215D" w:rsidRPr="003A1A2D" w:rsidRDefault="00E3215D" w:rsidP="00E3215D">
            <w:r w:rsidRPr="003A1A2D">
              <w:rPr>
                <w:color w:val="000000" w:themeColor="text1"/>
                <w:sz w:val="18"/>
                <w:szCs w:val="18"/>
              </w:rPr>
              <w:t>[NaCl] (mol L</w:t>
            </w:r>
            <w:r w:rsidRPr="003A1A2D">
              <w:rPr>
                <w:color w:val="000000" w:themeColor="text1"/>
                <w:sz w:val="18"/>
                <w:szCs w:val="18"/>
                <w:vertAlign w:val="superscript"/>
              </w:rPr>
              <w:t>-1</w:t>
            </w:r>
            <w:r w:rsidRPr="003A1A2D">
              <w:rPr>
                <w:color w:val="000000" w:themeColor="text1"/>
                <w:sz w:val="18"/>
                <w:szCs w:val="18"/>
              </w:rPr>
              <w:t>)</w:t>
            </w:r>
          </w:p>
        </w:tc>
        <w:tc>
          <w:tcPr>
            <w:tcW w:w="1645" w:type="dxa"/>
            <w:tcBorders>
              <w:left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r w:rsidRPr="003A1A2D">
              <w:rPr>
                <w:color w:val="000000" w:themeColor="text1"/>
                <w:sz w:val="18"/>
                <w:szCs w:val="18"/>
              </w:rPr>
              <w:t>PNA-00</w:t>
            </w:r>
          </w:p>
        </w:tc>
        <w:tc>
          <w:tcPr>
            <w:tcW w:w="1645" w:type="dxa"/>
            <w:tcBorders>
              <w:left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r w:rsidRPr="003A1A2D">
              <w:rPr>
                <w:color w:val="000000" w:themeColor="text1"/>
                <w:sz w:val="18"/>
                <w:szCs w:val="18"/>
              </w:rPr>
              <w:t>PNA-25</w:t>
            </w:r>
          </w:p>
        </w:tc>
      </w:tr>
      <w:tr w:rsidR="00E3215D" w:rsidRPr="003A1A2D" w:rsidTr="00E3215D">
        <w:tc>
          <w:tcPr>
            <w:tcW w:w="1689" w:type="dxa"/>
            <w:tcBorders>
              <w:left w:val="single" w:sz="4" w:space="0" w:color="FFFFFF" w:themeColor="background1"/>
              <w:bottom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r w:rsidRPr="003A1A2D">
              <w:rPr>
                <w:color w:val="000000" w:themeColor="text1"/>
                <w:sz w:val="18"/>
                <w:szCs w:val="18"/>
              </w:rPr>
              <w:t>0.001</w:t>
            </w:r>
          </w:p>
        </w:tc>
        <w:tc>
          <w:tcPr>
            <w:tcW w:w="1645" w:type="dxa"/>
            <w:tcBorders>
              <w:left w:val="single" w:sz="4" w:space="0" w:color="FFFFFF" w:themeColor="background1"/>
              <w:bottom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r w:rsidRPr="003A1A2D">
              <w:rPr>
                <w:color w:val="000000" w:themeColor="text1"/>
                <w:sz w:val="18"/>
                <w:szCs w:val="18"/>
              </w:rPr>
              <w:t>-</w:t>
            </w:r>
          </w:p>
        </w:tc>
        <w:tc>
          <w:tcPr>
            <w:tcW w:w="1645" w:type="dxa"/>
            <w:tcBorders>
              <w:left w:val="single" w:sz="4" w:space="0" w:color="FFFFFF" w:themeColor="background1"/>
              <w:bottom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r w:rsidRPr="003A1A2D">
              <w:rPr>
                <w:color w:val="000000" w:themeColor="text1"/>
                <w:sz w:val="18"/>
                <w:szCs w:val="18"/>
              </w:rPr>
              <w:t>-</w:t>
            </w:r>
          </w:p>
        </w:tc>
      </w:tr>
      <w:tr w:rsidR="00E3215D" w:rsidRPr="003A1A2D" w:rsidTr="00E3215D">
        <w:tc>
          <w:tcPr>
            <w:tcW w:w="1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r w:rsidRPr="003A1A2D">
              <w:rPr>
                <w:color w:val="000000" w:themeColor="text1"/>
                <w:sz w:val="18"/>
                <w:szCs w:val="18"/>
              </w:rPr>
              <w:t>0.010</w:t>
            </w:r>
          </w:p>
        </w:tc>
        <w:tc>
          <w:tcPr>
            <w:tcW w:w="1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r w:rsidRPr="003A1A2D">
              <w:rPr>
                <w:color w:val="000000" w:themeColor="text1"/>
                <w:sz w:val="18"/>
                <w:szCs w:val="18"/>
              </w:rPr>
              <w:t>-</w:t>
            </w:r>
          </w:p>
        </w:tc>
        <w:tc>
          <w:tcPr>
            <w:tcW w:w="1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r w:rsidRPr="003A1A2D">
              <w:rPr>
                <w:color w:val="000000" w:themeColor="text1"/>
                <w:sz w:val="18"/>
                <w:szCs w:val="18"/>
              </w:rPr>
              <w:t>-</w:t>
            </w:r>
          </w:p>
        </w:tc>
      </w:tr>
      <w:tr w:rsidR="00E3215D" w:rsidRPr="003A1A2D" w:rsidTr="00E3215D">
        <w:tc>
          <w:tcPr>
            <w:tcW w:w="1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r w:rsidRPr="003A1A2D">
              <w:rPr>
                <w:color w:val="000000" w:themeColor="text1"/>
                <w:sz w:val="18"/>
                <w:szCs w:val="18"/>
              </w:rPr>
              <w:t>0.100</w:t>
            </w:r>
          </w:p>
        </w:tc>
        <w:tc>
          <w:tcPr>
            <w:tcW w:w="1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r w:rsidRPr="003A1A2D">
              <w:rPr>
                <w:color w:val="000000" w:themeColor="text1"/>
                <w:sz w:val="18"/>
                <w:szCs w:val="18"/>
              </w:rPr>
              <w:t>34</w:t>
            </w:r>
          </w:p>
        </w:tc>
        <w:tc>
          <w:tcPr>
            <w:tcW w:w="1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r w:rsidRPr="003A1A2D">
              <w:rPr>
                <w:color w:val="000000" w:themeColor="text1"/>
                <w:sz w:val="18"/>
                <w:szCs w:val="18"/>
              </w:rPr>
              <w:t>42</w:t>
            </w:r>
          </w:p>
        </w:tc>
      </w:tr>
      <w:tr w:rsidR="00E3215D" w:rsidRPr="003A1A2D" w:rsidTr="00E3215D">
        <w:trPr>
          <w:trHeight w:val="81"/>
        </w:trPr>
        <w:tc>
          <w:tcPr>
            <w:tcW w:w="1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r w:rsidRPr="003A1A2D">
              <w:rPr>
                <w:color w:val="000000" w:themeColor="text1"/>
                <w:sz w:val="18"/>
                <w:szCs w:val="18"/>
              </w:rPr>
              <w:t>1.000</w:t>
            </w:r>
          </w:p>
        </w:tc>
        <w:tc>
          <w:tcPr>
            <w:tcW w:w="1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r w:rsidRPr="003A1A2D">
              <w:rPr>
                <w:color w:val="000000" w:themeColor="text1"/>
                <w:sz w:val="18"/>
                <w:szCs w:val="18"/>
              </w:rPr>
              <w:t>24</w:t>
            </w:r>
          </w:p>
        </w:tc>
        <w:tc>
          <w:tcPr>
            <w:tcW w:w="1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r w:rsidRPr="003A1A2D">
              <w:rPr>
                <w:color w:val="000000" w:themeColor="text1"/>
                <w:sz w:val="18"/>
                <w:szCs w:val="18"/>
              </w:rPr>
              <w:t>24</w:t>
            </w:r>
          </w:p>
        </w:tc>
      </w:tr>
      <w:tr w:rsidR="00E3215D" w:rsidRPr="003A1A2D" w:rsidTr="00E3215D">
        <w:trPr>
          <w:trHeight w:val="81"/>
        </w:trPr>
        <w:tc>
          <w:tcPr>
            <w:tcW w:w="1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p>
        </w:tc>
        <w:tc>
          <w:tcPr>
            <w:tcW w:w="1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p>
        </w:tc>
        <w:tc>
          <w:tcPr>
            <w:tcW w:w="1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215D" w:rsidRPr="003A1A2D" w:rsidRDefault="00E3215D" w:rsidP="00E3215D">
            <w:pPr>
              <w:jc w:val="center"/>
              <w:rPr>
                <w:color w:val="000000" w:themeColor="text1"/>
                <w:sz w:val="18"/>
                <w:szCs w:val="18"/>
              </w:rPr>
            </w:pPr>
          </w:p>
        </w:tc>
      </w:tr>
      <w:tr w:rsidR="00E3215D" w:rsidRPr="003A1A2D" w:rsidTr="00E3215D">
        <w:tc>
          <w:tcPr>
            <w:tcW w:w="4979" w:type="dxa"/>
            <w:gridSpan w:val="3"/>
            <w:tcBorders>
              <w:top w:val="single" w:sz="4" w:space="0" w:color="FFFFFF" w:themeColor="background1"/>
              <w:left w:val="single" w:sz="4" w:space="0" w:color="FFFFFF" w:themeColor="background1"/>
              <w:right w:val="single" w:sz="4" w:space="0" w:color="FFFFFF" w:themeColor="background1"/>
            </w:tcBorders>
          </w:tcPr>
          <w:p w:rsidR="00E3215D" w:rsidRPr="003A1A2D" w:rsidRDefault="00E3215D" w:rsidP="00AE5867">
            <w:pPr>
              <w:rPr>
                <w:color w:val="000000" w:themeColor="text1"/>
                <w:sz w:val="18"/>
                <w:szCs w:val="18"/>
              </w:rPr>
            </w:pPr>
            <w:r w:rsidRPr="003A1A2D">
              <w:rPr>
                <w:i/>
                <w:color w:val="000000" w:themeColor="text1"/>
                <w:sz w:val="18"/>
                <w:szCs w:val="18"/>
                <w:vertAlign w:val="superscript"/>
              </w:rPr>
              <w:t>a</w:t>
            </w:r>
            <w:r w:rsidR="00CF1785" w:rsidRPr="003A1A2D">
              <w:rPr>
                <w:i/>
                <w:color w:val="000000" w:themeColor="text1"/>
                <w:sz w:val="18"/>
                <w:szCs w:val="18"/>
                <w:vertAlign w:val="superscript"/>
              </w:rPr>
              <w:t xml:space="preserve"> </w:t>
            </w:r>
            <w:r w:rsidRPr="003A1A2D">
              <w:rPr>
                <w:color w:val="000000" w:themeColor="text1"/>
                <w:sz w:val="18"/>
                <w:szCs w:val="18"/>
              </w:rPr>
              <w:t xml:space="preserve">Samples heated in 1 </w:t>
            </w:r>
            <w:r w:rsidRPr="003A1A2D">
              <w:rPr>
                <w:color w:val="000000" w:themeColor="text1"/>
                <w:sz w:val="18"/>
                <w:szCs w:val="18"/>
              </w:rPr>
              <w:sym w:font="Symbol" w:char="F0B0"/>
            </w:r>
            <w:r w:rsidRPr="003A1A2D">
              <w:rPr>
                <w:color w:val="000000" w:themeColor="text1"/>
                <w:sz w:val="18"/>
                <w:szCs w:val="18"/>
              </w:rPr>
              <w:t xml:space="preserve">C intervals from 15 to 55 </w:t>
            </w:r>
            <w:r w:rsidRPr="003A1A2D">
              <w:rPr>
                <w:color w:val="000000" w:themeColor="text1"/>
                <w:sz w:val="18"/>
                <w:szCs w:val="18"/>
              </w:rPr>
              <w:sym w:font="Symbol" w:char="F0B0"/>
            </w:r>
            <w:r w:rsidRPr="003A1A2D">
              <w:rPr>
                <w:color w:val="000000" w:themeColor="text1"/>
                <w:sz w:val="18"/>
                <w:szCs w:val="18"/>
              </w:rPr>
              <w:t xml:space="preserve">C. </w:t>
            </w:r>
            <w:r w:rsidR="00AE5867" w:rsidRPr="003A1A2D">
              <w:rPr>
                <w:color w:val="000000" w:themeColor="text1"/>
                <w:sz w:val="18"/>
                <w:szCs w:val="18"/>
              </w:rPr>
              <w:t>Flocculation</w:t>
            </w:r>
            <w:r w:rsidRPr="003A1A2D">
              <w:rPr>
                <w:color w:val="000000" w:themeColor="text1"/>
                <w:sz w:val="18"/>
                <w:szCs w:val="18"/>
              </w:rPr>
              <w:t xml:space="preserve"> indicated by large increase in Z-Ave, as shown in Fig 2.</w:t>
            </w:r>
          </w:p>
        </w:tc>
      </w:tr>
    </w:tbl>
    <w:p w:rsidR="00890764" w:rsidRPr="003A1A2D" w:rsidRDefault="00890764" w:rsidP="00890764">
      <w:pPr>
        <w:jc w:val="both"/>
        <w:outlineLvl w:val="0"/>
        <w:rPr>
          <w:b/>
          <w:sz w:val="18"/>
          <w:szCs w:val="18"/>
        </w:rPr>
      </w:pPr>
      <w:r w:rsidRPr="003A1A2D">
        <w:rPr>
          <w:b/>
          <w:sz w:val="18"/>
          <w:szCs w:val="18"/>
        </w:rPr>
        <w:t>3.2 PNIPAm microgel aggregate studies</w:t>
      </w:r>
    </w:p>
    <w:tbl>
      <w:tblPr>
        <w:tblStyle w:val="TableGrid"/>
        <w:tblpPr w:leftFromText="181" w:rightFromText="181" w:vertAnchor="page" w:horzAnchor="margin" w:tblpXSpec="right" w:tblpY="1424"/>
        <w:tblOverlap w:val="never"/>
        <w:tblW w:w="0" w:type="auto"/>
        <w:tblLook w:val="04A0" w:firstRow="1" w:lastRow="0" w:firstColumn="1" w:lastColumn="0" w:noHBand="0" w:noVBand="1"/>
      </w:tblPr>
      <w:tblGrid>
        <w:gridCol w:w="4979"/>
      </w:tblGrid>
      <w:tr w:rsidR="003404B7" w:rsidRPr="003A1A2D" w:rsidTr="003404B7">
        <w:trPr>
          <w:trHeight w:val="2502"/>
        </w:trPr>
        <w:tc>
          <w:tcPr>
            <w:tcW w:w="4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04B7" w:rsidRPr="003A1A2D" w:rsidRDefault="003404B7" w:rsidP="003404B7">
            <w:pPr>
              <w:pStyle w:val="RSCB06BHeadingSub-Section"/>
            </w:pPr>
            <w:r w:rsidRPr="003A1A2D">
              <w:rPr>
                <w:noProof/>
                <w:color w:val="000000" w:themeColor="text1"/>
                <w:szCs w:val="18"/>
                <w:lang w:eastAsia="en-GB"/>
              </w:rPr>
              <w:drawing>
                <wp:anchor distT="0" distB="0" distL="114300" distR="114300" simplePos="0" relativeHeight="251673600" behindDoc="1" locked="0" layoutInCell="1" allowOverlap="1" wp14:anchorId="734F0468" wp14:editId="3968ED49">
                  <wp:simplePos x="0" y="0"/>
                  <wp:positionH relativeFrom="column">
                    <wp:posOffset>635</wp:posOffset>
                  </wp:positionH>
                  <wp:positionV relativeFrom="page">
                    <wp:posOffset>106045</wp:posOffset>
                  </wp:positionV>
                  <wp:extent cx="3000375" cy="142938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0375" cy="1429385"/>
                          </a:xfrm>
                          <a:prstGeom prst="rect">
                            <a:avLst/>
                          </a:prstGeom>
                        </pic:spPr>
                      </pic:pic>
                    </a:graphicData>
                  </a:graphic>
                  <wp14:sizeRelH relativeFrom="page">
                    <wp14:pctWidth>0</wp14:pctWidth>
                  </wp14:sizeRelH>
                  <wp14:sizeRelV relativeFrom="page">
                    <wp14:pctHeight>0</wp14:pctHeight>
                  </wp14:sizeRelV>
                </wp:anchor>
              </w:drawing>
            </w:r>
          </w:p>
        </w:tc>
      </w:tr>
      <w:tr w:rsidR="003404B7" w:rsidRPr="003A1A2D" w:rsidTr="009C027F">
        <w:tc>
          <w:tcPr>
            <w:tcW w:w="4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04B7" w:rsidRPr="003A1A2D" w:rsidRDefault="003404B7" w:rsidP="003404B7">
            <w:pPr>
              <w:pStyle w:val="RSCB06BHeadingSub-Section"/>
              <w:rPr>
                <w:b w:val="0"/>
              </w:rPr>
            </w:pPr>
            <w:r w:rsidRPr="003A1A2D">
              <w:rPr>
                <w:bCs/>
                <w:color w:val="000000" w:themeColor="text1"/>
                <w:szCs w:val="18"/>
              </w:rPr>
              <w:t>Fig. 3</w:t>
            </w:r>
            <w:r w:rsidRPr="003A1A2D">
              <w:rPr>
                <w:b w:val="0"/>
                <w:bCs/>
                <w:color w:val="000000" w:themeColor="text1"/>
                <w:szCs w:val="18"/>
              </w:rPr>
              <w:t xml:space="preserve"> Images of dual-responsive transition of the microgels in PBS; from swollen self-supporting gels to bulk aggregates. </w:t>
            </w:r>
            <w:r w:rsidRPr="003A1A2D">
              <w:rPr>
                <w:b w:val="0"/>
                <w:color w:val="000000" w:themeColor="text1"/>
                <w:szCs w:val="18"/>
              </w:rPr>
              <w:t>Microgel samples as swollen gel (left) and bulk aggregate (right). PNA-00 (top) and PNA-25 (bottom).</w:t>
            </w:r>
          </w:p>
        </w:tc>
      </w:tr>
    </w:tbl>
    <w:p w:rsidR="00A41BB7" w:rsidRPr="003A1A2D" w:rsidRDefault="00890764" w:rsidP="00A41BB7">
      <w:pPr>
        <w:jc w:val="both"/>
        <w:outlineLvl w:val="0"/>
        <w:rPr>
          <w:color w:val="000000" w:themeColor="text1"/>
          <w:sz w:val="18"/>
          <w:szCs w:val="18"/>
        </w:rPr>
      </w:pPr>
      <w:r w:rsidRPr="003A1A2D">
        <w:rPr>
          <w:sz w:val="18"/>
          <w:szCs w:val="18"/>
        </w:rPr>
        <w:t>Given the propensity for the microgels to flocculate in a dilute dispersion, the concentration of the dispersion was increased to determine whether bulk aggregation on a macroscopic scale was possible. The relative hydrophilicity of each microgel was measured by its % (w/w) water content above and below the VPTT.</w:t>
      </w:r>
      <w:r w:rsidRPr="003A1A2D">
        <w:rPr>
          <w:color w:val="000000" w:themeColor="text1"/>
          <w:sz w:val="18"/>
          <w:szCs w:val="18"/>
        </w:rPr>
        <w:t xml:space="preserve"> The concentration </w:t>
      </w:r>
      <w:r w:rsidR="00060090" w:rsidRPr="003A1A2D">
        <w:rPr>
          <w:color w:val="000000" w:themeColor="text1"/>
          <w:sz w:val="18"/>
          <w:szCs w:val="18"/>
        </w:rPr>
        <w:t xml:space="preserve">(% </w:t>
      </w:r>
      <w:r w:rsidRPr="003A1A2D">
        <w:rPr>
          <w:color w:val="000000" w:themeColor="text1"/>
          <w:sz w:val="18"/>
          <w:szCs w:val="18"/>
        </w:rPr>
        <w:t>(w/w)</w:t>
      </w:r>
      <w:r w:rsidR="00060090" w:rsidRPr="003A1A2D">
        <w:rPr>
          <w:color w:val="000000" w:themeColor="text1"/>
          <w:sz w:val="18"/>
          <w:szCs w:val="18"/>
        </w:rPr>
        <w:t>)</w:t>
      </w:r>
      <w:r w:rsidRPr="003A1A2D">
        <w:rPr>
          <w:color w:val="000000" w:themeColor="text1"/>
          <w:sz w:val="18"/>
          <w:szCs w:val="18"/>
        </w:rPr>
        <w:t xml:space="preserve"> of PNA-00 and PNA-25 in PBS at 25 </w:t>
      </w:r>
      <w:r w:rsidRPr="003A1A2D">
        <w:rPr>
          <w:color w:val="000000" w:themeColor="text1"/>
          <w:sz w:val="18"/>
          <w:szCs w:val="18"/>
        </w:rPr>
        <w:sym w:font="Symbol" w:char="F0B0"/>
      </w:r>
      <w:r w:rsidRPr="003A1A2D">
        <w:rPr>
          <w:color w:val="000000" w:themeColor="text1"/>
          <w:sz w:val="18"/>
          <w:szCs w:val="18"/>
        </w:rPr>
        <w:t xml:space="preserve">C was increased and studied </w:t>
      </w:r>
      <w:r w:rsidRPr="003A1A2D">
        <w:rPr>
          <w:i/>
          <w:color w:val="000000" w:themeColor="text1"/>
          <w:sz w:val="18"/>
          <w:szCs w:val="18"/>
        </w:rPr>
        <w:t>via</w:t>
      </w:r>
      <w:r w:rsidRPr="003A1A2D">
        <w:rPr>
          <w:color w:val="000000" w:themeColor="text1"/>
          <w:sz w:val="18"/>
          <w:szCs w:val="18"/>
        </w:rPr>
        <w:t xml:space="preserve"> tube inversion method until a gel was formed. The concentration required for a self-supporting gel was 6.24% (w/w) for PNA-25 and 14.90% (w/w) for PNA-00. Previous work has shown that PNIPAm microgels which are </w:t>
      </w:r>
      <w:proofErr w:type="spellStart"/>
      <w:r w:rsidRPr="003A1A2D">
        <w:rPr>
          <w:color w:val="000000" w:themeColor="text1"/>
          <w:sz w:val="18"/>
          <w:szCs w:val="18"/>
        </w:rPr>
        <w:t>polyampholytic</w:t>
      </w:r>
      <w:proofErr w:type="spellEnd"/>
      <w:r w:rsidRPr="003A1A2D">
        <w:rPr>
          <w:color w:val="000000" w:themeColor="text1"/>
          <w:sz w:val="18"/>
          <w:szCs w:val="18"/>
        </w:rPr>
        <w:t xml:space="preserve"> in nature swell as the ionic strength of the solvent increases,</w:t>
      </w:r>
      <w:r w:rsidR="00E76CCF" w:rsidRPr="003A1A2D">
        <w:rPr>
          <w:noProof/>
          <w:color w:val="000000" w:themeColor="text1"/>
          <w:sz w:val="18"/>
          <w:szCs w:val="18"/>
          <w:vertAlign w:val="superscript"/>
        </w:rPr>
        <w:t>59</w:t>
      </w:r>
      <w:r w:rsidRPr="003A1A2D">
        <w:rPr>
          <w:color w:val="000000" w:themeColor="text1"/>
          <w:sz w:val="18"/>
          <w:szCs w:val="18"/>
        </w:rPr>
        <w:t xml:space="preserve"> hence a lower (% w/w) of PNA-25 is required to form a self-supporting gel. Upon heating to 37 </w:t>
      </w:r>
      <w:r w:rsidRPr="003A1A2D">
        <w:rPr>
          <w:color w:val="000000" w:themeColor="text1"/>
          <w:sz w:val="18"/>
          <w:szCs w:val="18"/>
        </w:rPr>
        <w:sym w:font="Symbol" w:char="F0B0"/>
      </w:r>
      <w:r w:rsidRPr="003A1A2D">
        <w:rPr>
          <w:color w:val="000000" w:themeColor="text1"/>
          <w:sz w:val="18"/>
          <w:szCs w:val="18"/>
        </w:rPr>
        <w:t>C both gels aggregate and expel solvent in the process. The microgels formed a phase separated disc shape of aggregated material, due to the cylindrical shape of the vial used</w:t>
      </w:r>
      <w:r w:rsidR="00555EB0" w:rsidRPr="003A1A2D">
        <w:rPr>
          <w:color w:val="000000" w:themeColor="text1"/>
          <w:sz w:val="18"/>
          <w:szCs w:val="18"/>
        </w:rPr>
        <w:t>, Fig. 3</w:t>
      </w:r>
      <w:r w:rsidRPr="003A1A2D">
        <w:rPr>
          <w:color w:val="000000" w:themeColor="text1"/>
          <w:sz w:val="18"/>
          <w:szCs w:val="18"/>
        </w:rPr>
        <w:t>.</w:t>
      </w:r>
      <w:r w:rsidR="00596ADA" w:rsidRPr="003A1A2D">
        <w:rPr>
          <w:color w:val="000000" w:themeColor="text1"/>
          <w:sz w:val="18"/>
          <w:szCs w:val="18"/>
        </w:rPr>
        <w:t xml:space="preserve"> The formation of aggregate over time can also be seen in </w:t>
      </w:r>
      <w:r w:rsidR="00AE5867" w:rsidRPr="003A1A2D">
        <w:rPr>
          <w:color w:val="000000" w:themeColor="text1"/>
          <w:sz w:val="18"/>
          <w:szCs w:val="18"/>
        </w:rPr>
        <w:t>ESI Fig. S4</w:t>
      </w:r>
      <w:r w:rsidR="006C773E" w:rsidRPr="003A1A2D">
        <w:rPr>
          <w:color w:val="000000" w:themeColor="text1"/>
          <w:sz w:val="18"/>
          <w:szCs w:val="18"/>
        </w:rPr>
        <w:t>, showing that the time for both sam</w:t>
      </w:r>
      <w:r w:rsidR="004F4522" w:rsidRPr="003A1A2D">
        <w:rPr>
          <w:color w:val="000000" w:themeColor="text1"/>
          <w:sz w:val="18"/>
          <w:szCs w:val="18"/>
        </w:rPr>
        <w:t>ples to form dense aggregates was</w:t>
      </w:r>
      <w:r w:rsidR="006C773E" w:rsidRPr="003A1A2D">
        <w:rPr>
          <w:color w:val="000000" w:themeColor="text1"/>
          <w:sz w:val="18"/>
          <w:szCs w:val="18"/>
        </w:rPr>
        <w:t xml:space="preserve"> approximately 90 minutes</w:t>
      </w:r>
      <w:r w:rsidR="00596ADA" w:rsidRPr="003A1A2D">
        <w:rPr>
          <w:color w:val="000000" w:themeColor="text1"/>
          <w:sz w:val="18"/>
          <w:szCs w:val="18"/>
        </w:rPr>
        <w:t>.</w:t>
      </w:r>
      <w:r w:rsidRPr="003A1A2D">
        <w:rPr>
          <w:color w:val="000000" w:themeColor="text1"/>
          <w:sz w:val="18"/>
          <w:szCs w:val="18"/>
        </w:rPr>
        <w:t xml:space="preserve"> </w:t>
      </w:r>
      <w:r w:rsidR="006C773E" w:rsidRPr="003A1A2D">
        <w:rPr>
          <w:color w:val="000000" w:themeColor="text1"/>
          <w:sz w:val="18"/>
          <w:szCs w:val="18"/>
        </w:rPr>
        <w:t>The</w:t>
      </w:r>
      <w:r w:rsidRPr="003A1A2D">
        <w:rPr>
          <w:color w:val="000000" w:themeColor="text1"/>
          <w:sz w:val="18"/>
          <w:szCs w:val="18"/>
        </w:rPr>
        <w:t xml:space="preserve"> aggregated form</w:t>
      </w:r>
      <w:r w:rsidR="006C773E" w:rsidRPr="003A1A2D">
        <w:rPr>
          <w:color w:val="000000" w:themeColor="text1"/>
          <w:sz w:val="18"/>
          <w:szCs w:val="18"/>
        </w:rPr>
        <w:t xml:space="preserve"> of the microgels </w:t>
      </w:r>
      <w:proofErr w:type="gramStart"/>
      <w:r w:rsidR="006C773E" w:rsidRPr="003A1A2D">
        <w:rPr>
          <w:color w:val="000000" w:themeColor="text1"/>
          <w:sz w:val="18"/>
          <w:szCs w:val="18"/>
        </w:rPr>
        <w:t>was</w:t>
      </w:r>
      <w:r w:rsidRPr="003A1A2D">
        <w:rPr>
          <w:color w:val="000000" w:themeColor="text1"/>
          <w:sz w:val="18"/>
          <w:szCs w:val="18"/>
        </w:rPr>
        <w:t xml:space="preserve"> seen </w:t>
      </w:r>
      <w:r w:rsidR="00416145" w:rsidRPr="003A1A2D">
        <w:rPr>
          <w:color w:val="000000" w:themeColor="text1"/>
          <w:sz w:val="18"/>
          <w:szCs w:val="18"/>
        </w:rPr>
        <w:t>as</w:t>
      </w:r>
      <w:proofErr w:type="gramEnd"/>
      <w:r w:rsidRPr="003A1A2D">
        <w:rPr>
          <w:color w:val="000000" w:themeColor="text1"/>
          <w:sz w:val="18"/>
          <w:szCs w:val="18"/>
        </w:rPr>
        <w:t xml:space="preserve"> the surface charge of </w:t>
      </w:r>
      <w:r w:rsidR="006C773E" w:rsidRPr="003A1A2D">
        <w:rPr>
          <w:color w:val="000000" w:themeColor="text1"/>
          <w:sz w:val="18"/>
          <w:szCs w:val="18"/>
        </w:rPr>
        <w:t>the microgel was</w:t>
      </w:r>
      <w:r w:rsidRPr="003A1A2D">
        <w:rPr>
          <w:color w:val="000000" w:themeColor="text1"/>
          <w:sz w:val="18"/>
          <w:szCs w:val="18"/>
        </w:rPr>
        <w:t xml:space="preserve"> not great enough </w:t>
      </w:r>
      <w:r w:rsidRPr="003A1A2D">
        <w:rPr>
          <w:color w:val="000000" w:themeColor="text1"/>
          <w:sz w:val="18"/>
          <w:szCs w:val="18"/>
        </w:rPr>
        <w:lastRenderedPageBreak/>
        <w:t>to form a shrunken gel.</w:t>
      </w:r>
      <w:r w:rsidR="00E76CCF" w:rsidRPr="003A1A2D">
        <w:rPr>
          <w:noProof/>
          <w:color w:val="000000" w:themeColor="text1"/>
          <w:sz w:val="18"/>
          <w:szCs w:val="18"/>
          <w:vertAlign w:val="superscript"/>
        </w:rPr>
        <w:t>60</w:t>
      </w:r>
      <w:r w:rsidRPr="003A1A2D">
        <w:rPr>
          <w:color w:val="000000" w:themeColor="text1"/>
          <w:sz w:val="18"/>
          <w:szCs w:val="18"/>
        </w:rPr>
        <w:t xml:space="preserve"> This process was reversible, after being held at 37 </w:t>
      </w:r>
      <w:r w:rsidRPr="003A1A2D">
        <w:rPr>
          <w:color w:val="000000" w:themeColor="text1"/>
          <w:sz w:val="18"/>
          <w:szCs w:val="18"/>
        </w:rPr>
        <w:sym w:font="Symbol" w:char="F0B0"/>
      </w:r>
      <w:r w:rsidRPr="003A1A2D">
        <w:rPr>
          <w:color w:val="000000" w:themeColor="text1"/>
          <w:sz w:val="18"/>
          <w:szCs w:val="18"/>
        </w:rPr>
        <w:t xml:space="preserve">C for 1 hour and cooling, the aggregate returned to a self-supporting gel that re-adsorbed the expelled solvent within 1 hour. The water content of </w:t>
      </w:r>
      <w:r w:rsidR="00A41BB7" w:rsidRPr="003A1A2D">
        <w:rPr>
          <w:color w:val="000000" w:themeColor="text1"/>
          <w:sz w:val="18"/>
          <w:szCs w:val="18"/>
        </w:rPr>
        <w:t>PNA-00 and PNA-25 were measured both above and below the VPTT. Below the VPTT the water content of the samples were 85.1% and 93.8% for PNA-00 and PNA-2</w:t>
      </w:r>
      <w:r w:rsidR="00F90D82">
        <w:rPr>
          <w:color w:val="000000" w:themeColor="text1"/>
          <w:sz w:val="18"/>
          <w:szCs w:val="18"/>
        </w:rPr>
        <w:t>5 respectively. The hydrophilic</w:t>
      </w:r>
    </w:p>
    <w:tbl>
      <w:tblPr>
        <w:tblStyle w:val="TableGrid"/>
        <w:tblpPr w:leftFromText="181" w:rightFromText="181" w:vertAnchor="page" w:horzAnchor="margin" w:tblpY="4599"/>
        <w:tblOverlap w:val="never"/>
        <w:tblW w:w="10086" w:type="dxa"/>
        <w:tblLook w:val="04A0" w:firstRow="1" w:lastRow="0" w:firstColumn="1" w:lastColumn="0" w:noHBand="0" w:noVBand="1"/>
      </w:tblPr>
      <w:tblGrid>
        <w:gridCol w:w="10086"/>
      </w:tblGrid>
      <w:tr w:rsidR="00A41BB7" w:rsidRPr="003A1A2D" w:rsidTr="00A41BB7">
        <w:tc>
          <w:tcPr>
            <w:tcW w:w="10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41BB7" w:rsidRPr="003A1A2D" w:rsidRDefault="00A41BB7" w:rsidP="00A41BB7">
            <w:pPr>
              <w:jc w:val="both"/>
              <w:outlineLvl w:val="0"/>
              <w:rPr>
                <w:color w:val="000000" w:themeColor="text1"/>
                <w:sz w:val="18"/>
                <w:szCs w:val="18"/>
              </w:rPr>
            </w:pPr>
            <w:r w:rsidRPr="003A1A2D">
              <w:rPr>
                <w:noProof/>
                <w:color w:val="000000" w:themeColor="text1"/>
                <w:sz w:val="18"/>
                <w:szCs w:val="18"/>
                <w:lang w:eastAsia="en-GB"/>
              </w:rPr>
              <w:drawing>
                <wp:inline distT="0" distB="0" distL="0" distR="0" wp14:anchorId="70FF0C98" wp14:editId="0393205A">
                  <wp:extent cx="6264910" cy="6497955"/>
                  <wp:effectExtent l="0" t="0" r="2540" b="0"/>
                  <wp:docPr id="24" name="Picture 24" descr="C:\Users\Adam\AppData\Local\Microsoft\Windows\INetCache\Content.Word\microgel aggregates characteris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dam\AppData\Local\Microsoft\Windows\INetCache\Content.Word\microgel aggregates characterisation.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4910" cy="6497955"/>
                          </a:xfrm>
                          <a:prstGeom prst="rect">
                            <a:avLst/>
                          </a:prstGeom>
                          <a:noFill/>
                          <a:ln>
                            <a:noFill/>
                          </a:ln>
                        </pic:spPr>
                      </pic:pic>
                    </a:graphicData>
                  </a:graphic>
                </wp:inline>
              </w:drawing>
            </w:r>
          </w:p>
        </w:tc>
      </w:tr>
      <w:tr w:rsidR="00A41BB7" w:rsidRPr="003A1A2D" w:rsidTr="00A41BB7">
        <w:tc>
          <w:tcPr>
            <w:tcW w:w="10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41BB7" w:rsidRPr="003A1A2D" w:rsidRDefault="00A41BB7" w:rsidP="00A41BB7">
            <w:pPr>
              <w:jc w:val="both"/>
              <w:outlineLvl w:val="0"/>
              <w:rPr>
                <w:color w:val="000000" w:themeColor="text1"/>
                <w:sz w:val="18"/>
                <w:szCs w:val="18"/>
              </w:rPr>
            </w:pPr>
            <w:r w:rsidRPr="003A1A2D">
              <w:rPr>
                <w:b/>
                <w:color w:val="000000" w:themeColor="text1"/>
                <w:sz w:val="18"/>
                <w:szCs w:val="18"/>
              </w:rPr>
              <w:t xml:space="preserve">Figure 4. </w:t>
            </w:r>
            <w:r w:rsidRPr="003A1A2D">
              <w:rPr>
                <w:color w:val="000000" w:themeColor="text1"/>
                <w:sz w:val="18"/>
                <w:szCs w:val="18"/>
              </w:rPr>
              <w:t>Characterisation of microgel aggregates. (</w:t>
            </w:r>
            <w:proofErr w:type="gramStart"/>
            <w:r w:rsidRPr="003A1A2D">
              <w:rPr>
                <w:color w:val="000000" w:themeColor="text1"/>
                <w:sz w:val="18"/>
                <w:szCs w:val="18"/>
              </w:rPr>
              <w:t>A,B</w:t>
            </w:r>
            <w:proofErr w:type="gramEnd"/>
            <w:r w:rsidRPr="003A1A2D">
              <w:rPr>
                <w:color w:val="000000" w:themeColor="text1"/>
                <w:sz w:val="18"/>
                <w:szCs w:val="18"/>
              </w:rPr>
              <w:t>) SEM images, (C,D) AFM images and (E,F) 3D representations of (C,D) respectively. PNA-00 shown in (</w:t>
            </w:r>
            <w:proofErr w:type="gramStart"/>
            <w:r w:rsidRPr="003A1A2D">
              <w:rPr>
                <w:color w:val="000000" w:themeColor="text1"/>
                <w:sz w:val="18"/>
                <w:szCs w:val="18"/>
              </w:rPr>
              <w:t>A,C</w:t>
            </w:r>
            <w:proofErr w:type="gramEnd"/>
            <w:r w:rsidRPr="003A1A2D">
              <w:rPr>
                <w:color w:val="000000" w:themeColor="text1"/>
                <w:sz w:val="18"/>
                <w:szCs w:val="18"/>
              </w:rPr>
              <w:t>,E) and PNA-25 in (B,D,F).</w:t>
            </w:r>
          </w:p>
        </w:tc>
      </w:tr>
    </w:tbl>
    <w:p w:rsidR="00A41BB7" w:rsidRPr="003A1A2D" w:rsidRDefault="00A41BB7" w:rsidP="00A41BB7">
      <w:pPr>
        <w:jc w:val="both"/>
        <w:outlineLvl w:val="0"/>
        <w:rPr>
          <w:color w:val="000000" w:themeColor="text1"/>
          <w:sz w:val="18"/>
          <w:szCs w:val="18"/>
        </w:rPr>
      </w:pPr>
      <w:r w:rsidRPr="003A1A2D">
        <w:rPr>
          <w:color w:val="000000" w:themeColor="text1"/>
          <w:sz w:val="18"/>
          <w:szCs w:val="18"/>
        </w:rPr>
        <w:t>nature of AlA is independent of temperature,</w:t>
      </w:r>
      <w:r w:rsidRPr="003A1A2D">
        <w:rPr>
          <w:color w:val="000000" w:themeColor="text1"/>
          <w:sz w:val="18"/>
          <w:szCs w:val="18"/>
          <w:vertAlign w:val="superscript"/>
        </w:rPr>
        <w:t>61</w:t>
      </w:r>
      <w:r w:rsidRPr="003A1A2D">
        <w:rPr>
          <w:color w:val="000000" w:themeColor="text1"/>
          <w:sz w:val="18"/>
          <w:szCs w:val="18"/>
        </w:rPr>
        <w:t xml:space="preserve"> hence the sample containing AlA, PNA-25, remained much more hydrophilic above</w:t>
      </w:r>
    </w:p>
    <w:p w:rsidR="001E7EE0" w:rsidRPr="003A1A2D" w:rsidRDefault="00A41BB7" w:rsidP="00C86D7F">
      <w:pPr>
        <w:jc w:val="both"/>
        <w:outlineLvl w:val="0"/>
        <w:rPr>
          <w:color w:val="000000" w:themeColor="text1"/>
          <w:sz w:val="18"/>
          <w:szCs w:val="18"/>
        </w:rPr>
      </w:pPr>
      <w:r w:rsidRPr="003A1A2D">
        <w:rPr>
          <w:color w:val="000000" w:themeColor="text1"/>
          <w:sz w:val="18"/>
          <w:szCs w:val="18"/>
        </w:rPr>
        <w:t xml:space="preserve">the VPTT (at 37 </w:t>
      </w:r>
      <w:r w:rsidR="004F4522" w:rsidRPr="003A1A2D">
        <w:rPr>
          <w:color w:val="000000" w:themeColor="text1"/>
          <w:sz w:val="18"/>
          <w:szCs w:val="18"/>
        </w:rPr>
        <w:t xml:space="preserve">°C) </w:t>
      </w:r>
      <w:r w:rsidRPr="003A1A2D">
        <w:rPr>
          <w:color w:val="000000" w:themeColor="text1"/>
          <w:sz w:val="18"/>
          <w:szCs w:val="18"/>
        </w:rPr>
        <w:t xml:space="preserve">containing 76.8% w/w water while PNA-00 contained only 34.3% water. This difference in the water content of </w:t>
      </w:r>
      <w:r w:rsidRPr="003A1A2D">
        <w:rPr>
          <w:color w:val="000000" w:themeColor="text1"/>
          <w:sz w:val="18"/>
          <w:szCs w:val="18"/>
        </w:rPr>
        <w:t xml:space="preserve">the aggregates was reflected in the reduction in volume when the swollen gel forms an aggregate. The swollen gel of PNA-00 had </w:t>
      </w:r>
      <w:proofErr w:type="gramStart"/>
      <w:r w:rsidRPr="003A1A2D">
        <w:rPr>
          <w:color w:val="000000" w:themeColor="text1"/>
          <w:sz w:val="18"/>
          <w:szCs w:val="18"/>
        </w:rPr>
        <w:t>a  larger</w:t>
      </w:r>
      <w:proofErr w:type="gramEnd"/>
      <w:r w:rsidRPr="003A1A2D">
        <w:rPr>
          <w:color w:val="000000" w:themeColor="text1"/>
          <w:sz w:val="18"/>
          <w:szCs w:val="18"/>
        </w:rPr>
        <w:t xml:space="preserve"> percentage reduction in volume than PNA-25 upon forming an aggregate. This data is summarised i</w:t>
      </w:r>
      <w:r w:rsidR="004F4522" w:rsidRPr="003A1A2D">
        <w:rPr>
          <w:color w:val="000000" w:themeColor="text1"/>
          <w:sz w:val="18"/>
          <w:szCs w:val="18"/>
        </w:rPr>
        <w:t>n Table 4. Despite the PNA-</w:t>
      </w:r>
      <w:r w:rsidRPr="003A1A2D">
        <w:rPr>
          <w:color w:val="000000" w:themeColor="text1"/>
          <w:sz w:val="18"/>
          <w:szCs w:val="18"/>
        </w:rPr>
        <w:t>00 swollen gel being formed of 14.90% (w/w) microgel, its % reducti</w:t>
      </w:r>
      <w:r w:rsidR="004F4522" w:rsidRPr="003A1A2D">
        <w:rPr>
          <w:color w:val="000000" w:themeColor="text1"/>
          <w:sz w:val="18"/>
          <w:szCs w:val="18"/>
        </w:rPr>
        <w:t>on in volume upon aggregation was</w:t>
      </w:r>
      <w:r w:rsidRPr="003A1A2D">
        <w:rPr>
          <w:color w:val="000000" w:themeColor="text1"/>
          <w:sz w:val="18"/>
          <w:szCs w:val="18"/>
        </w:rPr>
        <w:t xml:space="preserve"> greater than the lower microgel content of 6.24% (w/w) in the PNA-25 swollen gel. This suggests </w:t>
      </w:r>
      <w:r w:rsidR="004F4522" w:rsidRPr="003A1A2D">
        <w:rPr>
          <w:color w:val="000000" w:themeColor="text1"/>
          <w:sz w:val="18"/>
          <w:szCs w:val="18"/>
        </w:rPr>
        <w:t>the aggregate of PNA-25 contained</w:t>
      </w:r>
      <w:r w:rsidRPr="003A1A2D">
        <w:rPr>
          <w:color w:val="000000" w:themeColor="text1"/>
          <w:sz w:val="18"/>
          <w:szCs w:val="18"/>
        </w:rPr>
        <w:t xml:space="preserve"> a greater volume of free space between aggregated microgel particles, owing to its smaller % volume reduction upon aggregate formation. The structure of the aggregates was investigated further via SEM and AFM imaging. Samples of the PNA-00 and PNA-25 aggregates were dried and imaged by SEM </w:t>
      </w:r>
      <w:r w:rsidR="004F4522" w:rsidRPr="003A1A2D">
        <w:rPr>
          <w:color w:val="000000" w:themeColor="text1"/>
          <w:sz w:val="18"/>
          <w:szCs w:val="18"/>
        </w:rPr>
        <w:t>(</w:t>
      </w:r>
      <w:r w:rsidRPr="003A1A2D">
        <w:rPr>
          <w:color w:val="000000" w:themeColor="text1"/>
          <w:sz w:val="18"/>
          <w:szCs w:val="18"/>
        </w:rPr>
        <w:t>shown in Fig. 4 A and B respectively</w:t>
      </w:r>
      <w:r w:rsidR="004F4522" w:rsidRPr="003A1A2D">
        <w:rPr>
          <w:color w:val="000000" w:themeColor="text1"/>
          <w:sz w:val="18"/>
          <w:szCs w:val="18"/>
        </w:rPr>
        <w:t>)</w:t>
      </w:r>
      <w:r w:rsidRPr="003A1A2D">
        <w:rPr>
          <w:color w:val="000000" w:themeColor="text1"/>
          <w:sz w:val="18"/>
          <w:szCs w:val="18"/>
        </w:rPr>
        <w:t xml:space="preserve">. The PNA-25 </w:t>
      </w:r>
      <w:r w:rsidRPr="003A1A2D">
        <w:rPr>
          <w:color w:val="000000" w:themeColor="text1"/>
          <w:sz w:val="18"/>
          <w:szCs w:val="18"/>
        </w:rPr>
        <w:lastRenderedPageBreak/>
        <w:t>aggregate displayed a dense structure with a tendency to film-form while the PNA-25 aggregate presented a looser structure in which individual particles could easily be distinguished. AFM analysis was then utilised to assess the topography of the samples, (Fig 4 C and D for PNA-00 and PNA-25 respectively) these images revealed that PNA-25 presented a fibrous structure compared to the irregular structure of PNA-00. The differences in the topography of the samples are clearly shown in in the 3D representation of the AFM cha</w:t>
      </w:r>
      <w:r w:rsidR="004F4522" w:rsidRPr="003A1A2D">
        <w:rPr>
          <w:color w:val="000000" w:themeColor="text1"/>
          <w:sz w:val="18"/>
          <w:szCs w:val="18"/>
        </w:rPr>
        <w:t>racterisation, Fig. 4 E for PNA-00 and Fig. 4 F for PNA-25. The surface of the PNA-</w:t>
      </w:r>
      <w:r w:rsidRPr="003A1A2D">
        <w:rPr>
          <w:color w:val="000000" w:themeColor="text1"/>
          <w:sz w:val="18"/>
          <w:szCs w:val="18"/>
        </w:rPr>
        <w:t>25 aggr</w:t>
      </w:r>
      <w:r w:rsidR="004F4522" w:rsidRPr="003A1A2D">
        <w:rPr>
          <w:color w:val="000000" w:themeColor="text1"/>
          <w:sz w:val="18"/>
          <w:szCs w:val="18"/>
        </w:rPr>
        <w:t>egate was much rougher (roughness (</w:t>
      </w:r>
      <w:proofErr w:type="spellStart"/>
      <w:r w:rsidR="004F4522" w:rsidRPr="003A1A2D">
        <w:rPr>
          <w:color w:val="000000" w:themeColor="text1"/>
          <w:sz w:val="18"/>
          <w:szCs w:val="18"/>
        </w:rPr>
        <w:t>Rq</w:t>
      </w:r>
      <w:proofErr w:type="spellEnd"/>
      <w:r w:rsidR="004F4522" w:rsidRPr="003A1A2D">
        <w:rPr>
          <w:color w:val="000000" w:themeColor="text1"/>
          <w:sz w:val="18"/>
          <w:szCs w:val="18"/>
        </w:rPr>
        <w:t xml:space="preserve">) value </w:t>
      </w:r>
      <w:r w:rsidR="006A68EE" w:rsidRPr="003A1A2D">
        <w:rPr>
          <w:color w:val="000000" w:themeColor="text1"/>
          <w:sz w:val="18"/>
          <w:szCs w:val="18"/>
        </w:rPr>
        <w:t>of</w:t>
      </w:r>
      <w:r w:rsidR="004F4522" w:rsidRPr="003A1A2D">
        <w:rPr>
          <w:color w:val="000000" w:themeColor="text1"/>
          <w:sz w:val="18"/>
          <w:szCs w:val="18"/>
        </w:rPr>
        <w:t xml:space="preserve"> 267 nm)</w:t>
      </w:r>
      <w:r w:rsidR="006A68EE" w:rsidRPr="003A1A2D">
        <w:rPr>
          <w:color w:val="000000" w:themeColor="text1"/>
          <w:sz w:val="18"/>
          <w:szCs w:val="18"/>
        </w:rPr>
        <w:t xml:space="preserve"> compared to</w:t>
      </w:r>
      <w:r w:rsidR="004F4522" w:rsidRPr="003A1A2D">
        <w:rPr>
          <w:color w:val="000000" w:themeColor="text1"/>
          <w:sz w:val="18"/>
          <w:szCs w:val="18"/>
        </w:rPr>
        <w:t xml:space="preserve"> PNA-</w:t>
      </w:r>
      <w:r w:rsidRPr="003A1A2D">
        <w:rPr>
          <w:color w:val="000000" w:themeColor="text1"/>
          <w:sz w:val="18"/>
          <w:szCs w:val="18"/>
        </w:rPr>
        <w:t>00</w:t>
      </w:r>
      <w:r w:rsidR="004F4522" w:rsidRPr="003A1A2D">
        <w:rPr>
          <w:color w:val="000000" w:themeColor="text1"/>
          <w:sz w:val="18"/>
          <w:szCs w:val="18"/>
        </w:rPr>
        <w:t xml:space="preserve"> (</w:t>
      </w:r>
      <w:proofErr w:type="spellStart"/>
      <w:r w:rsidR="004F4522" w:rsidRPr="003A1A2D">
        <w:rPr>
          <w:color w:val="000000" w:themeColor="text1"/>
          <w:sz w:val="18"/>
          <w:szCs w:val="18"/>
        </w:rPr>
        <w:t>Rq</w:t>
      </w:r>
      <w:proofErr w:type="spellEnd"/>
      <w:r w:rsidR="004F4522" w:rsidRPr="003A1A2D">
        <w:rPr>
          <w:color w:val="000000" w:themeColor="text1"/>
          <w:sz w:val="18"/>
          <w:szCs w:val="18"/>
        </w:rPr>
        <w:t xml:space="preserve"> value </w:t>
      </w:r>
      <w:r w:rsidR="006A68EE" w:rsidRPr="003A1A2D">
        <w:rPr>
          <w:color w:val="000000" w:themeColor="text1"/>
          <w:sz w:val="18"/>
          <w:szCs w:val="18"/>
        </w:rPr>
        <w:t>of</w:t>
      </w:r>
      <w:r w:rsidR="004F4522" w:rsidRPr="003A1A2D">
        <w:rPr>
          <w:color w:val="000000" w:themeColor="text1"/>
          <w:sz w:val="18"/>
          <w:szCs w:val="18"/>
        </w:rPr>
        <w:t xml:space="preserve"> 182 nm)</w:t>
      </w:r>
      <w:r w:rsidRPr="003A1A2D">
        <w:rPr>
          <w:color w:val="000000" w:themeColor="text1"/>
          <w:sz w:val="18"/>
          <w:szCs w:val="18"/>
        </w:rPr>
        <w:t xml:space="preserve"> and</w:t>
      </w:r>
      <w:r w:rsidR="00BC6542" w:rsidRPr="003A1A2D">
        <w:rPr>
          <w:color w:val="000000" w:themeColor="text1"/>
          <w:sz w:val="18"/>
          <w:szCs w:val="18"/>
        </w:rPr>
        <w:t xml:space="preserve"> PNA-25</w:t>
      </w:r>
      <w:r w:rsidRPr="003A1A2D">
        <w:rPr>
          <w:color w:val="000000" w:themeColor="text1"/>
          <w:sz w:val="18"/>
          <w:szCs w:val="18"/>
        </w:rPr>
        <w:t xml:space="preserve"> revealed potential pores between the fibres. Th</w:t>
      </w:r>
      <w:r w:rsidR="004F4522" w:rsidRPr="003A1A2D">
        <w:rPr>
          <w:color w:val="000000" w:themeColor="text1"/>
          <w:sz w:val="18"/>
          <w:szCs w:val="18"/>
        </w:rPr>
        <w:t>is fibrous structure of the PNA-</w:t>
      </w:r>
      <w:r w:rsidRPr="003A1A2D">
        <w:rPr>
          <w:color w:val="000000" w:themeColor="text1"/>
          <w:sz w:val="18"/>
          <w:szCs w:val="18"/>
        </w:rPr>
        <w:t xml:space="preserve">25 aggregates was not expected and is an aspect for further investigation in the future. The </w:t>
      </w:r>
      <w:r w:rsidR="00BC6542" w:rsidRPr="003A1A2D">
        <w:rPr>
          <w:color w:val="000000" w:themeColor="text1"/>
          <w:sz w:val="18"/>
          <w:szCs w:val="18"/>
        </w:rPr>
        <w:t>difference between the two aggregates explains</w:t>
      </w:r>
      <w:r w:rsidRPr="003A1A2D">
        <w:rPr>
          <w:color w:val="000000" w:themeColor="text1"/>
          <w:sz w:val="18"/>
          <w:szCs w:val="18"/>
        </w:rPr>
        <w:t xml:space="preserve"> </w:t>
      </w:r>
      <w:r w:rsidR="006A68EE" w:rsidRPr="003A1A2D">
        <w:rPr>
          <w:color w:val="000000" w:themeColor="text1"/>
          <w:sz w:val="18"/>
          <w:szCs w:val="18"/>
        </w:rPr>
        <w:t>the higher water content of PNA-</w:t>
      </w:r>
      <w:r w:rsidRPr="003A1A2D">
        <w:rPr>
          <w:color w:val="000000" w:themeColor="text1"/>
          <w:sz w:val="18"/>
          <w:szCs w:val="18"/>
        </w:rPr>
        <w:t>25 due to its greater</w:t>
      </w:r>
      <w:r w:rsidR="006A68EE" w:rsidRPr="003A1A2D">
        <w:rPr>
          <w:color w:val="000000" w:themeColor="text1"/>
          <w:sz w:val="18"/>
          <w:szCs w:val="18"/>
        </w:rPr>
        <w:t xml:space="preserve"> porosity</w:t>
      </w:r>
      <w:r w:rsidRPr="003A1A2D">
        <w:rPr>
          <w:color w:val="000000" w:themeColor="text1"/>
          <w:sz w:val="18"/>
          <w:szCs w:val="18"/>
        </w:rPr>
        <w:t xml:space="preserve"> and may alter the rate of drug release from the aggregates.</w:t>
      </w:r>
    </w:p>
    <w:tbl>
      <w:tblPr>
        <w:tblStyle w:val="TableGrid"/>
        <w:tblpPr w:leftFromText="181" w:rightFromText="181" w:vertAnchor="page" w:horzAnchor="margin" w:tblpY="1418"/>
        <w:tblOverlap w:val="never"/>
        <w:tblW w:w="0" w:type="auto"/>
        <w:tblLook w:val="04A0" w:firstRow="1" w:lastRow="0" w:firstColumn="1" w:lastColumn="0" w:noHBand="0" w:noVBand="1"/>
      </w:tblPr>
      <w:tblGrid>
        <w:gridCol w:w="1163"/>
        <w:gridCol w:w="998"/>
        <w:gridCol w:w="1091"/>
        <w:gridCol w:w="1727"/>
      </w:tblGrid>
      <w:tr w:rsidR="001E7EE0" w:rsidRPr="001D56B4" w:rsidTr="001E7EE0">
        <w:trPr>
          <w:trHeight w:val="248"/>
        </w:trPr>
        <w:tc>
          <w:tcPr>
            <w:tcW w:w="5205" w:type="dxa"/>
            <w:gridSpan w:val="4"/>
            <w:tcBorders>
              <w:top w:val="single" w:sz="4" w:space="0" w:color="FFFFFF" w:themeColor="background1"/>
              <w:left w:val="single" w:sz="4" w:space="0" w:color="FFFFFF" w:themeColor="background1"/>
              <w:right w:val="single" w:sz="4" w:space="0" w:color="FFFFFF" w:themeColor="background1"/>
            </w:tcBorders>
          </w:tcPr>
          <w:p w:rsidR="001E7EE0" w:rsidRPr="001D56B4" w:rsidRDefault="001E7EE0" w:rsidP="001E7EE0">
            <w:pPr>
              <w:outlineLvl w:val="0"/>
              <w:rPr>
                <w:color w:val="000000" w:themeColor="text1"/>
                <w:sz w:val="18"/>
                <w:szCs w:val="18"/>
              </w:rPr>
            </w:pPr>
            <w:r w:rsidRPr="001D56B4">
              <w:rPr>
                <w:b/>
                <w:color w:val="000000" w:themeColor="text1"/>
                <w:sz w:val="18"/>
                <w:szCs w:val="18"/>
              </w:rPr>
              <w:t>Table 4</w:t>
            </w:r>
            <w:r w:rsidRPr="001D56B4">
              <w:rPr>
                <w:color w:val="000000" w:themeColor="text1"/>
                <w:sz w:val="18"/>
                <w:szCs w:val="18"/>
              </w:rPr>
              <w:t xml:space="preserve"> Water content of the microgels at 25 </w:t>
            </w:r>
            <w:r w:rsidRPr="001D56B4">
              <w:rPr>
                <w:color w:val="000000" w:themeColor="text1"/>
                <w:sz w:val="18"/>
                <w:szCs w:val="18"/>
              </w:rPr>
              <w:sym w:font="Symbol" w:char="F0B0"/>
            </w:r>
            <w:r w:rsidRPr="001D56B4">
              <w:rPr>
                <w:color w:val="000000" w:themeColor="text1"/>
                <w:sz w:val="18"/>
                <w:szCs w:val="18"/>
              </w:rPr>
              <w:t xml:space="preserve">C and 37 </w:t>
            </w:r>
            <w:r w:rsidRPr="001D56B4">
              <w:rPr>
                <w:color w:val="000000" w:themeColor="text1"/>
                <w:sz w:val="18"/>
                <w:szCs w:val="18"/>
              </w:rPr>
              <w:sym w:font="Symbol" w:char="F0B0"/>
            </w:r>
            <w:r w:rsidRPr="001D56B4">
              <w:rPr>
                <w:color w:val="000000" w:themeColor="text1"/>
                <w:sz w:val="18"/>
                <w:szCs w:val="18"/>
              </w:rPr>
              <w:t>C and change in volume.</w:t>
            </w:r>
          </w:p>
          <w:p w:rsidR="001E7EE0" w:rsidRPr="001D56B4" w:rsidRDefault="001E7EE0" w:rsidP="001E7EE0">
            <w:pPr>
              <w:outlineLvl w:val="0"/>
              <w:rPr>
                <w:b/>
                <w:color w:val="000000" w:themeColor="text1"/>
                <w:sz w:val="18"/>
                <w:szCs w:val="18"/>
              </w:rPr>
            </w:pPr>
          </w:p>
        </w:tc>
      </w:tr>
      <w:tr w:rsidR="001E7EE0" w:rsidRPr="001D56B4" w:rsidTr="001D56B4">
        <w:trPr>
          <w:trHeight w:val="598"/>
        </w:trPr>
        <w:tc>
          <w:tcPr>
            <w:tcW w:w="1206" w:type="dxa"/>
            <w:tcBorders>
              <w:left w:val="single" w:sz="4" w:space="0" w:color="FFFFFF" w:themeColor="background1"/>
              <w:bottom w:val="single" w:sz="4" w:space="0" w:color="FFFFFF" w:themeColor="background1"/>
              <w:right w:val="single" w:sz="4" w:space="0" w:color="FFFFFF" w:themeColor="background1"/>
            </w:tcBorders>
            <w:vAlign w:val="center"/>
          </w:tcPr>
          <w:p w:rsidR="001E7EE0" w:rsidRPr="001D56B4" w:rsidRDefault="001E7EE0" w:rsidP="001E7EE0">
            <w:pPr>
              <w:jc w:val="center"/>
              <w:outlineLvl w:val="0"/>
              <w:rPr>
                <w:color w:val="000000" w:themeColor="text1"/>
                <w:sz w:val="18"/>
                <w:szCs w:val="18"/>
              </w:rPr>
            </w:pPr>
          </w:p>
        </w:tc>
        <w:tc>
          <w:tcPr>
            <w:tcW w:w="2196" w:type="dxa"/>
            <w:gridSpan w:val="2"/>
            <w:tcBorders>
              <w:left w:val="single" w:sz="4" w:space="0" w:color="FFFFFF" w:themeColor="background1"/>
              <w:bottom w:val="single" w:sz="4" w:space="0" w:color="FFFFFF" w:themeColor="background1"/>
              <w:right w:val="single" w:sz="4" w:space="0" w:color="FFFFFF" w:themeColor="background1"/>
            </w:tcBorders>
            <w:vAlign w:val="center"/>
          </w:tcPr>
          <w:p w:rsidR="001E7EE0" w:rsidRPr="001D56B4" w:rsidRDefault="001E7EE0" w:rsidP="001E7EE0">
            <w:pPr>
              <w:jc w:val="center"/>
              <w:outlineLvl w:val="0"/>
              <w:rPr>
                <w:color w:val="000000" w:themeColor="text1"/>
                <w:sz w:val="18"/>
                <w:szCs w:val="18"/>
              </w:rPr>
            </w:pPr>
            <w:r w:rsidRPr="001D56B4">
              <w:rPr>
                <w:color w:val="000000" w:themeColor="text1"/>
                <w:sz w:val="18"/>
                <w:szCs w:val="18"/>
              </w:rPr>
              <w:t>% (w/w) of water contained</w:t>
            </w:r>
          </w:p>
          <w:p w:rsidR="001E7EE0" w:rsidRPr="001D56B4" w:rsidRDefault="001E7EE0" w:rsidP="001E7EE0">
            <w:pPr>
              <w:jc w:val="center"/>
              <w:outlineLvl w:val="0"/>
              <w:rPr>
                <w:color w:val="000000" w:themeColor="text1"/>
                <w:sz w:val="18"/>
                <w:szCs w:val="18"/>
              </w:rPr>
            </w:pPr>
            <w:r w:rsidRPr="001D56B4">
              <w:rPr>
                <w:color w:val="000000" w:themeColor="text1"/>
                <w:sz w:val="18"/>
                <w:szCs w:val="18"/>
              </w:rPr>
              <w:t xml:space="preserve"> within the sample</w:t>
            </w:r>
          </w:p>
        </w:tc>
        <w:tc>
          <w:tcPr>
            <w:tcW w:w="1803" w:type="dxa"/>
            <w:tcBorders>
              <w:left w:val="single" w:sz="4" w:space="0" w:color="FFFFFF" w:themeColor="background1"/>
              <w:bottom w:val="single" w:sz="4" w:space="0" w:color="FFFFFF" w:themeColor="background1"/>
              <w:right w:val="single" w:sz="4" w:space="0" w:color="FFFFFF" w:themeColor="background1"/>
            </w:tcBorders>
            <w:shd w:val="clear" w:color="auto" w:fill="auto"/>
          </w:tcPr>
          <w:p w:rsidR="001E7EE0" w:rsidRPr="00843E68" w:rsidRDefault="001E7EE0" w:rsidP="001E7EE0">
            <w:pPr>
              <w:jc w:val="center"/>
              <w:outlineLvl w:val="0"/>
              <w:rPr>
                <w:color w:val="000000" w:themeColor="text1"/>
                <w:sz w:val="18"/>
                <w:szCs w:val="18"/>
                <w:vertAlign w:val="superscript"/>
              </w:rPr>
            </w:pPr>
            <w:r w:rsidRPr="001D56B4">
              <w:rPr>
                <w:color w:val="000000" w:themeColor="text1"/>
                <w:sz w:val="18"/>
                <w:szCs w:val="18"/>
              </w:rPr>
              <w:t xml:space="preserve">% reduction in volume upon forming </w:t>
            </w:r>
            <w:proofErr w:type="spellStart"/>
            <w:r w:rsidR="00BC6542" w:rsidRPr="001D56B4">
              <w:rPr>
                <w:color w:val="000000" w:themeColor="text1"/>
                <w:sz w:val="18"/>
                <w:szCs w:val="18"/>
              </w:rPr>
              <w:t>aggregate</w:t>
            </w:r>
            <w:r w:rsidR="00843E68" w:rsidRPr="00843E68">
              <w:rPr>
                <w:i/>
                <w:color w:val="000000" w:themeColor="text1"/>
                <w:sz w:val="18"/>
                <w:szCs w:val="18"/>
                <w:vertAlign w:val="superscript"/>
              </w:rPr>
              <w:t>a</w:t>
            </w:r>
            <w:proofErr w:type="spellEnd"/>
          </w:p>
        </w:tc>
      </w:tr>
      <w:tr w:rsidR="001E7EE0" w:rsidRPr="001D56B4" w:rsidTr="001D56B4">
        <w:trPr>
          <w:trHeight w:val="60"/>
        </w:trPr>
        <w:tc>
          <w:tcPr>
            <w:tcW w:w="1206" w:type="dxa"/>
            <w:tcBorders>
              <w:top w:val="single" w:sz="4" w:space="0" w:color="FFFFFF" w:themeColor="background1"/>
              <w:left w:val="single" w:sz="4" w:space="0" w:color="FFFFFF" w:themeColor="background1"/>
              <w:right w:val="single" w:sz="4" w:space="0" w:color="FFFFFF" w:themeColor="background1"/>
            </w:tcBorders>
            <w:vAlign w:val="center"/>
          </w:tcPr>
          <w:p w:rsidR="001E7EE0" w:rsidRPr="001D56B4" w:rsidRDefault="001E7EE0" w:rsidP="001E7EE0">
            <w:pPr>
              <w:jc w:val="center"/>
              <w:outlineLvl w:val="0"/>
              <w:rPr>
                <w:color w:val="000000" w:themeColor="text1"/>
                <w:sz w:val="18"/>
                <w:szCs w:val="18"/>
              </w:rPr>
            </w:pPr>
            <w:r w:rsidRPr="001D56B4">
              <w:rPr>
                <w:color w:val="000000" w:themeColor="text1"/>
                <w:sz w:val="18"/>
                <w:szCs w:val="18"/>
              </w:rPr>
              <w:t>Sample</w:t>
            </w:r>
          </w:p>
        </w:tc>
        <w:tc>
          <w:tcPr>
            <w:tcW w:w="1047" w:type="dxa"/>
            <w:tcBorders>
              <w:top w:val="single" w:sz="4" w:space="0" w:color="000000" w:themeColor="text1"/>
              <w:left w:val="single" w:sz="4" w:space="0" w:color="FFFFFF" w:themeColor="background1"/>
              <w:right w:val="single" w:sz="4" w:space="0" w:color="FFFFFF" w:themeColor="background1"/>
            </w:tcBorders>
            <w:vAlign w:val="center"/>
          </w:tcPr>
          <w:p w:rsidR="001E7EE0" w:rsidRPr="001D56B4" w:rsidRDefault="001E7EE0" w:rsidP="001E7EE0">
            <w:pPr>
              <w:jc w:val="center"/>
              <w:outlineLvl w:val="0"/>
              <w:rPr>
                <w:color w:val="000000" w:themeColor="text1"/>
                <w:sz w:val="18"/>
                <w:szCs w:val="18"/>
              </w:rPr>
            </w:pPr>
            <w:r w:rsidRPr="001D56B4">
              <w:rPr>
                <w:color w:val="000000" w:themeColor="text1"/>
                <w:sz w:val="18"/>
                <w:szCs w:val="18"/>
              </w:rPr>
              <w:t xml:space="preserve">25 </w:t>
            </w:r>
            <w:r w:rsidRPr="001D56B4">
              <w:rPr>
                <w:color w:val="000000" w:themeColor="text1"/>
                <w:sz w:val="18"/>
                <w:szCs w:val="18"/>
              </w:rPr>
              <w:sym w:font="Symbol" w:char="F0B0"/>
            </w:r>
            <w:r w:rsidRPr="001D56B4">
              <w:rPr>
                <w:color w:val="000000" w:themeColor="text1"/>
                <w:sz w:val="18"/>
                <w:szCs w:val="18"/>
              </w:rPr>
              <w:t>C</w:t>
            </w:r>
          </w:p>
        </w:tc>
        <w:tc>
          <w:tcPr>
            <w:tcW w:w="1149" w:type="dxa"/>
            <w:tcBorders>
              <w:top w:val="single" w:sz="4" w:space="0" w:color="000000" w:themeColor="text1"/>
              <w:left w:val="single" w:sz="4" w:space="0" w:color="FFFFFF" w:themeColor="background1"/>
              <w:right w:val="single" w:sz="4" w:space="0" w:color="FFFFFF" w:themeColor="background1"/>
            </w:tcBorders>
            <w:vAlign w:val="center"/>
          </w:tcPr>
          <w:p w:rsidR="001E7EE0" w:rsidRPr="001D56B4" w:rsidRDefault="001E7EE0" w:rsidP="001E7EE0">
            <w:pPr>
              <w:jc w:val="center"/>
              <w:outlineLvl w:val="0"/>
              <w:rPr>
                <w:color w:val="000000" w:themeColor="text1"/>
                <w:sz w:val="18"/>
                <w:szCs w:val="18"/>
              </w:rPr>
            </w:pPr>
            <w:r w:rsidRPr="001D56B4">
              <w:rPr>
                <w:color w:val="000000" w:themeColor="text1"/>
                <w:sz w:val="18"/>
                <w:szCs w:val="18"/>
              </w:rPr>
              <w:t xml:space="preserve">37 </w:t>
            </w:r>
            <w:r w:rsidRPr="001D56B4">
              <w:rPr>
                <w:color w:val="000000" w:themeColor="text1"/>
                <w:sz w:val="18"/>
                <w:szCs w:val="18"/>
              </w:rPr>
              <w:sym w:font="Symbol" w:char="F0B0"/>
            </w:r>
            <w:r w:rsidRPr="001D56B4">
              <w:rPr>
                <w:color w:val="000000" w:themeColor="text1"/>
                <w:sz w:val="18"/>
                <w:szCs w:val="18"/>
              </w:rPr>
              <w:t>C</w:t>
            </w:r>
          </w:p>
        </w:tc>
        <w:tc>
          <w:tcPr>
            <w:tcW w:w="1803" w:type="dxa"/>
            <w:tcBorders>
              <w:top w:val="single" w:sz="4" w:space="0" w:color="000000" w:themeColor="text1"/>
              <w:left w:val="single" w:sz="4" w:space="0" w:color="FFFFFF" w:themeColor="background1"/>
              <w:right w:val="single" w:sz="4" w:space="0" w:color="FFFFFF" w:themeColor="background1"/>
            </w:tcBorders>
            <w:shd w:val="clear" w:color="auto" w:fill="auto"/>
          </w:tcPr>
          <w:p w:rsidR="001E7EE0" w:rsidRPr="001D56B4" w:rsidRDefault="001E7EE0" w:rsidP="001E7EE0">
            <w:pPr>
              <w:jc w:val="center"/>
              <w:outlineLvl w:val="0"/>
              <w:rPr>
                <w:color w:val="000000" w:themeColor="text1"/>
                <w:sz w:val="18"/>
                <w:szCs w:val="18"/>
              </w:rPr>
            </w:pPr>
          </w:p>
        </w:tc>
      </w:tr>
      <w:tr w:rsidR="001E7EE0" w:rsidRPr="001D56B4" w:rsidTr="001D56B4">
        <w:trPr>
          <w:trHeight w:val="197"/>
        </w:trPr>
        <w:tc>
          <w:tcPr>
            <w:tcW w:w="1206" w:type="dxa"/>
            <w:tcBorders>
              <w:left w:val="single" w:sz="4" w:space="0" w:color="FFFFFF" w:themeColor="background1"/>
              <w:bottom w:val="single" w:sz="4" w:space="0" w:color="FFFFFF" w:themeColor="background1"/>
              <w:right w:val="single" w:sz="4" w:space="0" w:color="FFFFFF" w:themeColor="background1"/>
            </w:tcBorders>
          </w:tcPr>
          <w:p w:rsidR="001E7EE0" w:rsidRPr="001D56B4" w:rsidRDefault="001E7EE0" w:rsidP="001E7EE0">
            <w:pPr>
              <w:jc w:val="center"/>
              <w:outlineLvl w:val="0"/>
              <w:rPr>
                <w:b/>
                <w:color w:val="000000" w:themeColor="text1"/>
                <w:sz w:val="18"/>
                <w:szCs w:val="18"/>
              </w:rPr>
            </w:pPr>
            <w:r w:rsidRPr="001D56B4">
              <w:rPr>
                <w:b/>
                <w:color w:val="000000" w:themeColor="text1"/>
                <w:sz w:val="18"/>
                <w:szCs w:val="18"/>
              </w:rPr>
              <w:t>PNS-00</w:t>
            </w:r>
          </w:p>
        </w:tc>
        <w:tc>
          <w:tcPr>
            <w:tcW w:w="1047" w:type="dxa"/>
            <w:tcBorders>
              <w:left w:val="single" w:sz="4" w:space="0" w:color="FFFFFF" w:themeColor="background1"/>
              <w:bottom w:val="single" w:sz="4" w:space="0" w:color="FFFFFF" w:themeColor="background1"/>
              <w:right w:val="single" w:sz="4" w:space="0" w:color="FFFFFF" w:themeColor="background1"/>
            </w:tcBorders>
          </w:tcPr>
          <w:p w:rsidR="001E7EE0" w:rsidRPr="001D56B4" w:rsidRDefault="001E7EE0" w:rsidP="001E7EE0">
            <w:pPr>
              <w:jc w:val="center"/>
              <w:outlineLvl w:val="0"/>
              <w:rPr>
                <w:color w:val="000000" w:themeColor="text1"/>
                <w:sz w:val="18"/>
                <w:szCs w:val="18"/>
              </w:rPr>
            </w:pPr>
            <w:r w:rsidRPr="001D56B4">
              <w:rPr>
                <w:color w:val="000000" w:themeColor="text1"/>
                <w:sz w:val="18"/>
                <w:szCs w:val="18"/>
              </w:rPr>
              <w:t>85.1</w:t>
            </w:r>
          </w:p>
        </w:tc>
        <w:tc>
          <w:tcPr>
            <w:tcW w:w="1149" w:type="dxa"/>
            <w:tcBorders>
              <w:left w:val="single" w:sz="4" w:space="0" w:color="FFFFFF" w:themeColor="background1"/>
              <w:bottom w:val="single" w:sz="4" w:space="0" w:color="FFFFFF" w:themeColor="background1"/>
              <w:right w:val="single" w:sz="4" w:space="0" w:color="FFFFFF" w:themeColor="background1"/>
            </w:tcBorders>
          </w:tcPr>
          <w:p w:rsidR="001E7EE0" w:rsidRPr="001D56B4" w:rsidRDefault="001E7EE0" w:rsidP="001E7EE0">
            <w:pPr>
              <w:jc w:val="center"/>
              <w:outlineLvl w:val="0"/>
              <w:rPr>
                <w:color w:val="000000" w:themeColor="text1"/>
                <w:sz w:val="18"/>
                <w:szCs w:val="18"/>
              </w:rPr>
            </w:pPr>
            <w:r w:rsidRPr="001D56B4">
              <w:rPr>
                <w:color w:val="000000" w:themeColor="text1"/>
                <w:sz w:val="18"/>
                <w:szCs w:val="18"/>
              </w:rPr>
              <w:t>34.5</w:t>
            </w:r>
          </w:p>
        </w:tc>
        <w:tc>
          <w:tcPr>
            <w:tcW w:w="1803" w:type="dxa"/>
            <w:tcBorders>
              <w:left w:val="single" w:sz="4" w:space="0" w:color="FFFFFF" w:themeColor="background1"/>
              <w:bottom w:val="single" w:sz="4" w:space="0" w:color="FFFFFF" w:themeColor="background1"/>
              <w:right w:val="single" w:sz="4" w:space="0" w:color="FFFFFF" w:themeColor="background1"/>
            </w:tcBorders>
            <w:shd w:val="clear" w:color="auto" w:fill="auto"/>
          </w:tcPr>
          <w:p w:rsidR="001E7EE0" w:rsidRPr="001D56B4" w:rsidRDefault="001E7EE0" w:rsidP="001E7EE0">
            <w:pPr>
              <w:jc w:val="center"/>
              <w:outlineLvl w:val="0"/>
              <w:rPr>
                <w:color w:val="000000" w:themeColor="text1"/>
                <w:sz w:val="18"/>
                <w:szCs w:val="18"/>
              </w:rPr>
            </w:pPr>
            <w:r w:rsidRPr="001D56B4">
              <w:rPr>
                <w:color w:val="000000" w:themeColor="text1"/>
                <w:sz w:val="18"/>
                <w:szCs w:val="18"/>
              </w:rPr>
              <w:t>76</w:t>
            </w:r>
          </w:p>
        </w:tc>
      </w:tr>
      <w:tr w:rsidR="001E7EE0" w:rsidRPr="001D56B4" w:rsidTr="001D56B4">
        <w:trPr>
          <w:trHeight w:val="220"/>
        </w:trPr>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1D56B4" w:rsidRDefault="001E7EE0" w:rsidP="001E7EE0">
            <w:pPr>
              <w:jc w:val="center"/>
              <w:outlineLvl w:val="0"/>
              <w:rPr>
                <w:b/>
                <w:color w:val="000000" w:themeColor="text1"/>
                <w:sz w:val="18"/>
                <w:szCs w:val="18"/>
              </w:rPr>
            </w:pPr>
            <w:r w:rsidRPr="001D56B4">
              <w:rPr>
                <w:b/>
                <w:color w:val="000000" w:themeColor="text1"/>
                <w:sz w:val="18"/>
                <w:szCs w:val="18"/>
              </w:rPr>
              <w:t>PNA-25</w:t>
            </w:r>
          </w:p>
        </w:tc>
        <w:tc>
          <w:tcPr>
            <w:tcW w:w="1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1D56B4" w:rsidRDefault="001E7EE0" w:rsidP="001E7EE0">
            <w:pPr>
              <w:jc w:val="center"/>
              <w:outlineLvl w:val="0"/>
              <w:rPr>
                <w:color w:val="000000" w:themeColor="text1"/>
                <w:sz w:val="18"/>
                <w:szCs w:val="18"/>
              </w:rPr>
            </w:pPr>
            <w:r w:rsidRPr="001D56B4">
              <w:rPr>
                <w:color w:val="000000" w:themeColor="text1"/>
                <w:sz w:val="18"/>
                <w:szCs w:val="18"/>
              </w:rPr>
              <w:t>93.8</w:t>
            </w:r>
          </w:p>
        </w:tc>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1D56B4" w:rsidRDefault="001E7EE0" w:rsidP="001E7EE0">
            <w:pPr>
              <w:jc w:val="center"/>
              <w:outlineLvl w:val="0"/>
              <w:rPr>
                <w:color w:val="000000" w:themeColor="text1"/>
                <w:sz w:val="18"/>
                <w:szCs w:val="18"/>
              </w:rPr>
            </w:pPr>
            <w:r w:rsidRPr="001D56B4">
              <w:rPr>
                <w:color w:val="000000" w:themeColor="text1"/>
                <w:sz w:val="18"/>
                <w:szCs w:val="18"/>
              </w:rPr>
              <w:t>76.8</w:t>
            </w:r>
          </w:p>
        </w:tc>
        <w:tc>
          <w:tcPr>
            <w:tcW w:w="1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1E7EE0" w:rsidRPr="001D56B4" w:rsidRDefault="001E7EE0" w:rsidP="001E7EE0">
            <w:pPr>
              <w:jc w:val="center"/>
              <w:outlineLvl w:val="0"/>
              <w:rPr>
                <w:color w:val="000000" w:themeColor="text1"/>
                <w:sz w:val="18"/>
                <w:szCs w:val="18"/>
              </w:rPr>
            </w:pPr>
            <w:r w:rsidRPr="001D56B4">
              <w:rPr>
                <w:color w:val="000000" w:themeColor="text1"/>
                <w:sz w:val="18"/>
                <w:szCs w:val="18"/>
              </w:rPr>
              <w:t>66</w:t>
            </w:r>
          </w:p>
        </w:tc>
      </w:tr>
      <w:tr w:rsidR="001E7EE0" w:rsidRPr="001D56B4" w:rsidTr="001D56B4">
        <w:trPr>
          <w:trHeight w:val="220"/>
        </w:trPr>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1D56B4" w:rsidRDefault="001E7EE0" w:rsidP="001E7EE0">
            <w:pPr>
              <w:jc w:val="center"/>
              <w:outlineLvl w:val="0"/>
              <w:rPr>
                <w:b/>
                <w:color w:val="000000" w:themeColor="text1"/>
                <w:sz w:val="18"/>
                <w:szCs w:val="18"/>
              </w:rPr>
            </w:pPr>
          </w:p>
        </w:tc>
        <w:tc>
          <w:tcPr>
            <w:tcW w:w="1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1D56B4" w:rsidRDefault="001E7EE0" w:rsidP="001E7EE0">
            <w:pPr>
              <w:jc w:val="center"/>
              <w:outlineLvl w:val="0"/>
              <w:rPr>
                <w:color w:val="000000" w:themeColor="text1"/>
                <w:sz w:val="18"/>
                <w:szCs w:val="18"/>
              </w:rPr>
            </w:pPr>
          </w:p>
        </w:tc>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1D56B4" w:rsidRDefault="001E7EE0" w:rsidP="001E7EE0">
            <w:pPr>
              <w:jc w:val="center"/>
              <w:outlineLvl w:val="0"/>
              <w:rPr>
                <w:color w:val="000000" w:themeColor="text1"/>
                <w:sz w:val="18"/>
                <w:szCs w:val="18"/>
              </w:rPr>
            </w:pPr>
          </w:p>
        </w:tc>
        <w:tc>
          <w:tcPr>
            <w:tcW w:w="1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1E7EE0" w:rsidRPr="001D56B4" w:rsidRDefault="001E7EE0" w:rsidP="001E7EE0">
            <w:pPr>
              <w:jc w:val="center"/>
              <w:outlineLvl w:val="0"/>
              <w:rPr>
                <w:color w:val="000000" w:themeColor="text1"/>
                <w:sz w:val="18"/>
                <w:szCs w:val="18"/>
              </w:rPr>
            </w:pPr>
          </w:p>
        </w:tc>
      </w:tr>
      <w:tr w:rsidR="001E7EE0" w:rsidRPr="001D56B4" w:rsidTr="001D56B4">
        <w:trPr>
          <w:trHeight w:val="220"/>
        </w:trPr>
        <w:tc>
          <w:tcPr>
            <w:tcW w:w="5205" w:type="dxa"/>
            <w:gridSpan w:val="4"/>
            <w:tcBorders>
              <w:top w:val="single" w:sz="4" w:space="0" w:color="FFFFFF" w:themeColor="background1"/>
              <w:left w:val="single" w:sz="4" w:space="0" w:color="FFFFFF" w:themeColor="background1"/>
              <w:right w:val="single" w:sz="4" w:space="0" w:color="FFFFFF" w:themeColor="background1"/>
            </w:tcBorders>
            <w:shd w:val="clear" w:color="auto" w:fill="auto"/>
          </w:tcPr>
          <w:p w:rsidR="001E7EE0" w:rsidRPr="001D56B4" w:rsidRDefault="001E7EE0" w:rsidP="001E7EE0">
            <w:pPr>
              <w:outlineLvl w:val="0"/>
              <w:rPr>
                <w:color w:val="000000" w:themeColor="text1"/>
                <w:sz w:val="18"/>
                <w:szCs w:val="18"/>
              </w:rPr>
            </w:pPr>
            <w:proofErr w:type="spellStart"/>
            <w:r w:rsidRPr="00843E68">
              <w:rPr>
                <w:i/>
                <w:color w:val="000000" w:themeColor="text1"/>
                <w:sz w:val="18"/>
                <w:szCs w:val="18"/>
                <w:vertAlign w:val="superscript"/>
              </w:rPr>
              <w:t>a</w:t>
            </w:r>
            <w:r w:rsidRPr="001D56B4">
              <w:rPr>
                <w:color w:val="000000" w:themeColor="text1"/>
                <w:sz w:val="18"/>
                <w:szCs w:val="18"/>
              </w:rPr>
              <w:t>The</w:t>
            </w:r>
            <w:proofErr w:type="spellEnd"/>
            <w:r w:rsidRPr="001D56B4">
              <w:rPr>
                <w:color w:val="000000" w:themeColor="text1"/>
                <w:sz w:val="18"/>
                <w:szCs w:val="18"/>
              </w:rPr>
              <w:t xml:space="preserve"> height and diameter of the cylindrical swollen gel and corresponding aggregate were used to calculate the change in </w:t>
            </w:r>
            <w:bookmarkStart w:id="2" w:name="_GoBack"/>
            <w:bookmarkEnd w:id="2"/>
            <w:r w:rsidRPr="001D56B4">
              <w:rPr>
                <w:color w:val="000000" w:themeColor="text1"/>
                <w:sz w:val="18"/>
                <w:szCs w:val="18"/>
              </w:rPr>
              <w:t>volume (see ESI Fig. 4 for images of the samples).</w:t>
            </w:r>
          </w:p>
        </w:tc>
      </w:tr>
    </w:tbl>
    <w:tbl>
      <w:tblPr>
        <w:tblStyle w:val="TableGrid"/>
        <w:tblpPr w:leftFromText="181" w:rightFromText="181" w:vertAnchor="page" w:horzAnchor="margin" w:tblpY="10577"/>
        <w:tblOverlap w:val="never"/>
        <w:tblW w:w="0" w:type="auto"/>
        <w:tblLook w:val="04A0" w:firstRow="1" w:lastRow="0" w:firstColumn="1" w:lastColumn="0" w:noHBand="0" w:noVBand="1"/>
      </w:tblPr>
      <w:tblGrid>
        <w:gridCol w:w="4979"/>
      </w:tblGrid>
      <w:tr w:rsidR="001E7EE0" w:rsidRPr="003A1A2D" w:rsidTr="001E7EE0">
        <w:tc>
          <w:tcPr>
            <w:tcW w:w="50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r w:rsidRPr="003A1A2D">
              <w:rPr>
                <w:noProof/>
                <w:sz w:val="18"/>
                <w:szCs w:val="18"/>
                <w:lang w:eastAsia="en-GB"/>
              </w:rPr>
              <w:drawing>
                <wp:inline distT="0" distB="0" distL="0" distR="0" wp14:anchorId="208F4FDD" wp14:editId="34F7A31C">
                  <wp:extent cx="3057525" cy="2133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0u91e0\Dropbox\Adam Town PhD\Individual Meetings\Weekly meetings V8 (Jan16 - Feb 16)\Figures\Picture3b.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57525" cy="2133600"/>
                          </a:xfrm>
                          <a:prstGeom prst="rect">
                            <a:avLst/>
                          </a:prstGeom>
                          <a:noFill/>
                          <a:ln>
                            <a:noFill/>
                          </a:ln>
                        </pic:spPr>
                      </pic:pic>
                    </a:graphicData>
                  </a:graphic>
                </wp:inline>
              </w:drawing>
            </w:r>
          </w:p>
        </w:tc>
      </w:tr>
      <w:tr w:rsidR="001E7EE0" w:rsidRPr="003A1A2D" w:rsidTr="001E7EE0">
        <w:tc>
          <w:tcPr>
            <w:tcW w:w="50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both"/>
              <w:outlineLvl w:val="0"/>
              <w:rPr>
                <w:color w:val="FF0000"/>
                <w:sz w:val="18"/>
                <w:szCs w:val="18"/>
              </w:rPr>
            </w:pPr>
            <w:r w:rsidRPr="003A1A2D">
              <w:rPr>
                <w:b/>
                <w:bCs/>
                <w:color w:val="000000" w:themeColor="text1"/>
                <w:sz w:val="18"/>
                <w:szCs w:val="18"/>
              </w:rPr>
              <w:t xml:space="preserve">Fig. 5 </w:t>
            </w:r>
            <w:r w:rsidRPr="003A1A2D">
              <w:rPr>
                <w:color w:val="000000" w:themeColor="text1"/>
                <w:sz w:val="18"/>
                <w:szCs w:val="18"/>
              </w:rPr>
              <w:t xml:space="preserve">Image showing injection of PNA-25 through 18G hypodermic needle into 37 </w:t>
            </w:r>
            <w:r w:rsidRPr="003A1A2D">
              <w:rPr>
                <w:color w:val="000000" w:themeColor="text1"/>
                <w:sz w:val="18"/>
                <w:szCs w:val="18"/>
              </w:rPr>
              <w:sym w:font="Symbol" w:char="F0B0"/>
            </w:r>
            <w:r w:rsidRPr="003A1A2D">
              <w:rPr>
                <w:bCs/>
                <w:color w:val="000000" w:themeColor="text1"/>
                <w:sz w:val="18"/>
                <w:szCs w:val="18"/>
              </w:rPr>
              <w:t>C</w:t>
            </w:r>
            <w:r w:rsidRPr="003A1A2D">
              <w:rPr>
                <w:color w:val="000000" w:themeColor="text1"/>
                <w:sz w:val="18"/>
                <w:szCs w:val="18"/>
              </w:rPr>
              <w:t xml:space="preserve"> agarose gel, followed by aggregation of material at time points (A) 0 (B) 5 (C) 12 and (D) 19 seconds. </w:t>
            </w:r>
          </w:p>
        </w:tc>
      </w:tr>
    </w:tbl>
    <w:p w:rsidR="00C86D7F" w:rsidRPr="003A1A2D" w:rsidRDefault="00C86D7F" w:rsidP="00C86D7F">
      <w:pPr>
        <w:jc w:val="both"/>
        <w:outlineLvl w:val="0"/>
        <w:rPr>
          <w:color w:val="000000" w:themeColor="text1"/>
          <w:sz w:val="18"/>
          <w:szCs w:val="18"/>
        </w:rPr>
      </w:pPr>
      <w:r w:rsidRPr="003A1A2D">
        <w:rPr>
          <w:color w:val="000000" w:themeColor="text1"/>
          <w:sz w:val="18"/>
          <w:szCs w:val="18"/>
        </w:rPr>
        <w:t xml:space="preserve">The propensity for the microgels to flocculate in response to both temperature and salt could be utilised to give a macroscopic aggregate at </w:t>
      </w:r>
      <w:r w:rsidR="00DC2EFB" w:rsidRPr="003A1A2D">
        <w:rPr>
          <w:color w:val="000000" w:themeColor="text1"/>
          <w:sz w:val="18"/>
          <w:szCs w:val="18"/>
        </w:rPr>
        <w:t>high microgel concentrations. Potentially the</w:t>
      </w:r>
      <w:r w:rsidRPr="003A1A2D">
        <w:rPr>
          <w:color w:val="000000" w:themeColor="text1"/>
          <w:sz w:val="18"/>
          <w:szCs w:val="18"/>
        </w:rPr>
        <w:t xml:space="preserve"> relative hydrophilicity </w:t>
      </w:r>
      <w:r w:rsidR="00DC2EFB" w:rsidRPr="003A1A2D">
        <w:rPr>
          <w:color w:val="000000" w:themeColor="text1"/>
          <w:sz w:val="18"/>
          <w:szCs w:val="18"/>
        </w:rPr>
        <w:t xml:space="preserve">and porosity </w:t>
      </w:r>
      <w:r w:rsidRPr="003A1A2D">
        <w:rPr>
          <w:color w:val="000000" w:themeColor="text1"/>
          <w:sz w:val="18"/>
          <w:szCs w:val="18"/>
        </w:rPr>
        <w:t xml:space="preserve">of </w:t>
      </w:r>
      <w:r w:rsidR="00DC2EFB" w:rsidRPr="003A1A2D">
        <w:rPr>
          <w:color w:val="000000" w:themeColor="text1"/>
          <w:sz w:val="18"/>
          <w:szCs w:val="18"/>
        </w:rPr>
        <w:t xml:space="preserve">the </w:t>
      </w:r>
      <w:r w:rsidRPr="003A1A2D">
        <w:rPr>
          <w:color w:val="000000" w:themeColor="text1"/>
          <w:sz w:val="18"/>
          <w:szCs w:val="18"/>
        </w:rPr>
        <w:t xml:space="preserve">aggregates </w:t>
      </w:r>
      <w:r w:rsidR="00DC2EFB" w:rsidRPr="003A1A2D">
        <w:rPr>
          <w:color w:val="000000" w:themeColor="text1"/>
          <w:sz w:val="18"/>
          <w:szCs w:val="18"/>
        </w:rPr>
        <w:t>can</w:t>
      </w:r>
      <w:r w:rsidR="00416145" w:rsidRPr="003A1A2D">
        <w:rPr>
          <w:color w:val="000000" w:themeColor="text1"/>
          <w:sz w:val="18"/>
          <w:szCs w:val="18"/>
        </w:rPr>
        <w:t xml:space="preserve"> be tuned by mixing PNA</w:t>
      </w:r>
      <w:r w:rsidR="00416145" w:rsidRPr="003A1A2D">
        <w:rPr>
          <w:color w:val="000000" w:themeColor="text1"/>
          <w:sz w:val="18"/>
          <w:szCs w:val="18"/>
        </w:rPr>
        <w:noBreakHyphen/>
      </w:r>
      <w:r w:rsidR="009E6DBE" w:rsidRPr="003A1A2D">
        <w:rPr>
          <w:color w:val="000000" w:themeColor="text1"/>
          <w:sz w:val="18"/>
          <w:szCs w:val="18"/>
        </w:rPr>
        <w:t>-</w:t>
      </w:r>
      <w:r w:rsidR="00416145" w:rsidRPr="003A1A2D">
        <w:rPr>
          <w:color w:val="000000" w:themeColor="text1"/>
          <w:sz w:val="18"/>
          <w:szCs w:val="18"/>
        </w:rPr>
        <w:t>00 and PNA</w:t>
      </w:r>
      <w:r w:rsidR="00416145" w:rsidRPr="003A1A2D">
        <w:rPr>
          <w:color w:val="000000" w:themeColor="text1"/>
          <w:sz w:val="18"/>
          <w:szCs w:val="18"/>
        </w:rPr>
        <w:noBreakHyphen/>
      </w:r>
      <w:r w:rsidRPr="003A1A2D">
        <w:rPr>
          <w:color w:val="000000" w:themeColor="text1"/>
          <w:sz w:val="18"/>
          <w:szCs w:val="18"/>
        </w:rPr>
        <w:t>25 due to their different water content</w:t>
      </w:r>
      <w:r w:rsidR="00DC2EFB" w:rsidRPr="003A1A2D">
        <w:rPr>
          <w:color w:val="000000" w:themeColor="text1"/>
          <w:sz w:val="18"/>
          <w:szCs w:val="18"/>
        </w:rPr>
        <w:t xml:space="preserve"> and apparent structural differences</w:t>
      </w:r>
      <w:r w:rsidRPr="003A1A2D">
        <w:rPr>
          <w:color w:val="000000" w:themeColor="text1"/>
          <w:sz w:val="18"/>
          <w:szCs w:val="18"/>
        </w:rPr>
        <w:t xml:space="preserve"> in aggregated form.</w:t>
      </w:r>
    </w:p>
    <w:p w:rsidR="00862FF0" w:rsidRPr="003A1A2D" w:rsidRDefault="00E66029" w:rsidP="00C86D7F">
      <w:pPr>
        <w:jc w:val="both"/>
        <w:rPr>
          <w:color w:val="000000" w:themeColor="text1"/>
          <w:sz w:val="18"/>
          <w:szCs w:val="18"/>
        </w:rPr>
      </w:pPr>
      <w:r w:rsidRPr="003A1A2D">
        <w:rPr>
          <w:color w:val="000000" w:themeColor="text1"/>
          <w:sz w:val="18"/>
          <w:szCs w:val="18"/>
        </w:rPr>
        <w:t>Upon injection as an ISFI the swollen gel will be in contact with interstitial fluid, which contains the metal ions magnesium and calcium as part of a complex mixture of inorganic salts.</w:t>
      </w:r>
      <w:r w:rsidRPr="003A1A2D">
        <w:rPr>
          <w:noProof/>
          <w:color w:val="000000" w:themeColor="text1"/>
          <w:sz w:val="18"/>
          <w:szCs w:val="18"/>
          <w:vertAlign w:val="superscript"/>
        </w:rPr>
        <w:t>62</w:t>
      </w:r>
      <w:r w:rsidRPr="003A1A2D">
        <w:rPr>
          <w:color w:val="000000" w:themeColor="text1"/>
          <w:sz w:val="18"/>
          <w:szCs w:val="18"/>
        </w:rPr>
        <w:t xml:space="preserve"> Th</w:t>
      </w:r>
      <w:r w:rsidR="006A68EE" w:rsidRPr="003A1A2D">
        <w:rPr>
          <w:color w:val="000000" w:themeColor="text1"/>
          <w:sz w:val="18"/>
          <w:szCs w:val="18"/>
        </w:rPr>
        <w:t>is inorganic salt composition was</w:t>
      </w:r>
      <w:r w:rsidRPr="003A1A2D">
        <w:rPr>
          <w:color w:val="000000" w:themeColor="text1"/>
          <w:sz w:val="18"/>
          <w:szCs w:val="18"/>
        </w:rPr>
        <w:t xml:space="preserve"> simulated by Hank’s balanced salt solution (HBSS). Therefore</w:t>
      </w:r>
      <w:r w:rsidR="006A68EE" w:rsidRPr="003A1A2D">
        <w:rPr>
          <w:color w:val="000000" w:themeColor="text1"/>
          <w:sz w:val="18"/>
          <w:szCs w:val="18"/>
        </w:rPr>
        <w:t xml:space="preserve">, in order to more closely mimic the ionic environment </w:t>
      </w:r>
      <w:r w:rsidR="006A68EE" w:rsidRPr="003A1A2D">
        <w:rPr>
          <w:i/>
          <w:color w:val="000000" w:themeColor="text1"/>
          <w:sz w:val="18"/>
          <w:szCs w:val="18"/>
        </w:rPr>
        <w:t>in vivo</w:t>
      </w:r>
      <w:r w:rsidRPr="003A1A2D">
        <w:rPr>
          <w:color w:val="000000" w:themeColor="text1"/>
          <w:sz w:val="18"/>
          <w:szCs w:val="18"/>
        </w:rPr>
        <w:t xml:space="preserve"> the aggregation of the microgels was assessed</w:t>
      </w:r>
      <w:r w:rsidR="00405CFA" w:rsidRPr="003A1A2D">
        <w:rPr>
          <w:color w:val="000000" w:themeColor="text1"/>
          <w:sz w:val="18"/>
          <w:szCs w:val="18"/>
        </w:rPr>
        <w:t xml:space="preserve"> in </w:t>
      </w:r>
      <w:r w:rsidRPr="003A1A2D">
        <w:rPr>
          <w:color w:val="000000" w:themeColor="text1"/>
          <w:sz w:val="18"/>
          <w:szCs w:val="18"/>
        </w:rPr>
        <w:t>HBSS</w:t>
      </w:r>
      <w:r w:rsidR="00405CFA" w:rsidRPr="003A1A2D">
        <w:rPr>
          <w:color w:val="000000" w:themeColor="text1"/>
          <w:sz w:val="18"/>
          <w:szCs w:val="18"/>
        </w:rPr>
        <w:t xml:space="preserve"> </w:t>
      </w:r>
      <w:r w:rsidR="00031B4A" w:rsidRPr="003A1A2D">
        <w:rPr>
          <w:color w:val="000000" w:themeColor="text1"/>
          <w:sz w:val="18"/>
          <w:szCs w:val="18"/>
        </w:rPr>
        <w:t>instead of PBS.</w:t>
      </w:r>
      <w:r w:rsidRPr="003A1A2D">
        <w:rPr>
          <w:color w:val="000000" w:themeColor="text1"/>
          <w:sz w:val="18"/>
          <w:szCs w:val="18"/>
        </w:rPr>
        <w:t xml:space="preserve"> </w:t>
      </w:r>
      <w:r w:rsidR="00031B4A" w:rsidRPr="003A1A2D">
        <w:rPr>
          <w:color w:val="000000" w:themeColor="text1"/>
          <w:sz w:val="18"/>
          <w:szCs w:val="18"/>
        </w:rPr>
        <w:t xml:space="preserve">Aggregation </w:t>
      </w:r>
      <w:r w:rsidRPr="003A1A2D">
        <w:rPr>
          <w:color w:val="000000" w:themeColor="text1"/>
          <w:sz w:val="18"/>
          <w:szCs w:val="18"/>
        </w:rPr>
        <w:t>was found to occur</w:t>
      </w:r>
      <w:r w:rsidR="00522BA8" w:rsidRPr="003A1A2D">
        <w:rPr>
          <w:color w:val="000000" w:themeColor="text1"/>
          <w:sz w:val="18"/>
          <w:szCs w:val="18"/>
        </w:rPr>
        <w:t xml:space="preserve"> in HBSS</w:t>
      </w:r>
      <w:r w:rsidR="00031B4A" w:rsidRPr="003A1A2D">
        <w:rPr>
          <w:color w:val="000000" w:themeColor="text1"/>
          <w:sz w:val="18"/>
          <w:szCs w:val="18"/>
        </w:rPr>
        <w:t xml:space="preserve"> </w:t>
      </w:r>
      <w:r w:rsidR="00F80141" w:rsidRPr="003A1A2D">
        <w:rPr>
          <w:color w:val="000000" w:themeColor="text1"/>
          <w:sz w:val="18"/>
          <w:szCs w:val="18"/>
        </w:rPr>
        <w:t>(see ESI Fig. S5</w:t>
      </w:r>
      <w:r w:rsidR="00031B4A" w:rsidRPr="003A1A2D">
        <w:rPr>
          <w:color w:val="000000" w:themeColor="text1"/>
          <w:sz w:val="18"/>
          <w:szCs w:val="18"/>
        </w:rPr>
        <w:t>)</w:t>
      </w:r>
      <w:r w:rsidRPr="003A1A2D">
        <w:rPr>
          <w:color w:val="000000" w:themeColor="text1"/>
          <w:sz w:val="18"/>
          <w:szCs w:val="18"/>
        </w:rPr>
        <w:t xml:space="preserve"> in a similar manner to the PBS studies</w:t>
      </w:r>
      <w:r w:rsidR="00405CFA" w:rsidRPr="003A1A2D">
        <w:rPr>
          <w:color w:val="000000" w:themeColor="text1"/>
          <w:sz w:val="18"/>
          <w:szCs w:val="18"/>
        </w:rPr>
        <w:t xml:space="preserve"> </w:t>
      </w:r>
      <w:r w:rsidRPr="003A1A2D">
        <w:rPr>
          <w:color w:val="000000" w:themeColor="text1"/>
          <w:sz w:val="18"/>
          <w:szCs w:val="18"/>
        </w:rPr>
        <w:t>and hence the different metal ions present in HBSS were not found to inhibit the aggregation process.</w:t>
      </w:r>
    </w:p>
    <w:p w:rsidR="00890764" w:rsidRPr="003A1A2D" w:rsidRDefault="00890764" w:rsidP="00890764">
      <w:pPr>
        <w:jc w:val="both"/>
        <w:outlineLvl w:val="0"/>
        <w:rPr>
          <w:b/>
          <w:sz w:val="18"/>
          <w:szCs w:val="18"/>
        </w:rPr>
      </w:pPr>
      <w:r w:rsidRPr="003A1A2D">
        <w:rPr>
          <w:b/>
          <w:sz w:val="18"/>
          <w:szCs w:val="18"/>
        </w:rPr>
        <w:t>3.3 Injection of microgels into tissue mimic</w:t>
      </w:r>
    </w:p>
    <w:p w:rsidR="00E3215D" w:rsidRPr="003A1A2D" w:rsidRDefault="00890764" w:rsidP="00E3215D">
      <w:pPr>
        <w:jc w:val="both"/>
        <w:outlineLvl w:val="0"/>
        <w:rPr>
          <w:color w:val="000000" w:themeColor="text1"/>
          <w:sz w:val="18"/>
          <w:szCs w:val="18"/>
        </w:rPr>
      </w:pPr>
      <w:r w:rsidRPr="003A1A2D">
        <w:rPr>
          <w:color w:val="000000" w:themeColor="text1"/>
          <w:sz w:val="18"/>
          <w:szCs w:val="18"/>
        </w:rPr>
        <w:t xml:space="preserve">Given that formation of the depot aggregate occurs upon exposing the concentrated microgels to physiological conditions we next </w:t>
      </w:r>
      <w:r w:rsidR="00E3215D" w:rsidRPr="003A1A2D">
        <w:rPr>
          <w:color w:val="000000" w:themeColor="text1"/>
          <w:sz w:val="18"/>
          <w:szCs w:val="18"/>
        </w:rPr>
        <w:t>assessed the suitability of injection into tissue. For this purpose we utilised agarose gel as a subcutaneous tissue mimic</w:t>
      </w:r>
      <w:r w:rsidR="00E76CCF" w:rsidRPr="003A1A2D">
        <w:rPr>
          <w:noProof/>
          <w:color w:val="000000" w:themeColor="text1"/>
          <w:sz w:val="18"/>
          <w:szCs w:val="18"/>
          <w:vertAlign w:val="superscript"/>
        </w:rPr>
        <w:t>63</w:t>
      </w:r>
      <w:r w:rsidR="00E3215D" w:rsidRPr="003A1A2D">
        <w:rPr>
          <w:color w:val="000000" w:themeColor="text1"/>
          <w:sz w:val="18"/>
          <w:szCs w:val="18"/>
        </w:rPr>
        <w:t xml:space="preserve"> at 37 </w:t>
      </w:r>
      <w:r w:rsidR="00E3215D" w:rsidRPr="003A1A2D">
        <w:rPr>
          <w:color w:val="000000" w:themeColor="text1"/>
          <w:sz w:val="18"/>
          <w:szCs w:val="18"/>
        </w:rPr>
        <w:sym w:font="Symbol" w:char="F0B0"/>
      </w:r>
      <w:r w:rsidR="00E3215D" w:rsidRPr="003A1A2D">
        <w:rPr>
          <w:color w:val="000000" w:themeColor="text1"/>
          <w:sz w:val="18"/>
          <w:szCs w:val="18"/>
        </w:rPr>
        <w:t>C. The concentrated microgel at ambient temperature was injected into the tissue mimic through a hypodermic needle. The sheer thinning</w:t>
      </w:r>
      <w:r w:rsidR="00F305A2" w:rsidRPr="003A1A2D">
        <w:rPr>
          <w:color w:val="000000" w:themeColor="text1"/>
          <w:sz w:val="18"/>
          <w:szCs w:val="18"/>
        </w:rPr>
        <w:t xml:space="preserve"> properties of PNIPAm microgels allowed the swollen gel of PNA-00 and PNA-25 to be injected through a 18G needle. This is followed by rapid aggregation of the particles into a depot. Additionally, depot formation was also possible with a much lower microgel concentration; PNA-25 was injected as a liquid at 2.0% (w/w) and displayed the same aggregation behaviour as higher microgel concentrations, Fig. </w:t>
      </w:r>
      <w:r w:rsidR="00B964A1" w:rsidRPr="003A1A2D">
        <w:rPr>
          <w:sz w:val="18"/>
          <w:szCs w:val="18"/>
        </w:rPr>
        <w:t>5</w:t>
      </w:r>
      <w:r w:rsidR="00F305A2" w:rsidRPr="003A1A2D">
        <w:rPr>
          <w:sz w:val="18"/>
          <w:szCs w:val="18"/>
        </w:rPr>
        <w:t>. (see video in ESI</w:t>
      </w:r>
      <w:r w:rsidR="00F305A2" w:rsidRPr="003A1A2D">
        <w:rPr>
          <w:color w:val="000000" w:themeColor="text1"/>
          <w:sz w:val="18"/>
          <w:szCs w:val="18"/>
        </w:rPr>
        <w:t>). The ability to obtain depot formation at lower concentrations is beneficial as a liquid is more desirable for ease of formulation with drug and loading into a syringe for as an ISFI.</w:t>
      </w:r>
      <w:r w:rsidR="00F305A2" w:rsidRPr="003A1A2D">
        <w:rPr>
          <w:noProof/>
          <w:color w:val="000000" w:themeColor="text1"/>
          <w:sz w:val="18"/>
          <w:szCs w:val="18"/>
          <w:vertAlign w:val="superscript"/>
        </w:rPr>
        <w:t>17</w:t>
      </w:r>
      <w:r w:rsidR="00F305A2" w:rsidRPr="003A1A2D">
        <w:rPr>
          <w:color w:val="000000" w:themeColor="text1"/>
          <w:sz w:val="18"/>
          <w:szCs w:val="18"/>
        </w:rPr>
        <w:t xml:space="preserve"> The microgel aggregate formed a planar depot</w:t>
      </w:r>
      <w:r w:rsidR="00F305A2" w:rsidRPr="003A1A2D">
        <w:rPr>
          <w:rStyle w:val="CommentReference"/>
        </w:rPr>
        <w:t xml:space="preserve"> that is most likely due to the fracturing of the agarose gel by the hypodermic needle, and the subsequent filling of the void by the microgel outwards along the fault line.</w:t>
      </w:r>
      <w:r w:rsidR="00E3215D" w:rsidRPr="003A1A2D">
        <w:rPr>
          <w:color w:val="000000" w:themeColor="text1"/>
          <w:sz w:val="18"/>
          <w:szCs w:val="18"/>
        </w:rPr>
        <w:t xml:space="preserve"> </w:t>
      </w:r>
    </w:p>
    <w:p w:rsidR="00890764" w:rsidRPr="003A1A2D" w:rsidRDefault="00890764" w:rsidP="00890764">
      <w:pPr>
        <w:jc w:val="both"/>
        <w:outlineLvl w:val="0"/>
        <w:rPr>
          <w:b/>
          <w:sz w:val="18"/>
          <w:szCs w:val="18"/>
        </w:rPr>
      </w:pPr>
      <w:r w:rsidRPr="003A1A2D">
        <w:rPr>
          <w:b/>
          <w:sz w:val="18"/>
          <w:szCs w:val="18"/>
        </w:rPr>
        <w:t>3.4 Polystyrene nanoparticle entrapment study</w:t>
      </w:r>
    </w:p>
    <w:p w:rsidR="001E7EE0" w:rsidRPr="003A1A2D" w:rsidRDefault="00890764" w:rsidP="00A41BB7">
      <w:pPr>
        <w:jc w:val="both"/>
        <w:outlineLvl w:val="0"/>
        <w:rPr>
          <w:sz w:val="18"/>
          <w:szCs w:val="18"/>
        </w:rPr>
      </w:pPr>
      <w:r w:rsidRPr="003A1A2D">
        <w:rPr>
          <w:sz w:val="18"/>
          <w:szCs w:val="18"/>
        </w:rPr>
        <w:t>An ISFI will ideally display no initial burst release, therefore in our system as the microgels aggregate they should be able to rapidly entrap a payload of drug containing nanoparticles with high entrapment efficiency.</w:t>
      </w:r>
      <w:r w:rsidRPr="003A1A2D">
        <w:rPr>
          <w:noProof/>
          <w:sz w:val="18"/>
          <w:szCs w:val="18"/>
          <w:vertAlign w:val="superscript"/>
        </w:rPr>
        <w:t>24</w:t>
      </w:r>
      <w:r w:rsidRPr="003A1A2D">
        <w:rPr>
          <w:sz w:val="18"/>
          <w:szCs w:val="18"/>
        </w:rPr>
        <w:t xml:space="preserve"> To probe this ability, oil red O dye</w:t>
      </w:r>
      <w:r w:rsidRPr="003A1A2D">
        <w:rPr>
          <w:sz w:val="18"/>
          <w:szCs w:val="18"/>
        </w:rPr>
        <w:noBreakHyphen/>
        <w:t xml:space="preserve">containing polystyrene (PS) nanoparticles were synthesised as a model payload which mimics the entrapment of solid drug nanoparticles. Like solid drug nanoparticles, oil red O dye-containing PS nanoparticles can form a nanosuspension in water, </w:t>
      </w:r>
      <w:r w:rsidR="00A41BB7" w:rsidRPr="003A1A2D">
        <w:rPr>
          <w:sz w:val="18"/>
          <w:szCs w:val="18"/>
        </w:rPr>
        <w:t>and are a similar size, however the oil red O within the PS particles allows quantification of the amount released using UV-Vis spectroscopy. Firstly, the PS particles were synthesised using adaptations from a previously published dispersion polymerisation method.</w:t>
      </w:r>
      <w:r w:rsidR="00A41BB7" w:rsidRPr="003A1A2D">
        <w:rPr>
          <w:sz w:val="18"/>
          <w:szCs w:val="18"/>
          <w:vertAlign w:val="superscript"/>
        </w:rPr>
        <w:t>47</w:t>
      </w:r>
      <w:r w:rsidR="00A41BB7" w:rsidRPr="003A1A2D">
        <w:rPr>
          <w:sz w:val="18"/>
          <w:szCs w:val="18"/>
        </w:rPr>
        <w:t xml:space="preserve"> The PS nanoparticles were then dyed with the hydrophobic dye Oil Red O (OR),</w:t>
      </w:r>
      <w:r w:rsidR="00A41BB7" w:rsidRPr="003A1A2D">
        <w:rPr>
          <w:sz w:val="18"/>
          <w:szCs w:val="18"/>
          <w:vertAlign w:val="superscript"/>
        </w:rPr>
        <w:t>48</w:t>
      </w:r>
      <w:r w:rsidR="00A41BB7" w:rsidRPr="003A1A2D">
        <w:rPr>
          <w:sz w:val="18"/>
          <w:szCs w:val="18"/>
        </w:rPr>
        <w:t xml:space="preserve"> so that the release could be quantified at a wavelength of 580 nm where there is negligible absorbance by any potential PNIPAm fragments lost from the aggregate. These dye containing particles will be denoted as PS-OR. The PS colloids were characterised using DLS after synthesis and when dispersed into PBS as PS-OR after dying and lyophilisation (see Table 5). The slightly larger Z-average diameter after dying can be accounted for by entrapment of dye. </w:t>
      </w:r>
      <w:r w:rsidR="00A41BB7" w:rsidRPr="003A1A2D">
        <w:rPr>
          <w:sz w:val="18"/>
          <w:szCs w:val="18"/>
        </w:rPr>
        <w:lastRenderedPageBreak/>
        <w:t>SEM images revealed that monodisperse particles with spherical morphology were synthesised, (see ESI, Fig. S6). Nanocomposites containing PS-OR nanoparticles were then prepared. Firstly, PNA-25 was dispersed at 6.24% (w/w) in PBS to give a swollen gel and then PS-OR nanoparticles were mixed into the gel at 10, 20 and 40% (w/w) vs PNA-25. These samples remained as swollen self-supporting gels even with 40% (w/w) PS-OR nanoparticles loaded, Fig. 6 (A)(i).</w:t>
      </w:r>
    </w:p>
    <w:tbl>
      <w:tblPr>
        <w:tblStyle w:val="TableGrid"/>
        <w:tblpPr w:leftFromText="181" w:rightFromText="181" w:vertAnchor="page" w:horzAnchor="margin" w:tblpY="1536"/>
        <w:tblOverlap w:val="never"/>
        <w:tblW w:w="0" w:type="auto"/>
        <w:tblLayout w:type="fixed"/>
        <w:tblLook w:val="04A0" w:firstRow="1" w:lastRow="0" w:firstColumn="1" w:lastColumn="0" w:noHBand="0" w:noVBand="1"/>
      </w:tblPr>
      <w:tblGrid>
        <w:gridCol w:w="988"/>
        <w:gridCol w:w="1134"/>
        <w:gridCol w:w="266"/>
        <w:gridCol w:w="1037"/>
        <w:gridCol w:w="1215"/>
      </w:tblGrid>
      <w:tr w:rsidR="001E7EE0" w:rsidRPr="003A1A2D" w:rsidTr="001E7EE0">
        <w:trPr>
          <w:trHeight w:val="347"/>
        </w:trPr>
        <w:tc>
          <w:tcPr>
            <w:tcW w:w="4640" w:type="dxa"/>
            <w:gridSpan w:val="5"/>
            <w:tcBorders>
              <w:top w:val="single" w:sz="4" w:space="0" w:color="FFFFFF" w:themeColor="background1"/>
              <w:left w:val="single" w:sz="4" w:space="0" w:color="FFFFFF" w:themeColor="background1"/>
              <w:right w:val="single" w:sz="4" w:space="0" w:color="FFFFFF" w:themeColor="background1"/>
            </w:tcBorders>
          </w:tcPr>
          <w:p w:rsidR="001E7EE0" w:rsidRPr="003A1A2D" w:rsidRDefault="001E7EE0" w:rsidP="001E7EE0">
            <w:pPr>
              <w:outlineLvl w:val="0"/>
              <w:rPr>
                <w:sz w:val="18"/>
                <w:szCs w:val="18"/>
              </w:rPr>
            </w:pPr>
            <w:r w:rsidRPr="003A1A2D">
              <w:rPr>
                <w:b/>
                <w:sz w:val="18"/>
                <w:szCs w:val="18"/>
              </w:rPr>
              <w:t>Table 5</w:t>
            </w:r>
            <w:r w:rsidRPr="003A1A2D">
              <w:rPr>
                <w:sz w:val="18"/>
                <w:szCs w:val="18"/>
              </w:rPr>
              <w:t xml:space="preserve">      PS nanoparticle properties</w:t>
            </w:r>
          </w:p>
        </w:tc>
      </w:tr>
      <w:tr w:rsidR="001E7EE0" w:rsidRPr="003A1A2D" w:rsidTr="001E7EE0">
        <w:trPr>
          <w:trHeight w:val="304"/>
        </w:trPr>
        <w:tc>
          <w:tcPr>
            <w:tcW w:w="2122" w:type="dxa"/>
            <w:gridSpan w:val="2"/>
            <w:tcBorders>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PS after synthesis</w:t>
            </w:r>
          </w:p>
        </w:tc>
        <w:tc>
          <w:tcPr>
            <w:tcW w:w="266" w:type="dxa"/>
            <w:tcBorders>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p>
        </w:tc>
        <w:tc>
          <w:tcPr>
            <w:tcW w:w="2252" w:type="dxa"/>
            <w:gridSpan w:val="2"/>
            <w:tcBorders>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PS-OR dispersed in PBS</w:t>
            </w:r>
          </w:p>
        </w:tc>
      </w:tr>
      <w:tr w:rsidR="001E7EE0" w:rsidRPr="003A1A2D" w:rsidTr="001E7EE0">
        <w:tc>
          <w:tcPr>
            <w:tcW w:w="988" w:type="dxa"/>
            <w:tcBorders>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vertAlign w:val="superscript"/>
              </w:rPr>
            </w:pPr>
            <w:r w:rsidRPr="003A1A2D">
              <w:rPr>
                <w:sz w:val="18"/>
                <w:szCs w:val="18"/>
              </w:rPr>
              <w:t>Z-average diameter (nm)</w:t>
            </w:r>
          </w:p>
        </w:tc>
        <w:tc>
          <w:tcPr>
            <w:tcW w:w="1134" w:type="dxa"/>
            <w:tcBorders>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PdI</w:t>
            </w:r>
          </w:p>
        </w:tc>
        <w:tc>
          <w:tcPr>
            <w:tcW w:w="26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1E7EE0" w:rsidRPr="003A1A2D" w:rsidRDefault="001E7EE0" w:rsidP="001E7EE0">
            <w:pPr>
              <w:jc w:val="center"/>
              <w:outlineLvl w:val="0"/>
              <w:rPr>
                <w:sz w:val="18"/>
                <w:szCs w:val="18"/>
              </w:rPr>
            </w:pPr>
          </w:p>
        </w:tc>
        <w:tc>
          <w:tcPr>
            <w:tcW w:w="1037" w:type="dxa"/>
            <w:tcBorders>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vertAlign w:val="superscript"/>
              </w:rPr>
            </w:pPr>
            <w:r w:rsidRPr="003A1A2D">
              <w:rPr>
                <w:sz w:val="18"/>
                <w:szCs w:val="18"/>
              </w:rPr>
              <w:t>Z-average diameter (nm)</w:t>
            </w:r>
          </w:p>
        </w:tc>
        <w:tc>
          <w:tcPr>
            <w:tcW w:w="1215" w:type="dxa"/>
            <w:tcBorders>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PdI</w:t>
            </w:r>
          </w:p>
        </w:tc>
      </w:tr>
      <w:tr w:rsidR="001E7EE0" w:rsidRPr="003A1A2D" w:rsidTr="001E7EE0">
        <w:trPr>
          <w:trHeight w:val="248"/>
        </w:trPr>
        <w:tc>
          <w:tcPr>
            <w:tcW w:w="988" w:type="dxa"/>
            <w:tcBorders>
              <w:left w:val="single" w:sz="4" w:space="0" w:color="FFFFFF" w:themeColor="background1"/>
              <w:bottom w:val="single" w:sz="4" w:space="0" w:color="auto"/>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802 ± 14</w:t>
            </w:r>
          </w:p>
        </w:tc>
        <w:tc>
          <w:tcPr>
            <w:tcW w:w="1134" w:type="dxa"/>
            <w:tcBorders>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0.05 ± 0.03</w:t>
            </w:r>
          </w:p>
        </w:tc>
        <w:tc>
          <w:tcPr>
            <w:tcW w:w="26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1E7EE0" w:rsidRPr="003A1A2D" w:rsidRDefault="001E7EE0" w:rsidP="001E7EE0">
            <w:pPr>
              <w:jc w:val="center"/>
              <w:outlineLvl w:val="0"/>
              <w:rPr>
                <w:sz w:val="18"/>
                <w:szCs w:val="18"/>
              </w:rPr>
            </w:pPr>
          </w:p>
        </w:tc>
        <w:tc>
          <w:tcPr>
            <w:tcW w:w="1037" w:type="dxa"/>
            <w:tcBorders>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821 ± 25</w:t>
            </w:r>
          </w:p>
        </w:tc>
        <w:tc>
          <w:tcPr>
            <w:tcW w:w="1215" w:type="dxa"/>
            <w:tcBorders>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0.05 ± 0.04</w:t>
            </w:r>
          </w:p>
        </w:tc>
      </w:tr>
      <w:tr w:rsidR="001E7EE0" w:rsidRPr="003A1A2D" w:rsidTr="001E7EE0">
        <w:trPr>
          <w:trHeight w:val="248"/>
        </w:trPr>
        <w:tc>
          <w:tcPr>
            <w:tcW w:w="988" w:type="dxa"/>
            <w:tcBorders>
              <w:left w:val="single" w:sz="4" w:space="0" w:color="FFFFFF" w:themeColor="background1"/>
              <w:bottom w:val="nil"/>
              <w:right w:val="single" w:sz="4" w:space="0" w:color="FFFFFF" w:themeColor="background1"/>
            </w:tcBorders>
          </w:tcPr>
          <w:p w:rsidR="001E7EE0" w:rsidRPr="003A1A2D" w:rsidRDefault="001E7EE0" w:rsidP="001E7EE0">
            <w:pPr>
              <w:jc w:val="center"/>
              <w:outlineLvl w:val="0"/>
              <w:rPr>
                <w:sz w:val="18"/>
                <w:szCs w:val="18"/>
              </w:rPr>
            </w:pP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p>
        </w:tc>
        <w:tc>
          <w:tcPr>
            <w:tcW w:w="26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p>
        </w:tc>
        <w:tc>
          <w:tcPr>
            <w:tcW w:w="1037" w:type="dxa"/>
            <w:tcBorders>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p>
        </w:tc>
        <w:tc>
          <w:tcPr>
            <w:tcW w:w="1215" w:type="dxa"/>
            <w:tcBorders>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p>
        </w:tc>
      </w:tr>
    </w:tbl>
    <w:p w:rsidR="00A41BB7" w:rsidRPr="003A1A2D" w:rsidRDefault="00890764" w:rsidP="00890764">
      <w:pPr>
        <w:jc w:val="both"/>
        <w:outlineLvl w:val="0"/>
        <w:rPr>
          <w:sz w:val="18"/>
          <w:szCs w:val="18"/>
        </w:rPr>
      </w:pPr>
      <w:r w:rsidRPr="003A1A2D">
        <w:rPr>
          <w:sz w:val="18"/>
          <w:szCs w:val="18"/>
        </w:rPr>
        <w:t xml:space="preserve">Upon heating to 37 </w:t>
      </w:r>
      <w:r w:rsidRPr="003A1A2D">
        <w:rPr>
          <w:color w:val="000000" w:themeColor="text1"/>
          <w:sz w:val="18"/>
          <w:szCs w:val="18"/>
        </w:rPr>
        <w:sym w:font="Symbol" w:char="F0B0"/>
      </w:r>
      <w:r w:rsidRPr="003A1A2D">
        <w:rPr>
          <w:color w:val="000000" w:themeColor="text1"/>
          <w:sz w:val="18"/>
          <w:szCs w:val="18"/>
        </w:rPr>
        <w:t>C to induce</w:t>
      </w:r>
      <w:r w:rsidRPr="003A1A2D">
        <w:rPr>
          <w:sz w:val="18"/>
          <w:szCs w:val="18"/>
        </w:rPr>
        <w:t xml:space="preserve"> aggregation, the expelled solvent is visibly colourless, suggesting that PS-OR particles remained entrapped as a nanocomposite with the microgel</w:t>
      </w:r>
      <w:r w:rsidR="00B964A1" w:rsidRPr="003A1A2D">
        <w:rPr>
          <w:sz w:val="18"/>
          <w:szCs w:val="18"/>
        </w:rPr>
        <w:t xml:space="preserve"> Fig. 6</w:t>
      </w:r>
      <w:r w:rsidRPr="003A1A2D">
        <w:rPr>
          <w:sz w:val="18"/>
          <w:szCs w:val="18"/>
        </w:rPr>
        <w:t xml:space="preserve"> (A)(ii). This burst release behaviour was quantified by UV-Vis to determine the concentration of PS-OR particles in the e</w:t>
      </w:r>
      <w:r w:rsidR="009A1A05" w:rsidRPr="003A1A2D">
        <w:rPr>
          <w:sz w:val="18"/>
          <w:szCs w:val="18"/>
        </w:rPr>
        <w:t>xpelled liquid (see ESI, Fig. S7</w:t>
      </w:r>
      <w:r w:rsidRPr="003A1A2D">
        <w:rPr>
          <w:sz w:val="18"/>
          <w:szCs w:val="18"/>
        </w:rPr>
        <w:t>). This analysis showed low burst release (&lt;</w:t>
      </w:r>
      <w:r w:rsidR="00BA4372" w:rsidRPr="003A1A2D">
        <w:rPr>
          <w:sz w:val="18"/>
          <w:szCs w:val="18"/>
        </w:rPr>
        <w:t>13</w:t>
      </w:r>
      <w:r w:rsidRPr="003A1A2D">
        <w:rPr>
          <w:sz w:val="18"/>
          <w:szCs w:val="18"/>
        </w:rPr>
        <w:t xml:space="preserve">%) for all samples but that increasing the concentration of PS-OR nanoparticles led </w:t>
      </w:r>
      <w:r w:rsidR="00B964A1" w:rsidRPr="003A1A2D">
        <w:rPr>
          <w:sz w:val="18"/>
          <w:szCs w:val="18"/>
        </w:rPr>
        <w:t>to greater burst release, Fig. 6</w:t>
      </w:r>
      <w:r w:rsidRPr="003A1A2D">
        <w:rPr>
          <w:sz w:val="18"/>
          <w:szCs w:val="18"/>
        </w:rPr>
        <w:t xml:space="preserve"> (B). This data indicates the microgels are able to retain the majority of a nanoscale payload distributed through the nanocomposite as it aggregates from a swollen gel. This is despite a substantial volume of PBS being expelled from the polymer network of the contracting microgel particles.</w:t>
      </w:r>
    </w:p>
    <w:tbl>
      <w:tblPr>
        <w:tblStyle w:val="TableGrid"/>
        <w:tblpPr w:leftFromText="181" w:rightFromText="181" w:vertAnchor="page" w:horzAnchor="margin" w:tblpY="10199"/>
        <w:tblOverlap w:val="never"/>
        <w:tblW w:w="0" w:type="auto"/>
        <w:tblLook w:val="04A0" w:firstRow="1" w:lastRow="0" w:firstColumn="1" w:lastColumn="0" w:noHBand="0" w:noVBand="1"/>
      </w:tblPr>
      <w:tblGrid>
        <w:gridCol w:w="4979"/>
      </w:tblGrid>
      <w:tr w:rsidR="00A41BB7" w:rsidRPr="003A1A2D" w:rsidTr="001D56B4">
        <w:trPr>
          <w:trHeight w:val="449"/>
        </w:trPr>
        <w:tc>
          <w:tcPr>
            <w:tcW w:w="5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A41BB7" w:rsidRPr="003A1A2D" w:rsidRDefault="00A41BB7" w:rsidP="004F4522">
            <w:pPr>
              <w:jc w:val="both"/>
              <w:outlineLvl w:val="0"/>
              <w:rPr>
                <w:rStyle w:val="CommentReference"/>
              </w:rPr>
            </w:pPr>
            <w:r w:rsidRPr="003A1A2D">
              <w:rPr>
                <w:rStyle w:val="CommentReference"/>
                <w:noProof/>
                <w:lang w:eastAsia="en-GB"/>
              </w:rPr>
              <w:drawing>
                <wp:inline distT="0" distB="0" distL="0" distR="0" wp14:anchorId="0751E20E" wp14:editId="6B59EDFB">
                  <wp:extent cx="3023527" cy="2448802"/>
                  <wp:effectExtent l="0" t="0" r="0" b="0"/>
                  <wp:docPr id="23" name="Picture 2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7341" cy="2451891"/>
                          </a:xfrm>
                          <a:prstGeom prst="rect">
                            <a:avLst/>
                          </a:prstGeom>
                          <a:noFill/>
                          <a:ln>
                            <a:noFill/>
                          </a:ln>
                        </pic:spPr>
                      </pic:pic>
                    </a:graphicData>
                  </a:graphic>
                </wp:inline>
              </w:drawing>
            </w:r>
          </w:p>
        </w:tc>
      </w:tr>
      <w:tr w:rsidR="00A41BB7" w:rsidRPr="003A1A2D" w:rsidTr="001D56B4">
        <w:tc>
          <w:tcPr>
            <w:tcW w:w="5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A41BB7" w:rsidRPr="003A1A2D" w:rsidRDefault="00A41BB7" w:rsidP="004F4522">
            <w:pPr>
              <w:jc w:val="both"/>
              <w:outlineLvl w:val="0"/>
              <w:rPr>
                <w:rStyle w:val="CommentReference"/>
              </w:rPr>
            </w:pPr>
            <w:r w:rsidRPr="003A1A2D">
              <w:rPr>
                <w:b/>
                <w:sz w:val="18"/>
                <w:szCs w:val="18"/>
              </w:rPr>
              <w:t xml:space="preserve">Figure 6. </w:t>
            </w:r>
            <w:r w:rsidRPr="003A1A2D">
              <w:rPr>
                <w:color w:val="000000" w:themeColor="text1"/>
                <w:sz w:val="18"/>
                <w:szCs w:val="18"/>
              </w:rPr>
              <w:t>(A) (i) Swollen gel composite of 40% (w/w) PS nanoparticle loaded into PNA</w:t>
            </w:r>
            <w:r w:rsidRPr="003A1A2D">
              <w:rPr>
                <w:color w:val="000000" w:themeColor="text1"/>
                <w:sz w:val="18"/>
                <w:szCs w:val="18"/>
              </w:rPr>
              <w:noBreakHyphen/>
            </w:r>
            <w:proofErr w:type="gramStart"/>
            <w:r w:rsidRPr="003A1A2D">
              <w:rPr>
                <w:color w:val="000000" w:themeColor="text1"/>
                <w:sz w:val="18"/>
                <w:szCs w:val="18"/>
              </w:rPr>
              <w:t>25</w:t>
            </w:r>
            <w:r w:rsidRPr="003A1A2D">
              <w:rPr>
                <w:sz w:val="18"/>
                <w:szCs w:val="18"/>
              </w:rPr>
              <w:t xml:space="preserve"> </w:t>
            </w:r>
            <w:r w:rsidRPr="003A1A2D">
              <w:rPr>
                <w:color w:val="000000" w:themeColor="text1"/>
                <w:sz w:val="18"/>
                <w:szCs w:val="18"/>
              </w:rPr>
              <w:t xml:space="preserve"> at</w:t>
            </w:r>
            <w:proofErr w:type="gramEnd"/>
            <w:r w:rsidRPr="003A1A2D">
              <w:rPr>
                <w:color w:val="000000" w:themeColor="text1"/>
                <w:sz w:val="18"/>
                <w:szCs w:val="18"/>
              </w:rPr>
              <w:t xml:space="preserve"> 25 </w:t>
            </w:r>
            <w:r w:rsidRPr="003A1A2D">
              <w:rPr>
                <w:color w:val="000000" w:themeColor="text1"/>
                <w:sz w:val="18"/>
                <w:szCs w:val="18"/>
              </w:rPr>
              <w:sym w:font="Symbol" w:char="F0B0"/>
            </w:r>
            <w:r w:rsidRPr="003A1A2D">
              <w:rPr>
                <w:color w:val="000000" w:themeColor="text1"/>
                <w:sz w:val="18"/>
                <w:szCs w:val="18"/>
              </w:rPr>
              <w:t xml:space="preserve">C and (ii) Aggregation of composite at 37 </w:t>
            </w:r>
            <w:r w:rsidRPr="003A1A2D">
              <w:rPr>
                <w:color w:val="000000" w:themeColor="text1"/>
                <w:sz w:val="18"/>
                <w:szCs w:val="18"/>
              </w:rPr>
              <w:sym w:font="Symbol" w:char="F0B0"/>
            </w:r>
            <w:r w:rsidRPr="003A1A2D">
              <w:rPr>
                <w:color w:val="000000" w:themeColor="text1"/>
                <w:sz w:val="18"/>
                <w:szCs w:val="18"/>
              </w:rPr>
              <w:t>C with entrapment of PS nanoparticles. (B) Percentage of total PS particles released 1 hour after aggregation of composite.</w:t>
            </w:r>
          </w:p>
        </w:tc>
      </w:tr>
    </w:tbl>
    <w:p w:rsidR="00890764" w:rsidRPr="003A1A2D" w:rsidRDefault="00890764" w:rsidP="00890764">
      <w:pPr>
        <w:jc w:val="both"/>
        <w:outlineLvl w:val="0"/>
        <w:rPr>
          <w:b/>
          <w:sz w:val="18"/>
          <w:szCs w:val="18"/>
        </w:rPr>
      </w:pPr>
      <w:r w:rsidRPr="003A1A2D">
        <w:rPr>
          <w:b/>
          <w:sz w:val="18"/>
          <w:szCs w:val="18"/>
        </w:rPr>
        <w:t xml:space="preserve">3.5 </w:t>
      </w:r>
      <w:r w:rsidRPr="003A1A2D">
        <w:rPr>
          <w:b/>
          <w:i/>
          <w:sz w:val="18"/>
          <w:szCs w:val="18"/>
        </w:rPr>
        <w:t>In vitro</w:t>
      </w:r>
      <w:r w:rsidRPr="003A1A2D">
        <w:rPr>
          <w:b/>
          <w:sz w:val="18"/>
          <w:szCs w:val="18"/>
        </w:rPr>
        <w:t xml:space="preserve"> release study</w:t>
      </w:r>
    </w:p>
    <w:tbl>
      <w:tblPr>
        <w:tblStyle w:val="TableGrid"/>
        <w:tblpPr w:leftFromText="181" w:rightFromText="181" w:vertAnchor="page" w:horzAnchor="margin" w:tblpXSpec="center" w:tblpY="11923"/>
        <w:tblOverlap w:val="never"/>
        <w:tblW w:w="4928" w:type="dxa"/>
        <w:tblLook w:val="04A0" w:firstRow="1" w:lastRow="0" w:firstColumn="1" w:lastColumn="0" w:noHBand="0" w:noVBand="1"/>
      </w:tblPr>
      <w:tblGrid>
        <w:gridCol w:w="1384"/>
        <w:gridCol w:w="567"/>
        <w:gridCol w:w="709"/>
        <w:gridCol w:w="709"/>
        <w:gridCol w:w="708"/>
        <w:gridCol w:w="851"/>
      </w:tblGrid>
      <w:tr w:rsidR="001E7EE0" w:rsidRPr="003A1A2D" w:rsidTr="001E7EE0">
        <w:tc>
          <w:tcPr>
            <w:tcW w:w="4928" w:type="dxa"/>
            <w:gridSpan w:val="6"/>
            <w:tcBorders>
              <w:top w:val="single" w:sz="4" w:space="0" w:color="FFFFFF" w:themeColor="background1"/>
              <w:left w:val="single" w:sz="4" w:space="0" w:color="FFFFFF" w:themeColor="background1"/>
              <w:right w:val="single" w:sz="4" w:space="0" w:color="FFFFFF" w:themeColor="background1"/>
            </w:tcBorders>
          </w:tcPr>
          <w:p w:rsidR="001E7EE0" w:rsidRPr="003A1A2D" w:rsidRDefault="001E7EE0" w:rsidP="001E7EE0">
            <w:pPr>
              <w:outlineLvl w:val="0"/>
              <w:rPr>
                <w:sz w:val="18"/>
                <w:szCs w:val="18"/>
              </w:rPr>
            </w:pPr>
            <w:r w:rsidRPr="003A1A2D">
              <w:rPr>
                <w:b/>
                <w:sz w:val="18"/>
                <w:szCs w:val="18"/>
              </w:rPr>
              <w:t xml:space="preserve">Table 6. </w:t>
            </w:r>
            <w:r w:rsidRPr="003A1A2D">
              <w:rPr>
                <w:sz w:val="18"/>
                <w:szCs w:val="18"/>
              </w:rPr>
              <w:t>Formulations of microgel-drug for ISFI’s</w:t>
            </w:r>
          </w:p>
        </w:tc>
      </w:tr>
      <w:tr w:rsidR="001E7EE0" w:rsidRPr="003A1A2D" w:rsidTr="001E7EE0">
        <w:tc>
          <w:tcPr>
            <w:tcW w:w="1384" w:type="dxa"/>
            <w:tcBorders>
              <w:left w:val="single" w:sz="4" w:space="0" w:color="FFFFFF" w:themeColor="background1"/>
              <w:bottom w:val="nil"/>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Formulation</w:t>
            </w:r>
          </w:p>
        </w:tc>
        <w:tc>
          <w:tcPr>
            <w:tcW w:w="567" w:type="dxa"/>
            <w:tcBorders>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LPV</w:t>
            </w:r>
          </w:p>
          <w:p w:rsidR="001E7EE0" w:rsidRPr="003A1A2D" w:rsidRDefault="001E7EE0" w:rsidP="001E7EE0">
            <w:pPr>
              <w:jc w:val="center"/>
              <w:outlineLvl w:val="0"/>
              <w:rPr>
                <w:sz w:val="18"/>
                <w:szCs w:val="18"/>
              </w:rPr>
            </w:pPr>
            <w:r w:rsidRPr="003A1A2D">
              <w:rPr>
                <w:sz w:val="18"/>
                <w:szCs w:val="18"/>
              </w:rPr>
              <w:t xml:space="preserve"> (mg)</w:t>
            </w:r>
          </w:p>
        </w:tc>
        <w:tc>
          <w:tcPr>
            <w:tcW w:w="709" w:type="dxa"/>
            <w:tcBorders>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vertAlign w:val="superscript"/>
              </w:rPr>
            </w:pPr>
            <w:r w:rsidRPr="003A1A2D">
              <w:rPr>
                <w:sz w:val="18"/>
                <w:szCs w:val="18"/>
              </w:rPr>
              <w:t>LPV SDN</w:t>
            </w:r>
            <w:r w:rsidRPr="003A1A2D">
              <w:rPr>
                <w:sz w:val="18"/>
                <w:szCs w:val="18"/>
                <w:vertAlign w:val="superscript"/>
              </w:rPr>
              <w:t>a</w:t>
            </w:r>
          </w:p>
          <w:p w:rsidR="001E7EE0" w:rsidRPr="003A1A2D" w:rsidRDefault="001E7EE0" w:rsidP="001E7EE0">
            <w:pPr>
              <w:jc w:val="center"/>
              <w:outlineLvl w:val="0"/>
              <w:rPr>
                <w:sz w:val="18"/>
                <w:szCs w:val="18"/>
              </w:rPr>
            </w:pPr>
            <w:r w:rsidRPr="003A1A2D">
              <w:rPr>
                <w:sz w:val="18"/>
                <w:szCs w:val="18"/>
              </w:rPr>
              <w:t>(mg)</w:t>
            </w:r>
          </w:p>
        </w:tc>
        <w:tc>
          <w:tcPr>
            <w:tcW w:w="709" w:type="dxa"/>
            <w:tcBorders>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PNA-00</w:t>
            </w:r>
          </w:p>
          <w:p w:rsidR="001E7EE0" w:rsidRPr="003A1A2D" w:rsidRDefault="001E7EE0" w:rsidP="001E7EE0">
            <w:pPr>
              <w:jc w:val="center"/>
              <w:outlineLvl w:val="0"/>
              <w:rPr>
                <w:sz w:val="18"/>
                <w:szCs w:val="18"/>
                <w:vertAlign w:val="superscript"/>
              </w:rPr>
            </w:pPr>
            <w:r w:rsidRPr="003A1A2D">
              <w:rPr>
                <w:sz w:val="18"/>
                <w:szCs w:val="18"/>
              </w:rPr>
              <w:t>(mg)</w:t>
            </w:r>
          </w:p>
        </w:tc>
        <w:tc>
          <w:tcPr>
            <w:tcW w:w="708" w:type="dxa"/>
            <w:tcBorders>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PNA-25</w:t>
            </w:r>
          </w:p>
          <w:p w:rsidR="001E7EE0" w:rsidRPr="003A1A2D" w:rsidRDefault="001E7EE0" w:rsidP="001E7EE0">
            <w:pPr>
              <w:jc w:val="center"/>
              <w:outlineLvl w:val="0"/>
              <w:rPr>
                <w:sz w:val="18"/>
                <w:szCs w:val="18"/>
              </w:rPr>
            </w:pPr>
            <w:r w:rsidRPr="003A1A2D">
              <w:rPr>
                <w:sz w:val="18"/>
                <w:szCs w:val="18"/>
              </w:rPr>
              <w:t>(mg)</w:t>
            </w:r>
          </w:p>
        </w:tc>
        <w:tc>
          <w:tcPr>
            <w:tcW w:w="851" w:type="dxa"/>
            <w:tcBorders>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vertAlign w:val="superscript"/>
              </w:rPr>
            </w:pPr>
            <w:r w:rsidRPr="003A1A2D">
              <w:rPr>
                <w:sz w:val="18"/>
                <w:szCs w:val="18"/>
              </w:rPr>
              <w:t xml:space="preserve">% (w/w) </w:t>
            </w:r>
            <w:proofErr w:type="spellStart"/>
            <w:r w:rsidRPr="003A1A2D">
              <w:rPr>
                <w:sz w:val="18"/>
                <w:szCs w:val="18"/>
              </w:rPr>
              <w:t>water</w:t>
            </w:r>
            <w:r w:rsidRPr="003A1A2D">
              <w:rPr>
                <w:sz w:val="18"/>
                <w:szCs w:val="18"/>
                <w:vertAlign w:val="superscript"/>
              </w:rPr>
              <w:t>b</w:t>
            </w:r>
            <w:proofErr w:type="spellEnd"/>
          </w:p>
        </w:tc>
      </w:tr>
      <w:tr w:rsidR="001E7EE0" w:rsidRPr="003A1A2D" w:rsidTr="001E7EE0">
        <w:tc>
          <w:tcPr>
            <w:tcW w:w="1384" w:type="dxa"/>
            <w:tcBorders>
              <w:top w:val="nil"/>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Free SDN</w:t>
            </w:r>
          </w:p>
        </w:tc>
        <w:tc>
          <w:tcPr>
            <w:tcW w:w="567" w:type="dxa"/>
            <w:tcBorders>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w:t>
            </w:r>
          </w:p>
        </w:tc>
        <w:tc>
          <w:tcPr>
            <w:tcW w:w="709" w:type="dxa"/>
            <w:tcBorders>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44.4</w:t>
            </w:r>
          </w:p>
        </w:tc>
        <w:tc>
          <w:tcPr>
            <w:tcW w:w="709" w:type="dxa"/>
            <w:tcBorders>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w:t>
            </w:r>
          </w:p>
        </w:tc>
        <w:tc>
          <w:tcPr>
            <w:tcW w:w="708" w:type="dxa"/>
            <w:tcBorders>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w:t>
            </w:r>
          </w:p>
        </w:tc>
        <w:tc>
          <w:tcPr>
            <w:tcW w:w="851" w:type="dxa"/>
            <w:tcBorders>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w:t>
            </w:r>
          </w:p>
        </w:tc>
      </w:tr>
      <w:tr w:rsidR="001E7EE0" w:rsidRPr="003A1A2D" w:rsidTr="001E7EE0">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PNA-25-SDN</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44.4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66.6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76.8</w:t>
            </w:r>
          </w:p>
        </w:tc>
      </w:tr>
      <w:tr w:rsidR="001E7EE0" w:rsidRPr="003A1A2D" w:rsidTr="001E7EE0">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PNA-00/25-SDN</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44.4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87.5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33.3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vertAlign w:val="superscript"/>
              </w:rPr>
            </w:pPr>
            <w:r w:rsidRPr="003A1A2D">
              <w:rPr>
                <w:sz w:val="18"/>
                <w:szCs w:val="18"/>
              </w:rPr>
              <w:t>56.4</w:t>
            </w:r>
            <w:r w:rsidRPr="003A1A2D">
              <w:rPr>
                <w:sz w:val="18"/>
                <w:szCs w:val="18"/>
                <w:vertAlign w:val="superscript"/>
              </w:rPr>
              <w:t>c</w:t>
            </w:r>
          </w:p>
        </w:tc>
      </w:tr>
      <w:tr w:rsidR="001E7EE0" w:rsidRPr="003A1A2D" w:rsidTr="001E7EE0">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PNA-00-SDN</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44.4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175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34.5</w:t>
            </w:r>
          </w:p>
        </w:tc>
      </w:tr>
      <w:tr w:rsidR="001E7EE0" w:rsidRPr="003A1A2D" w:rsidTr="001E7EE0">
        <w:tc>
          <w:tcPr>
            <w:tcW w:w="1384" w:type="dxa"/>
            <w:tcBorders>
              <w:top w:val="single" w:sz="4" w:space="0" w:color="FFFFFF" w:themeColor="background1"/>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PNA-25-LPV</w:t>
            </w:r>
          </w:p>
        </w:tc>
        <w:tc>
          <w:tcPr>
            <w:tcW w:w="567" w:type="dxa"/>
            <w:tcBorders>
              <w:top w:val="single" w:sz="4" w:space="0" w:color="FFFFFF" w:themeColor="background1"/>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22.2</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w:t>
            </w:r>
          </w:p>
        </w:tc>
        <w:tc>
          <w:tcPr>
            <w:tcW w:w="708" w:type="dxa"/>
            <w:tcBorders>
              <w:top w:val="single" w:sz="4" w:space="0" w:color="FFFFFF" w:themeColor="background1"/>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66.6</w:t>
            </w:r>
          </w:p>
        </w:tc>
        <w:tc>
          <w:tcPr>
            <w:tcW w:w="851" w:type="dxa"/>
            <w:tcBorders>
              <w:top w:val="single" w:sz="4" w:space="0" w:color="FFFFFF" w:themeColor="background1"/>
              <w:left w:val="single" w:sz="4" w:space="0" w:color="FFFFFF" w:themeColor="background1"/>
              <w:right w:val="single" w:sz="4" w:space="0" w:color="FFFFFF" w:themeColor="background1"/>
            </w:tcBorders>
          </w:tcPr>
          <w:p w:rsidR="001E7EE0" w:rsidRPr="003A1A2D" w:rsidRDefault="001E7EE0" w:rsidP="001E7EE0">
            <w:pPr>
              <w:jc w:val="center"/>
              <w:outlineLvl w:val="0"/>
              <w:rPr>
                <w:sz w:val="18"/>
                <w:szCs w:val="18"/>
              </w:rPr>
            </w:pPr>
            <w:r w:rsidRPr="003A1A2D">
              <w:rPr>
                <w:sz w:val="18"/>
                <w:szCs w:val="18"/>
              </w:rPr>
              <w:t>76.8</w:t>
            </w:r>
          </w:p>
        </w:tc>
      </w:tr>
      <w:tr w:rsidR="001E7EE0" w:rsidRPr="003A1A2D" w:rsidTr="001E7EE0">
        <w:tc>
          <w:tcPr>
            <w:tcW w:w="4928" w:type="dxa"/>
            <w:gridSpan w:val="6"/>
            <w:tcBorders>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both"/>
              <w:outlineLvl w:val="0"/>
              <w:rPr>
                <w:sz w:val="18"/>
                <w:szCs w:val="18"/>
              </w:rPr>
            </w:pPr>
            <w:r w:rsidRPr="003A1A2D">
              <w:rPr>
                <w:sz w:val="18"/>
                <w:szCs w:val="18"/>
                <w:vertAlign w:val="superscript"/>
              </w:rPr>
              <w:t xml:space="preserve">a </w:t>
            </w:r>
            <w:r w:rsidRPr="003A1A2D">
              <w:rPr>
                <w:sz w:val="18"/>
                <w:szCs w:val="18"/>
              </w:rPr>
              <w:t xml:space="preserve">LPV SDNs consist of 50% (w/w) LPV the remainder is 40% PVA and 10% Kolliphor TPGS. </w:t>
            </w:r>
          </w:p>
          <w:p w:rsidR="001E7EE0" w:rsidRPr="003A1A2D" w:rsidRDefault="001E7EE0" w:rsidP="001E7EE0">
            <w:pPr>
              <w:outlineLvl w:val="0"/>
              <w:rPr>
                <w:color w:val="000000" w:themeColor="text1"/>
                <w:sz w:val="18"/>
                <w:szCs w:val="18"/>
              </w:rPr>
            </w:pPr>
            <w:r w:rsidRPr="003A1A2D">
              <w:rPr>
                <w:sz w:val="18"/>
                <w:szCs w:val="18"/>
                <w:vertAlign w:val="superscript"/>
              </w:rPr>
              <w:t>b</w:t>
            </w:r>
            <w:r w:rsidRPr="003A1A2D">
              <w:rPr>
                <w:sz w:val="18"/>
                <w:szCs w:val="18"/>
              </w:rPr>
              <w:t xml:space="preserve"> % (w/w) of water in aggregate at </w:t>
            </w:r>
            <w:r w:rsidRPr="003A1A2D">
              <w:rPr>
                <w:color w:val="000000" w:themeColor="text1"/>
                <w:sz w:val="18"/>
                <w:szCs w:val="18"/>
              </w:rPr>
              <w:t xml:space="preserve">37 </w:t>
            </w:r>
            <w:r w:rsidRPr="003A1A2D">
              <w:rPr>
                <w:color w:val="000000" w:themeColor="text1"/>
                <w:sz w:val="18"/>
                <w:szCs w:val="18"/>
              </w:rPr>
              <w:sym w:font="Symbol" w:char="F0B0"/>
            </w:r>
            <w:r w:rsidRPr="003A1A2D">
              <w:rPr>
                <w:color w:val="000000" w:themeColor="text1"/>
                <w:sz w:val="18"/>
                <w:szCs w:val="18"/>
              </w:rPr>
              <w:t xml:space="preserve">C. </w:t>
            </w:r>
          </w:p>
          <w:p w:rsidR="001E7EE0" w:rsidRPr="003A1A2D" w:rsidRDefault="001E7EE0" w:rsidP="001E7EE0">
            <w:pPr>
              <w:outlineLvl w:val="0"/>
              <w:rPr>
                <w:color w:val="000000" w:themeColor="text1"/>
                <w:sz w:val="18"/>
                <w:szCs w:val="18"/>
              </w:rPr>
            </w:pPr>
            <w:r w:rsidRPr="003A1A2D">
              <w:rPr>
                <w:color w:val="000000" w:themeColor="text1"/>
                <w:sz w:val="18"/>
                <w:szCs w:val="18"/>
                <w:vertAlign w:val="superscript"/>
              </w:rPr>
              <w:t xml:space="preserve">c </w:t>
            </w:r>
            <w:r w:rsidRPr="003A1A2D">
              <w:rPr>
                <w:color w:val="000000" w:themeColor="text1"/>
                <w:sz w:val="18"/>
                <w:szCs w:val="18"/>
              </w:rPr>
              <w:t>Calculated from: ∑ amount of water contained in mass of each microgel, and total mass of microgel in formulation.</w:t>
            </w:r>
          </w:p>
        </w:tc>
      </w:tr>
    </w:tbl>
    <w:p w:rsidR="001E7EE0" w:rsidRPr="003A1A2D" w:rsidRDefault="00890764" w:rsidP="00890764">
      <w:pPr>
        <w:jc w:val="both"/>
        <w:outlineLvl w:val="0"/>
        <w:rPr>
          <w:rFonts w:cs="Times New Roman"/>
          <w:sz w:val="18"/>
          <w:szCs w:val="18"/>
        </w:rPr>
      </w:pPr>
      <w:r w:rsidRPr="003A1A2D">
        <w:rPr>
          <w:color w:val="000000" w:themeColor="text1"/>
          <w:sz w:val="18"/>
          <w:szCs w:val="18"/>
        </w:rPr>
        <w:t xml:space="preserve">To test the release rate of drug from the microgel aggregates </w:t>
      </w:r>
      <w:r w:rsidRPr="003A1A2D">
        <w:rPr>
          <w:i/>
          <w:color w:val="000000" w:themeColor="text1"/>
          <w:sz w:val="18"/>
          <w:szCs w:val="18"/>
        </w:rPr>
        <w:t>in vitro</w:t>
      </w:r>
      <w:r w:rsidRPr="003A1A2D">
        <w:rPr>
          <w:color w:val="000000" w:themeColor="text1"/>
          <w:sz w:val="18"/>
          <w:szCs w:val="18"/>
        </w:rPr>
        <w:t xml:space="preserve">, formulations were created </w:t>
      </w:r>
      <w:r w:rsidR="00194596" w:rsidRPr="003A1A2D">
        <w:rPr>
          <w:color w:val="000000" w:themeColor="text1"/>
          <w:sz w:val="18"/>
          <w:szCs w:val="18"/>
        </w:rPr>
        <w:t>from the mixing of poorly water</w:t>
      </w:r>
      <w:r w:rsidR="00194596" w:rsidRPr="003A1A2D">
        <w:rPr>
          <w:color w:val="000000" w:themeColor="text1"/>
          <w:sz w:val="18"/>
          <w:szCs w:val="18"/>
        </w:rPr>
        <w:noBreakHyphen/>
      </w:r>
      <w:r w:rsidRPr="003A1A2D">
        <w:rPr>
          <w:color w:val="000000" w:themeColor="text1"/>
          <w:sz w:val="18"/>
          <w:szCs w:val="18"/>
        </w:rPr>
        <w:t>soluble antiretroviral drug lopinavir (LPV) in its powder form, or solid drug nanoparticle (SDN) form, into swollen gels (the different formulations are shown in Table 6). LPV is a potent</w:t>
      </w:r>
      <w:r w:rsidR="00194596" w:rsidRPr="003A1A2D">
        <w:rPr>
          <w:color w:val="000000" w:themeColor="text1"/>
          <w:sz w:val="18"/>
          <w:szCs w:val="18"/>
        </w:rPr>
        <w:t xml:space="preserve"> HIV</w:t>
      </w:r>
      <w:r w:rsidR="00194596" w:rsidRPr="003A1A2D">
        <w:rPr>
          <w:color w:val="000000" w:themeColor="text1"/>
          <w:sz w:val="18"/>
          <w:szCs w:val="18"/>
        </w:rPr>
        <w:noBreakHyphen/>
      </w:r>
      <w:r w:rsidRPr="003A1A2D">
        <w:rPr>
          <w:color w:val="000000" w:themeColor="text1"/>
          <w:sz w:val="18"/>
          <w:szCs w:val="18"/>
        </w:rPr>
        <w:t>specific protease inhibitor which is administered in combination with ritonavir as a booster and requires daily oral dosing for life.</w:t>
      </w:r>
      <w:r w:rsidR="00E76CCF" w:rsidRPr="003A1A2D">
        <w:rPr>
          <w:noProof/>
          <w:color w:val="000000" w:themeColor="text1"/>
          <w:sz w:val="18"/>
          <w:szCs w:val="18"/>
          <w:vertAlign w:val="superscript"/>
        </w:rPr>
        <w:t>64,65</w:t>
      </w:r>
      <w:r w:rsidRPr="003A1A2D">
        <w:rPr>
          <w:color w:val="000000" w:themeColor="text1"/>
          <w:sz w:val="18"/>
          <w:szCs w:val="18"/>
        </w:rPr>
        <w:t xml:space="preserve"> We selected LPV as the model hydrophobic drug in our study given its very low aqueous solubility (predicted to be 0.00192 mg mL</w:t>
      </w:r>
      <w:r w:rsidRPr="003A1A2D">
        <w:rPr>
          <w:color w:val="000000" w:themeColor="text1"/>
          <w:sz w:val="18"/>
          <w:szCs w:val="18"/>
          <w:vertAlign w:val="superscript"/>
        </w:rPr>
        <w:t>-1</w:t>
      </w:r>
      <w:r w:rsidRPr="003A1A2D">
        <w:rPr>
          <w:color w:val="000000" w:themeColor="text1"/>
          <w:sz w:val="18"/>
          <w:szCs w:val="18"/>
        </w:rPr>
        <w:t xml:space="preserve">) and on-going evaluation of LPV SDNs in clinical trial (clinicaltrials.gov reference NCT02631473). The LPV SDNs had a Z-average diameter of 330 nm </w:t>
      </w:r>
      <w:r w:rsidR="00B964A1" w:rsidRPr="003A1A2D">
        <w:rPr>
          <w:color w:val="000000" w:themeColor="text1"/>
          <w:sz w:val="18"/>
          <w:szCs w:val="18"/>
        </w:rPr>
        <w:t>and PdI of 0.18 (see ESI Fig. S8</w:t>
      </w:r>
      <w:r w:rsidRPr="003A1A2D">
        <w:rPr>
          <w:color w:val="000000" w:themeColor="text1"/>
          <w:sz w:val="18"/>
          <w:szCs w:val="18"/>
        </w:rPr>
        <w:t xml:space="preserve">). Swollen gels were used so that aggregated disk shaped samples formed upon heating, to simplify sampling release media in the release experiment </w:t>
      </w:r>
      <w:r w:rsidR="00E93157" w:rsidRPr="003A1A2D">
        <w:rPr>
          <w:color w:val="000000" w:themeColor="text1"/>
          <w:sz w:val="18"/>
          <w:szCs w:val="18"/>
        </w:rPr>
        <w:t>(see ESI Fig. S</w:t>
      </w:r>
      <w:r w:rsidR="00B964A1" w:rsidRPr="003A1A2D">
        <w:rPr>
          <w:color w:val="000000" w:themeColor="text1"/>
          <w:sz w:val="18"/>
          <w:szCs w:val="18"/>
        </w:rPr>
        <w:t>9</w:t>
      </w:r>
      <w:r w:rsidRPr="003A1A2D">
        <w:rPr>
          <w:color w:val="000000" w:themeColor="text1"/>
          <w:sz w:val="18"/>
          <w:szCs w:val="18"/>
        </w:rPr>
        <w:t>). Utilising the large difference in the water content</w:t>
      </w:r>
      <w:r w:rsidR="00123FF1" w:rsidRPr="003A1A2D">
        <w:rPr>
          <w:color w:val="000000" w:themeColor="text1"/>
          <w:sz w:val="18"/>
          <w:szCs w:val="18"/>
        </w:rPr>
        <w:t xml:space="preserve"> and porosity</w:t>
      </w:r>
      <w:r w:rsidRPr="003A1A2D">
        <w:rPr>
          <w:color w:val="000000" w:themeColor="text1"/>
          <w:sz w:val="18"/>
          <w:szCs w:val="18"/>
        </w:rPr>
        <w:t xml:space="preserve"> of the PNA</w:t>
      </w:r>
      <w:r w:rsidRPr="003A1A2D">
        <w:rPr>
          <w:color w:val="000000" w:themeColor="text1"/>
          <w:sz w:val="18"/>
          <w:szCs w:val="18"/>
        </w:rPr>
        <w:noBreakHyphen/>
        <w:t xml:space="preserve">00 and PNA-25 aggregated microgel materials at 37 </w:t>
      </w:r>
      <w:r w:rsidRPr="003A1A2D">
        <w:rPr>
          <w:color w:val="000000" w:themeColor="text1"/>
          <w:sz w:val="18"/>
          <w:szCs w:val="18"/>
        </w:rPr>
        <w:sym w:font="Symbol" w:char="F0B0"/>
      </w:r>
      <w:r w:rsidRPr="003A1A2D">
        <w:rPr>
          <w:color w:val="000000" w:themeColor="text1"/>
          <w:sz w:val="18"/>
          <w:szCs w:val="18"/>
        </w:rPr>
        <w:t xml:space="preserve">C, Table </w:t>
      </w:r>
      <w:r w:rsidR="00162495" w:rsidRPr="003A1A2D">
        <w:rPr>
          <w:color w:val="000000" w:themeColor="text1"/>
          <w:sz w:val="18"/>
          <w:szCs w:val="18"/>
        </w:rPr>
        <w:t>4</w:t>
      </w:r>
      <w:r w:rsidRPr="003A1A2D">
        <w:rPr>
          <w:color w:val="000000" w:themeColor="text1"/>
          <w:sz w:val="18"/>
          <w:szCs w:val="18"/>
        </w:rPr>
        <w:t xml:space="preserve">, allows the two microgel samples to be mixed in different ratios to tune the water content of the aggregate. Poorly water soluble drugs have been shown to have a slower release rate from an insoluble matrix than more </w:t>
      </w:r>
      <w:proofErr w:type="gramStart"/>
      <w:r w:rsidRPr="003A1A2D">
        <w:rPr>
          <w:color w:val="000000" w:themeColor="text1"/>
          <w:sz w:val="18"/>
          <w:szCs w:val="18"/>
        </w:rPr>
        <w:t>water soluble</w:t>
      </w:r>
      <w:proofErr w:type="gramEnd"/>
      <w:r w:rsidRPr="003A1A2D">
        <w:rPr>
          <w:color w:val="000000" w:themeColor="text1"/>
          <w:sz w:val="18"/>
          <w:szCs w:val="18"/>
        </w:rPr>
        <w:t xml:space="preserve"> drug,</w:t>
      </w:r>
      <w:r w:rsidR="00E76CCF" w:rsidRPr="003A1A2D">
        <w:rPr>
          <w:noProof/>
          <w:color w:val="000000" w:themeColor="text1"/>
          <w:sz w:val="18"/>
          <w:szCs w:val="18"/>
          <w:vertAlign w:val="superscript"/>
        </w:rPr>
        <w:t>66</w:t>
      </w:r>
      <w:r w:rsidRPr="003A1A2D">
        <w:rPr>
          <w:color w:val="000000" w:themeColor="text1"/>
          <w:sz w:val="18"/>
          <w:szCs w:val="18"/>
        </w:rPr>
        <w:t xml:space="preserve"> hence we expected the </w:t>
      </w:r>
      <w:r w:rsidR="006B3D57" w:rsidRPr="003A1A2D">
        <w:rPr>
          <w:color w:val="000000" w:themeColor="text1"/>
          <w:sz w:val="18"/>
          <w:szCs w:val="18"/>
        </w:rPr>
        <w:t>water content and structure</w:t>
      </w:r>
      <w:r w:rsidRPr="003A1A2D">
        <w:rPr>
          <w:color w:val="000000" w:themeColor="text1"/>
          <w:sz w:val="18"/>
          <w:szCs w:val="18"/>
        </w:rPr>
        <w:t xml:space="preserve"> of the aggregate</w:t>
      </w:r>
      <w:r w:rsidR="006B3D57" w:rsidRPr="003A1A2D">
        <w:rPr>
          <w:color w:val="000000" w:themeColor="text1"/>
          <w:sz w:val="18"/>
          <w:szCs w:val="18"/>
        </w:rPr>
        <w:t>s</w:t>
      </w:r>
      <w:r w:rsidRPr="003A1A2D">
        <w:rPr>
          <w:color w:val="000000" w:themeColor="text1"/>
          <w:sz w:val="18"/>
          <w:szCs w:val="18"/>
        </w:rPr>
        <w:t xml:space="preserve"> to control the rate of release of drug. PNA-00 and PNA-25 were used with a mass of each that gave a self-supporting gel at room temperature in 1 mL of PBS, and 56.4% (w/w) water in </w:t>
      </w:r>
      <w:r w:rsidR="00020E7C" w:rsidRPr="003A1A2D">
        <w:rPr>
          <w:color w:val="000000" w:themeColor="text1"/>
          <w:sz w:val="18"/>
          <w:szCs w:val="18"/>
        </w:rPr>
        <w:t>the aggregated form (denoted as</w:t>
      </w:r>
      <w:r w:rsidR="00A41BB7" w:rsidRPr="003A1A2D">
        <w:rPr>
          <w:color w:val="000000" w:themeColor="text1"/>
          <w:sz w:val="18"/>
          <w:szCs w:val="18"/>
        </w:rPr>
        <w:t xml:space="preserve"> PNA</w:t>
      </w:r>
      <w:r w:rsidR="00A41BB7" w:rsidRPr="003A1A2D">
        <w:rPr>
          <w:color w:val="000000" w:themeColor="text1"/>
          <w:sz w:val="18"/>
          <w:szCs w:val="18"/>
        </w:rPr>
        <w:noBreakHyphen/>
        <w:t>00/25</w:t>
      </w:r>
      <w:r w:rsidR="00A41BB7" w:rsidRPr="003A1A2D">
        <w:rPr>
          <w:color w:val="000000" w:themeColor="text1"/>
          <w:sz w:val="18"/>
          <w:szCs w:val="18"/>
        </w:rPr>
        <w:noBreakHyphen/>
        <w:t xml:space="preserve">SDN), giving an intermediate </w:t>
      </w:r>
      <w:r w:rsidR="006B3D57" w:rsidRPr="003A1A2D">
        <w:rPr>
          <w:color w:val="000000" w:themeColor="text1"/>
          <w:sz w:val="18"/>
          <w:szCs w:val="18"/>
        </w:rPr>
        <w:t>water content</w:t>
      </w:r>
      <w:r w:rsidR="00A41BB7" w:rsidRPr="003A1A2D">
        <w:rPr>
          <w:color w:val="000000" w:themeColor="text1"/>
          <w:sz w:val="18"/>
          <w:szCs w:val="18"/>
        </w:rPr>
        <w:t xml:space="preserve"> between that of the two microgels when used separately. The release of drug into the PBS surrounding the microgel/SDN nanocomposites was then measured over time using HPLC. Due to the low saturation concentration of the drug, the release media was completely removed and replaced during the release experiment.</w:t>
      </w:r>
      <w:r w:rsidR="00A41BB7" w:rsidRPr="003A1A2D">
        <w:rPr>
          <w:noProof/>
          <w:color w:val="000000" w:themeColor="text1"/>
          <w:sz w:val="18"/>
          <w:szCs w:val="18"/>
          <w:vertAlign w:val="superscript"/>
        </w:rPr>
        <w:t>10</w:t>
      </w:r>
      <w:r w:rsidR="00A41BB7" w:rsidRPr="003A1A2D">
        <w:rPr>
          <w:color w:val="000000" w:themeColor="text1"/>
          <w:sz w:val="18"/>
          <w:szCs w:val="18"/>
        </w:rPr>
        <w:t xml:space="preserve"> The nanocomposite showed excellent mechanical stability, remaining in its original shape over the complete release period. Comparing the release of LPV from the formulations PNA</w:t>
      </w:r>
      <w:r w:rsidR="00A41BB7" w:rsidRPr="003A1A2D">
        <w:rPr>
          <w:color w:val="000000" w:themeColor="text1"/>
          <w:sz w:val="18"/>
          <w:szCs w:val="18"/>
        </w:rPr>
        <w:noBreakHyphen/>
        <w:t>25</w:t>
      </w:r>
      <w:r w:rsidR="00A41BB7" w:rsidRPr="003A1A2D">
        <w:rPr>
          <w:color w:val="000000" w:themeColor="text1"/>
          <w:sz w:val="18"/>
          <w:szCs w:val="18"/>
        </w:rPr>
        <w:noBreakHyphen/>
        <w:t>SDN, PNA-00/25-SDN and PNA-00-SDN it can be seen that if the depot has a higher % (w/w) water content the release rate is enhanced, leading to a larger total cumulative release after 120 days, Fig. 7. This effectively allows us to tune the release rate from the depot</w:t>
      </w:r>
      <w:r w:rsidR="00A41BB7" w:rsidRPr="003A1A2D">
        <w:rPr>
          <w:sz w:val="18"/>
          <w:szCs w:val="18"/>
        </w:rPr>
        <w:t>. Based on the characterisation of the aggregate with SEM and AFM  we speculate that this could be due to the formation of a more porous structure containing more water, which has been linked with faster drug release.</w:t>
      </w:r>
      <w:r w:rsidR="00A41BB7" w:rsidRPr="003A1A2D">
        <w:rPr>
          <w:noProof/>
          <w:sz w:val="18"/>
          <w:szCs w:val="18"/>
          <w:vertAlign w:val="superscript"/>
        </w:rPr>
        <w:t>46</w:t>
      </w:r>
      <w:r w:rsidR="00A41BB7" w:rsidRPr="003A1A2D">
        <w:rPr>
          <w:color w:val="FF0000"/>
          <w:sz w:val="18"/>
          <w:szCs w:val="18"/>
        </w:rPr>
        <w:t xml:space="preserve"> </w:t>
      </w:r>
      <w:r w:rsidR="00A41BB7" w:rsidRPr="003A1A2D">
        <w:rPr>
          <w:sz w:val="18"/>
          <w:szCs w:val="18"/>
        </w:rPr>
        <w:t xml:space="preserve">Solute transport from non-degradable polymeric systems is mainly considered as diffusion driven, with matrix-type devices showing </w:t>
      </w:r>
      <w:proofErr w:type="spellStart"/>
      <w:r w:rsidR="00A41BB7" w:rsidRPr="003A1A2D">
        <w:rPr>
          <w:sz w:val="18"/>
          <w:szCs w:val="18"/>
        </w:rPr>
        <w:t>Fickian</w:t>
      </w:r>
      <w:proofErr w:type="spellEnd"/>
      <w:r w:rsidR="00A41BB7" w:rsidRPr="003A1A2D">
        <w:rPr>
          <w:sz w:val="18"/>
          <w:szCs w:val="18"/>
        </w:rPr>
        <w:t xml:space="preserve"> diffusion.</w:t>
      </w:r>
      <w:r w:rsidR="00A41BB7" w:rsidRPr="003A1A2D">
        <w:rPr>
          <w:noProof/>
          <w:sz w:val="18"/>
          <w:szCs w:val="18"/>
          <w:vertAlign w:val="superscript"/>
        </w:rPr>
        <w:t>67</w:t>
      </w:r>
      <w:r w:rsidR="00A41BB7" w:rsidRPr="003A1A2D">
        <w:rPr>
          <w:sz w:val="18"/>
          <w:szCs w:val="18"/>
        </w:rPr>
        <w:t xml:space="preserve"> We applied the Higuchi model of drug release,</w:t>
      </w:r>
      <w:r w:rsidR="00A41BB7" w:rsidRPr="003A1A2D">
        <w:rPr>
          <w:noProof/>
          <w:sz w:val="18"/>
          <w:szCs w:val="18"/>
          <w:vertAlign w:val="superscript"/>
        </w:rPr>
        <w:t>68</w:t>
      </w:r>
      <w:r w:rsidR="00A41BB7" w:rsidRPr="003A1A2D">
        <w:rPr>
          <w:sz w:val="18"/>
          <w:szCs w:val="18"/>
        </w:rPr>
        <w:t xml:space="preserve"> which describes drug release from a matrix system to our release data.</w:t>
      </w:r>
      <w:r w:rsidR="00A41BB7" w:rsidRPr="003A1A2D">
        <w:rPr>
          <w:noProof/>
          <w:sz w:val="18"/>
          <w:szCs w:val="18"/>
          <w:vertAlign w:val="superscript"/>
        </w:rPr>
        <w:t>69</w:t>
      </w:r>
      <w:r w:rsidR="00A41BB7" w:rsidRPr="003A1A2D">
        <w:rPr>
          <w:sz w:val="18"/>
          <w:szCs w:val="18"/>
        </w:rPr>
        <w:t xml:space="preserve"> We used the </w:t>
      </w:r>
      <w:r w:rsidR="00A41BB7" w:rsidRPr="003A1A2D">
        <w:rPr>
          <w:sz w:val="18"/>
          <w:szCs w:val="18"/>
        </w:rPr>
        <w:lastRenderedPageBreak/>
        <w:t>simplified Higuchi model, see Fig. 7 (c).</w:t>
      </w:r>
      <w:r w:rsidR="00A41BB7" w:rsidRPr="003A1A2D">
        <w:rPr>
          <w:noProof/>
          <w:sz w:val="18"/>
          <w:szCs w:val="18"/>
          <w:vertAlign w:val="superscript"/>
        </w:rPr>
        <w:t>70,71</w:t>
      </w:r>
      <w:r w:rsidR="00A41BB7" w:rsidRPr="003A1A2D">
        <w:rPr>
          <w:sz w:val="18"/>
          <w:szCs w:val="18"/>
        </w:rPr>
        <w:t xml:space="preserve"> This suggests that for PNA-25-SDN and PNA-00/25-SDN there are two phases or release (</w:t>
      </w:r>
      <w:r w:rsidR="00A41BB7" w:rsidRPr="003A1A2D">
        <w:rPr>
          <w:rFonts w:ascii="Times New Roman" w:hAnsi="Times New Roman" w:cs="Times New Roman"/>
          <w:b/>
          <w:sz w:val="18"/>
          <w:szCs w:val="18"/>
        </w:rPr>
        <w:t xml:space="preserve">I </w:t>
      </w:r>
      <w:r w:rsidR="00A41BB7" w:rsidRPr="003A1A2D">
        <w:rPr>
          <w:sz w:val="18"/>
          <w:szCs w:val="18"/>
        </w:rPr>
        <w:t xml:space="preserve">and </w:t>
      </w:r>
      <w:r w:rsidR="00A41BB7" w:rsidRPr="003A1A2D">
        <w:rPr>
          <w:rFonts w:ascii="Times New Roman" w:hAnsi="Times New Roman" w:cs="Times New Roman"/>
          <w:b/>
          <w:sz w:val="18"/>
          <w:szCs w:val="18"/>
        </w:rPr>
        <w:t>II</w:t>
      </w:r>
      <w:r w:rsidR="00A41BB7" w:rsidRPr="003A1A2D">
        <w:rPr>
          <w:sz w:val="18"/>
          <w:szCs w:val="18"/>
        </w:rPr>
        <w:t xml:space="preserve">). In phase </w:t>
      </w:r>
      <w:r w:rsidR="00A41BB7" w:rsidRPr="003A1A2D">
        <w:rPr>
          <w:rFonts w:ascii="Times New Roman" w:hAnsi="Times New Roman" w:cs="Times New Roman"/>
          <w:b/>
          <w:sz w:val="18"/>
          <w:szCs w:val="18"/>
        </w:rPr>
        <w:t xml:space="preserve">I </w:t>
      </w:r>
      <w:r w:rsidR="00A41BB7" w:rsidRPr="003A1A2D">
        <w:rPr>
          <w:rFonts w:cs="Times New Roman"/>
          <w:sz w:val="18"/>
          <w:szCs w:val="18"/>
        </w:rPr>
        <w:t xml:space="preserve">the porosity introduced by PNA-25 could allow SDN’s to be released from the aggregate, giving a much larger dissolution constant than the other formulations, table 7. This is followed by phase </w:t>
      </w:r>
      <w:r w:rsidR="00A41BB7" w:rsidRPr="003A1A2D">
        <w:rPr>
          <w:rFonts w:ascii="Times New Roman" w:hAnsi="Times New Roman" w:cs="Times New Roman"/>
          <w:b/>
          <w:sz w:val="18"/>
          <w:szCs w:val="18"/>
        </w:rPr>
        <w:t xml:space="preserve">II </w:t>
      </w:r>
      <w:r w:rsidR="00A41BB7" w:rsidRPr="003A1A2D">
        <w:rPr>
          <w:rFonts w:cs="Times New Roman"/>
          <w:sz w:val="18"/>
          <w:szCs w:val="18"/>
        </w:rPr>
        <w:t xml:space="preserve">where it appears than the remainder of the SDN’s which are unable to diffuse out of the aggregate and instead are released as drug molecules which then diffuse with a </w:t>
      </w:r>
      <w:r w:rsidR="006B3D57" w:rsidRPr="003A1A2D">
        <w:rPr>
          <w:rFonts w:cs="Times New Roman"/>
          <w:sz w:val="18"/>
          <w:szCs w:val="18"/>
        </w:rPr>
        <w:t>dissolution constant</w:t>
      </w:r>
      <w:r w:rsidR="00A41BB7" w:rsidRPr="003A1A2D">
        <w:rPr>
          <w:rFonts w:cs="Times New Roman"/>
          <w:sz w:val="18"/>
          <w:szCs w:val="18"/>
        </w:rPr>
        <w:t xml:space="preserve"> similar to the other formulations. PNA-00-SDN and PNA-25-LPV only displayed one release phase. PNA-00-SDN only contains PNA-00 microgel which forms a much less porous structure, suggesting there is only release of drug molecules rather than SDN’s. In PNA-25-LPV the </w:t>
      </w:r>
      <w:r w:rsidR="006B3D57" w:rsidRPr="003A1A2D">
        <w:rPr>
          <w:rFonts w:cs="Times New Roman"/>
          <w:sz w:val="18"/>
          <w:szCs w:val="18"/>
        </w:rPr>
        <w:t>l</w:t>
      </w:r>
      <w:r w:rsidR="00A41BB7" w:rsidRPr="003A1A2D">
        <w:rPr>
          <w:rFonts w:cs="Times New Roman"/>
          <w:sz w:val="18"/>
          <w:szCs w:val="18"/>
        </w:rPr>
        <w:t xml:space="preserve">opinavir drug was in the form of a micron-sized powder (see ESI Fig. S10), not as SDNs. Hence no two stage release is seen, as the large powder particles are not able to diffuse through the aggregate and instead only dissolved drug molecules are released. </w:t>
      </w:r>
    </w:p>
    <w:tbl>
      <w:tblPr>
        <w:tblStyle w:val="TableGrid"/>
        <w:tblpPr w:leftFromText="181" w:rightFromText="181" w:vertAnchor="page" w:horzAnchor="margin" w:tblpY="1158"/>
        <w:tblOverlap w:val="never"/>
        <w:tblW w:w="0" w:type="auto"/>
        <w:tblLook w:val="04A0" w:firstRow="1" w:lastRow="0" w:firstColumn="1" w:lastColumn="0" w:noHBand="0" w:noVBand="1"/>
      </w:tblPr>
      <w:tblGrid>
        <w:gridCol w:w="4926"/>
      </w:tblGrid>
      <w:tr w:rsidR="001E7EE0" w:rsidRPr="003A1A2D" w:rsidTr="0037643D">
        <w:tc>
          <w:tcPr>
            <w:tcW w:w="4926" w:type="dxa"/>
            <w:tcBorders>
              <w:top w:val="single" w:sz="4" w:space="0" w:color="FFFFFF" w:themeColor="background1"/>
              <w:left w:val="single" w:sz="4" w:space="0" w:color="FFFFFF" w:themeColor="background1"/>
              <w:bottom w:val="nil"/>
              <w:right w:val="single" w:sz="4" w:space="0" w:color="FFFFFF" w:themeColor="background1"/>
            </w:tcBorders>
          </w:tcPr>
          <w:p w:rsidR="001E7EE0" w:rsidRPr="003A1A2D" w:rsidRDefault="001E7EE0" w:rsidP="001E7EE0">
            <w:pPr>
              <w:jc w:val="both"/>
              <w:outlineLvl w:val="0"/>
              <w:rPr>
                <w:b/>
                <w:sz w:val="18"/>
                <w:szCs w:val="18"/>
              </w:rPr>
            </w:pPr>
            <w:r w:rsidRPr="003A1A2D">
              <w:rPr>
                <w:b/>
                <w:noProof/>
                <w:sz w:val="18"/>
                <w:szCs w:val="18"/>
                <w:lang w:eastAsia="en-GB"/>
              </w:rPr>
              <w:drawing>
                <wp:inline distT="0" distB="0" distL="0" distR="0" wp14:anchorId="072F0D88" wp14:editId="3326DF6B">
                  <wp:extent cx="2991034" cy="6816501"/>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s/Screenshot%202016-06-27%2009.47.46.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91034" cy="6816501"/>
                          </a:xfrm>
                          <a:prstGeom prst="rect">
                            <a:avLst/>
                          </a:prstGeom>
                          <a:noFill/>
                          <a:ln>
                            <a:noFill/>
                          </a:ln>
                        </pic:spPr>
                      </pic:pic>
                    </a:graphicData>
                  </a:graphic>
                </wp:inline>
              </w:drawing>
            </w:r>
          </w:p>
        </w:tc>
      </w:tr>
      <w:tr w:rsidR="001E7EE0" w:rsidRPr="003A1A2D" w:rsidTr="0037643D">
        <w:tc>
          <w:tcPr>
            <w:tcW w:w="4926" w:type="dxa"/>
            <w:tcBorders>
              <w:top w:val="nil"/>
              <w:left w:val="single" w:sz="4" w:space="0" w:color="FFFFFF" w:themeColor="background1"/>
              <w:bottom w:val="single" w:sz="4" w:space="0" w:color="FFFFFF" w:themeColor="background1"/>
              <w:right w:val="single" w:sz="4" w:space="0" w:color="FFFFFF" w:themeColor="background1"/>
            </w:tcBorders>
          </w:tcPr>
          <w:p w:rsidR="001E7EE0" w:rsidRPr="003A1A2D" w:rsidRDefault="001E7EE0" w:rsidP="001E7EE0">
            <w:pPr>
              <w:jc w:val="both"/>
              <w:outlineLvl w:val="0"/>
              <w:rPr>
                <w:b/>
                <w:sz w:val="18"/>
                <w:szCs w:val="18"/>
              </w:rPr>
            </w:pPr>
            <w:r w:rsidRPr="003A1A2D">
              <w:rPr>
                <w:b/>
                <w:bCs/>
                <w:color w:val="000000" w:themeColor="text1"/>
                <w:sz w:val="18"/>
                <w:szCs w:val="18"/>
              </w:rPr>
              <w:t xml:space="preserve">Fig. 7   </w:t>
            </w:r>
            <w:r w:rsidRPr="003A1A2D">
              <w:rPr>
                <w:color w:val="000000" w:themeColor="text1"/>
                <w:sz w:val="18"/>
                <w:szCs w:val="18"/>
              </w:rPr>
              <w:t xml:space="preserve">Release of LPV drug from aggregated microgel discs over 120 days; quantified by HPLC analysis. An SDN control without microgel, ‘PNA-25-LPV’, was performed. After 120 </w:t>
            </w:r>
            <w:proofErr w:type="gramStart"/>
            <w:r w:rsidRPr="003A1A2D">
              <w:rPr>
                <w:color w:val="000000" w:themeColor="text1"/>
                <w:sz w:val="18"/>
                <w:szCs w:val="18"/>
              </w:rPr>
              <w:t>days</w:t>
            </w:r>
            <w:proofErr w:type="gramEnd"/>
            <w:r w:rsidRPr="003A1A2D">
              <w:rPr>
                <w:color w:val="000000" w:themeColor="text1"/>
                <w:sz w:val="18"/>
                <w:szCs w:val="18"/>
              </w:rPr>
              <w:t xml:space="preserve"> the depot was dissolved in acetonitrile for HPLC analysis to check remaining drug + amount released = 100% (A) Cumulative release (B) Release rate, lines are guides for the eye (C) Application of the Higuchi model</w:t>
            </w:r>
            <w:r w:rsidR="006B3D57" w:rsidRPr="003A1A2D">
              <w:rPr>
                <w:color w:val="000000" w:themeColor="text1"/>
                <w:sz w:val="18"/>
                <w:szCs w:val="18"/>
              </w:rPr>
              <w:t xml:space="preserve"> to the LPV release</w:t>
            </w:r>
            <w:r w:rsidR="005A565D">
              <w:rPr>
                <w:color w:val="000000" w:themeColor="text1"/>
                <w:sz w:val="18"/>
                <w:szCs w:val="18"/>
              </w:rPr>
              <w:t xml:space="preserve"> over 120 days</w:t>
            </w:r>
            <w:r w:rsidRPr="003A1A2D">
              <w:rPr>
                <w:color w:val="000000" w:themeColor="text1"/>
                <w:sz w:val="18"/>
                <w:szCs w:val="18"/>
              </w:rPr>
              <w:t>.</w:t>
            </w:r>
          </w:p>
          <w:p w:rsidR="001E7EE0" w:rsidRPr="003A1A2D" w:rsidRDefault="001E7EE0" w:rsidP="001E7EE0">
            <w:pPr>
              <w:jc w:val="both"/>
              <w:outlineLvl w:val="0"/>
              <w:rPr>
                <w:b/>
                <w:sz w:val="18"/>
                <w:szCs w:val="18"/>
              </w:rPr>
            </w:pPr>
          </w:p>
        </w:tc>
      </w:tr>
    </w:tbl>
    <w:tbl>
      <w:tblPr>
        <w:tblStyle w:val="TableGrid"/>
        <w:tblpPr w:leftFromText="181" w:rightFromText="181" w:vertAnchor="page" w:tblpXSpec="center" w:tblpY="14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752"/>
        <w:gridCol w:w="949"/>
        <w:gridCol w:w="851"/>
        <w:gridCol w:w="850"/>
      </w:tblGrid>
      <w:tr w:rsidR="0037643D" w:rsidRPr="003A1A2D" w:rsidTr="00867914">
        <w:tc>
          <w:tcPr>
            <w:tcW w:w="4786" w:type="dxa"/>
            <w:gridSpan w:val="5"/>
            <w:tcBorders>
              <w:bottom w:val="single" w:sz="4" w:space="0" w:color="auto"/>
            </w:tcBorders>
            <w:shd w:val="clear" w:color="auto" w:fill="auto"/>
          </w:tcPr>
          <w:p w:rsidR="0037643D" w:rsidRPr="003A1A2D" w:rsidRDefault="0037643D" w:rsidP="0037643D">
            <w:pPr>
              <w:jc w:val="both"/>
              <w:outlineLvl w:val="0"/>
              <w:rPr>
                <w:color w:val="000000" w:themeColor="text1"/>
                <w:sz w:val="18"/>
                <w:szCs w:val="18"/>
              </w:rPr>
            </w:pPr>
            <w:r w:rsidRPr="003A1A2D">
              <w:rPr>
                <w:b/>
                <w:color w:val="000000" w:themeColor="text1"/>
                <w:sz w:val="18"/>
                <w:szCs w:val="18"/>
              </w:rPr>
              <w:t>Table 7</w:t>
            </w:r>
            <w:r w:rsidRPr="003A1A2D">
              <w:rPr>
                <w:color w:val="000000" w:themeColor="text1"/>
                <w:sz w:val="18"/>
                <w:szCs w:val="18"/>
              </w:rPr>
              <w:t>. Correlation coefficient (</w:t>
            </w:r>
            <w:proofErr w:type="spellStart"/>
            <w:r w:rsidRPr="003A1A2D">
              <w:rPr>
                <w:color w:val="000000" w:themeColor="text1"/>
                <w:sz w:val="18"/>
                <w:szCs w:val="18"/>
              </w:rPr>
              <w:t>R</w:t>
            </w:r>
            <w:r w:rsidRPr="003A1A2D">
              <w:rPr>
                <w:color w:val="000000" w:themeColor="text1"/>
                <w:sz w:val="18"/>
                <w:szCs w:val="18"/>
                <w:vertAlign w:val="subscript"/>
              </w:rPr>
              <w:t>c</w:t>
            </w:r>
            <w:proofErr w:type="spellEnd"/>
            <w:r w:rsidRPr="003A1A2D">
              <w:rPr>
                <w:color w:val="000000" w:themeColor="text1"/>
                <w:sz w:val="18"/>
                <w:szCs w:val="18"/>
              </w:rPr>
              <w:t>) and Higuchi dissolution constant (</w:t>
            </w:r>
            <w:proofErr w:type="spellStart"/>
            <w:r w:rsidRPr="003A1A2D">
              <w:rPr>
                <w:color w:val="000000" w:themeColor="text1"/>
                <w:sz w:val="18"/>
                <w:szCs w:val="18"/>
              </w:rPr>
              <w:t>k</w:t>
            </w:r>
            <w:r w:rsidRPr="003A1A2D">
              <w:rPr>
                <w:color w:val="000000" w:themeColor="text1"/>
                <w:sz w:val="18"/>
                <w:szCs w:val="18"/>
                <w:vertAlign w:val="subscript"/>
              </w:rPr>
              <w:t>H</w:t>
            </w:r>
            <w:proofErr w:type="spellEnd"/>
            <w:r w:rsidRPr="003A1A2D">
              <w:rPr>
                <w:color w:val="000000" w:themeColor="text1"/>
                <w:sz w:val="18"/>
                <w:szCs w:val="18"/>
              </w:rPr>
              <w:t xml:space="preserve">) </w:t>
            </w:r>
          </w:p>
        </w:tc>
      </w:tr>
      <w:tr w:rsidR="0037643D" w:rsidRPr="003A1A2D" w:rsidTr="00867914">
        <w:tc>
          <w:tcPr>
            <w:tcW w:w="1384" w:type="dxa"/>
            <w:tcBorders>
              <w:top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rPr>
            </w:pPr>
          </w:p>
        </w:tc>
        <w:tc>
          <w:tcPr>
            <w:tcW w:w="1701" w:type="dxa"/>
            <w:gridSpan w:val="2"/>
            <w:tcBorders>
              <w:top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 xml:space="preserve">Phase </w:t>
            </w:r>
            <w:r w:rsidRPr="003A1A2D">
              <w:rPr>
                <w:rFonts w:ascii="Times New Roman" w:hAnsi="Times New Roman" w:cs="Times New Roman"/>
                <w:color w:val="000000" w:themeColor="text1"/>
                <w:sz w:val="18"/>
                <w:szCs w:val="18"/>
              </w:rPr>
              <w:t>I</w:t>
            </w:r>
          </w:p>
        </w:tc>
        <w:tc>
          <w:tcPr>
            <w:tcW w:w="1701" w:type="dxa"/>
            <w:gridSpan w:val="2"/>
            <w:tcBorders>
              <w:top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 xml:space="preserve">Phase </w:t>
            </w:r>
            <w:r w:rsidRPr="003A1A2D">
              <w:rPr>
                <w:rFonts w:ascii="Times New Roman" w:hAnsi="Times New Roman" w:cs="Times New Roman"/>
                <w:color w:val="000000" w:themeColor="text1"/>
                <w:sz w:val="18"/>
                <w:szCs w:val="18"/>
              </w:rPr>
              <w:t>II</w:t>
            </w:r>
          </w:p>
        </w:tc>
      </w:tr>
      <w:tr w:rsidR="0037643D" w:rsidRPr="003A1A2D" w:rsidTr="00867914">
        <w:trPr>
          <w:trHeight w:val="316"/>
        </w:trPr>
        <w:tc>
          <w:tcPr>
            <w:tcW w:w="1384" w:type="dxa"/>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Formulation</w:t>
            </w:r>
          </w:p>
        </w:tc>
        <w:tc>
          <w:tcPr>
            <w:tcW w:w="752" w:type="dxa"/>
            <w:shd w:val="clear" w:color="auto" w:fill="auto"/>
            <w:vAlign w:val="center"/>
          </w:tcPr>
          <w:p w:rsidR="0037643D" w:rsidRPr="003A1A2D" w:rsidRDefault="0037643D" w:rsidP="0037643D">
            <w:pPr>
              <w:jc w:val="center"/>
              <w:outlineLvl w:val="0"/>
              <w:rPr>
                <w:color w:val="000000" w:themeColor="text1"/>
                <w:sz w:val="18"/>
                <w:szCs w:val="18"/>
              </w:rPr>
            </w:pPr>
            <w:proofErr w:type="spellStart"/>
            <w:r w:rsidRPr="003A1A2D">
              <w:rPr>
                <w:color w:val="000000" w:themeColor="text1"/>
                <w:sz w:val="18"/>
                <w:szCs w:val="18"/>
              </w:rPr>
              <w:t>R</w:t>
            </w:r>
            <w:r w:rsidRPr="003A1A2D">
              <w:rPr>
                <w:color w:val="000000" w:themeColor="text1"/>
                <w:sz w:val="18"/>
                <w:szCs w:val="18"/>
                <w:vertAlign w:val="subscript"/>
              </w:rPr>
              <w:t>c</w:t>
            </w:r>
            <w:proofErr w:type="spellEnd"/>
          </w:p>
        </w:tc>
        <w:tc>
          <w:tcPr>
            <w:tcW w:w="949" w:type="dxa"/>
            <w:shd w:val="clear" w:color="auto" w:fill="auto"/>
            <w:vAlign w:val="center"/>
          </w:tcPr>
          <w:p w:rsidR="0037643D" w:rsidRPr="003A1A2D" w:rsidRDefault="0037643D" w:rsidP="0037643D">
            <w:pPr>
              <w:jc w:val="center"/>
              <w:outlineLvl w:val="0"/>
              <w:rPr>
                <w:color w:val="000000" w:themeColor="text1"/>
                <w:sz w:val="18"/>
                <w:szCs w:val="18"/>
              </w:rPr>
            </w:pPr>
            <w:proofErr w:type="spellStart"/>
            <w:r w:rsidRPr="003A1A2D">
              <w:rPr>
                <w:color w:val="000000" w:themeColor="text1"/>
                <w:sz w:val="18"/>
                <w:szCs w:val="18"/>
              </w:rPr>
              <w:t>k</w:t>
            </w:r>
            <w:r w:rsidRPr="003A1A2D">
              <w:rPr>
                <w:color w:val="000000" w:themeColor="text1"/>
                <w:sz w:val="18"/>
                <w:szCs w:val="18"/>
                <w:vertAlign w:val="subscript"/>
              </w:rPr>
              <w:t>H</w:t>
            </w:r>
            <w:proofErr w:type="spellEnd"/>
            <w:r w:rsidRPr="003A1A2D">
              <w:rPr>
                <w:color w:val="000000" w:themeColor="text1"/>
                <w:sz w:val="18"/>
                <w:szCs w:val="18"/>
                <w:vertAlign w:val="subscript"/>
              </w:rPr>
              <w:t xml:space="preserve"> </w:t>
            </w:r>
          </w:p>
        </w:tc>
        <w:tc>
          <w:tcPr>
            <w:tcW w:w="851" w:type="dxa"/>
            <w:shd w:val="clear" w:color="auto" w:fill="auto"/>
            <w:vAlign w:val="center"/>
          </w:tcPr>
          <w:p w:rsidR="0037643D" w:rsidRPr="003A1A2D" w:rsidRDefault="0037643D" w:rsidP="0037643D">
            <w:pPr>
              <w:jc w:val="center"/>
              <w:outlineLvl w:val="0"/>
              <w:rPr>
                <w:color w:val="000000" w:themeColor="text1"/>
                <w:sz w:val="18"/>
                <w:szCs w:val="18"/>
              </w:rPr>
            </w:pPr>
            <w:proofErr w:type="spellStart"/>
            <w:r w:rsidRPr="003A1A2D">
              <w:rPr>
                <w:color w:val="000000" w:themeColor="text1"/>
                <w:sz w:val="18"/>
                <w:szCs w:val="18"/>
              </w:rPr>
              <w:t>R</w:t>
            </w:r>
            <w:r w:rsidRPr="003A1A2D">
              <w:rPr>
                <w:color w:val="000000" w:themeColor="text1"/>
                <w:sz w:val="18"/>
                <w:szCs w:val="18"/>
                <w:vertAlign w:val="subscript"/>
              </w:rPr>
              <w:t>c</w:t>
            </w:r>
            <w:proofErr w:type="spellEnd"/>
          </w:p>
        </w:tc>
        <w:tc>
          <w:tcPr>
            <w:tcW w:w="850" w:type="dxa"/>
            <w:shd w:val="clear" w:color="auto" w:fill="auto"/>
            <w:vAlign w:val="center"/>
          </w:tcPr>
          <w:p w:rsidR="0037643D" w:rsidRPr="003A1A2D" w:rsidRDefault="0037643D" w:rsidP="0037643D">
            <w:pPr>
              <w:jc w:val="center"/>
              <w:outlineLvl w:val="0"/>
              <w:rPr>
                <w:color w:val="000000" w:themeColor="text1"/>
                <w:sz w:val="18"/>
                <w:szCs w:val="18"/>
              </w:rPr>
            </w:pPr>
            <w:proofErr w:type="spellStart"/>
            <w:r w:rsidRPr="003A1A2D">
              <w:rPr>
                <w:color w:val="000000" w:themeColor="text1"/>
                <w:sz w:val="18"/>
                <w:szCs w:val="18"/>
              </w:rPr>
              <w:t>k</w:t>
            </w:r>
            <w:r w:rsidRPr="003A1A2D">
              <w:rPr>
                <w:color w:val="000000" w:themeColor="text1"/>
                <w:sz w:val="18"/>
                <w:szCs w:val="18"/>
                <w:vertAlign w:val="subscript"/>
              </w:rPr>
              <w:t>H</w:t>
            </w:r>
            <w:proofErr w:type="spellEnd"/>
          </w:p>
        </w:tc>
      </w:tr>
      <w:tr w:rsidR="0037643D" w:rsidRPr="003A1A2D" w:rsidTr="00867914">
        <w:trPr>
          <w:trHeight w:val="279"/>
        </w:trPr>
        <w:tc>
          <w:tcPr>
            <w:tcW w:w="1384" w:type="dxa"/>
            <w:tcBorders>
              <w:bottom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rPr>
            </w:pPr>
          </w:p>
        </w:tc>
        <w:tc>
          <w:tcPr>
            <w:tcW w:w="752" w:type="dxa"/>
            <w:tcBorders>
              <w:bottom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rPr>
            </w:pPr>
          </w:p>
        </w:tc>
        <w:tc>
          <w:tcPr>
            <w:tcW w:w="949" w:type="dxa"/>
            <w:tcBorders>
              <w:bottom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vertAlign w:val="superscript"/>
              </w:rPr>
            </w:pPr>
            <w:r w:rsidRPr="003A1A2D">
              <w:rPr>
                <w:color w:val="000000" w:themeColor="text1"/>
                <w:sz w:val="18"/>
                <w:szCs w:val="18"/>
              </w:rPr>
              <w:t>days</w:t>
            </w:r>
            <w:r w:rsidRPr="003A1A2D">
              <w:rPr>
                <w:color w:val="000000" w:themeColor="text1"/>
                <w:sz w:val="18"/>
                <w:szCs w:val="18"/>
                <w:vertAlign w:val="superscript"/>
              </w:rPr>
              <w:t>-0.5</w:t>
            </w:r>
          </w:p>
        </w:tc>
        <w:tc>
          <w:tcPr>
            <w:tcW w:w="851" w:type="dxa"/>
            <w:tcBorders>
              <w:bottom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rPr>
            </w:pPr>
          </w:p>
        </w:tc>
        <w:tc>
          <w:tcPr>
            <w:tcW w:w="850" w:type="dxa"/>
            <w:tcBorders>
              <w:bottom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days</w:t>
            </w:r>
            <w:r w:rsidRPr="003A1A2D">
              <w:rPr>
                <w:color w:val="000000" w:themeColor="text1"/>
                <w:sz w:val="18"/>
                <w:szCs w:val="18"/>
                <w:vertAlign w:val="superscript"/>
              </w:rPr>
              <w:t>-0.5</w:t>
            </w:r>
          </w:p>
        </w:tc>
      </w:tr>
      <w:tr w:rsidR="0037643D" w:rsidRPr="003A1A2D" w:rsidTr="00867914">
        <w:tc>
          <w:tcPr>
            <w:tcW w:w="1384" w:type="dxa"/>
            <w:tcBorders>
              <w:top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PNA-25</w:t>
            </w:r>
          </w:p>
        </w:tc>
        <w:tc>
          <w:tcPr>
            <w:tcW w:w="752" w:type="dxa"/>
            <w:tcBorders>
              <w:top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0.994</w:t>
            </w:r>
          </w:p>
        </w:tc>
        <w:tc>
          <w:tcPr>
            <w:tcW w:w="949" w:type="dxa"/>
            <w:tcBorders>
              <w:top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5.25</w:t>
            </w:r>
          </w:p>
        </w:tc>
        <w:tc>
          <w:tcPr>
            <w:tcW w:w="851" w:type="dxa"/>
            <w:tcBorders>
              <w:top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0.993</w:t>
            </w:r>
          </w:p>
        </w:tc>
        <w:tc>
          <w:tcPr>
            <w:tcW w:w="850" w:type="dxa"/>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1.16</w:t>
            </w:r>
          </w:p>
        </w:tc>
      </w:tr>
      <w:tr w:rsidR="0037643D" w:rsidRPr="003A1A2D" w:rsidTr="00867914">
        <w:tc>
          <w:tcPr>
            <w:tcW w:w="1384" w:type="dxa"/>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PNA-00/25-SDN</w:t>
            </w:r>
          </w:p>
        </w:tc>
        <w:tc>
          <w:tcPr>
            <w:tcW w:w="752" w:type="dxa"/>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0.999</w:t>
            </w:r>
          </w:p>
        </w:tc>
        <w:tc>
          <w:tcPr>
            <w:tcW w:w="949" w:type="dxa"/>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6.33</w:t>
            </w:r>
          </w:p>
        </w:tc>
        <w:tc>
          <w:tcPr>
            <w:tcW w:w="851" w:type="dxa"/>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0.966</w:t>
            </w:r>
          </w:p>
        </w:tc>
        <w:tc>
          <w:tcPr>
            <w:tcW w:w="850" w:type="dxa"/>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2.34</w:t>
            </w:r>
          </w:p>
        </w:tc>
      </w:tr>
      <w:tr w:rsidR="0037643D" w:rsidRPr="003A1A2D" w:rsidTr="00867914">
        <w:tc>
          <w:tcPr>
            <w:tcW w:w="1384" w:type="dxa"/>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PNA-00-SDN</w:t>
            </w:r>
          </w:p>
        </w:tc>
        <w:tc>
          <w:tcPr>
            <w:tcW w:w="752" w:type="dxa"/>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0.999</w:t>
            </w:r>
          </w:p>
        </w:tc>
        <w:tc>
          <w:tcPr>
            <w:tcW w:w="949" w:type="dxa"/>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3.05</w:t>
            </w:r>
          </w:p>
        </w:tc>
        <w:tc>
          <w:tcPr>
            <w:tcW w:w="851" w:type="dxa"/>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w:t>
            </w:r>
          </w:p>
        </w:tc>
        <w:tc>
          <w:tcPr>
            <w:tcW w:w="850" w:type="dxa"/>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w:t>
            </w:r>
          </w:p>
        </w:tc>
      </w:tr>
      <w:tr w:rsidR="0037643D" w:rsidRPr="003A1A2D" w:rsidTr="00867914">
        <w:tc>
          <w:tcPr>
            <w:tcW w:w="1384" w:type="dxa"/>
            <w:tcBorders>
              <w:bottom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PNA-25-LPV</w:t>
            </w:r>
          </w:p>
        </w:tc>
        <w:tc>
          <w:tcPr>
            <w:tcW w:w="752" w:type="dxa"/>
            <w:tcBorders>
              <w:bottom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0.992</w:t>
            </w:r>
          </w:p>
        </w:tc>
        <w:tc>
          <w:tcPr>
            <w:tcW w:w="949" w:type="dxa"/>
            <w:tcBorders>
              <w:bottom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1.43</w:t>
            </w:r>
          </w:p>
        </w:tc>
        <w:tc>
          <w:tcPr>
            <w:tcW w:w="851" w:type="dxa"/>
            <w:tcBorders>
              <w:bottom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w:t>
            </w:r>
          </w:p>
        </w:tc>
        <w:tc>
          <w:tcPr>
            <w:tcW w:w="850" w:type="dxa"/>
            <w:tcBorders>
              <w:bottom w:val="single" w:sz="4" w:space="0" w:color="auto"/>
            </w:tcBorders>
            <w:shd w:val="clear" w:color="auto" w:fill="auto"/>
            <w:vAlign w:val="center"/>
          </w:tcPr>
          <w:p w:rsidR="0037643D" w:rsidRPr="003A1A2D" w:rsidRDefault="0037643D" w:rsidP="0037643D">
            <w:pPr>
              <w:jc w:val="center"/>
              <w:outlineLvl w:val="0"/>
              <w:rPr>
                <w:color w:val="000000" w:themeColor="text1"/>
                <w:sz w:val="18"/>
                <w:szCs w:val="18"/>
              </w:rPr>
            </w:pPr>
            <w:r w:rsidRPr="003A1A2D">
              <w:rPr>
                <w:color w:val="000000" w:themeColor="text1"/>
                <w:sz w:val="18"/>
                <w:szCs w:val="18"/>
              </w:rPr>
              <w:t>-</w:t>
            </w:r>
          </w:p>
        </w:tc>
      </w:tr>
    </w:tbl>
    <w:p w:rsidR="00B179CF" w:rsidRPr="003A1A2D" w:rsidRDefault="00890764" w:rsidP="00890764">
      <w:pPr>
        <w:jc w:val="both"/>
        <w:outlineLvl w:val="0"/>
        <w:rPr>
          <w:color w:val="000000" w:themeColor="text1"/>
          <w:sz w:val="18"/>
          <w:szCs w:val="18"/>
        </w:rPr>
      </w:pPr>
      <w:r w:rsidRPr="003A1A2D">
        <w:rPr>
          <w:color w:val="000000" w:themeColor="text1"/>
          <w:sz w:val="18"/>
          <w:szCs w:val="18"/>
        </w:rPr>
        <w:t>The burst release from the initial aggregation of the disk is only 4.3% and 3.4% for PNA-00/25-SDN and PNA</w:t>
      </w:r>
      <w:r w:rsidRPr="003A1A2D">
        <w:rPr>
          <w:color w:val="000000" w:themeColor="text1"/>
          <w:sz w:val="18"/>
          <w:szCs w:val="18"/>
        </w:rPr>
        <w:noBreakHyphen/>
        <w:t>00</w:t>
      </w:r>
      <w:r w:rsidRPr="003A1A2D">
        <w:rPr>
          <w:color w:val="000000" w:themeColor="text1"/>
          <w:sz w:val="18"/>
          <w:szCs w:val="18"/>
        </w:rPr>
        <w:noBreakHyphen/>
        <w:t>SDN respectively. The PNA-25-SDN nanocomposite was the only sample to show appreciable burst release of 33.1%.</w:t>
      </w:r>
      <w:r w:rsidR="0017613C" w:rsidRPr="003A1A2D">
        <w:rPr>
          <w:sz w:val="18"/>
          <w:szCs w:val="18"/>
        </w:rPr>
        <w:t xml:space="preserve"> </w:t>
      </w:r>
      <w:r w:rsidR="006B3D57" w:rsidRPr="003A1A2D">
        <w:rPr>
          <w:sz w:val="18"/>
          <w:szCs w:val="18"/>
        </w:rPr>
        <w:t xml:space="preserve">As seen in the SEM/AFM analysis in Fig 4 </w:t>
      </w:r>
      <w:r w:rsidR="006B3D57" w:rsidRPr="003A1A2D">
        <w:rPr>
          <w:color w:val="000000" w:themeColor="text1"/>
          <w:sz w:val="18"/>
          <w:szCs w:val="18"/>
        </w:rPr>
        <w:t>t</w:t>
      </w:r>
      <w:r w:rsidR="0017613C" w:rsidRPr="003A1A2D">
        <w:rPr>
          <w:color w:val="000000" w:themeColor="text1"/>
          <w:sz w:val="18"/>
          <w:szCs w:val="18"/>
        </w:rPr>
        <w:t xml:space="preserve">he PNA-25 microgel aggregate </w:t>
      </w:r>
      <w:r w:rsidR="006B3D57" w:rsidRPr="003A1A2D">
        <w:rPr>
          <w:color w:val="000000" w:themeColor="text1"/>
          <w:sz w:val="18"/>
          <w:szCs w:val="18"/>
        </w:rPr>
        <w:t>was</w:t>
      </w:r>
      <w:r w:rsidR="0017613C" w:rsidRPr="003A1A2D">
        <w:rPr>
          <w:color w:val="000000" w:themeColor="text1"/>
          <w:sz w:val="18"/>
          <w:szCs w:val="18"/>
        </w:rPr>
        <w:t xml:space="preserve"> the most porous</w:t>
      </w:r>
      <w:r w:rsidR="00604457" w:rsidRPr="003A1A2D">
        <w:rPr>
          <w:color w:val="000000" w:themeColor="text1"/>
          <w:sz w:val="18"/>
          <w:szCs w:val="18"/>
        </w:rPr>
        <w:t>,</w:t>
      </w:r>
      <w:r w:rsidR="006B3D57" w:rsidRPr="003A1A2D">
        <w:rPr>
          <w:color w:val="000000" w:themeColor="text1"/>
          <w:sz w:val="18"/>
          <w:szCs w:val="18"/>
        </w:rPr>
        <w:t xml:space="preserve"> t</w:t>
      </w:r>
      <w:r w:rsidR="0017613C" w:rsidRPr="003A1A2D">
        <w:rPr>
          <w:color w:val="000000" w:themeColor="text1"/>
          <w:sz w:val="18"/>
          <w:szCs w:val="18"/>
        </w:rPr>
        <w:t>herefore</w:t>
      </w:r>
      <w:r w:rsidR="006B3D57" w:rsidRPr="003A1A2D">
        <w:rPr>
          <w:color w:val="000000" w:themeColor="text1"/>
          <w:sz w:val="18"/>
          <w:szCs w:val="18"/>
        </w:rPr>
        <w:t xml:space="preserve"> it is possible that</w:t>
      </w:r>
      <w:r w:rsidR="0017613C" w:rsidRPr="003A1A2D">
        <w:rPr>
          <w:color w:val="000000" w:themeColor="text1"/>
          <w:sz w:val="18"/>
          <w:szCs w:val="18"/>
        </w:rPr>
        <w:t xml:space="preserve"> the SDNs near the surface of the aggregate </w:t>
      </w:r>
      <w:r w:rsidR="006B3D57" w:rsidRPr="003A1A2D">
        <w:rPr>
          <w:color w:val="000000" w:themeColor="text1"/>
          <w:sz w:val="18"/>
          <w:szCs w:val="18"/>
        </w:rPr>
        <w:t>were</w:t>
      </w:r>
      <w:r w:rsidR="0017613C" w:rsidRPr="003A1A2D">
        <w:rPr>
          <w:color w:val="000000" w:themeColor="text1"/>
          <w:sz w:val="18"/>
          <w:szCs w:val="18"/>
        </w:rPr>
        <w:t xml:space="preserve"> squeezed out rapidly through the pores </w:t>
      </w:r>
      <w:r w:rsidR="006B3D57" w:rsidRPr="003A1A2D">
        <w:rPr>
          <w:color w:val="000000" w:themeColor="text1"/>
          <w:sz w:val="18"/>
          <w:szCs w:val="18"/>
        </w:rPr>
        <w:t>during</w:t>
      </w:r>
      <w:r w:rsidR="0017613C" w:rsidRPr="003A1A2D">
        <w:rPr>
          <w:color w:val="000000" w:themeColor="text1"/>
          <w:sz w:val="18"/>
          <w:szCs w:val="18"/>
        </w:rPr>
        <w:t xml:space="preserve"> the initial aggregation, leading to a burst release. </w:t>
      </w:r>
      <w:r w:rsidR="006B3D57" w:rsidRPr="003A1A2D">
        <w:rPr>
          <w:color w:val="000000" w:themeColor="text1"/>
          <w:sz w:val="18"/>
          <w:szCs w:val="18"/>
        </w:rPr>
        <w:t xml:space="preserve">This theory is also supported by the concentration of LPV obtained during the burst release, </w:t>
      </w:r>
      <w:r w:rsidR="0017613C" w:rsidRPr="003A1A2D">
        <w:rPr>
          <w:color w:val="000000" w:themeColor="text1"/>
          <w:sz w:val="18"/>
          <w:szCs w:val="18"/>
        </w:rPr>
        <w:t xml:space="preserve">much higher than the solubility of the hydrophobic drug lopinavir </w:t>
      </w:r>
      <w:r w:rsidR="006B3D57" w:rsidRPr="003A1A2D">
        <w:rPr>
          <w:color w:val="000000" w:themeColor="text1"/>
          <w:sz w:val="18"/>
          <w:szCs w:val="18"/>
        </w:rPr>
        <w:t xml:space="preserve">which would only be possible if the drug was released in SDN form. </w:t>
      </w:r>
      <w:r w:rsidR="0017613C" w:rsidRPr="003A1A2D">
        <w:rPr>
          <w:color w:val="000000" w:themeColor="text1"/>
          <w:sz w:val="18"/>
          <w:szCs w:val="18"/>
        </w:rPr>
        <w:t>Ho</w:t>
      </w:r>
      <w:r w:rsidR="006B3D57" w:rsidRPr="003A1A2D">
        <w:rPr>
          <w:color w:val="000000" w:themeColor="text1"/>
          <w:sz w:val="18"/>
          <w:szCs w:val="18"/>
        </w:rPr>
        <w:t>wever, the water content of PNA-00/25-</w:t>
      </w:r>
      <w:r w:rsidR="0017613C" w:rsidRPr="003A1A2D">
        <w:rPr>
          <w:color w:val="000000" w:themeColor="text1"/>
          <w:sz w:val="18"/>
          <w:szCs w:val="18"/>
        </w:rPr>
        <w:t>SDN nanocomposite was also</w:t>
      </w:r>
      <w:r w:rsidR="006B3D57" w:rsidRPr="003A1A2D">
        <w:rPr>
          <w:color w:val="000000" w:themeColor="text1"/>
          <w:sz w:val="18"/>
          <w:szCs w:val="18"/>
        </w:rPr>
        <w:t xml:space="preserve"> reasonably high at 56.4% (w/w) and may have presented porosity</w:t>
      </w:r>
      <w:r w:rsidR="0017613C" w:rsidRPr="003A1A2D">
        <w:rPr>
          <w:color w:val="000000" w:themeColor="text1"/>
          <w:sz w:val="18"/>
          <w:szCs w:val="18"/>
        </w:rPr>
        <w:t xml:space="preserve"> and yet very little burst release was found. This difference could also be attributed to different particle packing; the opposite surface charges in PNA-00/25-SDN may lead to attractive interactions between microgel particles reducing the porosity of the material. This behaviour will be further studied in our future work. The formulation PNA-25-LPV, which contains the drug in powdered form, rather than as an SDN, displayed the slowest release rate with total release lower than all the SDN formulations, despite being loaded into the </w:t>
      </w:r>
      <w:r w:rsidR="00604457" w:rsidRPr="003A1A2D">
        <w:rPr>
          <w:color w:val="000000" w:themeColor="text1"/>
          <w:sz w:val="18"/>
          <w:szCs w:val="18"/>
        </w:rPr>
        <w:t xml:space="preserve">most </w:t>
      </w:r>
      <w:r w:rsidR="006B3D57" w:rsidRPr="003A1A2D">
        <w:rPr>
          <w:color w:val="000000" w:themeColor="text1"/>
          <w:sz w:val="18"/>
          <w:szCs w:val="18"/>
        </w:rPr>
        <w:t>porous</w:t>
      </w:r>
      <w:r w:rsidR="0017613C" w:rsidRPr="003A1A2D">
        <w:rPr>
          <w:color w:val="000000" w:themeColor="text1"/>
          <w:sz w:val="18"/>
          <w:szCs w:val="18"/>
        </w:rPr>
        <w:t xml:space="preserve"> depot formed from PNA-25. Hence, loading drug in SDN form allows the release rate from the depot to be enhanced, likely due to the much greater surface area of the SDNs assisting dissolution;</w:t>
      </w:r>
      <w:r w:rsidR="00604457" w:rsidRPr="003A1A2D">
        <w:rPr>
          <w:noProof/>
          <w:color w:val="000000" w:themeColor="text1"/>
          <w:sz w:val="18"/>
          <w:szCs w:val="18"/>
          <w:vertAlign w:val="superscript"/>
        </w:rPr>
        <w:t>72</w:t>
      </w:r>
      <w:r w:rsidR="0017613C" w:rsidRPr="003A1A2D">
        <w:rPr>
          <w:color w:val="000000" w:themeColor="text1"/>
          <w:sz w:val="18"/>
          <w:szCs w:val="18"/>
        </w:rPr>
        <w:t xml:space="preserve"> </w:t>
      </w:r>
      <w:r w:rsidR="00604457" w:rsidRPr="003A1A2D">
        <w:rPr>
          <w:color w:val="000000" w:themeColor="text1"/>
          <w:sz w:val="18"/>
          <w:szCs w:val="18"/>
        </w:rPr>
        <w:t>or their amorphous nature,</w:t>
      </w:r>
      <w:r w:rsidR="00604457" w:rsidRPr="003A1A2D">
        <w:rPr>
          <w:noProof/>
          <w:color w:val="000000" w:themeColor="text1"/>
          <w:sz w:val="18"/>
          <w:szCs w:val="18"/>
          <w:vertAlign w:val="superscript"/>
        </w:rPr>
        <w:t>49</w:t>
      </w:r>
      <w:r w:rsidR="00604457" w:rsidRPr="003A1A2D">
        <w:rPr>
          <w:color w:val="000000" w:themeColor="text1"/>
          <w:sz w:val="18"/>
          <w:szCs w:val="18"/>
        </w:rPr>
        <w:t xml:space="preserve"> which aids in dissolution rate of drugs vs crystalline drug form.</w:t>
      </w:r>
      <w:r w:rsidR="00604457" w:rsidRPr="003A1A2D">
        <w:rPr>
          <w:noProof/>
          <w:color w:val="000000" w:themeColor="text1"/>
          <w:sz w:val="18"/>
          <w:szCs w:val="18"/>
          <w:vertAlign w:val="superscript"/>
        </w:rPr>
        <w:t>73</w:t>
      </w:r>
      <w:r w:rsidR="00604457" w:rsidRPr="003A1A2D">
        <w:rPr>
          <w:color w:val="000000" w:themeColor="text1"/>
          <w:sz w:val="18"/>
          <w:szCs w:val="18"/>
        </w:rPr>
        <w:t xml:space="preserve"> This</w:t>
      </w:r>
      <w:r w:rsidR="00A5212A" w:rsidRPr="003A1A2D">
        <w:rPr>
          <w:color w:val="000000" w:themeColor="text1"/>
          <w:sz w:val="18"/>
          <w:szCs w:val="18"/>
        </w:rPr>
        <w:t xml:space="preserve"> behaviour</w:t>
      </w:r>
      <w:r w:rsidR="00604457" w:rsidRPr="003A1A2D">
        <w:rPr>
          <w:color w:val="000000" w:themeColor="text1"/>
          <w:sz w:val="18"/>
          <w:szCs w:val="18"/>
        </w:rPr>
        <w:t xml:space="preserve"> </w:t>
      </w:r>
      <w:r w:rsidR="0017613C" w:rsidRPr="003A1A2D">
        <w:rPr>
          <w:color w:val="000000" w:themeColor="text1"/>
          <w:sz w:val="18"/>
          <w:szCs w:val="18"/>
        </w:rPr>
        <w:t>potentially offer</w:t>
      </w:r>
      <w:r w:rsidR="00604457" w:rsidRPr="003A1A2D">
        <w:rPr>
          <w:color w:val="000000" w:themeColor="text1"/>
          <w:sz w:val="18"/>
          <w:szCs w:val="18"/>
        </w:rPr>
        <w:t>s</w:t>
      </w:r>
      <w:r w:rsidR="0017613C" w:rsidRPr="003A1A2D">
        <w:rPr>
          <w:color w:val="000000" w:themeColor="text1"/>
          <w:sz w:val="18"/>
          <w:szCs w:val="18"/>
        </w:rPr>
        <w:t xml:space="preserve"> an additional mechanism of controlling the rate of drug release from the nanocomposite. In powdered drug form the burst release is also minimal at 0.5%, despite the SDNs having at 33.1% burst release from the s</w:t>
      </w:r>
      <w:r w:rsidR="00A5212A" w:rsidRPr="003A1A2D">
        <w:rPr>
          <w:color w:val="000000" w:themeColor="text1"/>
          <w:sz w:val="18"/>
          <w:szCs w:val="18"/>
        </w:rPr>
        <w:t>ame PNA-</w:t>
      </w:r>
      <w:r w:rsidR="0017613C" w:rsidRPr="003A1A2D">
        <w:rPr>
          <w:color w:val="000000" w:themeColor="text1"/>
          <w:sz w:val="18"/>
          <w:szCs w:val="18"/>
        </w:rPr>
        <w:t xml:space="preserve">25 microgel. This reinforces the idea of porosity being linked to water content of the </w:t>
      </w:r>
      <w:r w:rsidR="0017613C" w:rsidRPr="003A1A2D">
        <w:rPr>
          <w:color w:val="000000" w:themeColor="text1"/>
          <w:sz w:val="18"/>
          <w:szCs w:val="18"/>
        </w:rPr>
        <w:lastRenderedPageBreak/>
        <w:t>aggregates, with small nanoparticulates releasing at a greater rate tha</w:t>
      </w:r>
      <w:r w:rsidR="00B179CF" w:rsidRPr="003A1A2D">
        <w:rPr>
          <w:color w:val="000000" w:themeColor="text1"/>
          <w:sz w:val="18"/>
          <w:szCs w:val="18"/>
        </w:rPr>
        <w:t>n the powdered form of the drug</w:t>
      </w:r>
      <w:r w:rsidR="0017613C" w:rsidRPr="003A1A2D">
        <w:rPr>
          <w:color w:val="000000" w:themeColor="text1"/>
          <w:sz w:val="18"/>
          <w:szCs w:val="18"/>
        </w:rPr>
        <w:t xml:space="preserve">. </w:t>
      </w:r>
    </w:p>
    <w:p w:rsidR="00890764" w:rsidRPr="003A1A2D" w:rsidRDefault="0017613C" w:rsidP="00890764">
      <w:pPr>
        <w:jc w:val="both"/>
        <w:outlineLvl w:val="0"/>
        <w:rPr>
          <w:color w:val="000000" w:themeColor="text1"/>
          <w:sz w:val="18"/>
          <w:szCs w:val="18"/>
        </w:rPr>
      </w:pPr>
      <w:r w:rsidRPr="003A1A2D">
        <w:rPr>
          <w:color w:val="000000" w:themeColor="text1"/>
          <w:sz w:val="18"/>
          <w:szCs w:val="18"/>
        </w:rPr>
        <w:t>Although the release rate was not clinically relevant for LPV we have demonstrated sustained release and the potential for the rate of release to be tuneable for the drug and it’s SDN form. Hence, this system should be applicable to other more clinically relevant poorly water-soluble drugs. These release studies showed that the rate of release of dissolved drug molecules can be tuned by blending microgels with different polymer composition, and by varying the form of the drug.</w:t>
      </w:r>
    </w:p>
    <w:tbl>
      <w:tblPr>
        <w:tblStyle w:val="TableGrid"/>
        <w:tblpPr w:leftFromText="181" w:rightFromText="181" w:vertAnchor="page" w:horzAnchor="margin" w:tblpY="11807"/>
        <w:tblOverlap w:val="never"/>
        <w:tblW w:w="0" w:type="auto"/>
        <w:tblLook w:val="04A0" w:firstRow="1" w:lastRow="0" w:firstColumn="1" w:lastColumn="0" w:noHBand="0" w:noVBand="1"/>
      </w:tblPr>
      <w:tblGrid>
        <w:gridCol w:w="4979"/>
      </w:tblGrid>
      <w:tr w:rsidR="0017613C" w:rsidRPr="003A1A2D" w:rsidTr="0017613C">
        <w:trPr>
          <w:trHeight w:val="2517"/>
        </w:trPr>
        <w:tc>
          <w:tcPr>
            <w:tcW w:w="5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7613C" w:rsidRPr="003A1A2D" w:rsidRDefault="0017613C" w:rsidP="0017613C">
            <w:pPr>
              <w:jc w:val="both"/>
              <w:outlineLvl w:val="0"/>
              <w:rPr>
                <w:b/>
                <w:sz w:val="18"/>
                <w:szCs w:val="18"/>
              </w:rPr>
            </w:pPr>
            <w:r w:rsidRPr="003A1A2D">
              <w:rPr>
                <w:b/>
                <w:noProof/>
                <w:sz w:val="18"/>
                <w:szCs w:val="18"/>
                <w:lang w:eastAsia="en-GB"/>
              </w:rPr>
              <w:drawing>
                <wp:inline distT="0" distB="0" distL="0" distR="0" wp14:anchorId="7555CA82" wp14:editId="7746D7BB">
                  <wp:extent cx="3070860" cy="1727200"/>
                  <wp:effectExtent l="0" t="0" r="0" b="6350"/>
                  <wp:docPr id="21" name="Picture 21" descr="Cyt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yto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0860" cy="1727200"/>
                          </a:xfrm>
                          <a:prstGeom prst="rect">
                            <a:avLst/>
                          </a:prstGeom>
                          <a:noFill/>
                          <a:ln>
                            <a:noFill/>
                          </a:ln>
                        </pic:spPr>
                      </pic:pic>
                    </a:graphicData>
                  </a:graphic>
                </wp:inline>
              </w:drawing>
            </w:r>
          </w:p>
        </w:tc>
      </w:tr>
      <w:tr w:rsidR="0017613C" w:rsidRPr="003A1A2D" w:rsidTr="0017613C">
        <w:trPr>
          <w:trHeight w:val="196"/>
        </w:trPr>
        <w:tc>
          <w:tcPr>
            <w:tcW w:w="5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7613C" w:rsidRPr="003A1A2D" w:rsidRDefault="00B964A1" w:rsidP="0017613C">
            <w:pPr>
              <w:jc w:val="both"/>
              <w:outlineLvl w:val="0"/>
              <w:rPr>
                <w:sz w:val="18"/>
                <w:szCs w:val="18"/>
              </w:rPr>
            </w:pPr>
            <w:r w:rsidRPr="003A1A2D">
              <w:rPr>
                <w:b/>
                <w:sz w:val="18"/>
                <w:szCs w:val="18"/>
              </w:rPr>
              <w:t>Fig. 8</w:t>
            </w:r>
            <w:r w:rsidR="0017613C" w:rsidRPr="003A1A2D">
              <w:rPr>
                <w:b/>
                <w:sz w:val="18"/>
                <w:szCs w:val="18"/>
              </w:rPr>
              <w:t xml:space="preserve"> </w:t>
            </w:r>
            <w:r w:rsidR="0017613C" w:rsidRPr="003A1A2D">
              <w:rPr>
                <w:sz w:val="18"/>
                <w:szCs w:val="18"/>
              </w:rPr>
              <w:t>Cytotoxicity of microgels towards cells in ATP Assay.</w:t>
            </w:r>
          </w:p>
          <w:p w:rsidR="0017613C" w:rsidRPr="003A1A2D" w:rsidRDefault="0017613C" w:rsidP="0017613C">
            <w:pPr>
              <w:jc w:val="both"/>
              <w:outlineLvl w:val="0"/>
              <w:rPr>
                <w:b/>
                <w:sz w:val="18"/>
                <w:szCs w:val="18"/>
              </w:rPr>
            </w:pPr>
          </w:p>
        </w:tc>
      </w:tr>
    </w:tbl>
    <w:p w:rsidR="00890764" w:rsidRPr="003A1A2D" w:rsidRDefault="00890764" w:rsidP="00890764">
      <w:pPr>
        <w:jc w:val="both"/>
        <w:outlineLvl w:val="0"/>
        <w:rPr>
          <w:b/>
          <w:sz w:val="18"/>
          <w:szCs w:val="18"/>
        </w:rPr>
      </w:pPr>
      <w:r w:rsidRPr="003A1A2D">
        <w:rPr>
          <w:b/>
          <w:sz w:val="18"/>
          <w:szCs w:val="18"/>
        </w:rPr>
        <w:t>3.6 Cytotoxicity Study</w:t>
      </w:r>
    </w:p>
    <w:p w:rsidR="00890764" w:rsidRPr="003A1A2D" w:rsidRDefault="00890764" w:rsidP="00890764">
      <w:pPr>
        <w:jc w:val="both"/>
        <w:outlineLvl w:val="0"/>
        <w:rPr>
          <w:sz w:val="18"/>
          <w:szCs w:val="18"/>
        </w:rPr>
      </w:pPr>
      <w:r w:rsidRPr="003A1A2D">
        <w:rPr>
          <w:sz w:val="18"/>
          <w:szCs w:val="18"/>
        </w:rPr>
        <w:t>PNIPAm has been widely used as a potential material for drug delivery and has been shown not to display cytotoxic properties in numerous studies including PNIPAm in microgel form.</w:t>
      </w:r>
      <w:r w:rsidR="00604457" w:rsidRPr="003A1A2D">
        <w:rPr>
          <w:noProof/>
          <w:sz w:val="18"/>
          <w:szCs w:val="18"/>
          <w:vertAlign w:val="superscript"/>
        </w:rPr>
        <w:t>74–76</w:t>
      </w:r>
      <w:r w:rsidRPr="003A1A2D">
        <w:rPr>
          <w:sz w:val="18"/>
          <w:szCs w:val="18"/>
        </w:rPr>
        <w:t xml:space="preserve"> Addition</w:t>
      </w:r>
      <w:r w:rsidR="009C6ECB" w:rsidRPr="003A1A2D">
        <w:rPr>
          <w:sz w:val="18"/>
          <w:szCs w:val="18"/>
        </w:rPr>
        <w:t xml:space="preserve">ally, </w:t>
      </w:r>
      <w:r w:rsidRPr="003A1A2D">
        <w:rPr>
          <w:sz w:val="18"/>
          <w:szCs w:val="18"/>
        </w:rPr>
        <w:t xml:space="preserve">Kjøniksen </w:t>
      </w:r>
      <w:r w:rsidRPr="003A1A2D">
        <w:rPr>
          <w:i/>
          <w:sz w:val="18"/>
          <w:szCs w:val="18"/>
        </w:rPr>
        <w:t>et al</w:t>
      </w:r>
      <w:r w:rsidR="00805CDB">
        <w:rPr>
          <w:sz w:val="18"/>
          <w:szCs w:val="18"/>
        </w:rPr>
        <w:t xml:space="preserve"> have revealed </w:t>
      </w:r>
      <w:r w:rsidRPr="003A1A2D">
        <w:rPr>
          <w:sz w:val="18"/>
          <w:szCs w:val="18"/>
        </w:rPr>
        <w:t>that even at a high concentration PNIPAm microgels are not cytotoxic.</w:t>
      </w:r>
      <w:r w:rsidRPr="003A1A2D">
        <w:rPr>
          <w:noProof/>
          <w:sz w:val="18"/>
          <w:szCs w:val="18"/>
          <w:vertAlign w:val="superscript"/>
        </w:rPr>
        <w:t>46</w:t>
      </w:r>
    </w:p>
    <w:p w:rsidR="003404B7" w:rsidRPr="003A1A2D" w:rsidRDefault="00B964A1" w:rsidP="00890764">
      <w:pPr>
        <w:jc w:val="both"/>
        <w:outlineLvl w:val="0"/>
        <w:rPr>
          <w:sz w:val="18"/>
          <w:szCs w:val="18"/>
        </w:rPr>
      </w:pPr>
      <w:r w:rsidRPr="003A1A2D">
        <w:rPr>
          <w:sz w:val="18"/>
          <w:szCs w:val="18"/>
        </w:rPr>
        <w:t>The ATP, Fig. 8, and MTT (see ESI Fig. S11</w:t>
      </w:r>
      <w:r w:rsidR="00890764" w:rsidRPr="003A1A2D">
        <w:rPr>
          <w:sz w:val="18"/>
          <w:szCs w:val="18"/>
        </w:rPr>
        <w:t>) assay</w:t>
      </w:r>
      <w:r w:rsidR="00A5212A" w:rsidRPr="003A1A2D">
        <w:rPr>
          <w:sz w:val="18"/>
          <w:szCs w:val="18"/>
        </w:rPr>
        <w:t>s</w:t>
      </w:r>
      <w:r w:rsidR="00890764" w:rsidRPr="003A1A2D">
        <w:rPr>
          <w:sz w:val="18"/>
          <w:szCs w:val="18"/>
        </w:rPr>
        <w:t xml:space="preserve"> showed that when MDCK-II cells were incubated with PNA-00 and PNA-25 for 72 hours, at concentrations ranging from 0.04 mg ml</w:t>
      </w:r>
      <w:r w:rsidR="00890764" w:rsidRPr="003A1A2D">
        <w:rPr>
          <w:sz w:val="18"/>
          <w:szCs w:val="18"/>
          <w:vertAlign w:val="superscript"/>
        </w:rPr>
        <w:t>-1</w:t>
      </w:r>
      <w:r w:rsidR="00890764" w:rsidRPr="003A1A2D">
        <w:rPr>
          <w:sz w:val="18"/>
          <w:szCs w:val="18"/>
        </w:rPr>
        <w:t xml:space="preserve"> to 10 mg ml</w:t>
      </w:r>
      <w:r w:rsidR="00890764" w:rsidRPr="003A1A2D">
        <w:rPr>
          <w:sz w:val="18"/>
          <w:szCs w:val="18"/>
          <w:vertAlign w:val="superscript"/>
        </w:rPr>
        <w:t>-1</w:t>
      </w:r>
      <w:r w:rsidR="00890764" w:rsidRPr="003A1A2D">
        <w:rPr>
          <w:sz w:val="18"/>
          <w:szCs w:val="18"/>
        </w:rPr>
        <w:t>, no sign of cell toxicity could be detected. The positive control rotenone was characterised by reduced cell viability compared to the control at all tested concentrations (from 0.19 µM to 100 µM). It can be concluded that the MTT assay could correctly detect reduction of mitochondrial activity in the presence of PNA-00 and PNA-25 and lack of direct effect on this cell function in the presence of rotenone. The ATP assay could measure the cell viability by measuring the luminescent signal given out when beetle luciferin is oxidised to oxyluciferin in the presence of ATP obtai</w:t>
      </w:r>
      <w:r w:rsidR="00A5212A" w:rsidRPr="003A1A2D">
        <w:rPr>
          <w:sz w:val="18"/>
          <w:szCs w:val="18"/>
        </w:rPr>
        <w:t xml:space="preserve">ned from the cells after lysis. </w:t>
      </w:r>
      <w:r w:rsidR="00890764" w:rsidRPr="003A1A2D">
        <w:rPr>
          <w:sz w:val="18"/>
          <w:szCs w:val="18"/>
        </w:rPr>
        <w:t>Considering the nature of the MTT and ATP assay, other cytotoxic effects cannot be dismissed; consequently, future investigations to support the development of PNA-00 and PNA-25 clinical applications should include a comprehensive evaluation of cellular, immunological and tissue toxicities.</w:t>
      </w:r>
    </w:p>
    <w:p w:rsidR="00890764" w:rsidRPr="003A1A2D" w:rsidRDefault="00890764" w:rsidP="00890764">
      <w:pPr>
        <w:jc w:val="both"/>
        <w:outlineLvl w:val="0"/>
        <w:rPr>
          <w:b/>
          <w:bCs/>
          <w:sz w:val="18"/>
          <w:szCs w:val="18"/>
        </w:rPr>
      </w:pPr>
      <w:r w:rsidRPr="003A1A2D">
        <w:rPr>
          <w:b/>
          <w:bCs/>
          <w:sz w:val="24"/>
          <w:szCs w:val="18"/>
        </w:rPr>
        <w:t>Conclusion</w:t>
      </w:r>
    </w:p>
    <w:p w:rsidR="00890764" w:rsidRPr="003A1A2D" w:rsidRDefault="00890764" w:rsidP="00890764">
      <w:pPr>
        <w:jc w:val="both"/>
        <w:outlineLvl w:val="0"/>
        <w:rPr>
          <w:color w:val="000000" w:themeColor="text1"/>
          <w:sz w:val="18"/>
          <w:szCs w:val="18"/>
        </w:rPr>
      </w:pPr>
      <w:r w:rsidRPr="003A1A2D">
        <w:rPr>
          <w:bCs/>
          <w:color w:val="000000" w:themeColor="text1"/>
          <w:sz w:val="18"/>
          <w:szCs w:val="18"/>
        </w:rPr>
        <w:t xml:space="preserve">PNIPAm and PNIPAm-co-AlA microgels were found to provide a long term sustained release of the hydrophobic drug LPV and its SDN </w:t>
      </w:r>
      <w:r w:rsidRPr="003A1A2D">
        <w:rPr>
          <w:bCs/>
          <w:color w:val="000000" w:themeColor="text1"/>
          <w:sz w:val="18"/>
          <w:szCs w:val="18"/>
        </w:rPr>
        <w:t xml:space="preserve">form. </w:t>
      </w:r>
      <w:r w:rsidRPr="003A1A2D">
        <w:rPr>
          <w:color w:val="000000" w:themeColor="text1"/>
          <w:sz w:val="18"/>
          <w:szCs w:val="18"/>
        </w:rPr>
        <w:t xml:space="preserve">PNIPAm microgels could be formulated to contain a nanoparticulate payload to form an injectable nanocomposite material in response to a dual stimulus of temperature and salt. The system overcomes some of the common problems associated with ISFI that have previously been developed. For example, the formulation with drug was simple to perform, it was easily injectable through a minimally invasive hypodermic needle, showed minimal burst release, and mechanical stability throughout the release. Sustained release of drug from the material was also maintained for a period of at least 120 days. The potential to easily tune the release rate from the system by adjusting the ratio of the two microgel species PNA-00 and PNA-25, or enhance the release rate of the drug by using the form of SDNs was also demonstrated. This drug delivery system should be applicable to other hydrophobic drugs, and cytotoxicity is not an issue. </w:t>
      </w:r>
    </w:p>
    <w:p w:rsidR="00890764" w:rsidRPr="003A1A2D" w:rsidRDefault="00890764" w:rsidP="00890764">
      <w:pPr>
        <w:jc w:val="both"/>
        <w:outlineLvl w:val="0"/>
        <w:rPr>
          <w:bCs/>
          <w:color w:val="FF0000"/>
          <w:sz w:val="18"/>
          <w:szCs w:val="18"/>
        </w:rPr>
      </w:pPr>
      <w:r w:rsidRPr="003A1A2D">
        <w:rPr>
          <w:color w:val="000000" w:themeColor="text1"/>
          <w:sz w:val="18"/>
          <w:szCs w:val="18"/>
        </w:rPr>
        <w:t xml:space="preserve">This makes the system a suitable candidate as an ISFI for hydrophobic drugs and SDNs, where injections could possibly be given as infrequently as twice a year to improve adherence rates in the treatment of long term and particularly chronic conditions. The inflammation response at the depot site still requires investigation. There is also the potential release multiple drugs as a combination therapy. </w:t>
      </w:r>
    </w:p>
    <w:p w:rsidR="00890764" w:rsidRPr="003A1A2D" w:rsidRDefault="00890764" w:rsidP="00890764">
      <w:pPr>
        <w:jc w:val="both"/>
        <w:outlineLvl w:val="0"/>
        <w:rPr>
          <w:b/>
          <w:bCs/>
          <w:sz w:val="24"/>
          <w:szCs w:val="18"/>
        </w:rPr>
      </w:pPr>
      <w:r w:rsidRPr="003A1A2D">
        <w:rPr>
          <w:b/>
          <w:bCs/>
          <w:sz w:val="24"/>
          <w:szCs w:val="18"/>
        </w:rPr>
        <w:t>Acknowledgements</w:t>
      </w:r>
    </w:p>
    <w:p w:rsidR="00890764" w:rsidRPr="003A1A2D" w:rsidRDefault="00890764" w:rsidP="00890764">
      <w:pPr>
        <w:jc w:val="both"/>
        <w:rPr>
          <w:bCs/>
          <w:color w:val="FF0000"/>
          <w:sz w:val="18"/>
          <w:szCs w:val="18"/>
        </w:rPr>
      </w:pPr>
      <w:r w:rsidRPr="003A1A2D">
        <w:rPr>
          <w:bCs/>
          <w:sz w:val="18"/>
          <w:szCs w:val="18"/>
        </w:rPr>
        <w:t>We gratefully acknowledge financial support from the EPSRC (Grant Number EP/M01973X/1) and a DTA studentship, and the Royal Society (RG140213). The authors would also like to thank the Centre for Materials Discovery and Prof. Steve Rannard for access to equipment and technical suppo</w:t>
      </w:r>
      <w:r w:rsidRPr="003A1A2D">
        <w:rPr>
          <w:bCs/>
          <w:color w:val="000000" w:themeColor="text1"/>
          <w:sz w:val="18"/>
          <w:szCs w:val="18"/>
        </w:rPr>
        <w:t>rt. Additionally, we thank Prof. Peter Myers and Richard Hayes for HPLC technical support.</w:t>
      </w:r>
      <w:r w:rsidR="00306808" w:rsidRPr="003A1A2D">
        <w:rPr>
          <w:bCs/>
          <w:color w:val="FF0000"/>
          <w:sz w:val="18"/>
          <w:szCs w:val="18"/>
        </w:rPr>
        <w:t xml:space="preserve"> </w:t>
      </w:r>
    </w:p>
    <w:p w:rsidR="00890764" w:rsidRPr="003A1A2D" w:rsidRDefault="00890764" w:rsidP="00890764">
      <w:pPr>
        <w:jc w:val="both"/>
        <w:outlineLvl w:val="0"/>
        <w:rPr>
          <w:b/>
          <w:sz w:val="24"/>
          <w:szCs w:val="18"/>
        </w:rPr>
      </w:pPr>
      <w:r w:rsidRPr="003A1A2D">
        <w:rPr>
          <w:b/>
          <w:sz w:val="24"/>
          <w:szCs w:val="18"/>
        </w:rPr>
        <w:t>References</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1</w:t>
      </w:r>
      <w:r w:rsidRPr="003A1A2D">
        <w:rPr>
          <w:rFonts w:ascii="Calibri" w:hAnsi="Calibri" w:cs="Times New Roman"/>
          <w:noProof/>
          <w:sz w:val="18"/>
          <w:szCs w:val="24"/>
        </w:rPr>
        <w:tab/>
        <w:t xml:space="preserve">Sabaté E, </w:t>
      </w:r>
      <w:r w:rsidRPr="003A1A2D">
        <w:rPr>
          <w:rFonts w:ascii="Calibri" w:hAnsi="Calibri" w:cs="Times New Roman"/>
          <w:i/>
          <w:iCs/>
          <w:noProof/>
          <w:sz w:val="18"/>
          <w:szCs w:val="24"/>
        </w:rPr>
        <w:t>Adherence to Long-Term Therapies: Evidence for Action</w:t>
      </w:r>
      <w:r w:rsidRPr="003A1A2D">
        <w:rPr>
          <w:rFonts w:ascii="Calibri" w:hAnsi="Calibri" w:cs="Times New Roman"/>
          <w:noProof/>
          <w:sz w:val="18"/>
          <w:szCs w:val="24"/>
        </w:rPr>
        <w:t>, Geneva, Switzerland: World Health Organisation, 2003.</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2</w:t>
      </w:r>
      <w:r w:rsidRPr="003A1A2D">
        <w:rPr>
          <w:rFonts w:ascii="Calibri" w:hAnsi="Calibri" w:cs="Times New Roman"/>
          <w:noProof/>
          <w:sz w:val="18"/>
          <w:szCs w:val="24"/>
        </w:rPr>
        <w:tab/>
        <w:t xml:space="preserve">M. R. DiMatteo, </w:t>
      </w:r>
      <w:r w:rsidRPr="003A1A2D">
        <w:rPr>
          <w:rFonts w:ascii="Calibri" w:hAnsi="Calibri" w:cs="Times New Roman"/>
          <w:i/>
          <w:iCs/>
          <w:noProof/>
          <w:sz w:val="18"/>
          <w:szCs w:val="24"/>
        </w:rPr>
        <w:t>Med. Care</w:t>
      </w:r>
      <w:r w:rsidRPr="003A1A2D">
        <w:rPr>
          <w:rFonts w:ascii="Calibri" w:hAnsi="Calibri" w:cs="Times New Roman"/>
          <w:noProof/>
          <w:sz w:val="18"/>
          <w:szCs w:val="24"/>
        </w:rPr>
        <w:t xml:space="preserve">, 2004, </w:t>
      </w:r>
      <w:r w:rsidRPr="003A1A2D">
        <w:rPr>
          <w:rFonts w:ascii="Calibri" w:hAnsi="Calibri" w:cs="Times New Roman"/>
          <w:b/>
          <w:bCs/>
          <w:noProof/>
          <w:sz w:val="18"/>
          <w:szCs w:val="24"/>
        </w:rPr>
        <w:t>42</w:t>
      </w:r>
      <w:r w:rsidRPr="003A1A2D">
        <w:rPr>
          <w:rFonts w:ascii="Calibri" w:hAnsi="Calibri" w:cs="Times New Roman"/>
          <w:noProof/>
          <w:sz w:val="18"/>
          <w:szCs w:val="24"/>
        </w:rPr>
        <w:t>, 200–209.</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3</w:t>
      </w:r>
      <w:r w:rsidRPr="003A1A2D">
        <w:rPr>
          <w:rFonts w:ascii="Calibri" w:hAnsi="Calibri" w:cs="Times New Roman"/>
          <w:noProof/>
          <w:sz w:val="18"/>
          <w:szCs w:val="24"/>
        </w:rPr>
        <w:tab/>
        <w:t xml:space="preserve">A. J. Claxton, J. Cramer and C. Pierce, </w:t>
      </w:r>
      <w:r w:rsidRPr="003A1A2D">
        <w:rPr>
          <w:rFonts w:ascii="Calibri" w:hAnsi="Calibri" w:cs="Times New Roman"/>
          <w:i/>
          <w:iCs/>
          <w:noProof/>
          <w:sz w:val="18"/>
          <w:szCs w:val="24"/>
        </w:rPr>
        <w:t>Clin. Ther.</w:t>
      </w:r>
      <w:r w:rsidRPr="003A1A2D">
        <w:rPr>
          <w:rFonts w:ascii="Calibri" w:hAnsi="Calibri" w:cs="Times New Roman"/>
          <w:noProof/>
          <w:sz w:val="18"/>
          <w:szCs w:val="24"/>
        </w:rPr>
        <w:t xml:space="preserve">, 2001, </w:t>
      </w:r>
      <w:r w:rsidRPr="003A1A2D">
        <w:rPr>
          <w:rFonts w:ascii="Calibri" w:hAnsi="Calibri" w:cs="Times New Roman"/>
          <w:b/>
          <w:bCs/>
          <w:noProof/>
          <w:sz w:val="18"/>
          <w:szCs w:val="24"/>
        </w:rPr>
        <w:t>23</w:t>
      </w:r>
      <w:r w:rsidRPr="003A1A2D">
        <w:rPr>
          <w:rFonts w:ascii="Calibri" w:hAnsi="Calibri" w:cs="Times New Roman"/>
          <w:noProof/>
          <w:sz w:val="18"/>
          <w:szCs w:val="24"/>
        </w:rPr>
        <w:t>, 1296–1310.</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4</w:t>
      </w:r>
      <w:r w:rsidRPr="003A1A2D">
        <w:rPr>
          <w:rFonts w:ascii="Calibri" w:hAnsi="Calibri" w:cs="Times New Roman"/>
          <w:noProof/>
          <w:sz w:val="18"/>
          <w:szCs w:val="24"/>
        </w:rPr>
        <w:tab/>
        <w:t xml:space="preserve">B. Winner, J. F. Peipert, Q. Zhao, C. Buckel, T. Madden, J. E. Allsworth and G. M. Secura, </w:t>
      </w:r>
      <w:r w:rsidRPr="003A1A2D">
        <w:rPr>
          <w:rFonts w:ascii="Calibri" w:hAnsi="Calibri" w:cs="Times New Roman"/>
          <w:i/>
          <w:iCs/>
          <w:noProof/>
          <w:sz w:val="18"/>
          <w:szCs w:val="24"/>
        </w:rPr>
        <w:t>N. Engl. J. Med.</w:t>
      </w:r>
      <w:r w:rsidRPr="003A1A2D">
        <w:rPr>
          <w:rFonts w:ascii="Calibri" w:hAnsi="Calibri" w:cs="Times New Roman"/>
          <w:noProof/>
          <w:sz w:val="18"/>
          <w:szCs w:val="24"/>
        </w:rPr>
        <w:t xml:space="preserve">, 2012, </w:t>
      </w:r>
      <w:r w:rsidRPr="003A1A2D">
        <w:rPr>
          <w:rFonts w:ascii="Calibri" w:hAnsi="Calibri" w:cs="Times New Roman"/>
          <w:b/>
          <w:bCs/>
          <w:noProof/>
          <w:sz w:val="18"/>
          <w:szCs w:val="24"/>
        </w:rPr>
        <w:t>366</w:t>
      </w:r>
      <w:r w:rsidRPr="003A1A2D">
        <w:rPr>
          <w:rFonts w:ascii="Calibri" w:hAnsi="Calibri" w:cs="Times New Roman"/>
          <w:noProof/>
          <w:sz w:val="18"/>
          <w:szCs w:val="24"/>
        </w:rPr>
        <w:t>, 1998–2007.</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5</w:t>
      </w:r>
      <w:r w:rsidRPr="003A1A2D">
        <w:rPr>
          <w:rFonts w:ascii="Calibri" w:hAnsi="Calibri" w:cs="Times New Roman"/>
          <w:noProof/>
          <w:sz w:val="18"/>
          <w:szCs w:val="24"/>
        </w:rPr>
        <w:tab/>
        <w:t xml:space="preserve">G. Rossi, S. Frediani, R. Rossi and A. Rossi, </w:t>
      </w:r>
      <w:r w:rsidRPr="003A1A2D">
        <w:rPr>
          <w:rFonts w:ascii="Calibri" w:hAnsi="Calibri" w:cs="Times New Roman"/>
          <w:i/>
          <w:iCs/>
          <w:noProof/>
          <w:sz w:val="18"/>
          <w:szCs w:val="24"/>
        </w:rPr>
        <w:t>BMC Psychiatry</w:t>
      </w:r>
      <w:r w:rsidRPr="003A1A2D">
        <w:rPr>
          <w:rFonts w:ascii="Calibri" w:hAnsi="Calibri" w:cs="Times New Roman"/>
          <w:noProof/>
          <w:sz w:val="18"/>
          <w:szCs w:val="24"/>
        </w:rPr>
        <w:t xml:space="preserve">, 2012, </w:t>
      </w:r>
      <w:r w:rsidRPr="003A1A2D">
        <w:rPr>
          <w:rFonts w:ascii="Calibri" w:hAnsi="Calibri" w:cs="Times New Roman"/>
          <w:b/>
          <w:bCs/>
          <w:noProof/>
          <w:sz w:val="18"/>
          <w:szCs w:val="24"/>
        </w:rPr>
        <w:t>12</w:t>
      </w:r>
      <w:r w:rsidRPr="003A1A2D">
        <w:rPr>
          <w:rFonts w:ascii="Calibri" w:hAnsi="Calibri" w:cs="Times New Roman"/>
          <w:noProof/>
          <w:sz w:val="18"/>
          <w:szCs w:val="24"/>
        </w:rPr>
        <w:t>, 122.</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6</w:t>
      </w:r>
      <w:r w:rsidRPr="003A1A2D">
        <w:rPr>
          <w:rFonts w:ascii="Calibri" w:hAnsi="Calibri" w:cs="Times New Roman"/>
          <w:noProof/>
          <w:sz w:val="18"/>
          <w:szCs w:val="24"/>
        </w:rPr>
        <w:tab/>
        <w:t xml:space="preserve">S. Rietveld and J. M. Koomen, </w:t>
      </w:r>
      <w:r w:rsidRPr="003A1A2D">
        <w:rPr>
          <w:rFonts w:ascii="Calibri" w:hAnsi="Calibri" w:cs="Times New Roman"/>
          <w:i/>
          <w:iCs/>
          <w:noProof/>
          <w:sz w:val="18"/>
          <w:szCs w:val="24"/>
        </w:rPr>
        <w:t>Dis Manag. Heal. Outcomes</w:t>
      </w:r>
      <w:r w:rsidRPr="003A1A2D">
        <w:rPr>
          <w:rFonts w:ascii="Calibri" w:hAnsi="Calibri" w:cs="Times New Roman"/>
          <w:noProof/>
          <w:sz w:val="18"/>
          <w:szCs w:val="24"/>
        </w:rPr>
        <w:t xml:space="preserve">, 2002, </w:t>
      </w:r>
      <w:r w:rsidRPr="003A1A2D">
        <w:rPr>
          <w:rFonts w:ascii="Calibri" w:hAnsi="Calibri" w:cs="Times New Roman"/>
          <w:b/>
          <w:bCs/>
          <w:noProof/>
          <w:sz w:val="18"/>
          <w:szCs w:val="24"/>
        </w:rPr>
        <w:t>10</w:t>
      </w:r>
      <w:r w:rsidRPr="003A1A2D">
        <w:rPr>
          <w:rFonts w:ascii="Calibri" w:hAnsi="Calibri" w:cs="Times New Roman"/>
          <w:noProof/>
          <w:sz w:val="18"/>
          <w:szCs w:val="24"/>
        </w:rPr>
        <w:t>, 621–630.</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7</w:t>
      </w:r>
      <w:r w:rsidRPr="003A1A2D">
        <w:rPr>
          <w:rFonts w:ascii="Calibri" w:hAnsi="Calibri" w:cs="Times New Roman"/>
          <w:noProof/>
          <w:sz w:val="18"/>
          <w:szCs w:val="24"/>
        </w:rPr>
        <w:tab/>
        <w:t xml:space="preserve">C. M. Negrín, A. Delgado, M. Llabrés and C. Évora, </w:t>
      </w:r>
      <w:r w:rsidRPr="003A1A2D">
        <w:rPr>
          <w:rFonts w:ascii="Calibri" w:hAnsi="Calibri" w:cs="Times New Roman"/>
          <w:i/>
          <w:iCs/>
          <w:noProof/>
          <w:sz w:val="18"/>
          <w:szCs w:val="24"/>
        </w:rPr>
        <w:t>Biomaterials</w:t>
      </w:r>
      <w:r w:rsidRPr="003A1A2D">
        <w:rPr>
          <w:rFonts w:ascii="Calibri" w:hAnsi="Calibri" w:cs="Times New Roman"/>
          <w:noProof/>
          <w:sz w:val="18"/>
          <w:szCs w:val="24"/>
        </w:rPr>
        <w:t xml:space="preserve">, 2001, </w:t>
      </w:r>
      <w:r w:rsidRPr="003A1A2D">
        <w:rPr>
          <w:rFonts w:ascii="Calibri" w:hAnsi="Calibri" w:cs="Times New Roman"/>
          <w:b/>
          <w:bCs/>
          <w:noProof/>
          <w:sz w:val="18"/>
          <w:szCs w:val="24"/>
        </w:rPr>
        <w:t>22</w:t>
      </w:r>
      <w:r w:rsidRPr="003A1A2D">
        <w:rPr>
          <w:rFonts w:ascii="Calibri" w:hAnsi="Calibri" w:cs="Times New Roman"/>
          <w:noProof/>
          <w:sz w:val="18"/>
          <w:szCs w:val="24"/>
        </w:rPr>
        <w:t>, 563–570.</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8</w:t>
      </w:r>
      <w:r w:rsidRPr="003A1A2D">
        <w:rPr>
          <w:rFonts w:ascii="Calibri" w:hAnsi="Calibri" w:cs="Times New Roman"/>
          <w:noProof/>
          <w:sz w:val="18"/>
          <w:szCs w:val="24"/>
        </w:rPr>
        <w:tab/>
        <w:t xml:space="preserve">A. L. Kjøniksen, M. T. Calejo, K. Zhu, A. M. S. Cardoso, M. C. </w:t>
      </w:r>
      <w:r w:rsidRPr="003A1A2D">
        <w:rPr>
          <w:rFonts w:ascii="Calibri" w:hAnsi="Calibri" w:cs="Times New Roman"/>
          <w:noProof/>
          <w:sz w:val="18"/>
          <w:szCs w:val="24"/>
        </w:rPr>
        <w:lastRenderedPageBreak/>
        <w:t xml:space="preserve">P. De Lima, A. S. Jurado, B. Nyström and S. A. Sande, </w:t>
      </w:r>
      <w:r w:rsidRPr="003A1A2D">
        <w:rPr>
          <w:rFonts w:ascii="Calibri" w:hAnsi="Calibri" w:cs="Times New Roman"/>
          <w:i/>
          <w:iCs/>
          <w:noProof/>
          <w:sz w:val="18"/>
          <w:szCs w:val="24"/>
        </w:rPr>
        <w:t>J. Pharm. Sci.</w:t>
      </w:r>
      <w:r w:rsidRPr="003A1A2D">
        <w:rPr>
          <w:rFonts w:ascii="Calibri" w:hAnsi="Calibri" w:cs="Times New Roman"/>
          <w:noProof/>
          <w:sz w:val="18"/>
          <w:szCs w:val="24"/>
        </w:rPr>
        <w:t xml:space="preserve">, 2014, </w:t>
      </w:r>
      <w:r w:rsidRPr="003A1A2D">
        <w:rPr>
          <w:rFonts w:ascii="Calibri" w:hAnsi="Calibri" w:cs="Times New Roman"/>
          <w:b/>
          <w:bCs/>
          <w:noProof/>
          <w:sz w:val="18"/>
          <w:szCs w:val="24"/>
        </w:rPr>
        <w:t>103</w:t>
      </w:r>
      <w:r w:rsidRPr="003A1A2D">
        <w:rPr>
          <w:rFonts w:ascii="Calibri" w:hAnsi="Calibri" w:cs="Times New Roman"/>
          <w:noProof/>
          <w:sz w:val="18"/>
          <w:szCs w:val="24"/>
        </w:rPr>
        <w:t>, 227–234.</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9</w:t>
      </w:r>
      <w:r w:rsidRPr="003A1A2D">
        <w:rPr>
          <w:rFonts w:ascii="Calibri" w:hAnsi="Calibri" w:cs="Times New Roman"/>
          <w:noProof/>
          <w:sz w:val="18"/>
          <w:szCs w:val="24"/>
        </w:rPr>
        <w:tab/>
        <w:t xml:space="preserve">J. F. Remenar, </w:t>
      </w:r>
      <w:r w:rsidRPr="003A1A2D">
        <w:rPr>
          <w:rFonts w:ascii="Calibri" w:hAnsi="Calibri" w:cs="Times New Roman"/>
          <w:i/>
          <w:iCs/>
          <w:noProof/>
          <w:sz w:val="18"/>
          <w:szCs w:val="24"/>
        </w:rPr>
        <w:t>Mol. Pharm.</w:t>
      </w:r>
      <w:r w:rsidRPr="003A1A2D">
        <w:rPr>
          <w:rFonts w:ascii="Calibri" w:hAnsi="Calibri" w:cs="Times New Roman"/>
          <w:noProof/>
          <w:sz w:val="18"/>
          <w:szCs w:val="24"/>
        </w:rPr>
        <w:t xml:space="preserve">, 2014, </w:t>
      </w:r>
      <w:r w:rsidRPr="003A1A2D">
        <w:rPr>
          <w:rFonts w:ascii="Calibri" w:hAnsi="Calibri" w:cs="Times New Roman"/>
          <w:b/>
          <w:bCs/>
          <w:noProof/>
          <w:sz w:val="18"/>
          <w:szCs w:val="24"/>
        </w:rPr>
        <w:t>11</w:t>
      </w:r>
      <w:r w:rsidRPr="003A1A2D">
        <w:rPr>
          <w:rFonts w:ascii="Calibri" w:hAnsi="Calibri" w:cs="Times New Roman"/>
          <w:noProof/>
          <w:sz w:val="18"/>
          <w:szCs w:val="24"/>
        </w:rPr>
        <w:t>, 1739–1749.</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10</w:t>
      </w:r>
      <w:r w:rsidRPr="003A1A2D">
        <w:rPr>
          <w:rFonts w:ascii="Calibri" w:hAnsi="Calibri" w:cs="Times New Roman"/>
          <w:noProof/>
          <w:sz w:val="18"/>
          <w:szCs w:val="24"/>
        </w:rPr>
        <w:tab/>
        <w:t xml:space="preserve">J. C. Wright and D. J. Burgess, </w:t>
      </w:r>
      <w:r w:rsidRPr="003A1A2D">
        <w:rPr>
          <w:rFonts w:ascii="Calibri" w:hAnsi="Calibri" w:cs="Times New Roman"/>
          <w:i/>
          <w:iCs/>
          <w:noProof/>
          <w:sz w:val="18"/>
          <w:szCs w:val="24"/>
        </w:rPr>
        <w:t>Long Acting Injections and Implants</w:t>
      </w:r>
      <w:r w:rsidRPr="003A1A2D">
        <w:rPr>
          <w:rFonts w:ascii="Calibri" w:hAnsi="Calibri" w:cs="Times New Roman"/>
          <w:noProof/>
          <w:sz w:val="18"/>
          <w:szCs w:val="24"/>
        </w:rPr>
        <w:t>, Springer-Verlag, Berlin, 2012.</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11</w:t>
      </w:r>
      <w:r w:rsidRPr="003A1A2D">
        <w:rPr>
          <w:rFonts w:ascii="Calibri" w:hAnsi="Calibri" w:cs="Times New Roman"/>
          <w:noProof/>
          <w:sz w:val="18"/>
          <w:szCs w:val="24"/>
        </w:rPr>
        <w:tab/>
        <w:t xml:space="preserve">S. Freiberg and X. X. Zhu, </w:t>
      </w:r>
      <w:r w:rsidRPr="003A1A2D">
        <w:rPr>
          <w:rFonts w:ascii="Calibri" w:hAnsi="Calibri" w:cs="Times New Roman"/>
          <w:i/>
          <w:iCs/>
          <w:noProof/>
          <w:sz w:val="18"/>
          <w:szCs w:val="24"/>
        </w:rPr>
        <w:t>Int. J. Pharm.</w:t>
      </w:r>
      <w:r w:rsidRPr="003A1A2D">
        <w:rPr>
          <w:rFonts w:ascii="Calibri" w:hAnsi="Calibri" w:cs="Times New Roman"/>
          <w:noProof/>
          <w:sz w:val="18"/>
          <w:szCs w:val="24"/>
        </w:rPr>
        <w:t xml:space="preserve">, 2004, </w:t>
      </w:r>
      <w:r w:rsidRPr="003A1A2D">
        <w:rPr>
          <w:rFonts w:ascii="Calibri" w:hAnsi="Calibri" w:cs="Times New Roman"/>
          <w:b/>
          <w:bCs/>
          <w:noProof/>
          <w:sz w:val="18"/>
          <w:szCs w:val="24"/>
        </w:rPr>
        <w:t>282</w:t>
      </w:r>
      <w:r w:rsidRPr="003A1A2D">
        <w:rPr>
          <w:rFonts w:ascii="Calibri" w:hAnsi="Calibri" w:cs="Times New Roman"/>
          <w:noProof/>
          <w:sz w:val="18"/>
          <w:szCs w:val="24"/>
        </w:rPr>
        <w:t>, 1–18.</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12</w:t>
      </w:r>
      <w:r w:rsidRPr="003A1A2D">
        <w:rPr>
          <w:rFonts w:ascii="Calibri" w:hAnsi="Calibri" w:cs="Times New Roman"/>
          <w:noProof/>
          <w:sz w:val="18"/>
          <w:szCs w:val="24"/>
        </w:rPr>
        <w:tab/>
        <w:t xml:space="preserve">A. S. Hoffman, </w:t>
      </w:r>
      <w:r w:rsidRPr="003A1A2D">
        <w:rPr>
          <w:rFonts w:ascii="Calibri" w:hAnsi="Calibri" w:cs="Times New Roman"/>
          <w:i/>
          <w:iCs/>
          <w:noProof/>
          <w:sz w:val="18"/>
          <w:szCs w:val="24"/>
        </w:rPr>
        <w:t>J. Control. Release</w:t>
      </w:r>
      <w:r w:rsidRPr="003A1A2D">
        <w:rPr>
          <w:rFonts w:ascii="Calibri" w:hAnsi="Calibri" w:cs="Times New Roman"/>
          <w:noProof/>
          <w:sz w:val="18"/>
          <w:szCs w:val="24"/>
        </w:rPr>
        <w:t xml:space="preserve">, 2008, </w:t>
      </w:r>
      <w:r w:rsidRPr="003A1A2D">
        <w:rPr>
          <w:rFonts w:ascii="Calibri" w:hAnsi="Calibri" w:cs="Times New Roman"/>
          <w:b/>
          <w:bCs/>
          <w:noProof/>
          <w:sz w:val="18"/>
          <w:szCs w:val="24"/>
        </w:rPr>
        <w:t>132</w:t>
      </w:r>
      <w:r w:rsidRPr="003A1A2D">
        <w:rPr>
          <w:rFonts w:ascii="Calibri" w:hAnsi="Calibri" w:cs="Times New Roman"/>
          <w:noProof/>
          <w:sz w:val="18"/>
          <w:szCs w:val="24"/>
        </w:rPr>
        <w:t>, 153–163.</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13</w:t>
      </w:r>
      <w:r w:rsidRPr="003A1A2D">
        <w:rPr>
          <w:rFonts w:ascii="Calibri" w:hAnsi="Calibri" w:cs="Times New Roman"/>
          <w:noProof/>
          <w:sz w:val="18"/>
          <w:szCs w:val="24"/>
        </w:rPr>
        <w:tab/>
        <w:t xml:space="preserve">R. K. Subedi, S. Y. Oh, M.-K. Chun and H.-K. Choi, </w:t>
      </w:r>
      <w:r w:rsidRPr="003A1A2D">
        <w:rPr>
          <w:rFonts w:ascii="Calibri" w:hAnsi="Calibri" w:cs="Times New Roman"/>
          <w:i/>
          <w:iCs/>
          <w:noProof/>
          <w:sz w:val="18"/>
          <w:szCs w:val="24"/>
        </w:rPr>
        <w:t>Arch. Pharm. Res.</w:t>
      </w:r>
      <w:r w:rsidRPr="003A1A2D">
        <w:rPr>
          <w:rFonts w:ascii="Calibri" w:hAnsi="Calibri" w:cs="Times New Roman"/>
          <w:noProof/>
          <w:sz w:val="18"/>
          <w:szCs w:val="24"/>
        </w:rPr>
        <w:t xml:space="preserve">, 2010, </w:t>
      </w:r>
      <w:r w:rsidRPr="003A1A2D">
        <w:rPr>
          <w:rFonts w:ascii="Calibri" w:hAnsi="Calibri" w:cs="Times New Roman"/>
          <w:b/>
          <w:bCs/>
          <w:noProof/>
          <w:sz w:val="18"/>
          <w:szCs w:val="24"/>
        </w:rPr>
        <w:t>33</w:t>
      </w:r>
      <w:r w:rsidRPr="003A1A2D">
        <w:rPr>
          <w:rFonts w:ascii="Calibri" w:hAnsi="Calibri" w:cs="Times New Roman"/>
          <w:noProof/>
          <w:sz w:val="18"/>
          <w:szCs w:val="24"/>
        </w:rPr>
        <w:t>, 339–51.</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14</w:t>
      </w:r>
      <w:r w:rsidRPr="003A1A2D">
        <w:rPr>
          <w:rFonts w:ascii="Calibri" w:hAnsi="Calibri" w:cs="Times New Roman"/>
          <w:noProof/>
          <w:sz w:val="18"/>
          <w:szCs w:val="24"/>
        </w:rPr>
        <w:tab/>
        <w:t xml:space="preserve">C. B. Packhaeuser, J. Schnieders, C. G. Oster and T. Kissel, </w:t>
      </w:r>
      <w:r w:rsidRPr="003A1A2D">
        <w:rPr>
          <w:rFonts w:ascii="Calibri" w:hAnsi="Calibri" w:cs="Times New Roman"/>
          <w:i/>
          <w:iCs/>
          <w:noProof/>
          <w:sz w:val="18"/>
          <w:szCs w:val="24"/>
        </w:rPr>
        <w:t>Eur. J. Pharm. Biopharm.</w:t>
      </w:r>
      <w:r w:rsidRPr="003A1A2D">
        <w:rPr>
          <w:rFonts w:ascii="Calibri" w:hAnsi="Calibri" w:cs="Times New Roman"/>
          <w:noProof/>
          <w:sz w:val="18"/>
          <w:szCs w:val="24"/>
        </w:rPr>
        <w:t xml:space="preserve">, 2004, </w:t>
      </w:r>
      <w:r w:rsidRPr="003A1A2D">
        <w:rPr>
          <w:rFonts w:ascii="Calibri" w:hAnsi="Calibri" w:cs="Times New Roman"/>
          <w:b/>
          <w:bCs/>
          <w:noProof/>
          <w:sz w:val="18"/>
          <w:szCs w:val="24"/>
        </w:rPr>
        <w:t>58</w:t>
      </w:r>
      <w:r w:rsidRPr="003A1A2D">
        <w:rPr>
          <w:rFonts w:ascii="Calibri" w:hAnsi="Calibri" w:cs="Times New Roman"/>
          <w:noProof/>
          <w:sz w:val="18"/>
          <w:szCs w:val="24"/>
        </w:rPr>
        <w:t>, 445–455.</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15</w:t>
      </w:r>
      <w:r w:rsidRPr="003A1A2D">
        <w:rPr>
          <w:rFonts w:ascii="Calibri" w:hAnsi="Calibri" w:cs="Times New Roman"/>
          <w:noProof/>
          <w:sz w:val="18"/>
          <w:szCs w:val="24"/>
        </w:rPr>
        <w:tab/>
        <w:t xml:space="preserve">A. Chenite, C. Chaput, D. Wang, C. Combes, M. . Buschmann, C. . Hoemann, J. . Leroux, B. . Atkinson, F. Binette and A. Selmani, </w:t>
      </w:r>
      <w:r w:rsidRPr="003A1A2D">
        <w:rPr>
          <w:rFonts w:ascii="Calibri" w:hAnsi="Calibri" w:cs="Times New Roman"/>
          <w:i/>
          <w:iCs/>
          <w:noProof/>
          <w:sz w:val="18"/>
          <w:szCs w:val="24"/>
        </w:rPr>
        <w:t>Biomaterials</w:t>
      </w:r>
      <w:r w:rsidRPr="003A1A2D">
        <w:rPr>
          <w:rFonts w:ascii="Calibri" w:hAnsi="Calibri" w:cs="Times New Roman"/>
          <w:noProof/>
          <w:sz w:val="18"/>
          <w:szCs w:val="24"/>
        </w:rPr>
        <w:t xml:space="preserve">, 2000, </w:t>
      </w:r>
      <w:r w:rsidRPr="003A1A2D">
        <w:rPr>
          <w:rFonts w:ascii="Calibri" w:hAnsi="Calibri" w:cs="Times New Roman"/>
          <w:b/>
          <w:bCs/>
          <w:noProof/>
          <w:sz w:val="18"/>
          <w:szCs w:val="24"/>
        </w:rPr>
        <w:t>21</w:t>
      </w:r>
      <w:r w:rsidRPr="003A1A2D">
        <w:rPr>
          <w:rFonts w:ascii="Calibri" w:hAnsi="Calibri" w:cs="Times New Roman"/>
          <w:noProof/>
          <w:sz w:val="18"/>
          <w:szCs w:val="24"/>
        </w:rPr>
        <w:t>, 2155–2161.</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16</w:t>
      </w:r>
      <w:r w:rsidRPr="003A1A2D">
        <w:rPr>
          <w:rFonts w:ascii="Calibri" w:hAnsi="Calibri" w:cs="Times New Roman"/>
          <w:noProof/>
          <w:sz w:val="18"/>
          <w:szCs w:val="24"/>
        </w:rPr>
        <w:tab/>
        <w:t xml:space="preserve">D. Y. Ko, U. P. Shinde, B. Yeon and B. Jeong, </w:t>
      </w:r>
      <w:r w:rsidRPr="003A1A2D">
        <w:rPr>
          <w:rFonts w:ascii="Calibri" w:hAnsi="Calibri" w:cs="Times New Roman"/>
          <w:i/>
          <w:iCs/>
          <w:noProof/>
          <w:sz w:val="18"/>
          <w:szCs w:val="24"/>
        </w:rPr>
        <w:t>Prog. Polym. Sci.</w:t>
      </w:r>
      <w:r w:rsidRPr="003A1A2D">
        <w:rPr>
          <w:rFonts w:ascii="Calibri" w:hAnsi="Calibri" w:cs="Times New Roman"/>
          <w:noProof/>
          <w:sz w:val="18"/>
          <w:szCs w:val="24"/>
        </w:rPr>
        <w:t xml:space="preserve">, 2013, </w:t>
      </w:r>
      <w:r w:rsidRPr="003A1A2D">
        <w:rPr>
          <w:rFonts w:ascii="Calibri" w:hAnsi="Calibri" w:cs="Times New Roman"/>
          <w:b/>
          <w:bCs/>
          <w:noProof/>
          <w:sz w:val="18"/>
          <w:szCs w:val="24"/>
        </w:rPr>
        <w:t>38</w:t>
      </w:r>
      <w:r w:rsidRPr="003A1A2D">
        <w:rPr>
          <w:rFonts w:ascii="Calibri" w:hAnsi="Calibri" w:cs="Times New Roman"/>
          <w:noProof/>
          <w:sz w:val="18"/>
          <w:szCs w:val="24"/>
        </w:rPr>
        <w:t>, 672–701.</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17</w:t>
      </w:r>
      <w:r w:rsidRPr="003A1A2D">
        <w:rPr>
          <w:rFonts w:ascii="Calibri" w:hAnsi="Calibri" w:cs="Times New Roman"/>
          <w:noProof/>
          <w:sz w:val="18"/>
          <w:szCs w:val="24"/>
        </w:rPr>
        <w:tab/>
        <w:t xml:space="preserve">E. Ruel-Gariépy and J. C. Leroux, </w:t>
      </w:r>
      <w:r w:rsidRPr="003A1A2D">
        <w:rPr>
          <w:rFonts w:ascii="Calibri" w:hAnsi="Calibri" w:cs="Times New Roman"/>
          <w:i/>
          <w:iCs/>
          <w:noProof/>
          <w:sz w:val="18"/>
          <w:szCs w:val="24"/>
        </w:rPr>
        <w:t>Eur. J. Pharm. Biopharm.</w:t>
      </w:r>
      <w:r w:rsidRPr="003A1A2D">
        <w:rPr>
          <w:rFonts w:ascii="Calibri" w:hAnsi="Calibri" w:cs="Times New Roman"/>
          <w:noProof/>
          <w:sz w:val="18"/>
          <w:szCs w:val="24"/>
        </w:rPr>
        <w:t xml:space="preserve">, 2004, </w:t>
      </w:r>
      <w:r w:rsidRPr="003A1A2D">
        <w:rPr>
          <w:rFonts w:ascii="Calibri" w:hAnsi="Calibri" w:cs="Times New Roman"/>
          <w:b/>
          <w:bCs/>
          <w:noProof/>
          <w:sz w:val="18"/>
          <w:szCs w:val="24"/>
        </w:rPr>
        <w:t>58</w:t>
      </w:r>
      <w:r w:rsidRPr="003A1A2D">
        <w:rPr>
          <w:rFonts w:ascii="Calibri" w:hAnsi="Calibri" w:cs="Times New Roman"/>
          <w:noProof/>
          <w:sz w:val="18"/>
          <w:szCs w:val="24"/>
        </w:rPr>
        <w:t>, 409–426.</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18</w:t>
      </w:r>
      <w:r w:rsidRPr="003A1A2D">
        <w:rPr>
          <w:rFonts w:ascii="Calibri" w:hAnsi="Calibri" w:cs="Times New Roman"/>
          <w:noProof/>
          <w:sz w:val="18"/>
          <w:szCs w:val="24"/>
        </w:rPr>
        <w:tab/>
        <w:t xml:space="preserve">A. Hatefi and B. Amsden, </w:t>
      </w:r>
      <w:r w:rsidRPr="003A1A2D">
        <w:rPr>
          <w:rFonts w:ascii="Calibri" w:hAnsi="Calibri" w:cs="Times New Roman"/>
          <w:i/>
          <w:iCs/>
          <w:noProof/>
          <w:sz w:val="18"/>
          <w:szCs w:val="24"/>
        </w:rPr>
        <w:t>J. Control. Release</w:t>
      </w:r>
      <w:r w:rsidRPr="003A1A2D">
        <w:rPr>
          <w:rFonts w:ascii="Calibri" w:hAnsi="Calibri" w:cs="Times New Roman"/>
          <w:noProof/>
          <w:sz w:val="18"/>
          <w:szCs w:val="24"/>
        </w:rPr>
        <w:t xml:space="preserve">, 2002, </w:t>
      </w:r>
      <w:r w:rsidRPr="003A1A2D">
        <w:rPr>
          <w:rFonts w:ascii="Calibri" w:hAnsi="Calibri" w:cs="Times New Roman"/>
          <w:b/>
          <w:bCs/>
          <w:noProof/>
          <w:sz w:val="18"/>
          <w:szCs w:val="24"/>
        </w:rPr>
        <w:t>80</w:t>
      </w:r>
      <w:r w:rsidRPr="003A1A2D">
        <w:rPr>
          <w:rFonts w:ascii="Calibri" w:hAnsi="Calibri" w:cs="Times New Roman"/>
          <w:noProof/>
          <w:sz w:val="18"/>
          <w:szCs w:val="24"/>
        </w:rPr>
        <w:t>, 9–28.</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19</w:t>
      </w:r>
      <w:r w:rsidRPr="003A1A2D">
        <w:rPr>
          <w:rFonts w:ascii="Calibri" w:hAnsi="Calibri" w:cs="Times New Roman"/>
          <w:noProof/>
          <w:sz w:val="18"/>
          <w:szCs w:val="24"/>
        </w:rPr>
        <w:tab/>
        <w:t xml:space="preserve">A. Fakhari and J. Anand Subramony, </w:t>
      </w:r>
      <w:r w:rsidRPr="003A1A2D">
        <w:rPr>
          <w:rFonts w:ascii="Calibri" w:hAnsi="Calibri" w:cs="Times New Roman"/>
          <w:i/>
          <w:iCs/>
          <w:noProof/>
          <w:sz w:val="18"/>
          <w:szCs w:val="24"/>
        </w:rPr>
        <w:t>J. Control. Release</w:t>
      </w:r>
      <w:r w:rsidRPr="003A1A2D">
        <w:rPr>
          <w:rFonts w:ascii="Calibri" w:hAnsi="Calibri" w:cs="Times New Roman"/>
          <w:noProof/>
          <w:sz w:val="18"/>
          <w:szCs w:val="24"/>
        </w:rPr>
        <w:t xml:space="preserve">, 2015, </w:t>
      </w:r>
      <w:r w:rsidRPr="003A1A2D">
        <w:rPr>
          <w:rFonts w:ascii="Calibri" w:hAnsi="Calibri" w:cs="Times New Roman"/>
          <w:b/>
          <w:bCs/>
          <w:noProof/>
          <w:sz w:val="18"/>
          <w:szCs w:val="24"/>
        </w:rPr>
        <w:t>220</w:t>
      </w:r>
      <w:r w:rsidRPr="003A1A2D">
        <w:rPr>
          <w:rFonts w:ascii="Calibri" w:hAnsi="Calibri" w:cs="Times New Roman"/>
          <w:noProof/>
          <w:sz w:val="18"/>
          <w:szCs w:val="24"/>
        </w:rPr>
        <w:t>, 465–475.</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20</w:t>
      </w:r>
      <w:r w:rsidRPr="003A1A2D">
        <w:rPr>
          <w:rFonts w:ascii="Calibri" w:hAnsi="Calibri" w:cs="Times New Roman"/>
          <w:noProof/>
          <w:sz w:val="18"/>
          <w:szCs w:val="24"/>
        </w:rPr>
        <w:tab/>
        <w:t xml:space="preserve">H. Kranz and R. Bodmeier, </w:t>
      </w:r>
      <w:r w:rsidRPr="003A1A2D">
        <w:rPr>
          <w:rFonts w:ascii="Calibri" w:hAnsi="Calibri" w:cs="Times New Roman"/>
          <w:i/>
          <w:iCs/>
          <w:noProof/>
          <w:sz w:val="18"/>
          <w:szCs w:val="24"/>
        </w:rPr>
        <w:t>Int. J. Pharm.</w:t>
      </w:r>
      <w:r w:rsidRPr="003A1A2D">
        <w:rPr>
          <w:rFonts w:ascii="Calibri" w:hAnsi="Calibri" w:cs="Times New Roman"/>
          <w:noProof/>
          <w:sz w:val="18"/>
          <w:szCs w:val="24"/>
        </w:rPr>
        <w:t xml:space="preserve">, 2007, </w:t>
      </w:r>
      <w:r w:rsidRPr="003A1A2D">
        <w:rPr>
          <w:rFonts w:ascii="Calibri" w:hAnsi="Calibri" w:cs="Times New Roman"/>
          <w:b/>
          <w:bCs/>
          <w:noProof/>
          <w:sz w:val="18"/>
          <w:szCs w:val="24"/>
        </w:rPr>
        <w:t>332</w:t>
      </w:r>
      <w:r w:rsidRPr="003A1A2D">
        <w:rPr>
          <w:rFonts w:ascii="Calibri" w:hAnsi="Calibri" w:cs="Times New Roman"/>
          <w:noProof/>
          <w:sz w:val="18"/>
          <w:szCs w:val="24"/>
        </w:rPr>
        <w:t>, 107–114.</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21</w:t>
      </w:r>
      <w:r w:rsidRPr="003A1A2D">
        <w:rPr>
          <w:rFonts w:ascii="Calibri" w:hAnsi="Calibri" w:cs="Times New Roman"/>
          <w:noProof/>
          <w:sz w:val="18"/>
          <w:szCs w:val="24"/>
        </w:rPr>
        <w:tab/>
        <w:t xml:space="preserve">B. Jeong and A. Gutowska, </w:t>
      </w:r>
      <w:r w:rsidRPr="003A1A2D">
        <w:rPr>
          <w:rFonts w:ascii="Calibri" w:hAnsi="Calibri" w:cs="Times New Roman"/>
          <w:i/>
          <w:iCs/>
          <w:noProof/>
          <w:sz w:val="18"/>
          <w:szCs w:val="24"/>
        </w:rPr>
        <w:t>Trends Biotechnol.</w:t>
      </w:r>
      <w:r w:rsidRPr="003A1A2D">
        <w:rPr>
          <w:rFonts w:ascii="Calibri" w:hAnsi="Calibri" w:cs="Times New Roman"/>
          <w:noProof/>
          <w:sz w:val="18"/>
          <w:szCs w:val="24"/>
        </w:rPr>
        <w:t xml:space="preserve">, 2002, </w:t>
      </w:r>
      <w:r w:rsidRPr="003A1A2D">
        <w:rPr>
          <w:rFonts w:ascii="Calibri" w:hAnsi="Calibri" w:cs="Times New Roman"/>
          <w:b/>
          <w:bCs/>
          <w:noProof/>
          <w:sz w:val="18"/>
          <w:szCs w:val="24"/>
        </w:rPr>
        <w:t>20</w:t>
      </w:r>
      <w:r w:rsidRPr="003A1A2D">
        <w:rPr>
          <w:rFonts w:ascii="Calibri" w:hAnsi="Calibri" w:cs="Times New Roman"/>
          <w:noProof/>
          <w:sz w:val="18"/>
          <w:szCs w:val="24"/>
        </w:rPr>
        <w:t>, 305–311.</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22</w:t>
      </w:r>
      <w:r w:rsidRPr="003A1A2D">
        <w:rPr>
          <w:rFonts w:ascii="Calibri" w:hAnsi="Calibri" w:cs="Times New Roman"/>
          <w:noProof/>
          <w:sz w:val="18"/>
          <w:szCs w:val="24"/>
        </w:rPr>
        <w:tab/>
        <w:t>L. Pescosolido, PhD Thesis, Sapienza University of Rome, 2011.</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23</w:t>
      </w:r>
      <w:r w:rsidRPr="003A1A2D">
        <w:rPr>
          <w:rFonts w:ascii="Calibri" w:hAnsi="Calibri" w:cs="Times New Roman"/>
          <w:noProof/>
          <w:sz w:val="18"/>
          <w:szCs w:val="24"/>
        </w:rPr>
        <w:tab/>
        <w:t xml:space="preserve">B. Jeong, Y. H. Bae, D. S. Lee and S. W. Kim, </w:t>
      </w:r>
      <w:r w:rsidRPr="003A1A2D">
        <w:rPr>
          <w:rFonts w:ascii="Calibri" w:hAnsi="Calibri" w:cs="Times New Roman"/>
          <w:i/>
          <w:iCs/>
          <w:noProof/>
          <w:sz w:val="18"/>
          <w:szCs w:val="24"/>
        </w:rPr>
        <w:t>Nature</w:t>
      </w:r>
      <w:r w:rsidRPr="003A1A2D">
        <w:rPr>
          <w:rFonts w:ascii="Calibri" w:hAnsi="Calibri" w:cs="Times New Roman"/>
          <w:noProof/>
          <w:sz w:val="18"/>
          <w:szCs w:val="24"/>
        </w:rPr>
        <w:t xml:space="preserve">, 1997, </w:t>
      </w:r>
      <w:r w:rsidRPr="003A1A2D">
        <w:rPr>
          <w:rFonts w:ascii="Calibri" w:hAnsi="Calibri" w:cs="Times New Roman"/>
          <w:b/>
          <w:bCs/>
          <w:noProof/>
          <w:sz w:val="18"/>
          <w:szCs w:val="24"/>
        </w:rPr>
        <w:t>388</w:t>
      </w:r>
      <w:r w:rsidRPr="003A1A2D">
        <w:rPr>
          <w:rFonts w:ascii="Calibri" w:hAnsi="Calibri" w:cs="Times New Roman"/>
          <w:noProof/>
          <w:sz w:val="18"/>
          <w:szCs w:val="24"/>
        </w:rPr>
        <w:t>, 860–862.</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24</w:t>
      </w:r>
      <w:r w:rsidRPr="003A1A2D">
        <w:rPr>
          <w:rFonts w:ascii="Calibri" w:hAnsi="Calibri" w:cs="Times New Roman"/>
          <w:noProof/>
          <w:sz w:val="18"/>
          <w:szCs w:val="24"/>
        </w:rPr>
        <w:tab/>
        <w:t xml:space="preserve">S. Kempe and K. Mäder, </w:t>
      </w:r>
      <w:r w:rsidRPr="003A1A2D">
        <w:rPr>
          <w:rFonts w:ascii="Calibri" w:hAnsi="Calibri" w:cs="Times New Roman"/>
          <w:i/>
          <w:iCs/>
          <w:noProof/>
          <w:sz w:val="18"/>
          <w:szCs w:val="24"/>
        </w:rPr>
        <w:t>J. Control. Release</w:t>
      </w:r>
      <w:r w:rsidRPr="003A1A2D">
        <w:rPr>
          <w:rFonts w:ascii="Calibri" w:hAnsi="Calibri" w:cs="Times New Roman"/>
          <w:noProof/>
          <w:sz w:val="18"/>
          <w:szCs w:val="24"/>
        </w:rPr>
        <w:t xml:space="preserve">, 2012, </w:t>
      </w:r>
      <w:r w:rsidRPr="003A1A2D">
        <w:rPr>
          <w:rFonts w:ascii="Calibri" w:hAnsi="Calibri" w:cs="Times New Roman"/>
          <w:b/>
          <w:bCs/>
          <w:noProof/>
          <w:sz w:val="18"/>
          <w:szCs w:val="24"/>
        </w:rPr>
        <w:t>161</w:t>
      </w:r>
      <w:r w:rsidRPr="003A1A2D">
        <w:rPr>
          <w:rFonts w:ascii="Calibri" w:hAnsi="Calibri" w:cs="Times New Roman"/>
          <w:noProof/>
          <w:sz w:val="18"/>
          <w:szCs w:val="24"/>
        </w:rPr>
        <w:t>, 668–679.</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25</w:t>
      </w:r>
      <w:r w:rsidRPr="003A1A2D">
        <w:rPr>
          <w:rFonts w:ascii="Calibri" w:hAnsi="Calibri" w:cs="Times New Roman"/>
          <w:noProof/>
          <w:sz w:val="18"/>
          <w:szCs w:val="24"/>
        </w:rPr>
        <w:tab/>
        <w:t xml:space="preserve">S. Sareen, L. Joseph and G. Mathew, </w:t>
      </w:r>
      <w:r w:rsidRPr="003A1A2D">
        <w:rPr>
          <w:rFonts w:ascii="Calibri" w:hAnsi="Calibri" w:cs="Times New Roman"/>
          <w:i/>
          <w:iCs/>
          <w:noProof/>
          <w:sz w:val="18"/>
          <w:szCs w:val="24"/>
        </w:rPr>
        <w:t>Int. J. Pharm. Investig.</w:t>
      </w:r>
      <w:r w:rsidRPr="003A1A2D">
        <w:rPr>
          <w:rFonts w:ascii="Calibri" w:hAnsi="Calibri" w:cs="Times New Roman"/>
          <w:noProof/>
          <w:sz w:val="18"/>
          <w:szCs w:val="24"/>
        </w:rPr>
        <w:t xml:space="preserve">, 2012, </w:t>
      </w:r>
      <w:r w:rsidRPr="003A1A2D">
        <w:rPr>
          <w:rFonts w:ascii="Calibri" w:hAnsi="Calibri" w:cs="Times New Roman"/>
          <w:b/>
          <w:bCs/>
          <w:noProof/>
          <w:sz w:val="18"/>
          <w:szCs w:val="24"/>
        </w:rPr>
        <w:t>2</w:t>
      </w:r>
      <w:r w:rsidRPr="003A1A2D">
        <w:rPr>
          <w:rFonts w:ascii="Calibri" w:hAnsi="Calibri" w:cs="Times New Roman"/>
          <w:noProof/>
          <w:sz w:val="18"/>
          <w:szCs w:val="24"/>
        </w:rPr>
        <w:t>, 12.</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26</w:t>
      </w:r>
      <w:r w:rsidRPr="003A1A2D">
        <w:rPr>
          <w:rFonts w:ascii="Calibri" w:hAnsi="Calibri" w:cs="Times New Roman"/>
          <w:noProof/>
          <w:sz w:val="18"/>
          <w:szCs w:val="24"/>
        </w:rPr>
        <w:tab/>
        <w:t xml:space="preserve">B. E. Rabinow, </w:t>
      </w:r>
      <w:r w:rsidRPr="003A1A2D">
        <w:rPr>
          <w:rFonts w:ascii="Calibri" w:hAnsi="Calibri" w:cs="Times New Roman"/>
          <w:i/>
          <w:iCs/>
          <w:noProof/>
          <w:sz w:val="18"/>
          <w:szCs w:val="24"/>
        </w:rPr>
        <w:t>Nat. Rev. Drug Discov.</w:t>
      </w:r>
      <w:r w:rsidRPr="003A1A2D">
        <w:rPr>
          <w:rFonts w:ascii="Calibri" w:hAnsi="Calibri" w:cs="Times New Roman"/>
          <w:noProof/>
          <w:sz w:val="18"/>
          <w:szCs w:val="24"/>
        </w:rPr>
        <w:t xml:space="preserve">, 2004, </w:t>
      </w:r>
      <w:r w:rsidRPr="003A1A2D">
        <w:rPr>
          <w:rFonts w:ascii="Calibri" w:hAnsi="Calibri" w:cs="Times New Roman"/>
          <w:b/>
          <w:bCs/>
          <w:noProof/>
          <w:sz w:val="18"/>
          <w:szCs w:val="24"/>
        </w:rPr>
        <w:t>3</w:t>
      </w:r>
      <w:r w:rsidRPr="003A1A2D">
        <w:rPr>
          <w:rFonts w:ascii="Calibri" w:hAnsi="Calibri" w:cs="Times New Roman"/>
          <w:noProof/>
          <w:sz w:val="18"/>
          <w:szCs w:val="24"/>
        </w:rPr>
        <w:t>, 785–796.</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27</w:t>
      </w:r>
      <w:r w:rsidRPr="003A1A2D">
        <w:rPr>
          <w:rFonts w:ascii="Calibri" w:hAnsi="Calibri" w:cs="Times New Roman"/>
          <w:noProof/>
          <w:sz w:val="18"/>
          <w:szCs w:val="24"/>
        </w:rPr>
        <w:tab/>
        <w:t xml:space="preserve">S. Ranjita, </w:t>
      </w:r>
      <w:r w:rsidRPr="003A1A2D">
        <w:rPr>
          <w:rFonts w:ascii="Calibri" w:hAnsi="Calibri" w:cs="Times New Roman"/>
          <w:i/>
          <w:iCs/>
          <w:noProof/>
          <w:sz w:val="18"/>
          <w:szCs w:val="24"/>
        </w:rPr>
        <w:t>J. Pharm. Investig.</w:t>
      </w:r>
      <w:r w:rsidRPr="003A1A2D">
        <w:rPr>
          <w:rFonts w:ascii="Calibri" w:hAnsi="Calibri" w:cs="Times New Roman"/>
          <w:noProof/>
          <w:sz w:val="18"/>
          <w:szCs w:val="24"/>
        </w:rPr>
        <w:t xml:space="preserve">, 2013, </w:t>
      </w:r>
      <w:r w:rsidRPr="003A1A2D">
        <w:rPr>
          <w:rFonts w:ascii="Calibri" w:hAnsi="Calibri" w:cs="Times New Roman"/>
          <w:b/>
          <w:bCs/>
          <w:noProof/>
          <w:sz w:val="18"/>
          <w:szCs w:val="24"/>
        </w:rPr>
        <w:t>43</w:t>
      </w:r>
      <w:r w:rsidRPr="003A1A2D">
        <w:rPr>
          <w:rFonts w:ascii="Calibri" w:hAnsi="Calibri" w:cs="Times New Roman"/>
          <w:noProof/>
          <w:sz w:val="18"/>
          <w:szCs w:val="24"/>
        </w:rPr>
        <w:t>, 1–26.</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28</w:t>
      </w:r>
      <w:r w:rsidRPr="003A1A2D">
        <w:rPr>
          <w:rFonts w:ascii="Calibri" w:hAnsi="Calibri" w:cs="Times New Roman"/>
          <w:noProof/>
          <w:sz w:val="18"/>
          <w:szCs w:val="24"/>
        </w:rPr>
        <w:tab/>
        <w:t xml:space="preserve">T. O. Mcdonald, M. Siccardi, D. Moss, N. Liptrott, M. Giardiello, A. Owen and S. Rannard, in </w:t>
      </w:r>
      <w:r w:rsidRPr="003A1A2D">
        <w:rPr>
          <w:rFonts w:ascii="Calibri" w:hAnsi="Calibri" w:cs="Times New Roman"/>
          <w:i/>
          <w:iCs/>
          <w:noProof/>
          <w:sz w:val="18"/>
          <w:szCs w:val="24"/>
        </w:rPr>
        <w:t>The application of nanotechnology to drug delivery in Medicine.</w:t>
      </w:r>
      <w:r w:rsidRPr="003A1A2D">
        <w:rPr>
          <w:rFonts w:ascii="Calibri" w:hAnsi="Calibri" w:cs="Times New Roman"/>
          <w:noProof/>
          <w:sz w:val="18"/>
          <w:szCs w:val="24"/>
        </w:rPr>
        <w:t>, Elsevier Health Sciences, Toronto, 2014, pp. 1–500.</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29</w:t>
      </w:r>
      <w:r w:rsidRPr="003A1A2D">
        <w:rPr>
          <w:rFonts w:ascii="Calibri" w:hAnsi="Calibri" w:cs="Times New Roman"/>
          <w:noProof/>
          <w:sz w:val="18"/>
          <w:szCs w:val="24"/>
        </w:rPr>
        <w:tab/>
        <w:t xml:space="preserve">T. O. McDonald, L. M. Tatham, F. Y. Southworth, M. Giardiello, P. Martin, N. J. Liptrott, A. Owen and S. P. Rannard, </w:t>
      </w:r>
      <w:r w:rsidRPr="003A1A2D">
        <w:rPr>
          <w:rFonts w:ascii="Calibri" w:hAnsi="Calibri" w:cs="Times New Roman"/>
          <w:i/>
          <w:iCs/>
          <w:noProof/>
          <w:sz w:val="18"/>
          <w:szCs w:val="24"/>
        </w:rPr>
        <w:t>J. Mater. Chem. B</w:t>
      </w:r>
      <w:r w:rsidRPr="003A1A2D">
        <w:rPr>
          <w:rFonts w:ascii="Calibri" w:hAnsi="Calibri" w:cs="Times New Roman"/>
          <w:noProof/>
          <w:sz w:val="18"/>
          <w:szCs w:val="24"/>
        </w:rPr>
        <w:t xml:space="preserve">, 2013, </w:t>
      </w:r>
      <w:r w:rsidRPr="003A1A2D">
        <w:rPr>
          <w:rFonts w:ascii="Calibri" w:hAnsi="Calibri" w:cs="Times New Roman"/>
          <w:b/>
          <w:bCs/>
          <w:noProof/>
          <w:sz w:val="18"/>
          <w:szCs w:val="24"/>
        </w:rPr>
        <w:t>1</w:t>
      </w:r>
      <w:r w:rsidRPr="003A1A2D">
        <w:rPr>
          <w:rFonts w:ascii="Calibri" w:hAnsi="Calibri" w:cs="Times New Roman"/>
          <w:noProof/>
          <w:sz w:val="18"/>
          <w:szCs w:val="24"/>
        </w:rPr>
        <w:t>, 4455–4465.</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30</w:t>
      </w:r>
      <w:r w:rsidRPr="003A1A2D">
        <w:rPr>
          <w:rFonts w:ascii="Calibri" w:hAnsi="Calibri" w:cs="Times New Roman"/>
          <w:noProof/>
          <w:sz w:val="18"/>
          <w:szCs w:val="24"/>
        </w:rPr>
        <w:tab/>
        <w:t xml:space="preserve">T. O. McDonald, P. Martin, J. P. Patterson, D. Smith, M. Giardiello, M. Marcello, V. See, R. K. O’Reilly, A. Owen and S. Rannard, </w:t>
      </w:r>
      <w:r w:rsidRPr="003A1A2D">
        <w:rPr>
          <w:rFonts w:ascii="Calibri" w:hAnsi="Calibri" w:cs="Times New Roman"/>
          <w:i/>
          <w:iCs/>
          <w:noProof/>
          <w:sz w:val="18"/>
          <w:szCs w:val="24"/>
        </w:rPr>
        <w:t>Adv. Funct. Mater.</w:t>
      </w:r>
      <w:r w:rsidRPr="003A1A2D">
        <w:rPr>
          <w:rFonts w:ascii="Calibri" w:hAnsi="Calibri" w:cs="Times New Roman"/>
          <w:noProof/>
          <w:sz w:val="18"/>
          <w:szCs w:val="24"/>
        </w:rPr>
        <w:t xml:space="preserve">, 2012, </w:t>
      </w:r>
      <w:r w:rsidRPr="003A1A2D">
        <w:rPr>
          <w:rFonts w:ascii="Calibri" w:hAnsi="Calibri" w:cs="Times New Roman"/>
          <w:b/>
          <w:bCs/>
          <w:noProof/>
          <w:sz w:val="18"/>
          <w:szCs w:val="24"/>
        </w:rPr>
        <w:t>22</w:t>
      </w:r>
      <w:r w:rsidRPr="003A1A2D">
        <w:rPr>
          <w:rFonts w:ascii="Calibri" w:hAnsi="Calibri" w:cs="Times New Roman"/>
          <w:noProof/>
          <w:sz w:val="18"/>
          <w:szCs w:val="24"/>
        </w:rPr>
        <w:t>, 2469–2478.</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31</w:t>
      </w:r>
      <w:r w:rsidRPr="003A1A2D">
        <w:rPr>
          <w:rFonts w:ascii="Calibri" w:hAnsi="Calibri" w:cs="Times New Roman"/>
          <w:noProof/>
          <w:sz w:val="18"/>
          <w:szCs w:val="24"/>
        </w:rPr>
        <w:tab/>
        <w:t xml:space="preserve">T. O. McDonald, M. Giardiello, P. Martin, M. Siccardi, N. J. Liptrott, D. Smith, P. Roberts, P. Curley, A. Schipani, S. H. Khoo, J. Long, A. J. Foster, S. P. Rannard and A. Owen, </w:t>
      </w:r>
      <w:r w:rsidRPr="003A1A2D">
        <w:rPr>
          <w:rFonts w:ascii="Calibri" w:hAnsi="Calibri" w:cs="Times New Roman"/>
          <w:i/>
          <w:iCs/>
          <w:noProof/>
          <w:sz w:val="18"/>
          <w:szCs w:val="24"/>
        </w:rPr>
        <w:t>Adv. Healthc. Mater.</w:t>
      </w:r>
      <w:r w:rsidRPr="003A1A2D">
        <w:rPr>
          <w:rFonts w:ascii="Calibri" w:hAnsi="Calibri" w:cs="Times New Roman"/>
          <w:noProof/>
          <w:sz w:val="18"/>
          <w:szCs w:val="24"/>
        </w:rPr>
        <w:t xml:space="preserve">, 2014, </w:t>
      </w:r>
      <w:r w:rsidRPr="003A1A2D">
        <w:rPr>
          <w:rFonts w:ascii="Calibri" w:hAnsi="Calibri" w:cs="Times New Roman"/>
          <w:b/>
          <w:bCs/>
          <w:noProof/>
          <w:sz w:val="18"/>
          <w:szCs w:val="24"/>
        </w:rPr>
        <w:t>3</w:t>
      </w:r>
      <w:r w:rsidRPr="003A1A2D">
        <w:rPr>
          <w:rFonts w:ascii="Calibri" w:hAnsi="Calibri" w:cs="Times New Roman"/>
          <w:noProof/>
          <w:sz w:val="18"/>
          <w:szCs w:val="24"/>
        </w:rPr>
        <w:t>, 400–411.</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32</w:t>
      </w:r>
      <w:r w:rsidRPr="003A1A2D">
        <w:rPr>
          <w:rFonts w:ascii="Calibri" w:hAnsi="Calibri" w:cs="Times New Roman"/>
          <w:noProof/>
          <w:sz w:val="18"/>
          <w:szCs w:val="24"/>
        </w:rPr>
        <w:tab/>
        <w:t xml:space="preserve">M. Boffito, A. Jackson, A. Owen and S. Becker, </w:t>
      </w:r>
      <w:r w:rsidRPr="003A1A2D">
        <w:rPr>
          <w:rFonts w:ascii="Calibri" w:hAnsi="Calibri" w:cs="Times New Roman"/>
          <w:i/>
          <w:iCs/>
          <w:noProof/>
          <w:sz w:val="18"/>
          <w:szCs w:val="24"/>
        </w:rPr>
        <w:t>Drugs</w:t>
      </w:r>
      <w:r w:rsidRPr="003A1A2D">
        <w:rPr>
          <w:rFonts w:ascii="Calibri" w:hAnsi="Calibri" w:cs="Times New Roman"/>
          <w:noProof/>
          <w:sz w:val="18"/>
          <w:szCs w:val="24"/>
        </w:rPr>
        <w:t xml:space="preserve">, 2014, </w:t>
      </w:r>
      <w:r w:rsidRPr="003A1A2D">
        <w:rPr>
          <w:rFonts w:ascii="Calibri" w:hAnsi="Calibri" w:cs="Times New Roman"/>
          <w:b/>
          <w:bCs/>
          <w:noProof/>
          <w:sz w:val="18"/>
          <w:szCs w:val="24"/>
        </w:rPr>
        <w:t>74</w:t>
      </w:r>
      <w:r w:rsidRPr="003A1A2D">
        <w:rPr>
          <w:rFonts w:ascii="Calibri" w:hAnsi="Calibri" w:cs="Times New Roman"/>
          <w:noProof/>
          <w:sz w:val="18"/>
          <w:szCs w:val="24"/>
        </w:rPr>
        <w:t>, 7–13.</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33</w:t>
      </w:r>
      <w:r w:rsidRPr="003A1A2D">
        <w:rPr>
          <w:rFonts w:ascii="Calibri" w:hAnsi="Calibri" w:cs="Times New Roman"/>
          <w:noProof/>
          <w:sz w:val="18"/>
          <w:szCs w:val="24"/>
        </w:rPr>
        <w:tab/>
        <w:t xml:space="preserve">R. H. Pelton and P. Chibante, </w:t>
      </w:r>
      <w:r w:rsidRPr="003A1A2D">
        <w:rPr>
          <w:rFonts w:ascii="Calibri" w:hAnsi="Calibri" w:cs="Times New Roman"/>
          <w:i/>
          <w:iCs/>
          <w:noProof/>
          <w:sz w:val="18"/>
          <w:szCs w:val="24"/>
        </w:rPr>
        <w:t>Colloids and Surfaces</w:t>
      </w:r>
      <w:r w:rsidRPr="003A1A2D">
        <w:rPr>
          <w:rFonts w:ascii="Calibri" w:hAnsi="Calibri" w:cs="Times New Roman"/>
          <w:noProof/>
          <w:sz w:val="18"/>
          <w:szCs w:val="24"/>
        </w:rPr>
        <w:t xml:space="preserve">, 1986, </w:t>
      </w:r>
      <w:r w:rsidRPr="003A1A2D">
        <w:rPr>
          <w:rFonts w:ascii="Calibri" w:hAnsi="Calibri" w:cs="Times New Roman"/>
          <w:b/>
          <w:bCs/>
          <w:noProof/>
          <w:sz w:val="18"/>
          <w:szCs w:val="24"/>
        </w:rPr>
        <w:t>20</w:t>
      </w:r>
      <w:r w:rsidRPr="003A1A2D">
        <w:rPr>
          <w:rFonts w:ascii="Calibri" w:hAnsi="Calibri" w:cs="Times New Roman"/>
          <w:noProof/>
          <w:sz w:val="18"/>
          <w:szCs w:val="24"/>
        </w:rPr>
        <w:t>, 247–256.</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34</w:t>
      </w:r>
      <w:r w:rsidRPr="003A1A2D">
        <w:rPr>
          <w:rFonts w:ascii="Calibri" w:hAnsi="Calibri" w:cs="Times New Roman"/>
          <w:noProof/>
          <w:sz w:val="18"/>
          <w:szCs w:val="24"/>
        </w:rPr>
        <w:tab/>
        <w:t xml:space="preserve">B. R. Saunders and V. B, </w:t>
      </w:r>
      <w:r w:rsidRPr="003A1A2D">
        <w:rPr>
          <w:rFonts w:ascii="Calibri" w:hAnsi="Calibri" w:cs="Times New Roman"/>
          <w:i/>
          <w:iCs/>
          <w:noProof/>
          <w:sz w:val="18"/>
          <w:szCs w:val="24"/>
        </w:rPr>
        <w:t>Adv. Colloid Interface Sci.</w:t>
      </w:r>
      <w:r w:rsidRPr="003A1A2D">
        <w:rPr>
          <w:rFonts w:ascii="Calibri" w:hAnsi="Calibri" w:cs="Times New Roman"/>
          <w:noProof/>
          <w:sz w:val="18"/>
          <w:szCs w:val="24"/>
        </w:rPr>
        <w:t xml:space="preserve">, 1999, </w:t>
      </w:r>
      <w:r w:rsidRPr="003A1A2D">
        <w:rPr>
          <w:rFonts w:ascii="Calibri" w:hAnsi="Calibri" w:cs="Times New Roman"/>
          <w:b/>
          <w:bCs/>
          <w:noProof/>
          <w:sz w:val="18"/>
          <w:szCs w:val="24"/>
        </w:rPr>
        <w:t>80</w:t>
      </w:r>
      <w:r w:rsidRPr="003A1A2D">
        <w:rPr>
          <w:rFonts w:ascii="Calibri" w:hAnsi="Calibri" w:cs="Times New Roman"/>
          <w:noProof/>
          <w:sz w:val="18"/>
          <w:szCs w:val="24"/>
        </w:rPr>
        <w:t>, 1–25.</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35</w:t>
      </w:r>
      <w:r w:rsidRPr="003A1A2D">
        <w:rPr>
          <w:rFonts w:ascii="Calibri" w:hAnsi="Calibri" w:cs="Times New Roman"/>
          <w:noProof/>
          <w:sz w:val="18"/>
          <w:szCs w:val="24"/>
        </w:rPr>
        <w:tab/>
        <w:t xml:space="preserve">M. Das, H. Zhang and E. Kumacheva, </w:t>
      </w:r>
      <w:r w:rsidRPr="003A1A2D">
        <w:rPr>
          <w:rFonts w:ascii="Calibri" w:hAnsi="Calibri" w:cs="Times New Roman"/>
          <w:i/>
          <w:iCs/>
          <w:noProof/>
          <w:sz w:val="18"/>
          <w:szCs w:val="24"/>
        </w:rPr>
        <w:t>Annu. Rev. Mater. Res.</w:t>
      </w:r>
      <w:r w:rsidRPr="003A1A2D">
        <w:rPr>
          <w:rFonts w:ascii="Calibri" w:hAnsi="Calibri" w:cs="Times New Roman"/>
          <w:noProof/>
          <w:sz w:val="18"/>
          <w:szCs w:val="24"/>
        </w:rPr>
        <w:t xml:space="preserve">, 2006, </w:t>
      </w:r>
      <w:r w:rsidRPr="003A1A2D">
        <w:rPr>
          <w:rFonts w:ascii="Calibri" w:hAnsi="Calibri" w:cs="Times New Roman"/>
          <w:b/>
          <w:bCs/>
          <w:noProof/>
          <w:sz w:val="18"/>
          <w:szCs w:val="24"/>
        </w:rPr>
        <w:t>36</w:t>
      </w:r>
      <w:r w:rsidRPr="003A1A2D">
        <w:rPr>
          <w:rFonts w:ascii="Calibri" w:hAnsi="Calibri" w:cs="Times New Roman"/>
          <w:noProof/>
          <w:sz w:val="18"/>
          <w:szCs w:val="24"/>
        </w:rPr>
        <w:t>, 117–142.</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36</w:t>
      </w:r>
      <w:r w:rsidRPr="003A1A2D">
        <w:rPr>
          <w:rFonts w:ascii="Calibri" w:hAnsi="Calibri" w:cs="Times New Roman"/>
          <w:noProof/>
          <w:sz w:val="18"/>
          <w:szCs w:val="24"/>
        </w:rPr>
        <w:tab/>
        <w:t xml:space="preserve">S. Chen, J. Long and Y. Dan, </w:t>
      </w:r>
      <w:r w:rsidRPr="003A1A2D">
        <w:rPr>
          <w:rFonts w:ascii="Calibri" w:hAnsi="Calibri" w:cs="Times New Roman"/>
          <w:i/>
          <w:iCs/>
          <w:noProof/>
          <w:sz w:val="18"/>
          <w:szCs w:val="24"/>
        </w:rPr>
        <w:t>J. Appl. Polym. Sci.</w:t>
      </w:r>
      <w:r w:rsidRPr="003A1A2D">
        <w:rPr>
          <w:rFonts w:ascii="Calibri" w:hAnsi="Calibri" w:cs="Times New Roman"/>
          <w:noProof/>
          <w:sz w:val="18"/>
          <w:szCs w:val="24"/>
        </w:rPr>
        <w:t xml:space="preserve">, 2011, </w:t>
      </w:r>
      <w:r w:rsidRPr="003A1A2D">
        <w:rPr>
          <w:rFonts w:ascii="Calibri" w:hAnsi="Calibri" w:cs="Times New Roman"/>
          <w:b/>
          <w:bCs/>
          <w:noProof/>
          <w:sz w:val="18"/>
          <w:szCs w:val="24"/>
        </w:rPr>
        <w:t>121</w:t>
      </w:r>
      <w:r w:rsidRPr="003A1A2D">
        <w:rPr>
          <w:rFonts w:ascii="Calibri" w:hAnsi="Calibri" w:cs="Times New Roman"/>
          <w:noProof/>
          <w:sz w:val="18"/>
          <w:szCs w:val="24"/>
        </w:rPr>
        <w:t>, 3322–3331.</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37</w:t>
      </w:r>
      <w:r w:rsidRPr="003A1A2D">
        <w:rPr>
          <w:rFonts w:ascii="Calibri" w:hAnsi="Calibri" w:cs="Times New Roman"/>
          <w:noProof/>
          <w:sz w:val="18"/>
          <w:szCs w:val="24"/>
        </w:rPr>
        <w:tab/>
        <w:t xml:space="preserve">B. R. Saunders, N. Laajam, E. Daly, S. Teow, X. Hu and R. Stepto, </w:t>
      </w:r>
      <w:r w:rsidRPr="003A1A2D">
        <w:rPr>
          <w:rFonts w:ascii="Calibri" w:hAnsi="Calibri" w:cs="Times New Roman"/>
          <w:i/>
          <w:iCs/>
          <w:noProof/>
          <w:sz w:val="18"/>
          <w:szCs w:val="24"/>
        </w:rPr>
        <w:t>Adv. Colloid Interface Sci.</w:t>
      </w:r>
      <w:r w:rsidRPr="003A1A2D">
        <w:rPr>
          <w:rFonts w:ascii="Calibri" w:hAnsi="Calibri" w:cs="Times New Roman"/>
          <w:noProof/>
          <w:sz w:val="18"/>
          <w:szCs w:val="24"/>
        </w:rPr>
        <w:t xml:space="preserve">, 2009, </w:t>
      </w:r>
      <w:r w:rsidRPr="003A1A2D">
        <w:rPr>
          <w:rFonts w:ascii="Calibri" w:hAnsi="Calibri" w:cs="Times New Roman"/>
          <w:b/>
          <w:bCs/>
          <w:noProof/>
          <w:sz w:val="18"/>
          <w:szCs w:val="24"/>
        </w:rPr>
        <w:t>147</w:t>
      </w:r>
      <w:r w:rsidRPr="003A1A2D">
        <w:rPr>
          <w:rFonts w:ascii="Calibri" w:hAnsi="Calibri" w:cs="Times New Roman"/>
          <w:noProof/>
          <w:sz w:val="18"/>
          <w:szCs w:val="24"/>
        </w:rPr>
        <w:t>–</w:t>
      </w:r>
      <w:r w:rsidRPr="003A1A2D">
        <w:rPr>
          <w:rFonts w:ascii="Calibri" w:hAnsi="Calibri" w:cs="Times New Roman"/>
          <w:b/>
          <w:bCs/>
          <w:noProof/>
          <w:sz w:val="18"/>
          <w:szCs w:val="24"/>
        </w:rPr>
        <w:t>148</w:t>
      </w:r>
      <w:r w:rsidRPr="003A1A2D">
        <w:rPr>
          <w:rFonts w:ascii="Calibri" w:hAnsi="Calibri" w:cs="Times New Roman"/>
          <w:noProof/>
          <w:sz w:val="18"/>
          <w:szCs w:val="24"/>
        </w:rPr>
        <w:t>, 251–262.</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38</w:t>
      </w:r>
      <w:r w:rsidRPr="003A1A2D">
        <w:rPr>
          <w:rFonts w:ascii="Calibri" w:hAnsi="Calibri" w:cs="Times New Roman"/>
          <w:noProof/>
          <w:sz w:val="18"/>
          <w:szCs w:val="24"/>
        </w:rPr>
        <w:tab/>
        <w:t xml:space="preserve">K. Kratz, T. Hellweg and W. Eimer, </w:t>
      </w:r>
      <w:r w:rsidRPr="003A1A2D">
        <w:rPr>
          <w:rFonts w:ascii="Calibri" w:hAnsi="Calibri" w:cs="Times New Roman"/>
          <w:i/>
          <w:iCs/>
          <w:noProof/>
          <w:sz w:val="18"/>
          <w:szCs w:val="24"/>
        </w:rPr>
        <w:t>Colloids Surfaces A Physicochem. Eng. Asp.</w:t>
      </w:r>
      <w:r w:rsidRPr="003A1A2D">
        <w:rPr>
          <w:rFonts w:ascii="Calibri" w:hAnsi="Calibri" w:cs="Times New Roman"/>
          <w:noProof/>
          <w:sz w:val="18"/>
          <w:szCs w:val="24"/>
        </w:rPr>
        <w:t xml:space="preserve">, 2000, </w:t>
      </w:r>
      <w:r w:rsidRPr="003A1A2D">
        <w:rPr>
          <w:rFonts w:ascii="Calibri" w:hAnsi="Calibri" w:cs="Times New Roman"/>
          <w:b/>
          <w:bCs/>
          <w:noProof/>
          <w:sz w:val="18"/>
          <w:szCs w:val="24"/>
        </w:rPr>
        <w:t>170</w:t>
      </w:r>
      <w:r w:rsidRPr="003A1A2D">
        <w:rPr>
          <w:rFonts w:ascii="Calibri" w:hAnsi="Calibri" w:cs="Times New Roman"/>
          <w:noProof/>
          <w:sz w:val="18"/>
          <w:szCs w:val="24"/>
        </w:rPr>
        <w:t>, 137–149.</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39</w:t>
      </w:r>
      <w:r w:rsidRPr="003A1A2D">
        <w:rPr>
          <w:rFonts w:ascii="Calibri" w:hAnsi="Calibri" w:cs="Times New Roman"/>
          <w:noProof/>
          <w:sz w:val="18"/>
          <w:szCs w:val="24"/>
        </w:rPr>
        <w:tab/>
        <w:t xml:space="preserve">R. Pelton, </w:t>
      </w:r>
      <w:r w:rsidRPr="003A1A2D">
        <w:rPr>
          <w:rFonts w:ascii="Calibri" w:hAnsi="Calibri" w:cs="Times New Roman"/>
          <w:i/>
          <w:iCs/>
          <w:noProof/>
          <w:sz w:val="18"/>
          <w:szCs w:val="24"/>
        </w:rPr>
        <w:t>Adv. Colloid Interface Sci.</w:t>
      </w:r>
      <w:r w:rsidRPr="003A1A2D">
        <w:rPr>
          <w:rFonts w:ascii="Calibri" w:hAnsi="Calibri" w:cs="Times New Roman"/>
          <w:noProof/>
          <w:sz w:val="18"/>
          <w:szCs w:val="24"/>
        </w:rPr>
        <w:t xml:space="preserve">, 2000, </w:t>
      </w:r>
      <w:r w:rsidRPr="003A1A2D">
        <w:rPr>
          <w:rFonts w:ascii="Calibri" w:hAnsi="Calibri" w:cs="Times New Roman"/>
          <w:b/>
          <w:bCs/>
          <w:noProof/>
          <w:sz w:val="18"/>
          <w:szCs w:val="24"/>
        </w:rPr>
        <w:t>85</w:t>
      </w:r>
      <w:r w:rsidRPr="003A1A2D">
        <w:rPr>
          <w:rFonts w:ascii="Calibri" w:hAnsi="Calibri" w:cs="Times New Roman"/>
          <w:noProof/>
          <w:sz w:val="18"/>
          <w:szCs w:val="24"/>
        </w:rPr>
        <w:t>, 1–33.</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40</w:t>
      </w:r>
      <w:r w:rsidRPr="003A1A2D">
        <w:rPr>
          <w:rFonts w:ascii="Calibri" w:hAnsi="Calibri" w:cs="Times New Roman"/>
          <w:noProof/>
          <w:sz w:val="18"/>
          <w:szCs w:val="24"/>
        </w:rPr>
        <w:tab/>
        <w:t xml:space="preserve">M. Muratalin and P. F. Luckham, </w:t>
      </w:r>
      <w:r w:rsidRPr="003A1A2D">
        <w:rPr>
          <w:rFonts w:ascii="Calibri" w:hAnsi="Calibri" w:cs="Times New Roman"/>
          <w:i/>
          <w:iCs/>
          <w:noProof/>
          <w:sz w:val="18"/>
          <w:szCs w:val="24"/>
        </w:rPr>
        <w:t>J. Colloid Interface Sci.</w:t>
      </w:r>
      <w:r w:rsidRPr="003A1A2D">
        <w:rPr>
          <w:rFonts w:ascii="Calibri" w:hAnsi="Calibri" w:cs="Times New Roman"/>
          <w:noProof/>
          <w:sz w:val="18"/>
          <w:szCs w:val="24"/>
        </w:rPr>
        <w:t xml:space="preserve">, 2013, </w:t>
      </w:r>
      <w:r w:rsidRPr="003A1A2D">
        <w:rPr>
          <w:rFonts w:ascii="Calibri" w:hAnsi="Calibri" w:cs="Times New Roman"/>
          <w:b/>
          <w:bCs/>
          <w:noProof/>
          <w:sz w:val="18"/>
          <w:szCs w:val="24"/>
        </w:rPr>
        <w:t>396</w:t>
      </w:r>
      <w:r w:rsidRPr="003A1A2D">
        <w:rPr>
          <w:rFonts w:ascii="Calibri" w:hAnsi="Calibri" w:cs="Times New Roman"/>
          <w:noProof/>
          <w:sz w:val="18"/>
          <w:szCs w:val="24"/>
        </w:rPr>
        <w:t>, 1–8.</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41</w:t>
      </w:r>
      <w:r w:rsidRPr="003A1A2D">
        <w:rPr>
          <w:rFonts w:ascii="Calibri" w:hAnsi="Calibri" w:cs="Times New Roman"/>
          <w:noProof/>
          <w:sz w:val="18"/>
          <w:szCs w:val="24"/>
        </w:rPr>
        <w:tab/>
        <w:t xml:space="preserve">W. McPhee, K. C. Tam and R. Pelton, </w:t>
      </w:r>
      <w:r w:rsidRPr="003A1A2D">
        <w:rPr>
          <w:rFonts w:ascii="Calibri" w:hAnsi="Calibri" w:cs="Times New Roman"/>
          <w:i/>
          <w:iCs/>
          <w:noProof/>
          <w:sz w:val="18"/>
          <w:szCs w:val="24"/>
        </w:rPr>
        <w:t>J. Colloid Interface Sci.</w:t>
      </w:r>
      <w:r w:rsidRPr="003A1A2D">
        <w:rPr>
          <w:rFonts w:ascii="Calibri" w:hAnsi="Calibri" w:cs="Times New Roman"/>
          <w:noProof/>
          <w:sz w:val="18"/>
          <w:szCs w:val="24"/>
        </w:rPr>
        <w:t xml:space="preserve">, 1993, </w:t>
      </w:r>
      <w:r w:rsidRPr="003A1A2D">
        <w:rPr>
          <w:rFonts w:ascii="Calibri" w:hAnsi="Calibri" w:cs="Times New Roman"/>
          <w:b/>
          <w:bCs/>
          <w:noProof/>
          <w:sz w:val="18"/>
          <w:szCs w:val="24"/>
        </w:rPr>
        <w:t>156</w:t>
      </w:r>
      <w:r w:rsidRPr="003A1A2D">
        <w:rPr>
          <w:rFonts w:ascii="Calibri" w:hAnsi="Calibri" w:cs="Times New Roman"/>
          <w:noProof/>
          <w:sz w:val="18"/>
          <w:szCs w:val="24"/>
        </w:rPr>
        <w:t>, 24–30.</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42</w:t>
      </w:r>
      <w:r w:rsidRPr="003A1A2D">
        <w:rPr>
          <w:rFonts w:ascii="Calibri" w:hAnsi="Calibri" w:cs="Times New Roman"/>
          <w:noProof/>
          <w:sz w:val="18"/>
          <w:szCs w:val="24"/>
        </w:rPr>
        <w:tab/>
        <w:t xml:space="preserve">N. Al-manasir, S. Fanaian, K. Zhu, B. Nyström, G. Karlsson and A. Kjøniksen, </w:t>
      </w:r>
      <w:r w:rsidRPr="003A1A2D">
        <w:rPr>
          <w:rFonts w:ascii="Calibri" w:hAnsi="Calibri" w:cs="Times New Roman"/>
          <w:i/>
          <w:iCs/>
          <w:noProof/>
          <w:sz w:val="18"/>
          <w:szCs w:val="24"/>
        </w:rPr>
        <w:t>J. Phys. Chem. B</w:t>
      </w:r>
      <w:r w:rsidRPr="003A1A2D">
        <w:rPr>
          <w:rFonts w:ascii="Calibri" w:hAnsi="Calibri" w:cs="Times New Roman"/>
          <w:noProof/>
          <w:sz w:val="18"/>
          <w:szCs w:val="24"/>
        </w:rPr>
        <w:t xml:space="preserve">, 2009, </w:t>
      </w:r>
      <w:r w:rsidRPr="003A1A2D">
        <w:rPr>
          <w:rFonts w:ascii="Calibri" w:hAnsi="Calibri" w:cs="Times New Roman"/>
          <w:b/>
          <w:bCs/>
          <w:noProof/>
          <w:sz w:val="18"/>
          <w:szCs w:val="24"/>
        </w:rPr>
        <w:t>113</w:t>
      </w:r>
      <w:r w:rsidRPr="003A1A2D">
        <w:rPr>
          <w:rFonts w:ascii="Calibri" w:hAnsi="Calibri" w:cs="Times New Roman"/>
          <w:noProof/>
          <w:sz w:val="18"/>
          <w:szCs w:val="24"/>
        </w:rPr>
        <w:t>, 11115–11123.</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43</w:t>
      </w:r>
      <w:r w:rsidRPr="003A1A2D">
        <w:rPr>
          <w:rFonts w:ascii="Calibri" w:hAnsi="Calibri" w:cs="Times New Roman"/>
          <w:noProof/>
          <w:sz w:val="18"/>
          <w:szCs w:val="24"/>
        </w:rPr>
        <w:tab/>
        <w:t xml:space="preserve">M. Rasmusson, A. Routh and B. Vincent, </w:t>
      </w:r>
      <w:r w:rsidRPr="003A1A2D">
        <w:rPr>
          <w:rFonts w:ascii="Calibri" w:hAnsi="Calibri" w:cs="Times New Roman"/>
          <w:i/>
          <w:iCs/>
          <w:noProof/>
          <w:sz w:val="18"/>
          <w:szCs w:val="24"/>
        </w:rPr>
        <w:t>Langmuir</w:t>
      </w:r>
      <w:r w:rsidRPr="003A1A2D">
        <w:rPr>
          <w:rFonts w:ascii="Calibri" w:hAnsi="Calibri" w:cs="Times New Roman"/>
          <w:noProof/>
          <w:sz w:val="18"/>
          <w:szCs w:val="24"/>
        </w:rPr>
        <w:t xml:space="preserve">, 2004, </w:t>
      </w:r>
      <w:r w:rsidRPr="003A1A2D">
        <w:rPr>
          <w:rFonts w:ascii="Calibri" w:hAnsi="Calibri" w:cs="Times New Roman"/>
          <w:b/>
          <w:bCs/>
          <w:noProof/>
          <w:sz w:val="18"/>
          <w:szCs w:val="24"/>
        </w:rPr>
        <w:t>20</w:t>
      </w:r>
      <w:r w:rsidRPr="003A1A2D">
        <w:rPr>
          <w:rFonts w:ascii="Calibri" w:hAnsi="Calibri" w:cs="Times New Roman"/>
          <w:noProof/>
          <w:sz w:val="18"/>
          <w:szCs w:val="24"/>
        </w:rPr>
        <w:t>, 3536–3542.</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44</w:t>
      </w:r>
      <w:r w:rsidRPr="003A1A2D">
        <w:rPr>
          <w:rFonts w:ascii="Calibri" w:hAnsi="Calibri" w:cs="Times New Roman"/>
          <w:noProof/>
          <w:sz w:val="18"/>
          <w:szCs w:val="24"/>
        </w:rPr>
        <w:tab/>
        <w:t xml:space="preserve">R. Mohsen, G. J. Vine, N. Majcen, B. D. Alexander and M. J. Snowden, </w:t>
      </w:r>
      <w:r w:rsidRPr="003A1A2D">
        <w:rPr>
          <w:rFonts w:ascii="Calibri" w:hAnsi="Calibri" w:cs="Times New Roman"/>
          <w:i/>
          <w:iCs/>
          <w:noProof/>
          <w:sz w:val="18"/>
          <w:szCs w:val="24"/>
        </w:rPr>
        <w:t>Colloids Surfaces A Physicochem. Eng. Asp.</w:t>
      </w:r>
      <w:r w:rsidRPr="003A1A2D">
        <w:rPr>
          <w:rFonts w:ascii="Calibri" w:hAnsi="Calibri" w:cs="Times New Roman"/>
          <w:noProof/>
          <w:sz w:val="18"/>
          <w:szCs w:val="24"/>
        </w:rPr>
        <w:t xml:space="preserve">, 2013, </w:t>
      </w:r>
      <w:r w:rsidRPr="003A1A2D">
        <w:rPr>
          <w:rFonts w:ascii="Calibri" w:hAnsi="Calibri" w:cs="Times New Roman"/>
          <w:b/>
          <w:bCs/>
          <w:noProof/>
          <w:sz w:val="18"/>
          <w:szCs w:val="24"/>
        </w:rPr>
        <w:t>428</w:t>
      </w:r>
      <w:r w:rsidRPr="003A1A2D">
        <w:rPr>
          <w:rFonts w:ascii="Calibri" w:hAnsi="Calibri" w:cs="Times New Roman"/>
          <w:noProof/>
          <w:sz w:val="18"/>
          <w:szCs w:val="24"/>
        </w:rPr>
        <w:t>, 53–59.</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45</w:t>
      </w:r>
      <w:r w:rsidRPr="003A1A2D">
        <w:rPr>
          <w:rFonts w:ascii="Calibri" w:hAnsi="Calibri" w:cs="Times New Roman"/>
          <w:noProof/>
          <w:sz w:val="18"/>
          <w:szCs w:val="24"/>
        </w:rPr>
        <w:tab/>
        <w:t>UK Patent No. GB2262117A, 1993.</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46</w:t>
      </w:r>
      <w:r w:rsidRPr="003A1A2D">
        <w:rPr>
          <w:rFonts w:ascii="Calibri" w:hAnsi="Calibri" w:cs="Times New Roman"/>
          <w:noProof/>
          <w:sz w:val="18"/>
          <w:szCs w:val="24"/>
        </w:rPr>
        <w:tab/>
        <w:t xml:space="preserve">A. L. Kjøniksen, M. T. Calejo, K. Zhu, A. M. S. Cardoso, M. C. P. De Lima, A. S. Jurado, B. Nyström and S. A. Sande, </w:t>
      </w:r>
      <w:r w:rsidRPr="003A1A2D">
        <w:rPr>
          <w:rFonts w:ascii="Calibri" w:hAnsi="Calibri" w:cs="Times New Roman"/>
          <w:i/>
          <w:iCs/>
          <w:noProof/>
          <w:sz w:val="18"/>
          <w:szCs w:val="24"/>
        </w:rPr>
        <w:t>J. Pharm. Sci.</w:t>
      </w:r>
      <w:r w:rsidRPr="003A1A2D">
        <w:rPr>
          <w:rFonts w:ascii="Calibri" w:hAnsi="Calibri" w:cs="Times New Roman"/>
          <w:noProof/>
          <w:sz w:val="18"/>
          <w:szCs w:val="24"/>
        </w:rPr>
        <w:t xml:space="preserve">, 2014, </w:t>
      </w:r>
      <w:r w:rsidRPr="003A1A2D">
        <w:rPr>
          <w:rFonts w:ascii="Calibri" w:hAnsi="Calibri" w:cs="Times New Roman"/>
          <w:b/>
          <w:bCs/>
          <w:noProof/>
          <w:sz w:val="18"/>
          <w:szCs w:val="24"/>
        </w:rPr>
        <w:t>103</w:t>
      </w:r>
      <w:r w:rsidRPr="003A1A2D">
        <w:rPr>
          <w:rFonts w:ascii="Calibri" w:hAnsi="Calibri" w:cs="Times New Roman"/>
          <w:noProof/>
          <w:sz w:val="18"/>
          <w:szCs w:val="24"/>
        </w:rPr>
        <w:t>, 227–234.</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47</w:t>
      </w:r>
      <w:r w:rsidRPr="003A1A2D">
        <w:rPr>
          <w:rFonts w:ascii="Calibri" w:hAnsi="Calibri" w:cs="Times New Roman"/>
          <w:noProof/>
          <w:sz w:val="18"/>
          <w:szCs w:val="24"/>
        </w:rPr>
        <w:tab/>
        <w:t xml:space="preserve">H. Zhang, J. Y. Lee, A. Ahmed, I. Hussain and A. I. Cooper, </w:t>
      </w:r>
      <w:r w:rsidRPr="003A1A2D">
        <w:rPr>
          <w:rFonts w:ascii="Calibri" w:hAnsi="Calibri" w:cs="Times New Roman"/>
          <w:i/>
          <w:iCs/>
          <w:noProof/>
          <w:sz w:val="18"/>
          <w:szCs w:val="24"/>
        </w:rPr>
        <w:t>Angew. Chemie</w:t>
      </w:r>
      <w:r w:rsidRPr="003A1A2D">
        <w:rPr>
          <w:rFonts w:ascii="Calibri" w:hAnsi="Calibri" w:cs="Times New Roman"/>
          <w:noProof/>
          <w:sz w:val="18"/>
          <w:szCs w:val="24"/>
        </w:rPr>
        <w:t xml:space="preserve">, 2008, </w:t>
      </w:r>
      <w:r w:rsidRPr="003A1A2D">
        <w:rPr>
          <w:rFonts w:ascii="Calibri" w:hAnsi="Calibri" w:cs="Times New Roman"/>
          <w:b/>
          <w:bCs/>
          <w:noProof/>
          <w:sz w:val="18"/>
          <w:szCs w:val="24"/>
        </w:rPr>
        <w:t>47</w:t>
      </w:r>
      <w:r w:rsidRPr="003A1A2D">
        <w:rPr>
          <w:rFonts w:ascii="Calibri" w:hAnsi="Calibri" w:cs="Times New Roman"/>
          <w:noProof/>
          <w:sz w:val="18"/>
          <w:szCs w:val="24"/>
        </w:rPr>
        <w:t>, 4573–4576.</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48</w:t>
      </w:r>
      <w:r w:rsidRPr="003A1A2D">
        <w:rPr>
          <w:rFonts w:ascii="Calibri" w:hAnsi="Calibri" w:cs="Times New Roman"/>
          <w:noProof/>
          <w:sz w:val="18"/>
          <w:szCs w:val="24"/>
        </w:rPr>
        <w:tab/>
        <w:t xml:space="preserve">J. H. Lee, I. J. Gomez, V. B. Sitterle and J. C. Meredith, </w:t>
      </w:r>
      <w:r w:rsidRPr="003A1A2D">
        <w:rPr>
          <w:rFonts w:ascii="Calibri" w:hAnsi="Calibri" w:cs="Times New Roman"/>
          <w:i/>
          <w:iCs/>
          <w:noProof/>
          <w:sz w:val="18"/>
          <w:szCs w:val="24"/>
        </w:rPr>
        <w:t>J. Colloid Interface Sci.</w:t>
      </w:r>
      <w:r w:rsidRPr="003A1A2D">
        <w:rPr>
          <w:rFonts w:ascii="Calibri" w:hAnsi="Calibri" w:cs="Times New Roman"/>
          <w:noProof/>
          <w:sz w:val="18"/>
          <w:szCs w:val="24"/>
        </w:rPr>
        <w:t xml:space="preserve">, 2011, </w:t>
      </w:r>
      <w:r w:rsidRPr="003A1A2D">
        <w:rPr>
          <w:rFonts w:ascii="Calibri" w:hAnsi="Calibri" w:cs="Times New Roman"/>
          <w:b/>
          <w:bCs/>
          <w:noProof/>
          <w:sz w:val="18"/>
          <w:szCs w:val="24"/>
        </w:rPr>
        <w:t>363</w:t>
      </w:r>
      <w:r w:rsidRPr="003A1A2D">
        <w:rPr>
          <w:rFonts w:ascii="Calibri" w:hAnsi="Calibri" w:cs="Times New Roman"/>
          <w:noProof/>
          <w:sz w:val="18"/>
          <w:szCs w:val="24"/>
        </w:rPr>
        <w:t>, 137–144.</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49</w:t>
      </w:r>
      <w:r w:rsidRPr="003A1A2D">
        <w:rPr>
          <w:rFonts w:ascii="Calibri" w:hAnsi="Calibri" w:cs="Times New Roman"/>
          <w:noProof/>
          <w:sz w:val="18"/>
          <w:szCs w:val="24"/>
        </w:rPr>
        <w:tab/>
        <w:t xml:space="preserve">M. Giardiello, N. J. Liptrott, T. O. Mcdonald, D. Moss, M. Siccardi, P. Martin, D. Smith, R. Gurjar, S. P. Rannard and A. Owen, </w:t>
      </w:r>
      <w:r w:rsidRPr="003A1A2D">
        <w:rPr>
          <w:rFonts w:ascii="Calibri" w:hAnsi="Calibri" w:cs="Times New Roman"/>
          <w:i/>
          <w:iCs/>
          <w:noProof/>
          <w:sz w:val="18"/>
          <w:szCs w:val="24"/>
        </w:rPr>
        <w:t>Nat. Commun.</w:t>
      </w:r>
      <w:r w:rsidRPr="003A1A2D">
        <w:rPr>
          <w:rFonts w:ascii="Calibri" w:hAnsi="Calibri" w:cs="Times New Roman"/>
          <w:noProof/>
          <w:sz w:val="18"/>
          <w:szCs w:val="24"/>
        </w:rPr>
        <w:t>,</w:t>
      </w:r>
      <w:r w:rsidR="001459EF" w:rsidRPr="003A1A2D">
        <w:rPr>
          <w:rFonts w:ascii="Calibri" w:hAnsi="Calibri" w:cs="Times New Roman"/>
          <w:noProof/>
          <w:szCs w:val="24"/>
        </w:rPr>
        <w:t xml:space="preserve"> </w:t>
      </w:r>
      <w:r w:rsidR="001459EF" w:rsidRPr="003A1A2D">
        <w:rPr>
          <w:rFonts w:ascii="Calibri" w:hAnsi="Calibri" w:cs="Times New Roman"/>
          <w:noProof/>
          <w:sz w:val="18"/>
          <w:szCs w:val="24"/>
        </w:rPr>
        <w:t xml:space="preserve">2016, </w:t>
      </w:r>
      <w:r w:rsidR="001459EF" w:rsidRPr="003A1A2D">
        <w:rPr>
          <w:rFonts w:ascii="Calibri" w:hAnsi="Calibri" w:cs="Times New Roman"/>
          <w:b/>
          <w:bCs/>
          <w:noProof/>
          <w:sz w:val="18"/>
          <w:szCs w:val="24"/>
        </w:rPr>
        <w:t>7</w:t>
      </w:r>
      <w:r w:rsidR="001459EF" w:rsidRPr="003A1A2D">
        <w:rPr>
          <w:rFonts w:ascii="Calibri" w:hAnsi="Calibri" w:cs="Times New Roman"/>
          <w:noProof/>
          <w:sz w:val="18"/>
          <w:szCs w:val="24"/>
        </w:rPr>
        <w:t>, 13184.</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lastRenderedPageBreak/>
        <w:t>50</w:t>
      </w:r>
      <w:r w:rsidRPr="003A1A2D">
        <w:rPr>
          <w:rFonts w:ascii="Calibri" w:hAnsi="Calibri" w:cs="Times New Roman"/>
          <w:noProof/>
          <w:sz w:val="18"/>
          <w:szCs w:val="24"/>
        </w:rPr>
        <w:tab/>
        <w:t xml:space="preserve">J. Shen and D. J. Burgess, </w:t>
      </w:r>
      <w:r w:rsidRPr="003A1A2D">
        <w:rPr>
          <w:rFonts w:ascii="Calibri" w:hAnsi="Calibri" w:cs="Times New Roman"/>
          <w:i/>
          <w:iCs/>
          <w:noProof/>
          <w:sz w:val="18"/>
          <w:szCs w:val="24"/>
        </w:rPr>
        <w:t>J. Pharm. Pharmacol.</w:t>
      </w:r>
      <w:r w:rsidRPr="003A1A2D">
        <w:rPr>
          <w:rFonts w:ascii="Calibri" w:hAnsi="Calibri" w:cs="Times New Roman"/>
          <w:noProof/>
          <w:sz w:val="18"/>
          <w:szCs w:val="24"/>
        </w:rPr>
        <w:t xml:space="preserve">, 2012, </w:t>
      </w:r>
      <w:r w:rsidRPr="003A1A2D">
        <w:rPr>
          <w:rFonts w:ascii="Calibri" w:hAnsi="Calibri" w:cs="Times New Roman"/>
          <w:b/>
          <w:bCs/>
          <w:noProof/>
          <w:sz w:val="18"/>
          <w:szCs w:val="24"/>
        </w:rPr>
        <w:t>64</w:t>
      </w:r>
      <w:r w:rsidRPr="003A1A2D">
        <w:rPr>
          <w:rFonts w:ascii="Calibri" w:hAnsi="Calibri" w:cs="Times New Roman"/>
          <w:noProof/>
          <w:sz w:val="18"/>
          <w:szCs w:val="24"/>
        </w:rPr>
        <w:t>, 986–996.</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51</w:t>
      </w:r>
      <w:r w:rsidRPr="003A1A2D">
        <w:rPr>
          <w:rFonts w:ascii="Calibri" w:hAnsi="Calibri" w:cs="Times New Roman"/>
          <w:noProof/>
          <w:sz w:val="18"/>
          <w:szCs w:val="24"/>
        </w:rPr>
        <w:tab/>
        <w:t xml:space="preserve">H. Hyun, Y. H. Kim, I. B. Song, J. W. Lee, M. S. Kim, G. Khang, K. Park and H. B. Lee, </w:t>
      </w:r>
      <w:r w:rsidRPr="003A1A2D">
        <w:rPr>
          <w:rFonts w:ascii="Calibri" w:hAnsi="Calibri" w:cs="Times New Roman"/>
          <w:i/>
          <w:iCs/>
          <w:noProof/>
          <w:sz w:val="18"/>
          <w:szCs w:val="24"/>
        </w:rPr>
        <w:t>Biomacromolecules</w:t>
      </w:r>
      <w:r w:rsidRPr="003A1A2D">
        <w:rPr>
          <w:rFonts w:ascii="Calibri" w:hAnsi="Calibri" w:cs="Times New Roman"/>
          <w:noProof/>
          <w:sz w:val="18"/>
          <w:szCs w:val="24"/>
        </w:rPr>
        <w:t xml:space="preserve">, 2007, </w:t>
      </w:r>
      <w:r w:rsidRPr="003A1A2D">
        <w:rPr>
          <w:rFonts w:ascii="Calibri" w:hAnsi="Calibri" w:cs="Times New Roman"/>
          <w:b/>
          <w:bCs/>
          <w:noProof/>
          <w:sz w:val="18"/>
          <w:szCs w:val="24"/>
        </w:rPr>
        <w:t>8</w:t>
      </w:r>
      <w:r w:rsidRPr="003A1A2D">
        <w:rPr>
          <w:rFonts w:ascii="Calibri" w:hAnsi="Calibri" w:cs="Times New Roman"/>
          <w:noProof/>
          <w:sz w:val="18"/>
          <w:szCs w:val="24"/>
        </w:rPr>
        <w:t>, 1093–1100.</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52</w:t>
      </w:r>
      <w:r w:rsidRPr="003A1A2D">
        <w:rPr>
          <w:rFonts w:ascii="Calibri" w:hAnsi="Calibri" w:cs="Times New Roman"/>
          <w:noProof/>
          <w:sz w:val="18"/>
          <w:szCs w:val="24"/>
        </w:rPr>
        <w:tab/>
        <w:t xml:space="preserve">A. D’Avolio, L. Baietto, M. Siccardi, M. Sciandra, M. Simiele, V. Oddone, S. Bonora and G. Di Perri, </w:t>
      </w:r>
      <w:r w:rsidRPr="003A1A2D">
        <w:rPr>
          <w:rFonts w:ascii="Calibri" w:hAnsi="Calibri" w:cs="Times New Roman"/>
          <w:i/>
          <w:iCs/>
          <w:noProof/>
          <w:sz w:val="18"/>
          <w:szCs w:val="24"/>
        </w:rPr>
        <w:t>Ther. Drug Monit.</w:t>
      </w:r>
      <w:r w:rsidRPr="003A1A2D">
        <w:rPr>
          <w:rFonts w:ascii="Calibri" w:hAnsi="Calibri" w:cs="Times New Roman"/>
          <w:noProof/>
          <w:sz w:val="18"/>
          <w:szCs w:val="24"/>
        </w:rPr>
        <w:t xml:space="preserve">, 2008, </w:t>
      </w:r>
      <w:r w:rsidRPr="003A1A2D">
        <w:rPr>
          <w:rFonts w:ascii="Calibri" w:hAnsi="Calibri" w:cs="Times New Roman"/>
          <w:b/>
          <w:bCs/>
          <w:noProof/>
          <w:sz w:val="18"/>
          <w:szCs w:val="24"/>
        </w:rPr>
        <w:t>30</w:t>
      </w:r>
      <w:r w:rsidRPr="003A1A2D">
        <w:rPr>
          <w:rFonts w:ascii="Calibri" w:hAnsi="Calibri" w:cs="Times New Roman"/>
          <w:noProof/>
          <w:sz w:val="18"/>
          <w:szCs w:val="24"/>
        </w:rPr>
        <w:t>, 662–669.</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53</w:t>
      </w:r>
      <w:r w:rsidRPr="003A1A2D">
        <w:rPr>
          <w:rFonts w:ascii="Calibri" w:hAnsi="Calibri" w:cs="Times New Roman"/>
          <w:noProof/>
          <w:sz w:val="18"/>
          <w:szCs w:val="24"/>
        </w:rPr>
        <w:tab/>
        <w:t xml:space="preserve">C. Hoskins, P. K. T. Lin, L. Tetley and W. P. Cheng, </w:t>
      </w:r>
      <w:r w:rsidRPr="003A1A2D">
        <w:rPr>
          <w:rFonts w:ascii="Calibri" w:hAnsi="Calibri" w:cs="Times New Roman"/>
          <w:i/>
          <w:iCs/>
          <w:noProof/>
          <w:sz w:val="18"/>
          <w:szCs w:val="24"/>
        </w:rPr>
        <w:t>Polym. Adv. Technol.</w:t>
      </w:r>
      <w:r w:rsidRPr="003A1A2D">
        <w:rPr>
          <w:rFonts w:ascii="Calibri" w:hAnsi="Calibri" w:cs="Times New Roman"/>
          <w:noProof/>
          <w:sz w:val="18"/>
          <w:szCs w:val="24"/>
        </w:rPr>
        <w:t xml:space="preserve">, 2012, </w:t>
      </w:r>
      <w:r w:rsidRPr="003A1A2D">
        <w:rPr>
          <w:rFonts w:ascii="Calibri" w:hAnsi="Calibri" w:cs="Times New Roman"/>
          <w:b/>
          <w:bCs/>
          <w:noProof/>
          <w:sz w:val="18"/>
          <w:szCs w:val="24"/>
        </w:rPr>
        <w:t>23</w:t>
      </w:r>
      <w:r w:rsidRPr="003A1A2D">
        <w:rPr>
          <w:rFonts w:ascii="Calibri" w:hAnsi="Calibri" w:cs="Times New Roman"/>
          <w:noProof/>
          <w:sz w:val="18"/>
          <w:szCs w:val="24"/>
        </w:rPr>
        <w:t>, 710–719.</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54</w:t>
      </w:r>
      <w:r w:rsidRPr="003A1A2D">
        <w:rPr>
          <w:rFonts w:ascii="Calibri" w:hAnsi="Calibri" w:cs="Times New Roman"/>
          <w:noProof/>
          <w:sz w:val="18"/>
          <w:szCs w:val="24"/>
        </w:rPr>
        <w:tab/>
        <w:t xml:space="preserve">S. Chen, X. Jiang and L. Sun, </w:t>
      </w:r>
      <w:r w:rsidRPr="003A1A2D">
        <w:rPr>
          <w:rFonts w:ascii="Calibri" w:hAnsi="Calibri" w:cs="Times New Roman"/>
          <w:i/>
          <w:iCs/>
          <w:noProof/>
          <w:sz w:val="18"/>
          <w:szCs w:val="24"/>
        </w:rPr>
        <w:t>J. Appl. Polym. Sci.</w:t>
      </w:r>
      <w:r w:rsidRPr="003A1A2D">
        <w:rPr>
          <w:rFonts w:ascii="Calibri" w:hAnsi="Calibri" w:cs="Times New Roman"/>
          <w:noProof/>
          <w:sz w:val="18"/>
          <w:szCs w:val="24"/>
        </w:rPr>
        <w:t xml:space="preserve">, 2013, </w:t>
      </w:r>
      <w:r w:rsidRPr="003A1A2D">
        <w:rPr>
          <w:rFonts w:ascii="Calibri" w:hAnsi="Calibri" w:cs="Times New Roman"/>
          <w:b/>
          <w:bCs/>
          <w:noProof/>
          <w:sz w:val="18"/>
          <w:szCs w:val="24"/>
        </w:rPr>
        <w:t>130</w:t>
      </w:r>
      <w:r w:rsidRPr="003A1A2D">
        <w:rPr>
          <w:rFonts w:ascii="Calibri" w:hAnsi="Calibri" w:cs="Times New Roman"/>
          <w:noProof/>
          <w:sz w:val="18"/>
          <w:szCs w:val="24"/>
        </w:rPr>
        <w:t>, 1164–1171.</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55</w:t>
      </w:r>
      <w:r w:rsidRPr="003A1A2D">
        <w:rPr>
          <w:rFonts w:ascii="Calibri" w:hAnsi="Calibri" w:cs="Times New Roman"/>
          <w:noProof/>
          <w:sz w:val="18"/>
          <w:szCs w:val="24"/>
        </w:rPr>
        <w:tab/>
        <w:t xml:space="preserve">X. Ma, Y. Cui, X. Zhao, S. Zheng and X. Tang, </w:t>
      </w:r>
      <w:r w:rsidRPr="003A1A2D">
        <w:rPr>
          <w:rFonts w:ascii="Calibri" w:hAnsi="Calibri" w:cs="Times New Roman"/>
          <w:i/>
          <w:iCs/>
          <w:noProof/>
          <w:sz w:val="18"/>
          <w:szCs w:val="24"/>
        </w:rPr>
        <w:t>J. Colloid Interface Sci.</w:t>
      </w:r>
      <w:r w:rsidRPr="003A1A2D">
        <w:rPr>
          <w:rFonts w:ascii="Calibri" w:hAnsi="Calibri" w:cs="Times New Roman"/>
          <w:noProof/>
          <w:sz w:val="18"/>
          <w:szCs w:val="24"/>
        </w:rPr>
        <w:t xml:space="preserve">, 2004, </w:t>
      </w:r>
      <w:r w:rsidRPr="003A1A2D">
        <w:rPr>
          <w:rFonts w:ascii="Calibri" w:hAnsi="Calibri" w:cs="Times New Roman"/>
          <w:b/>
          <w:bCs/>
          <w:noProof/>
          <w:sz w:val="18"/>
          <w:szCs w:val="24"/>
        </w:rPr>
        <w:t>276</w:t>
      </w:r>
      <w:r w:rsidRPr="003A1A2D">
        <w:rPr>
          <w:rFonts w:ascii="Calibri" w:hAnsi="Calibri" w:cs="Times New Roman"/>
          <w:noProof/>
          <w:sz w:val="18"/>
          <w:szCs w:val="24"/>
        </w:rPr>
        <w:t>, 53–9.</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56</w:t>
      </w:r>
      <w:r w:rsidRPr="003A1A2D">
        <w:rPr>
          <w:rFonts w:ascii="Calibri" w:hAnsi="Calibri" w:cs="Times New Roman"/>
          <w:noProof/>
          <w:sz w:val="18"/>
          <w:szCs w:val="24"/>
        </w:rPr>
        <w:tab/>
        <w:t xml:space="preserve">K. Ogawa, A. Nakayama and E. Kokufuta, </w:t>
      </w:r>
      <w:r w:rsidRPr="003A1A2D">
        <w:rPr>
          <w:rFonts w:ascii="Calibri" w:hAnsi="Calibri" w:cs="Times New Roman"/>
          <w:i/>
          <w:iCs/>
          <w:noProof/>
          <w:sz w:val="18"/>
          <w:szCs w:val="24"/>
        </w:rPr>
        <w:t>Langmuir</w:t>
      </w:r>
      <w:r w:rsidRPr="003A1A2D">
        <w:rPr>
          <w:rFonts w:ascii="Calibri" w:hAnsi="Calibri" w:cs="Times New Roman"/>
          <w:noProof/>
          <w:sz w:val="18"/>
          <w:szCs w:val="24"/>
        </w:rPr>
        <w:t xml:space="preserve">, 2003, </w:t>
      </w:r>
      <w:r w:rsidRPr="003A1A2D">
        <w:rPr>
          <w:rFonts w:ascii="Calibri" w:hAnsi="Calibri" w:cs="Times New Roman"/>
          <w:b/>
          <w:bCs/>
          <w:noProof/>
          <w:sz w:val="18"/>
          <w:szCs w:val="24"/>
        </w:rPr>
        <w:t>19</w:t>
      </w:r>
      <w:r w:rsidRPr="003A1A2D">
        <w:rPr>
          <w:rFonts w:ascii="Calibri" w:hAnsi="Calibri" w:cs="Times New Roman"/>
          <w:noProof/>
          <w:sz w:val="18"/>
          <w:szCs w:val="24"/>
        </w:rPr>
        <w:t>, 3178–3184.</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57</w:t>
      </w:r>
      <w:r w:rsidRPr="003A1A2D">
        <w:rPr>
          <w:rFonts w:ascii="Calibri" w:hAnsi="Calibri" w:cs="Times New Roman"/>
          <w:noProof/>
          <w:sz w:val="18"/>
          <w:szCs w:val="24"/>
        </w:rPr>
        <w:tab/>
        <w:t xml:space="preserve">S. Ito, K. Ogawa, H. Suzuki, B. Wang, R. Yoshida and E. Kokufuta, </w:t>
      </w:r>
      <w:r w:rsidRPr="003A1A2D">
        <w:rPr>
          <w:rFonts w:ascii="Calibri" w:hAnsi="Calibri" w:cs="Times New Roman"/>
          <w:i/>
          <w:iCs/>
          <w:noProof/>
          <w:sz w:val="18"/>
          <w:szCs w:val="24"/>
        </w:rPr>
        <w:t>Langmuir</w:t>
      </w:r>
      <w:r w:rsidRPr="003A1A2D">
        <w:rPr>
          <w:rFonts w:ascii="Calibri" w:hAnsi="Calibri" w:cs="Times New Roman"/>
          <w:noProof/>
          <w:sz w:val="18"/>
          <w:szCs w:val="24"/>
        </w:rPr>
        <w:t xml:space="preserve">, 1999, </w:t>
      </w:r>
      <w:r w:rsidRPr="003A1A2D">
        <w:rPr>
          <w:rFonts w:ascii="Calibri" w:hAnsi="Calibri" w:cs="Times New Roman"/>
          <w:b/>
          <w:bCs/>
          <w:noProof/>
          <w:sz w:val="18"/>
          <w:szCs w:val="24"/>
        </w:rPr>
        <w:t>15</w:t>
      </w:r>
      <w:r w:rsidRPr="003A1A2D">
        <w:rPr>
          <w:rFonts w:ascii="Calibri" w:hAnsi="Calibri" w:cs="Times New Roman"/>
          <w:noProof/>
          <w:sz w:val="18"/>
          <w:szCs w:val="24"/>
        </w:rPr>
        <w:t>, 4289–4294.</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58</w:t>
      </w:r>
      <w:r w:rsidRPr="003A1A2D">
        <w:rPr>
          <w:rFonts w:ascii="Calibri" w:hAnsi="Calibri" w:cs="Times New Roman"/>
          <w:noProof/>
          <w:sz w:val="18"/>
          <w:szCs w:val="24"/>
        </w:rPr>
        <w:tab/>
        <w:t xml:space="preserve">R. H. Pelton, H. M. Pelton,  a. Morphesis and R. L. Rowell, </w:t>
      </w:r>
      <w:r w:rsidRPr="003A1A2D">
        <w:rPr>
          <w:rFonts w:ascii="Calibri" w:hAnsi="Calibri" w:cs="Times New Roman"/>
          <w:i/>
          <w:iCs/>
          <w:noProof/>
          <w:sz w:val="18"/>
          <w:szCs w:val="24"/>
        </w:rPr>
        <w:t>Langmuir</w:t>
      </w:r>
      <w:r w:rsidRPr="003A1A2D">
        <w:rPr>
          <w:rFonts w:ascii="Calibri" w:hAnsi="Calibri" w:cs="Times New Roman"/>
          <w:noProof/>
          <w:sz w:val="18"/>
          <w:szCs w:val="24"/>
        </w:rPr>
        <w:t xml:space="preserve">, 1989, </w:t>
      </w:r>
      <w:r w:rsidRPr="003A1A2D">
        <w:rPr>
          <w:rFonts w:ascii="Calibri" w:hAnsi="Calibri" w:cs="Times New Roman"/>
          <w:b/>
          <w:bCs/>
          <w:noProof/>
          <w:sz w:val="18"/>
          <w:szCs w:val="24"/>
        </w:rPr>
        <w:t>5</w:t>
      </w:r>
      <w:r w:rsidRPr="003A1A2D">
        <w:rPr>
          <w:rFonts w:ascii="Calibri" w:hAnsi="Calibri" w:cs="Times New Roman"/>
          <w:noProof/>
          <w:sz w:val="18"/>
          <w:szCs w:val="24"/>
        </w:rPr>
        <w:t>, 816–818.</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59</w:t>
      </w:r>
      <w:r w:rsidRPr="003A1A2D">
        <w:rPr>
          <w:rFonts w:ascii="Calibri" w:hAnsi="Calibri" w:cs="Times New Roman"/>
          <w:noProof/>
          <w:sz w:val="18"/>
          <w:szCs w:val="24"/>
        </w:rPr>
        <w:tab/>
        <w:t xml:space="preserve">M. Das and E. Kumacheva, </w:t>
      </w:r>
      <w:r w:rsidRPr="003A1A2D">
        <w:rPr>
          <w:rFonts w:ascii="Calibri" w:hAnsi="Calibri" w:cs="Times New Roman"/>
          <w:i/>
          <w:iCs/>
          <w:noProof/>
          <w:sz w:val="18"/>
          <w:szCs w:val="24"/>
        </w:rPr>
        <w:t>Colloid Polym. Sci.</w:t>
      </w:r>
      <w:r w:rsidRPr="003A1A2D">
        <w:rPr>
          <w:rFonts w:ascii="Calibri" w:hAnsi="Calibri" w:cs="Times New Roman"/>
          <w:noProof/>
          <w:sz w:val="18"/>
          <w:szCs w:val="24"/>
        </w:rPr>
        <w:t xml:space="preserve">, 2006, </w:t>
      </w:r>
      <w:r w:rsidRPr="003A1A2D">
        <w:rPr>
          <w:rFonts w:ascii="Calibri" w:hAnsi="Calibri" w:cs="Times New Roman"/>
          <w:b/>
          <w:bCs/>
          <w:noProof/>
          <w:sz w:val="18"/>
          <w:szCs w:val="24"/>
        </w:rPr>
        <w:t>284</w:t>
      </w:r>
      <w:r w:rsidRPr="003A1A2D">
        <w:rPr>
          <w:rFonts w:ascii="Calibri" w:hAnsi="Calibri" w:cs="Times New Roman"/>
          <w:noProof/>
          <w:sz w:val="18"/>
          <w:szCs w:val="24"/>
        </w:rPr>
        <w:t>, 1073–1084.</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60</w:t>
      </w:r>
      <w:r w:rsidRPr="003A1A2D">
        <w:rPr>
          <w:rFonts w:ascii="Calibri" w:hAnsi="Calibri" w:cs="Times New Roman"/>
          <w:noProof/>
          <w:sz w:val="18"/>
          <w:szCs w:val="24"/>
        </w:rPr>
        <w:tab/>
        <w:t xml:space="preserve">J. Zhou, G. Wang, L. Zou, L. Tang, M. Marquez and Z. Hu, </w:t>
      </w:r>
      <w:r w:rsidRPr="003A1A2D">
        <w:rPr>
          <w:rFonts w:ascii="Calibri" w:hAnsi="Calibri" w:cs="Times New Roman"/>
          <w:i/>
          <w:iCs/>
          <w:noProof/>
          <w:sz w:val="18"/>
          <w:szCs w:val="24"/>
        </w:rPr>
        <w:t>Biomacromolecules</w:t>
      </w:r>
      <w:r w:rsidRPr="003A1A2D">
        <w:rPr>
          <w:rFonts w:ascii="Calibri" w:hAnsi="Calibri" w:cs="Times New Roman"/>
          <w:noProof/>
          <w:sz w:val="18"/>
          <w:szCs w:val="24"/>
        </w:rPr>
        <w:t xml:space="preserve">, 2008, </w:t>
      </w:r>
      <w:r w:rsidRPr="003A1A2D">
        <w:rPr>
          <w:rFonts w:ascii="Calibri" w:hAnsi="Calibri" w:cs="Times New Roman"/>
          <w:b/>
          <w:bCs/>
          <w:noProof/>
          <w:sz w:val="18"/>
          <w:szCs w:val="24"/>
        </w:rPr>
        <w:t>9</w:t>
      </w:r>
      <w:r w:rsidRPr="003A1A2D">
        <w:rPr>
          <w:rFonts w:ascii="Calibri" w:hAnsi="Calibri" w:cs="Times New Roman"/>
          <w:noProof/>
          <w:sz w:val="18"/>
          <w:szCs w:val="24"/>
        </w:rPr>
        <w:t>, 142–148.</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61</w:t>
      </w:r>
      <w:r w:rsidRPr="003A1A2D">
        <w:rPr>
          <w:rFonts w:ascii="Calibri" w:hAnsi="Calibri" w:cs="Times New Roman"/>
          <w:noProof/>
          <w:sz w:val="18"/>
          <w:szCs w:val="24"/>
        </w:rPr>
        <w:tab/>
        <w:t xml:space="preserve">G. Huang, J. Gao, Z. Hu, J. V St. John, B. C. Ponder and D. Moro, </w:t>
      </w:r>
      <w:r w:rsidRPr="003A1A2D">
        <w:rPr>
          <w:rFonts w:ascii="Calibri" w:hAnsi="Calibri" w:cs="Times New Roman"/>
          <w:i/>
          <w:iCs/>
          <w:noProof/>
          <w:sz w:val="18"/>
          <w:szCs w:val="24"/>
        </w:rPr>
        <w:t>J. Control. Release</w:t>
      </w:r>
      <w:r w:rsidRPr="003A1A2D">
        <w:rPr>
          <w:rFonts w:ascii="Calibri" w:hAnsi="Calibri" w:cs="Times New Roman"/>
          <w:noProof/>
          <w:sz w:val="18"/>
          <w:szCs w:val="24"/>
        </w:rPr>
        <w:t xml:space="preserve">, 2004, </w:t>
      </w:r>
      <w:r w:rsidRPr="003A1A2D">
        <w:rPr>
          <w:rFonts w:ascii="Calibri" w:hAnsi="Calibri" w:cs="Times New Roman"/>
          <w:b/>
          <w:bCs/>
          <w:noProof/>
          <w:sz w:val="18"/>
          <w:szCs w:val="24"/>
        </w:rPr>
        <w:t>94</w:t>
      </w:r>
      <w:r w:rsidRPr="003A1A2D">
        <w:rPr>
          <w:rFonts w:ascii="Calibri" w:hAnsi="Calibri" w:cs="Times New Roman"/>
          <w:noProof/>
          <w:sz w:val="18"/>
          <w:szCs w:val="24"/>
        </w:rPr>
        <w:t>, 303–311.</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62</w:t>
      </w:r>
      <w:r w:rsidRPr="003A1A2D">
        <w:rPr>
          <w:rFonts w:ascii="Calibri" w:hAnsi="Calibri" w:cs="Times New Roman"/>
          <w:noProof/>
          <w:sz w:val="18"/>
          <w:szCs w:val="24"/>
        </w:rPr>
        <w:tab/>
        <w:t xml:space="preserve">N. Fogh-Andersen, B. M. Altura, B. T. Altura and O. Siggaard-Andersen, </w:t>
      </w:r>
      <w:r w:rsidRPr="003A1A2D">
        <w:rPr>
          <w:rFonts w:ascii="Calibri" w:hAnsi="Calibri" w:cs="Times New Roman"/>
          <w:i/>
          <w:iCs/>
          <w:noProof/>
          <w:sz w:val="18"/>
          <w:szCs w:val="24"/>
        </w:rPr>
        <w:t>Gen. Clin. Chem.</w:t>
      </w:r>
      <w:r w:rsidRPr="003A1A2D">
        <w:rPr>
          <w:rFonts w:ascii="Calibri" w:hAnsi="Calibri" w:cs="Times New Roman"/>
          <w:noProof/>
          <w:sz w:val="18"/>
          <w:szCs w:val="24"/>
        </w:rPr>
        <w:t xml:space="preserve">, 1995, </w:t>
      </w:r>
      <w:r w:rsidRPr="003A1A2D">
        <w:rPr>
          <w:rFonts w:ascii="Calibri" w:hAnsi="Calibri" w:cs="Times New Roman"/>
          <w:b/>
          <w:bCs/>
          <w:noProof/>
          <w:sz w:val="18"/>
          <w:szCs w:val="24"/>
        </w:rPr>
        <w:t>41</w:t>
      </w:r>
      <w:r w:rsidRPr="003A1A2D">
        <w:rPr>
          <w:rFonts w:ascii="Calibri" w:hAnsi="Calibri" w:cs="Times New Roman"/>
          <w:noProof/>
          <w:sz w:val="18"/>
          <w:szCs w:val="24"/>
        </w:rPr>
        <w:t>, 1522–1525.</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63</w:t>
      </w:r>
      <w:r w:rsidRPr="003A1A2D">
        <w:rPr>
          <w:rFonts w:ascii="Calibri" w:hAnsi="Calibri" w:cs="Times New Roman"/>
          <w:noProof/>
          <w:sz w:val="18"/>
          <w:szCs w:val="24"/>
        </w:rPr>
        <w:tab/>
        <w:t xml:space="preserve">F. Ye, S. W. Larsen, A. Yaghmur, H. Jensen, C. Larsen and J. Østergaard, </w:t>
      </w:r>
      <w:r w:rsidRPr="003A1A2D">
        <w:rPr>
          <w:rFonts w:ascii="Calibri" w:hAnsi="Calibri" w:cs="Times New Roman"/>
          <w:i/>
          <w:iCs/>
          <w:noProof/>
          <w:sz w:val="18"/>
          <w:szCs w:val="24"/>
        </w:rPr>
        <w:t>Eur. J. Pharm. Sci.</w:t>
      </w:r>
      <w:r w:rsidRPr="003A1A2D">
        <w:rPr>
          <w:rFonts w:ascii="Calibri" w:hAnsi="Calibri" w:cs="Times New Roman"/>
          <w:noProof/>
          <w:sz w:val="18"/>
          <w:szCs w:val="24"/>
        </w:rPr>
        <w:t xml:space="preserve">, 2012, </w:t>
      </w:r>
      <w:r w:rsidRPr="003A1A2D">
        <w:rPr>
          <w:rFonts w:ascii="Calibri" w:hAnsi="Calibri" w:cs="Times New Roman"/>
          <w:b/>
          <w:bCs/>
          <w:noProof/>
          <w:sz w:val="18"/>
          <w:szCs w:val="24"/>
        </w:rPr>
        <w:t>46</w:t>
      </w:r>
      <w:r w:rsidRPr="003A1A2D">
        <w:rPr>
          <w:rFonts w:ascii="Calibri" w:hAnsi="Calibri" w:cs="Times New Roman"/>
          <w:noProof/>
          <w:sz w:val="18"/>
          <w:szCs w:val="24"/>
        </w:rPr>
        <w:t>, 72–8.</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64</w:t>
      </w:r>
      <w:r w:rsidRPr="003A1A2D">
        <w:rPr>
          <w:rFonts w:ascii="Calibri" w:hAnsi="Calibri" w:cs="Times New Roman"/>
          <w:noProof/>
          <w:sz w:val="18"/>
          <w:szCs w:val="24"/>
        </w:rPr>
        <w:tab/>
        <w:t xml:space="preserve">H. L. Sham, D. J. Kempf, A. Molla, K. C. Marsh, G. N. Kumar, C. M. Chen, W. Kati, K. Stewart, R. Lal, A. Hsu, D. Betebenner, M. Korneyeva, S. Vasavanonda, E. McDonald, A. Saldivar, N. Wideburg, X. Chen, P. Niu, C. Park, V. Jayanti, B. Grabowski, G. R. Granneman, E. Sun, A. J. Japour, J. M. Leonard, J. J. Plattner and D. W. Norbeck, </w:t>
      </w:r>
      <w:r w:rsidRPr="003A1A2D">
        <w:rPr>
          <w:rFonts w:ascii="Calibri" w:hAnsi="Calibri" w:cs="Times New Roman"/>
          <w:i/>
          <w:iCs/>
          <w:noProof/>
          <w:sz w:val="18"/>
          <w:szCs w:val="24"/>
        </w:rPr>
        <w:t>Antimicrob Agents Chemother</w:t>
      </w:r>
      <w:r w:rsidRPr="003A1A2D">
        <w:rPr>
          <w:rFonts w:ascii="Calibri" w:hAnsi="Calibri" w:cs="Times New Roman"/>
          <w:noProof/>
          <w:sz w:val="18"/>
          <w:szCs w:val="24"/>
        </w:rPr>
        <w:t xml:space="preserve">, 1998, </w:t>
      </w:r>
      <w:r w:rsidRPr="003A1A2D">
        <w:rPr>
          <w:rFonts w:ascii="Calibri" w:hAnsi="Calibri" w:cs="Times New Roman"/>
          <w:b/>
          <w:bCs/>
          <w:noProof/>
          <w:sz w:val="18"/>
          <w:szCs w:val="24"/>
        </w:rPr>
        <w:t>42</w:t>
      </w:r>
      <w:r w:rsidRPr="003A1A2D">
        <w:rPr>
          <w:rFonts w:ascii="Calibri" w:hAnsi="Calibri" w:cs="Times New Roman"/>
          <w:noProof/>
          <w:sz w:val="18"/>
          <w:szCs w:val="24"/>
        </w:rPr>
        <w:t>, 3218–3224.</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65</w:t>
      </w:r>
      <w:r w:rsidRPr="003A1A2D">
        <w:rPr>
          <w:rFonts w:ascii="Calibri" w:hAnsi="Calibri" w:cs="Times New Roman"/>
          <w:noProof/>
          <w:sz w:val="18"/>
          <w:szCs w:val="24"/>
        </w:rPr>
        <w:tab/>
        <w:t xml:space="preserve">V. Oldfield and G. L. Plosker, </w:t>
      </w:r>
      <w:r w:rsidRPr="003A1A2D">
        <w:rPr>
          <w:rFonts w:ascii="Calibri" w:hAnsi="Calibri" w:cs="Times New Roman"/>
          <w:i/>
          <w:iCs/>
          <w:noProof/>
          <w:sz w:val="18"/>
          <w:szCs w:val="24"/>
        </w:rPr>
        <w:t>Drugs</w:t>
      </w:r>
      <w:r w:rsidRPr="003A1A2D">
        <w:rPr>
          <w:rFonts w:ascii="Calibri" w:hAnsi="Calibri" w:cs="Times New Roman"/>
          <w:noProof/>
          <w:sz w:val="18"/>
          <w:szCs w:val="24"/>
        </w:rPr>
        <w:t xml:space="preserve">, 2006, </w:t>
      </w:r>
      <w:r w:rsidRPr="003A1A2D">
        <w:rPr>
          <w:rFonts w:ascii="Calibri" w:hAnsi="Calibri" w:cs="Times New Roman"/>
          <w:b/>
          <w:bCs/>
          <w:noProof/>
          <w:sz w:val="18"/>
          <w:szCs w:val="24"/>
        </w:rPr>
        <w:t>66</w:t>
      </w:r>
      <w:r w:rsidRPr="003A1A2D">
        <w:rPr>
          <w:rFonts w:ascii="Calibri" w:hAnsi="Calibri" w:cs="Times New Roman"/>
          <w:noProof/>
          <w:sz w:val="18"/>
          <w:szCs w:val="24"/>
        </w:rPr>
        <w:t>, 1275–1299.</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66</w:t>
      </w:r>
      <w:r w:rsidRPr="003A1A2D">
        <w:rPr>
          <w:rFonts w:ascii="Calibri" w:hAnsi="Calibri" w:cs="Times New Roman"/>
          <w:noProof/>
          <w:sz w:val="18"/>
          <w:szCs w:val="24"/>
        </w:rPr>
        <w:tab/>
        <w:t xml:space="preserve">S. Allababidi and J. C. Shah, </w:t>
      </w:r>
      <w:r w:rsidRPr="003A1A2D">
        <w:rPr>
          <w:rFonts w:ascii="Calibri" w:hAnsi="Calibri" w:cs="Times New Roman"/>
          <w:i/>
          <w:iCs/>
          <w:noProof/>
          <w:sz w:val="18"/>
          <w:szCs w:val="24"/>
        </w:rPr>
        <w:t>J. Pharm. Sci.</w:t>
      </w:r>
      <w:r w:rsidRPr="003A1A2D">
        <w:rPr>
          <w:rFonts w:ascii="Calibri" w:hAnsi="Calibri" w:cs="Times New Roman"/>
          <w:noProof/>
          <w:sz w:val="18"/>
          <w:szCs w:val="24"/>
        </w:rPr>
        <w:t xml:space="preserve">, 1998, </w:t>
      </w:r>
      <w:r w:rsidRPr="003A1A2D">
        <w:rPr>
          <w:rFonts w:ascii="Calibri" w:hAnsi="Calibri" w:cs="Times New Roman"/>
          <w:b/>
          <w:bCs/>
          <w:noProof/>
          <w:sz w:val="18"/>
          <w:szCs w:val="24"/>
        </w:rPr>
        <w:t>87</w:t>
      </w:r>
      <w:r w:rsidRPr="003A1A2D">
        <w:rPr>
          <w:rFonts w:ascii="Calibri" w:hAnsi="Calibri" w:cs="Times New Roman"/>
          <w:noProof/>
          <w:sz w:val="18"/>
          <w:szCs w:val="24"/>
        </w:rPr>
        <w:t>, 738–744.</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67</w:t>
      </w:r>
      <w:r w:rsidRPr="003A1A2D">
        <w:rPr>
          <w:rFonts w:ascii="Calibri" w:hAnsi="Calibri" w:cs="Times New Roman"/>
          <w:noProof/>
          <w:sz w:val="18"/>
          <w:szCs w:val="24"/>
        </w:rPr>
        <w:tab/>
        <w:t xml:space="preserve">Y. Fu and W. J. Kao, </w:t>
      </w:r>
      <w:r w:rsidRPr="003A1A2D">
        <w:rPr>
          <w:rFonts w:ascii="Calibri" w:hAnsi="Calibri" w:cs="Times New Roman"/>
          <w:i/>
          <w:iCs/>
          <w:noProof/>
          <w:sz w:val="18"/>
          <w:szCs w:val="24"/>
        </w:rPr>
        <w:t>Pharm. Res.</w:t>
      </w:r>
      <w:r w:rsidRPr="003A1A2D">
        <w:rPr>
          <w:rFonts w:ascii="Calibri" w:hAnsi="Calibri" w:cs="Times New Roman"/>
          <w:noProof/>
          <w:sz w:val="18"/>
          <w:szCs w:val="24"/>
        </w:rPr>
        <w:t xml:space="preserve">, 2009, </w:t>
      </w:r>
      <w:r w:rsidRPr="003A1A2D">
        <w:rPr>
          <w:rFonts w:ascii="Calibri" w:hAnsi="Calibri" w:cs="Times New Roman"/>
          <w:b/>
          <w:bCs/>
          <w:noProof/>
          <w:sz w:val="18"/>
          <w:szCs w:val="24"/>
        </w:rPr>
        <w:t>7</w:t>
      </w:r>
      <w:r w:rsidRPr="003A1A2D">
        <w:rPr>
          <w:rFonts w:ascii="Calibri" w:hAnsi="Calibri" w:cs="Times New Roman"/>
          <w:noProof/>
          <w:sz w:val="18"/>
          <w:szCs w:val="24"/>
        </w:rPr>
        <w:t>, 429–444.</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68</w:t>
      </w:r>
      <w:r w:rsidRPr="003A1A2D">
        <w:rPr>
          <w:rFonts w:ascii="Calibri" w:hAnsi="Calibri" w:cs="Times New Roman"/>
          <w:noProof/>
          <w:sz w:val="18"/>
          <w:szCs w:val="24"/>
        </w:rPr>
        <w:tab/>
        <w:t xml:space="preserve">T. Higuchi, </w:t>
      </w:r>
      <w:r w:rsidRPr="003A1A2D">
        <w:rPr>
          <w:rFonts w:ascii="Calibri" w:hAnsi="Calibri" w:cs="Times New Roman"/>
          <w:i/>
          <w:iCs/>
          <w:noProof/>
          <w:sz w:val="18"/>
          <w:szCs w:val="24"/>
        </w:rPr>
        <w:t>J. Pharm. Sci.</w:t>
      </w:r>
      <w:r w:rsidRPr="003A1A2D">
        <w:rPr>
          <w:rFonts w:ascii="Calibri" w:hAnsi="Calibri" w:cs="Times New Roman"/>
          <w:noProof/>
          <w:sz w:val="18"/>
          <w:szCs w:val="24"/>
        </w:rPr>
        <w:t xml:space="preserve">, 1961, </w:t>
      </w:r>
      <w:r w:rsidRPr="003A1A2D">
        <w:rPr>
          <w:rFonts w:ascii="Calibri" w:hAnsi="Calibri" w:cs="Times New Roman"/>
          <w:b/>
          <w:bCs/>
          <w:noProof/>
          <w:sz w:val="18"/>
          <w:szCs w:val="24"/>
        </w:rPr>
        <w:t>50</w:t>
      </w:r>
      <w:r w:rsidRPr="003A1A2D">
        <w:rPr>
          <w:rFonts w:ascii="Calibri" w:hAnsi="Calibri" w:cs="Times New Roman"/>
          <w:noProof/>
          <w:sz w:val="18"/>
          <w:szCs w:val="24"/>
        </w:rPr>
        <w:t>, 874–875.</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69</w:t>
      </w:r>
      <w:r w:rsidRPr="003A1A2D">
        <w:rPr>
          <w:rFonts w:ascii="Calibri" w:hAnsi="Calibri" w:cs="Times New Roman"/>
          <w:noProof/>
          <w:sz w:val="18"/>
          <w:szCs w:val="24"/>
        </w:rPr>
        <w:tab/>
        <w:t xml:space="preserve">F. Ganji and E. Vasheghani-Farahani, </w:t>
      </w:r>
      <w:r w:rsidRPr="003A1A2D">
        <w:rPr>
          <w:rFonts w:ascii="Calibri" w:hAnsi="Calibri" w:cs="Times New Roman"/>
          <w:i/>
          <w:iCs/>
          <w:noProof/>
          <w:sz w:val="18"/>
          <w:szCs w:val="24"/>
        </w:rPr>
        <w:t>Iran. Polym. J.</w:t>
      </w:r>
      <w:r w:rsidRPr="003A1A2D">
        <w:rPr>
          <w:rFonts w:ascii="Calibri" w:hAnsi="Calibri" w:cs="Times New Roman"/>
          <w:noProof/>
          <w:sz w:val="18"/>
          <w:szCs w:val="24"/>
        </w:rPr>
        <w:t xml:space="preserve">, 2009, </w:t>
      </w:r>
      <w:r w:rsidRPr="003A1A2D">
        <w:rPr>
          <w:rFonts w:ascii="Calibri" w:hAnsi="Calibri" w:cs="Times New Roman"/>
          <w:b/>
          <w:bCs/>
          <w:noProof/>
          <w:sz w:val="18"/>
          <w:szCs w:val="24"/>
        </w:rPr>
        <w:t>18</w:t>
      </w:r>
      <w:r w:rsidRPr="003A1A2D">
        <w:rPr>
          <w:rFonts w:ascii="Calibri" w:hAnsi="Calibri" w:cs="Times New Roman"/>
          <w:noProof/>
          <w:sz w:val="18"/>
          <w:szCs w:val="24"/>
        </w:rPr>
        <w:t>, 63–88.</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70</w:t>
      </w:r>
      <w:r w:rsidRPr="003A1A2D">
        <w:rPr>
          <w:rFonts w:ascii="Calibri" w:hAnsi="Calibri" w:cs="Times New Roman"/>
          <w:noProof/>
          <w:sz w:val="18"/>
          <w:szCs w:val="24"/>
        </w:rPr>
        <w:tab/>
        <w:t xml:space="preserve">D. Samaha, R. Shehayeb and S. Kyriacos, </w:t>
      </w:r>
      <w:r w:rsidRPr="003A1A2D">
        <w:rPr>
          <w:rFonts w:ascii="Calibri" w:hAnsi="Calibri" w:cs="Times New Roman"/>
          <w:i/>
          <w:iCs/>
          <w:noProof/>
          <w:sz w:val="18"/>
          <w:szCs w:val="24"/>
        </w:rPr>
        <w:t>Dissolution Technol.</w:t>
      </w:r>
      <w:r w:rsidRPr="003A1A2D">
        <w:rPr>
          <w:rFonts w:ascii="Calibri" w:hAnsi="Calibri" w:cs="Times New Roman"/>
          <w:noProof/>
          <w:sz w:val="18"/>
          <w:szCs w:val="24"/>
        </w:rPr>
        <w:t xml:space="preserve">, 2009, </w:t>
      </w:r>
      <w:r w:rsidRPr="003A1A2D">
        <w:rPr>
          <w:rFonts w:ascii="Calibri" w:hAnsi="Calibri" w:cs="Times New Roman"/>
          <w:b/>
          <w:bCs/>
          <w:noProof/>
          <w:sz w:val="18"/>
          <w:szCs w:val="24"/>
        </w:rPr>
        <w:t>16</w:t>
      </w:r>
      <w:r w:rsidRPr="003A1A2D">
        <w:rPr>
          <w:rFonts w:ascii="Calibri" w:hAnsi="Calibri" w:cs="Times New Roman"/>
          <w:noProof/>
          <w:sz w:val="18"/>
          <w:szCs w:val="24"/>
        </w:rPr>
        <w:t>, 41–46.</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71</w:t>
      </w:r>
      <w:r w:rsidRPr="003A1A2D">
        <w:rPr>
          <w:rFonts w:ascii="Calibri" w:hAnsi="Calibri" w:cs="Times New Roman"/>
          <w:noProof/>
          <w:sz w:val="18"/>
          <w:szCs w:val="24"/>
        </w:rPr>
        <w:tab/>
        <w:t xml:space="preserve">T. Higuchi, </w:t>
      </w:r>
      <w:r w:rsidRPr="003A1A2D">
        <w:rPr>
          <w:rFonts w:ascii="Calibri" w:hAnsi="Calibri" w:cs="Times New Roman"/>
          <w:i/>
          <w:iCs/>
          <w:noProof/>
          <w:sz w:val="18"/>
          <w:szCs w:val="24"/>
        </w:rPr>
        <w:t>J. Pharm. Sci.</w:t>
      </w:r>
      <w:r w:rsidRPr="003A1A2D">
        <w:rPr>
          <w:rFonts w:ascii="Calibri" w:hAnsi="Calibri" w:cs="Times New Roman"/>
          <w:noProof/>
          <w:sz w:val="18"/>
          <w:szCs w:val="24"/>
        </w:rPr>
        <w:t xml:space="preserve">, 1963, </w:t>
      </w:r>
      <w:r w:rsidRPr="003A1A2D">
        <w:rPr>
          <w:rFonts w:ascii="Calibri" w:hAnsi="Calibri" w:cs="Times New Roman"/>
          <w:b/>
          <w:bCs/>
          <w:noProof/>
          <w:sz w:val="18"/>
          <w:szCs w:val="24"/>
        </w:rPr>
        <w:t>52</w:t>
      </w:r>
      <w:r w:rsidRPr="003A1A2D">
        <w:rPr>
          <w:rFonts w:ascii="Calibri" w:hAnsi="Calibri" w:cs="Times New Roman"/>
          <w:noProof/>
          <w:sz w:val="18"/>
          <w:szCs w:val="24"/>
        </w:rPr>
        <w:t>, 1145–1149.</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72</w:t>
      </w:r>
      <w:r w:rsidRPr="003A1A2D">
        <w:rPr>
          <w:rFonts w:ascii="Calibri" w:hAnsi="Calibri" w:cs="Times New Roman"/>
          <w:noProof/>
          <w:sz w:val="18"/>
          <w:szCs w:val="24"/>
        </w:rPr>
        <w:tab/>
        <w:t xml:space="preserve">E. Merisko-Liversidge and G. G. Liversidge, </w:t>
      </w:r>
      <w:r w:rsidRPr="003A1A2D">
        <w:rPr>
          <w:rFonts w:ascii="Calibri" w:hAnsi="Calibri" w:cs="Times New Roman"/>
          <w:i/>
          <w:iCs/>
          <w:noProof/>
          <w:sz w:val="18"/>
          <w:szCs w:val="24"/>
        </w:rPr>
        <w:t>Adv. Drug Deliv. Rev.</w:t>
      </w:r>
      <w:r w:rsidRPr="003A1A2D">
        <w:rPr>
          <w:rFonts w:ascii="Calibri" w:hAnsi="Calibri" w:cs="Times New Roman"/>
          <w:noProof/>
          <w:sz w:val="18"/>
          <w:szCs w:val="24"/>
        </w:rPr>
        <w:t xml:space="preserve">, 2011, </w:t>
      </w:r>
      <w:r w:rsidRPr="003A1A2D">
        <w:rPr>
          <w:rFonts w:ascii="Calibri" w:hAnsi="Calibri" w:cs="Times New Roman"/>
          <w:b/>
          <w:bCs/>
          <w:noProof/>
          <w:sz w:val="18"/>
          <w:szCs w:val="24"/>
        </w:rPr>
        <w:t>63</w:t>
      </w:r>
      <w:r w:rsidRPr="003A1A2D">
        <w:rPr>
          <w:rFonts w:ascii="Calibri" w:hAnsi="Calibri" w:cs="Times New Roman"/>
          <w:noProof/>
          <w:sz w:val="18"/>
          <w:szCs w:val="24"/>
        </w:rPr>
        <w:t>, 427–440.</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73</w:t>
      </w:r>
      <w:r w:rsidRPr="003A1A2D">
        <w:rPr>
          <w:rFonts w:ascii="Calibri" w:hAnsi="Calibri" w:cs="Times New Roman"/>
          <w:noProof/>
          <w:sz w:val="18"/>
          <w:szCs w:val="24"/>
        </w:rPr>
        <w:tab/>
        <w:t xml:space="preserve">M. P. B C Hancock, </w:t>
      </w:r>
      <w:r w:rsidRPr="003A1A2D">
        <w:rPr>
          <w:rFonts w:ascii="Calibri" w:hAnsi="Calibri" w:cs="Times New Roman"/>
          <w:i/>
          <w:iCs/>
          <w:noProof/>
          <w:sz w:val="18"/>
          <w:szCs w:val="24"/>
        </w:rPr>
        <w:t xml:space="preserve">Pharm Res </w:t>
      </w:r>
      <w:r w:rsidRPr="003A1A2D">
        <w:rPr>
          <w:rFonts w:ascii="Calibri" w:hAnsi="Calibri" w:cs="Times New Roman"/>
          <w:noProof/>
          <w:sz w:val="18"/>
          <w:szCs w:val="24"/>
        </w:rPr>
        <w:t xml:space="preserve">, 2000, </w:t>
      </w:r>
      <w:r w:rsidRPr="003A1A2D">
        <w:rPr>
          <w:rFonts w:ascii="Calibri" w:hAnsi="Calibri" w:cs="Times New Roman"/>
          <w:b/>
          <w:bCs/>
          <w:noProof/>
          <w:sz w:val="18"/>
          <w:szCs w:val="24"/>
        </w:rPr>
        <w:t>17</w:t>
      </w:r>
      <w:r w:rsidRPr="003A1A2D">
        <w:rPr>
          <w:rFonts w:ascii="Calibri" w:hAnsi="Calibri" w:cs="Times New Roman"/>
          <w:noProof/>
          <w:sz w:val="18"/>
          <w:szCs w:val="24"/>
        </w:rPr>
        <w:t>, 397–404.</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74</w:t>
      </w:r>
      <w:r w:rsidRPr="003A1A2D">
        <w:rPr>
          <w:rFonts w:ascii="Calibri" w:hAnsi="Calibri" w:cs="Times New Roman"/>
          <w:noProof/>
          <w:sz w:val="18"/>
          <w:szCs w:val="24"/>
        </w:rPr>
        <w:tab/>
        <w:t xml:space="preserve">P. C. Naha, K. Bhattacharya, T. Tenuta, K. A. Dawson, I. Lynch, A. Gracia, F. M. Lyng and H. J. Byrne, </w:t>
      </w:r>
      <w:r w:rsidRPr="003A1A2D">
        <w:rPr>
          <w:rFonts w:ascii="Calibri" w:hAnsi="Calibri" w:cs="Times New Roman"/>
          <w:i/>
          <w:iCs/>
          <w:noProof/>
          <w:sz w:val="18"/>
          <w:szCs w:val="24"/>
        </w:rPr>
        <w:t>Toxicol. Lett.</w:t>
      </w:r>
      <w:r w:rsidRPr="003A1A2D">
        <w:rPr>
          <w:rFonts w:ascii="Calibri" w:hAnsi="Calibri" w:cs="Times New Roman"/>
          <w:noProof/>
          <w:sz w:val="18"/>
          <w:szCs w:val="24"/>
        </w:rPr>
        <w:t xml:space="preserve">, 2010, </w:t>
      </w:r>
      <w:r w:rsidRPr="003A1A2D">
        <w:rPr>
          <w:rFonts w:ascii="Calibri" w:hAnsi="Calibri" w:cs="Times New Roman"/>
          <w:b/>
          <w:bCs/>
          <w:noProof/>
          <w:sz w:val="18"/>
          <w:szCs w:val="24"/>
        </w:rPr>
        <w:t>198</w:t>
      </w:r>
      <w:r w:rsidRPr="003A1A2D">
        <w:rPr>
          <w:rFonts w:ascii="Calibri" w:hAnsi="Calibri" w:cs="Times New Roman"/>
          <w:noProof/>
          <w:sz w:val="18"/>
          <w:szCs w:val="24"/>
        </w:rPr>
        <w:t>, 134–143.</w:t>
      </w:r>
    </w:p>
    <w:p w:rsidR="00604457" w:rsidRPr="003A1A2D" w:rsidRDefault="00604457" w:rsidP="00604457">
      <w:pPr>
        <w:widowControl w:val="0"/>
        <w:autoSpaceDE w:val="0"/>
        <w:autoSpaceDN w:val="0"/>
        <w:adjustRightInd w:val="0"/>
        <w:spacing w:line="240" w:lineRule="auto"/>
        <w:ind w:left="640" w:hanging="640"/>
        <w:rPr>
          <w:rFonts w:ascii="Calibri" w:hAnsi="Calibri" w:cs="Times New Roman"/>
          <w:noProof/>
          <w:sz w:val="18"/>
          <w:szCs w:val="24"/>
        </w:rPr>
      </w:pPr>
      <w:r w:rsidRPr="003A1A2D">
        <w:rPr>
          <w:rFonts w:ascii="Calibri" w:hAnsi="Calibri" w:cs="Times New Roman"/>
          <w:noProof/>
          <w:sz w:val="18"/>
          <w:szCs w:val="24"/>
        </w:rPr>
        <w:t>75</w:t>
      </w:r>
      <w:r w:rsidRPr="003A1A2D">
        <w:rPr>
          <w:rFonts w:ascii="Calibri" w:hAnsi="Calibri" w:cs="Times New Roman"/>
          <w:noProof/>
          <w:sz w:val="18"/>
          <w:szCs w:val="24"/>
        </w:rPr>
        <w:tab/>
        <w:t xml:space="preserve">M. A. Cooperstein and H. E. Canavan, </w:t>
      </w:r>
      <w:r w:rsidRPr="003A1A2D">
        <w:rPr>
          <w:rFonts w:ascii="Calibri" w:hAnsi="Calibri" w:cs="Times New Roman"/>
          <w:i/>
          <w:iCs/>
          <w:noProof/>
          <w:sz w:val="18"/>
          <w:szCs w:val="24"/>
        </w:rPr>
        <w:t>Biointerphases</w:t>
      </w:r>
      <w:r w:rsidRPr="003A1A2D">
        <w:rPr>
          <w:rFonts w:ascii="Calibri" w:hAnsi="Calibri" w:cs="Times New Roman"/>
          <w:noProof/>
          <w:sz w:val="18"/>
          <w:szCs w:val="24"/>
        </w:rPr>
        <w:t xml:space="preserve">, 2013, </w:t>
      </w:r>
      <w:r w:rsidRPr="003A1A2D">
        <w:rPr>
          <w:rFonts w:ascii="Calibri" w:hAnsi="Calibri" w:cs="Times New Roman"/>
          <w:b/>
          <w:bCs/>
          <w:noProof/>
          <w:sz w:val="18"/>
          <w:szCs w:val="24"/>
        </w:rPr>
        <w:t>8</w:t>
      </w:r>
      <w:r w:rsidRPr="003A1A2D">
        <w:rPr>
          <w:rFonts w:ascii="Calibri" w:hAnsi="Calibri" w:cs="Times New Roman"/>
          <w:noProof/>
          <w:sz w:val="18"/>
          <w:szCs w:val="24"/>
        </w:rPr>
        <w:t>, 19.</w:t>
      </w:r>
    </w:p>
    <w:p w:rsidR="00604457" w:rsidRPr="00604457" w:rsidRDefault="00604457" w:rsidP="00604457">
      <w:pPr>
        <w:widowControl w:val="0"/>
        <w:autoSpaceDE w:val="0"/>
        <w:autoSpaceDN w:val="0"/>
        <w:adjustRightInd w:val="0"/>
        <w:spacing w:line="240" w:lineRule="auto"/>
        <w:ind w:left="640" w:hanging="640"/>
        <w:rPr>
          <w:rFonts w:ascii="Calibri" w:hAnsi="Calibri"/>
          <w:noProof/>
          <w:sz w:val="18"/>
        </w:rPr>
      </w:pPr>
      <w:r w:rsidRPr="003A1A2D">
        <w:rPr>
          <w:rFonts w:ascii="Calibri" w:hAnsi="Calibri" w:cs="Times New Roman"/>
          <w:noProof/>
          <w:sz w:val="18"/>
          <w:szCs w:val="24"/>
        </w:rPr>
        <w:t>76</w:t>
      </w:r>
      <w:r w:rsidRPr="003A1A2D">
        <w:rPr>
          <w:rFonts w:ascii="Calibri" w:hAnsi="Calibri" w:cs="Times New Roman"/>
          <w:noProof/>
          <w:sz w:val="18"/>
          <w:szCs w:val="24"/>
        </w:rPr>
        <w:tab/>
        <w:t xml:space="preserve">W. Xiong, X. Gao, Y. Zhao, H. Xu and X. Yang, </w:t>
      </w:r>
      <w:r w:rsidRPr="003A1A2D">
        <w:rPr>
          <w:rFonts w:ascii="Calibri" w:hAnsi="Calibri" w:cs="Times New Roman"/>
          <w:i/>
          <w:iCs/>
          <w:noProof/>
          <w:sz w:val="18"/>
          <w:szCs w:val="24"/>
        </w:rPr>
        <w:t>Colloids Surf. B. Biointerfaces</w:t>
      </w:r>
      <w:r w:rsidRPr="003A1A2D">
        <w:rPr>
          <w:rFonts w:ascii="Calibri" w:hAnsi="Calibri" w:cs="Times New Roman"/>
          <w:noProof/>
          <w:sz w:val="18"/>
          <w:szCs w:val="24"/>
        </w:rPr>
        <w:t xml:space="preserve">, 2011, </w:t>
      </w:r>
      <w:r w:rsidRPr="003A1A2D">
        <w:rPr>
          <w:rFonts w:ascii="Calibri" w:hAnsi="Calibri" w:cs="Times New Roman"/>
          <w:b/>
          <w:bCs/>
          <w:noProof/>
          <w:sz w:val="18"/>
          <w:szCs w:val="24"/>
        </w:rPr>
        <w:t>84</w:t>
      </w:r>
      <w:r w:rsidRPr="003A1A2D">
        <w:rPr>
          <w:rFonts w:ascii="Calibri" w:hAnsi="Calibri" w:cs="Times New Roman"/>
          <w:noProof/>
          <w:sz w:val="18"/>
          <w:szCs w:val="24"/>
        </w:rPr>
        <w:t>, 103–10.</w:t>
      </w:r>
    </w:p>
    <w:p w:rsidR="00F157DD" w:rsidRPr="00A626F6" w:rsidRDefault="00F157DD" w:rsidP="00A626F6">
      <w:pPr>
        <w:jc w:val="both"/>
        <w:outlineLvl w:val="0"/>
        <w:rPr>
          <w:b/>
          <w:sz w:val="18"/>
          <w:szCs w:val="18"/>
        </w:rPr>
      </w:pPr>
    </w:p>
    <w:sectPr w:rsidR="00F157DD" w:rsidRPr="00A626F6" w:rsidSect="00514CBA">
      <w:headerReference w:type="even" r:id="rId22"/>
      <w:headerReference w:type="default" r:id="rId23"/>
      <w:footerReference w:type="even" r:id="rId24"/>
      <w:footerReference w:type="default" r:id="rId25"/>
      <w:headerReference w:type="first" r:id="rId26"/>
      <w:footerReference w:type="first" r:id="rId27"/>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780" w:rsidRDefault="00F91780" w:rsidP="00E547DB">
      <w:pPr>
        <w:spacing w:after="0" w:line="240" w:lineRule="auto"/>
      </w:pPr>
      <w:r>
        <w:separator/>
      </w:r>
    </w:p>
    <w:p w:rsidR="00F91780" w:rsidRDefault="00F91780"/>
    <w:p w:rsidR="00F91780" w:rsidRDefault="00F91780"/>
    <w:p w:rsidR="00F91780" w:rsidRDefault="00F91780"/>
    <w:p w:rsidR="00F91780" w:rsidRDefault="00F91780"/>
    <w:p w:rsidR="00F91780" w:rsidRDefault="00F91780"/>
  </w:endnote>
  <w:endnote w:type="continuationSeparator" w:id="0">
    <w:p w:rsidR="00F91780" w:rsidRDefault="00F91780" w:rsidP="00E547DB">
      <w:pPr>
        <w:spacing w:after="0" w:line="240" w:lineRule="auto"/>
      </w:pPr>
      <w:r>
        <w:continuationSeparator/>
      </w:r>
    </w:p>
    <w:p w:rsidR="00F91780" w:rsidRDefault="00F91780"/>
    <w:p w:rsidR="00F91780" w:rsidRDefault="00F91780"/>
    <w:p w:rsidR="00F91780" w:rsidRDefault="00F91780"/>
    <w:p w:rsidR="00F91780" w:rsidRDefault="00F91780"/>
    <w:p w:rsidR="00F91780" w:rsidRDefault="00F917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9D38E06-F4C8-4DC0-BE4D-BC828229A43F}"/>
    <w:embedBold r:id="rId2" w:fontKey="{5F6DD3F8-0D62-4855-ACBD-C5D11EFB2632}"/>
    <w:embedItalic r:id="rId3" w:fontKey="{927485ED-3040-4A88-9E28-4C3DBAEC6A65}"/>
    <w:embedBoldItalic r:id="rId4" w:fontKey="{57D19BE3-1E30-4FDB-85EF-60990281781D}"/>
  </w:font>
  <w:font w:name="Tahoma">
    <w:panose1 w:val="020B0604030504040204"/>
    <w:charset w:val="00"/>
    <w:family w:val="swiss"/>
    <w:pitch w:val="variable"/>
    <w:sig w:usb0="E1002EFF" w:usb1="C000605B" w:usb2="00000029" w:usb3="00000000" w:csb0="000101FF" w:csb1="00000000"/>
    <w:embedRegular r:id="rId5" w:fontKey="{1C58B0F9-9C0C-4B3D-9199-6CC712E85D8C}"/>
  </w:font>
  <w:font w:name="Cambria Math">
    <w:panose1 w:val="02040503050406030204"/>
    <w:charset w:val="00"/>
    <w:family w:val="roman"/>
    <w:pitch w:val="variable"/>
    <w:sig w:usb0="E00002FF" w:usb1="420024FF" w:usb2="00000000" w:usb3="00000000" w:csb0="0000019F" w:csb1="00000000"/>
    <w:embedRegular r:id="rId6" w:fontKey="{AFD1C9A7-52C1-41B2-B9D0-4E0C6E834031}"/>
  </w:font>
  <w:font w:name="Cambria">
    <w:panose1 w:val="02040503050406030204"/>
    <w:charset w:val="00"/>
    <w:family w:val="roman"/>
    <w:pitch w:val="variable"/>
    <w:sig w:usb0="E00002FF" w:usb1="400004FF" w:usb2="00000000" w:usb3="00000000" w:csb0="0000019F" w:csb1="00000000"/>
    <w:embedRegular r:id="rId7" w:fontKey="{69B468B7-D456-438F-A0B2-F9932C10D8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22" w:rsidRPr="006602F1" w:rsidRDefault="004F4522"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10</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Nanoscale</w:t>
    </w:r>
    <w:r>
      <w:rPr>
        <w:noProof/>
        <w:spacing w:val="10"/>
        <w:sz w:val="16"/>
        <w:szCs w:val="16"/>
      </w:rPr>
      <w:t>, 2016</w:t>
    </w:r>
    <w:r w:rsidRPr="006602F1">
      <w:rPr>
        <w:noProof/>
        <w:spacing w:val="10"/>
        <w:sz w:val="16"/>
        <w:szCs w:val="16"/>
      </w:rPr>
      <w:t xml:space="preserve">,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22" w:rsidRPr="006602F1" w:rsidRDefault="004F4522"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2016</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6</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11</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22" w:rsidRPr="006602F1" w:rsidRDefault="004F4522"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75648" behindDoc="0" locked="0" layoutInCell="1" allowOverlap="1" wp14:anchorId="75011D67" wp14:editId="46D1FE04">
              <wp:simplePos x="0" y="0"/>
              <wp:positionH relativeFrom="column">
                <wp:align>center</wp:align>
              </wp:positionH>
              <wp:positionV relativeFrom="page">
                <wp:align>bottom</wp:align>
              </wp:positionV>
              <wp:extent cx="7700400" cy="396000"/>
              <wp:effectExtent l="0" t="0"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4F4522" w:rsidRPr="00F20A7C" w:rsidRDefault="004F452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5011D67" id="_x0000_t202" coordsize="21600,21600" o:spt="202" path="m,l,21600r21600,l21600,xe">
              <v:stroke joinstyle="miter"/>
              <v:path gradientshapeok="t" o:connecttype="rect"/>
            </v:shapetype>
            <v:shape id="_x0000_s1032" type="#_x0000_t202" style="position:absolute;margin-left:0;margin-top:0;width:606.35pt;height:31.2pt;z-index:25167564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AVnSL6MwIAAEgEAAAOAAAAAAAAAAAAAAAAAC4C&#10;AABkcnMvZTJvRG9jLnhtbFBLAQItABQABgAIAAAAIQD/NvqA3AAAAAUBAAAPAAAAAAAAAAAAAAAA&#10;AI0EAABkcnMvZG93bnJldi54bWxQSwUGAAAAAAQABADzAAAAlgUAAAAA&#10;" fillcolor="#a5a5a5 [2092]" stroked="f">
              <v:textbox>
                <w:txbxContent>
                  <w:p w:rsidR="004F4522" w:rsidRPr="00F20A7C" w:rsidRDefault="004F452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2016</w:t>
    </w:r>
    <w:r w:rsidRPr="006602F1">
      <w:rPr>
        <w:i/>
        <w:noProof/>
        <w:sz w:val="16"/>
        <w:szCs w:val="16"/>
      </w:rPr>
      <w:tab/>
    </w:r>
    <w:r>
      <w:rPr>
        <w:i/>
        <w:noProof/>
        <w:spacing w:val="10"/>
        <w:sz w:val="16"/>
        <w:szCs w:val="16"/>
      </w:rPr>
      <w:t>Nanoscale</w:t>
    </w:r>
    <w:r>
      <w:rPr>
        <w:noProof/>
        <w:spacing w:val="10"/>
        <w:sz w:val="16"/>
        <w:szCs w:val="16"/>
      </w:rPr>
      <w:t>, 2016</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843E68">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22" w:rsidRPr="006602F1" w:rsidRDefault="004F4522"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43E68">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22" w:rsidRPr="006602F1" w:rsidRDefault="004F4522"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843E68">
      <w:rPr>
        <w:b/>
        <w:noProof/>
        <w:spacing w:val="10"/>
        <w:sz w:val="16"/>
        <w:szCs w:val="16"/>
      </w:rPr>
      <w:t>7</w:t>
    </w:r>
    <w:r w:rsidRPr="008C1387">
      <w:rPr>
        <w:b/>
        <w:noProof/>
        <w:spacing w:val="10"/>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22" w:rsidRPr="006602F1" w:rsidRDefault="004F4522"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4B5BD5E3" wp14:editId="1D294F44">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4F4522" w:rsidRPr="00F20A7C" w:rsidRDefault="004F452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B5BD5E3" id="_x0000_t202" coordsize="21600,21600" o:spt="202" path="m,l,21600r21600,l21600,xe">
              <v:stroke joinstyle="miter"/>
              <v:path gradientshapeok="t" o:connecttype="rect"/>
            </v:shapetype>
            <v:shape id="_x0000_s1038"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TEfTnzECAABIBAAADgAAAAAAAAAAAAAAAAAuAgAA&#10;ZHJzL2Uyb0RvYy54bWxQSwECLQAUAAYACAAAACEA/zb6gNwAAAAFAQAADwAAAAAAAAAAAAAAAACL&#10;BAAAZHJzL2Rvd25yZXYueG1sUEsFBgAAAAAEAAQA8wAAAJQFAAAAAA==&#10;" fillcolor="#a5a5a5 [2092]" stroked="f">
              <v:textbox>
                <w:txbxContent>
                  <w:p w:rsidR="004F4522" w:rsidRPr="00F20A7C" w:rsidRDefault="004F452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3A1A2D">
      <w:rPr>
        <w:b/>
        <w:noProof/>
        <w:spacing w:val="10"/>
        <w:sz w:val="16"/>
        <w:szCs w:val="16"/>
      </w:rPr>
      <w:t>2</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780" w:rsidRDefault="00F91780" w:rsidP="00E547DB">
      <w:pPr>
        <w:spacing w:after="0" w:line="240" w:lineRule="auto"/>
      </w:pPr>
      <w:r>
        <w:separator/>
      </w:r>
    </w:p>
    <w:p w:rsidR="00F91780" w:rsidRDefault="00F91780"/>
    <w:p w:rsidR="00F91780" w:rsidRDefault="00F91780"/>
    <w:p w:rsidR="00F91780" w:rsidRDefault="00F91780"/>
    <w:p w:rsidR="00F91780" w:rsidRDefault="00F91780"/>
    <w:p w:rsidR="00F91780" w:rsidRDefault="00F91780"/>
  </w:footnote>
  <w:footnote w:type="continuationSeparator" w:id="0">
    <w:p w:rsidR="00F91780" w:rsidRDefault="00F91780" w:rsidP="00E547DB">
      <w:pPr>
        <w:spacing w:after="0" w:line="240" w:lineRule="auto"/>
      </w:pPr>
      <w:r>
        <w:continuationSeparator/>
      </w:r>
    </w:p>
    <w:p w:rsidR="00F91780" w:rsidRDefault="00F91780"/>
    <w:p w:rsidR="00F91780" w:rsidRDefault="00F91780"/>
    <w:p w:rsidR="00F91780" w:rsidRDefault="00F91780"/>
    <w:p w:rsidR="00F91780" w:rsidRDefault="00F91780"/>
    <w:p w:rsidR="00F91780" w:rsidRDefault="00F917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22" w:rsidRPr="00E70DCE" w:rsidRDefault="004F4522"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77696" behindDoc="0" locked="0" layoutInCell="1" allowOverlap="1" wp14:anchorId="31A3F790" wp14:editId="7A5D13A5">
              <wp:simplePos x="0" y="0"/>
              <wp:positionH relativeFrom="column">
                <wp:align>center</wp:align>
              </wp:positionH>
              <wp:positionV relativeFrom="page">
                <wp:align>bottom</wp:align>
              </wp:positionV>
              <wp:extent cx="7700400" cy="396000"/>
              <wp:effectExtent l="0" t="0" r="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A3F790" id="_x0000_t202" coordsize="21600,21600" o:spt="202" path="m,l,21600r21600,l21600,xe">
              <v:stroke joinstyle="miter"/>
              <v:path gradientshapeok="t" o:connecttype="rect"/>
            </v:shapetype>
            <v:shape id="_x0000_s1027" type="#_x0000_t202" style="position:absolute;margin-left:0;margin-top:0;width:606.35pt;height:31.2pt;z-index:25167769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" fillcolor="#a5a5a5 [2092]" stroked="f">
              <v:textbo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76672" behindDoc="0" locked="0" layoutInCell="1" allowOverlap="1" wp14:anchorId="5FC793F4" wp14:editId="0683F0F4">
              <wp:simplePos x="0" y="0"/>
              <wp:positionH relativeFrom="column">
                <wp:align>center</wp:align>
              </wp:positionH>
              <wp:positionV relativeFrom="page">
                <wp:align>top</wp:align>
              </wp:positionV>
              <wp:extent cx="7700400" cy="396000"/>
              <wp:effectExtent l="0" t="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C793F4" id="Text Box 10" o:spid="_x0000_s1028" type="#_x0000_t202" style="position:absolute;margin-left:0;margin-top:0;width:606.35pt;height:31.2pt;z-index:25167667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" fillcolor="#a5a5a5 [2092]" stroked="f">
              <v:textbo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Nanoscale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22" w:rsidRPr="009316A6" w:rsidRDefault="004F4522"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9744" behindDoc="0" locked="0" layoutInCell="1" allowOverlap="1" wp14:anchorId="0EBF770B" wp14:editId="62468F86">
              <wp:simplePos x="0" y="0"/>
              <wp:positionH relativeFrom="column">
                <wp:align>center</wp:align>
              </wp:positionH>
              <wp:positionV relativeFrom="page">
                <wp:align>bottom</wp:align>
              </wp:positionV>
              <wp:extent cx="7700400" cy="399600"/>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BF770B" id="_x0000_t202" coordsize="21600,21600" o:spt="202" path="m,l,21600r21600,l21600,xe">
              <v:stroke joinstyle="miter"/>
              <v:path gradientshapeok="t" o:connecttype="rect"/>
            </v:shapetype>
            <v:shape id="_x0000_s1029" type="#_x0000_t202" style="position:absolute;margin-left:0;margin-top:0;width:606.35pt;height:31.45pt;z-index:25167974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" fillcolor="#a5a5a5 [2092]" stroked="f">
              <v:textbo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78720" behindDoc="0" locked="0" layoutInCell="1" allowOverlap="1" wp14:anchorId="47FD002A" wp14:editId="4FFC2818">
              <wp:simplePos x="0" y="0"/>
              <wp:positionH relativeFrom="column">
                <wp:align>center</wp:align>
              </wp:positionH>
              <wp:positionV relativeFrom="page">
                <wp:align>top</wp:align>
              </wp:positionV>
              <wp:extent cx="7700400" cy="4248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FD002A" id="_x0000_s1030" type="#_x0000_t202" style="position:absolute;margin-left:0;margin-top:0;width:606.35pt;height:33.45pt;z-index:25167872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" fillcolor="#a5a5a5 [2092]" stroked="f">
              <v:textbo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Nanoscale</w: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22" w:rsidRDefault="004F4522"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74624" behindDoc="0" locked="0" layoutInCell="1" allowOverlap="1" wp14:anchorId="179AFC95" wp14:editId="2FD8AE21">
              <wp:simplePos x="0" y="0"/>
              <wp:positionH relativeFrom="column">
                <wp:align>center</wp:align>
              </wp:positionH>
              <wp:positionV relativeFrom="page">
                <wp:align>top</wp:align>
              </wp:positionV>
              <wp:extent cx="7700400" cy="399600"/>
              <wp:effectExtent l="0" t="0" r="0" b="6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79AFC95" id="_x0000_t202" coordsize="21600,21600" o:spt="202" path="m,l,21600r21600,l21600,xe">
              <v:stroke joinstyle="miter"/>
              <v:path gradientshapeok="t" o:connecttype="rect"/>
            </v:shapetype>
            <v:shape id="_x0000_s1031" type="#_x0000_t202" style="position:absolute;margin-left:0;margin-top:0;width:606.35pt;height:31.45pt;z-index:25167462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V4IC+TQCAABIBAAADgAAAAAAAAAAAAAAAAAu&#10;AgAAZHJzL2Uyb0RvYy54bWxQSwECLQAUAAYACAAAACEAwKbRt9wAAAAFAQAADwAAAAAAAAAAAAAA&#10;AACOBAAAZHJzL2Rvd25yZXYueG1sUEsFBgAAAAAEAAQA8wAAAJcFAAAAAA==&#10;" fillcolor="#a5a5a5 [2092]" stroked="f">
              <v:textbo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Nanoscale</w:t>
    </w:r>
    <w:r>
      <w:rPr>
        <w:b/>
        <w:sz w:val="32"/>
        <w:szCs w:val="32"/>
      </w:rPr>
      <w:tab/>
    </w:r>
    <w:r>
      <w:rPr>
        <w:b/>
        <w:noProof/>
        <w:sz w:val="32"/>
        <w:szCs w:val="32"/>
        <w:lang w:eastAsia="en-GB"/>
      </w:rPr>
      <w:drawing>
        <wp:inline distT="0" distB="0" distL="0" distR="0" wp14:anchorId="269D0533" wp14:editId="70DD4DDD">
          <wp:extent cx="972312" cy="6492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4F4522" w:rsidRPr="00180ABE" w:rsidRDefault="004F4522"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22" w:rsidRPr="00E70DCE" w:rsidRDefault="004F4522"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0F0C7396" wp14:editId="6BBAF078">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F0C7396" id="_x0000_t202" coordsize="21600,21600" o:spt="202" path="m,l,21600r21600,l21600,xe">
              <v:stroke joinstyle="miter"/>
              <v:path gradientshapeok="t" o:connecttype="rect"/>
            </v:shapetype>
            <v:shape id="_x0000_s1033"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" fillcolor="#a5a5a5 [2092]" stroked="f">
              <v:textbo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DA82786" wp14:editId="37012A4E">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A82786" id="_x0000_s1034"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" fillcolor="#a5a5a5 [2092]" stroked="f">
              <v:textbo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22" w:rsidRPr="009316A6" w:rsidRDefault="004F4522"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42C0B818" wp14:editId="76634EAD">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B818" id="_x0000_t202" coordsize="21600,21600" o:spt="202" path="m,l,21600r21600,l21600,xe">
              <v:stroke joinstyle="miter"/>
              <v:path gradientshapeok="t" o:connecttype="rect"/>
            </v:shapetype>
            <v:shape id="_x0000_s1035"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" fillcolor="#a5a5a5 [2092]" stroked="f">
              <v:textbo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5ACE3A82" wp14:editId="34A76A37">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CE3A82" id="_x0000_s1036"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" fillcolor="#a5a5a5 [2092]" stroked="f">
              <v:textbo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22" w:rsidRDefault="004F4522"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15A2836B" wp14:editId="169865A2">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A2836B" id="_x0000_t202" coordsize="21600,21600" o:spt="202" path="m,l,21600r21600,l21600,xe">
              <v:stroke joinstyle="miter"/>
              <v:path gradientshapeok="t" o:connecttype="rect"/>
            </v:shapetype>
            <v:shape id="_x0000_s1037"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" fillcolor="#a5a5a5 [2092]" stroked="f">
              <v:textbox>
                <w:txbxContent>
                  <w:p w:rsidR="004F4522" w:rsidRPr="00F20A7C" w:rsidRDefault="004F452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6F7FAF72" wp14:editId="107AA014">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4F4522" w:rsidRPr="00180ABE" w:rsidRDefault="004F4522"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764"/>
    <w:rsid w:val="00005B8A"/>
    <w:rsid w:val="000137B1"/>
    <w:rsid w:val="00020E7C"/>
    <w:rsid w:val="00021E79"/>
    <w:rsid w:val="00022D8A"/>
    <w:rsid w:val="00031B4A"/>
    <w:rsid w:val="00040B61"/>
    <w:rsid w:val="00055945"/>
    <w:rsid w:val="00060090"/>
    <w:rsid w:val="000622D1"/>
    <w:rsid w:val="00064EF6"/>
    <w:rsid w:val="00071E41"/>
    <w:rsid w:val="00073639"/>
    <w:rsid w:val="00095A9D"/>
    <w:rsid w:val="000A2670"/>
    <w:rsid w:val="000B2706"/>
    <w:rsid w:val="000C0A9D"/>
    <w:rsid w:val="000D2FAC"/>
    <w:rsid w:val="000D5891"/>
    <w:rsid w:val="000D6963"/>
    <w:rsid w:val="000E7A32"/>
    <w:rsid w:val="000F0959"/>
    <w:rsid w:val="000F3A41"/>
    <w:rsid w:val="00107909"/>
    <w:rsid w:val="00120227"/>
    <w:rsid w:val="00123FF1"/>
    <w:rsid w:val="00126027"/>
    <w:rsid w:val="001405DB"/>
    <w:rsid w:val="001459EF"/>
    <w:rsid w:val="001508E9"/>
    <w:rsid w:val="00160571"/>
    <w:rsid w:val="00162495"/>
    <w:rsid w:val="001633D9"/>
    <w:rsid w:val="00164003"/>
    <w:rsid w:val="0017613C"/>
    <w:rsid w:val="00180ABE"/>
    <w:rsid w:val="001923AB"/>
    <w:rsid w:val="00193912"/>
    <w:rsid w:val="00194596"/>
    <w:rsid w:val="00195731"/>
    <w:rsid w:val="001A7ED9"/>
    <w:rsid w:val="001B2E32"/>
    <w:rsid w:val="001C1EB8"/>
    <w:rsid w:val="001D56B4"/>
    <w:rsid w:val="001E7EE0"/>
    <w:rsid w:val="00200B72"/>
    <w:rsid w:val="0020434C"/>
    <w:rsid w:val="002063D9"/>
    <w:rsid w:val="00206A82"/>
    <w:rsid w:val="00214BEC"/>
    <w:rsid w:val="00237C8A"/>
    <w:rsid w:val="00241ACD"/>
    <w:rsid w:val="00253551"/>
    <w:rsid w:val="00266F24"/>
    <w:rsid w:val="00270DD5"/>
    <w:rsid w:val="00271235"/>
    <w:rsid w:val="00272D6F"/>
    <w:rsid w:val="002A5421"/>
    <w:rsid w:val="002C0325"/>
    <w:rsid w:val="002C0803"/>
    <w:rsid w:val="002C251C"/>
    <w:rsid w:val="002C3D7C"/>
    <w:rsid w:val="002E323D"/>
    <w:rsid w:val="002E43C6"/>
    <w:rsid w:val="002E5B1D"/>
    <w:rsid w:val="002F52C3"/>
    <w:rsid w:val="00306808"/>
    <w:rsid w:val="00317458"/>
    <w:rsid w:val="00317A4E"/>
    <w:rsid w:val="00323FF3"/>
    <w:rsid w:val="00336AF7"/>
    <w:rsid w:val="003404B7"/>
    <w:rsid w:val="00352AA4"/>
    <w:rsid w:val="00354579"/>
    <w:rsid w:val="00355046"/>
    <w:rsid w:val="0035526C"/>
    <w:rsid w:val="00356F00"/>
    <w:rsid w:val="00371048"/>
    <w:rsid w:val="0037643D"/>
    <w:rsid w:val="00377481"/>
    <w:rsid w:val="0038010F"/>
    <w:rsid w:val="003841AA"/>
    <w:rsid w:val="00385965"/>
    <w:rsid w:val="003A0749"/>
    <w:rsid w:val="003A1A2D"/>
    <w:rsid w:val="003A7E95"/>
    <w:rsid w:val="003B739C"/>
    <w:rsid w:val="003C6313"/>
    <w:rsid w:val="003D4ECA"/>
    <w:rsid w:val="003D6715"/>
    <w:rsid w:val="003E55B2"/>
    <w:rsid w:val="00403100"/>
    <w:rsid w:val="0040530E"/>
    <w:rsid w:val="0040542B"/>
    <w:rsid w:val="00405CFA"/>
    <w:rsid w:val="00405E4D"/>
    <w:rsid w:val="00415BDB"/>
    <w:rsid w:val="00416145"/>
    <w:rsid w:val="0043180D"/>
    <w:rsid w:val="00433BDA"/>
    <w:rsid w:val="004414A5"/>
    <w:rsid w:val="0044700B"/>
    <w:rsid w:val="00454401"/>
    <w:rsid w:val="00467C80"/>
    <w:rsid w:val="00474052"/>
    <w:rsid w:val="004877C8"/>
    <w:rsid w:val="00487CDC"/>
    <w:rsid w:val="004901D3"/>
    <w:rsid w:val="00495A83"/>
    <w:rsid w:val="004B3D50"/>
    <w:rsid w:val="004B5EA4"/>
    <w:rsid w:val="004C1168"/>
    <w:rsid w:val="004C531E"/>
    <w:rsid w:val="004C6C90"/>
    <w:rsid w:val="004E1967"/>
    <w:rsid w:val="004F4522"/>
    <w:rsid w:val="005037CD"/>
    <w:rsid w:val="00504795"/>
    <w:rsid w:val="00512676"/>
    <w:rsid w:val="00514880"/>
    <w:rsid w:val="00514CBA"/>
    <w:rsid w:val="00522BA8"/>
    <w:rsid w:val="0052630A"/>
    <w:rsid w:val="0052632C"/>
    <w:rsid w:val="0053177A"/>
    <w:rsid w:val="00533EA1"/>
    <w:rsid w:val="0053663D"/>
    <w:rsid w:val="00555EB0"/>
    <w:rsid w:val="005771C3"/>
    <w:rsid w:val="00577B54"/>
    <w:rsid w:val="00590F6D"/>
    <w:rsid w:val="00596ADA"/>
    <w:rsid w:val="005A565D"/>
    <w:rsid w:val="005A5A6D"/>
    <w:rsid w:val="005A5ED7"/>
    <w:rsid w:val="005C1A41"/>
    <w:rsid w:val="005C4565"/>
    <w:rsid w:val="005E05CD"/>
    <w:rsid w:val="005E24B3"/>
    <w:rsid w:val="00604457"/>
    <w:rsid w:val="00604A46"/>
    <w:rsid w:val="0061572F"/>
    <w:rsid w:val="00625AD1"/>
    <w:rsid w:val="00641030"/>
    <w:rsid w:val="00645D52"/>
    <w:rsid w:val="0065133B"/>
    <w:rsid w:val="006556AC"/>
    <w:rsid w:val="0065758B"/>
    <w:rsid w:val="006602F1"/>
    <w:rsid w:val="00670ED4"/>
    <w:rsid w:val="00672928"/>
    <w:rsid w:val="00674A86"/>
    <w:rsid w:val="00685599"/>
    <w:rsid w:val="00692BF6"/>
    <w:rsid w:val="006A68EE"/>
    <w:rsid w:val="006A69C8"/>
    <w:rsid w:val="006B3D57"/>
    <w:rsid w:val="006C773E"/>
    <w:rsid w:val="006D6163"/>
    <w:rsid w:val="006E4469"/>
    <w:rsid w:val="006E58B1"/>
    <w:rsid w:val="006F01C4"/>
    <w:rsid w:val="006F487B"/>
    <w:rsid w:val="006F719C"/>
    <w:rsid w:val="006F740B"/>
    <w:rsid w:val="00744A41"/>
    <w:rsid w:val="0075121A"/>
    <w:rsid w:val="007547CF"/>
    <w:rsid w:val="0075691F"/>
    <w:rsid w:val="00780A41"/>
    <w:rsid w:val="00791B6D"/>
    <w:rsid w:val="00794787"/>
    <w:rsid w:val="007A37D8"/>
    <w:rsid w:val="007B71A4"/>
    <w:rsid w:val="007C3D03"/>
    <w:rsid w:val="007D1EFA"/>
    <w:rsid w:val="007D5FE4"/>
    <w:rsid w:val="007F4127"/>
    <w:rsid w:val="00805CDB"/>
    <w:rsid w:val="00826345"/>
    <w:rsid w:val="00843E68"/>
    <w:rsid w:val="00844884"/>
    <w:rsid w:val="008560DE"/>
    <w:rsid w:val="00862FF0"/>
    <w:rsid w:val="00863414"/>
    <w:rsid w:val="00867914"/>
    <w:rsid w:val="0088525A"/>
    <w:rsid w:val="00890764"/>
    <w:rsid w:val="008A0D60"/>
    <w:rsid w:val="008A3699"/>
    <w:rsid w:val="008C1387"/>
    <w:rsid w:val="008C682F"/>
    <w:rsid w:val="008C7900"/>
    <w:rsid w:val="008E509B"/>
    <w:rsid w:val="008F4811"/>
    <w:rsid w:val="008F525A"/>
    <w:rsid w:val="009026D4"/>
    <w:rsid w:val="0091217C"/>
    <w:rsid w:val="0092763E"/>
    <w:rsid w:val="009316A6"/>
    <w:rsid w:val="00936114"/>
    <w:rsid w:val="009400E9"/>
    <w:rsid w:val="00946830"/>
    <w:rsid w:val="00962779"/>
    <w:rsid w:val="009654EC"/>
    <w:rsid w:val="009918D9"/>
    <w:rsid w:val="009A1A05"/>
    <w:rsid w:val="009A392D"/>
    <w:rsid w:val="009C027F"/>
    <w:rsid w:val="009C6ECB"/>
    <w:rsid w:val="009D17C3"/>
    <w:rsid w:val="009D47C2"/>
    <w:rsid w:val="009E51F8"/>
    <w:rsid w:val="009E6DBE"/>
    <w:rsid w:val="009F2649"/>
    <w:rsid w:val="00A03A29"/>
    <w:rsid w:val="00A074D7"/>
    <w:rsid w:val="00A17D23"/>
    <w:rsid w:val="00A208E1"/>
    <w:rsid w:val="00A22D08"/>
    <w:rsid w:val="00A41BB7"/>
    <w:rsid w:val="00A5212A"/>
    <w:rsid w:val="00A521AB"/>
    <w:rsid w:val="00A56CD0"/>
    <w:rsid w:val="00A61D3E"/>
    <w:rsid w:val="00A626F6"/>
    <w:rsid w:val="00A75CEC"/>
    <w:rsid w:val="00A7643E"/>
    <w:rsid w:val="00A9649E"/>
    <w:rsid w:val="00AA1341"/>
    <w:rsid w:val="00AB16D0"/>
    <w:rsid w:val="00AB2C1B"/>
    <w:rsid w:val="00AC3BF2"/>
    <w:rsid w:val="00AD5483"/>
    <w:rsid w:val="00AD6E8D"/>
    <w:rsid w:val="00AE5867"/>
    <w:rsid w:val="00AE6237"/>
    <w:rsid w:val="00AF0249"/>
    <w:rsid w:val="00AF150F"/>
    <w:rsid w:val="00AF4737"/>
    <w:rsid w:val="00B0470A"/>
    <w:rsid w:val="00B05DDB"/>
    <w:rsid w:val="00B1565D"/>
    <w:rsid w:val="00B179CF"/>
    <w:rsid w:val="00B2054B"/>
    <w:rsid w:val="00B2364D"/>
    <w:rsid w:val="00B415E0"/>
    <w:rsid w:val="00B53582"/>
    <w:rsid w:val="00B6239D"/>
    <w:rsid w:val="00B67630"/>
    <w:rsid w:val="00B70B18"/>
    <w:rsid w:val="00B722DE"/>
    <w:rsid w:val="00B80DDB"/>
    <w:rsid w:val="00B81EE1"/>
    <w:rsid w:val="00B9392D"/>
    <w:rsid w:val="00B964A1"/>
    <w:rsid w:val="00BA4372"/>
    <w:rsid w:val="00BA761E"/>
    <w:rsid w:val="00BB3FBE"/>
    <w:rsid w:val="00BC2D3E"/>
    <w:rsid w:val="00BC603D"/>
    <w:rsid w:val="00BC6542"/>
    <w:rsid w:val="00BC6975"/>
    <w:rsid w:val="00BD1E11"/>
    <w:rsid w:val="00BD4E98"/>
    <w:rsid w:val="00C03CE1"/>
    <w:rsid w:val="00C13454"/>
    <w:rsid w:val="00C3016F"/>
    <w:rsid w:val="00C31922"/>
    <w:rsid w:val="00C32EDF"/>
    <w:rsid w:val="00C349B1"/>
    <w:rsid w:val="00C405FD"/>
    <w:rsid w:val="00C42573"/>
    <w:rsid w:val="00C5024A"/>
    <w:rsid w:val="00C57107"/>
    <w:rsid w:val="00C62C2D"/>
    <w:rsid w:val="00C86AEA"/>
    <w:rsid w:val="00C86D7F"/>
    <w:rsid w:val="00C9227C"/>
    <w:rsid w:val="00CA2740"/>
    <w:rsid w:val="00CB33AD"/>
    <w:rsid w:val="00CC12E6"/>
    <w:rsid w:val="00CC2E25"/>
    <w:rsid w:val="00CC77A4"/>
    <w:rsid w:val="00CC7C64"/>
    <w:rsid w:val="00CD0B47"/>
    <w:rsid w:val="00CF1785"/>
    <w:rsid w:val="00CF2AC5"/>
    <w:rsid w:val="00CF5F1A"/>
    <w:rsid w:val="00D010E8"/>
    <w:rsid w:val="00D02C04"/>
    <w:rsid w:val="00D0337A"/>
    <w:rsid w:val="00D104E5"/>
    <w:rsid w:val="00D138E8"/>
    <w:rsid w:val="00D20259"/>
    <w:rsid w:val="00D208BA"/>
    <w:rsid w:val="00D21668"/>
    <w:rsid w:val="00D216BC"/>
    <w:rsid w:val="00D42F8F"/>
    <w:rsid w:val="00D45ADF"/>
    <w:rsid w:val="00D52BAE"/>
    <w:rsid w:val="00D8079B"/>
    <w:rsid w:val="00DA07F1"/>
    <w:rsid w:val="00DA483B"/>
    <w:rsid w:val="00DB55A1"/>
    <w:rsid w:val="00DC1351"/>
    <w:rsid w:val="00DC1B1A"/>
    <w:rsid w:val="00DC2EFB"/>
    <w:rsid w:val="00DD06F4"/>
    <w:rsid w:val="00DD500F"/>
    <w:rsid w:val="00DE7D2F"/>
    <w:rsid w:val="00DF53E4"/>
    <w:rsid w:val="00E01905"/>
    <w:rsid w:val="00E2136E"/>
    <w:rsid w:val="00E25AF8"/>
    <w:rsid w:val="00E31A6A"/>
    <w:rsid w:val="00E3215D"/>
    <w:rsid w:val="00E46BDF"/>
    <w:rsid w:val="00E547DB"/>
    <w:rsid w:val="00E555BF"/>
    <w:rsid w:val="00E61949"/>
    <w:rsid w:val="00E66029"/>
    <w:rsid w:val="00E70DCE"/>
    <w:rsid w:val="00E76CCF"/>
    <w:rsid w:val="00E93157"/>
    <w:rsid w:val="00EA0C5E"/>
    <w:rsid w:val="00EA446A"/>
    <w:rsid w:val="00EA7DC1"/>
    <w:rsid w:val="00EB24F7"/>
    <w:rsid w:val="00EB5BA2"/>
    <w:rsid w:val="00EB5C28"/>
    <w:rsid w:val="00EC3616"/>
    <w:rsid w:val="00EE3AFB"/>
    <w:rsid w:val="00EE7542"/>
    <w:rsid w:val="00EF0D19"/>
    <w:rsid w:val="00EF1577"/>
    <w:rsid w:val="00EF483D"/>
    <w:rsid w:val="00EF6BD4"/>
    <w:rsid w:val="00F157DD"/>
    <w:rsid w:val="00F15F90"/>
    <w:rsid w:val="00F21465"/>
    <w:rsid w:val="00F305A2"/>
    <w:rsid w:val="00F36338"/>
    <w:rsid w:val="00F4331F"/>
    <w:rsid w:val="00F45A7D"/>
    <w:rsid w:val="00F6065C"/>
    <w:rsid w:val="00F61EB1"/>
    <w:rsid w:val="00F62C8B"/>
    <w:rsid w:val="00F80141"/>
    <w:rsid w:val="00F802D4"/>
    <w:rsid w:val="00F82D6A"/>
    <w:rsid w:val="00F90D82"/>
    <w:rsid w:val="00F91780"/>
    <w:rsid w:val="00F91982"/>
    <w:rsid w:val="00F93C6A"/>
    <w:rsid w:val="00FA2DA2"/>
    <w:rsid w:val="00FA311A"/>
    <w:rsid w:val="00FA6697"/>
    <w:rsid w:val="00FC1AAD"/>
    <w:rsid w:val="00FE0000"/>
    <w:rsid w:val="00FE0FE8"/>
    <w:rsid w:val="00FF0415"/>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81814"/>
  <w15:docId w15:val="{FE2A9CB0-B8BA-4B11-AB2E-1E2395BBF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mmentReference">
    <w:name w:val="annotation reference"/>
    <w:basedOn w:val="DefaultParagraphFont"/>
    <w:uiPriority w:val="99"/>
    <w:semiHidden/>
    <w:unhideWhenUsed/>
    <w:rsid w:val="00890764"/>
    <w:rPr>
      <w:sz w:val="18"/>
      <w:szCs w:val="18"/>
    </w:rPr>
  </w:style>
  <w:style w:type="paragraph" w:styleId="CommentText">
    <w:name w:val="annotation text"/>
    <w:basedOn w:val="Normal"/>
    <w:link w:val="CommentTextChar"/>
    <w:uiPriority w:val="99"/>
    <w:semiHidden/>
    <w:unhideWhenUsed/>
    <w:rsid w:val="00BA4372"/>
    <w:pPr>
      <w:spacing w:line="240" w:lineRule="auto"/>
    </w:pPr>
    <w:rPr>
      <w:sz w:val="24"/>
      <w:szCs w:val="24"/>
    </w:rPr>
  </w:style>
  <w:style w:type="character" w:customStyle="1" w:styleId="CommentTextChar">
    <w:name w:val="Comment Text Char"/>
    <w:basedOn w:val="DefaultParagraphFont"/>
    <w:link w:val="CommentText"/>
    <w:uiPriority w:val="99"/>
    <w:semiHidden/>
    <w:rsid w:val="00BA4372"/>
    <w:rPr>
      <w:sz w:val="24"/>
      <w:szCs w:val="24"/>
    </w:rPr>
  </w:style>
  <w:style w:type="paragraph" w:styleId="CommentSubject">
    <w:name w:val="annotation subject"/>
    <w:basedOn w:val="CommentText"/>
    <w:next w:val="CommentText"/>
    <w:link w:val="CommentSubjectChar"/>
    <w:uiPriority w:val="99"/>
    <w:semiHidden/>
    <w:unhideWhenUsed/>
    <w:rsid w:val="0052632C"/>
    <w:rPr>
      <w:b/>
      <w:bCs/>
      <w:sz w:val="20"/>
      <w:szCs w:val="20"/>
    </w:rPr>
  </w:style>
  <w:style w:type="character" w:customStyle="1" w:styleId="CommentSubjectChar">
    <w:name w:val="Comment Subject Char"/>
    <w:basedOn w:val="CommentTextChar"/>
    <w:link w:val="CommentSubject"/>
    <w:uiPriority w:val="99"/>
    <w:semiHidden/>
    <w:rsid w:val="005263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83803">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31579071">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01813215">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102797224">
      <w:bodyDiv w:val="1"/>
      <w:marLeft w:val="0"/>
      <w:marRight w:val="0"/>
      <w:marTop w:val="0"/>
      <w:marBottom w:val="0"/>
      <w:divBdr>
        <w:top w:val="none" w:sz="0" w:space="0" w:color="auto"/>
        <w:left w:val="none" w:sz="0" w:space="0" w:color="auto"/>
        <w:bottom w:val="none" w:sz="0" w:space="0" w:color="auto"/>
        <w:right w:val="none" w:sz="0" w:space="0" w:color="auto"/>
      </w:divBdr>
    </w:div>
    <w:div w:id="116231094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tif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tif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f"/><Relationship Id="rId22" Type="http://schemas.openxmlformats.org/officeDocument/2006/relationships/header" Target="header4.xml"/><Relationship Id="rId27"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6.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77735-A572-44F8-9C1F-83C689C28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8872</Words>
  <Characters>50574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59328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McDonald, Tom</dc:creator>
  <cp:lastModifiedBy>Adam</cp:lastModifiedBy>
  <cp:revision>4</cp:revision>
  <cp:lastPrinted>2017-03-07T15:36:00Z</cp:lastPrinted>
  <dcterms:created xsi:type="dcterms:W3CDTF">2017-03-24T12:14:00Z</dcterms:created>
  <dcterms:modified xsi:type="dcterms:W3CDTF">2017-03-24T12:17:00Z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http://csl.mendeley.com/styles/149587751/Firstauthorfulltitle</vt:lpwstr>
  </property>
  <property fmtid="{D5CDD505-2E9C-101B-9397-08002B2CF9AE}" pid="5" name="Mendeley Recent Style Name 1_1">
    <vt:lpwstr>First author and full title</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(author-date)</vt:lpwstr>
  </property>
  <property fmtid="{D5CDD505-2E9C-101B-9397-08002B2CF9AE}" pid="8" name="Mendeley Recent Style Id 3_1">
    <vt:lpwstr>http://www.zotero.org/styles/journal-of-the-american-chemical-society</vt:lpwstr>
  </property>
  <property fmtid="{D5CDD505-2E9C-101B-9397-08002B2CF9AE}" pid="9" name="Mendeley Recent Style Name 3_1">
    <vt:lpwstr>Journal of the American Chemical Society</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http://www.zotero.org/styles/polymer-chemistry</vt:lpwstr>
  </property>
  <property fmtid="{D5CDD505-2E9C-101B-9397-08002B2CF9AE}" pid="13" name="Mendeley Recent Style Name 5_1">
    <vt:lpwstr>Polymer Chemistry</vt:lpwstr>
  </property>
  <property fmtid="{D5CDD505-2E9C-101B-9397-08002B2CF9AE}" pid="14" name="Mendeley Recent Style Id 6_1">
    <vt:lpwstr>http://www.zotero.org/styles/pnas</vt:lpwstr>
  </property>
  <property fmtid="{D5CDD505-2E9C-101B-9397-08002B2CF9AE}" pid="15" name="Mendeley Recent Style Name 6_1">
    <vt:lpwstr>Proceedings of the National Academy of Sciences of the United States of America</vt:lpwstr>
  </property>
  <property fmtid="{D5CDD505-2E9C-101B-9397-08002B2CF9AE}" pid="16" name="Mendeley Recent Style Id 7_1">
    <vt:lpwstr>http://www.zotero.org/styles/royal-society-of-chemistry</vt:lpwstr>
  </property>
  <property fmtid="{D5CDD505-2E9C-101B-9397-08002B2CF9AE}" pid="17" name="Mendeley Recent Style Name 7_1">
    <vt:lpwstr>Royal Society of Chemistry</vt:lpwstr>
  </property>
  <property fmtid="{D5CDD505-2E9C-101B-9397-08002B2CF9AE}" pid="18" name="Mendeley Recent Style Id 8_1">
    <vt:lpwstr>http://csl.mendeley.com/styles/149587751/royal-society-of-chemistry-long</vt:lpwstr>
  </property>
  <property fmtid="{D5CDD505-2E9C-101B-9397-08002B2CF9AE}" pid="19" name="Mendeley Recent Style Name 8_1">
    <vt:lpwstr>Royal Society of Chemistry - Tom McDonald</vt:lpwstr>
  </property>
  <property fmtid="{D5CDD505-2E9C-101B-9397-08002B2CF9AE}" pid="20" name="Mendeley Recent Style Id 9_1">
    <vt:lpwstr>http://csl.mendeley.com/styles/149587751/nature</vt:lpwstr>
  </property>
  <property fmtid="{D5CDD505-2E9C-101B-9397-08002B2CF9AE}" pid="21" name="Mendeley Recent Style Name 9_1">
    <vt:lpwstr>Short - Tom McDonald</vt:lpwstr>
  </property>
</Properties>
</file>