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08B9" w14:textId="77777777" w:rsidR="00FA0E73" w:rsidRPr="007C6545" w:rsidRDefault="009370A6" w:rsidP="005F2259">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t>Therapeutic drug monitoring</w:t>
      </w:r>
      <w:r w:rsidR="007470FB" w:rsidRPr="007C6545">
        <w:rPr>
          <w:rFonts w:ascii="Arial" w:hAnsi="Arial" w:cs="Arial"/>
          <w:b/>
          <w:color w:val="000000" w:themeColor="text1"/>
        </w:rPr>
        <w:t xml:space="preserve"> </w:t>
      </w:r>
      <w:r w:rsidR="006E1E73" w:rsidRPr="007C6545">
        <w:rPr>
          <w:rFonts w:ascii="Arial" w:hAnsi="Arial" w:cs="Arial"/>
          <w:b/>
          <w:color w:val="000000" w:themeColor="text1"/>
        </w:rPr>
        <w:t xml:space="preserve">for </w:t>
      </w:r>
      <w:r w:rsidR="007470FB" w:rsidRPr="007C6545">
        <w:rPr>
          <w:rFonts w:ascii="Arial" w:hAnsi="Arial" w:cs="Arial"/>
          <w:b/>
          <w:color w:val="000000" w:themeColor="text1"/>
        </w:rPr>
        <w:t xml:space="preserve">invasive </w:t>
      </w:r>
      <w:r w:rsidRPr="007C6545">
        <w:rPr>
          <w:rFonts w:ascii="Arial" w:hAnsi="Arial" w:cs="Arial"/>
          <w:b/>
          <w:color w:val="000000" w:themeColor="text1"/>
        </w:rPr>
        <w:t>mould infecti</w:t>
      </w:r>
      <w:bookmarkStart w:id="0" w:name="_GoBack"/>
      <w:bookmarkEnd w:id="0"/>
      <w:r w:rsidRPr="007C6545">
        <w:rPr>
          <w:rFonts w:ascii="Arial" w:hAnsi="Arial" w:cs="Arial"/>
          <w:b/>
          <w:color w:val="000000" w:themeColor="text1"/>
        </w:rPr>
        <w:t>ons and disease: Pharmacokinetic and pharmacodynamic</w:t>
      </w:r>
      <w:r w:rsidR="007470FB" w:rsidRPr="007C6545">
        <w:rPr>
          <w:rFonts w:ascii="Arial" w:hAnsi="Arial" w:cs="Arial"/>
          <w:b/>
          <w:color w:val="000000" w:themeColor="text1"/>
        </w:rPr>
        <w:t xml:space="preserve"> considerations</w:t>
      </w:r>
    </w:p>
    <w:p w14:paraId="42457D98" w14:textId="77777777" w:rsidR="00FB0C31" w:rsidRPr="007C6545" w:rsidRDefault="009370A6" w:rsidP="005F2259">
      <w:pPr>
        <w:spacing w:before="100" w:beforeAutospacing="1" w:after="100" w:afterAutospacing="1" w:line="480" w:lineRule="auto"/>
        <w:rPr>
          <w:rFonts w:ascii="Arial" w:hAnsi="Arial" w:cs="Arial"/>
          <w:color w:val="000000" w:themeColor="text1"/>
          <w:vertAlign w:val="superscript"/>
        </w:rPr>
      </w:pPr>
      <w:r w:rsidRPr="007C6545">
        <w:rPr>
          <w:rFonts w:ascii="Arial" w:hAnsi="Arial" w:cs="Arial"/>
          <w:color w:val="000000" w:themeColor="text1"/>
        </w:rPr>
        <w:t>Katharine E Stott and William W Hope</w:t>
      </w:r>
      <w:r w:rsidR="00605508" w:rsidRPr="007C6545">
        <w:rPr>
          <w:rFonts w:ascii="Arial" w:hAnsi="Arial" w:cs="Arial"/>
          <w:color w:val="000000" w:themeColor="text1"/>
        </w:rPr>
        <w:t>*</w:t>
      </w:r>
    </w:p>
    <w:p w14:paraId="7EF008A1" w14:textId="77777777" w:rsidR="00442DA5" w:rsidRPr="007C6545" w:rsidRDefault="00442DA5" w:rsidP="005F2259">
      <w:pPr>
        <w:spacing w:before="100" w:beforeAutospacing="1" w:after="100" w:afterAutospacing="1" w:line="480" w:lineRule="auto"/>
        <w:rPr>
          <w:rFonts w:ascii="Arial" w:hAnsi="Arial" w:cs="Arial"/>
          <w:color w:val="000000" w:themeColor="text1"/>
          <w:vertAlign w:val="superscript"/>
        </w:rPr>
      </w:pPr>
      <w:r w:rsidRPr="007C6545">
        <w:rPr>
          <w:rFonts w:ascii="Arial" w:hAnsi="Arial" w:cs="Arial"/>
          <w:color w:val="000000" w:themeColor="text1"/>
        </w:rPr>
        <w:t>Antimicrobial Pharmacodynamics and Therapeutics, Department of Molecular and Clinical Pharmacology, University of Liverpool, United Kingdom</w:t>
      </w:r>
      <w:r w:rsidRPr="007C6545">
        <w:rPr>
          <w:rFonts w:ascii="Arial" w:hAnsi="Arial" w:cs="Arial"/>
          <w:color w:val="000000" w:themeColor="text1"/>
        </w:rPr>
        <w:br/>
      </w:r>
    </w:p>
    <w:p w14:paraId="59881594" w14:textId="77777777" w:rsidR="003804DF" w:rsidRPr="007C6545" w:rsidRDefault="00605508" w:rsidP="005F2259">
      <w:pPr>
        <w:spacing w:before="100" w:beforeAutospacing="1" w:after="100" w:afterAutospacing="1" w:line="480" w:lineRule="auto"/>
        <w:rPr>
          <w:rFonts w:ascii="Arial" w:hAnsi="Arial" w:cs="Arial"/>
          <w:color w:val="000000" w:themeColor="text1"/>
        </w:rPr>
      </w:pPr>
      <w:r w:rsidRPr="007C6545">
        <w:rPr>
          <w:rFonts w:ascii="Arial" w:hAnsi="Arial" w:cs="Arial"/>
          <w:i/>
          <w:color w:val="000000" w:themeColor="text1"/>
        </w:rPr>
        <w:t>*</w:t>
      </w:r>
      <w:r w:rsidR="00442DA5" w:rsidRPr="007C6545">
        <w:rPr>
          <w:rFonts w:ascii="Arial" w:hAnsi="Arial" w:cs="Arial"/>
          <w:i/>
          <w:color w:val="000000" w:themeColor="text1"/>
        </w:rPr>
        <w:t>Contact for correspondence</w:t>
      </w:r>
      <w:r w:rsidR="00442DA5" w:rsidRPr="007C6545">
        <w:rPr>
          <w:rFonts w:ascii="Arial" w:hAnsi="Arial" w:cs="Arial"/>
          <w:i/>
          <w:color w:val="000000" w:themeColor="text1"/>
        </w:rPr>
        <w:br/>
      </w:r>
      <w:proofErr w:type="spellStart"/>
      <w:r w:rsidR="00442DA5" w:rsidRPr="007C6545">
        <w:rPr>
          <w:rFonts w:ascii="Arial" w:hAnsi="Arial" w:cs="Arial"/>
          <w:color w:val="000000" w:themeColor="text1"/>
        </w:rPr>
        <w:t>Pr</w:t>
      </w:r>
      <w:proofErr w:type="spellEnd"/>
      <w:r w:rsidR="00442DA5" w:rsidRPr="007C6545">
        <w:rPr>
          <w:rFonts w:ascii="Arial" w:hAnsi="Arial" w:cs="Arial"/>
          <w:color w:val="000000" w:themeColor="text1"/>
        </w:rPr>
        <w:t xml:space="preserve"> William W Hope</w:t>
      </w:r>
      <w:r w:rsidR="00442DA5" w:rsidRPr="007C6545">
        <w:rPr>
          <w:rFonts w:ascii="Arial" w:hAnsi="Arial" w:cs="Arial"/>
          <w:color w:val="000000" w:themeColor="text1"/>
        </w:rPr>
        <w:br/>
      </w:r>
      <w:r w:rsidR="009370A6" w:rsidRPr="007C6545">
        <w:rPr>
          <w:rFonts w:ascii="Arial" w:hAnsi="Arial" w:cs="Arial"/>
          <w:color w:val="000000" w:themeColor="text1"/>
        </w:rPr>
        <w:t xml:space="preserve"> </w:t>
      </w:r>
      <w:r w:rsidR="003804DF" w:rsidRPr="007C6545">
        <w:rPr>
          <w:rFonts w:ascii="Arial" w:hAnsi="Arial" w:cs="Arial"/>
          <w:color w:val="000000" w:themeColor="text1"/>
        </w:rPr>
        <w:t>Antimicrobial Pharmacodynamics and Therapeutics</w:t>
      </w:r>
      <w:r w:rsidR="00442DA5" w:rsidRPr="007C6545">
        <w:rPr>
          <w:rFonts w:ascii="Arial" w:hAnsi="Arial" w:cs="Arial"/>
          <w:color w:val="000000" w:themeColor="text1"/>
        </w:rPr>
        <w:br/>
      </w:r>
      <w:r w:rsidR="009370A6" w:rsidRPr="007C6545">
        <w:rPr>
          <w:rFonts w:ascii="Arial" w:hAnsi="Arial" w:cs="Arial"/>
          <w:color w:val="000000" w:themeColor="text1"/>
        </w:rPr>
        <w:t xml:space="preserve">Department of Molecular and Clinical Pharmacology, </w:t>
      </w:r>
      <w:r w:rsidR="00442DA5" w:rsidRPr="007C6545">
        <w:rPr>
          <w:rFonts w:ascii="Arial" w:hAnsi="Arial" w:cs="Arial"/>
          <w:color w:val="000000" w:themeColor="text1"/>
        </w:rPr>
        <w:br/>
      </w:r>
      <w:r w:rsidR="009370A6" w:rsidRPr="007C6545">
        <w:rPr>
          <w:rFonts w:ascii="Arial" w:hAnsi="Arial" w:cs="Arial"/>
          <w:color w:val="000000" w:themeColor="text1"/>
        </w:rPr>
        <w:t>University of Liverpool, Liverpool L69 3GE, U</w:t>
      </w:r>
      <w:r w:rsidR="003804DF" w:rsidRPr="007C6545">
        <w:rPr>
          <w:rFonts w:ascii="Arial" w:hAnsi="Arial" w:cs="Arial"/>
          <w:color w:val="000000" w:themeColor="text1"/>
        </w:rPr>
        <w:t xml:space="preserve">nited </w:t>
      </w:r>
      <w:r w:rsidR="009370A6" w:rsidRPr="007C6545">
        <w:rPr>
          <w:rFonts w:ascii="Arial" w:hAnsi="Arial" w:cs="Arial"/>
          <w:color w:val="000000" w:themeColor="text1"/>
        </w:rPr>
        <w:t>K</w:t>
      </w:r>
      <w:r w:rsidR="003804DF" w:rsidRPr="007C6545">
        <w:rPr>
          <w:rFonts w:ascii="Arial" w:hAnsi="Arial" w:cs="Arial"/>
          <w:color w:val="000000" w:themeColor="text1"/>
        </w:rPr>
        <w:t>ingdom</w:t>
      </w:r>
      <w:r w:rsidR="00442DA5" w:rsidRPr="007C6545">
        <w:rPr>
          <w:rFonts w:ascii="Arial" w:hAnsi="Arial" w:cs="Arial"/>
          <w:color w:val="000000" w:themeColor="text1"/>
        </w:rPr>
        <w:br/>
        <w:t>Telep</w:t>
      </w:r>
      <w:r w:rsidR="003804DF" w:rsidRPr="007C6545">
        <w:rPr>
          <w:rFonts w:ascii="Arial" w:hAnsi="Arial" w:cs="Arial"/>
          <w:color w:val="000000" w:themeColor="text1"/>
        </w:rPr>
        <w:t>hone: +44 (0)151 794 5941</w:t>
      </w:r>
      <w:r w:rsidR="00442DA5" w:rsidRPr="007C6545">
        <w:rPr>
          <w:rFonts w:ascii="Arial" w:hAnsi="Arial" w:cs="Arial"/>
          <w:color w:val="000000" w:themeColor="text1"/>
        </w:rPr>
        <w:tab/>
        <w:t xml:space="preserve"> </w:t>
      </w:r>
      <w:r w:rsidR="003804DF" w:rsidRPr="007C6545">
        <w:rPr>
          <w:rFonts w:ascii="Arial" w:hAnsi="Arial" w:cs="Arial"/>
          <w:color w:val="000000" w:themeColor="text1"/>
        </w:rPr>
        <w:t>Email: william.hope@liverpool.ac.uk</w:t>
      </w:r>
    </w:p>
    <w:p w14:paraId="54B0A9CD" w14:textId="77777777" w:rsidR="006F29F4" w:rsidRPr="007C6545" w:rsidRDefault="00EB39C5" w:rsidP="005F2259">
      <w:pPr>
        <w:spacing w:before="100" w:beforeAutospacing="1" w:after="100" w:afterAutospacing="1" w:line="480" w:lineRule="auto"/>
        <w:rPr>
          <w:rFonts w:ascii="Arial" w:hAnsi="Arial" w:cs="Arial"/>
          <w:color w:val="000000" w:themeColor="text1"/>
        </w:rPr>
      </w:pPr>
      <w:r w:rsidRPr="007C6545">
        <w:rPr>
          <w:rFonts w:ascii="Arial" w:hAnsi="Arial" w:cs="Arial"/>
          <w:i/>
          <w:color w:val="000000" w:themeColor="text1"/>
        </w:rPr>
        <w:t>Running title:</w:t>
      </w:r>
      <w:r w:rsidR="005F2259" w:rsidRPr="007C6545">
        <w:rPr>
          <w:rFonts w:ascii="Arial" w:hAnsi="Arial" w:cs="Arial"/>
          <w:i/>
          <w:color w:val="000000" w:themeColor="text1"/>
        </w:rPr>
        <w:t xml:space="preserve"> </w:t>
      </w:r>
      <w:r w:rsidR="005F2259" w:rsidRPr="007C6545">
        <w:rPr>
          <w:rFonts w:ascii="Arial" w:hAnsi="Arial" w:cs="Arial"/>
          <w:color w:val="000000" w:themeColor="text1"/>
        </w:rPr>
        <w:t>TDM for invasive mould infections &amp; disease</w:t>
      </w:r>
      <w:r w:rsidR="006F29F4" w:rsidRPr="007C6545">
        <w:rPr>
          <w:rFonts w:ascii="Arial" w:hAnsi="Arial" w:cs="Arial"/>
          <w:color w:val="000000" w:themeColor="text1"/>
        </w:rPr>
        <w:br w:type="page"/>
      </w:r>
    </w:p>
    <w:p w14:paraId="186F11EA" w14:textId="77777777" w:rsidR="00FB0C31" w:rsidRPr="007C6545" w:rsidRDefault="00FB0C31" w:rsidP="005F2259">
      <w:pPr>
        <w:spacing w:before="100" w:beforeAutospacing="1" w:after="100" w:afterAutospacing="1" w:line="480" w:lineRule="auto"/>
        <w:rPr>
          <w:rFonts w:ascii="Arial" w:hAnsi="Arial" w:cs="Arial"/>
          <w:color w:val="000000" w:themeColor="text1"/>
        </w:rPr>
      </w:pPr>
      <w:r w:rsidRPr="007C6545">
        <w:rPr>
          <w:rFonts w:ascii="Arial" w:hAnsi="Arial" w:cs="Arial"/>
          <w:b/>
          <w:color w:val="000000" w:themeColor="text1"/>
        </w:rPr>
        <w:lastRenderedPageBreak/>
        <w:t>Abstract</w:t>
      </w:r>
      <w:r w:rsidR="005F2259" w:rsidRPr="007C6545">
        <w:rPr>
          <w:rFonts w:ascii="Arial" w:hAnsi="Arial" w:cs="Arial"/>
          <w:color w:val="000000" w:themeColor="text1"/>
        </w:rPr>
        <w:t xml:space="preserve"> </w:t>
      </w:r>
      <w:r w:rsidR="00E3046D" w:rsidRPr="007C6545">
        <w:rPr>
          <w:rFonts w:ascii="Arial" w:hAnsi="Arial" w:cs="Arial"/>
          <w:color w:val="000000" w:themeColor="text1"/>
        </w:rPr>
        <w:t xml:space="preserve"> </w:t>
      </w:r>
    </w:p>
    <w:p w14:paraId="780EFBD2" w14:textId="50FB7ACB" w:rsidR="007A5961" w:rsidRPr="007C6545" w:rsidRDefault="00EA4CF7"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Therapeutic drug monitoring (TDM) </w:t>
      </w:r>
      <w:r w:rsidR="005253EE" w:rsidRPr="007C6545">
        <w:rPr>
          <w:rFonts w:ascii="Arial" w:hAnsi="Arial" w:cs="Arial"/>
          <w:color w:val="000000" w:themeColor="text1"/>
        </w:rPr>
        <w:t>may be</w:t>
      </w:r>
      <w:r w:rsidRPr="007C6545">
        <w:rPr>
          <w:rFonts w:ascii="Arial" w:hAnsi="Arial" w:cs="Arial"/>
          <w:color w:val="000000" w:themeColor="text1"/>
        </w:rPr>
        <w:t xml:space="preserve"> </w:t>
      </w:r>
      <w:r w:rsidR="005253EE" w:rsidRPr="007C6545">
        <w:rPr>
          <w:rFonts w:ascii="Arial" w:hAnsi="Arial" w:cs="Arial"/>
          <w:color w:val="000000" w:themeColor="text1"/>
        </w:rPr>
        <w:t xml:space="preserve">required to </w:t>
      </w:r>
      <w:r w:rsidR="00FC5D3B" w:rsidRPr="007C6545">
        <w:rPr>
          <w:rFonts w:ascii="Arial" w:hAnsi="Arial" w:cs="Arial"/>
          <w:color w:val="000000" w:themeColor="text1"/>
        </w:rPr>
        <w:t>achieve</w:t>
      </w:r>
      <w:r w:rsidR="005253EE" w:rsidRPr="007C6545">
        <w:rPr>
          <w:rFonts w:ascii="Arial" w:hAnsi="Arial" w:cs="Arial"/>
          <w:color w:val="000000" w:themeColor="text1"/>
        </w:rPr>
        <w:t xml:space="preserve"> optimal clinical outcomes in the setting of</w:t>
      </w:r>
      <w:r w:rsidR="00FC5D3B" w:rsidRPr="007C6545">
        <w:rPr>
          <w:rFonts w:ascii="Arial" w:hAnsi="Arial" w:cs="Arial"/>
          <w:color w:val="000000" w:themeColor="text1"/>
        </w:rPr>
        <w:t xml:space="preserve"> significant</w:t>
      </w:r>
      <w:r w:rsidR="005253EE" w:rsidRPr="007C6545">
        <w:rPr>
          <w:rFonts w:ascii="Arial" w:hAnsi="Arial" w:cs="Arial"/>
          <w:color w:val="000000" w:themeColor="text1"/>
        </w:rPr>
        <w:t xml:space="preserve"> pharmacokinetic variability</w:t>
      </w:r>
      <w:r w:rsidR="00E3046D" w:rsidRPr="007C6545">
        <w:rPr>
          <w:rFonts w:ascii="Arial" w:hAnsi="Arial" w:cs="Arial"/>
          <w:color w:val="000000" w:themeColor="text1"/>
        </w:rPr>
        <w:t xml:space="preserve">, a situation </w:t>
      </w:r>
      <w:r w:rsidR="00D32069" w:rsidRPr="007C6545">
        <w:rPr>
          <w:rFonts w:ascii="Arial" w:hAnsi="Arial" w:cs="Arial"/>
          <w:color w:val="000000" w:themeColor="text1"/>
        </w:rPr>
        <w:t xml:space="preserve">that </w:t>
      </w:r>
      <w:r w:rsidR="00E3046D" w:rsidRPr="007C6545">
        <w:rPr>
          <w:rFonts w:ascii="Arial" w:hAnsi="Arial" w:cs="Arial"/>
          <w:color w:val="000000" w:themeColor="text1"/>
        </w:rPr>
        <w:t>applies to a number of anti</w:t>
      </w:r>
      <w:r w:rsidR="00D32069" w:rsidRPr="007C6545">
        <w:rPr>
          <w:rFonts w:ascii="Arial" w:hAnsi="Arial" w:cs="Arial"/>
          <w:color w:val="000000" w:themeColor="text1"/>
        </w:rPr>
        <w:t>-</w:t>
      </w:r>
      <w:r w:rsidR="00E3046D" w:rsidRPr="007C6545">
        <w:rPr>
          <w:rFonts w:ascii="Arial" w:hAnsi="Arial" w:cs="Arial"/>
          <w:color w:val="000000" w:themeColor="text1"/>
        </w:rPr>
        <w:t>mould therapies. The majority of patients receiving itraconazole should routinely be managed with TDM. Voriconazole exhibits highly variable inter-individual pharmacokinetics, and a trough concentration of 1.0–5.5mg/L is widely accepted although it is derived from relatively low-quality evidence. The case for TDM of posaconazole is currently in a state of flux following introduction of a newer tablet formulation with improved oral bioavailability, but it may be indicated when used either for prophylaxis or treatment of established disease. The novel broad-spectrum azole drug isavuconazole does not currently appear to require TDM but 'real-world' data are awaited and TDM could be considered in selected clinical cases. For both polyene and echinocandin agents, there are insufficient data regarding the relationship between serum concentrations and therapeutic outcomes to support the routine use of TDM. A</w:t>
      </w:r>
      <w:r w:rsidRPr="007C6545">
        <w:rPr>
          <w:rFonts w:ascii="Arial" w:hAnsi="Arial" w:cs="Arial"/>
          <w:color w:val="000000" w:themeColor="text1"/>
        </w:rPr>
        <w:t xml:space="preserve"> number of practical challenges to the implementation of TDM in </w:t>
      </w:r>
      <w:r w:rsidR="00A04AFB" w:rsidRPr="007C6545">
        <w:rPr>
          <w:rFonts w:ascii="Arial" w:hAnsi="Arial" w:cs="Arial"/>
          <w:color w:val="000000" w:themeColor="text1"/>
        </w:rPr>
        <w:t>the treatment of invasive mould infections</w:t>
      </w:r>
      <w:r w:rsidR="00836579" w:rsidRPr="007C6545">
        <w:rPr>
          <w:rFonts w:ascii="Arial" w:hAnsi="Arial" w:cs="Arial"/>
          <w:color w:val="000000" w:themeColor="text1"/>
        </w:rPr>
        <w:t xml:space="preserve"> remain unsolved</w:t>
      </w:r>
      <w:r w:rsidRPr="007C6545">
        <w:rPr>
          <w:rFonts w:ascii="Arial" w:hAnsi="Arial" w:cs="Arial"/>
          <w:color w:val="000000" w:themeColor="text1"/>
        </w:rPr>
        <w:t xml:space="preserve">. </w:t>
      </w:r>
      <w:r w:rsidR="00836579" w:rsidRPr="007C6545">
        <w:rPr>
          <w:rFonts w:ascii="Arial" w:hAnsi="Arial" w:cs="Arial"/>
          <w:color w:val="000000" w:themeColor="text1"/>
        </w:rPr>
        <w:t xml:space="preserve">The delivery of TDM as a </w:t>
      </w:r>
      <w:r w:rsidR="00A04AFB" w:rsidRPr="007C6545">
        <w:rPr>
          <w:rFonts w:ascii="Arial" w:hAnsi="Arial" w:cs="Arial"/>
          <w:color w:val="000000" w:themeColor="text1"/>
        </w:rPr>
        <w:t xml:space="preserve">future </w:t>
      </w:r>
      <w:r w:rsidR="00E851D2" w:rsidRPr="007C6545">
        <w:rPr>
          <w:rFonts w:ascii="Arial" w:hAnsi="Arial" w:cs="Arial"/>
          <w:color w:val="000000" w:themeColor="text1"/>
        </w:rPr>
        <w:t>standard</w:t>
      </w:r>
      <w:r w:rsidR="00836579" w:rsidRPr="007C6545">
        <w:rPr>
          <w:rFonts w:ascii="Arial" w:hAnsi="Arial" w:cs="Arial"/>
          <w:color w:val="000000" w:themeColor="text1"/>
        </w:rPr>
        <w:t xml:space="preserve"> of </w:t>
      </w:r>
      <w:r w:rsidR="00A04AFB" w:rsidRPr="007C6545">
        <w:rPr>
          <w:rFonts w:ascii="Arial" w:hAnsi="Arial" w:cs="Arial"/>
          <w:color w:val="000000" w:themeColor="text1"/>
        </w:rPr>
        <w:t xml:space="preserve">care </w:t>
      </w:r>
      <w:r w:rsidR="00836579" w:rsidRPr="007C6545">
        <w:rPr>
          <w:rFonts w:ascii="Arial" w:hAnsi="Arial" w:cs="Arial"/>
          <w:color w:val="000000" w:themeColor="text1"/>
        </w:rPr>
        <w:t xml:space="preserve">will require </w:t>
      </w:r>
      <w:r w:rsidR="00E851D2" w:rsidRPr="007C6545">
        <w:rPr>
          <w:rFonts w:ascii="Arial" w:hAnsi="Arial" w:cs="Arial"/>
          <w:color w:val="000000" w:themeColor="text1"/>
        </w:rPr>
        <w:t>real</w:t>
      </w:r>
      <w:r w:rsidR="00A04AFB" w:rsidRPr="007C6545">
        <w:rPr>
          <w:rFonts w:ascii="Arial" w:hAnsi="Arial" w:cs="Arial"/>
          <w:color w:val="000000" w:themeColor="text1"/>
        </w:rPr>
        <w:t>-</w:t>
      </w:r>
      <w:r w:rsidR="00E851D2" w:rsidRPr="007C6545">
        <w:rPr>
          <w:rFonts w:ascii="Arial" w:hAnsi="Arial" w:cs="Arial"/>
          <w:color w:val="000000" w:themeColor="text1"/>
        </w:rPr>
        <w:t>time measurement of drug</w:t>
      </w:r>
      <w:r w:rsidR="00A04AFB" w:rsidRPr="007C6545">
        <w:rPr>
          <w:rFonts w:ascii="Arial" w:hAnsi="Arial" w:cs="Arial"/>
          <w:color w:val="000000" w:themeColor="text1"/>
        </w:rPr>
        <w:t xml:space="preserve"> concentrations</w:t>
      </w:r>
      <w:r w:rsidR="00E851D2" w:rsidRPr="007C6545">
        <w:rPr>
          <w:rFonts w:ascii="Arial" w:hAnsi="Arial" w:cs="Arial"/>
          <w:color w:val="000000" w:themeColor="text1"/>
        </w:rPr>
        <w:t xml:space="preserve"> at the bedside and algorithms for dosage adjustment</w:t>
      </w:r>
      <w:r w:rsidR="00663F95" w:rsidRPr="007C6545">
        <w:rPr>
          <w:rFonts w:ascii="Arial" w:hAnsi="Arial" w:cs="Arial"/>
          <w:color w:val="000000" w:themeColor="text1"/>
        </w:rPr>
        <w:t xml:space="preserve">. </w:t>
      </w:r>
      <w:r w:rsidRPr="007C6545">
        <w:rPr>
          <w:rFonts w:ascii="Arial" w:hAnsi="Arial" w:cs="Arial"/>
          <w:color w:val="000000" w:themeColor="text1"/>
        </w:rPr>
        <w:t>Finally</w:t>
      </w:r>
      <w:r w:rsidR="000262B1" w:rsidRPr="007C6545">
        <w:rPr>
          <w:rFonts w:ascii="Arial" w:hAnsi="Arial" w:cs="Arial"/>
          <w:color w:val="000000" w:themeColor="text1"/>
        </w:rPr>
        <w:t>,</w:t>
      </w:r>
      <w:r w:rsidRPr="007C6545">
        <w:rPr>
          <w:rFonts w:ascii="Arial" w:hAnsi="Arial" w:cs="Arial"/>
          <w:color w:val="000000" w:themeColor="text1"/>
        </w:rPr>
        <w:t xml:space="preserve"> </w:t>
      </w:r>
      <w:r w:rsidR="00663F95" w:rsidRPr="007C6545">
        <w:rPr>
          <w:rFonts w:ascii="Arial" w:hAnsi="Arial" w:cs="Arial"/>
          <w:color w:val="000000" w:themeColor="text1"/>
        </w:rPr>
        <w:t>measures</w:t>
      </w:r>
      <w:r w:rsidRPr="007C6545">
        <w:rPr>
          <w:rFonts w:ascii="Arial" w:hAnsi="Arial" w:cs="Arial"/>
          <w:color w:val="000000" w:themeColor="text1"/>
        </w:rPr>
        <w:t xml:space="preserve"> of pharmacodynamic effect are required in order to </w:t>
      </w:r>
      <w:r w:rsidR="00663F95" w:rsidRPr="007C6545">
        <w:rPr>
          <w:rFonts w:ascii="Arial" w:hAnsi="Arial" w:cs="Arial"/>
          <w:color w:val="000000" w:themeColor="text1"/>
        </w:rPr>
        <w:t xml:space="preserve">delivery truly </w:t>
      </w:r>
      <w:r w:rsidRPr="007C6545">
        <w:rPr>
          <w:rFonts w:ascii="Arial" w:hAnsi="Arial" w:cs="Arial"/>
          <w:color w:val="000000" w:themeColor="text1"/>
        </w:rPr>
        <w:t>individualise</w:t>
      </w:r>
      <w:r w:rsidR="00663F95" w:rsidRPr="007C6545">
        <w:rPr>
          <w:rFonts w:ascii="Arial" w:hAnsi="Arial" w:cs="Arial"/>
          <w:color w:val="000000" w:themeColor="text1"/>
        </w:rPr>
        <w:t>d</w:t>
      </w:r>
      <w:r w:rsidRPr="007C6545">
        <w:rPr>
          <w:rFonts w:ascii="Arial" w:hAnsi="Arial" w:cs="Arial"/>
          <w:color w:val="000000" w:themeColor="text1"/>
        </w:rPr>
        <w:t xml:space="preserve"> therapy </w:t>
      </w:r>
      <w:r w:rsidR="00663F95" w:rsidRPr="007C6545">
        <w:rPr>
          <w:rFonts w:ascii="Arial" w:hAnsi="Arial" w:cs="Arial"/>
          <w:color w:val="000000" w:themeColor="text1"/>
        </w:rPr>
        <w:t>for</w:t>
      </w:r>
      <w:r w:rsidRPr="007C6545">
        <w:rPr>
          <w:rFonts w:ascii="Arial" w:hAnsi="Arial" w:cs="Arial"/>
          <w:color w:val="000000" w:themeColor="text1"/>
        </w:rPr>
        <w:t xml:space="preserve"> patient</w:t>
      </w:r>
      <w:r w:rsidR="00A04AFB" w:rsidRPr="007C6545">
        <w:rPr>
          <w:rFonts w:ascii="Arial" w:hAnsi="Arial" w:cs="Arial"/>
          <w:color w:val="000000" w:themeColor="text1"/>
        </w:rPr>
        <w:t>s</w:t>
      </w:r>
      <w:r w:rsidRPr="007C6545">
        <w:rPr>
          <w:rFonts w:ascii="Arial" w:hAnsi="Arial" w:cs="Arial"/>
          <w:color w:val="000000" w:themeColor="text1"/>
        </w:rPr>
        <w:t xml:space="preserve">. </w:t>
      </w:r>
    </w:p>
    <w:p w14:paraId="71DFA1DE" w14:textId="77777777" w:rsidR="00FB0C31" w:rsidRPr="007C6545" w:rsidRDefault="00FB0C31"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br w:type="page"/>
      </w:r>
    </w:p>
    <w:p w14:paraId="2B51C825" w14:textId="77777777" w:rsidR="007470FB" w:rsidRPr="007C6545" w:rsidRDefault="001A52A9" w:rsidP="005F2259">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lastRenderedPageBreak/>
        <w:t>Introduction</w:t>
      </w:r>
    </w:p>
    <w:p w14:paraId="7B780F13" w14:textId="77777777" w:rsidR="00FD4A63" w:rsidRPr="007C6545" w:rsidRDefault="005074AC"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Dose</w:t>
      </w:r>
      <w:r w:rsidR="000824DC" w:rsidRPr="007C6545">
        <w:rPr>
          <w:rFonts w:ascii="Arial" w:hAnsi="Arial" w:cs="Arial"/>
          <w:color w:val="000000" w:themeColor="text1"/>
        </w:rPr>
        <w:t xml:space="preserve"> is a notoriously poor measure of drug exposure</w:t>
      </w:r>
      <w:r w:rsidR="005F2259" w:rsidRPr="007C6545">
        <w:rPr>
          <w:rFonts w:ascii="Arial" w:hAnsi="Arial" w:cs="Arial"/>
          <w:color w:val="000000" w:themeColor="text1"/>
        </w:rPr>
        <w:t>, both in</w:t>
      </w:r>
      <w:r w:rsidRPr="007C6545">
        <w:rPr>
          <w:rFonts w:ascii="Arial" w:hAnsi="Arial" w:cs="Arial"/>
          <w:color w:val="000000" w:themeColor="text1"/>
        </w:rPr>
        <w:t xml:space="preserve"> individual patients and </w:t>
      </w:r>
      <w:r w:rsidR="005F2259" w:rsidRPr="007C6545">
        <w:rPr>
          <w:rFonts w:ascii="Arial" w:hAnsi="Arial" w:cs="Arial"/>
          <w:color w:val="000000" w:themeColor="text1"/>
        </w:rPr>
        <w:t xml:space="preserve">in </w:t>
      </w:r>
      <w:r w:rsidR="006F525E" w:rsidRPr="007C6545">
        <w:rPr>
          <w:rFonts w:ascii="Arial" w:hAnsi="Arial" w:cs="Arial"/>
          <w:color w:val="000000" w:themeColor="text1"/>
        </w:rPr>
        <w:t xml:space="preserve">larger patient </w:t>
      </w:r>
      <w:r w:rsidRPr="007C6545">
        <w:rPr>
          <w:rFonts w:ascii="Arial" w:hAnsi="Arial" w:cs="Arial"/>
          <w:color w:val="000000" w:themeColor="text1"/>
        </w:rPr>
        <w:t>populations</w:t>
      </w:r>
      <w:r w:rsidR="00E55AA3" w:rsidRPr="007C6545">
        <w:rPr>
          <w:rFonts w:ascii="Arial" w:hAnsi="Arial" w:cs="Arial"/>
          <w:color w:val="000000" w:themeColor="text1"/>
        </w:rPr>
        <w:t xml:space="preserve">. </w:t>
      </w:r>
      <w:r w:rsidR="003F1B85" w:rsidRPr="007C6545">
        <w:rPr>
          <w:rFonts w:ascii="Arial" w:hAnsi="Arial" w:cs="Arial"/>
          <w:color w:val="000000" w:themeColor="text1"/>
        </w:rPr>
        <w:t>The use of a</w:t>
      </w:r>
      <w:r w:rsidR="0070055B" w:rsidRPr="007C6545">
        <w:rPr>
          <w:rFonts w:ascii="Arial" w:hAnsi="Arial" w:cs="Arial"/>
          <w:color w:val="000000" w:themeColor="text1"/>
        </w:rPr>
        <w:t xml:space="preserve"> standard fixed regimen often results in considerable </w:t>
      </w:r>
      <w:r w:rsidR="00E3382B" w:rsidRPr="007C6545">
        <w:rPr>
          <w:rFonts w:ascii="Arial" w:hAnsi="Arial" w:cs="Arial"/>
          <w:color w:val="000000" w:themeColor="text1"/>
        </w:rPr>
        <w:t xml:space="preserve">pharmacokinetic </w:t>
      </w:r>
      <w:r w:rsidR="0070055B" w:rsidRPr="007C6545">
        <w:rPr>
          <w:rFonts w:ascii="Arial" w:hAnsi="Arial" w:cs="Arial"/>
          <w:color w:val="000000" w:themeColor="text1"/>
        </w:rPr>
        <w:t xml:space="preserve">variability.  </w:t>
      </w:r>
      <w:r w:rsidR="00D728C6" w:rsidRPr="007C6545">
        <w:rPr>
          <w:rFonts w:ascii="Arial" w:hAnsi="Arial" w:cs="Arial"/>
          <w:color w:val="000000" w:themeColor="text1"/>
        </w:rPr>
        <w:t>While it i</w:t>
      </w:r>
      <w:r w:rsidR="00DD797E" w:rsidRPr="007C6545">
        <w:rPr>
          <w:rFonts w:ascii="Arial" w:hAnsi="Arial" w:cs="Arial"/>
          <w:color w:val="000000" w:themeColor="text1"/>
        </w:rPr>
        <w:t>s possible to estimate pharmacokinetic variability</w:t>
      </w:r>
      <w:r w:rsidR="00D14A04" w:rsidRPr="007C6545">
        <w:rPr>
          <w:rFonts w:ascii="Arial" w:hAnsi="Arial" w:cs="Arial"/>
          <w:color w:val="000000" w:themeColor="text1"/>
        </w:rPr>
        <w:t xml:space="preserve"> using population pharmacokinetic modelling approaches</w:t>
      </w:r>
      <w:r w:rsidR="00DD797E" w:rsidRPr="007C6545">
        <w:rPr>
          <w:rFonts w:ascii="Arial" w:hAnsi="Arial" w:cs="Arial"/>
          <w:color w:val="000000" w:themeColor="text1"/>
        </w:rPr>
        <w:t xml:space="preserve">, the sources of </w:t>
      </w:r>
      <w:r w:rsidR="006F525E" w:rsidRPr="007C6545">
        <w:rPr>
          <w:rFonts w:ascii="Arial" w:hAnsi="Arial" w:cs="Arial"/>
          <w:color w:val="000000" w:themeColor="text1"/>
        </w:rPr>
        <w:t xml:space="preserve">observed variance </w:t>
      </w:r>
      <w:r w:rsidR="007B5958" w:rsidRPr="007C6545">
        <w:rPr>
          <w:rFonts w:ascii="Arial" w:hAnsi="Arial" w:cs="Arial"/>
          <w:color w:val="000000" w:themeColor="text1"/>
        </w:rPr>
        <w:t xml:space="preserve">cannot </w:t>
      </w:r>
      <w:r w:rsidR="00932E65" w:rsidRPr="007C6545">
        <w:rPr>
          <w:rFonts w:ascii="Arial" w:hAnsi="Arial" w:cs="Arial"/>
          <w:color w:val="000000" w:themeColor="text1"/>
        </w:rPr>
        <w:t xml:space="preserve">generally </w:t>
      </w:r>
      <w:r w:rsidR="007B5958" w:rsidRPr="007C6545">
        <w:rPr>
          <w:rFonts w:ascii="Arial" w:hAnsi="Arial" w:cs="Arial"/>
          <w:color w:val="000000" w:themeColor="text1"/>
        </w:rPr>
        <w:t xml:space="preserve">be </w:t>
      </w:r>
      <w:r w:rsidR="005F2259" w:rsidRPr="007C6545">
        <w:rPr>
          <w:rFonts w:ascii="Arial" w:hAnsi="Arial" w:cs="Arial"/>
          <w:color w:val="000000" w:themeColor="text1"/>
        </w:rPr>
        <w:t xml:space="preserve">fully </w:t>
      </w:r>
      <w:r w:rsidR="007B5958" w:rsidRPr="007C6545">
        <w:rPr>
          <w:rFonts w:ascii="Arial" w:hAnsi="Arial" w:cs="Arial"/>
          <w:color w:val="000000" w:themeColor="text1"/>
        </w:rPr>
        <w:t>explained by fixed effects (</w:t>
      </w:r>
      <w:r w:rsidR="007456F7" w:rsidRPr="007C6545">
        <w:rPr>
          <w:rFonts w:ascii="Arial" w:hAnsi="Arial" w:cs="Arial"/>
          <w:color w:val="000000" w:themeColor="text1"/>
        </w:rPr>
        <w:t>covariates</w:t>
      </w:r>
      <w:r w:rsidR="007B5958" w:rsidRPr="007C6545">
        <w:rPr>
          <w:rFonts w:ascii="Arial" w:hAnsi="Arial" w:cs="Arial"/>
          <w:color w:val="000000" w:themeColor="text1"/>
        </w:rPr>
        <w:t>) such as weight, h</w:t>
      </w:r>
      <w:r w:rsidR="007456F7" w:rsidRPr="007C6545">
        <w:rPr>
          <w:rFonts w:ascii="Arial" w:hAnsi="Arial" w:cs="Arial"/>
          <w:color w:val="000000" w:themeColor="text1"/>
        </w:rPr>
        <w:t>eight, ethnicity, pharm</w:t>
      </w:r>
      <w:r w:rsidR="00432CB9" w:rsidRPr="007C6545">
        <w:rPr>
          <w:rFonts w:ascii="Arial" w:hAnsi="Arial" w:cs="Arial"/>
          <w:color w:val="000000" w:themeColor="text1"/>
        </w:rPr>
        <w:t>a</w:t>
      </w:r>
      <w:r w:rsidR="007456F7" w:rsidRPr="007C6545">
        <w:rPr>
          <w:rFonts w:ascii="Arial" w:hAnsi="Arial" w:cs="Arial"/>
          <w:color w:val="000000" w:themeColor="text1"/>
        </w:rPr>
        <w:t xml:space="preserve">cogenetics </w:t>
      </w:r>
      <w:r w:rsidR="0034586C" w:rsidRPr="007C6545">
        <w:rPr>
          <w:rFonts w:ascii="Arial" w:hAnsi="Arial" w:cs="Arial"/>
          <w:color w:val="000000" w:themeColor="text1"/>
        </w:rPr>
        <w:t>and</w:t>
      </w:r>
      <w:r w:rsidR="007456F7" w:rsidRPr="007C6545">
        <w:rPr>
          <w:rFonts w:ascii="Arial" w:hAnsi="Arial" w:cs="Arial"/>
          <w:color w:val="000000" w:themeColor="text1"/>
        </w:rPr>
        <w:t xml:space="preserve"> organ dysfunction.  This limitation is further compounded </w:t>
      </w:r>
      <w:r w:rsidR="00311447" w:rsidRPr="007C6545">
        <w:rPr>
          <w:rFonts w:ascii="Arial" w:hAnsi="Arial" w:cs="Arial"/>
          <w:color w:val="000000" w:themeColor="text1"/>
        </w:rPr>
        <w:t xml:space="preserve">by </w:t>
      </w:r>
      <w:r w:rsidR="005F2259" w:rsidRPr="007C6545">
        <w:rPr>
          <w:rFonts w:ascii="Arial" w:hAnsi="Arial" w:cs="Arial"/>
          <w:color w:val="000000" w:themeColor="text1"/>
        </w:rPr>
        <w:t xml:space="preserve">the </w:t>
      </w:r>
      <w:r w:rsidR="00311447" w:rsidRPr="007C6545">
        <w:rPr>
          <w:rFonts w:ascii="Arial" w:hAnsi="Arial" w:cs="Arial"/>
          <w:color w:val="000000" w:themeColor="text1"/>
        </w:rPr>
        <w:t xml:space="preserve">physiological changes </w:t>
      </w:r>
      <w:r w:rsidR="005F2259" w:rsidRPr="007C6545">
        <w:rPr>
          <w:rFonts w:ascii="Arial" w:hAnsi="Arial" w:cs="Arial"/>
          <w:color w:val="000000" w:themeColor="text1"/>
        </w:rPr>
        <w:t>which</w:t>
      </w:r>
      <w:r w:rsidR="00311447" w:rsidRPr="007C6545">
        <w:rPr>
          <w:rFonts w:ascii="Arial" w:hAnsi="Arial" w:cs="Arial"/>
          <w:color w:val="000000" w:themeColor="text1"/>
        </w:rPr>
        <w:t xml:space="preserve"> are associated with various stages of illness</w:t>
      </w:r>
      <w:r w:rsidR="00D728C6" w:rsidRPr="007C6545">
        <w:rPr>
          <w:rFonts w:ascii="Arial" w:hAnsi="Arial" w:cs="Arial"/>
          <w:color w:val="000000" w:themeColor="text1"/>
        </w:rPr>
        <w:t xml:space="preserve">. Thus, a fixed dosing strategy or a </w:t>
      </w:r>
      <w:r w:rsidR="005F2259" w:rsidRPr="007C6545">
        <w:rPr>
          <w:rFonts w:ascii="Arial" w:hAnsi="Arial" w:cs="Arial"/>
          <w:color w:val="000000" w:themeColor="text1"/>
        </w:rPr>
        <w:t>'</w:t>
      </w:r>
      <w:r w:rsidR="00D728C6" w:rsidRPr="007C6545">
        <w:rPr>
          <w:rFonts w:ascii="Arial" w:hAnsi="Arial" w:cs="Arial"/>
          <w:color w:val="000000" w:themeColor="text1"/>
        </w:rPr>
        <w:t>one-size-fits-all</w:t>
      </w:r>
      <w:r w:rsidR="005F2259" w:rsidRPr="007C6545">
        <w:rPr>
          <w:rFonts w:ascii="Arial" w:hAnsi="Arial" w:cs="Arial"/>
          <w:color w:val="000000" w:themeColor="text1"/>
        </w:rPr>
        <w:t>'</w:t>
      </w:r>
      <w:r w:rsidR="00D728C6" w:rsidRPr="007C6545">
        <w:rPr>
          <w:rFonts w:ascii="Arial" w:hAnsi="Arial" w:cs="Arial"/>
          <w:color w:val="000000" w:themeColor="text1"/>
        </w:rPr>
        <w:t xml:space="preserve"> approach</w:t>
      </w:r>
      <w:r w:rsidR="00311447" w:rsidRPr="007C6545">
        <w:rPr>
          <w:rFonts w:ascii="Arial" w:hAnsi="Arial" w:cs="Arial"/>
          <w:color w:val="000000" w:themeColor="text1"/>
        </w:rPr>
        <w:t xml:space="preserve"> </w:t>
      </w:r>
      <w:r w:rsidR="00986FC8" w:rsidRPr="007C6545">
        <w:rPr>
          <w:rFonts w:ascii="Arial" w:hAnsi="Arial" w:cs="Arial"/>
          <w:color w:val="000000" w:themeColor="text1"/>
        </w:rPr>
        <w:t>will always result in</w:t>
      </w:r>
      <w:r w:rsidR="0034586C" w:rsidRPr="007C6545">
        <w:rPr>
          <w:rFonts w:ascii="Arial" w:hAnsi="Arial" w:cs="Arial"/>
          <w:color w:val="000000" w:themeColor="text1"/>
        </w:rPr>
        <w:t xml:space="preserve"> </w:t>
      </w:r>
      <w:r w:rsidR="00D3016F" w:rsidRPr="007C6545">
        <w:rPr>
          <w:rFonts w:ascii="Arial" w:hAnsi="Arial" w:cs="Arial"/>
          <w:color w:val="000000" w:themeColor="text1"/>
        </w:rPr>
        <w:t xml:space="preserve">some patients </w:t>
      </w:r>
      <w:r w:rsidR="005F2259" w:rsidRPr="007C6545">
        <w:rPr>
          <w:rFonts w:ascii="Arial" w:hAnsi="Arial" w:cs="Arial"/>
          <w:color w:val="000000" w:themeColor="text1"/>
        </w:rPr>
        <w:t>experiencing</w:t>
      </w:r>
      <w:r w:rsidR="007F2018" w:rsidRPr="007C6545">
        <w:rPr>
          <w:rFonts w:ascii="Arial" w:hAnsi="Arial" w:cs="Arial"/>
          <w:color w:val="000000" w:themeColor="text1"/>
        </w:rPr>
        <w:t xml:space="preserve"> low drug exposure</w:t>
      </w:r>
      <w:r w:rsidR="005F2259" w:rsidRPr="007C6545">
        <w:rPr>
          <w:rFonts w:ascii="Arial" w:hAnsi="Arial" w:cs="Arial"/>
          <w:color w:val="000000" w:themeColor="text1"/>
        </w:rPr>
        <w:t xml:space="preserve">, </w:t>
      </w:r>
      <w:r w:rsidR="00986FC8" w:rsidRPr="007C6545">
        <w:rPr>
          <w:rFonts w:ascii="Arial" w:hAnsi="Arial" w:cs="Arial"/>
          <w:color w:val="000000" w:themeColor="text1"/>
        </w:rPr>
        <w:t>with an</w:t>
      </w:r>
      <w:r w:rsidR="00F24EB7" w:rsidRPr="007C6545">
        <w:rPr>
          <w:rFonts w:ascii="Arial" w:hAnsi="Arial" w:cs="Arial"/>
          <w:color w:val="000000" w:themeColor="text1"/>
        </w:rPr>
        <w:t xml:space="preserve"> </w:t>
      </w:r>
      <w:r w:rsidR="007F2018" w:rsidRPr="007C6545">
        <w:rPr>
          <w:rFonts w:ascii="Arial" w:hAnsi="Arial" w:cs="Arial"/>
          <w:color w:val="000000" w:themeColor="text1"/>
        </w:rPr>
        <w:t>increase</w:t>
      </w:r>
      <w:r w:rsidR="00986FC8" w:rsidRPr="007C6545">
        <w:rPr>
          <w:rFonts w:ascii="Arial" w:hAnsi="Arial" w:cs="Arial"/>
          <w:color w:val="000000" w:themeColor="text1"/>
        </w:rPr>
        <w:t>d</w:t>
      </w:r>
      <w:r w:rsidR="007F2018" w:rsidRPr="007C6545">
        <w:rPr>
          <w:rFonts w:ascii="Arial" w:hAnsi="Arial" w:cs="Arial"/>
          <w:color w:val="000000" w:themeColor="text1"/>
        </w:rPr>
        <w:t xml:space="preserve"> probability of concentration-dependent therapeutic failure</w:t>
      </w:r>
      <w:r w:rsidR="00F24EB7" w:rsidRPr="007C6545">
        <w:rPr>
          <w:rFonts w:ascii="Arial" w:hAnsi="Arial" w:cs="Arial"/>
          <w:color w:val="000000" w:themeColor="text1"/>
        </w:rPr>
        <w:t>,</w:t>
      </w:r>
      <w:r w:rsidR="007F2018" w:rsidRPr="007C6545">
        <w:rPr>
          <w:rFonts w:ascii="Arial" w:hAnsi="Arial" w:cs="Arial"/>
          <w:color w:val="000000" w:themeColor="text1"/>
        </w:rPr>
        <w:t xml:space="preserve"> </w:t>
      </w:r>
      <w:r w:rsidR="008C6901" w:rsidRPr="007C6545">
        <w:rPr>
          <w:rFonts w:ascii="Arial" w:hAnsi="Arial" w:cs="Arial"/>
          <w:color w:val="000000" w:themeColor="text1"/>
        </w:rPr>
        <w:t xml:space="preserve">while </w:t>
      </w:r>
      <w:r w:rsidR="007F2018" w:rsidRPr="007C6545">
        <w:rPr>
          <w:rFonts w:ascii="Arial" w:hAnsi="Arial" w:cs="Arial"/>
          <w:color w:val="000000" w:themeColor="text1"/>
        </w:rPr>
        <w:t>other</w:t>
      </w:r>
      <w:r w:rsidR="005F2259" w:rsidRPr="007C6545">
        <w:rPr>
          <w:rFonts w:ascii="Arial" w:hAnsi="Arial" w:cs="Arial"/>
          <w:color w:val="000000" w:themeColor="text1"/>
        </w:rPr>
        <w:t>s have</w:t>
      </w:r>
      <w:r w:rsidR="007F2018" w:rsidRPr="007C6545">
        <w:rPr>
          <w:rFonts w:ascii="Arial" w:hAnsi="Arial" w:cs="Arial"/>
          <w:color w:val="000000" w:themeColor="text1"/>
        </w:rPr>
        <w:t xml:space="preserve"> </w:t>
      </w:r>
      <w:r w:rsidR="004E2170" w:rsidRPr="007C6545">
        <w:rPr>
          <w:rFonts w:ascii="Arial" w:hAnsi="Arial" w:cs="Arial"/>
          <w:color w:val="000000" w:themeColor="text1"/>
        </w:rPr>
        <w:t xml:space="preserve">higher </w:t>
      </w:r>
      <w:r w:rsidR="005F2259" w:rsidRPr="007C6545">
        <w:rPr>
          <w:rFonts w:ascii="Arial" w:hAnsi="Arial" w:cs="Arial"/>
          <w:color w:val="000000" w:themeColor="text1"/>
        </w:rPr>
        <w:t xml:space="preserve">exposures </w:t>
      </w:r>
      <w:r w:rsidR="004E2170" w:rsidRPr="007C6545">
        <w:rPr>
          <w:rFonts w:ascii="Arial" w:hAnsi="Arial" w:cs="Arial"/>
          <w:color w:val="000000" w:themeColor="text1"/>
        </w:rPr>
        <w:t>than intended</w:t>
      </w:r>
      <w:r w:rsidR="005F2259" w:rsidRPr="007C6545">
        <w:rPr>
          <w:rFonts w:ascii="Arial" w:hAnsi="Arial" w:cs="Arial"/>
          <w:color w:val="000000" w:themeColor="text1"/>
        </w:rPr>
        <w:t>, placing them at</w:t>
      </w:r>
      <w:r w:rsidR="004E2170" w:rsidRPr="007C6545">
        <w:rPr>
          <w:rFonts w:ascii="Arial" w:hAnsi="Arial" w:cs="Arial"/>
          <w:color w:val="000000" w:themeColor="text1"/>
        </w:rPr>
        <w:t xml:space="preserve"> increased risk of toxicity. </w:t>
      </w:r>
      <w:r w:rsidR="005F2259" w:rsidRPr="007C6545">
        <w:rPr>
          <w:rFonts w:ascii="Arial" w:hAnsi="Arial" w:cs="Arial"/>
          <w:color w:val="000000" w:themeColor="text1"/>
        </w:rPr>
        <w:t>In the management of infections, t</w:t>
      </w:r>
      <w:r w:rsidR="00E64CF9" w:rsidRPr="007C6545">
        <w:rPr>
          <w:rFonts w:ascii="Arial" w:hAnsi="Arial" w:cs="Arial"/>
          <w:color w:val="000000" w:themeColor="text1"/>
        </w:rPr>
        <w:t>he clinical consequences of this variability vary according to the drug-pathogen combination.</w:t>
      </w:r>
    </w:p>
    <w:p w14:paraId="47E751B9" w14:textId="42EB72BF" w:rsidR="0067367C" w:rsidRPr="007C6545" w:rsidRDefault="002A4E7C" w:rsidP="0067367C">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 rationale for </w:t>
      </w:r>
      <w:r w:rsidR="00DA4D2C" w:rsidRPr="007C6545">
        <w:rPr>
          <w:rFonts w:ascii="Arial" w:hAnsi="Arial" w:cs="Arial"/>
          <w:color w:val="000000" w:themeColor="text1"/>
        </w:rPr>
        <w:t>therapeutic drug monitoring (</w:t>
      </w:r>
      <w:r w:rsidRPr="007C6545">
        <w:rPr>
          <w:rFonts w:ascii="Arial" w:hAnsi="Arial" w:cs="Arial"/>
          <w:color w:val="000000" w:themeColor="text1"/>
        </w:rPr>
        <w:t>TDM</w:t>
      </w:r>
      <w:r w:rsidR="00DA4D2C" w:rsidRPr="007C6545">
        <w:rPr>
          <w:rFonts w:ascii="Arial" w:hAnsi="Arial" w:cs="Arial"/>
          <w:color w:val="000000" w:themeColor="text1"/>
        </w:rPr>
        <w:t>)</w:t>
      </w:r>
      <w:r w:rsidRPr="007C6545">
        <w:rPr>
          <w:rFonts w:ascii="Arial" w:hAnsi="Arial" w:cs="Arial"/>
          <w:color w:val="000000" w:themeColor="text1"/>
        </w:rPr>
        <w:t xml:space="preserve"> of antifungal</w:t>
      </w:r>
      <w:r w:rsidR="005F2259" w:rsidRPr="007C6545">
        <w:rPr>
          <w:rFonts w:ascii="Arial" w:hAnsi="Arial" w:cs="Arial"/>
          <w:color w:val="000000" w:themeColor="text1"/>
        </w:rPr>
        <w:t xml:space="preserve"> therapies</w:t>
      </w:r>
      <w:r w:rsidRPr="007C6545">
        <w:rPr>
          <w:rFonts w:ascii="Arial" w:hAnsi="Arial" w:cs="Arial"/>
          <w:color w:val="000000" w:themeColor="text1"/>
        </w:rPr>
        <w:t xml:space="preserve"> is the same as </w:t>
      </w:r>
      <w:r w:rsidR="00DA4D2C" w:rsidRPr="007C6545">
        <w:rPr>
          <w:rFonts w:ascii="Arial" w:hAnsi="Arial" w:cs="Arial"/>
          <w:color w:val="000000" w:themeColor="text1"/>
        </w:rPr>
        <w:t xml:space="preserve">for </w:t>
      </w:r>
      <w:r w:rsidR="0095318E" w:rsidRPr="007C6545">
        <w:rPr>
          <w:rFonts w:ascii="Arial" w:hAnsi="Arial" w:cs="Arial"/>
          <w:color w:val="000000" w:themeColor="text1"/>
        </w:rPr>
        <w:t>any other therapeutic agent</w:t>
      </w:r>
      <w:r w:rsidRPr="007C6545">
        <w:rPr>
          <w:rFonts w:ascii="Arial" w:hAnsi="Arial" w:cs="Arial"/>
          <w:color w:val="000000" w:themeColor="text1"/>
        </w:rPr>
        <w:t xml:space="preserve">. First, for TDM to be of </w:t>
      </w:r>
      <w:r w:rsidR="00F24EB7" w:rsidRPr="007C6545">
        <w:rPr>
          <w:rFonts w:ascii="Arial" w:hAnsi="Arial" w:cs="Arial"/>
          <w:color w:val="000000" w:themeColor="text1"/>
        </w:rPr>
        <w:t xml:space="preserve">potential </w:t>
      </w:r>
      <w:r w:rsidRPr="007C6545">
        <w:rPr>
          <w:rFonts w:ascii="Arial" w:hAnsi="Arial" w:cs="Arial"/>
          <w:color w:val="000000" w:themeColor="text1"/>
        </w:rPr>
        <w:t xml:space="preserve">benefit, </w:t>
      </w:r>
      <w:r w:rsidR="005F2259" w:rsidRPr="007C6545">
        <w:rPr>
          <w:rFonts w:ascii="Arial" w:hAnsi="Arial" w:cs="Arial"/>
          <w:color w:val="000000" w:themeColor="text1"/>
        </w:rPr>
        <w:t>the drug</w:t>
      </w:r>
      <w:r w:rsidRPr="007C6545">
        <w:rPr>
          <w:rFonts w:ascii="Arial" w:hAnsi="Arial" w:cs="Arial"/>
          <w:color w:val="000000" w:themeColor="text1"/>
        </w:rPr>
        <w:t xml:space="preserve"> should have </w:t>
      </w:r>
      <w:r w:rsidR="00F24EB7" w:rsidRPr="007C6545">
        <w:rPr>
          <w:rFonts w:ascii="Arial" w:hAnsi="Arial" w:cs="Arial"/>
          <w:color w:val="000000" w:themeColor="text1"/>
        </w:rPr>
        <w:t xml:space="preserve">largely </w:t>
      </w:r>
      <w:r w:rsidRPr="007C6545">
        <w:rPr>
          <w:rFonts w:ascii="Arial" w:hAnsi="Arial" w:cs="Arial"/>
          <w:color w:val="000000" w:themeColor="text1"/>
        </w:rPr>
        <w:t xml:space="preserve">unpredictable </w:t>
      </w:r>
      <w:r w:rsidR="00A201DE" w:rsidRPr="007C6545">
        <w:rPr>
          <w:rFonts w:ascii="Arial" w:hAnsi="Arial" w:cs="Arial"/>
          <w:color w:val="000000" w:themeColor="text1"/>
        </w:rPr>
        <w:t>pharmacokinetic</w:t>
      </w:r>
      <w:r w:rsidR="000D1C9F" w:rsidRPr="007C6545">
        <w:rPr>
          <w:rFonts w:ascii="Arial" w:hAnsi="Arial" w:cs="Arial"/>
          <w:color w:val="000000" w:themeColor="text1"/>
        </w:rPr>
        <w:t xml:space="preserve"> behaviour </w:t>
      </w:r>
      <w:r w:rsidRPr="007C6545">
        <w:rPr>
          <w:rFonts w:ascii="Arial" w:hAnsi="Arial" w:cs="Arial"/>
          <w:color w:val="000000" w:themeColor="text1"/>
        </w:rPr>
        <w:t xml:space="preserve">so that dose alone, or in conjunction with </w:t>
      </w:r>
      <w:r w:rsidR="00EF2DC2" w:rsidRPr="007C6545">
        <w:rPr>
          <w:rFonts w:ascii="Arial" w:hAnsi="Arial" w:cs="Arial"/>
          <w:color w:val="000000" w:themeColor="text1"/>
        </w:rPr>
        <w:t>covariates</w:t>
      </w:r>
      <w:r w:rsidRPr="007C6545">
        <w:rPr>
          <w:rFonts w:ascii="Arial" w:hAnsi="Arial" w:cs="Arial"/>
          <w:color w:val="000000" w:themeColor="text1"/>
        </w:rPr>
        <w:t xml:space="preserve"> such as renal function or weight, </w:t>
      </w:r>
      <w:r w:rsidR="005F2259" w:rsidRPr="007C6545">
        <w:rPr>
          <w:rFonts w:ascii="Arial" w:hAnsi="Arial" w:cs="Arial"/>
          <w:color w:val="000000" w:themeColor="text1"/>
        </w:rPr>
        <w:t xml:space="preserve">is </w:t>
      </w:r>
      <w:r w:rsidR="00E3291A" w:rsidRPr="007C6545">
        <w:rPr>
          <w:rFonts w:ascii="Arial" w:hAnsi="Arial" w:cs="Arial"/>
          <w:color w:val="000000" w:themeColor="text1"/>
        </w:rPr>
        <w:t>inadequate</w:t>
      </w:r>
      <w:r w:rsidR="002951FE" w:rsidRPr="007C6545">
        <w:rPr>
          <w:rFonts w:ascii="Arial" w:hAnsi="Arial" w:cs="Arial"/>
          <w:color w:val="000000" w:themeColor="text1"/>
        </w:rPr>
        <w:t xml:space="preserve"> </w:t>
      </w:r>
      <w:r w:rsidRPr="007C6545">
        <w:rPr>
          <w:rFonts w:ascii="Arial" w:hAnsi="Arial" w:cs="Arial"/>
          <w:color w:val="000000" w:themeColor="text1"/>
        </w:rPr>
        <w:t xml:space="preserve">to predict safe and effective drug exposure. </w:t>
      </w:r>
      <w:r w:rsidR="00C97405" w:rsidRPr="007C6545">
        <w:rPr>
          <w:rFonts w:ascii="Arial" w:hAnsi="Arial" w:cs="Arial"/>
          <w:color w:val="000000" w:themeColor="text1"/>
        </w:rPr>
        <w:t>Second,</w:t>
      </w:r>
      <w:r w:rsidRPr="007C6545">
        <w:rPr>
          <w:rFonts w:ascii="Arial" w:hAnsi="Arial" w:cs="Arial"/>
          <w:color w:val="000000" w:themeColor="text1"/>
        </w:rPr>
        <w:t xml:space="preserve"> the drug should have a narrow therapeutic index so that under- or over-exposure could render the treatment ineffective or toxic</w:t>
      </w:r>
      <w:r w:rsidR="00F225A5" w:rsidRPr="007C6545">
        <w:rPr>
          <w:rFonts w:ascii="Arial" w:hAnsi="Arial" w:cs="Arial"/>
          <w:color w:val="000000" w:themeColor="text1"/>
        </w:rPr>
        <w:t>, respectively</w:t>
      </w:r>
      <w:r w:rsidRPr="007C6545">
        <w:rPr>
          <w:rFonts w:ascii="Arial" w:hAnsi="Arial" w:cs="Arial"/>
          <w:color w:val="000000" w:themeColor="text1"/>
        </w:rPr>
        <w:t xml:space="preserve">. </w:t>
      </w:r>
      <w:r w:rsidR="000D4446" w:rsidRPr="007C6545">
        <w:rPr>
          <w:rFonts w:ascii="Arial" w:hAnsi="Arial" w:cs="Arial"/>
          <w:color w:val="000000" w:themeColor="text1"/>
        </w:rPr>
        <w:t xml:space="preserve"> </w:t>
      </w:r>
      <w:r w:rsidRPr="007C6545">
        <w:rPr>
          <w:rFonts w:ascii="Arial" w:hAnsi="Arial" w:cs="Arial"/>
          <w:color w:val="000000" w:themeColor="text1"/>
        </w:rPr>
        <w:t xml:space="preserve">Third, the drug should have a defined </w:t>
      </w:r>
      <w:r w:rsidR="009B5F73" w:rsidRPr="007C6545">
        <w:rPr>
          <w:rFonts w:ascii="Arial" w:hAnsi="Arial" w:cs="Arial"/>
          <w:color w:val="000000" w:themeColor="text1"/>
        </w:rPr>
        <w:t xml:space="preserve">concentration </w:t>
      </w:r>
      <w:r w:rsidRPr="007C6545">
        <w:rPr>
          <w:rFonts w:ascii="Arial" w:hAnsi="Arial" w:cs="Arial"/>
          <w:color w:val="000000" w:themeColor="text1"/>
        </w:rPr>
        <w:t>range</w:t>
      </w:r>
      <w:r w:rsidR="009B5F73" w:rsidRPr="007C6545">
        <w:rPr>
          <w:rFonts w:ascii="Arial" w:hAnsi="Arial" w:cs="Arial"/>
          <w:color w:val="000000" w:themeColor="text1"/>
        </w:rPr>
        <w:t xml:space="preserve"> </w:t>
      </w:r>
      <w:r w:rsidRPr="007C6545">
        <w:rPr>
          <w:rFonts w:ascii="Arial" w:hAnsi="Arial" w:cs="Arial"/>
          <w:color w:val="000000" w:themeColor="text1"/>
        </w:rPr>
        <w:t xml:space="preserve">which </w:t>
      </w:r>
      <w:r w:rsidR="009B5F73" w:rsidRPr="007C6545">
        <w:rPr>
          <w:rFonts w:ascii="Arial" w:hAnsi="Arial" w:cs="Arial"/>
          <w:color w:val="000000" w:themeColor="text1"/>
        </w:rPr>
        <w:t xml:space="preserve">is </w:t>
      </w:r>
      <w:r w:rsidR="00F00A01" w:rsidRPr="007C6545">
        <w:rPr>
          <w:rFonts w:ascii="Arial" w:hAnsi="Arial" w:cs="Arial"/>
          <w:color w:val="000000" w:themeColor="text1"/>
        </w:rPr>
        <w:t>associated</w:t>
      </w:r>
      <w:r w:rsidR="009B5F73" w:rsidRPr="007C6545">
        <w:rPr>
          <w:rFonts w:ascii="Arial" w:hAnsi="Arial" w:cs="Arial"/>
          <w:color w:val="000000" w:themeColor="text1"/>
        </w:rPr>
        <w:t xml:space="preserve"> with a satisfactorily high </w:t>
      </w:r>
      <w:r w:rsidR="00F00A01" w:rsidRPr="007C6545">
        <w:rPr>
          <w:rFonts w:ascii="Arial" w:hAnsi="Arial" w:cs="Arial"/>
          <w:color w:val="000000" w:themeColor="text1"/>
        </w:rPr>
        <w:t>probability</w:t>
      </w:r>
      <w:r w:rsidR="009B5F73" w:rsidRPr="007C6545">
        <w:rPr>
          <w:rFonts w:ascii="Arial" w:hAnsi="Arial" w:cs="Arial"/>
          <w:color w:val="000000" w:themeColor="text1"/>
        </w:rPr>
        <w:t xml:space="preserve"> of </w:t>
      </w:r>
      <w:r w:rsidR="00F00A01" w:rsidRPr="007C6545">
        <w:rPr>
          <w:rFonts w:ascii="Arial" w:hAnsi="Arial" w:cs="Arial"/>
          <w:color w:val="000000" w:themeColor="text1"/>
        </w:rPr>
        <w:t>both safety and efficacy</w:t>
      </w:r>
      <w:r w:rsidR="00DA4D2C"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5F6D05" w:rsidRPr="007C6545">
        <w:rPr>
          <w:rFonts w:ascii="Arial" w:hAnsi="Arial" w:cs="Arial"/>
          <w:color w:val="000000" w:themeColor="text1"/>
        </w:rPr>
        <w:t xml:space="preserve"> </w:t>
      </w:r>
      <w:r w:rsidR="000D4446" w:rsidRPr="007C6545">
        <w:rPr>
          <w:rFonts w:ascii="Arial" w:hAnsi="Arial" w:cs="Arial"/>
          <w:color w:val="000000" w:themeColor="text1"/>
        </w:rPr>
        <w:t xml:space="preserve"> </w:t>
      </w:r>
      <w:r w:rsidR="00F00A01" w:rsidRPr="007C6545">
        <w:rPr>
          <w:rFonts w:ascii="Arial" w:hAnsi="Arial" w:cs="Arial"/>
          <w:color w:val="000000" w:themeColor="text1"/>
        </w:rPr>
        <w:t>In general, the anti-</w:t>
      </w:r>
      <w:r w:rsidR="00F00A01" w:rsidRPr="007C6545">
        <w:rPr>
          <w:rFonts w:ascii="Arial" w:hAnsi="Arial" w:cs="Arial"/>
          <w:i/>
          <w:color w:val="000000" w:themeColor="text1"/>
        </w:rPr>
        <w:t>Aspergillus</w:t>
      </w:r>
      <w:r w:rsidR="00F00A01" w:rsidRPr="007C6545">
        <w:rPr>
          <w:rFonts w:ascii="Arial" w:hAnsi="Arial" w:cs="Arial"/>
          <w:color w:val="000000" w:themeColor="text1"/>
        </w:rPr>
        <w:t xml:space="preserve"> triazoles</w:t>
      </w:r>
      <w:r w:rsidR="005F6D05" w:rsidRPr="007C6545">
        <w:rPr>
          <w:rFonts w:ascii="Arial" w:hAnsi="Arial" w:cs="Arial"/>
          <w:color w:val="000000" w:themeColor="text1"/>
        </w:rPr>
        <w:t xml:space="preserve"> </w:t>
      </w:r>
      <w:r w:rsidR="00F00A01" w:rsidRPr="007C6545">
        <w:rPr>
          <w:rFonts w:ascii="Arial" w:hAnsi="Arial" w:cs="Arial"/>
          <w:color w:val="000000" w:themeColor="text1"/>
        </w:rPr>
        <w:t xml:space="preserve">(i.e. </w:t>
      </w:r>
      <w:r w:rsidR="005F6D05" w:rsidRPr="007C6545">
        <w:rPr>
          <w:rFonts w:ascii="Arial" w:hAnsi="Arial" w:cs="Arial"/>
          <w:color w:val="000000" w:themeColor="text1"/>
        </w:rPr>
        <w:t xml:space="preserve">itraconazole, voriconazole, </w:t>
      </w:r>
      <w:r w:rsidR="00F00A01" w:rsidRPr="007C6545">
        <w:rPr>
          <w:rFonts w:ascii="Arial" w:hAnsi="Arial" w:cs="Arial"/>
          <w:color w:val="000000" w:themeColor="text1"/>
        </w:rPr>
        <w:t>posaconazole)</w:t>
      </w:r>
      <w:r w:rsidR="005F6D05" w:rsidRPr="007C6545">
        <w:rPr>
          <w:rFonts w:ascii="Arial" w:hAnsi="Arial" w:cs="Arial"/>
          <w:color w:val="000000" w:themeColor="text1"/>
        </w:rPr>
        <w:t xml:space="preserve"> and flucytosine </w:t>
      </w:r>
      <w:r w:rsidR="00F225A5" w:rsidRPr="007C6545">
        <w:rPr>
          <w:rFonts w:ascii="Arial" w:hAnsi="Arial" w:cs="Arial"/>
          <w:color w:val="000000" w:themeColor="text1"/>
        </w:rPr>
        <w:t xml:space="preserve">fulfil </w:t>
      </w:r>
      <w:r w:rsidR="005F6D05" w:rsidRPr="007C6545">
        <w:rPr>
          <w:rFonts w:ascii="Arial" w:hAnsi="Arial" w:cs="Arial"/>
          <w:color w:val="000000" w:themeColor="text1"/>
        </w:rPr>
        <w:t>these criteria</w:t>
      </w:r>
      <w:r w:rsidR="00DB076C" w:rsidRPr="007C6545">
        <w:rPr>
          <w:rFonts w:ascii="Arial" w:hAnsi="Arial" w:cs="Arial"/>
          <w:color w:val="000000" w:themeColor="text1"/>
        </w:rPr>
        <w:t>.</w:t>
      </w:r>
      <w:r w:rsidR="005F6D05" w:rsidRPr="007C6545">
        <w:rPr>
          <w:rFonts w:ascii="Arial" w:hAnsi="Arial" w:cs="Arial"/>
          <w:color w:val="000000" w:themeColor="text1"/>
        </w:rPr>
        <w:t xml:space="preserve"> </w:t>
      </w:r>
      <w:r w:rsidR="000D4446" w:rsidRPr="007C6545">
        <w:rPr>
          <w:rFonts w:ascii="Arial" w:hAnsi="Arial" w:cs="Arial"/>
          <w:color w:val="000000" w:themeColor="text1"/>
        </w:rPr>
        <w:t xml:space="preserve"> </w:t>
      </w:r>
      <w:r w:rsidR="00DB076C" w:rsidRPr="007C6545">
        <w:rPr>
          <w:rFonts w:ascii="Arial" w:hAnsi="Arial" w:cs="Arial"/>
          <w:color w:val="000000" w:themeColor="text1"/>
        </w:rPr>
        <w:t xml:space="preserve">In contrast, the </w:t>
      </w:r>
      <w:proofErr w:type="spellStart"/>
      <w:r w:rsidR="00DB076C" w:rsidRPr="007C6545">
        <w:rPr>
          <w:rFonts w:ascii="Arial" w:hAnsi="Arial" w:cs="Arial"/>
          <w:color w:val="000000" w:themeColor="text1"/>
        </w:rPr>
        <w:t>echinocandins</w:t>
      </w:r>
      <w:proofErr w:type="spellEnd"/>
      <w:r w:rsidR="005F6D05" w:rsidRPr="007C6545">
        <w:rPr>
          <w:rFonts w:ascii="Arial" w:hAnsi="Arial" w:cs="Arial"/>
          <w:color w:val="000000" w:themeColor="text1"/>
        </w:rPr>
        <w:t xml:space="preserve"> and amphotericin </w:t>
      </w:r>
      <w:r w:rsidR="00DB076C" w:rsidRPr="007C6545">
        <w:rPr>
          <w:rFonts w:ascii="Arial" w:hAnsi="Arial" w:cs="Arial"/>
          <w:color w:val="000000" w:themeColor="text1"/>
        </w:rPr>
        <w:t xml:space="preserve">B </w:t>
      </w:r>
      <w:r w:rsidR="00EE4871" w:rsidRPr="007C6545">
        <w:rPr>
          <w:rFonts w:ascii="Arial" w:hAnsi="Arial" w:cs="Arial"/>
          <w:color w:val="000000" w:themeColor="text1"/>
        </w:rPr>
        <w:t xml:space="preserve">generally </w:t>
      </w:r>
      <w:r w:rsidR="005F6D05" w:rsidRPr="007C6545">
        <w:rPr>
          <w:rFonts w:ascii="Arial" w:hAnsi="Arial" w:cs="Arial"/>
          <w:color w:val="000000" w:themeColor="text1"/>
        </w:rPr>
        <w:t>do not.</w:t>
      </w:r>
      <w:r w:rsidR="00EB39C5" w:rsidRPr="007C6545">
        <w:rPr>
          <w:rFonts w:ascii="Arial" w:hAnsi="Arial" w:cs="Arial"/>
          <w:color w:val="000000" w:themeColor="text1"/>
          <w:vertAlign w:val="superscript"/>
        </w:rPr>
        <w:t>2</w:t>
      </w:r>
      <w:r w:rsidR="005F6D05" w:rsidRPr="007C6545">
        <w:rPr>
          <w:rFonts w:ascii="Arial" w:hAnsi="Arial" w:cs="Arial"/>
          <w:color w:val="000000" w:themeColor="text1"/>
        </w:rPr>
        <w:t xml:space="preserve"> </w:t>
      </w:r>
      <w:r w:rsidR="000E1F54" w:rsidRPr="007C6545">
        <w:rPr>
          <w:rFonts w:ascii="Arial" w:hAnsi="Arial" w:cs="Arial"/>
          <w:color w:val="000000" w:themeColor="text1"/>
        </w:rPr>
        <w:t xml:space="preserve">An understanding </w:t>
      </w:r>
      <w:r w:rsidR="0067367C" w:rsidRPr="007C6545">
        <w:rPr>
          <w:rFonts w:ascii="Arial" w:hAnsi="Arial" w:cs="Arial"/>
          <w:color w:val="000000" w:themeColor="text1"/>
        </w:rPr>
        <w:t xml:space="preserve">of </w:t>
      </w:r>
      <w:r w:rsidR="000E1F54" w:rsidRPr="007C6545">
        <w:rPr>
          <w:rFonts w:ascii="Arial" w:hAnsi="Arial" w:cs="Arial"/>
          <w:color w:val="000000" w:themeColor="text1"/>
        </w:rPr>
        <w:t>antifungal TDM</w:t>
      </w:r>
      <w:r w:rsidR="0067367C" w:rsidRPr="007C6545">
        <w:rPr>
          <w:rFonts w:ascii="Arial" w:hAnsi="Arial" w:cs="Arial"/>
          <w:color w:val="000000" w:themeColor="text1"/>
        </w:rPr>
        <w:t xml:space="preserve"> has been relatively </w:t>
      </w:r>
      <w:r w:rsidR="00A94CFA" w:rsidRPr="007C6545">
        <w:rPr>
          <w:rFonts w:ascii="Arial" w:hAnsi="Arial" w:cs="Arial"/>
          <w:color w:val="000000" w:themeColor="text1"/>
        </w:rPr>
        <w:t xml:space="preserve">mature </w:t>
      </w:r>
      <w:r w:rsidR="0067367C" w:rsidRPr="007C6545">
        <w:rPr>
          <w:rFonts w:ascii="Arial" w:hAnsi="Arial" w:cs="Arial"/>
          <w:color w:val="000000" w:themeColor="text1"/>
        </w:rPr>
        <w:t xml:space="preserve">for some time, with the </w:t>
      </w:r>
      <w:r w:rsidR="00A8602A" w:rsidRPr="007C6545">
        <w:rPr>
          <w:rFonts w:ascii="Arial" w:hAnsi="Arial" w:cs="Arial"/>
          <w:color w:val="000000" w:themeColor="text1"/>
        </w:rPr>
        <w:t xml:space="preserve">possible </w:t>
      </w:r>
      <w:r w:rsidR="0067367C" w:rsidRPr="007C6545">
        <w:rPr>
          <w:rFonts w:ascii="Arial" w:hAnsi="Arial" w:cs="Arial"/>
          <w:color w:val="000000" w:themeColor="text1"/>
        </w:rPr>
        <w:t>exception of isavuconazole</w:t>
      </w:r>
      <w:r w:rsidR="00A8602A" w:rsidRPr="007C6545">
        <w:rPr>
          <w:rFonts w:ascii="Arial" w:hAnsi="Arial" w:cs="Arial"/>
          <w:color w:val="000000" w:themeColor="text1"/>
        </w:rPr>
        <w:t xml:space="preserve"> for which there is relatively limited information</w:t>
      </w:r>
      <w:r w:rsidR="0067367C" w:rsidRPr="007C6545">
        <w:rPr>
          <w:rFonts w:ascii="Arial" w:hAnsi="Arial" w:cs="Arial"/>
          <w:color w:val="000000" w:themeColor="text1"/>
        </w:rPr>
        <w:t xml:space="preserve">.  </w:t>
      </w:r>
    </w:p>
    <w:p w14:paraId="10370FEF" w14:textId="77777777" w:rsidR="00A201DE" w:rsidRPr="007C6545" w:rsidRDefault="00A201DE" w:rsidP="005F2259">
      <w:pPr>
        <w:spacing w:before="100" w:beforeAutospacing="1" w:after="100" w:afterAutospacing="1" w:line="480" w:lineRule="auto"/>
        <w:rPr>
          <w:rFonts w:ascii="Arial" w:hAnsi="Arial" w:cs="Arial"/>
          <w:color w:val="000000" w:themeColor="text1"/>
        </w:rPr>
      </w:pPr>
    </w:p>
    <w:p w14:paraId="2B6B029E" w14:textId="77777777" w:rsidR="0067367C" w:rsidRPr="007C6545" w:rsidRDefault="0095318E"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lastRenderedPageBreak/>
        <w:t xml:space="preserve">Here, we review current knowledge </w:t>
      </w:r>
      <w:r w:rsidR="00A81027" w:rsidRPr="007C6545">
        <w:rPr>
          <w:rFonts w:ascii="Arial" w:hAnsi="Arial" w:cs="Arial"/>
          <w:color w:val="000000" w:themeColor="text1"/>
        </w:rPr>
        <w:t xml:space="preserve">regarding </w:t>
      </w:r>
      <w:r w:rsidR="0007705D" w:rsidRPr="007C6545">
        <w:rPr>
          <w:rFonts w:ascii="Arial" w:hAnsi="Arial" w:cs="Arial"/>
          <w:color w:val="000000" w:themeColor="text1"/>
        </w:rPr>
        <w:t>TDM of antifungal</w:t>
      </w:r>
      <w:r w:rsidR="00042DA6" w:rsidRPr="007C6545">
        <w:rPr>
          <w:rFonts w:ascii="Arial" w:hAnsi="Arial" w:cs="Arial"/>
          <w:color w:val="000000" w:themeColor="text1"/>
        </w:rPr>
        <w:t xml:space="preserve"> </w:t>
      </w:r>
      <w:r w:rsidR="0007705D" w:rsidRPr="007C6545">
        <w:rPr>
          <w:rFonts w:ascii="Arial" w:hAnsi="Arial" w:cs="Arial"/>
          <w:color w:val="000000" w:themeColor="text1"/>
        </w:rPr>
        <w:t>agents</w:t>
      </w:r>
      <w:r w:rsidR="005F6D05" w:rsidRPr="007C6545">
        <w:rPr>
          <w:rFonts w:ascii="Arial" w:hAnsi="Arial" w:cs="Arial"/>
          <w:color w:val="000000" w:themeColor="text1"/>
        </w:rPr>
        <w:t>.</w:t>
      </w:r>
      <w:r w:rsidR="0007705D" w:rsidRPr="007C6545">
        <w:rPr>
          <w:rFonts w:ascii="Arial" w:hAnsi="Arial" w:cs="Arial"/>
          <w:color w:val="000000" w:themeColor="text1"/>
        </w:rPr>
        <w:t xml:space="preserve"> </w:t>
      </w:r>
    </w:p>
    <w:p w14:paraId="4350231E" w14:textId="77777777" w:rsidR="007470FB" w:rsidRPr="007C6545" w:rsidRDefault="0012786A" w:rsidP="005F2259">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t xml:space="preserve">Application of TDM to </w:t>
      </w:r>
      <w:r w:rsidR="004C49FE" w:rsidRPr="007C6545">
        <w:rPr>
          <w:rFonts w:ascii="Arial" w:hAnsi="Arial" w:cs="Arial"/>
          <w:b/>
          <w:color w:val="000000" w:themeColor="text1"/>
        </w:rPr>
        <w:t>commonly used antifungal agents</w:t>
      </w:r>
    </w:p>
    <w:p w14:paraId="74A9CA08" w14:textId="77777777" w:rsidR="00327B17" w:rsidRPr="007C6545" w:rsidRDefault="00327B17"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Itraconazole</w:t>
      </w:r>
    </w:p>
    <w:p w14:paraId="30B87FFB" w14:textId="77777777" w:rsidR="00A41ACF" w:rsidRPr="007C6545" w:rsidRDefault="004D105B"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I</w:t>
      </w:r>
      <w:r w:rsidR="008D74C4" w:rsidRPr="007C6545">
        <w:rPr>
          <w:rFonts w:ascii="Arial" w:hAnsi="Arial" w:cs="Arial"/>
          <w:color w:val="000000" w:themeColor="text1"/>
        </w:rPr>
        <w:t xml:space="preserve">traconazole </w:t>
      </w:r>
      <w:r w:rsidRPr="007C6545">
        <w:rPr>
          <w:rFonts w:ascii="Arial" w:hAnsi="Arial" w:cs="Arial"/>
          <w:color w:val="000000" w:themeColor="text1"/>
        </w:rPr>
        <w:t>was the first orally bioavailable antifungal agent with activity against moulds such as</w:t>
      </w:r>
      <w:r w:rsidR="008D74C4" w:rsidRPr="007C6545">
        <w:rPr>
          <w:rFonts w:ascii="Arial" w:hAnsi="Arial" w:cs="Arial"/>
          <w:color w:val="000000" w:themeColor="text1"/>
        </w:rPr>
        <w:t xml:space="preserve"> </w:t>
      </w:r>
      <w:r w:rsidR="0034080C" w:rsidRPr="007C6545">
        <w:rPr>
          <w:rFonts w:ascii="Arial" w:hAnsi="Arial" w:cs="Arial"/>
          <w:i/>
          <w:color w:val="000000" w:themeColor="text1"/>
        </w:rPr>
        <w:t>Aspergillus</w:t>
      </w:r>
      <w:r w:rsidR="0034080C" w:rsidRPr="007C6545">
        <w:rPr>
          <w:rFonts w:ascii="Arial" w:hAnsi="Arial" w:cs="Arial"/>
          <w:color w:val="000000" w:themeColor="text1"/>
        </w:rPr>
        <w:t xml:space="preserve"> species. </w:t>
      </w:r>
      <w:r w:rsidR="00D1361C" w:rsidRPr="007C6545">
        <w:rPr>
          <w:rFonts w:ascii="Arial" w:hAnsi="Arial" w:cs="Arial"/>
          <w:color w:val="000000" w:themeColor="text1"/>
        </w:rPr>
        <w:t xml:space="preserve"> </w:t>
      </w:r>
      <w:r w:rsidR="0034080C" w:rsidRPr="007C6545">
        <w:rPr>
          <w:rFonts w:ascii="Arial" w:hAnsi="Arial" w:cs="Arial"/>
          <w:color w:val="000000" w:themeColor="text1"/>
        </w:rPr>
        <w:t xml:space="preserve">It is indicated for the treatment of oral and oesophageal candidiasis, prophylaxis against fungal infections in the setting of prolonged neutropenia, and for treatment of invasive aspergillosis and </w:t>
      </w:r>
      <w:proofErr w:type="spellStart"/>
      <w:r w:rsidR="0034080C" w:rsidRPr="007C6545">
        <w:rPr>
          <w:rFonts w:ascii="Arial" w:hAnsi="Arial" w:cs="Arial"/>
          <w:color w:val="000000" w:themeColor="text1"/>
        </w:rPr>
        <w:t>cryptococcosis</w:t>
      </w:r>
      <w:proofErr w:type="spellEnd"/>
      <w:r w:rsidR="0034080C" w:rsidRPr="007C6545">
        <w:rPr>
          <w:rFonts w:ascii="Arial" w:hAnsi="Arial" w:cs="Arial"/>
          <w:color w:val="000000" w:themeColor="text1"/>
        </w:rPr>
        <w:t xml:space="preserve"> infections </w:t>
      </w:r>
      <w:r w:rsidR="007808CF" w:rsidRPr="007C6545">
        <w:rPr>
          <w:rFonts w:ascii="Arial" w:hAnsi="Arial" w:cs="Arial"/>
          <w:color w:val="000000" w:themeColor="text1"/>
        </w:rPr>
        <w:t xml:space="preserve">that are </w:t>
      </w:r>
      <w:r w:rsidR="0034080C" w:rsidRPr="007C6545">
        <w:rPr>
          <w:rFonts w:ascii="Arial" w:hAnsi="Arial" w:cs="Arial"/>
          <w:color w:val="000000" w:themeColor="text1"/>
        </w:rPr>
        <w:t>refractory to first</w:t>
      </w:r>
      <w:r w:rsidR="00FB514C" w:rsidRPr="007C6545">
        <w:rPr>
          <w:rFonts w:ascii="Arial" w:hAnsi="Arial" w:cs="Arial"/>
          <w:color w:val="000000" w:themeColor="text1"/>
        </w:rPr>
        <w:t>-</w:t>
      </w:r>
      <w:r w:rsidR="0034080C" w:rsidRPr="007C6545">
        <w:rPr>
          <w:rFonts w:ascii="Arial" w:hAnsi="Arial" w:cs="Arial"/>
          <w:color w:val="000000" w:themeColor="text1"/>
        </w:rPr>
        <w:t>line therapy.</w:t>
      </w:r>
      <w:r w:rsidR="009325F2" w:rsidRPr="007C6545">
        <w:rPr>
          <w:rFonts w:ascii="Arial" w:hAnsi="Arial" w:cs="Arial"/>
          <w:color w:val="000000" w:themeColor="text1"/>
          <w:vertAlign w:val="superscript"/>
        </w:rPr>
        <w:t>3</w:t>
      </w:r>
      <w:r w:rsidR="0034080C" w:rsidRPr="007C6545">
        <w:rPr>
          <w:rFonts w:ascii="Arial" w:hAnsi="Arial" w:cs="Arial"/>
          <w:color w:val="000000" w:themeColor="text1"/>
        </w:rPr>
        <w:t xml:space="preserve"> </w:t>
      </w:r>
      <w:r w:rsidR="007808CF" w:rsidRPr="007C6545">
        <w:rPr>
          <w:rFonts w:ascii="Arial" w:hAnsi="Arial" w:cs="Arial"/>
          <w:color w:val="000000" w:themeColor="text1"/>
        </w:rPr>
        <w:t xml:space="preserve">The </w:t>
      </w:r>
      <w:r w:rsidR="00B60DDF" w:rsidRPr="007C6545">
        <w:rPr>
          <w:rFonts w:ascii="Arial" w:hAnsi="Arial" w:cs="Arial"/>
          <w:color w:val="000000" w:themeColor="text1"/>
        </w:rPr>
        <w:t xml:space="preserve">safety profile </w:t>
      </w:r>
      <w:r w:rsidR="007808CF" w:rsidRPr="007C6545">
        <w:rPr>
          <w:rFonts w:ascii="Arial" w:hAnsi="Arial" w:cs="Arial"/>
          <w:color w:val="000000" w:themeColor="text1"/>
        </w:rPr>
        <w:t xml:space="preserve">of itraconazole </w:t>
      </w:r>
      <w:r w:rsidR="00B60DDF" w:rsidRPr="007C6545">
        <w:rPr>
          <w:rFonts w:ascii="Arial" w:hAnsi="Arial" w:cs="Arial"/>
          <w:color w:val="000000" w:themeColor="text1"/>
        </w:rPr>
        <w:t>is less favourable than fluconazole and it has been associated with cardiotoxicity</w:t>
      </w:r>
      <w:r w:rsidR="008D1EB6" w:rsidRPr="007C6545">
        <w:rPr>
          <w:rFonts w:ascii="Arial" w:hAnsi="Arial" w:cs="Arial"/>
          <w:color w:val="000000" w:themeColor="text1"/>
        </w:rPr>
        <w:t>, gastrointestinal</w:t>
      </w:r>
      <w:r w:rsidR="003E2410" w:rsidRPr="007C6545">
        <w:rPr>
          <w:rFonts w:ascii="Arial" w:hAnsi="Arial" w:cs="Arial"/>
          <w:color w:val="000000" w:themeColor="text1"/>
        </w:rPr>
        <w:t xml:space="preserve"> </w:t>
      </w:r>
      <w:r w:rsidR="00F53185" w:rsidRPr="007C6545">
        <w:rPr>
          <w:rFonts w:ascii="Arial" w:hAnsi="Arial" w:cs="Arial"/>
          <w:color w:val="000000" w:themeColor="text1"/>
        </w:rPr>
        <w:t>intolerance</w:t>
      </w:r>
      <w:r w:rsidR="008D1EB6" w:rsidRPr="007C6545">
        <w:rPr>
          <w:rFonts w:ascii="Arial" w:hAnsi="Arial" w:cs="Arial"/>
          <w:color w:val="000000" w:themeColor="text1"/>
        </w:rPr>
        <w:t>, neurological deficits and hepatitis</w:t>
      </w:r>
      <w:r w:rsidR="00B60DDF" w:rsidRPr="007C6545">
        <w:rPr>
          <w:rFonts w:ascii="Arial" w:hAnsi="Arial" w:cs="Arial"/>
          <w:color w:val="000000" w:themeColor="text1"/>
        </w:rPr>
        <w:t>.</w:t>
      </w:r>
      <w:r w:rsidR="009325F2" w:rsidRPr="007C6545">
        <w:rPr>
          <w:rFonts w:ascii="Arial" w:hAnsi="Arial" w:cs="Arial"/>
          <w:color w:val="000000" w:themeColor="text1"/>
          <w:vertAlign w:val="superscript"/>
        </w:rPr>
        <w:t>3</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0</w:t>
      </w:r>
      <w:r w:rsidR="00B60DDF" w:rsidRPr="007C6545">
        <w:rPr>
          <w:rFonts w:ascii="Arial" w:hAnsi="Arial" w:cs="Arial"/>
          <w:color w:val="000000" w:themeColor="text1"/>
        </w:rPr>
        <w:t xml:space="preserve"> </w:t>
      </w:r>
      <w:r w:rsidR="007C39CB" w:rsidRPr="007C6545">
        <w:rPr>
          <w:rFonts w:ascii="Arial" w:hAnsi="Arial" w:cs="Arial"/>
          <w:color w:val="000000" w:themeColor="text1"/>
        </w:rPr>
        <w:t xml:space="preserve">Itraconazole is available as oral capsules, oral solution and an </w:t>
      </w:r>
      <w:proofErr w:type="spellStart"/>
      <w:r w:rsidR="00605508" w:rsidRPr="007C6545">
        <w:rPr>
          <w:rFonts w:ascii="Arial" w:hAnsi="Arial" w:cs="Arial"/>
          <w:color w:val="000000" w:themeColor="text1"/>
        </w:rPr>
        <w:t>iv</w:t>
      </w:r>
      <w:proofErr w:type="spellEnd"/>
      <w:r w:rsidR="007C39CB" w:rsidRPr="007C6545">
        <w:rPr>
          <w:rFonts w:ascii="Arial" w:hAnsi="Arial" w:cs="Arial"/>
          <w:color w:val="000000" w:themeColor="text1"/>
        </w:rPr>
        <w:t xml:space="preserve"> preparation</w:t>
      </w:r>
      <w:r w:rsidR="0092711E" w:rsidRPr="007C6545">
        <w:rPr>
          <w:rFonts w:ascii="Arial" w:hAnsi="Arial" w:cs="Arial"/>
          <w:color w:val="000000" w:themeColor="text1"/>
        </w:rPr>
        <w:t>,</w:t>
      </w:r>
      <w:r w:rsidR="003C4EF6" w:rsidRPr="007C6545">
        <w:rPr>
          <w:rFonts w:ascii="Arial" w:hAnsi="Arial" w:cs="Arial"/>
          <w:color w:val="000000" w:themeColor="text1"/>
        </w:rPr>
        <w:t xml:space="preserve"> although the latter</w:t>
      </w:r>
      <w:r w:rsidR="0092711E" w:rsidRPr="007C6545">
        <w:rPr>
          <w:rFonts w:ascii="Arial" w:hAnsi="Arial" w:cs="Arial"/>
          <w:color w:val="000000" w:themeColor="text1"/>
        </w:rPr>
        <w:t xml:space="preserve"> is not available in the USA</w:t>
      </w:r>
      <w:r w:rsidR="007C39CB" w:rsidRPr="007C6545">
        <w:rPr>
          <w:rFonts w:ascii="Arial" w:hAnsi="Arial" w:cs="Arial"/>
          <w:color w:val="000000" w:themeColor="text1"/>
        </w:rPr>
        <w:t xml:space="preserve">. </w:t>
      </w:r>
    </w:p>
    <w:p w14:paraId="31128964" w14:textId="77777777" w:rsidR="0040176C" w:rsidRPr="007C6545" w:rsidRDefault="00A41ACF"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Itraconazole exhibits </w:t>
      </w:r>
      <w:r w:rsidR="00DF3302" w:rsidRPr="007C6545">
        <w:rPr>
          <w:rFonts w:ascii="Arial" w:hAnsi="Arial" w:cs="Arial"/>
          <w:color w:val="000000" w:themeColor="text1"/>
        </w:rPr>
        <w:t xml:space="preserve">highly </w:t>
      </w:r>
      <w:r w:rsidR="0040176C" w:rsidRPr="007C6545">
        <w:rPr>
          <w:rFonts w:ascii="Arial" w:hAnsi="Arial" w:cs="Arial"/>
          <w:color w:val="000000" w:themeColor="text1"/>
        </w:rPr>
        <w:t>variable and non-linear</w:t>
      </w:r>
      <w:r w:rsidRPr="007C6545">
        <w:rPr>
          <w:rFonts w:ascii="Arial" w:hAnsi="Arial" w:cs="Arial"/>
          <w:color w:val="000000" w:themeColor="text1"/>
        </w:rPr>
        <w:t xml:space="preserve"> </w:t>
      </w:r>
      <w:r w:rsidR="0020136C" w:rsidRPr="007C6545">
        <w:rPr>
          <w:rFonts w:ascii="Arial" w:hAnsi="Arial" w:cs="Arial"/>
          <w:color w:val="000000" w:themeColor="text1"/>
        </w:rPr>
        <w:t>pharmacokinetics</w:t>
      </w:r>
      <w:r w:rsidR="002251C1" w:rsidRPr="007C6545">
        <w:rPr>
          <w:rFonts w:ascii="Arial" w:hAnsi="Arial" w:cs="Arial"/>
          <w:color w:val="000000" w:themeColor="text1"/>
        </w:rPr>
        <w:t xml:space="preserve">, </w:t>
      </w:r>
      <w:r w:rsidRPr="007C6545">
        <w:rPr>
          <w:rFonts w:ascii="Arial" w:hAnsi="Arial" w:cs="Arial"/>
          <w:color w:val="000000" w:themeColor="text1"/>
        </w:rPr>
        <w:t xml:space="preserve">the basis for </w:t>
      </w:r>
      <w:r w:rsidR="002251C1" w:rsidRPr="007C6545">
        <w:rPr>
          <w:rFonts w:ascii="Arial" w:hAnsi="Arial" w:cs="Arial"/>
          <w:color w:val="000000" w:themeColor="text1"/>
        </w:rPr>
        <w:t xml:space="preserve">which </w:t>
      </w:r>
      <w:r w:rsidRPr="007C6545">
        <w:rPr>
          <w:rFonts w:ascii="Arial" w:hAnsi="Arial" w:cs="Arial"/>
          <w:color w:val="000000" w:themeColor="text1"/>
        </w:rPr>
        <w:t>is multifactorial</w:t>
      </w:r>
      <w:r w:rsidR="00B60DDF" w:rsidRPr="007C6545">
        <w:rPr>
          <w:rFonts w:ascii="Arial" w:hAnsi="Arial" w:cs="Arial"/>
          <w:color w:val="000000" w:themeColor="text1"/>
        </w:rPr>
        <w:t xml:space="preserve">. </w:t>
      </w:r>
      <w:r w:rsidR="00DF3302" w:rsidRPr="007C6545">
        <w:rPr>
          <w:rFonts w:ascii="Arial" w:hAnsi="Arial" w:cs="Arial"/>
          <w:color w:val="000000" w:themeColor="text1"/>
        </w:rPr>
        <w:t xml:space="preserve">Itraconazole solution has </w:t>
      </w:r>
      <w:r w:rsidR="007A77D8" w:rsidRPr="007C6545">
        <w:rPr>
          <w:rFonts w:ascii="Arial" w:hAnsi="Arial" w:cs="Arial"/>
          <w:color w:val="000000" w:themeColor="text1"/>
        </w:rPr>
        <w:t>an o</w:t>
      </w:r>
      <w:r w:rsidR="00DF3302" w:rsidRPr="007C6545">
        <w:rPr>
          <w:rFonts w:ascii="Arial" w:hAnsi="Arial" w:cs="Arial"/>
          <w:color w:val="000000" w:themeColor="text1"/>
        </w:rPr>
        <w:t>ral b</w:t>
      </w:r>
      <w:r w:rsidR="007C39CB" w:rsidRPr="007C6545">
        <w:rPr>
          <w:rFonts w:ascii="Arial" w:hAnsi="Arial" w:cs="Arial"/>
          <w:color w:val="000000" w:themeColor="text1"/>
        </w:rPr>
        <w:t xml:space="preserve">ioavailability </w:t>
      </w:r>
      <w:r w:rsidR="007A77D8" w:rsidRPr="007C6545">
        <w:rPr>
          <w:rFonts w:ascii="Arial" w:hAnsi="Arial" w:cs="Arial"/>
          <w:color w:val="000000" w:themeColor="text1"/>
        </w:rPr>
        <w:t xml:space="preserve">that </w:t>
      </w:r>
      <w:r w:rsidR="007C39CB" w:rsidRPr="007C6545">
        <w:rPr>
          <w:rFonts w:ascii="Arial" w:hAnsi="Arial" w:cs="Arial"/>
          <w:color w:val="000000" w:themeColor="text1"/>
        </w:rPr>
        <w:t xml:space="preserve">is </w:t>
      </w:r>
      <w:r w:rsidR="007A77D8" w:rsidRPr="007C6545">
        <w:rPr>
          <w:rFonts w:ascii="Arial" w:hAnsi="Arial" w:cs="Arial"/>
          <w:color w:val="000000" w:themeColor="text1"/>
        </w:rPr>
        <w:t xml:space="preserve">approximately </w:t>
      </w:r>
      <w:r w:rsidR="007C39CB" w:rsidRPr="007C6545">
        <w:rPr>
          <w:rFonts w:ascii="Arial" w:hAnsi="Arial" w:cs="Arial"/>
          <w:color w:val="000000" w:themeColor="text1"/>
        </w:rPr>
        <w:t>30% higher than capsule</w:t>
      </w:r>
      <w:r w:rsidR="007A77D8" w:rsidRPr="007C6545">
        <w:rPr>
          <w:rFonts w:ascii="Arial" w:hAnsi="Arial" w:cs="Arial"/>
          <w:color w:val="000000" w:themeColor="text1"/>
        </w:rPr>
        <w:t xml:space="preserve">s.  The absorption of </w:t>
      </w:r>
      <w:r w:rsidR="00FB514C" w:rsidRPr="007C6545">
        <w:rPr>
          <w:rFonts w:ascii="Arial" w:hAnsi="Arial" w:cs="Arial"/>
          <w:color w:val="000000" w:themeColor="text1"/>
        </w:rPr>
        <w:t>itraconazole from capsules</w:t>
      </w:r>
      <w:r w:rsidR="007C39CB" w:rsidRPr="007C6545">
        <w:rPr>
          <w:rFonts w:ascii="Arial" w:hAnsi="Arial" w:cs="Arial"/>
          <w:color w:val="000000" w:themeColor="text1"/>
        </w:rPr>
        <w:t xml:space="preserve"> </w:t>
      </w:r>
      <w:r w:rsidR="007A77D8" w:rsidRPr="007C6545">
        <w:rPr>
          <w:rFonts w:ascii="Arial" w:hAnsi="Arial" w:cs="Arial"/>
          <w:color w:val="000000" w:themeColor="text1"/>
        </w:rPr>
        <w:t xml:space="preserve">is largely dependent on gastric acidity </w:t>
      </w:r>
      <w:r w:rsidR="00653171" w:rsidRPr="007C6545">
        <w:rPr>
          <w:rFonts w:ascii="Arial" w:hAnsi="Arial" w:cs="Arial"/>
          <w:color w:val="000000" w:themeColor="text1"/>
        </w:rPr>
        <w:t>and as such</w:t>
      </w:r>
      <w:r w:rsidR="00450CA0" w:rsidRPr="007C6545">
        <w:rPr>
          <w:rFonts w:ascii="Arial" w:hAnsi="Arial" w:cs="Arial"/>
          <w:color w:val="000000" w:themeColor="text1"/>
        </w:rPr>
        <w:t>,</w:t>
      </w:r>
      <w:r w:rsidR="00653171" w:rsidRPr="007C6545">
        <w:rPr>
          <w:rFonts w:ascii="Arial" w:hAnsi="Arial" w:cs="Arial"/>
          <w:color w:val="000000" w:themeColor="text1"/>
        </w:rPr>
        <w:t xml:space="preserve"> capsules should always be administered with food </w:t>
      </w:r>
      <w:r w:rsidR="00450CA0" w:rsidRPr="007C6545">
        <w:rPr>
          <w:rFonts w:ascii="Arial" w:hAnsi="Arial" w:cs="Arial"/>
          <w:color w:val="000000" w:themeColor="text1"/>
        </w:rPr>
        <w:t xml:space="preserve">or </w:t>
      </w:r>
      <w:r w:rsidR="00653171" w:rsidRPr="007C6545">
        <w:rPr>
          <w:rFonts w:ascii="Arial" w:hAnsi="Arial" w:cs="Arial"/>
          <w:color w:val="000000" w:themeColor="text1"/>
        </w:rPr>
        <w:t>even an acidic beverage</w:t>
      </w:r>
      <w:r w:rsidR="005B35BA" w:rsidRPr="007C6545">
        <w:rPr>
          <w:rFonts w:ascii="Arial" w:hAnsi="Arial" w:cs="Arial"/>
          <w:color w:val="000000" w:themeColor="text1"/>
        </w:rPr>
        <w:t xml:space="preserve"> (e.g. cola)</w:t>
      </w:r>
      <w:r w:rsidR="00653171"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0</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2</w:t>
      </w:r>
      <w:r w:rsidR="00653171" w:rsidRPr="007C6545">
        <w:rPr>
          <w:rFonts w:ascii="Arial" w:hAnsi="Arial" w:cs="Arial"/>
          <w:color w:val="000000" w:themeColor="text1"/>
        </w:rPr>
        <w:t xml:space="preserve">  Itraconazole</w:t>
      </w:r>
      <w:r w:rsidR="007C39CB" w:rsidRPr="007C6545">
        <w:rPr>
          <w:rFonts w:ascii="Arial" w:hAnsi="Arial" w:cs="Arial"/>
          <w:color w:val="000000" w:themeColor="text1"/>
        </w:rPr>
        <w:t xml:space="preserve"> is extensively protein</w:t>
      </w:r>
      <w:r w:rsidR="00E64B1F" w:rsidRPr="007C6545">
        <w:rPr>
          <w:rFonts w:ascii="Arial" w:hAnsi="Arial" w:cs="Arial"/>
          <w:color w:val="000000" w:themeColor="text1"/>
        </w:rPr>
        <w:t xml:space="preserve"> </w:t>
      </w:r>
      <w:r w:rsidR="007C39CB" w:rsidRPr="007C6545">
        <w:rPr>
          <w:rFonts w:ascii="Arial" w:hAnsi="Arial" w:cs="Arial"/>
          <w:color w:val="000000" w:themeColor="text1"/>
        </w:rPr>
        <w:t xml:space="preserve">bound in plasma, highly lipophilic and </w:t>
      </w:r>
      <w:r w:rsidR="00766C1D" w:rsidRPr="007C6545">
        <w:rPr>
          <w:rFonts w:ascii="Arial" w:hAnsi="Arial" w:cs="Arial"/>
          <w:color w:val="000000" w:themeColor="text1"/>
        </w:rPr>
        <w:t xml:space="preserve">only </w:t>
      </w:r>
      <w:r w:rsidR="007C39CB" w:rsidRPr="007C6545">
        <w:rPr>
          <w:rFonts w:ascii="Arial" w:hAnsi="Arial" w:cs="Arial"/>
          <w:color w:val="000000" w:themeColor="text1"/>
        </w:rPr>
        <w:t>moderately water soluble.</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3</w:t>
      </w:r>
      <w:r w:rsidR="007C39CB" w:rsidRPr="007C6545">
        <w:rPr>
          <w:rFonts w:ascii="Arial" w:hAnsi="Arial" w:cs="Arial"/>
          <w:color w:val="000000" w:themeColor="text1"/>
        </w:rPr>
        <w:t xml:space="preserve"> </w:t>
      </w:r>
      <w:r w:rsidR="00B60DDF" w:rsidRPr="007C6545">
        <w:rPr>
          <w:rFonts w:ascii="Arial" w:hAnsi="Arial" w:cs="Arial"/>
          <w:color w:val="000000" w:themeColor="text1"/>
        </w:rPr>
        <w:t xml:space="preserve"> </w:t>
      </w:r>
      <w:r w:rsidR="0040176C" w:rsidRPr="007C6545">
        <w:rPr>
          <w:rFonts w:ascii="Arial" w:hAnsi="Arial" w:cs="Arial"/>
          <w:color w:val="000000" w:themeColor="text1"/>
        </w:rPr>
        <w:t>It undergoes oxidative metabolism, primarily by the CYP3A4 isoenzyme, which the drug also inhibits</w:t>
      </w:r>
      <w:r w:rsidR="00FB514C" w:rsidRPr="007C6545">
        <w:rPr>
          <w:rFonts w:ascii="Arial" w:hAnsi="Arial" w:cs="Arial"/>
          <w:color w:val="000000" w:themeColor="text1"/>
        </w:rPr>
        <w:t>,</w:t>
      </w:r>
      <w:r w:rsidR="0040176C" w:rsidRPr="007C6545">
        <w:rPr>
          <w:rFonts w:ascii="Arial" w:hAnsi="Arial" w:cs="Arial"/>
          <w:color w:val="000000" w:themeColor="text1"/>
        </w:rPr>
        <w:t xml:space="preserve"> and </w:t>
      </w:r>
      <w:r w:rsidR="00766C1D" w:rsidRPr="007C6545">
        <w:rPr>
          <w:rFonts w:ascii="Arial" w:hAnsi="Arial" w:cs="Arial"/>
          <w:color w:val="000000" w:themeColor="text1"/>
        </w:rPr>
        <w:t xml:space="preserve">as a result </w:t>
      </w:r>
      <w:r w:rsidR="0040176C" w:rsidRPr="007C6545">
        <w:rPr>
          <w:rFonts w:ascii="Arial" w:hAnsi="Arial" w:cs="Arial"/>
          <w:color w:val="000000" w:themeColor="text1"/>
        </w:rPr>
        <w:t>drug-drug interactions are important.</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4</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6</w:t>
      </w:r>
      <w:r w:rsidR="0040176C" w:rsidRPr="007C6545">
        <w:rPr>
          <w:rFonts w:ascii="Arial" w:hAnsi="Arial" w:cs="Arial"/>
          <w:color w:val="000000" w:themeColor="text1"/>
        </w:rPr>
        <w:t xml:space="preserve"> Alterations in hepatic metabolism </w:t>
      </w:r>
      <w:r w:rsidR="00766C1D" w:rsidRPr="007C6545">
        <w:rPr>
          <w:rFonts w:ascii="Arial" w:hAnsi="Arial" w:cs="Arial"/>
          <w:color w:val="000000" w:themeColor="text1"/>
        </w:rPr>
        <w:t xml:space="preserve">may </w:t>
      </w:r>
      <w:r w:rsidR="0040176C" w:rsidRPr="007C6545">
        <w:rPr>
          <w:rFonts w:ascii="Arial" w:hAnsi="Arial" w:cs="Arial"/>
          <w:color w:val="000000" w:themeColor="text1"/>
        </w:rPr>
        <w:t xml:space="preserve">also contribute to </w:t>
      </w:r>
      <w:r w:rsidR="00766C1D" w:rsidRPr="007C6545">
        <w:rPr>
          <w:rFonts w:ascii="Arial" w:hAnsi="Arial" w:cs="Arial"/>
          <w:color w:val="000000" w:themeColor="text1"/>
        </w:rPr>
        <w:t xml:space="preserve">pharmacokinetic </w:t>
      </w:r>
      <w:r w:rsidR="0040176C" w:rsidRPr="007C6545">
        <w:rPr>
          <w:rFonts w:ascii="Arial" w:hAnsi="Arial" w:cs="Arial"/>
          <w:color w:val="000000" w:themeColor="text1"/>
        </w:rPr>
        <w:t>variab</w:t>
      </w:r>
      <w:r w:rsidR="00766C1D" w:rsidRPr="007C6545">
        <w:rPr>
          <w:rFonts w:ascii="Arial" w:hAnsi="Arial" w:cs="Arial"/>
          <w:color w:val="000000" w:themeColor="text1"/>
        </w:rPr>
        <w:t>ility</w:t>
      </w:r>
      <w:r w:rsidR="0040176C" w:rsidRPr="007C6545">
        <w:rPr>
          <w:rFonts w:ascii="Arial" w:hAnsi="Arial" w:cs="Arial"/>
          <w:color w:val="000000" w:themeColor="text1"/>
        </w:rPr>
        <w:t>.</w:t>
      </w:r>
      <w:r w:rsidR="00EB39C5" w:rsidRPr="007C6545">
        <w:rPr>
          <w:rFonts w:ascii="Arial" w:hAnsi="Arial" w:cs="Arial"/>
          <w:color w:val="000000" w:themeColor="text1"/>
          <w:vertAlign w:val="superscript"/>
        </w:rPr>
        <w:t>2</w:t>
      </w:r>
    </w:p>
    <w:p w14:paraId="2F2D8690" w14:textId="4E5165FF" w:rsidR="00B60DDF" w:rsidRPr="007C6545" w:rsidRDefault="00766C1D"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Itraconazole was developed before the advent of modern pharmacodynamic</w:t>
      </w:r>
      <w:r w:rsidR="00FB514C" w:rsidRPr="007C6545">
        <w:rPr>
          <w:rFonts w:ascii="Arial" w:hAnsi="Arial" w:cs="Arial"/>
          <w:color w:val="000000" w:themeColor="text1"/>
        </w:rPr>
        <w:t xml:space="preserve"> a</w:t>
      </w:r>
      <w:r w:rsidR="00837A85" w:rsidRPr="007C6545">
        <w:rPr>
          <w:rFonts w:ascii="Arial" w:hAnsi="Arial" w:cs="Arial"/>
          <w:color w:val="000000" w:themeColor="text1"/>
        </w:rPr>
        <w:t>pproaches</w:t>
      </w:r>
      <w:r w:rsidR="005265FF" w:rsidRPr="007C6545">
        <w:rPr>
          <w:rFonts w:ascii="Arial" w:hAnsi="Arial" w:cs="Arial"/>
          <w:color w:val="000000" w:themeColor="text1"/>
        </w:rPr>
        <w:t xml:space="preserve">. The pharmacodynamic drug exposure target is quantified in terms of </w:t>
      </w:r>
      <w:proofErr w:type="spellStart"/>
      <w:r w:rsidR="005265FF"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5265FF" w:rsidRPr="007C6545">
        <w:rPr>
          <w:rFonts w:ascii="Arial" w:hAnsi="Arial" w:cs="Arial"/>
          <w:color w:val="000000" w:themeColor="text1"/>
        </w:rPr>
        <w:t xml:space="preserve"> (i.e. trough concentration)</w:t>
      </w:r>
      <w:r w:rsidR="00A35E7D" w:rsidRPr="007C6545">
        <w:rPr>
          <w:rFonts w:ascii="Arial" w:hAnsi="Arial" w:cs="Arial"/>
          <w:color w:val="000000" w:themeColor="text1"/>
        </w:rPr>
        <w:t xml:space="preserve"> rather than AUC (or AUC:MIC ratio). </w:t>
      </w:r>
      <w:r w:rsidRPr="007C6545">
        <w:rPr>
          <w:rFonts w:ascii="Arial" w:hAnsi="Arial" w:cs="Arial"/>
          <w:color w:val="000000" w:themeColor="text1"/>
        </w:rPr>
        <w:t xml:space="preserve"> </w:t>
      </w:r>
      <w:r w:rsidR="00AA4B6F" w:rsidRPr="007C6545">
        <w:rPr>
          <w:rFonts w:ascii="Arial" w:hAnsi="Arial" w:cs="Arial"/>
          <w:color w:val="000000" w:themeColor="text1"/>
        </w:rPr>
        <w:t xml:space="preserve">The </w:t>
      </w:r>
      <w:proofErr w:type="spellStart"/>
      <w:r w:rsidR="00AA4B6F" w:rsidRPr="007C6545">
        <w:rPr>
          <w:rFonts w:ascii="Arial" w:hAnsi="Arial" w:cs="Arial"/>
          <w:color w:val="000000" w:themeColor="text1"/>
        </w:rPr>
        <w:t>Cmin</w:t>
      </w:r>
      <w:proofErr w:type="spellEnd"/>
      <w:r w:rsidR="00AA4B6F" w:rsidRPr="007C6545">
        <w:rPr>
          <w:rFonts w:ascii="Arial" w:hAnsi="Arial" w:cs="Arial"/>
          <w:color w:val="000000" w:themeColor="text1"/>
        </w:rPr>
        <w:t xml:space="preserve"> is a relatively pragmatic measure of drug exposure.  The PK profile of itraconazole is relatively flat meaning that deviations from true </w:t>
      </w:r>
      <w:proofErr w:type="spellStart"/>
      <w:r w:rsidR="00AA4B6F" w:rsidRPr="007C6545">
        <w:rPr>
          <w:rFonts w:ascii="Arial" w:hAnsi="Arial" w:cs="Arial"/>
          <w:color w:val="000000" w:themeColor="text1"/>
        </w:rPr>
        <w:t>Cmin</w:t>
      </w:r>
      <w:proofErr w:type="spellEnd"/>
      <w:r w:rsidR="00AA4B6F" w:rsidRPr="007C6545">
        <w:rPr>
          <w:rFonts w:ascii="Arial" w:hAnsi="Arial" w:cs="Arial"/>
          <w:color w:val="000000" w:themeColor="text1"/>
        </w:rPr>
        <w:t xml:space="preserve"> values are unlikely to be clinically significant.  </w:t>
      </w:r>
      <w:r w:rsidR="00A35E7D" w:rsidRPr="007C6545">
        <w:rPr>
          <w:rFonts w:ascii="Arial" w:hAnsi="Arial" w:cs="Arial"/>
          <w:color w:val="000000" w:themeColor="text1"/>
        </w:rPr>
        <w:t>A</w:t>
      </w:r>
      <w:r w:rsidR="0046452C" w:rsidRPr="007C6545">
        <w:rPr>
          <w:rFonts w:ascii="Arial" w:hAnsi="Arial" w:cs="Arial"/>
          <w:color w:val="000000" w:themeColor="text1"/>
        </w:rPr>
        <w:t xml:space="preserve"> </w:t>
      </w:r>
      <w:proofErr w:type="spellStart"/>
      <w:r w:rsidR="00450CA0"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46452C" w:rsidRPr="007C6545">
        <w:rPr>
          <w:rFonts w:ascii="Arial" w:hAnsi="Arial" w:cs="Arial"/>
          <w:color w:val="000000" w:themeColor="text1"/>
        </w:rPr>
        <w:t xml:space="preserve"> range </w:t>
      </w:r>
      <w:r w:rsidR="00A35E7D" w:rsidRPr="007C6545">
        <w:rPr>
          <w:rFonts w:ascii="Arial" w:hAnsi="Arial" w:cs="Arial"/>
          <w:color w:val="000000" w:themeColor="text1"/>
        </w:rPr>
        <w:t xml:space="preserve">of </w:t>
      </w:r>
      <w:r w:rsidR="0046452C" w:rsidRPr="007C6545">
        <w:rPr>
          <w:rFonts w:ascii="Arial" w:hAnsi="Arial" w:cs="Arial"/>
          <w:color w:val="000000" w:themeColor="text1"/>
        </w:rPr>
        <w:t>0.5</w:t>
      </w:r>
      <w:r w:rsidR="00E56653" w:rsidRPr="007C6545">
        <w:rPr>
          <w:rFonts w:ascii="Arial" w:hAnsi="Arial" w:cs="Arial"/>
          <w:color w:val="000000" w:themeColor="text1"/>
        </w:rPr>
        <w:t>–</w:t>
      </w:r>
      <w:r w:rsidR="0046452C" w:rsidRPr="007C6545">
        <w:rPr>
          <w:rFonts w:ascii="Arial" w:hAnsi="Arial" w:cs="Arial"/>
          <w:color w:val="000000" w:themeColor="text1"/>
        </w:rPr>
        <w:lastRenderedPageBreak/>
        <w:t>1mg/L</w:t>
      </w:r>
      <w:r w:rsidR="000A2806" w:rsidRPr="007C6545">
        <w:rPr>
          <w:rFonts w:ascii="Arial" w:hAnsi="Arial" w:cs="Arial"/>
          <w:color w:val="000000" w:themeColor="text1"/>
        </w:rPr>
        <w:t>,</w:t>
      </w:r>
      <w:r w:rsidR="0046452C" w:rsidRPr="007C6545">
        <w:rPr>
          <w:rFonts w:ascii="Arial" w:hAnsi="Arial" w:cs="Arial"/>
          <w:color w:val="000000" w:themeColor="text1"/>
        </w:rPr>
        <w:t xml:space="preserve"> when measured using HPLC/ mass spectrometry</w:t>
      </w:r>
      <w:r w:rsidR="000A2806"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7</w:t>
      </w:r>
      <w:r w:rsidR="00A35E7D" w:rsidRPr="007C6545">
        <w:rPr>
          <w:rFonts w:ascii="Arial" w:hAnsi="Arial" w:cs="Arial"/>
          <w:color w:val="000000" w:themeColor="text1"/>
        </w:rPr>
        <w:t xml:space="preserve"> is generally used although </w:t>
      </w:r>
      <w:r w:rsidR="00450CA0" w:rsidRPr="007C6545">
        <w:rPr>
          <w:rFonts w:ascii="Arial" w:hAnsi="Arial" w:cs="Arial"/>
          <w:color w:val="000000" w:themeColor="text1"/>
        </w:rPr>
        <w:t>this target is</w:t>
      </w:r>
      <w:r w:rsidR="00A35E7D" w:rsidRPr="007C6545">
        <w:rPr>
          <w:rFonts w:ascii="Arial" w:hAnsi="Arial" w:cs="Arial"/>
          <w:color w:val="000000" w:themeColor="text1"/>
        </w:rPr>
        <w:t xml:space="preserve"> somewhat arbitrary</w:t>
      </w:r>
      <w:r w:rsidR="00B60DDF" w:rsidRPr="007C6545">
        <w:rPr>
          <w:rFonts w:ascii="Arial" w:hAnsi="Arial" w:cs="Arial"/>
          <w:color w:val="000000" w:themeColor="text1"/>
        </w:rPr>
        <w:t>.</w:t>
      </w:r>
      <w:r w:rsidR="00A35E7D" w:rsidRPr="007C6545">
        <w:rPr>
          <w:rFonts w:ascii="Arial" w:hAnsi="Arial" w:cs="Arial"/>
          <w:color w:val="000000" w:themeColor="text1"/>
        </w:rPr>
        <w:t xml:space="preserve"> </w:t>
      </w:r>
      <w:r w:rsidR="00684444" w:rsidRPr="007C6545">
        <w:rPr>
          <w:rFonts w:ascii="Arial" w:hAnsi="Arial" w:cs="Arial"/>
          <w:color w:val="000000" w:themeColor="text1"/>
        </w:rPr>
        <w:t xml:space="preserve"> Pharmacodynamic targets are</w:t>
      </w:r>
      <w:r w:rsidR="0046452C" w:rsidRPr="007C6545">
        <w:rPr>
          <w:rFonts w:ascii="Arial" w:hAnsi="Arial" w:cs="Arial"/>
          <w:color w:val="000000" w:themeColor="text1"/>
        </w:rPr>
        <w:t xml:space="preserve"> based on </w:t>
      </w:r>
      <w:r w:rsidR="00684444" w:rsidRPr="007C6545">
        <w:rPr>
          <w:rFonts w:ascii="Arial" w:hAnsi="Arial" w:cs="Arial"/>
          <w:color w:val="000000" w:themeColor="text1"/>
        </w:rPr>
        <w:t>studie</w:t>
      </w:r>
      <w:r w:rsidR="00D0105F" w:rsidRPr="007C6545">
        <w:rPr>
          <w:rFonts w:ascii="Arial" w:hAnsi="Arial" w:cs="Arial"/>
          <w:color w:val="000000" w:themeColor="text1"/>
        </w:rPr>
        <w:t>s</w:t>
      </w:r>
      <w:r w:rsidR="00684444" w:rsidRPr="007C6545">
        <w:rPr>
          <w:rFonts w:ascii="Arial" w:hAnsi="Arial" w:cs="Arial"/>
          <w:color w:val="000000" w:themeColor="text1"/>
        </w:rPr>
        <w:t xml:space="preserve"> performed in</w:t>
      </w:r>
      <w:r w:rsidR="0046452C" w:rsidRPr="007C6545">
        <w:rPr>
          <w:rFonts w:ascii="Arial" w:hAnsi="Arial" w:cs="Arial"/>
          <w:color w:val="000000" w:themeColor="text1"/>
        </w:rPr>
        <w:t xml:space="preserve"> a variety of </w:t>
      </w:r>
      <w:r w:rsidR="00F04597" w:rsidRPr="007C6545">
        <w:rPr>
          <w:rFonts w:ascii="Arial" w:hAnsi="Arial" w:cs="Arial"/>
          <w:color w:val="000000" w:themeColor="text1"/>
        </w:rPr>
        <w:t xml:space="preserve">clinical </w:t>
      </w:r>
      <w:r w:rsidR="0046452C" w:rsidRPr="007C6545">
        <w:rPr>
          <w:rFonts w:ascii="Arial" w:hAnsi="Arial" w:cs="Arial"/>
          <w:color w:val="000000" w:themeColor="text1"/>
        </w:rPr>
        <w:t>settings</w:t>
      </w:r>
      <w:r w:rsidR="00F04597" w:rsidRPr="007C6545">
        <w:rPr>
          <w:rFonts w:ascii="Arial" w:hAnsi="Arial" w:cs="Arial"/>
          <w:color w:val="000000" w:themeColor="text1"/>
        </w:rPr>
        <w:t xml:space="preserve">. </w:t>
      </w:r>
      <w:r w:rsidR="0046452C" w:rsidRPr="007C6545">
        <w:rPr>
          <w:rFonts w:ascii="Arial" w:hAnsi="Arial" w:cs="Arial"/>
          <w:color w:val="000000" w:themeColor="text1"/>
        </w:rPr>
        <w:t xml:space="preserve"> I</w:t>
      </w:r>
      <w:r w:rsidR="00A54875" w:rsidRPr="007C6545">
        <w:rPr>
          <w:rFonts w:ascii="Arial" w:hAnsi="Arial" w:cs="Arial"/>
          <w:color w:val="000000" w:themeColor="text1"/>
        </w:rPr>
        <w:t>n neutropenic patients</w:t>
      </w:r>
      <w:r w:rsidR="00525603" w:rsidRPr="007C6545">
        <w:rPr>
          <w:rFonts w:ascii="Arial" w:hAnsi="Arial" w:cs="Arial"/>
          <w:color w:val="000000" w:themeColor="text1"/>
        </w:rPr>
        <w:t xml:space="preserve"> receiving itraconazole</w:t>
      </w:r>
      <w:r w:rsidR="00F04597" w:rsidRPr="007C6545">
        <w:rPr>
          <w:rFonts w:ascii="Arial" w:hAnsi="Arial" w:cs="Arial"/>
          <w:color w:val="000000" w:themeColor="text1"/>
        </w:rPr>
        <w:t xml:space="preserve"> for the prevention of invasive fungal infections</w:t>
      </w:r>
      <w:r w:rsidR="00A54875" w:rsidRPr="007C6545">
        <w:rPr>
          <w:rFonts w:ascii="Arial" w:hAnsi="Arial" w:cs="Arial"/>
          <w:color w:val="000000" w:themeColor="text1"/>
        </w:rPr>
        <w:t xml:space="preserve">, </w:t>
      </w:r>
      <w:proofErr w:type="spellStart"/>
      <w:r w:rsidR="00F04597"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A54875" w:rsidRPr="007C6545">
        <w:rPr>
          <w:rFonts w:ascii="Arial" w:hAnsi="Arial" w:cs="Arial"/>
          <w:color w:val="000000" w:themeColor="text1"/>
        </w:rPr>
        <w:t xml:space="preserve"> &lt;0.5mg/L </w:t>
      </w:r>
      <w:r w:rsidR="00F04597" w:rsidRPr="007C6545">
        <w:rPr>
          <w:rFonts w:ascii="Arial" w:hAnsi="Arial" w:cs="Arial"/>
          <w:color w:val="000000" w:themeColor="text1"/>
        </w:rPr>
        <w:t xml:space="preserve">is </w:t>
      </w:r>
      <w:r w:rsidR="00A54875" w:rsidRPr="007C6545">
        <w:rPr>
          <w:rFonts w:ascii="Arial" w:hAnsi="Arial" w:cs="Arial"/>
          <w:color w:val="000000" w:themeColor="text1"/>
        </w:rPr>
        <w:t xml:space="preserve">associated with </w:t>
      </w:r>
      <w:r w:rsidR="00F04597" w:rsidRPr="007C6545">
        <w:rPr>
          <w:rFonts w:ascii="Arial" w:hAnsi="Arial" w:cs="Arial"/>
          <w:color w:val="000000" w:themeColor="text1"/>
        </w:rPr>
        <w:t xml:space="preserve">an </w:t>
      </w:r>
      <w:r w:rsidR="00A54875" w:rsidRPr="007C6545">
        <w:rPr>
          <w:rFonts w:ascii="Arial" w:hAnsi="Arial" w:cs="Arial"/>
          <w:color w:val="000000" w:themeColor="text1"/>
        </w:rPr>
        <w:t>increased likelihood of breakthrough infections</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8</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0</w:t>
      </w:r>
      <w:r w:rsidR="00A54875" w:rsidRPr="007C6545">
        <w:rPr>
          <w:rFonts w:ascii="Arial" w:hAnsi="Arial" w:cs="Arial"/>
          <w:color w:val="000000" w:themeColor="text1"/>
        </w:rPr>
        <w:t xml:space="preserve"> as well as </w:t>
      </w:r>
      <w:r w:rsidR="00525603" w:rsidRPr="007C6545">
        <w:rPr>
          <w:rFonts w:ascii="Arial" w:hAnsi="Arial" w:cs="Arial"/>
          <w:color w:val="000000" w:themeColor="text1"/>
        </w:rPr>
        <w:t>significantly higher mortality.</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0</w:t>
      </w:r>
      <w:r w:rsidR="00525603" w:rsidRPr="007C6545">
        <w:rPr>
          <w:rFonts w:ascii="Arial" w:hAnsi="Arial" w:cs="Arial"/>
          <w:color w:val="000000" w:themeColor="text1"/>
        </w:rPr>
        <w:t xml:space="preserve"> </w:t>
      </w:r>
      <w:r w:rsidR="00F04597" w:rsidRPr="007C6545">
        <w:rPr>
          <w:rFonts w:ascii="Arial" w:hAnsi="Arial" w:cs="Arial"/>
          <w:color w:val="000000" w:themeColor="text1"/>
        </w:rPr>
        <w:t xml:space="preserve"> </w:t>
      </w:r>
      <w:r w:rsidR="008A3135" w:rsidRPr="007C6545">
        <w:rPr>
          <w:rFonts w:ascii="Arial" w:hAnsi="Arial" w:cs="Arial"/>
          <w:color w:val="000000" w:themeColor="text1"/>
        </w:rPr>
        <w:t>When used f</w:t>
      </w:r>
      <w:r w:rsidR="00525603" w:rsidRPr="007C6545">
        <w:rPr>
          <w:rFonts w:ascii="Arial" w:hAnsi="Arial" w:cs="Arial"/>
          <w:color w:val="000000" w:themeColor="text1"/>
        </w:rPr>
        <w:t xml:space="preserve">or </w:t>
      </w:r>
      <w:r w:rsidR="008A3135" w:rsidRPr="007C6545">
        <w:rPr>
          <w:rFonts w:ascii="Arial" w:hAnsi="Arial" w:cs="Arial"/>
          <w:color w:val="000000" w:themeColor="text1"/>
        </w:rPr>
        <w:t xml:space="preserve">the </w:t>
      </w:r>
      <w:r w:rsidR="00525603" w:rsidRPr="007C6545">
        <w:rPr>
          <w:rFonts w:ascii="Arial" w:hAnsi="Arial" w:cs="Arial"/>
          <w:color w:val="000000" w:themeColor="text1"/>
        </w:rPr>
        <w:t xml:space="preserve">treatment of </w:t>
      </w:r>
      <w:r w:rsidR="0046452C" w:rsidRPr="007C6545">
        <w:rPr>
          <w:rFonts w:ascii="Arial" w:hAnsi="Arial" w:cs="Arial"/>
          <w:color w:val="000000" w:themeColor="text1"/>
        </w:rPr>
        <w:t>oropharyngeal candidiasis, serum itraconazole concentrations &lt;1m</w:t>
      </w:r>
      <w:r w:rsidR="008A3135" w:rsidRPr="007C6545">
        <w:rPr>
          <w:rFonts w:ascii="Arial" w:hAnsi="Arial" w:cs="Arial"/>
          <w:color w:val="000000" w:themeColor="text1"/>
        </w:rPr>
        <w:t>g</w:t>
      </w:r>
      <w:r w:rsidR="0046452C" w:rsidRPr="007C6545">
        <w:rPr>
          <w:rFonts w:ascii="Arial" w:hAnsi="Arial" w:cs="Arial"/>
          <w:color w:val="000000" w:themeColor="text1"/>
        </w:rPr>
        <w:t>/L are predictive of therapeutic failure.</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1</w:t>
      </w:r>
      <w:r w:rsidR="008A3135" w:rsidRPr="007C6545">
        <w:rPr>
          <w:rFonts w:ascii="Arial" w:hAnsi="Arial" w:cs="Arial"/>
          <w:color w:val="000000" w:themeColor="text1"/>
        </w:rPr>
        <w:t xml:space="preserve"> </w:t>
      </w:r>
      <w:r w:rsidR="0046452C" w:rsidRPr="007C6545">
        <w:rPr>
          <w:rFonts w:ascii="Arial" w:hAnsi="Arial" w:cs="Arial"/>
          <w:color w:val="000000" w:themeColor="text1"/>
        </w:rPr>
        <w:t xml:space="preserve"> </w:t>
      </w:r>
      <w:r w:rsidR="008A3135" w:rsidRPr="007C6545">
        <w:rPr>
          <w:rFonts w:ascii="Arial" w:hAnsi="Arial" w:cs="Arial"/>
          <w:color w:val="000000" w:themeColor="text1"/>
        </w:rPr>
        <w:t xml:space="preserve">Clinical outcomes for patients with </w:t>
      </w:r>
      <w:r w:rsidR="004735CC" w:rsidRPr="007C6545">
        <w:rPr>
          <w:rFonts w:ascii="Arial" w:hAnsi="Arial" w:cs="Arial"/>
          <w:color w:val="000000" w:themeColor="text1"/>
        </w:rPr>
        <w:t xml:space="preserve">cryptococcal meningitis and respiratory </w:t>
      </w:r>
      <w:proofErr w:type="spellStart"/>
      <w:r w:rsidR="004735CC" w:rsidRPr="007C6545">
        <w:rPr>
          <w:rFonts w:ascii="Arial" w:hAnsi="Arial" w:cs="Arial"/>
          <w:color w:val="000000" w:themeColor="text1"/>
        </w:rPr>
        <w:t>coccidioidomycosis</w:t>
      </w:r>
      <w:proofErr w:type="spellEnd"/>
      <w:r w:rsidR="004735CC" w:rsidRPr="007C6545">
        <w:rPr>
          <w:rFonts w:ascii="Arial" w:hAnsi="Arial" w:cs="Arial"/>
          <w:color w:val="000000" w:themeColor="text1"/>
        </w:rPr>
        <w:t xml:space="preserve"> are </w:t>
      </w:r>
      <w:r w:rsidR="000A2806" w:rsidRPr="007C6545">
        <w:rPr>
          <w:rFonts w:ascii="Arial" w:hAnsi="Arial" w:cs="Arial"/>
          <w:color w:val="000000" w:themeColor="text1"/>
        </w:rPr>
        <w:t>improved</w:t>
      </w:r>
      <w:r w:rsidR="004735CC" w:rsidRPr="007C6545">
        <w:rPr>
          <w:rFonts w:ascii="Arial" w:hAnsi="Arial" w:cs="Arial"/>
          <w:color w:val="000000" w:themeColor="text1"/>
        </w:rPr>
        <w:t xml:space="preserve"> with higher </w:t>
      </w:r>
      <w:r w:rsidR="00E4602B" w:rsidRPr="007C6545">
        <w:rPr>
          <w:rFonts w:ascii="Arial" w:hAnsi="Arial" w:cs="Arial"/>
          <w:color w:val="000000" w:themeColor="text1"/>
        </w:rPr>
        <w:t>steady</w:t>
      </w:r>
      <w:r w:rsidR="000A2806" w:rsidRPr="007C6545">
        <w:rPr>
          <w:rFonts w:ascii="Arial" w:hAnsi="Arial" w:cs="Arial"/>
          <w:color w:val="000000" w:themeColor="text1"/>
        </w:rPr>
        <w:t>-</w:t>
      </w:r>
      <w:r w:rsidR="00E4602B" w:rsidRPr="007C6545">
        <w:rPr>
          <w:rFonts w:ascii="Arial" w:hAnsi="Arial" w:cs="Arial"/>
          <w:color w:val="000000" w:themeColor="text1"/>
        </w:rPr>
        <w:t xml:space="preserve">state </w:t>
      </w:r>
      <w:r w:rsidR="004735CC" w:rsidRPr="007C6545">
        <w:rPr>
          <w:rFonts w:ascii="Arial" w:hAnsi="Arial" w:cs="Arial"/>
          <w:color w:val="000000" w:themeColor="text1"/>
        </w:rPr>
        <w:t xml:space="preserve">itraconazole </w:t>
      </w:r>
      <w:r w:rsidR="00E4602B" w:rsidRPr="007C6545">
        <w:rPr>
          <w:rFonts w:ascii="Arial" w:hAnsi="Arial" w:cs="Arial"/>
          <w:color w:val="000000" w:themeColor="text1"/>
        </w:rPr>
        <w:t>concentrations</w:t>
      </w:r>
      <w:r w:rsidR="00053B3F" w:rsidRPr="007C6545">
        <w:rPr>
          <w:rFonts w:ascii="Arial" w:hAnsi="Arial" w:cs="Arial"/>
          <w:color w:val="000000" w:themeColor="text1"/>
        </w:rPr>
        <w:t>.</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2</w:t>
      </w:r>
      <w:r w:rsidR="00053B3F" w:rsidRPr="007C6545">
        <w:rPr>
          <w:rFonts w:ascii="Arial" w:hAnsi="Arial" w:cs="Arial"/>
          <w:color w:val="000000" w:themeColor="text1"/>
        </w:rPr>
        <w:t xml:space="preserve">  Finally, when itraconazole is </w:t>
      </w:r>
      <w:r w:rsidR="000A2806" w:rsidRPr="007C6545">
        <w:rPr>
          <w:rFonts w:ascii="Arial" w:hAnsi="Arial" w:cs="Arial"/>
          <w:color w:val="000000" w:themeColor="text1"/>
        </w:rPr>
        <w:t xml:space="preserve">administered in </w:t>
      </w:r>
      <w:r w:rsidR="00053B3F" w:rsidRPr="007C6545">
        <w:rPr>
          <w:rFonts w:ascii="Arial" w:hAnsi="Arial" w:cs="Arial"/>
          <w:color w:val="000000" w:themeColor="text1"/>
        </w:rPr>
        <w:t xml:space="preserve">patients with </w:t>
      </w:r>
      <w:r w:rsidR="004735CC" w:rsidRPr="007C6545">
        <w:rPr>
          <w:rFonts w:ascii="Arial" w:hAnsi="Arial" w:cs="Arial"/>
          <w:color w:val="000000" w:themeColor="text1"/>
        </w:rPr>
        <w:t xml:space="preserve">invasive </w:t>
      </w:r>
      <w:r w:rsidR="00053B3F" w:rsidRPr="007C6545">
        <w:rPr>
          <w:rFonts w:ascii="Arial" w:hAnsi="Arial" w:cs="Arial"/>
          <w:color w:val="000000" w:themeColor="text1"/>
        </w:rPr>
        <w:t>aspergillosis</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3</w:t>
      </w:r>
      <w:r w:rsidR="004735CC" w:rsidRPr="007C6545">
        <w:rPr>
          <w:rFonts w:ascii="Arial" w:hAnsi="Arial" w:cs="Arial"/>
          <w:color w:val="000000" w:themeColor="text1"/>
        </w:rPr>
        <w:t xml:space="preserve"> </w:t>
      </w:r>
      <w:r w:rsidR="000A2806" w:rsidRPr="007C6545">
        <w:rPr>
          <w:rFonts w:ascii="Arial" w:hAnsi="Arial" w:cs="Arial"/>
          <w:color w:val="000000" w:themeColor="text1"/>
        </w:rPr>
        <w:t>or</w:t>
      </w:r>
      <w:r w:rsidR="004735CC" w:rsidRPr="007C6545">
        <w:rPr>
          <w:rFonts w:ascii="Arial" w:hAnsi="Arial" w:cs="Arial"/>
          <w:color w:val="000000" w:themeColor="text1"/>
        </w:rPr>
        <w:t xml:space="preserve"> </w:t>
      </w:r>
      <w:r w:rsidR="00A75AEA" w:rsidRPr="007C6545">
        <w:rPr>
          <w:rFonts w:ascii="Arial" w:hAnsi="Arial" w:cs="Arial"/>
          <w:color w:val="000000" w:themeColor="text1"/>
        </w:rPr>
        <w:t>histoplasm</w:t>
      </w:r>
      <w:r w:rsidR="00471C7A" w:rsidRPr="007C6545">
        <w:rPr>
          <w:rFonts w:ascii="Arial" w:hAnsi="Arial" w:cs="Arial"/>
          <w:color w:val="000000" w:themeColor="text1"/>
        </w:rPr>
        <w:t>osis</w:t>
      </w:r>
      <w:r w:rsidR="009325F2" w:rsidRPr="007C6545">
        <w:rPr>
          <w:rFonts w:ascii="Arial" w:hAnsi="Arial" w:cs="Arial"/>
          <w:color w:val="000000" w:themeColor="text1"/>
        </w:rPr>
        <w:t>,</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4</w:t>
      </w:r>
      <w:r w:rsidR="004735CC" w:rsidRPr="007C6545">
        <w:rPr>
          <w:rFonts w:ascii="Arial" w:hAnsi="Arial" w:cs="Arial"/>
          <w:color w:val="000000" w:themeColor="text1"/>
        </w:rPr>
        <w:t xml:space="preserve"> higher </w:t>
      </w:r>
      <w:proofErr w:type="spellStart"/>
      <w:r w:rsidR="00471C7A"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471C7A" w:rsidRPr="007C6545">
        <w:rPr>
          <w:rFonts w:ascii="Arial" w:hAnsi="Arial" w:cs="Arial"/>
          <w:color w:val="000000" w:themeColor="text1"/>
        </w:rPr>
        <w:t xml:space="preserve"> values</w:t>
      </w:r>
      <w:r w:rsidR="004735CC" w:rsidRPr="007C6545">
        <w:rPr>
          <w:rFonts w:ascii="Arial" w:hAnsi="Arial" w:cs="Arial"/>
          <w:color w:val="000000" w:themeColor="text1"/>
        </w:rPr>
        <w:t xml:space="preserve"> tend to lead to better </w:t>
      </w:r>
      <w:r w:rsidR="00471C7A" w:rsidRPr="007C6545">
        <w:rPr>
          <w:rFonts w:ascii="Arial" w:hAnsi="Arial" w:cs="Arial"/>
          <w:color w:val="000000" w:themeColor="text1"/>
        </w:rPr>
        <w:t>clinical outcomes</w:t>
      </w:r>
      <w:r w:rsidR="004735CC" w:rsidRPr="007C6545">
        <w:rPr>
          <w:rFonts w:ascii="Arial" w:hAnsi="Arial" w:cs="Arial"/>
          <w:color w:val="000000" w:themeColor="text1"/>
        </w:rPr>
        <w:t>.</w:t>
      </w:r>
      <w:r w:rsidR="00CE7351" w:rsidRPr="007C6545">
        <w:rPr>
          <w:rFonts w:ascii="Arial" w:hAnsi="Arial" w:cs="Arial"/>
          <w:color w:val="000000" w:themeColor="text1"/>
        </w:rPr>
        <w:t xml:space="preserve"> </w:t>
      </w:r>
      <w:r w:rsidR="00471C7A" w:rsidRPr="007C6545">
        <w:rPr>
          <w:rFonts w:ascii="Arial" w:hAnsi="Arial" w:cs="Arial"/>
          <w:color w:val="000000" w:themeColor="text1"/>
        </w:rPr>
        <w:t xml:space="preserve"> Importantly, therapeutic</w:t>
      </w:r>
      <w:r w:rsidR="00CE7351" w:rsidRPr="007C6545">
        <w:rPr>
          <w:rFonts w:ascii="Arial" w:hAnsi="Arial" w:cs="Arial"/>
          <w:color w:val="000000" w:themeColor="text1"/>
        </w:rPr>
        <w:t xml:space="preserve"> targets for TDM </w:t>
      </w:r>
      <w:r w:rsidR="000A2806" w:rsidRPr="007C6545">
        <w:rPr>
          <w:rFonts w:ascii="Arial" w:hAnsi="Arial" w:cs="Arial"/>
          <w:color w:val="000000" w:themeColor="text1"/>
        </w:rPr>
        <w:t>of</w:t>
      </w:r>
      <w:r w:rsidR="00471C7A" w:rsidRPr="007C6545">
        <w:rPr>
          <w:rFonts w:ascii="Arial" w:hAnsi="Arial" w:cs="Arial"/>
          <w:color w:val="000000" w:themeColor="text1"/>
        </w:rPr>
        <w:t xml:space="preserve"> itraconazole </w:t>
      </w:r>
      <w:r w:rsidR="00CE7351" w:rsidRPr="007C6545">
        <w:rPr>
          <w:rFonts w:ascii="Arial" w:hAnsi="Arial" w:cs="Arial"/>
          <w:color w:val="000000" w:themeColor="text1"/>
        </w:rPr>
        <w:t>were derived in an era before triazole resistance</w:t>
      </w:r>
      <w:r w:rsidR="005B35BA" w:rsidRPr="007C6545">
        <w:rPr>
          <w:rFonts w:ascii="Arial" w:hAnsi="Arial" w:cs="Arial"/>
          <w:color w:val="000000" w:themeColor="text1"/>
        </w:rPr>
        <w:t xml:space="preserve"> emerged</w:t>
      </w:r>
      <w:r w:rsidR="00CE7351" w:rsidRPr="007C6545">
        <w:rPr>
          <w:rFonts w:ascii="Arial" w:hAnsi="Arial" w:cs="Arial"/>
          <w:color w:val="000000" w:themeColor="text1"/>
        </w:rPr>
        <w:t xml:space="preserve"> in </w:t>
      </w:r>
      <w:r w:rsidR="00CE7351" w:rsidRPr="007C6545">
        <w:rPr>
          <w:rFonts w:ascii="Arial" w:hAnsi="Arial" w:cs="Arial"/>
          <w:i/>
          <w:color w:val="000000" w:themeColor="text1"/>
        </w:rPr>
        <w:t>Aspergillus</w:t>
      </w:r>
      <w:r w:rsidR="00641B9E" w:rsidRPr="007C6545">
        <w:rPr>
          <w:rFonts w:ascii="Arial" w:hAnsi="Arial" w:cs="Arial"/>
          <w:color w:val="000000" w:themeColor="text1"/>
        </w:rPr>
        <w:t>.</w:t>
      </w:r>
      <w:r w:rsidR="00CE7351" w:rsidRPr="007C6545">
        <w:rPr>
          <w:rFonts w:ascii="Arial" w:hAnsi="Arial" w:cs="Arial"/>
          <w:color w:val="000000" w:themeColor="text1"/>
        </w:rPr>
        <w:t xml:space="preserve"> </w:t>
      </w:r>
      <w:r w:rsidR="00641B9E" w:rsidRPr="007C6545">
        <w:rPr>
          <w:rFonts w:ascii="Arial" w:hAnsi="Arial" w:cs="Arial"/>
          <w:color w:val="000000" w:themeColor="text1"/>
        </w:rPr>
        <w:t xml:space="preserve"> Such </w:t>
      </w:r>
      <w:r w:rsidR="00450CA0" w:rsidRPr="007C6545">
        <w:rPr>
          <w:rFonts w:ascii="Arial" w:hAnsi="Arial" w:cs="Arial"/>
          <w:color w:val="000000" w:themeColor="text1"/>
        </w:rPr>
        <w:t>practice</w:t>
      </w:r>
      <w:r w:rsidR="00641B9E" w:rsidRPr="007C6545">
        <w:rPr>
          <w:rFonts w:ascii="Arial" w:hAnsi="Arial" w:cs="Arial"/>
          <w:color w:val="000000" w:themeColor="text1"/>
        </w:rPr>
        <w:t xml:space="preserve"> is</w:t>
      </w:r>
      <w:r w:rsidR="00CE7351" w:rsidRPr="007C6545">
        <w:rPr>
          <w:rFonts w:ascii="Arial" w:hAnsi="Arial" w:cs="Arial"/>
          <w:color w:val="000000" w:themeColor="text1"/>
        </w:rPr>
        <w:t xml:space="preserve"> illustrat</w:t>
      </w:r>
      <w:r w:rsidR="00641B9E" w:rsidRPr="007C6545">
        <w:rPr>
          <w:rFonts w:ascii="Arial" w:hAnsi="Arial" w:cs="Arial"/>
          <w:color w:val="000000" w:themeColor="text1"/>
        </w:rPr>
        <w:t>ive of</w:t>
      </w:r>
      <w:r w:rsidR="00CE7351" w:rsidRPr="007C6545">
        <w:rPr>
          <w:rFonts w:ascii="Arial" w:hAnsi="Arial" w:cs="Arial"/>
          <w:color w:val="000000" w:themeColor="text1"/>
        </w:rPr>
        <w:t xml:space="preserve"> the </w:t>
      </w:r>
      <w:r w:rsidR="00641B9E" w:rsidRPr="007C6545">
        <w:rPr>
          <w:rFonts w:ascii="Arial" w:hAnsi="Arial" w:cs="Arial"/>
          <w:color w:val="000000" w:themeColor="text1"/>
        </w:rPr>
        <w:t>limitation</w:t>
      </w:r>
      <w:r w:rsidR="000A2806" w:rsidRPr="007C6545">
        <w:rPr>
          <w:rFonts w:ascii="Arial" w:hAnsi="Arial" w:cs="Arial"/>
          <w:color w:val="000000" w:themeColor="text1"/>
        </w:rPr>
        <w:t>s</w:t>
      </w:r>
      <w:r w:rsidR="00641B9E" w:rsidRPr="007C6545">
        <w:rPr>
          <w:rFonts w:ascii="Arial" w:hAnsi="Arial" w:cs="Arial"/>
          <w:color w:val="000000" w:themeColor="text1"/>
        </w:rPr>
        <w:t xml:space="preserve"> </w:t>
      </w:r>
      <w:r w:rsidR="00041E1D" w:rsidRPr="007C6545">
        <w:rPr>
          <w:rFonts w:ascii="Arial" w:hAnsi="Arial" w:cs="Arial"/>
          <w:color w:val="000000" w:themeColor="text1"/>
        </w:rPr>
        <w:t xml:space="preserve">that </w:t>
      </w:r>
      <w:r w:rsidR="00450CA0" w:rsidRPr="007C6545">
        <w:rPr>
          <w:rFonts w:ascii="Arial" w:hAnsi="Arial" w:cs="Arial"/>
          <w:color w:val="000000" w:themeColor="text1"/>
        </w:rPr>
        <w:t xml:space="preserve">result </w:t>
      </w:r>
      <w:r w:rsidR="00CE7351" w:rsidRPr="007C6545">
        <w:rPr>
          <w:rFonts w:ascii="Arial" w:hAnsi="Arial" w:cs="Arial"/>
          <w:color w:val="000000" w:themeColor="text1"/>
        </w:rPr>
        <w:t xml:space="preserve">from setting </w:t>
      </w:r>
      <w:r w:rsidR="006E0DC5" w:rsidRPr="007C6545">
        <w:rPr>
          <w:rFonts w:ascii="Arial" w:hAnsi="Arial" w:cs="Arial"/>
          <w:color w:val="000000" w:themeColor="text1"/>
        </w:rPr>
        <w:t xml:space="preserve">pharmacodynamic </w:t>
      </w:r>
      <w:r w:rsidR="00CE7351" w:rsidRPr="007C6545">
        <w:rPr>
          <w:rFonts w:ascii="Arial" w:hAnsi="Arial" w:cs="Arial"/>
          <w:color w:val="000000" w:themeColor="text1"/>
        </w:rPr>
        <w:t xml:space="preserve">targets without accounting for </w:t>
      </w:r>
      <w:r w:rsidR="006E0DC5" w:rsidRPr="007C6545">
        <w:rPr>
          <w:rFonts w:ascii="Arial" w:hAnsi="Arial" w:cs="Arial"/>
          <w:color w:val="000000" w:themeColor="text1"/>
        </w:rPr>
        <w:t xml:space="preserve">the susceptibility of the target organism. The appropriate </w:t>
      </w:r>
      <w:proofErr w:type="spellStart"/>
      <w:r w:rsidR="006E0DC5"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6E0DC5" w:rsidRPr="007C6545">
        <w:rPr>
          <w:rFonts w:ascii="Arial" w:hAnsi="Arial" w:cs="Arial"/>
          <w:color w:val="000000" w:themeColor="text1"/>
        </w:rPr>
        <w:t xml:space="preserve"> target for</w:t>
      </w:r>
      <w:r w:rsidR="00CE7351" w:rsidRPr="007C6545">
        <w:rPr>
          <w:rFonts w:ascii="Arial" w:hAnsi="Arial" w:cs="Arial"/>
          <w:color w:val="000000" w:themeColor="text1"/>
        </w:rPr>
        <w:t xml:space="preserve"> the treatment of </w:t>
      </w:r>
      <w:r w:rsidR="00CE7351" w:rsidRPr="007C6545">
        <w:rPr>
          <w:rFonts w:ascii="Arial" w:hAnsi="Arial" w:cs="Arial"/>
          <w:i/>
          <w:color w:val="000000" w:themeColor="text1"/>
        </w:rPr>
        <w:t xml:space="preserve">Aspergillus </w:t>
      </w:r>
      <w:r w:rsidR="00CE7351" w:rsidRPr="007C6545">
        <w:rPr>
          <w:rFonts w:ascii="Arial" w:hAnsi="Arial" w:cs="Arial"/>
          <w:color w:val="000000" w:themeColor="text1"/>
        </w:rPr>
        <w:t xml:space="preserve">with </w:t>
      </w:r>
      <w:proofErr w:type="spellStart"/>
      <w:r w:rsidR="00925047" w:rsidRPr="007C6545">
        <w:rPr>
          <w:rFonts w:ascii="Arial" w:hAnsi="Arial" w:cs="Arial"/>
          <w:color w:val="000000" w:themeColor="text1"/>
        </w:rPr>
        <w:t>non wild</w:t>
      </w:r>
      <w:proofErr w:type="spellEnd"/>
      <w:r w:rsidR="00925047" w:rsidRPr="007C6545">
        <w:rPr>
          <w:rFonts w:ascii="Arial" w:hAnsi="Arial" w:cs="Arial"/>
          <w:color w:val="000000" w:themeColor="text1"/>
        </w:rPr>
        <w:t xml:space="preserve">-type </w:t>
      </w:r>
      <w:r w:rsidR="00CE7351" w:rsidRPr="007C6545">
        <w:rPr>
          <w:rFonts w:ascii="Arial" w:hAnsi="Arial" w:cs="Arial"/>
          <w:color w:val="000000" w:themeColor="text1"/>
        </w:rPr>
        <w:t xml:space="preserve">MICs is </w:t>
      </w:r>
      <w:r w:rsidR="000A2806" w:rsidRPr="007C6545">
        <w:rPr>
          <w:rFonts w:ascii="Arial" w:hAnsi="Arial" w:cs="Arial"/>
          <w:color w:val="000000" w:themeColor="text1"/>
        </w:rPr>
        <w:t>un</w:t>
      </w:r>
      <w:r w:rsidR="00CE7351" w:rsidRPr="007C6545">
        <w:rPr>
          <w:rFonts w:ascii="Arial" w:hAnsi="Arial" w:cs="Arial"/>
          <w:color w:val="000000" w:themeColor="text1"/>
        </w:rPr>
        <w:t>known</w:t>
      </w:r>
      <w:r w:rsidR="000A2806"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7</w:t>
      </w:r>
      <w:r w:rsidR="00B10C52" w:rsidRPr="007C6545">
        <w:rPr>
          <w:rFonts w:ascii="Arial" w:hAnsi="Arial" w:cs="Arial"/>
          <w:color w:val="000000" w:themeColor="text1"/>
        </w:rPr>
        <w:t xml:space="preserve"> although t</w:t>
      </w:r>
      <w:r w:rsidR="00925047" w:rsidRPr="007C6545">
        <w:rPr>
          <w:rFonts w:ascii="Arial" w:hAnsi="Arial" w:cs="Arial"/>
          <w:color w:val="000000" w:themeColor="text1"/>
        </w:rPr>
        <w:t xml:space="preserve">he majority of </w:t>
      </w:r>
      <w:r w:rsidR="00CC2B11" w:rsidRPr="007C6545">
        <w:rPr>
          <w:rFonts w:ascii="Arial" w:hAnsi="Arial" w:cs="Arial"/>
          <w:color w:val="000000" w:themeColor="text1"/>
        </w:rPr>
        <w:t xml:space="preserve">isolates with </w:t>
      </w:r>
      <w:r w:rsidR="00925047" w:rsidRPr="007C6545">
        <w:rPr>
          <w:rFonts w:ascii="Arial" w:hAnsi="Arial" w:cs="Arial"/>
          <w:color w:val="000000" w:themeColor="text1"/>
        </w:rPr>
        <w:t>common resistance mechanisms tend to have very high MIC values</w:t>
      </w:r>
      <w:r w:rsidR="000A2806" w:rsidRPr="007C6545">
        <w:rPr>
          <w:rFonts w:ascii="Arial" w:hAnsi="Arial" w:cs="Arial"/>
          <w:color w:val="000000" w:themeColor="text1"/>
        </w:rPr>
        <w:t xml:space="preserve"> and</w:t>
      </w:r>
      <w:r w:rsidR="00B10C52" w:rsidRPr="007C6545">
        <w:rPr>
          <w:rFonts w:ascii="Arial" w:hAnsi="Arial" w:cs="Arial"/>
          <w:color w:val="000000" w:themeColor="text1"/>
        </w:rPr>
        <w:t xml:space="preserve"> are unlikely to be treatab</w:t>
      </w:r>
      <w:r w:rsidR="00882835" w:rsidRPr="007C6545">
        <w:rPr>
          <w:rFonts w:ascii="Arial" w:hAnsi="Arial" w:cs="Arial"/>
          <w:color w:val="000000" w:themeColor="text1"/>
        </w:rPr>
        <w:t>le with dosage escalation and a well-demonstrated</w:t>
      </w:r>
      <w:r w:rsidR="00B10C52" w:rsidRPr="007C6545">
        <w:rPr>
          <w:rFonts w:ascii="Arial" w:hAnsi="Arial" w:cs="Arial"/>
          <w:color w:val="000000" w:themeColor="text1"/>
        </w:rPr>
        <w:t xml:space="preserve"> upper </w:t>
      </w:r>
      <w:r w:rsidR="00882835" w:rsidRPr="007C6545">
        <w:rPr>
          <w:rFonts w:ascii="Arial" w:hAnsi="Arial" w:cs="Arial"/>
          <w:color w:val="000000" w:themeColor="text1"/>
        </w:rPr>
        <w:t>toxicity bound</w:t>
      </w:r>
      <w:r w:rsidR="000A2806" w:rsidRPr="007C6545">
        <w:rPr>
          <w:rFonts w:ascii="Arial" w:hAnsi="Arial" w:cs="Arial"/>
          <w:color w:val="000000" w:themeColor="text1"/>
        </w:rPr>
        <w:t>ary</w:t>
      </w:r>
      <w:r w:rsidR="001D6A31"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0</w:t>
      </w:r>
    </w:p>
    <w:p w14:paraId="009015DD" w14:textId="645110BD" w:rsidR="007C39CB" w:rsidRPr="007C6545" w:rsidRDefault="0040176C"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 majority of patients receiving itraconazole should </w:t>
      </w:r>
      <w:r w:rsidR="000A2806" w:rsidRPr="007C6545">
        <w:rPr>
          <w:rFonts w:ascii="Arial" w:hAnsi="Arial" w:cs="Arial"/>
          <w:color w:val="000000" w:themeColor="text1"/>
        </w:rPr>
        <w:t>routinely be managed with</w:t>
      </w:r>
      <w:r w:rsidR="00B10C52" w:rsidRPr="007C6545">
        <w:rPr>
          <w:rFonts w:ascii="Arial" w:hAnsi="Arial" w:cs="Arial"/>
          <w:color w:val="000000" w:themeColor="text1"/>
        </w:rPr>
        <w:t xml:space="preserve"> </w:t>
      </w:r>
      <w:r w:rsidRPr="007C6545">
        <w:rPr>
          <w:rFonts w:ascii="Arial" w:hAnsi="Arial" w:cs="Arial"/>
          <w:color w:val="000000" w:themeColor="text1"/>
        </w:rPr>
        <w:t>TDM</w:t>
      </w:r>
      <w:r w:rsidR="00B10C52" w:rsidRPr="007C6545">
        <w:rPr>
          <w:rFonts w:ascii="Arial" w:hAnsi="Arial" w:cs="Arial"/>
          <w:color w:val="000000" w:themeColor="text1"/>
        </w:rPr>
        <w:t xml:space="preserve">. </w:t>
      </w:r>
      <w:r w:rsidRPr="007C6545">
        <w:rPr>
          <w:rFonts w:ascii="Arial" w:hAnsi="Arial" w:cs="Arial"/>
          <w:color w:val="000000" w:themeColor="text1"/>
        </w:rPr>
        <w:t xml:space="preserve"> </w:t>
      </w:r>
      <w:r w:rsidR="00B10C52" w:rsidRPr="007C6545">
        <w:rPr>
          <w:rFonts w:ascii="Arial" w:hAnsi="Arial" w:cs="Arial"/>
          <w:color w:val="000000" w:themeColor="text1"/>
        </w:rPr>
        <w:t>T</w:t>
      </w:r>
      <w:r w:rsidRPr="007C6545">
        <w:rPr>
          <w:rFonts w:ascii="Arial" w:hAnsi="Arial" w:cs="Arial"/>
          <w:color w:val="000000" w:themeColor="text1"/>
        </w:rPr>
        <w:t xml:space="preserve">he rationale for this is five-fold: </w:t>
      </w:r>
      <w:r w:rsidR="00B10C52" w:rsidRPr="007C6545">
        <w:rPr>
          <w:rFonts w:ascii="Arial" w:hAnsi="Arial" w:cs="Arial"/>
          <w:color w:val="000000" w:themeColor="text1"/>
        </w:rPr>
        <w:t>(</w:t>
      </w:r>
      <w:r w:rsidRPr="007C6545">
        <w:rPr>
          <w:rFonts w:ascii="Arial" w:hAnsi="Arial" w:cs="Arial"/>
          <w:color w:val="000000" w:themeColor="text1"/>
        </w:rPr>
        <w:t xml:space="preserve">1) </w:t>
      </w:r>
      <w:r w:rsidR="00B10C52" w:rsidRPr="007C6545">
        <w:rPr>
          <w:rFonts w:ascii="Arial" w:hAnsi="Arial" w:cs="Arial"/>
          <w:color w:val="000000" w:themeColor="text1"/>
        </w:rPr>
        <w:t xml:space="preserve">high </w:t>
      </w:r>
      <w:r w:rsidRPr="007C6545">
        <w:rPr>
          <w:rFonts w:ascii="Arial" w:hAnsi="Arial" w:cs="Arial"/>
          <w:color w:val="000000" w:themeColor="text1"/>
        </w:rPr>
        <w:t xml:space="preserve">inherent </w:t>
      </w:r>
      <w:r w:rsidR="0020136C" w:rsidRPr="007C6545">
        <w:rPr>
          <w:rFonts w:ascii="Arial" w:hAnsi="Arial" w:cs="Arial"/>
          <w:color w:val="000000" w:themeColor="text1"/>
        </w:rPr>
        <w:t xml:space="preserve">pharmacokinetic </w:t>
      </w:r>
      <w:r w:rsidRPr="007C6545">
        <w:rPr>
          <w:rFonts w:ascii="Arial" w:hAnsi="Arial" w:cs="Arial"/>
          <w:color w:val="000000" w:themeColor="text1"/>
        </w:rPr>
        <w:t>variability</w:t>
      </w:r>
      <w:r w:rsidR="00B10C52" w:rsidRPr="007C6545">
        <w:rPr>
          <w:rFonts w:ascii="Arial" w:hAnsi="Arial" w:cs="Arial"/>
          <w:color w:val="000000" w:themeColor="text1"/>
        </w:rPr>
        <w:t xml:space="preserve"> of all itraconazole formulations</w:t>
      </w:r>
      <w:r w:rsidRPr="007C6545">
        <w:rPr>
          <w:rFonts w:ascii="Arial" w:hAnsi="Arial" w:cs="Arial"/>
          <w:color w:val="000000" w:themeColor="text1"/>
        </w:rPr>
        <w:t xml:space="preserve">; </w:t>
      </w:r>
      <w:r w:rsidR="00B10C52" w:rsidRPr="007C6545">
        <w:rPr>
          <w:rFonts w:ascii="Arial" w:hAnsi="Arial" w:cs="Arial"/>
          <w:color w:val="000000" w:themeColor="text1"/>
        </w:rPr>
        <w:t>(</w:t>
      </w:r>
      <w:r w:rsidRPr="007C6545">
        <w:rPr>
          <w:rFonts w:ascii="Arial" w:hAnsi="Arial" w:cs="Arial"/>
          <w:color w:val="000000" w:themeColor="text1"/>
        </w:rPr>
        <w:t>2) evidence of clinically relevant drug exposure-response relationships</w:t>
      </w:r>
      <w:r w:rsidR="00CC2B11" w:rsidRPr="007C6545">
        <w:rPr>
          <w:rFonts w:ascii="Arial" w:hAnsi="Arial" w:cs="Arial"/>
          <w:color w:val="000000" w:themeColor="text1"/>
        </w:rPr>
        <w:t xml:space="preserve"> (</w:t>
      </w:r>
      <w:r w:rsidR="000A2806" w:rsidRPr="007C6545">
        <w:rPr>
          <w:rFonts w:ascii="Arial" w:hAnsi="Arial" w:cs="Arial"/>
          <w:color w:val="000000" w:themeColor="text1"/>
        </w:rPr>
        <w:t>as</w:t>
      </w:r>
      <w:r w:rsidR="00CC2B11" w:rsidRPr="007C6545">
        <w:rPr>
          <w:rFonts w:ascii="Arial" w:hAnsi="Arial" w:cs="Arial"/>
          <w:color w:val="000000" w:themeColor="text1"/>
        </w:rPr>
        <w:t xml:space="preserve"> summarised above)</w:t>
      </w:r>
      <w:r w:rsidRPr="007C6545">
        <w:rPr>
          <w:rFonts w:ascii="Arial" w:hAnsi="Arial" w:cs="Arial"/>
          <w:color w:val="000000" w:themeColor="text1"/>
        </w:rPr>
        <w:t>; 3) evidence of drug exposure-toxicity relationships;</w:t>
      </w:r>
      <w:r w:rsidR="00EB39C5" w:rsidRPr="007C6545">
        <w:rPr>
          <w:rFonts w:ascii="Arial" w:hAnsi="Arial" w:cs="Arial"/>
          <w:color w:val="000000" w:themeColor="text1"/>
          <w:vertAlign w:val="superscript"/>
        </w:rPr>
        <w:t>2</w:t>
      </w:r>
      <w:r w:rsidR="009325F2" w:rsidRPr="007C6545">
        <w:rPr>
          <w:rFonts w:ascii="Arial" w:hAnsi="Arial" w:cs="Arial"/>
          <w:color w:val="000000" w:themeColor="text1"/>
          <w:vertAlign w:val="superscript"/>
        </w:rPr>
        <w:t>5</w:t>
      </w:r>
      <w:r w:rsidRPr="007C6545">
        <w:rPr>
          <w:rFonts w:ascii="Arial" w:hAnsi="Arial" w:cs="Arial"/>
          <w:color w:val="000000" w:themeColor="text1"/>
        </w:rPr>
        <w:t xml:space="preserve"> 4) </w:t>
      </w:r>
      <w:r w:rsidR="00E20552" w:rsidRPr="007C6545">
        <w:rPr>
          <w:rFonts w:ascii="Arial" w:hAnsi="Arial" w:cs="Arial"/>
          <w:color w:val="000000" w:themeColor="text1"/>
        </w:rPr>
        <w:t xml:space="preserve">the </w:t>
      </w:r>
      <w:r w:rsidRPr="007C6545">
        <w:rPr>
          <w:rFonts w:ascii="Arial" w:hAnsi="Arial" w:cs="Arial"/>
          <w:color w:val="000000" w:themeColor="text1"/>
        </w:rPr>
        <w:t>potential for drug-drug interactions</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4</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6</w:t>
      </w:r>
      <w:r w:rsidR="00041E1D" w:rsidRPr="007C6545">
        <w:rPr>
          <w:rFonts w:ascii="Arial" w:hAnsi="Arial" w:cs="Arial"/>
          <w:color w:val="000000" w:themeColor="text1"/>
        </w:rPr>
        <w:t xml:space="preserve"> </w:t>
      </w:r>
      <w:r w:rsidRPr="007C6545">
        <w:rPr>
          <w:rFonts w:ascii="Arial" w:hAnsi="Arial" w:cs="Arial"/>
          <w:color w:val="000000" w:themeColor="text1"/>
        </w:rPr>
        <w:t xml:space="preserve">and 5) </w:t>
      </w:r>
      <w:r w:rsidR="00CC2B11" w:rsidRPr="007C6545">
        <w:rPr>
          <w:rFonts w:ascii="Arial" w:hAnsi="Arial" w:cs="Arial"/>
          <w:color w:val="000000" w:themeColor="text1"/>
        </w:rPr>
        <w:t xml:space="preserve">potential issues </w:t>
      </w:r>
      <w:r w:rsidRPr="007C6545">
        <w:rPr>
          <w:rFonts w:ascii="Arial" w:hAnsi="Arial" w:cs="Arial"/>
          <w:color w:val="000000" w:themeColor="text1"/>
        </w:rPr>
        <w:t xml:space="preserve">with </w:t>
      </w:r>
      <w:r w:rsidR="00CC2B11" w:rsidRPr="007C6545">
        <w:rPr>
          <w:rFonts w:ascii="Arial" w:hAnsi="Arial" w:cs="Arial"/>
          <w:color w:val="000000" w:themeColor="text1"/>
        </w:rPr>
        <w:t>compliance given the</w:t>
      </w:r>
      <w:r w:rsidRPr="007C6545">
        <w:rPr>
          <w:rFonts w:ascii="Arial" w:hAnsi="Arial" w:cs="Arial"/>
          <w:color w:val="000000" w:themeColor="text1"/>
        </w:rPr>
        <w:t xml:space="preserve"> unpalatability </w:t>
      </w:r>
      <w:r w:rsidR="00CC2B11" w:rsidRPr="007C6545">
        <w:rPr>
          <w:rFonts w:ascii="Arial" w:hAnsi="Arial" w:cs="Arial"/>
          <w:color w:val="000000" w:themeColor="text1"/>
        </w:rPr>
        <w:t>of itraconazole suspension</w:t>
      </w:r>
      <w:r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0</w:t>
      </w:r>
      <w:r w:rsidR="00EB39C5" w:rsidRPr="007C6545">
        <w:rPr>
          <w:rFonts w:ascii="Arial" w:hAnsi="Arial" w:cs="Arial"/>
          <w:color w:val="000000" w:themeColor="text1"/>
          <w:vertAlign w:val="superscript"/>
        </w:rPr>
        <w:t>,1</w:t>
      </w:r>
      <w:r w:rsidR="009325F2" w:rsidRPr="007C6545">
        <w:rPr>
          <w:rFonts w:ascii="Arial" w:hAnsi="Arial" w:cs="Arial"/>
          <w:color w:val="000000" w:themeColor="text1"/>
          <w:vertAlign w:val="superscript"/>
        </w:rPr>
        <w:t>7</w:t>
      </w:r>
      <w:r w:rsidRPr="007C6545">
        <w:rPr>
          <w:rFonts w:ascii="Arial" w:hAnsi="Arial" w:cs="Arial"/>
          <w:color w:val="000000" w:themeColor="text1"/>
        </w:rPr>
        <w:t xml:space="preserve"> </w:t>
      </w:r>
      <w:r w:rsidR="00CC2B11" w:rsidRPr="007C6545">
        <w:rPr>
          <w:rFonts w:ascii="Arial" w:hAnsi="Arial" w:cs="Arial"/>
          <w:color w:val="000000" w:themeColor="text1"/>
        </w:rPr>
        <w:t xml:space="preserve">The accumulation </w:t>
      </w:r>
      <w:r w:rsidR="00C059BA" w:rsidRPr="007C6545">
        <w:rPr>
          <w:rFonts w:ascii="Arial" w:hAnsi="Arial" w:cs="Arial"/>
          <w:color w:val="000000" w:themeColor="text1"/>
        </w:rPr>
        <w:t>of itraconazole</w:t>
      </w:r>
      <w:r w:rsidRPr="007C6545">
        <w:rPr>
          <w:rFonts w:ascii="Arial" w:hAnsi="Arial" w:cs="Arial"/>
          <w:color w:val="000000" w:themeColor="text1"/>
        </w:rPr>
        <w:t xml:space="preserve"> </w:t>
      </w:r>
      <w:r w:rsidR="00CC2B11" w:rsidRPr="007C6545">
        <w:rPr>
          <w:rFonts w:ascii="Arial" w:hAnsi="Arial" w:cs="Arial"/>
          <w:color w:val="000000" w:themeColor="text1"/>
        </w:rPr>
        <w:t xml:space="preserve">occurs </w:t>
      </w:r>
      <w:r w:rsidRPr="007C6545">
        <w:rPr>
          <w:rFonts w:ascii="Arial" w:hAnsi="Arial" w:cs="Arial"/>
          <w:color w:val="000000" w:themeColor="text1"/>
        </w:rPr>
        <w:t>slow</w:t>
      </w:r>
      <w:r w:rsidR="00CC2B11" w:rsidRPr="007C6545">
        <w:rPr>
          <w:rFonts w:ascii="Arial" w:hAnsi="Arial" w:cs="Arial"/>
          <w:color w:val="000000" w:themeColor="text1"/>
        </w:rPr>
        <w:t>ly</w:t>
      </w:r>
      <w:r w:rsidRPr="007C6545">
        <w:rPr>
          <w:rFonts w:ascii="Arial" w:hAnsi="Arial" w:cs="Arial"/>
          <w:color w:val="000000" w:themeColor="text1"/>
        </w:rPr>
        <w:t xml:space="preserve"> and</w:t>
      </w:r>
      <w:r w:rsidR="007C39CB" w:rsidRPr="007C6545">
        <w:rPr>
          <w:rFonts w:ascii="Arial" w:hAnsi="Arial" w:cs="Arial"/>
          <w:color w:val="000000" w:themeColor="text1"/>
        </w:rPr>
        <w:t xml:space="preserve"> target trough concentrations are only reached </w:t>
      </w:r>
      <w:r w:rsidR="000A2806" w:rsidRPr="007C6545">
        <w:rPr>
          <w:rFonts w:ascii="Arial" w:hAnsi="Arial" w:cs="Arial"/>
          <w:color w:val="000000" w:themeColor="text1"/>
        </w:rPr>
        <w:t>after</w:t>
      </w:r>
      <w:r w:rsidR="007C39CB" w:rsidRPr="007C6545">
        <w:rPr>
          <w:rFonts w:ascii="Arial" w:hAnsi="Arial" w:cs="Arial"/>
          <w:color w:val="000000" w:themeColor="text1"/>
        </w:rPr>
        <w:t xml:space="preserve"> 7</w:t>
      </w:r>
      <w:r w:rsidR="00C818E8" w:rsidRPr="007C6545">
        <w:rPr>
          <w:rFonts w:ascii="Arial" w:hAnsi="Arial" w:cs="Arial"/>
          <w:color w:val="000000" w:themeColor="text1"/>
        </w:rPr>
        <w:t>–</w:t>
      </w:r>
      <w:r w:rsidR="007C39CB" w:rsidRPr="007C6545">
        <w:rPr>
          <w:rFonts w:ascii="Arial" w:hAnsi="Arial" w:cs="Arial"/>
          <w:color w:val="000000" w:themeColor="text1"/>
        </w:rPr>
        <w:t>15 days of dosing.</w:t>
      </w:r>
      <w:r w:rsidR="00EB39C5" w:rsidRPr="007C6545">
        <w:rPr>
          <w:rFonts w:ascii="Arial" w:hAnsi="Arial" w:cs="Arial"/>
          <w:color w:val="000000" w:themeColor="text1"/>
          <w:vertAlign w:val="superscript"/>
        </w:rPr>
        <w:t>2</w:t>
      </w:r>
      <w:r w:rsidR="00B362AA" w:rsidRPr="007C6545">
        <w:rPr>
          <w:rFonts w:ascii="Arial" w:hAnsi="Arial" w:cs="Arial"/>
          <w:color w:val="000000" w:themeColor="text1"/>
          <w:vertAlign w:val="superscript"/>
        </w:rPr>
        <w:t>6</w:t>
      </w:r>
      <w:r w:rsidR="007C39CB" w:rsidRPr="007C6545">
        <w:rPr>
          <w:rFonts w:ascii="Arial" w:hAnsi="Arial" w:cs="Arial"/>
          <w:color w:val="000000" w:themeColor="text1"/>
        </w:rPr>
        <w:t xml:space="preserve"> </w:t>
      </w:r>
      <w:r w:rsidR="00CC2B11" w:rsidRPr="007C6545">
        <w:rPr>
          <w:rFonts w:ascii="Arial" w:hAnsi="Arial" w:cs="Arial"/>
          <w:color w:val="000000" w:themeColor="text1"/>
        </w:rPr>
        <w:t xml:space="preserve"> These estimates are further complicated by overt nonlinear pharmacokinetics in at least some patients</w:t>
      </w:r>
      <w:r w:rsidR="000A2806" w:rsidRPr="007C6545">
        <w:rPr>
          <w:rFonts w:ascii="Arial" w:hAnsi="Arial" w:cs="Arial"/>
          <w:color w:val="000000" w:themeColor="text1"/>
        </w:rPr>
        <w:t>,</w:t>
      </w:r>
      <w:r w:rsidR="00CC2B11" w:rsidRPr="007C6545">
        <w:rPr>
          <w:rFonts w:ascii="Arial" w:hAnsi="Arial" w:cs="Arial"/>
          <w:color w:val="000000" w:themeColor="text1"/>
        </w:rPr>
        <w:t xml:space="preserve"> who experience early toxicity </w:t>
      </w:r>
      <w:r w:rsidR="000A2806" w:rsidRPr="007C6545">
        <w:rPr>
          <w:rFonts w:ascii="Arial" w:hAnsi="Arial" w:cs="Arial"/>
          <w:color w:val="000000" w:themeColor="text1"/>
        </w:rPr>
        <w:t>due to</w:t>
      </w:r>
      <w:r w:rsidR="00CC2B11" w:rsidRPr="007C6545">
        <w:rPr>
          <w:rFonts w:ascii="Arial" w:hAnsi="Arial" w:cs="Arial"/>
          <w:color w:val="000000" w:themeColor="text1"/>
        </w:rPr>
        <w:t xml:space="preserve"> high </w:t>
      </w:r>
      <w:proofErr w:type="spellStart"/>
      <w:r w:rsidR="00CC2B11"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CC2B11" w:rsidRPr="007C6545">
        <w:rPr>
          <w:rFonts w:ascii="Arial" w:hAnsi="Arial" w:cs="Arial"/>
          <w:color w:val="000000" w:themeColor="text1"/>
        </w:rPr>
        <w:t xml:space="preserve"> values.  </w:t>
      </w:r>
      <w:r w:rsidR="00BD619B" w:rsidRPr="007C6545">
        <w:rPr>
          <w:rFonts w:ascii="Arial" w:hAnsi="Arial" w:cs="Arial"/>
          <w:color w:val="000000" w:themeColor="text1"/>
        </w:rPr>
        <w:t xml:space="preserve">Therapeutic </w:t>
      </w:r>
      <w:proofErr w:type="spellStart"/>
      <w:r w:rsidR="00BD619B"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BD619B" w:rsidRPr="007C6545">
        <w:rPr>
          <w:rFonts w:ascii="Arial" w:hAnsi="Arial" w:cs="Arial"/>
          <w:color w:val="000000" w:themeColor="text1"/>
        </w:rPr>
        <w:t xml:space="preserve"> values can only be confidently achieved with the use of an </w:t>
      </w:r>
      <w:r w:rsidR="007C39CB" w:rsidRPr="007C6545">
        <w:rPr>
          <w:rFonts w:ascii="Arial" w:hAnsi="Arial" w:cs="Arial"/>
          <w:color w:val="000000" w:themeColor="text1"/>
        </w:rPr>
        <w:t xml:space="preserve">oral loading dose or use of an </w:t>
      </w:r>
      <w:proofErr w:type="spellStart"/>
      <w:r w:rsidR="00605508" w:rsidRPr="007C6545">
        <w:rPr>
          <w:rFonts w:ascii="Arial" w:hAnsi="Arial" w:cs="Arial"/>
          <w:color w:val="000000" w:themeColor="text1"/>
        </w:rPr>
        <w:t>iv</w:t>
      </w:r>
      <w:proofErr w:type="spellEnd"/>
      <w:r w:rsidR="00BD619B" w:rsidRPr="007C6545">
        <w:rPr>
          <w:rFonts w:ascii="Arial" w:hAnsi="Arial" w:cs="Arial"/>
          <w:color w:val="000000" w:themeColor="text1"/>
        </w:rPr>
        <w:t xml:space="preserve"> formulation</w:t>
      </w:r>
      <w:r w:rsidR="00041E1D" w:rsidRPr="007C6545">
        <w:rPr>
          <w:rFonts w:ascii="Arial" w:hAnsi="Arial" w:cs="Arial"/>
          <w:color w:val="000000" w:themeColor="text1"/>
        </w:rPr>
        <w:t>,</w:t>
      </w:r>
      <w:r w:rsidR="00BD619B" w:rsidRPr="007C6545">
        <w:rPr>
          <w:rFonts w:ascii="Arial" w:hAnsi="Arial" w:cs="Arial"/>
          <w:color w:val="000000" w:themeColor="text1"/>
        </w:rPr>
        <w:t xml:space="preserve"> </w:t>
      </w:r>
      <w:r w:rsidR="00BD619B" w:rsidRPr="007C6545">
        <w:rPr>
          <w:rFonts w:ascii="Arial" w:hAnsi="Arial" w:cs="Arial"/>
          <w:color w:val="000000" w:themeColor="text1"/>
        </w:rPr>
        <w:lastRenderedPageBreak/>
        <w:t xml:space="preserve">although this is </w:t>
      </w:r>
      <w:r w:rsidR="00C818E8" w:rsidRPr="007C6545">
        <w:rPr>
          <w:rFonts w:ascii="Arial" w:hAnsi="Arial" w:cs="Arial"/>
          <w:color w:val="000000" w:themeColor="text1"/>
        </w:rPr>
        <w:t xml:space="preserve">a </w:t>
      </w:r>
      <w:r w:rsidR="00BD619B" w:rsidRPr="007C6545">
        <w:rPr>
          <w:rFonts w:ascii="Arial" w:hAnsi="Arial" w:cs="Arial"/>
          <w:color w:val="000000" w:themeColor="text1"/>
        </w:rPr>
        <w:t>relatively uncommon scenario with the advent of new antifungal agents</w:t>
      </w:r>
      <w:r w:rsidR="007C39CB" w:rsidRPr="007C6545">
        <w:rPr>
          <w:rFonts w:ascii="Arial" w:hAnsi="Arial" w:cs="Arial"/>
          <w:color w:val="000000" w:themeColor="text1"/>
        </w:rPr>
        <w:t>.</w:t>
      </w:r>
      <w:r w:rsidR="00EB39C5" w:rsidRPr="007C6545">
        <w:rPr>
          <w:rFonts w:ascii="Arial" w:hAnsi="Arial" w:cs="Arial"/>
          <w:color w:val="000000" w:themeColor="text1"/>
          <w:vertAlign w:val="superscript"/>
        </w:rPr>
        <w:t>2</w:t>
      </w:r>
      <w:r w:rsidR="00B362AA" w:rsidRPr="007C6545">
        <w:rPr>
          <w:rFonts w:ascii="Arial" w:hAnsi="Arial" w:cs="Arial"/>
          <w:color w:val="000000" w:themeColor="text1"/>
          <w:vertAlign w:val="superscript"/>
        </w:rPr>
        <w:t>7</w:t>
      </w:r>
      <w:r w:rsidR="007C39CB" w:rsidRPr="007C6545">
        <w:rPr>
          <w:rFonts w:ascii="Arial" w:hAnsi="Arial" w:cs="Arial"/>
          <w:color w:val="000000" w:themeColor="text1"/>
        </w:rPr>
        <w:t xml:space="preserve"> </w:t>
      </w:r>
      <w:r w:rsidR="00BD619B" w:rsidRPr="007C6545">
        <w:rPr>
          <w:rFonts w:ascii="Arial" w:hAnsi="Arial" w:cs="Arial"/>
          <w:color w:val="000000" w:themeColor="text1"/>
        </w:rPr>
        <w:t xml:space="preserve"> </w:t>
      </w:r>
      <w:r w:rsidRPr="007C6545">
        <w:rPr>
          <w:rFonts w:ascii="Arial" w:hAnsi="Arial" w:cs="Arial"/>
          <w:color w:val="000000" w:themeColor="text1"/>
        </w:rPr>
        <w:t xml:space="preserve">A suggested strategy for TDM </w:t>
      </w:r>
      <w:r w:rsidR="000A2806" w:rsidRPr="007C6545">
        <w:rPr>
          <w:rFonts w:ascii="Arial" w:hAnsi="Arial" w:cs="Arial"/>
          <w:color w:val="000000" w:themeColor="text1"/>
        </w:rPr>
        <w:t xml:space="preserve">of itraconazole </w:t>
      </w:r>
      <w:r w:rsidRPr="007C6545">
        <w:rPr>
          <w:rFonts w:ascii="Arial" w:hAnsi="Arial" w:cs="Arial"/>
          <w:color w:val="000000" w:themeColor="text1"/>
        </w:rPr>
        <w:t xml:space="preserve">is to measure </w:t>
      </w:r>
      <w:r w:rsidR="000A2806" w:rsidRPr="007C6545">
        <w:rPr>
          <w:rFonts w:ascii="Arial" w:hAnsi="Arial" w:cs="Arial"/>
          <w:color w:val="000000" w:themeColor="text1"/>
        </w:rPr>
        <w:t>the</w:t>
      </w:r>
      <w:r w:rsidRPr="007C6545">
        <w:rPr>
          <w:rFonts w:ascii="Arial" w:hAnsi="Arial" w:cs="Arial"/>
          <w:color w:val="000000" w:themeColor="text1"/>
        </w:rPr>
        <w:t xml:space="preserve"> trough concentration after the first week of therapy and then at regular intervals </w:t>
      </w:r>
      <w:r w:rsidR="00A94CFA" w:rsidRPr="007C6545">
        <w:rPr>
          <w:rFonts w:ascii="Arial" w:hAnsi="Arial" w:cs="Arial"/>
          <w:color w:val="000000" w:themeColor="text1"/>
        </w:rPr>
        <w:t xml:space="preserve">(e.g. every 1-2 weeks) </w:t>
      </w:r>
      <w:r w:rsidRPr="007C6545">
        <w:rPr>
          <w:rFonts w:ascii="Arial" w:hAnsi="Arial" w:cs="Arial"/>
          <w:color w:val="000000" w:themeColor="text1"/>
        </w:rPr>
        <w:t xml:space="preserve">according to the clinical context </w:t>
      </w:r>
      <w:r w:rsidR="00BC7AE3" w:rsidRPr="007C6545">
        <w:rPr>
          <w:rFonts w:ascii="Arial" w:hAnsi="Arial" w:cs="Arial"/>
          <w:color w:val="000000" w:themeColor="text1"/>
        </w:rPr>
        <w:t xml:space="preserve">(e.g. </w:t>
      </w:r>
      <w:r w:rsidRPr="007C6545">
        <w:rPr>
          <w:rFonts w:ascii="Arial" w:hAnsi="Arial" w:cs="Arial"/>
          <w:color w:val="000000" w:themeColor="text1"/>
        </w:rPr>
        <w:t xml:space="preserve">when interacting drugs </w:t>
      </w:r>
      <w:r w:rsidR="000A2806" w:rsidRPr="007C6545">
        <w:rPr>
          <w:rFonts w:ascii="Arial" w:hAnsi="Arial" w:cs="Arial"/>
          <w:color w:val="000000" w:themeColor="text1"/>
        </w:rPr>
        <w:t xml:space="preserve">are </w:t>
      </w:r>
      <w:r w:rsidRPr="007C6545">
        <w:rPr>
          <w:rFonts w:ascii="Arial" w:hAnsi="Arial" w:cs="Arial"/>
          <w:color w:val="000000" w:themeColor="text1"/>
        </w:rPr>
        <w:t>start</w:t>
      </w:r>
      <w:r w:rsidR="000A2806" w:rsidRPr="007C6545">
        <w:rPr>
          <w:rFonts w:ascii="Arial" w:hAnsi="Arial" w:cs="Arial"/>
          <w:color w:val="000000" w:themeColor="text1"/>
        </w:rPr>
        <w:t>ed</w:t>
      </w:r>
      <w:r w:rsidRPr="007C6545">
        <w:rPr>
          <w:rFonts w:ascii="Arial" w:hAnsi="Arial" w:cs="Arial"/>
          <w:color w:val="000000" w:themeColor="text1"/>
        </w:rPr>
        <w:t xml:space="preserve"> or discontinued, </w:t>
      </w:r>
      <w:r w:rsidR="00BC7AE3" w:rsidRPr="007C6545">
        <w:rPr>
          <w:rFonts w:ascii="Arial" w:hAnsi="Arial" w:cs="Arial"/>
          <w:color w:val="000000" w:themeColor="text1"/>
        </w:rPr>
        <w:t xml:space="preserve">or </w:t>
      </w:r>
      <w:r w:rsidRPr="007C6545">
        <w:rPr>
          <w:rFonts w:ascii="Arial" w:hAnsi="Arial" w:cs="Arial"/>
          <w:color w:val="000000" w:themeColor="text1"/>
        </w:rPr>
        <w:t xml:space="preserve">if there are concerns about </w:t>
      </w:r>
      <w:r w:rsidR="00FB514C" w:rsidRPr="007C6545">
        <w:rPr>
          <w:rFonts w:ascii="Arial" w:hAnsi="Arial" w:cs="Arial"/>
          <w:color w:val="000000" w:themeColor="text1"/>
        </w:rPr>
        <w:t>gastrointestinal</w:t>
      </w:r>
      <w:r w:rsidRPr="007C6545">
        <w:rPr>
          <w:rFonts w:ascii="Arial" w:hAnsi="Arial" w:cs="Arial"/>
          <w:color w:val="000000" w:themeColor="text1"/>
        </w:rPr>
        <w:t xml:space="preserve"> absorption or compliance</w:t>
      </w:r>
      <w:r w:rsidR="00CF534F" w:rsidRPr="007C6545">
        <w:rPr>
          <w:rFonts w:ascii="Arial" w:hAnsi="Arial" w:cs="Arial"/>
          <w:color w:val="000000" w:themeColor="text1"/>
        </w:rPr>
        <w:t>)</w:t>
      </w:r>
      <w:r w:rsidR="00BC7AE3" w:rsidRPr="007C6545">
        <w:rPr>
          <w:rFonts w:ascii="Arial" w:hAnsi="Arial" w:cs="Arial"/>
          <w:color w:val="000000" w:themeColor="text1"/>
        </w:rPr>
        <w:t xml:space="preserve">.  </w:t>
      </w:r>
      <w:proofErr w:type="spellStart"/>
      <w:r w:rsidR="00BC7AE3"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BC7AE3" w:rsidRPr="007C6545">
        <w:rPr>
          <w:rFonts w:ascii="Arial" w:hAnsi="Arial" w:cs="Arial"/>
          <w:color w:val="000000" w:themeColor="text1"/>
        </w:rPr>
        <w:t xml:space="preserve"> should be re-estimated</w:t>
      </w:r>
      <w:r w:rsidRPr="007C6545">
        <w:rPr>
          <w:rFonts w:ascii="Arial" w:hAnsi="Arial" w:cs="Arial"/>
          <w:color w:val="000000" w:themeColor="text1"/>
        </w:rPr>
        <w:t xml:space="preserve"> 5</w:t>
      </w:r>
      <w:r w:rsidR="00C818E8" w:rsidRPr="007C6545">
        <w:rPr>
          <w:rFonts w:ascii="Arial" w:hAnsi="Arial" w:cs="Arial"/>
          <w:color w:val="000000" w:themeColor="text1"/>
        </w:rPr>
        <w:t>–</w:t>
      </w:r>
      <w:r w:rsidRPr="007C6545">
        <w:rPr>
          <w:rFonts w:ascii="Arial" w:hAnsi="Arial" w:cs="Arial"/>
          <w:color w:val="000000" w:themeColor="text1"/>
        </w:rPr>
        <w:t xml:space="preserve">7 days </w:t>
      </w:r>
      <w:r w:rsidR="00BC7AE3" w:rsidRPr="007C6545">
        <w:rPr>
          <w:rFonts w:ascii="Arial" w:hAnsi="Arial" w:cs="Arial"/>
          <w:color w:val="000000" w:themeColor="text1"/>
        </w:rPr>
        <w:t xml:space="preserve">following </w:t>
      </w:r>
      <w:r w:rsidRPr="007C6545">
        <w:rPr>
          <w:rFonts w:ascii="Arial" w:hAnsi="Arial" w:cs="Arial"/>
          <w:color w:val="000000" w:themeColor="text1"/>
        </w:rPr>
        <w:t xml:space="preserve">dose adjustment </w:t>
      </w:r>
      <w:r w:rsidR="00BC7AE3" w:rsidRPr="007C6545">
        <w:rPr>
          <w:rFonts w:ascii="Arial" w:hAnsi="Arial" w:cs="Arial"/>
          <w:color w:val="000000" w:themeColor="text1"/>
        </w:rPr>
        <w:t>to ensure</w:t>
      </w:r>
      <w:r w:rsidR="000A2806" w:rsidRPr="007C6545">
        <w:rPr>
          <w:rFonts w:ascii="Arial" w:hAnsi="Arial" w:cs="Arial"/>
          <w:color w:val="000000" w:themeColor="text1"/>
        </w:rPr>
        <w:t xml:space="preserve"> that</w:t>
      </w:r>
      <w:r w:rsidR="00BC7AE3" w:rsidRPr="007C6545">
        <w:rPr>
          <w:rFonts w:ascii="Arial" w:hAnsi="Arial" w:cs="Arial"/>
          <w:color w:val="000000" w:themeColor="text1"/>
        </w:rPr>
        <w:t xml:space="preserve"> target concentrations have been achieved</w:t>
      </w:r>
      <w:r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B362AA" w:rsidRPr="007C6545">
        <w:rPr>
          <w:rFonts w:ascii="Arial" w:hAnsi="Arial" w:cs="Arial"/>
          <w:color w:val="000000" w:themeColor="text1"/>
          <w:vertAlign w:val="superscript"/>
        </w:rPr>
        <w:t>7</w:t>
      </w:r>
    </w:p>
    <w:p w14:paraId="32A360B4" w14:textId="77777777" w:rsidR="00327B17" w:rsidRPr="007C6545" w:rsidRDefault="00327B17"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Voriconazole</w:t>
      </w:r>
    </w:p>
    <w:p w14:paraId="40C1B3AE" w14:textId="77777777" w:rsidR="002A7083" w:rsidRPr="007C6545" w:rsidRDefault="0021185E"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Voriconazole is a </w:t>
      </w:r>
      <w:r w:rsidR="00250327" w:rsidRPr="007C6545">
        <w:rPr>
          <w:rFonts w:ascii="Arial" w:hAnsi="Arial" w:cs="Arial"/>
          <w:color w:val="000000" w:themeColor="text1"/>
        </w:rPr>
        <w:t xml:space="preserve">structural </w:t>
      </w:r>
      <w:r w:rsidR="007D6742" w:rsidRPr="007C6545">
        <w:rPr>
          <w:rFonts w:ascii="Arial" w:hAnsi="Arial" w:cs="Arial"/>
          <w:color w:val="000000" w:themeColor="text1"/>
        </w:rPr>
        <w:t>congener</w:t>
      </w:r>
      <w:r w:rsidRPr="007C6545">
        <w:rPr>
          <w:rFonts w:ascii="Arial" w:hAnsi="Arial" w:cs="Arial"/>
          <w:color w:val="000000" w:themeColor="text1"/>
        </w:rPr>
        <w:t xml:space="preserve"> of fluconazole</w:t>
      </w:r>
      <w:r w:rsidR="000A2806" w:rsidRPr="007C6545">
        <w:rPr>
          <w:rFonts w:ascii="Arial" w:hAnsi="Arial" w:cs="Arial"/>
          <w:color w:val="000000" w:themeColor="text1"/>
        </w:rPr>
        <w:t xml:space="preserve"> which</w:t>
      </w:r>
      <w:r w:rsidRPr="007C6545">
        <w:rPr>
          <w:rFonts w:ascii="Arial" w:hAnsi="Arial" w:cs="Arial"/>
          <w:color w:val="000000" w:themeColor="text1"/>
        </w:rPr>
        <w:t xml:space="preserve"> has a broader spectrum of antifungal activity</w:t>
      </w:r>
      <w:r w:rsidR="000A2806" w:rsidRPr="007C6545">
        <w:rPr>
          <w:rFonts w:ascii="Arial" w:hAnsi="Arial" w:cs="Arial"/>
          <w:color w:val="000000" w:themeColor="text1"/>
        </w:rPr>
        <w:t xml:space="preserve"> but </w:t>
      </w:r>
      <w:r w:rsidRPr="007C6545">
        <w:rPr>
          <w:rFonts w:ascii="Arial" w:hAnsi="Arial" w:cs="Arial"/>
          <w:color w:val="000000" w:themeColor="text1"/>
        </w:rPr>
        <w:t>maintain</w:t>
      </w:r>
      <w:r w:rsidR="000A2806" w:rsidRPr="007C6545">
        <w:rPr>
          <w:rFonts w:ascii="Arial" w:hAnsi="Arial" w:cs="Arial"/>
          <w:color w:val="000000" w:themeColor="text1"/>
        </w:rPr>
        <w:t>s t</w:t>
      </w:r>
      <w:r w:rsidRPr="007C6545">
        <w:rPr>
          <w:rFonts w:ascii="Arial" w:hAnsi="Arial" w:cs="Arial"/>
          <w:color w:val="000000" w:themeColor="text1"/>
        </w:rPr>
        <w:t xml:space="preserve">he </w:t>
      </w:r>
      <w:r w:rsidR="00250327" w:rsidRPr="007C6545">
        <w:rPr>
          <w:rFonts w:ascii="Arial" w:hAnsi="Arial" w:cs="Arial"/>
          <w:color w:val="000000" w:themeColor="text1"/>
        </w:rPr>
        <w:t xml:space="preserve">high </w:t>
      </w:r>
      <w:r w:rsidRPr="007C6545">
        <w:rPr>
          <w:rFonts w:ascii="Arial" w:hAnsi="Arial" w:cs="Arial"/>
          <w:color w:val="000000" w:themeColor="text1"/>
        </w:rPr>
        <w:t xml:space="preserve">oral bioavailability of </w:t>
      </w:r>
      <w:r w:rsidR="000A2806" w:rsidRPr="007C6545">
        <w:rPr>
          <w:rFonts w:ascii="Arial" w:hAnsi="Arial" w:cs="Arial"/>
          <w:color w:val="000000" w:themeColor="text1"/>
        </w:rPr>
        <w:t>fluconazole</w:t>
      </w:r>
      <w:r w:rsidRPr="007C6545">
        <w:rPr>
          <w:rFonts w:ascii="Arial" w:hAnsi="Arial" w:cs="Arial"/>
          <w:color w:val="000000" w:themeColor="text1"/>
        </w:rPr>
        <w:t>.</w:t>
      </w:r>
      <w:r w:rsidR="00EB39C5" w:rsidRPr="007C6545">
        <w:rPr>
          <w:rFonts w:ascii="Arial" w:hAnsi="Arial" w:cs="Arial"/>
          <w:color w:val="000000" w:themeColor="text1"/>
          <w:vertAlign w:val="superscript"/>
        </w:rPr>
        <w:t>2</w:t>
      </w:r>
      <w:r w:rsidR="00B362AA" w:rsidRPr="007C6545">
        <w:rPr>
          <w:rFonts w:ascii="Arial" w:hAnsi="Arial" w:cs="Arial"/>
          <w:color w:val="000000" w:themeColor="text1"/>
          <w:vertAlign w:val="superscript"/>
        </w:rPr>
        <w:t>8</w:t>
      </w:r>
      <w:r w:rsidRPr="007C6545">
        <w:rPr>
          <w:rFonts w:ascii="Arial" w:hAnsi="Arial" w:cs="Arial"/>
          <w:color w:val="000000" w:themeColor="text1"/>
        </w:rPr>
        <w:t xml:space="preserve"> </w:t>
      </w:r>
      <w:r w:rsidR="00B8675A" w:rsidRPr="007C6545">
        <w:rPr>
          <w:rFonts w:ascii="Arial" w:hAnsi="Arial" w:cs="Arial"/>
          <w:color w:val="000000" w:themeColor="text1"/>
        </w:rPr>
        <w:t xml:space="preserve">It is indicated for the treatment of invasive aspergillosis, invasive candidiasis exhibiting fluconazole resistance, and infections caused by </w:t>
      </w:r>
      <w:r w:rsidR="00B8675A" w:rsidRPr="007C6545">
        <w:rPr>
          <w:rFonts w:ascii="Arial" w:hAnsi="Arial" w:cs="Arial"/>
          <w:i/>
          <w:color w:val="000000" w:themeColor="text1"/>
        </w:rPr>
        <w:t>Scedosporium</w:t>
      </w:r>
      <w:r w:rsidR="00B8675A" w:rsidRPr="007C6545">
        <w:rPr>
          <w:rFonts w:ascii="Arial" w:hAnsi="Arial" w:cs="Arial"/>
          <w:color w:val="000000" w:themeColor="text1"/>
        </w:rPr>
        <w:t xml:space="preserve"> spp. and </w:t>
      </w:r>
      <w:r w:rsidR="00B8675A" w:rsidRPr="007C6545">
        <w:rPr>
          <w:rFonts w:ascii="Arial" w:hAnsi="Arial" w:cs="Arial"/>
          <w:i/>
          <w:color w:val="000000" w:themeColor="text1"/>
        </w:rPr>
        <w:t>Fusarium</w:t>
      </w:r>
      <w:r w:rsidR="00B8675A" w:rsidRPr="007C6545">
        <w:rPr>
          <w:rFonts w:ascii="Arial" w:hAnsi="Arial" w:cs="Arial"/>
          <w:color w:val="000000" w:themeColor="text1"/>
        </w:rPr>
        <w:t xml:space="preserve"> spp.</w:t>
      </w:r>
      <w:r w:rsidR="00EB39C5" w:rsidRPr="007C6545">
        <w:rPr>
          <w:rFonts w:ascii="Arial" w:hAnsi="Arial" w:cs="Arial"/>
          <w:color w:val="000000" w:themeColor="text1"/>
          <w:vertAlign w:val="superscript"/>
        </w:rPr>
        <w:t>3</w:t>
      </w:r>
      <w:r w:rsidR="00B8675A" w:rsidRPr="007C6545">
        <w:rPr>
          <w:rFonts w:ascii="Arial" w:hAnsi="Arial" w:cs="Arial"/>
          <w:color w:val="000000" w:themeColor="text1"/>
        </w:rPr>
        <w:t xml:space="preserve"> </w:t>
      </w:r>
      <w:r w:rsidR="00081F49" w:rsidRPr="007C6545">
        <w:rPr>
          <w:rFonts w:ascii="Arial" w:hAnsi="Arial" w:cs="Arial"/>
          <w:color w:val="000000" w:themeColor="text1"/>
        </w:rPr>
        <w:t>Voriconazole can be used</w:t>
      </w:r>
      <w:r w:rsidR="002A7083" w:rsidRPr="007C6545">
        <w:rPr>
          <w:rFonts w:ascii="Arial" w:hAnsi="Arial" w:cs="Arial"/>
          <w:color w:val="000000" w:themeColor="text1"/>
        </w:rPr>
        <w:t xml:space="preserve"> for </w:t>
      </w:r>
      <w:r w:rsidR="00081F49" w:rsidRPr="007C6545">
        <w:rPr>
          <w:rFonts w:ascii="Arial" w:hAnsi="Arial" w:cs="Arial"/>
          <w:color w:val="000000" w:themeColor="text1"/>
        </w:rPr>
        <w:t xml:space="preserve">the prevention </w:t>
      </w:r>
      <w:r w:rsidR="002A7083" w:rsidRPr="007C6545">
        <w:rPr>
          <w:rFonts w:ascii="Arial" w:hAnsi="Arial" w:cs="Arial"/>
          <w:color w:val="000000" w:themeColor="text1"/>
        </w:rPr>
        <w:t>of invasive fungal disease</w:t>
      </w:r>
      <w:r w:rsidR="00081F49" w:rsidRPr="007C6545">
        <w:rPr>
          <w:rFonts w:ascii="Arial" w:hAnsi="Arial" w:cs="Arial"/>
          <w:color w:val="000000" w:themeColor="text1"/>
        </w:rPr>
        <w:t>s</w:t>
      </w:r>
      <w:r w:rsidR="002A7083" w:rsidRPr="007C6545">
        <w:rPr>
          <w:rFonts w:ascii="Arial" w:hAnsi="Arial" w:cs="Arial"/>
          <w:color w:val="000000" w:themeColor="text1"/>
        </w:rPr>
        <w:t xml:space="preserve"> </w:t>
      </w:r>
      <w:r w:rsidR="00081F49" w:rsidRPr="007C6545">
        <w:rPr>
          <w:rFonts w:ascii="Arial" w:hAnsi="Arial" w:cs="Arial"/>
          <w:color w:val="000000" w:themeColor="text1"/>
        </w:rPr>
        <w:t>in h</w:t>
      </w:r>
      <w:r w:rsidR="00C818E8" w:rsidRPr="007C6545">
        <w:rPr>
          <w:rFonts w:ascii="Arial" w:hAnsi="Arial" w:cs="Arial"/>
          <w:color w:val="000000" w:themeColor="text1"/>
        </w:rPr>
        <w:t>a</w:t>
      </w:r>
      <w:r w:rsidR="00081F49" w:rsidRPr="007C6545">
        <w:rPr>
          <w:rFonts w:ascii="Arial" w:hAnsi="Arial" w:cs="Arial"/>
          <w:color w:val="000000" w:themeColor="text1"/>
        </w:rPr>
        <w:t xml:space="preserve">ematopoietic stem </w:t>
      </w:r>
      <w:r w:rsidR="00041E1D" w:rsidRPr="007C6545">
        <w:rPr>
          <w:rFonts w:ascii="Arial" w:hAnsi="Arial" w:cs="Arial"/>
          <w:color w:val="000000" w:themeColor="text1"/>
        </w:rPr>
        <w:t>cell</w:t>
      </w:r>
      <w:r w:rsidR="00081F49" w:rsidRPr="007C6545">
        <w:rPr>
          <w:rFonts w:ascii="Arial" w:hAnsi="Arial" w:cs="Arial"/>
          <w:color w:val="000000" w:themeColor="text1"/>
        </w:rPr>
        <w:t xml:space="preserve"> transplant recipients</w:t>
      </w:r>
      <w:r w:rsidR="002A7083" w:rsidRPr="007C6545">
        <w:rPr>
          <w:rFonts w:ascii="Arial" w:hAnsi="Arial" w:cs="Arial"/>
          <w:color w:val="000000" w:themeColor="text1"/>
        </w:rPr>
        <w:t>.</w:t>
      </w:r>
      <w:r w:rsidR="00B362AA" w:rsidRPr="007C6545">
        <w:rPr>
          <w:rFonts w:ascii="Arial" w:hAnsi="Arial" w:cs="Arial"/>
          <w:color w:val="000000" w:themeColor="text1"/>
          <w:vertAlign w:val="superscript"/>
        </w:rPr>
        <w:t>29</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0</w:t>
      </w:r>
      <w:r w:rsidR="002A7083" w:rsidRPr="007C6545">
        <w:rPr>
          <w:rFonts w:ascii="Arial" w:hAnsi="Arial" w:cs="Arial"/>
          <w:color w:val="000000" w:themeColor="text1"/>
        </w:rPr>
        <w:t xml:space="preserve"> </w:t>
      </w:r>
      <w:r w:rsidR="00081F49" w:rsidRPr="007C6545">
        <w:rPr>
          <w:rFonts w:ascii="Arial" w:hAnsi="Arial" w:cs="Arial"/>
          <w:color w:val="000000" w:themeColor="text1"/>
        </w:rPr>
        <w:t>Voriconazole is available</w:t>
      </w:r>
      <w:r w:rsidR="00B8675A" w:rsidRPr="007C6545">
        <w:rPr>
          <w:rFonts w:ascii="Arial" w:hAnsi="Arial" w:cs="Arial"/>
          <w:color w:val="000000" w:themeColor="text1"/>
        </w:rPr>
        <w:t xml:space="preserve"> as </w:t>
      </w:r>
      <w:r w:rsidR="00081F49" w:rsidRPr="007C6545">
        <w:rPr>
          <w:rFonts w:ascii="Arial" w:hAnsi="Arial" w:cs="Arial"/>
          <w:color w:val="000000" w:themeColor="text1"/>
        </w:rPr>
        <w:t xml:space="preserve">a </w:t>
      </w:r>
      <w:r w:rsidR="00B8675A" w:rsidRPr="007C6545">
        <w:rPr>
          <w:rFonts w:ascii="Arial" w:hAnsi="Arial" w:cs="Arial"/>
          <w:color w:val="000000" w:themeColor="text1"/>
        </w:rPr>
        <w:t>tablet, oral suspension, and powder for infusion.</w:t>
      </w:r>
      <w:r w:rsidR="00EB39C5" w:rsidRPr="007C6545">
        <w:rPr>
          <w:rFonts w:ascii="Arial" w:hAnsi="Arial" w:cs="Arial"/>
          <w:color w:val="000000" w:themeColor="text1"/>
          <w:vertAlign w:val="superscript"/>
        </w:rPr>
        <w:t>3</w:t>
      </w:r>
      <w:r w:rsidR="00B8675A" w:rsidRPr="007C6545">
        <w:rPr>
          <w:rFonts w:ascii="Arial" w:hAnsi="Arial" w:cs="Arial"/>
          <w:color w:val="000000" w:themeColor="text1"/>
        </w:rPr>
        <w:t xml:space="preserve"> </w:t>
      </w:r>
    </w:p>
    <w:p w14:paraId="6216FAD4" w14:textId="77777777" w:rsidR="0021185E" w:rsidRPr="007C6545" w:rsidRDefault="00442DA5"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V</w:t>
      </w:r>
      <w:r w:rsidR="002D41B6" w:rsidRPr="007C6545">
        <w:rPr>
          <w:rFonts w:ascii="Arial" w:hAnsi="Arial" w:cs="Arial"/>
          <w:color w:val="000000" w:themeColor="text1"/>
        </w:rPr>
        <w:t xml:space="preserve">oriconazole exhibits </w:t>
      </w:r>
      <w:r w:rsidR="008F43EB" w:rsidRPr="007C6545">
        <w:rPr>
          <w:rFonts w:ascii="Arial" w:hAnsi="Arial" w:cs="Arial"/>
          <w:color w:val="000000" w:themeColor="text1"/>
        </w:rPr>
        <w:t xml:space="preserve">highly </w:t>
      </w:r>
      <w:r w:rsidR="00344EA7" w:rsidRPr="007C6545">
        <w:rPr>
          <w:rFonts w:ascii="Arial" w:hAnsi="Arial" w:cs="Arial"/>
          <w:color w:val="000000" w:themeColor="text1"/>
        </w:rPr>
        <w:t>variable</w:t>
      </w:r>
      <w:r w:rsidR="002D41B6" w:rsidRPr="007C6545">
        <w:rPr>
          <w:rFonts w:ascii="Arial" w:hAnsi="Arial" w:cs="Arial"/>
          <w:color w:val="000000" w:themeColor="text1"/>
        </w:rPr>
        <w:t xml:space="preserve"> int</w:t>
      </w:r>
      <w:r w:rsidR="008F43EB" w:rsidRPr="007C6545">
        <w:rPr>
          <w:rFonts w:ascii="Arial" w:hAnsi="Arial" w:cs="Arial"/>
          <w:color w:val="000000" w:themeColor="text1"/>
        </w:rPr>
        <w:t>er</w:t>
      </w:r>
      <w:r w:rsidR="002D41B6" w:rsidRPr="007C6545">
        <w:rPr>
          <w:rFonts w:ascii="Arial" w:hAnsi="Arial" w:cs="Arial"/>
          <w:color w:val="000000" w:themeColor="text1"/>
        </w:rPr>
        <w:t xml:space="preserve">-individual </w:t>
      </w:r>
      <w:r w:rsidR="008F43EB" w:rsidRPr="007C6545">
        <w:rPr>
          <w:rFonts w:ascii="Arial" w:hAnsi="Arial" w:cs="Arial"/>
          <w:color w:val="000000" w:themeColor="text1"/>
        </w:rPr>
        <w:t>pharmacokinetics</w:t>
      </w:r>
      <w:r w:rsidR="002D41B6"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1</w:t>
      </w:r>
      <w:r w:rsidR="002D41B6" w:rsidRPr="007C6545">
        <w:rPr>
          <w:rFonts w:ascii="Arial" w:hAnsi="Arial" w:cs="Arial"/>
          <w:color w:val="000000" w:themeColor="text1"/>
        </w:rPr>
        <w:t xml:space="preserve"> </w:t>
      </w:r>
      <w:r w:rsidR="000E1EEB" w:rsidRPr="007C6545">
        <w:rPr>
          <w:rFonts w:ascii="Arial" w:hAnsi="Arial" w:cs="Arial"/>
          <w:color w:val="000000" w:themeColor="text1"/>
        </w:rPr>
        <w:t xml:space="preserve"> Th</w:t>
      </w:r>
      <w:r w:rsidR="000A2806" w:rsidRPr="007C6545">
        <w:rPr>
          <w:rFonts w:ascii="Arial" w:hAnsi="Arial" w:cs="Arial"/>
          <w:color w:val="000000" w:themeColor="text1"/>
        </w:rPr>
        <w:t>is</w:t>
      </w:r>
      <w:r w:rsidR="000E1EEB" w:rsidRPr="007C6545">
        <w:rPr>
          <w:rFonts w:ascii="Arial" w:hAnsi="Arial" w:cs="Arial"/>
          <w:color w:val="000000" w:themeColor="text1"/>
        </w:rPr>
        <w:t xml:space="preserve"> </w:t>
      </w:r>
      <w:r w:rsidR="00330A7B" w:rsidRPr="007C6545">
        <w:rPr>
          <w:rFonts w:ascii="Arial" w:hAnsi="Arial" w:cs="Arial"/>
          <w:color w:val="000000" w:themeColor="text1"/>
        </w:rPr>
        <w:t>variability</w:t>
      </w:r>
      <w:r w:rsidR="000E1EEB" w:rsidRPr="007C6545">
        <w:rPr>
          <w:rFonts w:ascii="Arial" w:hAnsi="Arial" w:cs="Arial"/>
          <w:color w:val="000000" w:themeColor="text1"/>
        </w:rPr>
        <w:t xml:space="preserve"> can be attributed to many factors</w:t>
      </w:r>
      <w:r w:rsidR="000A2806" w:rsidRPr="007C6545">
        <w:rPr>
          <w:rFonts w:ascii="Arial" w:hAnsi="Arial" w:cs="Arial"/>
          <w:color w:val="000000" w:themeColor="text1"/>
        </w:rPr>
        <w:t>, including</w:t>
      </w:r>
      <w:r w:rsidR="000E1EEB" w:rsidRPr="007C6545">
        <w:rPr>
          <w:rFonts w:ascii="Arial" w:hAnsi="Arial" w:cs="Arial"/>
          <w:color w:val="000000" w:themeColor="text1"/>
        </w:rPr>
        <w:t xml:space="preserve"> pharmacogenetic polymorphisms, drug-drug interactions, altered </w:t>
      </w:r>
      <w:r w:rsidR="00FB514C" w:rsidRPr="007C6545">
        <w:rPr>
          <w:rFonts w:ascii="Arial" w:hAnsi="Arial" w:cs="Arial"/>
          <w:color w:val="000000" w:themeColor="text1"/>
        </w:rPr>
        <w:t>gastrointestinal</w:t>
      </w:r>
      <w:r w:rsidR="00C818E8" w:rsidRPr="007C6545">
        <w:rPr>
          <w:rFonts w:ascii="Arial" w:hAnsi="Arial" w:cs="Arial"/>
          <w:color w:val="000000" w:themeColor="text1"/>
        </w:rPr>
        <w:t xml:space="preserve"> </w:t>
      </w:r>
      <w:r w:rsidR="000E1EEB" w:rsidRPr="007C6545">
        <w:rPr>
          <w:rFonts w:ascii="Arial" w:hAnsi="Arial" w:cs="Arial"/>
          <w:color w:val="000000" w:themeColor="text1"/>
        </w:rPr>
        <w:t xml:space="preserve">absorption, inflammation and </w:t>
      </w:r>
      <w:r w:rsidR="009A698E" w:rsidRPr="007C6545">
        <w:rPr>
          <w:rFonts w:ascii="Arial" w:hAnsi="Arial" w:cs="Arial"/>
          <w:color w:val="000000" w:themeColor="text1"/>
        </w:rPr>
        <w:t xml:space="preserve">body </w:t>
      </w:r>
      <w:r w:rsidR="000E1EEB" w:rsidRPr="007C6545">
        <w:rPr>
          <w:rFonts w:ascii="Arial" w:hAnsi="Arial" w:cs="Arial"/>
          <w:color w:val="000000" w:themeColor="text1"/>
        </w:rPr>
        <w:t>weight</w:t>
      </w:r>
      <w:r w:rsidR="00330A7B"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2</w:t>
      </w:r>
      <w:r w:rsidR="00330A7B" w:rsidRPr="007C6545">
        <w:rPr>
          <w:rFonts w:ascii="Arial" w:hAnsi="Arial" w:cs="Arial"/>
          <w:color w:val="000000" w:themeColor="text1"/>
        </w:rPr>
        <w:t xml:space="preserve"> </w:t>
      </w:r>
      <w:r w:rsidR="000E1EEB" w:rsidRPr="007C6545">
        <w:rPr>
          <w:rFonts w:ascii="Arial" w:hAnsi="Arial" w:cs="Arial"/>
          <w:color w:val="000000" w:themeColor="text1"/>
        </w:rPr>
        <w:t xml:space="preserve"> </w:t>
      </w:r>
      <w:r w:rsidR="00330A7B" w:rsidRPr="007C6545">
        <w:rPr>
          <w:rFonts w:ascii="Arial" w:hAnsi="Arial" w:cs="Arial"/>
          <w:color w:val="000000" w:themeColor="text1"/>
        </w:rPr>
        <w:t xml:space="preserve">Voriconazole </w:t>
      </w:r>
      <w:r w:rsidR="00EC5972" w:rsidRPr="007C6545">
        <w:rPr>
          <w:rFonts w:ascii="Arial" w:hAnsi="Arial" w:cs="Arial"/>
          <w:color w:val="000000" w:themeColor="text1"/>
        </w:rPr>
        <w:t>undergo</w:t>
      </w:r>
      <w:r w:rsidR="00C22610" w:rsidRPr="007C6545">
        <w:rPr>
          <w:rFonts w:ascii="Arial" w:hAnsi="Arial" w:cs="Arial"/>
          <w:color w:val="000000" w:themeColor="text1"/>
        </w:rPr>
        <w:t>es extensive hepatic metabolism</w:t>
      </w:r>
      <w:r w:rsidR="00A20D74" w:rsidRPr="007C6545">
        <w:rPr>
          <w:rFonts w:ascii="Arial" w:hAnsi="Arial" w:cs="Arial"/>
          <w:color w:val="000000" w:themeColor="text1"/>
        </w:rPr>
        <w:t xml:space="preserve"> via </w:t>
      </w:r>
      <w:r w:rsidR="002D41B6" w:rsidRPr="007C6545">
        <w:rPr>
          <w:rFonts w:ascii="Arial" w:hAnsi="Arial" w:cs="Arial"/>
          <w:color w:val="000000" w:themeColor="text1"/>
        </w:rPr>
        <w:t>CYP3A4</w:t>
      </w:r>
      <w:r w:rsidR="00A20D74" w:rsidRPr="007C6545">
        <w:rPr>
          <w:rFonts w:ascii="Arial" w:hAnsi="Arial" w:cs="Arial"/>
          <w:color w:val="000000" w:themeColor="text1"/>
        </w:rPr>
        <w:t>, CYP2C9 and CYP2C19</w:t>
      </w:r>
      <w:r w:rsidR="000A2806" w:rsidRPr="007C6545">
        <w:rPr>
          <w:rFonts w:ascii="Arial" w:hAnsi="Arial" w:cs="Arial"/>
          <w:color w:val="000000" w:themeColor="text1"/>
        </w:rPr>
        <w:t>. I</w:t>
      </w:r>
      <w:r w:rsidR="00953C6C" w:rsidRPr="007C6545">
        <w:rPr>
          <w:rFonts w:ascii="Arial" w:hAnsi="Arial" w:cs="Arial"/>
          <w:color w:val="000000" w:themeColor="text1"/>
        </w:rPr>
        <w:t xml:space="preserve">mportant pharmacogenetic determinants of clearance in </w:t>
      </w:r>
      <w:r w:rsidR="000A2806" w:rsidRPr="007C6545">
        <w:rPr>
          <w:rFonts w:ascii="Arial" w:hAnsi="Arial" w:cs="Arial"/>
          <w:color w:val="000000" w:themeColor="text1"/>
        </w:rPr>
        <w:t>CYP2C19</w:t>
      </w:r>
      <w:r w:rsidR="00330A7B" w:rsidRPr="007C6545">
        <w:rPr>
          <w:rFonts w:ascii="Arial" w:hAnsi="Arial" w:cs="Arial"/>
          <w:color w:val="000000" w:themeColor="text1"/>
        </w:rPr>
        <w:t xml:space="preserve"> are responsible for ethnic differences in </w:t>
      </w:r>
      <w:r w:rsidR="00E70F19" w:rsidRPr="007C6545">
        <w:rPr>
          <w:rFonts w:ascii="Arial" w:hAnsi="Arial" w:cs="Arial"/>
          <w:color w:val="000000" w:themeColor="text1"/>
        </w:rPr>
        <w:t>pharmacokinetics</w:t>
      </w:r>
      <w:r w:rsidR="002D41B6"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3</w:t>
      </w:r>
      <w:r w:rsidR="002D41B6" w:rsidRPr="007C6545">
        <w:rPr>
          <w:rFonts w:ascii="Arial" w:hAnsi="Arial" w:cs="Arial"/>
          <w:color w:val="000000" w:themeColor="text1"/>
        </w:rPr>
        <w:t xml:space="preserve"> </w:t>
      </w:r>
      <w:r w:rsidR="00E70F19" w:rsidRPr="007C6545">
        <w:rPr>
          <w:rFonts w:ascii="Arial" w:hAnsi="Arial" w:cs="Arial"/>
          <w:color w:val="000000" w:themeColor="text1"/>
        </w:rPr>
        <w:t xml:space="preserve"> Voriconazole exhibits</w:t>
      </w:r>
      <w:r w:rsidR="00996D03" w:rsidRPr="007C6545">
        <w:rPr>
          <w:rFonts w:ascii="Arial" w:hAnsi="Arial" w:cs="Arial"/>
          <w:color w:val="000000" w:themeColor="text1"/>
        </w:rPr>
        <w:t xml:space="preserve"> classical nonlinear (</w:t>
      </w:r>
      <w:proofErr w:type="spellStart"/>
      <w:r w:rsidR="00996D03" w:rsidRPr="007C6545">
        <w:rPr>
          <w:rFonts w:ascii="Arial" w:hAnsi="Arial" w:cs="Arial"/>
          <w:color w:val="000000" w:themeColor="text1"/>
        </w:rPr>
        <w:t>Michaelis-</w:t>
      </w:r>
      <w:r w:rsidR="00E70F19" w:rsidRPr="007C6545">
        <w:rPr>
          <w:rFonts w:ascii="Arial" w:hAnsi="Arial" w:cs="Arial"/>
          <w:color w:val="000000" w:themeColor="text1"/>
        </w:rPr>
        <w:t>Menten</w:t>
      </w:r>
      <w:proofErr w:type="spellEnd"/>
      <w:r w:rsidR="00E70F19" w:rsidRPr="007C6545">
        <w:rPr>
          <w:rFonts w:ascii="Arial" w:hAnsi="Arial" w:cs="Arial"/>
          <w:color w:val="000000" w:themeColor="text1"/>
        </w:rPr>
        <w:t>) pharmacokinetics in adults as a result of saturable clearance</w:t>
      </w:r>
      <w:r w:rsidR="002D41B6"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2</w:t>
      </w:r>
      <w:r w:rsidR="00344EA7" w:rsidRPr="007C6545">
        <w:rPr>
          <w:rFonts w:ascii="Arial" w:hAnsi="Arial" w:cs="Arial"/>
          <w:color w:val="000000" w:themeColor="text1"/>
        </w:rPr>
        <w:t xml:space="preserve"> </w:t>
      </w:r>
      <w:r w:rsidR="002D41B6" w:rsidRPr="007C6545">
        <w:rPr>
          <w:rFonts w:ascii="Arial" w:hAnsi="Arial" w:cs="Arial"/>
          <w:color w:val="000000" w:themeColor="text1"/>
        </w:rPr>
        <w:t xml:space="preserve"> </w:t>
      </w:r>
      <w:r w:rsidR="00EC5972" w:rsidRPr="007C6545">
        <w:rPr>
          <w:rFonts w:ascii="Arial" w:hAnsi="Arial" w:cs="Arial"/>
          <w:color w:val="000000" w:themeColor="text1"/>
        </w:rPr>
        <w:t xml:space="preserve">In contrast, </w:t>
      </w:r>
      <w:r w:rsidR="000A4683" w:rsidRPr="007C6545">
        <w:rPr>
          <w:rFonts w:ascii="Arial" w:hAnsi="Arial" w:cs="Arial"/>
          <w:color w:val="000000" w:themeColor="text1"/>
        </w:rPr>
        <w:t xml:space="preserve">young </w:t>
      </w:r>
      <w:r w:rsidR="00EC5972" w:rsidRPr="007C6545">
        <w:rPr>
          <w:rFonts w:ascii="Arial" w:hAnsi="Arial" w:cs="Arial"/>
          <w:color w:val="000000" w:themeColor="text1"/>
        </w:rPr>
        <w:t xml:space="preserve">children </w:t>
      </w:r>
      <w:r w:rsidR="000A4683" w:rsidRPr="007C6545">
        <w:rPr>
          <w:rFonts w:ascii="Arial" w:hAnsi="Arial" w:cs="Arial"/>
          <w:color w:val="000000" w:themeColor="text1"/>
        </w:rPr>
        <w:t>display</w:t>
      </w:r>
      <w:r w:rsidR="00EC5972" w:rsidRPr="007C6545">
        <w:rPr>
          <w:rFonts w:ascii="Arial" w:hAnsi="Arial" w:cs="Arial"/>
          <w:color w:val="000000" w:themeColor="text1"/>
        </w:rPr>
        <w:t xml:space="preserve"> </w:t>
      </w:r>
      <w:r w:rsidR="000A4683" w:rsidRPr="007C6545">
        <w:rPr>
          <w:rFonts w:ascii="Arial" w:hAnsi="Arial" w:cs="Arial"/>
          <w:color w:val="000000" w:themeColor="text1"/>
        </w:rPr>
        <w:t>linear pharmacokinetics</w:t>
      </w:r>
      <w:r w:rsidR="00996D03" w:rsidRPr="007C6545">
        <w:rPr>
          <w:rFonts w:ascii="Arial" w:hAnsi="Arial" w:cs="Arial"/>
          <w:color w:val="000000" w:themeColor="text1"/>
        </w:rPr>
        <w:t xml:space="preserve"> and have higher weight-</w:t>
      </w:r>
      <w:r w:rsidR="000A4683" w:rsidRPr="007C6545">
        <w:rPr>
          <w:rFonts w:ascii="Arial" w:hAnsi="Arial" w:cs="Arial"/>
          <w:color w:val="000000" w:themeColor="text1"/>
        </w:rPr>
        <w:t>corrected clearance</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4</w:t>
      </w:r>
      <w:r w:rsidR="000A4683" w:rsidRPr="007C6545">
        <w:rPr>
          <w:rFonts w:ascii="Arial" w:hAnsi="Arial" w:cs="Arial"/>
          <w:color w:val="000000" w:themeColor="text1"/>
        </w:rPr>
        <w:t xml:space="preserve"> </w:t>
      </w:r>
      <w:r w:rsidR="000A2806" w:rsidRPr="007C6545">
        <w:rPr>
          <w:rFonts w:ascii="Arial" w:hAnsi="Arial" w:cs="Arial"/>
          <w:color w:val="000000" w:themeColor="text1"/>
        </w:rPr>
        <w:t>and</w:t>
      </w:r>
      <w:r w:rsidR="006C6F38" w:rsidRPr="007C6545">
        <w:rPr>
          <w:rFonts w:ascii="Arial" w:hAnsi="Arial" w:cs="Arial"/>
          <w:color w:val="000000" w:themeColor="text1"/>
        </w:rPr>
        <w:t xml:space="preserve"> higher weight-</w:t>
      </w:r>
      <w:r w:rsidR="00AA492C" w:rsidRPr="007C6545">
        <w:rPr>
          <w:rFonts w:ascii="Arial" w:hAnsi="Arial" w:cs="Arial"/>
          <w:color w:val="000000" w:themeColor="text1"/>
        </w:rPr>
        <w:t>based dosages</w:t>
      </w:r>
      <w:r w:rsidR="000A2806" w:rsidRPr="007C6545">
        <w:rPr>
          <w:rFonts w:ascii="Arial" w:hAnsi="Arial" w:cs="Arial"/>
          <w:color w:val="000000" w:themeColor="text1"/>
        </w:rPr>
        <w:t xml:space="preserve"> (</w:t>
      </w:r>
      <w:r w:rsidR="00A57F57" w:rsidRPr="007C6545">
        <w:rPr>
          <w:rFonts w:ascii="Arial" w:hAnsi="Arial" w:cs="Arial"/>
          <w:color w:val="000000" w:themeColor="text1"/>
        </w:rPr>
        <w:t xml:space="preserve">9 mg/kg </w:t>
      </w:r>
      <w:r w:rsidR="00E46EA3" w:rsidRPr="007C6545">
        <w:rPr>
          <w:rFonts w:ascii="Arial" w:hAnsi="Arial" w:cs="Arial"/>
          <w:color w:val="000000" w:themeColor="text1"/>
        </w:rPr>
        <w:t>twice daily</w:t>
      </w:r>
      <w:r w:rsidR="000A2806" w:rsidRPr="007C6545">
        <w:rPr>
          <w:rFonts w:ascii="Arial" w:hAnsi="Arial" w:cs="Arial"/>
          <w:color w:val="000000" w:themeColor="text1"/>
        </w:rPr>
        <w:t>)</w:t>
      </w:r>
      <w:r w:rsidR="00295E55" w:rsidRPr="007C6545">
        <w:rPr>
          <w:rFonts w:ascii="Arial" w:hAnsi="Arial" w:cs="Arial"/>
          <w:color w:val="000000" w:themeColor="text1"/>
        </w:rPr>
        <w:t xml:space="preserve"> </w:t>
      </w:r>
      <w:r w:rsidR="00AA492C" w:rsidRPr="007C6545">
        <w:rPr>
          <w:rFonts w:ascii="Arial" w:hAnsi="Arial" w:cs="Arial"/>
          <w:color w:val="000000" w:themeColor="text1"/>
        </w:rPr>
        <w:t>are required to achieve pharmacodynamic targets that are associated with therapeutic success.</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5</w:t>
      </w:r>
      <w:r w:rsidR="00AA492C" w:rsidRPr="007C6545">
        <w:rPr>
          <w:rFonts w:ascii="Arial" w:hAnsi="Arial" w:cs="Arial"/>
          <w:color w:val="000000" w:themeColor="text1"/>
        </w:rPr>
        <w:t xml:space="preserve"> </w:t>
      </w:r>
      <w:r w:rsidR="009C22C6" w:rsidRPr="007C6545">
        <w:rPr>
          <w:rFonts w:ascii="Arial" w:hAnsi="Arial" w:cs="Arial"/>
          <w:color w:val="000000" w:themeColor="text1"/>
        </w:rPr>
        <w:t xml:space="preserve"> </w:t>
      </w:r>
      <w:r w:rsidR="00597B6E" w:rsidRPr="007C6545">
        <w:rPr>
          <w:rFonts w:ascii="Arial" w:hAnsi="Arial" w:cs="Arial"/>
          <w:color w:val="000000" w:themeColor="text1"/>
        </w:rPr>
        <w:t xml:space="preserve">There is scant data from neonates and considerable uncertainty about the appropriate regimen in this </w:t>
      </w:r>
      <w:r w:rsidR="00597B6E" w:rsidRPr="007C6545">
        <w:rPr>
          <w:rFonts w:ascii="Arial" w:hAnsi="Arial" w:cs="Arial"/>
          <w:color w:val="000000" w:themeColor="text1"/>
        </w:rPr>
        <w:lastRenderedPageBreak/>
        <w:t>setting</w:t>
      </w:r>
      <w:r w:rsidR="009C22C6"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6</w:t>
      </w:r>
      <w:r w:rsidR="00B8675A" w:rsidRPr="007C6545">
        <w:rPr>
          <w:rFonts w:ascii="Arial" w:hAnsi="Arial" w:cs="Arial"/>
          <w:color w:val="000000" w:themeColor="text1"/>
        </w:rPr>
        <w:t xml:space="preserve"> </w:t>
      </w:r>
      <w:r w:rsidR="00597B6E" w:rsidRPr="007C6545">
        <w:rPr>
          <w:rFonts w:ascii="Arial" w:hAnsi="Arial" w:cs="Arial"/>
          <w:color w:val="000000" w:themeColor="text1"/>
        </w:rPr>
        <w:t xml:space="preserve"> </w:t>
      </w:r>
      <w:r w:rsidR="009A698E" w:rsidRPr="007C6545">
        <w:rPr>
          <w:rFonts w:ascii="Arial" w:hAnsi="Arial" w:cs="Arial"/>
          <w:color w:val="000000" w:themeColor="text1"/>
        </w:rPr>
        <w:t>V</w:t>
      </w:r>
      <w:r w:rsidR="00597B6E" w:rsidRPr="007C6545">
        <w:rPr>
          <w:rFonts w:ascii="Arial" w:hAnsi="Arial" w:cs="Arial"/>
          <w:color w:val="000000" w:themeColor="text1"/>
        </w:rPr>
        <w:t xml:space="preserve">oriconazole is not widely used in this population because </w:t>
      </w:r>
      <w:r w:rsidR="00597B6E" w:rsidRPr="007C6545">
        <w:rPr>
          <w:rFonts w:ascii="Arial" w:hAnsi="Arial" w:cs="Arial"/>
          <w:i/>
          <w:color w:val="000000" w:themeColor="text1"/>
        </w:rPr>
        <w:t>Aspergillus</w:t>
      </w:r>
      <w:r w:rsidR="00597B6E" w:rsidRPr="007C6545">
        <w:rPr>
          <w:rFonts w:ascii="Arial" w:hAnsi="Arial" w:cs="Arial"/>
          <w:color w:val="000000" w:themeColor="text1"/>
        </w:rPr>
        <w:t xml:space="preserve"> is </w:t>
      </w:r>
      <w:r w:rsidR="009A698E" w:rsidRPr="007C6545">
        <w:rPr>
          <w:rFonts w:ascii="Arial" w:hAnsi="Arial" w:cs="Arial"/>
          <w:color w:val="000000" w:themeColor="text1"/>
        </w:rPr>
        <w:t xml:space="preserve">such </w:t>
      </w:r>
      <w:r w:rsidR="00597B6E" w:rsidRPr="007C6545">
        <w:rPr>
          <w:rFonts w:ascii="Arial" w:hAnsi="Arial" w:cs="Arial"/>
          <w:color w:val="000000" w:themeColor="text1"/>
        </w:rPr>
        <w:t>an uncommon pathogen.</w:t>
      </w:r>
    </w:p>
    <w:p w14:paraId="26A18CA8" w14:textId="77777777" w:rsidR="00C22610" w:rsidRPr="007C6545" w:rsidRDefault="00880AB2"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The British Society of Medical Mycology</w:t>
      </w:r>
      <w:r w:rsidR="00A46021" w:rsidRPr="007C6545">
        <w:rPr>
          <w:rFonts w:ascii="Arial" w:hAnsi="Arial" w:cs="Arial"/>
          <w:color w:val="000000" w:themeColor="text1"/>
        </w:rPr>
        <w:t xml:space="preserve"> (BSMM)</w:t>
      </w:r>
      <w:r w:rsidR="00C22610" w:rsidRPr="007C6545">
        <w:rPr>
          <w:rFonts w:ascii="Arial" w:hAnsi="Arial" w:cs="Arial"/>
          <w:color w:val="000000" w:themeColor="text1"/>
        </w:rPr>
        <w:t xml:space="preserve"> </w:t>
      </w:r>
      <w:r w:rsidR="00996D03" w:rsidRPr="007C6545">
        <w:rPr>
          <w:rFonts w:ascii="Arial" w:hAnsi="Arial" w:cs="Arial"/>
          <w:color w:val="000000" w:themeColor="text1"/>
        </w:rPr>
        <w:t>recommends</w:t>
      </w:r>
      <w:r w:rsidR="00C22610" w:rsidRPr="007C6545">
        <w:rPr>
          <w:rFonts w:ascii="Arial" w:hAnsi="Arial" w:cs="Arial"/>
          <w:color w:val="000000" w:themeColor="text1"/>
        </w:rPr>
        <w:t xml:space="preserve"> a </w:t>
      </w:r>
      <w:r w:rsidR="00E64B1F" w:rsidRPr="007C6545">
        <w:rPr>
          <w:rFonts w:ascii="Arial" w:hAnsi="Arial" w:cs="Arial"/>
          <w:color w:val="000000" w:themeColor="text1"/>
        </w:rPr>
        <w:t xml:space="preserve">voriconazole </w:t>
      </w:r>
      <w:proofErr w:type="spellStart"/>
      <w:r w:rsidR="003F0128"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EB39C5" w:rsidRPr="007C6545">
        <w:rPr>
          <w:rFonts w:ascii="Arial" w:hAnsi="Arial" w:cs="Arial"/>
          <w:color w:val="000000" w:themeColor="text1"/>
          <w:vertAlign w:val="subscript"/>
        </w:rPr>
        <w:t xml:space="preserve"> </w:t>
      </w:r>
      <w:r w:rsidR="00C22610" w:rsidRPr="007C6545">
        <w:rPr>
          <w:rFonts w:ascii="Arial" w:hAnsi="Arial" w:cs="Arial"/>
          <w:color w:val="000000" w:themeColor="text1"/>
        </w:rPr>
        <w:t xml:space="preserve">target for TDM </w:t>
      </w:r>
      <w:r w:rsidR="00E64B1F" w:rsidRPr="007C6545">
        <w:rPr>
          <w:rFonts w:ascii="Arial" w:hAnsi="Arial" w:cs="Arial"/>
          <w:color w:val="000000" w:themeColor="text1"/>
        </w:rPr>
        <w:t xml:space="preserve">of </w:t>
      </w:r>
      <w:r w:rsidR="00F5698D" w:rsidRPr="007C6545">
        <w:rPr>
          <w:rFonts w:ascii="Arial" w:hAnsi="Arial" w:cs="Arial"/>
          <w:color w:val="000000" w:themeColor="text1"/>
        </w:rPr>
        <w:t xml:space="preserve">between </w:t>
      </w:r>
      <w:r w:rsidR="00C22610" w:rsidRPr="007C6545">
        <w:rPr>
          <w:rFonts w:ascii="Arial" w:hAnsi="Arial" w:cs="Arial"/>
          <w:color w:val="000000" w:themeColor="text1"/>
        </w:rPr>
        <w:t>1</w:t>
      </w:r>
      <w:r w:rsidR="00F5698D" w:rsidRPr="007C6545">
        <w:rPr>
          <w:rFonts w:ascii="Arial" w:hAnsi="Arial" w:cs="Arial"/>
          <w:color w:val="000000" w:themeColor="text1"/>
        </w:rPr>
        <w:t>.0</w:t>
      </w:r>
      <w:r w:rsidR="00E64B1F" w:rsidRPr="007C6545">
        <w:rPr>
          <w:rFonts w:ascii="Arial" w:hAnsi="Arial" w:cs="Arial"/>
          <w:color w:val="000000" w:themeColor="text1"/>
        </w:rPr>
        <w:t xml:space="preserve"> and </w:t>
      </w:r>
      <w:r w:rsidR="00F5698D" w:rsidRPr="007C6545">
        <w:rPr>
          <w:rFonts w:ascii="Arial" w:hAnsi="Arial" w:cs="Arial"/>
          <w:color w:val="000000" w:themeColor="text1"/>
        </w:rPr>
        <w:t>5.5</w:t>
      </w:r>
      <w:r w:rsidR="00C22610" w:rsidRPr="007C6545">
        <w:rPr>
          <w:rFonts w:ascii="Arial" w:hAnsi="Arial" w:cs="Arial"/>
          <w:color w:val="000000" w:themeColor="text1"/>
        </w:rPr>
        <w:t xml:space="preserve">mg/L when the drug is used </w:t>
      </w:r>
      <w:r w:rsidR="00E64B1F" w:rsidRPr="007C6545">
        <w:rPr>
          <w:rFonts w:ascii="Arial" w:hAnsi="Arial" w:cs="Arial"/>
          <w:color w:val="000000" w:themeColor="text1"/>
        </w:rPr>
        <w:t>to treat</w:t>
      </w:r>
      <w:r w:rsidR="00173E43" w:rsidRPr="007C6545">
        <w:rPr>
          <w:rFonts w:ascii="Arial" w:hAnsi="Arial" w:cs="Arial"/>
          <w:color w:val="000000" w:themeColor="text1"/>
        </w:rPr>
        <w:t xml:space="preserve"> established invasive infection</w:t>
      </w:r>
      <w:r w:rsidR="00C22610"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B362AA" w:rsidRPr="007C6545">
        <w:rPr>
          <w:rFonts w:ascii="Arial" w:hAnsi="Arial" w:cs="Arial"/>
          <w:color w:val="000000" w:themeColor="text1"/>
          <w:vertAlign w:val="superscript"/>
        </w:rPr>
        <w:t>7</w:t>
      </w:r>
      <w:r w:rsidR="00C22610" w:rsidRPr="007C6545">
        <w:rPr>
          <w:rFonts w:ascii="Arial" w:hAnsi="Arial" w:cs="Arial"/>
          <w:color w:val="000000" w:themeColor="text1"/>
        </w:rPr>
        <w:t xml:space="preserve"> </w:t>
      </w:r>
      <w:r w:rsidR="003F0128" w:rsidRPr="007C6545">
        <w:rPr>
          <w:rFonts w:ascii="Arial" w:hAnsi="Arial" w:cs="Arial"/>
          <w:color w:val="000000" w:themeColor="text1"/>
        </w:rPr>
        <w:t>This target is widely accepted</w:t>
      </w:r>
      <w:r w:rsidR="00C22610" w:rsidRPr="007C6545">
        <w:rPr>
          <w:rFonts w:ascii="Arial" w:hAnsi="Arial" w:cs="Arial"/>
          <w:color w:val="000000" w:themeColor="text1"/>
        </w:rPr>
        <w:t xml:space="preserve"> </w:t>
      </w:r>
      <w:r w:rsidR="003F0128" w:rsidRPr="007C6545">
        <w:rPr>
          <w:rFonts w:ascii="Arial" w:hAnsi="Arial" w:cs="Arial"/>
          <w:color w:val="000000" w:themeColor="text1"/>
        </w:rPr>
        <w:t xml:space="preserve">although it is </w:t>
      </w:r>
      <w:r w:rsidR="00C22610" w:rsidRPr="007C6545">
        <w:rPr>
          <w:rFonts w:ascii="Arial" w:hAnsi="Arial" w:cs="Arial"/>
          <w:color w:val="000000" w:themeColor="text1"/>
        </w:rPr>
        <w:t xml:space="preserve">derived from </w:t>
      </w:r>
      <w:r w:rsidR="003F0128" w:rsidRPr="007C6545">
        <w:rPr>
          <w:rFonts w:ascii="Arial" w:hAnsi="Arial" w:cs="Arial"/>
          <w:color w:val="000000" w:themeColor="text1"/>
        </w:rPr>
        <w:t xml:space="preserve">relatively </w:t>
      </w:r>
      <w:r w:rsidR="00C22610" w:rsidRPr="007C6545">
        <w:rPr>
          <w:rFonts w:ascii="Arial" w:hAnsi="Arial" w:cs="Arial"/>
          <w:color w:val="000000" w:themeColor="text1"/>
        </w:rPr>
        <w:t>low</w:t>
      </w:r>
      <w:r w:rsidR="00E64B1F" w:rsidRPr="007C6545">
        <w:rPr>
          <w:rFonts w:ascii="Arial" w:hAnsi="Arial" w:cs="Arial"/>
          <w:color w:val="000000" w:themeColor="text1"/>
        </w:rPr>
        <w:t>-</w:t>
      </w:r>
      <w:r w:rsidR="00C22610" w:rsidRPr="007C6545">
        <w:rPr>
          <w:rFonts w:ascii="Arial" w:hAnsi="Arial" w:cs="Arial"/>
          <w:color w:val="000000" w:themeColor="text1"/>
        </w:rPr>
        <w:t xml:space="preserve">quality evidence, </w:t>
      </w:r>
      <w:r w:rsidR="00E64B1F" w:rsidRPr="007C6545">
        <w:rPr>
          <w:rFonts w:ascii="Arial" w:hAnsi="Arial" w:cs="Arial"/>
          <w:color w:val="000000" w:themeColor="text1"/>
        </w:rPr>
        <w:t xml:space="preserve">based on </w:t>
      </w:r>
      <w:r w:rsidR="00C22610" w:rsidRPr="007C6545">
        <w:rPr>
          <w:rFonts w:ascii="Arial" w:hAnsi="Arial" w:cs="Arial"/>
          <w:color w:val="000000" w:themeColor="text1"/>
        </w:rPr>
        <w:t xml:space="preserve">studies </w:t>
      </w:r>
      <w:r w:rsidR="00E64B1F" w:rsidRPr="007C6545">
        <w:rPr>
          <w:rFonts w:ascii="Arial" w:hAnsi="Arial" w:cs="Arial"/>
          <w:color w:val="000000" w:themeColor="text1"/>
        </w:rPr>
        <w:t>which were</w:t>
      </w:r>
      <w:r w:rsidR="003F0128" w:rsidRPr="007C6545">
        <w:rPr>
          <w:rFonts w:ascii="Arial" w:hAnsi="Arial" w:cs="Arial"/>
          <w:color w:val="000000" w:themeColor="text1"/>
        </w:rPr>
        <w:t xml:space="preserve"> </w:t>
      </w:r>
      <w:r w:rsidR="00C22610" w:rsidRPr="007C6545">
        <w:rPr>
          <w:rFonts w:ascii="Arial" w:hAnsi="Arial" w:cs="Arial"/>
          <w:color w:val="000000" w:themeColor="text1"/>
        </w:rPr>
        <w:t xml:space="preserve">limited by </w:t>
      </w:r>
      <w:r w:rsidR="00E64B1F" w:rsidRPr="007C6545">
        <w:rPr>
          <w:rFonts w:ascii="Arial" w:hAnsi="Arial" w:cs="Arial"/>
          <w:color w:val="000000" w:themeColor="text1"/>
        </w:rPr>
        <w:t>the difficulty of</w:t>
      </w:r>
      <w:r w:rsidR="00C22610" w:rsidRPr="007C6545">
        <w:rPr>
          <w:rFonts w:ascii="Arial" w:hAnsi="Arial" w:cs="Arial"/>
          <w:color w:val="000000" w:themeColor="text1"/>
        </w:rPr>
        <w:t xml:space="preserve"> estimating voriconazole exposure in individual patients and </w:t>
      </w:r>
      <w:r w:rsidR="00173E43" w:rsidRPr="007C6545">
        <w:rPr>
          <w:rFonts w:ascii="Arial" w:hAnsi="Arial" w:cs="Arial"/>
          <w:color w:val="000000" w:themeColor="text1"/>
        </w:rPr>
        <w:t xml:space="preserve">in </w:t>
      </w:r>
      <w:r w:rsidR="00C22610" w:rsidRPr="007C6545">
        <w:rPr>
          <w:rFonts w:ascii="Arial" w:hAnsi="Arial" w:cs="Arial"/>
          <w:color w:val="000000" w:themeColor="text1"/>
        </w:rPr>
        <w:t xml:space="preserve">controlling for confounding factors that </w:t>
      </w:r>
      <w:r w:rsidR="004B7EC7" w:rsidRPr="007C6545">
        <w:rPr>
          <w:rFonts w:ascii="Arial" w:hAnsi="Arial" w:cs="Arial"/>
          <w:color w:val="000000" w:themeColor="text1"/>
        </w:rPr>
        <w:t xml:space="preserve">may have an </w:t>
      </w:r>
      <w:r w:rsidR="00C22610" w:rsidRPr="007C6545">
        <w:rPr>
          <w:rFonts w:ascii="Arial" w:hAnsi="Arial" w:cs="Arial"/>
          <w:color w:val="000000" w:themeColor="text1"/>
        </w:rPr>
        <w:t xml:space="preserve">impact </w:t>
      </w:r>
      <w:r w:rsidR="004B7EC7" w:rsidRPr="007C6545">
        <w:rPr>
          <w:rFonts w:ascii="Arial" w:hAnsi="Arial" w:cs="Arial"/>
          <w:color w:val="000000" w:themeColor="text1"/>
        </w:rPr>
        <w:t xml:space="preserve">upon </w:t>
      </w:r>
      <w:r w:rsidR="00C22610" w:rsidRPr="007C6545">
        <w:rPr>
          <w:rFonts w:ascii="Arial" w:hAnsi="Arial" w:cs="Arial"/>
          <w:color w:val="000000" w:themeColor="text1"/>
        </w:rPr>
        <w:t>clinical outcome</w:t>
      </w:r>
      <w:r w:rsidR="00173E43"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B362AA" w:rsidRPr="007C6545">
        <w:rPr>
          <w:rFonts w:ascii="Arial" w:hAnsi="Arial" w:cs="Arial"/>
          <w:color w:val="000000" w:themeColor="text1"/>
          <w:vertAlign w:val="superscript"/>
        </w:rPr>
        <w:t>7</w:t>
      </w:r>
      <w:r w:rsidR="00173E43" w:rsidRPr="007C6545">
        <w:rPr>
          <w:rFonts w:ascii="Arial" w:hAnsi="Arial" w:cs="Arial"/>
          <w:color w:val="000000" w:themeColor="text1"/>
        </w:rPr>
        <w:t xml:space="preserve"> </w:t>
      </w:r>
      <w:r w:rsidR="004B7EC7" w:rsidRPr="007C6545">
        <w:rPr>
          <w:rFonts w:ascii="Arial" w:hAnsi="Arial" w:cs="Arial"/>
          <w:color w:val="000000" w:themeColor="text1"/>
        </w:rPr>
        <w:t xml:space="preserve"> T</w:t>
      </w:r>
      <w:r w:rsidR="00F5698D" w:rsidRPr="007C6545">
        <w:rPr>
          <w:rFonts w:ascii="Arial" w:hAnsi="Arial" w:cs="Arial"/>
          <w:color w:val="000000" w:themeColor="text1"/>
        </w:rPr>
        <w:t xml:space="preserve">he majority of studies assessing the utility of voriconazole TDM </w:t>
      </w:r>
      <w:r w:rsidR="00E64B1F" w:rsidRPr="007C6545">
        <w:rPr>
          <w:rFonts w:ascii="Arial" w:hAnsi="Arial" w:cs="Arial"/>
          <w:color w:val="000000" w:themeColor="text1"/>
        </w:rPr>
        <w:t xml:space="preserve">have been </w:t>
      </w:r>
      <w:r w:rsidR="004B7EC7" w:rsidRPr="007C6545">
        <w:rPr>
          <w:rFonts w:ascii="Arial" w:hAnsi="Arial" w:cs="Arial"/>
          <w:color w:val="000000" w:themeColor="text1"/>
        </w:rPr>
        <w:t xml:space="preserve">relatively </w:t>
      </w:r>
      <w:r w:rsidR="00F5698D" w:rsidRPr="007C6545">
        <w:rPr>
          <w:rFonts w:ascii="Arial" w:hAnsi="Arial" w:cs="Arial"/>
          <w:color w:val="000000" w:themeColor="text1"/>
        </w:rPr>
        <w:t xml:space="preserve">small, </w:t>
      </w:r>
      <w:r w:rsidR="00E64B1F" w:rsidRPr="007C6545">
        <w:rPr>
          <w:rFonts w:ascii="Arial" w:hAnsi="Arial" w:cs="Arial"/>
          <w:color w:val="000000" w:themeColor="text1"/>
        </w:rPr>
        <w:t xml:space="preserve">were </w:t>
      </w:r>
      <w:r w:rsidR="004B7EC7" w:rsidRPr="007C6545">
        <w:rPr>
          <w:rFonts w:ascii="Arial" w:hAnsi="Arial" w:cs="Arial"/>
          <w:color w:val="000000" w:themeColor="text1"/>
        </w:rPr>
        <w:t xml:space="preserve">generally conducted </w:t>
      </w:r>
      <w:r w:rsidR="00E64B1F" w:rsidRPr="007C6545">
        <w:rPr>
          <w:rFonts w:ascii="Arial" w:hAnsi="Arial" w:cs="Arial"/>
          <w:color w:val="000000" w:themeColor="text1"/>
        </w:rPr>
        <w:t>at</w:t>
      </w:r>
      <w:r w:rsidR="00F5698D" w:rsidRPr="007C6545">
        <w:rPr>
          <w:rFonts w:ascii="Arial" w:hAnsi="Arial" w:cs="Arial"/>
          <w:color w:val="000000" w:themeColor="text1"/>
        </w:rPr>
        <w:t xml:space="preserve"> a single centre</w:t>
      </w:r>
      <w:r w:rsidR="00F525BE" w:rsidRPr="007C6545">
        <w:rPr>
          <w:rFonts w:ascii="Arial" w:hAnsi="Arial" w:cs="Arial"/>
          <w:color w:val="000000" w:themeColor="text1"/>
        </w:rPr>
        <w:t xml:space="preserve"> and </w:t>
      </w:r>
      <w:r w:rsidR="00F5698D" w:rsidRPr="007C6545">
        <w:rPr>
          <w:rFonts w:ascii="Arial" w:hAnsi="Arial" w:cs="Arial"/>
          <w:color w:val="000000" w:themeColor="text1"/>
        </w:rPr>
        <w:t>are retrospective</w:t>
      </w:r>
      <w:r w:rsidR="00F525BE" w:rsidRPr="007C6545">
        <w:rPr>
          <w:rFonts w:ascii="Arial" w:hAnsi="Arial" w:cs="Arial"/>
          <w:color w:val="000000" w:themeColor="text1"/>
        </w:rPr>
        <w:t>,</w:t>
      </w:r>
      <w:r w:rsidR="00F5698D" w:rsidRPr="007C6545">
        <w:rPr>
          <w:rFonts w:ascii="Arial" w:hAnsi="Arial" w:cs="Arial"/>
          <w:color w:val="000000" w:themeColor="text1"/>
        </w:rPr>
        <w:t xml:space="preserve"> and </w:t>
      </w:r>
      <w:r w:rsidR="00E64B1F" w:rsidRPr="007C6545">
        <w:rPr>
          <w:rFonts w:ascii="Arial" w:hAnsi="Arial" w:cs="Arial"/>
          <w:color w:val="000000" w:themeColor="text1"/>
        </w:rPr>
        <w:t xml:space="preserve">the </w:t>
      </w:r>
      <w:r w:rsidR="00F5698D" w:rsidRPr="007C6545">
        <w:rPr>
          <w:rFonts w:ascii="Arial" w:hAnsi="Arial" w:cs="Arial"/>
          <w:color w:val="000000" w:themeColor="text1"/>
        </w:rPr>
        <w:t>method</w:t>
      </w:r>
      <w:r w:rsidR="004B7EC7" w:rsidRPr="007C6545">
        <w:rPr>
          <w:rFonts w:ascii="Arial" w:hAnsi="Arial" w:cs="Arial"/>
          <w:color w:val="000000" w:themeColor="text1"/>
        </w:rPr>
        <w:t>ological approaches</w:t>
      </w:r>
      <w:r w:rsidR="00F5698D" w:rsidRPr="007C6545">
        <w:rPr>
          <w:rFonts w:ascii="Arial" w:hAnsi="Arial" w:cs="Arial"/>
          <w:color w:val="000000" w:themeColor="text1"/>
        </w:rPr>
        <w:t xml:space="preserve"> </w:t>
      </w:r>
      <w:r w:rsidR="00E64B1F" w:rsidRPr="007C6545">
        <w:rPr>
          <w:rFonts w:ascii="Arial" w:hAnsi="Arial" w:cs="Arial"/>
          <w:color w:val="000000" w:themeColor="text1"/>
        </w:rPr>
        <w:t xml:space="preserve">were </w:t>
      </w:r>
      <w:r w:rsidR="004B7EC7" w:rsidRPr="007C6545">
        <w:rPr>
          <w:rFonts w:ascii="Arial" w:hAnsi="Arial" w:cs="Arial"/>
          <w:color w:val="000000" w:themeColor="text1"/>
        </w:rPr>
        <w:t xml:space="preserve">somewhat </w:t>
      </w:r>
      <w:r w:rsidR="00F5698D" w:rsidRPr="007C6545">
        <w:rPr>
          <w:rFonts w:ascii="Arial" w:hAnsi="Arial" w:cs="Arial"/>
          <w:color w:val="000000" w:themeColor="text1"/>
        </w:rPr>
        <w:t>variable.</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2</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7</w:t>
      </w:r>
      <w:r w:rsidR="00F5698D" w:rsidRPr="007C6545">
        <w:rPr>
          <w:rFonts w:ascii="Arial" w:hAnsi="Arial" w:cs="Arial"/>
          <w:color w:val="000000" w:themeColor="text1"/>
        </w:rPr>
        <w:t xml:space="preserve"> </w:t>
      </w:r>
      <w:r w:rsidR="0044206D" w:rsidRPr="007C6545">
        <w:rPr>
          <w:rFonts w:ascii="Arial" w:hAnsi="Arial" w:cs="Arial"/>
          <w:color w:val="000000" w:themeColor="text1"/>
        </w:rPr>
        <w:t xml:space="preserve"> </w:t>
      </w:r>
      <w:r w:rsidR="002C65A3" w:rsidRPr="007C6545">
        <w:rPr>
          <w:rFonts w:ascii="Arial" w:hAnsi="Arial" w:cs="Arial"/>
          <w:color w:val="000000" w:themeColor="text1"/>
        </w:rPr>
        <w:t>Two meta-analyse</w:t>
      </w:r>
      <w:r w:rsidRPr="007C6545">
        <w:rPr>
          <w:rFonts w:ascii="Arial" w:hAnsi="Arial" w:cs="Arial"/>
          <w:color w:val="000000" w:themeColor="text1"/>
        </w:rPr>
        <w:t xml:space="preserve">s </w:t>
      </w:r>
      <w:r w:rsidR="002C65A3" w:rsidRPr="007C6545">
        <w:rPr>
          <w:rFonts w:ascii="Arial" w:hAnsi="Arial" w:cs="Arial"/>
          <w:color w:val="000000" w:themeColor="text1"/>
        </w:rPr>
        <w:t>suggest</w:t>
      </w:r>
      <w:r w:rsidR="0044206D" w:rsidRPr="007C6545">
        <w:rPr>
          <w:rFonts w:ascii="Arial" w:hAnsi="Arial" w:cs="Arial"/>
          <w:color w:val="000000" w:themeColor="text1"/>
        </w:rPr>
        <w:t xml:space="preserve"> </w:t>
      </w:r>
      <w:r w:rsidRPr="007C6545">
        <w:rPr>
          <w:rFonts w:ascii="Arial" w:hAnsi="Arial" w:cs="Arial"/>
          <w:color w:val="000000" w:themeColor="text1"/>
        </w:rPr>
        <w:t xml:space="preserve">that a target voriconazole concentration of ≥1.0mg/L </w:t>
      </w:r>
      <w:r w:rsidR="0044206D" w:rsidRPr="007C6545">
        <w:rPr>
          <w:rFonts w:ascii="Arial" w:hAnsi="Arial" w:cs="Arial"/>
          <w:color w:val="000000" w:themeColor="text1"/>
        </w:rPr>
        <w:t xml:space="preserve">is </w:t>
      </w:r>
      <w:r w:rsidRPr="007C6545">
        <w:rPr>
          <w:rFonts w:ascii="Arial" w:hAnsi="Arial" w:cs="Arial"/>
          <w:color w:val="000000" w:themeColor="text1"/>
        </w:rPr>
        <w:t>predictive of clinical success</w:t>
      </w:r>
      <w:r w:rsidR="00F508F4"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2</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8</w:t>
      </w:r>
      <w:r w:rsidR="00F508F4" w:rsidRPr="007C6545">
        <w:rPr>
          <w:rFonts w:ascii="Arial" w:hAnsi="Arial" w:cs="Arial"/>
          <w:color w:val="000000" w:themeColor="text1"/>
        </w:rPr>
        <w:t xml:space="preserve"> </w:t>
      </w:r>
      <w:r w:rsidR="0044206D" w:rsidRPr="007C6545">
        <w:rPr>
          <w:rFonts w:ascii="Arial" w:hAnsi="Arial" w:cs="Arial"/>
          <w:color w:val="000000" w:themeColor="text1"/>
        </w:rPr>
        <w:t>al</w:t>
      </w:r>
      <w:r w:rsidR="00F508F4" w:rsidRPr="007C6545">
        <w:rPr>
          <w:rFonts w:ascii="Arial" w:hAnsi="Arial" w:cs="Arial"/>
          <w:color w:val="000000" w:themeColor="text1"/>
        </w:rPr>
        <w:t xml:space="preserve">though </w:t>
      </w:r>
      <w:r w:rsidR="002C65A3" w:rsidRPr="007C6545">
        <w:rPr>
          <w:rFonts w:ascii="Arial" w:hAnsi="Arial" w:cs="Arial"/>
          <w:color w:val="000000" w:themeColor="text1"/>
        </w:rPr>
        <w:t>the mo</w:t>
      </w:r>
      <w:r w:rsidR="00E64B1F" w:rsidRPr="007C6545">
        <w:rPr>
          <w:rFonts w:ascii="Arial" w:hAnsi="Arial" w:cs="Arial"/>
          <w:color w:val="000000" w:themeColor="text1"/>
        </w:rPr>
        <w:t>re</w:t>
      </w:r>
      <w:r w:rsidR="002C65A3" w:rsidRPr="007C6545">
        <w:rPr>
          <w:rFonts w:ascii="Arial" w:hAnsi="Arial" w:cs="Arial"/>
          <w:color w:val="000000" w:themeColor="text1"/>
        </w:rPr>
        <w:t xml:space="preserve"> recent of these reported</w:t>
      </w:r>
      <w:r w:rsidR="0044206D" w:rsidRPr="007C6545">
        <w:rPr>
          <w:rFonts w:ascii="Arial" w:hAnsi="Arial" w:cs="Arial"/>
          <w:color w:val="000000" w:themeColor="text1"/>
        </w:rPr>
        <w:t xml:space="preserve"> some uncertainty about this estimate</w:t>
      </w:r>
      <w:r w:rsidR="00207056"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2</w:t>
      </w:r>
      <w:r w:rsidR="00207056" w:rsidRPr="007C6545">
        <w:rPr>
          <w:rFonts w:ascii="Arial" w:hAnsi="Arial" w:cs="Arial"/>
          <w:color w:val="000000" w:themeColor="text1"/>
        </w:rPr>
        <w:t xml:space="preserve"> </w:t>
      </w:r>
      <w:r w:rsidR="00173E43" w:rsidRPr="007C6545">
        <w:rPr>
          <w:rFonts w:ascii="Arial" w:hAnsi="Arial" w:cs="Arial"/>
          <w:color w:val="000000" w:themeColor="text1"/>
        </w:rPr>
        <w:t xml:space="preserve">For prophylactic use, the target concentration for TDM is </w:t>
      </w:r>
      <w:r w:rsidR="00207056" w:rsidRPr="007C6545">
        <w:rPr>
          <w:rFonts w:ascii="Arial" w:hAnsi="Arial" w:cs="Arial"/>
          <w:color w:val="000000" w:themeColor="text1"/>
        </w:rPr>
        <w:t>less</w:t>
      </w:r>
      <w:r w:rsidR="00173E43" w:rsidRPr="007C6545">
        <w:rPr>
          <w:rFonts w:ascii="Arial" w:hAnsi="Arial" w:cs="Arial"/>
          <w:color w:val="000000" w:themeColor="text1"/>
        </w:rPr>
        <w:t xml:space="preserve"> clear.  </w:t>
      </w:r>
      <w:r w:rsidR="00207056" w:rsidRPr="007C6545">
        <w:rPr>
          <w:rFonts w:ascii="Arial" w:hAnsi="Arial" w:cs="Arial"/>
          <w:color w:val="000000" w:themeColor="text1"/>
        </w:rPr>
        <w:t xml:space="preserve">The </w:t>
      </w:r>
      <w:r w:rsidR="00C22610" w:rsidRPr="007C6545">
        <w:rPr>
          <w:rFonts w:ascii="Arial" w:hAnsi="Arial" w:cs="Arial"/>
          <w:color w:val="000000" w:themeColor="text1"/>
        </w:rPr>
        <w:t xml:space="preserve">achievement of serum voriconazole concentrations within the therapeutic range </w:t>
      </w:r>
      <w:r w:rsidR="002C65A3" w:rsidRPr="007C6545">
        <w:rPr>
          <w:rFonts w:ascii="Arial" w:hAnsi="Arial" w:cs="Arial"/>
          <w:color w:val="000000" w:themeColor="text1"/>
        </w:rPr>
        <w:t>does not appear to</w:t>
      </w:r>
      <w:r w:rsidR="00C22610" w:rsidRPr="007C6545">
        <w:rPr>
          <w:rFonts w:ascii="Arial" w:hAnsi="Arial" w:cs="Arial"/>
          <w:color w:val="000000" w:themeColor="text1"/>
        </w:rPr>
        <w:t xml:space="preserve"> predict successful prophylaxis </w:t>
      </w:r>
      <w:r w:rsidR="00173E43" w:rsidRPr="007C6545">
        <w:rPr>
          <w:rFonts w:ascii="Arial" w:hAnsi="Arial" w:cs="Arial"/>
          <w:color w:val="000000" w:themeColor="text1"/>
        </w:rPr>
        <w:t>when using absence of breakthrough invasive fungal infection and/or fungal colonisation as the outcome measure.</w:t>
      </w:r>
      <w:r w:rsidR="00EB39C5" w:rsidRPr="007C6545">
        <w:rPr>
          <w:rFonts w:ascii="Arial" w:hAnsi="Arial" w:cs="Arial"/>
          <w:color w:val="000000" w:themeColor="text1"/>
          <w:vertAlign w:val="superscript"/>
        </w:rPr>
        <w:t>3</w:t>
      </w:r>
      <w:r w:rsidR="00B362AA" w:rsidRPr="007C6545">
        <w:rPr>
          <w:rFonts w:ascii="Arial" w:hAnsi="Arial" w:cs="Arial"/>
          <w:color w:val="000000" w:themeColor="text1"/>
          <w:vertAlign w:val="superscript"/>
        </w:rPr>
        <w:t>2</w:t>
      </w:r>
      <w:r w:rsidR="00F525BE" w:rsidRPr="007C6545">
        <w:rPr>
          <w:rFonts w:ascii="Arial" w:hAnsi="Arial" w:cs="Arial"/>
          <w:color w:val="000000" w:themeColor="text1"/>
          <w:vertAlign w:val="superscript"/>
        </w:rPr>
        <w:t xml:space="preserve"> </w:t>
      </w:r>
      <w:r w:rsidR="00173E43" w:rsidRPr="007C6545">
        <w:rPr>
          <w:rFonts w:ascii="Arial" w:hAnsi="Arial" w:cs="Arial"/>
          <w:color w:val="000000" w:themeColor="text1"/>
        </w:rPr>
        <w:t xml:space="preserve"> </w:t>
      </w:r>
      <w:r w:rsidR="00BC10FE" w:rsidRPr="007C6545">
        <w:rPr>
          <w:rFonts w:ascii="Arial" w:hAnsi="Arial" w:cs="Arial"/>
          <w:color w:val="000000" w:themeColor="text1"/>
        </w:rPr>
        <w:t xml:space="preserve">If the MIC of the invading pathogen is known, the recommended target for TDM is </w:t>
      </w:r>
      <w:r w:rsidR="00E64B1F" w:rsidRPr="007C6545">
        <w:rPr>
          <w:rFonts w:ascii="Arial" w:hAnsi="Arial" w:cs="Arial"/>
          <w:color w:val="000000" w:themeColor="text1"/>
        </w:rPr>
        <w:t xml:space="preserve">a </w:t>
      </w:r>
      <w:proofErr w:type="spellStart"/>
      <w:r w:rsidR="00CF534F" w:rsidRPr="007C6545">
        <w:rPr>
          <w:rFonts w:ascii="Arial" w:hAnsi="Arial" w:cs="Arial"/>
          <w:color w:val="000000" w:themeColor="text1"/>
        </w:rPr>
        <w:t>C</w:t>
      </w:r>
      <w:r w:rsidR="00EB39C5" w:rsidRPr="007C6545">
        <w:rPr>
          <w:rFonts w:ascii="Arial" w:hAnsi="Arial" w:cs="Arial"/>
          <w:color w:val="000000" w:themeColor="text1"/>
          <w:vertAlign w:val="subscript"/>
        </w:rPr>
        <w:t>min</w:t>
      </w:r>
      <w:r w:rsidR="00CF534F" w:rsidRPr="007C6545">
        <w:rPr>
          <w:rFonts w:ascii="Arial" w:hAnsi="Arial" w:cs="Arial"/>
          <w:color w:val="000000" w:themeColor="text1"/>
        </w:rPr>
        <w:t>:</w:t>
      </w:r>
      <w:r w:rsidR="00BC10FE" w:rsidRPr="007C6545">
        <w:rPr>
          <w:rFonts w:ascii="Arial" w:hAnsi="Arial" w:cs="Arial"/>
          <w:color w:val="000000" w:themeColor="text1"/>
        </w:rPr>
        <w:t>MIC</w:t>
      </w:r>
      <w:proofErr w:type="spellEnd"/>
      <w:r w:rsidR="00BC10FE" w:rsidRPr="007C6545">
        <w:rPr>
          <w:rFonts w:ascii="Arial" w:hAnsi="Arial" w:cs="Arial"/>
          <w:color w:val="000000" w:themeColor="text1"/>
        </w:rPr>
        <w:t xml:space="preserve"> ratio </w:t>
      </w:r>
      <w:r w:rsidR="00E64B1F" w:rsidRPr="007C6545">
        <w:rPr>
          <w:rFonts w:ascii="Arial" w:hAnsi="Arial" w:cs="Arial"/>
          <w:color w:val="000000" w:themeColor="text1"/>
        </w:rPr>
        <w:t xml:space="preserve">of </w:t>
      </w:r>
      <w:r w:rsidR="00BC10FE" w:rsidRPr="007C6545">
        <w:rPr>
          <w:rFonts w:ascii="Arial" w:hAnsi="Arial" w:cs="Arial"/>
          <w:color w:val="000000" w:themeColor="text1"/>
        </w:rPr>
        <w:t>2.0</w:t>
      </w:r>
      <w:r w:rsidR="00F525BE" w:rsidRPr="007C6545">
        <w:rPr>
          <w:rFonts w:ascii="Arial" w:hAnsi="Arial" w:cs="Arial"/>
          <w:color w:val="000000" w:themeColor="text1"/>
        </w:rPr>
        <w:t>–</w:t>
      </w:r>
      <w:r w:rsidR="00BC10FE" w:rsidRPr="007C6545">
        <w:rPr>
          <w:rFonts w:ascii="Arial" w:hAnsi="Arial" w:cs="Arial"/>
          <w:color w:val="000000" w:themeColor="text1"/>
        </w:rPr>
        <w:t>5.0 (when the MIC is measured according to CLSI methodology)</w:t>
      </w:r>
      <w:r w:rsidR="00135D8F" w:rsidRPr="007C6545">
        <w:rPr>
          <w:rFonts w:ascii="Arial" w:hAnsi="Arial" w:cs="Arial"/>
          <w:color w:val="000000" w:themeColor="text1"/>
        </w:rPr>
        <w:t xml:space="preserve">. </w:t>
      </w:r>
      <w:r w:rsidR="00BC10FE" w:rsidRPr="007C6545">
        <w:rPr>
          <w:rFonts w:ascii="Arial" w:hAnsi="Arial" w:cs="Arial"/>
          <w:color w:val="000000" w:themeColor="text1"/>
        </w:rPr>
        <w:t xml:space="preserve"> </w:t>
      </w:r>
      <w:r w:rsidR="00135D8F" w:rsidRPr="007C6545">
        <w:rPr>
          <w:rFonts w:ascii="Arial" w:hAnsi="Arial" w:cs="Arial"/>
          <w:color w:val="000000" w:themeColor="text1"/>
        </w:rPr>
        <w:t xml:space="preserve">This </w:t>
      </w:r>
      <w:r w:rsidR="00BC10FE" w:rsidRPr="007C6545">
        <w:rPr>
          <w:rFonts w:ascii="Arial" w:hAnsi="Arial" w:cs="Arial"/>
          <w:color w:val="000000" w:themeColor="text1"/>
        </w:rPr>
        <w:t xml:space="preserve">has been demonstrated </w:t>
      </w:r>
      <w:r w:rsidR="00135D8F" w:rsidRPr="007C6545">
        <w:rPr>
          <w:rFonts w:ascii="Arial" w:hAnsi="Arial" w:cs="Arial"/>
          <w:color w:val="000000" w:themeColor="text1"/>
        </w:rPr>
        <w:t>using an experimental pharmacodynamic model</w:t>
      </w:r>
      <w:r w:rsidR="00B362AA" w:rsidRPr="007C6545">
        <w:rPr>
          <w:rFonts w:ascii="Arial" w:hAnsi="Arial" w:cs="Arial"/>
          <w:color w:val="000000" w:themeColor="text1"/>
          <w:vertAlign w:val="superscript"/>
        </w:rPr>
        <w:t>39</w:t>
      </w:r>
      <w:r w:rsidR="00BC10FE" w:rsidRPr="007C6545">
        <w:rPr>
          <w:rFonts w:ascii="Arial" w:hAnsi="Arial" w:cs="Arial"/>
          <w:color w:val="000000" w:themeColor="text1"/>
        </w:rPr>
        <w:t xml:space="preserve"> and in a retrospective study.</w:t>
      </w:r>
      <w:r w:rsidR="00EB39C5" w:rsidRPr="007C6545">
        <w:rPr>
          <w:rFonts w:ascii="Arial" w:hAnsi="Arial" w:cs="Arial"/>
          <w:color w:val="000000" w:themeColor="text1"/>
          <w:vertAlign w:val="superscript"/>
        </w:rPr>
        <w:t>4</w:t>
      </w:r>
      <w:r w:rsidR="00B362AA" w:rsidRPr="007C6545">
        <w:rPr>
          <w:rFonts w:ascii="Arial" w:hAnsi="Arial" w:cs="Arial"/>
          <w:color w:val="000000" w:themeColor="text1"/>
          <w:vertAlign w:val="superscript"/>
        </w:rPr>
        <w:t>0</w:t>
      </w:r>
      <w:r w:rsidR="00BC10FE" w:rsidRPr="007C6545">
        <w:rPr>
          <w:rFonts w:ascii="Arial" w:hAnsi="Arial" w:cs="Arial"/>
          <w:color w:val="000000" w:themeColor="text1"/>
        </w:rPr>
        <w:t xml:space="preserve"> </w:t>
      </w:r>
    </w:p>
    <w:p w14:paraId="1E9DC341" w14:textId="50C4382D" w:rsidR="00207056" w:rsidRPr="007C6545" w:rsidRDefault="00207056"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Changes in voriconazole concentration occur more quickly than those of itraconazole and posaconazole</w:t>
      </w:r>
      <w:r w:rsidR="008F43EB" w:rsidRPr="007C6545">
        <w:rPr>
          <w:rFonts w:ascii="Arial" w:hAnsi="Arial" w:cs="Arial"/>
          <w:color w:val="000000" w:themeColor="text1"/>
        </w:rPr>
        <w:t>.  I</w:t>
      </w:r>
      <w:r w:rsidR="00132948" w:rsidRPr="007C6545">
        <w:rPr>
          <w:rFonts w:ascii="Arial" w:hAnsi="Arial" w:cs="Arial"/>
          <w:color w:val="000000" w:themeColor="text1"/>
        </w:rPr>
        <w:t>nitial serum sampling for TDM is recommended within the first 2</w:t>
      </w:r>
      <w:r w:rsidR="004E3841" w:rsidRPr="007C6545">
        <w:rPr>
          <w:rFonts w:ascii="Arial" w:hAnsi="Arial" w:cs="Arial"/>
          <w:color w:val="000000" w:themeColor="text1"/>
        </w:rPr>
        <w:t>–</w:t>
      </w:r>
      <w:r w:rsidR="00132948" w:rsidRPr="007C6545">
        <w:rPr>
          <w:rFonts w:ascii="Arial" w:hAnsi="Arial" w:cs="Arial"/>
          <w:color w:val="000000" w:themeColor="text1"/>
        </w:rPr>
        <w:t>5 days of therapy. If clearance mechanisms are saturated in a particular patient, the initial level may not predict future concentrations</w:t>
      </w:r>
      <w:r w:rsidR="004E3841" w:rsidRPr="007C6545">
        <w:rPr>
          <w:rFonts w:ascii="Arial" w:hAnsi="Arial" w:cs="Arial"/>
          <w:color w:val="000000" w:themeColor="text1"/>
        </w:rPr>
        <w:t>,</w:t>
      </w:r>
      <w:r w:rsidR="00132948" w:rsidRPr="007C6545">
        <w:rPr>
          <w:rFonts w:ascii="Arial" w:hAnsi="Arial" w:cs="Arial"/>
          <w:color w:val="000000" w:themeColor="text1"/>
        </w:rPr>
        <w:t xml:space="preserve"> so subsequent sampling should be </w:t>
      </w:r>
      <w:r w:rsidR="00E64B1F" w:rsidRPr="007C6545">
        <w:rPr>
          <w:rFonts w:ascii="Arial" w:hAnsi="Arial" w:cs="Arial"/>
          <w:color w:val="000000" w:themeColor="text1"/>
        </w:rPr>
        <w:t>performed</w:t>
      </w:r>
      <w:r w:rsidR="00132948"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B362AA" w:rsidRPr="007C6545">
        <w:rPr>
          <w:rFonts w:ascii="Arial" w:hAnsi="Arial" w:cs="Arial"/>
          <w:color w:val="000000" w:themeColor="text1"/>
          <w:vertAlign w:val="superscript"/>
        </w:rPr>
        <w:t>7</w:t>
      </w:r>
      <w:r w:rsidR="00EB39C5" w:rsidRPr="007C6545">
        <w:rPr>
          <w:rFonts w:ascii="Arial" w:hAnsi="Arial" w:cs="Arial"/>
          <w:color w:val="000000" w:themeColor="text1"/>
          <w:vertAlign w:val="superscript"/>
        </w:rPr>
        <w:t>,2</w:t>
      </w:r>
      <w:r w:rsidR="00B362AA" w:rsidRPr="007C6545">
        <w:rPr>
          <w:rFonts w:ascii="Arial" w:hAnsi="Arial" w:cs="Arial"/>
          <w:color w:val="000000" w:themeColor="text1"/>
          <w:vertAlign w:val="superscript"/>
        </w:rPr>
        <w:t>8</w:t>
      </w:r>
      <w:r w:rsidR="00132948" w:rsidRPr="007C6545">
        <w:rPr>
          <w:rFonts w:ascii="Arial" w:hAnsi="Arial" w:cs="Arial"/>
          <w:color w:val="000000" w:themeColor="text1"/>
        </w:rPr>
        <w:t xml:space="preserve"> This </w:t>
      </w:r>
      <w:r w:rsidR="0068606A" w:rsidRPr="007C6545">
        <w:rPr>
          <w:rFonts w:ascii="Arial" w:hAnsi="Arial" w:cs="Arial"/>
          <w:color w:val="000000" w:themeColor="text1"/>
        </w:rPr>
        <w:t xml:space="preserve">strategy </w:t>
      </w:r>
      <w:r w:rsidR="00132948" w:rsidRPr="007C6545">
        <w:rPr>
          <w:rFonts w:ascii="Arial" w:hAnsi="Arial" w:cs="Arial"/>
          <w:color w:val="000000" w:themeColor="text1"/>
        </w:rPr>
        <w:t xml:space="preserve">also applies to dose adjustments, initiation or discontinuation of interacting drugs, and changes in clinical circumstances. </w:t>
      </w:r>
      <w:r w:rsidR="00A94CFA" w:rsidRPr="007C6545">
        <w:rPr>
          <w:rFonts w:ascii="Arial" w:hAnsi="Arial" w:cs="Arial"/>
          <w:color w:val="000000" w:themeColor="text1"/>
        </w:rPr>
        <w:t xml:space="preserve"> The timing of repeat sampling to determine voriconazole concentrations is difficult to rigorously define.  If a patient is unstable or </w:t>
      </w:r>
      <w:r w:rsidR="00A94CFA" w:rsidRPr="007C6545">
        <w:rPr>
          <w:rFonts w:ascii="Arial" w:hAnsi="Arial" w:cs="Arial"/>
          <w:color w:val="000000" w:themeColor="text1"/>
        </w:rPr>
        <w:lastRenderedPageBreak/>
        <w:t xml:space="preserve">critically unwell and there is some uncertainty about voriconazole </w:t>
      </w:r>
      <w:r w:rsidR="00840AF2" w:rsidRPr="007C6545">
        <w:rPr>
          <w:rFonts w:ascii="Arial" w:hAnsi="Arial" w:cs="Arial"/>
          <w:color w:val="000000" w:themeColor="text1"/>
        </w:rPr>
        <w:t>concentrations</w:t>
      </w:r>
      <w:r w:rsidR="00A94CFA" w:rsidRPr="007C6545">
        <w:rPr>
          <w:rFonts w:ascii="Arial" w:hAnsi="Arial" w:cs="Arial"/>
          <w:color w:val="000000" w:themeColor="text1"/>
        </w:rPr>
        <w:t xml:space="preserve"> </w:t>
      </w:r>
      <w:r w:rsidR="00840AF2" w:rsidRPr="007C6545">
        <w:rPr>
          <w:rFonts w:ascii="Arial" w:hAnsi="Arial" w:cs="Arial"/>
          <w:color w:val="000000" w:themeColor="text1"/>
        </w:rPr>
        <w:t>then repeat sampling may be warranted every 3-5 days.  In other circumstances less intensive monitoring may be appropriate.</w:t>
      </w:r>
    </w:p>
    <w:p w14:paraId="25584D43" w14:textId="77777777" w:rsidR="00327B17" w:rsidRPr="007C6545" w:rsidRDefault="00327B17"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Posaconazole</w:t>
      </w:r>
    </w:p>
    <w:p w14:paraId="4798C31B" w14:textId="77777777" w:rsidR="00EA527A" w:rsidRPr="007C6545" w:rsidRDefault="003F0E55"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Posaconazole </w:t>
      </w:r>
      <w:r w:rsidR="00425A6B" w:rsidRPr="007C6545">
        <w:rPr>
          <w:rFonts w:ascii="Arial" w:hAnsi="Arial" w:cs="Arial"/>
          <w:color w:val="000000" w:themeColor="text1"/>
        </w:rPr>
        <w:t>has</w:t>
      </w:r>
      <w:r w:rsidRPr="007C6545">
        <w:rPr>
          <w:rFonts w:ascii="Arial" w:hAnsi="Arial" w:cs="Arial"/>
          <w:color w:val="000000" w:themeColor="text1"/>
        </w:rPr>
        <w:t xml:space="preserve"> broad </w:t>
      </w:r>
      <w:r w:rsidR="00425A6B" w:rsidRPr="007C6545">
        <w:rPr>
          <w:rFonts w:ascii="Arial" w:hAnsi="Arial" w:cs="Arial"/>
          <w:color w:val="000000" w:themeColor="text1"/>
        </w:rPr>
        <w:t>antifungal</w:t>
      </w:r>
      <w:r w:rsidRPr="007C6545">
        <w:rPr>
          <w:rFonts w:ascii="Arial" w:hAnsi="Arial" w:cs="Arial"/>
          <w:color w:val="000000" w:themeColor="text1"/>
        </w:rPr>
        <w:t xml:space="preserve"> activity against </w:t>
      </w:r>
      <w:r w:rsidR="00425A6B" w:rsidRPr="007C6545">
        <w:rPr>
          <w:rFonts w:ascii="Arial" w:hAnsi="Arial" w:cs="Arial"/>
          <w:color w:val="000000" w:themeColor="text1"/>
        </w:rPr>
        <w:t xml:space="preserve">medically important fungal </w:t>
      </w:r>
      <w:r w:rsidR="005041B4" w:rsidRPr="007C6545">
        <w:rPr>
          <w:rFonts w:ascii="Arial" w:hAnsi="Arial" w:cs="Arial"/>
          <w:color w:val="000000" w:themeColor="text1"/>
        </w:rPr>
        <w:t xml:space="preserve">pathogens </w:t>
      </w:r>
      <w:r w:rsidR="00E64B1F" w:rsidRPr="007C6545">
        <w:rPr>
          <w:rFonts w:ascii="Arial" w:hAnsi="Arial" w:cs="Arial"/>
          <w:color w:val="000000" w:themeColor="text1"/>
        </w:rPr>
        <w:t>including</w:t>
      </w:r>
      <w:r w:rsidR="005041B4" w:rsidRPr="007C6545">
        <w:rPr>
          <w:rFonts w:ascii="Arial" w:hAnsi="Arial" w:cs="Arial"/>
          <w:color w:val="000000" w:themeColor="text1"/>
        </w:rPr>
        <w:t xml:space="preserve"> </w:t>
      </w:r>
      <w:r w:rsidRPr="007C6545">
        <w:rPr>
          <w:rFonts w:ascii="Arial" w:hAnsi="Arial" w:cs="Arial"/>
          <w:i/>
          <w:color w:val="000000" w:themeColor="text1"/>
        </w:rPr>
        <w:t>Candida</w:t>
      </w:r>
      <w:r w:rsidR="005041B4" w:rsidRPr="007C6545">
        <w:rPr>
          <w:rFonts w:ascii="Arial" w:hAnsi="Arial" w:cs="Arial"/>
          <w:i/>
          <w:color w:val="000000" w:themeColor="text1"/>
        </w:rPr>
        <w:t xml:space="preserve"> </w:t>
      </w:r>
      <w:r w:rsidR="005041B4" w:rsidRPr="007C6545">
        <w:rPr>
          <w:rFonts w:ascii="Arial" w:hAnsi="Arial" w:cs="Arial"/>
          <w:color w:val="000000" w:themeColor="text1"/>
        </w:rPr>
        <w:t>spp.</w:t>
      </w:r>
      <w:r w:rsidRPr="007C6545">
        <w:rPr>
          <w:rFonts w:ascii="Arial" w:hAnsi="Arial" w:cs="Arial"/>
          <w:color w:val="000000" w:themeColor="text1"/>
        </w:rPr>
        <w:t xml:space="preserve">, </w:t>
      </w:r>
      <w:r w:rsidRPr="007C6545">
        <w:rPr>
          <w:rFonts w:ascii="Arial" w:hAnsi="Arial" w:cs="Arial"/>
          <w:i/>
          <w:color w:val="000000" w:themeColor="text1"/>
        </w:rPr>
        <w:t>Aspergillus</w:t>
      </w:r>
      <w:r w:rsidR="005041B4" w:rsidRPr="007C6545">
        <w:rPr>
          <w:rFonts w:ascii="Arial" w:hAnsi="Arial" w:cs="Arial"/>
          <w:i/>
          <w:color w:val="000000" w:themeColor="text1"/>
        </w:rPr>
        <w:t xml:space="preserve"> </w:t>
      </w:r>
      <w:r w:rsidR="005041B4" w:rsidRPr="007C6545">
        <w:rPr>
          <w:rFonts w:ascii="Arial" w:hAnsi="Arial" w:cs="Arial"/>
          <w:color w:val="000000" w:themeColor="text1"/>
        </w:rPr>
        <w:t>spp.</w:t>
      </w:r>
      <w:r w:rsidRPr="007C6545">
        <w:rPr>
          <w:rFonts w:ascii="Arial" w:hAnsi="Arial" w:cs="Arial"/>
          <w:color w:val="000000" w:themeColor="text1"/>
        </w:rPr>
        <w:t xml:space="preserve">, </w:t>
      </w:r>
      <w:r w:rsidRPr="007C6545">
        <w:rPr>
          <w:rFonts w:ascii="Arial" w:hAnsi="Arial" w:cs="Arial"/>
          <w:i/>
          <w:color w:val="000000" w:themeColor="text1"/>
        </w:rPr>
        <w:t xml:space="preserve">Cryptococcus </w:t>
      </w:r>
      <w:r w:rsidR="005041B4" w:rsidRPr="007C6545">
        <w:rPr>
          <w:rFonts w:ascii="Arial" w:hAnsi="Arial" w:cs="Arial"/>
          <w:i/>
          <w:color w:val="000000" w:themeColor="text1"/>
        </w:rPr>
        <w:t>neoformans</w:t>
      </w:r>
      <w:r w:rsidR="005041B4" w:rsidRPr="007C6545">
        <w:rPr>
          <w:rFonts w:ascii="Arial" w:hAnsi="Arial" w:cs="Arial"/>
          <w:color w:val="000000" w:themeColor="text1"/>
        </w:rPr>
        <w:t xml:space="preserve"> </w:t>
      </w:r>
      <w:r w:rsidRPr="007C6545">
        <w:rPr>
          <w:rFonts w:ascii="Arial" w:hAnsi="Arial" w:cs="Arial"/>
          <w:color w:val="000000" w:themeColor="text1"/>
        </w:rPr>
        <w:t xml:space="preserve">and the </w:t>
      </w:r>
      <w:r w:rsidR="005041B4" w:rsidRPr="007C6545">
        <w:rPr>
          <w:rFonts w:ascii="Arial" w:hAnsi="Arial" w:cs="Arial"/>
          <w:color w:val="000000" w:themeColor="text1"/>
        </w:rPr>
        <w:t>Mucorales</w:t>
      </w:r>
      <w:r w:rsidRPr="007C6545">
        <w:rPr>
          <w:rFonts w:ascii="Arial" w:hAnsi="Arial" w:cs="Arial"/>
          <w:color w:val="000000" w:themeColor="text1"/>
        </w:rPr>
        <w:t>.</w:t>
      </w:r>
      <w:r w:rsidR="00EB39C5" w:rsidRPr="007C6545">
        <w:rPr>
          <w:rFonts w:ascii="Arial" w:hAnsi="Arial" w:cs="Arial"/>
          <w:color w:val="000000" w:themeColor="text1"/>
          <w:vertAlign w:val="superscript"/>
        </w:rPr>
        <w:t>4</w:t>
      </w:r>
      <w:r w:rsidR="00B362AA" w:rsidRPr="007C6545">
        <w:rPr>
          <w:rFonts w:ascii="Arial" w:hAnsi="Arial" w:cs="Arial"/>
          <w:color w:val="000000" w:themeColor="text1"/>
          <w:vertAlign w:val="superscript"/>
        </w:rPr>
        <w:t>1</w:t>
      </w:r>
      <w:r w:rsidRPr="007C6545">
        <w:rPr>
          <w:rFonts w:ascii="Arial" w:hAnsi="Arial" w:cs="Arial"/>
          <w:color w:val="000000" w:themeColor="text1"/>
        </w:rPr>
        <w:t xml:space="preserve"> </w:t>
      </w:r>
      <w:r w:rsidR="002C25BF" w:rsidRPr="007C6545">
        <w:rPr>
          <w:rFonts w:ascii="Arial" w:hAnsi="Arial" w:cs="Arial"/>
          <w:color w:val="000000" w:themeColor="text1"/>
        </w:rPr>
        <w:t>It is licen</w:t>
      </w:r>
      <w:r w:rsidR="00E64B1F" w:rsidRPr="007C6545">
        <w:rPr>
          <w:rFonts w:ascii="Arial" w:hAnsi="Arial" w:cs="Arial"/>
          <w:color w:val="000000" w:themeColor="text1"/>
        </w:rPr>
        <w:t>s</w:t>
      </w:r>
      <w:r w:rsidR="002C25BF" w:rsidRPr="007C6545">
        <w:rPr>
          <w:rFonts w:ascii="Arial" w:hAnsi="Arial" w:cs="Arial"/>
          <w:color w:val="000000" w:themeColor="text1"/>
        </w:rPr>
        <w:t>ed for</w:t>
      </w:r>
      <w:r w:rsidR="0068606A" w:rsidRPr="007C6545">
        <w:rPr>
          <w:rFonts w:ascii="Arial" w:hAnsi="Arial" w:cs="Arial"/>
          <w:color w:val="000000" w:themeColor="text1"/>
        </w:rPr>
        <w:t xml:space="preserve"> use in</w:t>
      </w:r>
      <w:r w:rsidR="007D54E9" w:rsidRPr="007C6545">
        <w:rPr>
          <w:rFonts w:ascii="Arial" w:hAnsi="Arial" w:cs="Arial"/>
          <w:color w:val="000000" w:themeColor="text1"/>
        </w:rPr>
        <w:t xml:space="preserve"> </w:t>
      </w:r>
      <w:proofErr w:type="spellStart"/>
      <w:r w:rsidR="007D54E9" w:rsidRPr="007C6545">
        <w:rPr>
          <w:rFonts w:ascii="Arial" w:hAnsi="Arial" w:cs="Arial"/>
          <w:color w:val="000000" w:themeColor="text1"/>
        </w:rPr>
        <w:t>fusariosis</w:t>
      </w:r>
      <w:proofErr w:type="spellEnd"/>
      <w:r w:rsidR="00CE215A" w:rsidRPr="007C6545">
        <w:rPr>
          <w:rFonts w:ascii="Arial" w:hAnsi="Arial" w:cs="Arial"/>
          <w:color w:val="000000" w:themeColor="text1"/>
        </w:rPr>
        <w:t xml:space="preserve"> as salvage therapy</w:t>
      </w:r>
      <w:r w:rsidR="007D54E9" w:rsidRPr="007C6545">
        <w:rPr>
          <w:rFonts w:ascii="Arial" w:hAnsi="Arial" w:cs="Arial"/>
          <w:color w:val="000000" w:themeColor="text1"/>
        </w:rPr>
        <w:t xml:space="preserve">; </w:t>
      </w:r>
      <w:r w:rsidR="002C25BF" w:rsidRPr="007C6545">
        <w:rPr>
          <w:rFonts w:ascii="Arial" w:hAnsi="Arial" w:cs="Arial"/>
          <w:color w:val="000000" w:themeColor="text1"/>
        </w:rPr>
        <w:t xml:space="preserve">in invasive aspergillosis </w:t>
      </w:r>
      <w:r w:rsidR="005041B4" w:rsidRPr="007C6545">
        <w:rPr>
          <w:rFonts w:ascii="Arial" w:hAnsi="Arial" w:cs="Arial"/>
          <w:color w:val="000000" w:themeColor="text1"/>
        </w:rPr>
        <w:t xml:space="preserve">that is </w:t>
      </w:r>
      <w:r w:rsidR="002C25BF" w:rsidRPr="007C6545">
        <w:rPr>
          <w:rFonts w:ascii="Arial" w:hAnsi="Arial" w:cs="Arial"/>
          <w:color w:val="000000" w:themeColor="text1"/>
        </w:rPr>
        <w:t xml:space="preserve">refractory </w:t>
      </w:r>
      <w:r w:rsidR="005041B4" w:rsidRPr="007C6545">
        <w:rPr>
          <w:rFonts w:ascii="Arial" w:hAnsi="Arial" w:cs="Arial"/>
          <w:color w:val="000000" w:themeColor="text1"/>
        </w:rPr>
        <w:t xml:space="preserve">or intolerant </w:t>
      </w:r>
      <w:r w:rsidR="002C25BF" w:rsidRPr="007C6545">
        <w:rPr>
          <w:rFonts w:ascii="Arial" w:hAnsi="Arial" w:cs="Arial"/>
          <w:color w:val="000000" w:themeColor="text1"/>
        </w:rPr>
        <w:t xml:space="preserve">to </w:t>
      </w:r>
      <w:r w:rsidR="005041B4" w:rsidRPr="007C6545">
        <w:rPr>
          <w:rFonts w:ascii="Arial" w:hAnsi="Arial" w:cs="Arial"/>
          <w:color w:val="000000" w:themeColor="text1"/>
        </w:rPr>
        <w:t>first-line agents</w:t>
      </w:r>
      <w:r w:rsidR="002C25BF" w:rsidRPr="007C6545">
        <w:rPr>
          <w:rFonts w:ascii="Arial" w:hAnsi="Arial" w:cs="Arial"/>
          <w:color w:val="000000" w:themeColor="text1"/>
        </w:rPr>
        <w:t xml:space="preserve">; </w:t>
      </w:r>
      <w:r w:rsidR="0068606A" w:rsidRPr="007C6545">
        <w:rPr>
          <w:rFonts w:ascii="Arial" w:hAnsi="Arial" w:cs="Arial"/>
          <w:color w:val="000000" w:themeColor="text1"/>
        </w:rPr>
        <w:t xml:space="preserve">for </w:t>
      </w:r>
      <w:proofErr w:type="spellStart"/>
      <w:r w:rsidR="002C25BF" w:rsidRPr="007C6545">
        <w:rPr>
          <w:rFonts w:ascii="Arial" w:hAnsi="Arial" w:cs="Arial"/>
          <w:color w:val="000000" w:themeColor="text1"/>
        </w:rPr>
        <w:t>chromoblastomycosis</w:t>
      </w:r>
      <w:proofErr w:type="spellEnd"/>
      <w:r w:rsidR="002C25BF" w:rsidRPr="007C6545">
        <w:rPr>
          <w:rFonts w:ascii="Arial" w:hAnsi="Arial" w:cs="Arial"/>
          <w:color w:val="000000" w:themeColor="text1"/>
        </w:rPr>
        <w:t xml:space="preserve"> and </w:t>
      </w:r>
      <w:proofErr w:type="spellStart"/>
      <w:r w:rsidR="002C25BF" w:rsidRPr="007C6545">
        <w:rPr>
          <w:rFonts w:ascii="Arial" w:hAnsi="Arial" w:cs="Arial"/>
          <w:color w:val="000000" w:themeColor="text1"/>
        </w:rPr>
        <w:t>mycetoma</w:t>
      </w:r>
      <w:proofErr w:type="spellEnd"/>
      <w:r w:rsidR="002C25BF" w:rsidRPr="007C6545">
        <w:rPr>
          <w:rFonts w:ascii="Arial" w:hAnsi="Arial" w:cs="Arial"/>
          <w:color w:val="000000" w:themeColor="text1"/>
        </w:rPr>
        <w:t xml:space="preserve"> </w:t>
      </w:r>
      <w:r w:rsidR="005C5287" w:rsidRPr="007C6545">
        <w:rPr>
          <w:rFonts w:ascii="Arial" w:hAnsi="Arial" w:cs="Arial"/>
          <w:color w:val="000000" w:themeColor="text1"/>
        </w:rPr>
        <w:t xml:space="preserve">when </w:t>
      </w:r>
      <w:r w:rsidR="002C25BF" w:rsidRPr="007C6545">
        <w:rPr>
          <w:rFonts w:ascii="Arial" w:hAnsi="Arial" w:cs="Arial"/>
          <w:color w:val="000000" w:themeColor="text1"/>
        </w:rPr>
        <w:t xml:space="preserve">there is resistance </w:t>
      </w:r>
      <w:r w:rsidR="005C5287" w:rsidRPr="007C6545">
        <w:rPr>
          <w:rFonts w:ascii="Arial" w:hAnsi="Arial" w:cs="Arial"/>
          <w:color w:val="000000" w:themeColor="text1"/>
        </w:rPr>
        <w:t>and/</w:t>
      </w:r>
      <w:r w:rsidR="002C25BF" w:rsidRPr="007C6545">
        <w:rPr>
          <w:rFonts w:ascii="Arial" w:hAnsi="Arial" w:cs="Arial"/>
          <w:color w:val="000000" w:themeColor="text1"/>
        </w:rPr>
        <w:t>or intolerance of itraconazole; and</w:t>
      </w:r>
      <w:r w:rsidR="00041E1D" w:rsidRPr="007C6545">
        <w:rPr>
          <w:rFonts w:ascii="Arial" w:hAnsi="Arial" w:cs="Arial"/>
          <w:color w:val="000000" w:themeColor="text1"/>
        </w:rPr>
        <w:t xml:space="preserve"> for</w:t>
      </w:r>
      <w:r w:rsidR="002C25BF" w:rsidRPr="007C6545">
        <w:rPr>
          <w:rFonts w:ascii="Arial" w:hAnsi="Arial" w:cs="Arial"/>
          <w:color w:val="000000" w:themeColor="text1"/>
        </w:rPr>
        <w:t xml:space="preserve"> </w:t>
      </w:r>
      <w:proofErr w:type="spellStart"/>
      <w:r w:rsidR="002C25BF" w:rsidRPr="007C6545">
        <w:rPr>
          <w:rFonts w:ascii="Arial" w:hAnsi="Arial" w:cs="Arial"/>
          <w:color w:val="000000" w:themeColor="text1"/>
        </w:rPr>
        <w:t>coccidioidomycosis</w:t>
      </w:r>
      <w:proofErr w:type="spellEnd"/>
      <w:r w:rsidR="002C25BF" w:rsidRPr="007C6545">
        <w:rPr>
          <w:rFonts w:ascii="Arial" w:hAnsi="Arial" w:cs="Arial"/>
          <w:color w:val="000000" w:themeColor="text1"/>
        </w:rPr>
        <w:t xml:space="preserve"> where there is resistance to, or intolerance of amphotericin, itraconazole or fluconazole.</w:t>
      </w:r>
      <w:r w:rsidR="00EB39C5" w:rsidRPr="007C6545">
        <w:rPr>
          <w:rFonts w:ascii="Arial" w:hAnsi="Arial" w:cs="Arial"/>
          <w:color w:val="000000" w:themeColor="text1"/>
          <w:vertAlign w:val="superscript"/>
        </w:rPr>
        <w:t>3</w:t>
      </w:r>
      <w:r w:rsidR="002C25BF" w:rsidRPr="007C6545">
        <w:rPr>
          <w:rFonts w:ascii="Arial" w:hAnsi="Arial" w:cs="Arial"/>
          <w:color w:val="000000" w:themeColor="text1"/>
        </w:rPr>
        <w:t xml:space="preserve"> Posaconazole is available as a </w:t>
      </w:r>
      <w:r w:rsidR="005C5287" w:rsidRPr="007C6545">
        <w:rPr>
          <w:rFonts w:ascii="Arial" w:hAnsi="Arial" w:cs="Arial"/>
          <w:color w:val="000000" w:themeColor="text1"/>
        </w:rPr>
        <w:t xml:space="preserve">solid </w:t>
      </w:r>
      <w:r w:rsidR="002C25BF" w:rsidRPr="007C6545">
        <w:rPr>
          <w:rFonts w:ascii="Arial" w:hAnsi="Arial" w:cs="Arial"/>
          <w:color w:val="000000" w:themeColor="text1"/>
        </w:rPr>
        <w:t>tablet</w:t>
      </w:r>
      <w:r w:rsidR="005C5287" w:rsidRPr="007C6545">
        <w:rPr>
          <w:rFonts w:ascii="Arial" w:hAnsi="Arial" w:cs="Arial"/>
          <w:color w:val="000000" w:themeColor="text1"/>
        </w:rPr>
        <w:t>,</w:t>
      </w:r>
      <w:r w:rsidR="002C25BF" w:rsidRPr="007C6545">
        <w:rPr>
          <w:rFonts w:ascii="Arial" w:hAnsi="Arial" w:cs="Arial"/>
          <w:color w:val="000000" w:themeColor="text1"/>
        </w:rPr>
        <w:t xml:space="preserve"> an oral suspension</w:t>
      </w:r>
      <w:r w:rsidR="005C5287" w:rsidRPr="007C6545">
        <w:rPr>
          <w:rFonts w:ascii="Arial" w:hAnsi="Arial" w:cs="Arial"/>
          <w:color w:val="000000" w:themeColor="text1"/>
        </w:rPr>
        <w:t xml:space="preserve"> and an </w:t>
      </w:r>
      <w:proofErr w:type="spellStart"/>
      <w:r w:rsidR="00605508" w:rsidRPr="007C6545">
        <w:rPr>
          <w:rFonts w:ascii="Arial" w:hAnsi="Arial" w:cs="Arial"/>
          <w:color w:val="000000" w:themeColor="text1"/>
        </w:rPr>
        <w:t>iv</w:t>
      </w:r>
      <w:proofErr w:type="spellEnd"/>
      <w:r w:rsidR="005C5287" w:rsidRPr="007C6545">
        <w:rPr>
          <w:rFonts w:ascii="Arial" w:hAnsi="Arial" w:cs="Arial"/>
          <w:color w:val="000000" w:themeColor="text1"/>
        </w:rPr>
        <w:t xml:space="preserve"> formulation</w:t>
      </w:r>
      <w:r w:rsidR="002C25BF" w:rsidRPr="007C6545">
        <w:rPr>
          <w:rFonts w:ascii="Arial" w:hAnsi="Arial" w:cs="Arial"/>
          <w:color w:val="000000" w:themeColor="text1"/>
        </w:rPr>
        <w:t xml:space="preserve">. </w:t>
      </w:r>
    </w:p>
    <w:p w14:paraId="4A81AC63" w14:textId="77777777" w:rsidR="00EA527A" w:rsidRPr="007C6545" w:rsidRDefault="00EA527A"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Posaconazole</w:t>
      </w:r>
      <w:r w:rsidR="003F0E55" w:rsidRPr="007C6545">
        <w:rPr>
          <w:rFonts w:ascii="Arial" w:hAnsi="Arial" w:cs="Arial"/>
          <w:color w:val="000000" w:themeColor="text1"/>
        </w:rPr>
        <w:t xml:space="preserve"> is structurally similar to itraconazole</w:t>
      </w:r>
      <w:r w:rsidR="009726B5" w:rsidRPr="007C6545">
        <w:rPr>
          <w:rFonts w:ascii="Arial" w:hAnsi="Arial" w:cs="Arial"/>
          <w:color w:val="000000" w:themeColor="text1"/>
        </w:rPr>
        <w:t>.  I</w:t>
      </w:r>
      <w:r w:rsidRPr="007C6545">
        <w:rPr>
          <w:rFonts w:ascii="Arial" w:hAnsi="Arial" w:cs="Arial"/>
          <w:color w:val="000000" w:themeColor="text1"/>
        </w:rPr>
        <w:t>t</w:t>
      </w:r>
      <w:r w:rsidR="00BE5357" w:rsidRPr="007C6545">
        <w:rPr>
          <w:rFonts w:ascii="Arial" w:hAnsi="Arial" w:cs="Arial"/>
          <w:color w:val="000000" w:themeColor="text1"/>
        </w:rPr>
        <w:t xml:space="preserve"> is highly protein</w:t>
      </w:r>
      <w:r w:rsidR="00E64B1F" w:rsidRPr="007C6545">
        <w:rPr>
          <w:rFonts w:ascii="Arial" w:hAnsi="Arial" w:cs="Arial"/>
          <w:color w:val="000000" w:themeColor="text1"/>
        </w:rPr>
        <w:t xml:space="preserve"> </w:t>
      </w:r>
      <w:r w:rsidR="00BE5357" w:rsidRPr="007C6545">
        <w:rPr>
          <w:rFonts w:ascii="Arial" w:hAnsi="Arial" w:cs="Arial"/>
          <w:color w:val="000000" w:themeColor="text1"/>
        </w:rPr>
        <w:t xml:space="preserve">bound and widely distributed </w:t>
      </w:r>
      <w:r w:rsidR="009726B5" w:rsidRPr="007C6545">
        <w:rPr>
          <w:rFonts w:ascii="Arial" w:hAnsi="Arial" w:cs="Arial"/>
          <w:color w:val="000000" w:themeColor="text1"/>
        </w:rPr>
        <w:t>in tissues</w:t>
      </w:r>
      <w:r w:rsidR="00BE5357" w:rsidRPr="007C6545">
        <w:rPr>
          <w:rFonts w:ascii="Arial" w:hAnsi="Arial" w:cs="Arial"/>
          <w:color w:val="000000" w:themeColor="text1"/>
        </w:rPr>
        <w:t>.</w:t>
      </w:r>
      <w:r w:rsidR="00EB39C5" w:rsidRPr="007C6545">
        <w:rPr>
          <w:rFonts w:ascii="Arial" w:hAnsi="Arial" w:cs="Arial"/>
          <w:color w:val="000000" w:themeColor="text1"/>
          <w:vertAlign w:val="superscript"/>
        </w:rPr>
        <w:t>4</w:t>
      </w:r>
      <w:r w:rsidR="005A1824" w:rsidRPr="007C6545">
        <w:rPr>
          <w:rFonts w:ascii="Arial" w:hAnsi="Arial" w:cs="Arial"/>
          <w:color w:val="000000" w:themeColor="text1"/>
          <w:vertAlign w:val="superscript"/>
        </w:rPr>
        <w:t>2</w:t>
      </w:r>
      <w:r w:rsidR="00BE5357" w:rsidRPr="007C6545">
        <w:rPr>
          <w:rFonts w:ascii="Arial" w:hAnsi="Arial" w:cs="Arial"/>
          <w:color w:val="000000" w:themeColor="text1"/>
        </w:rPr>
        <w:t xml:space="preserve"> Posaconazole </w:t>
      </w:r>
      <w:r w:rsidR="009726B5" w:rsidRPr="007C6545">
        <w:rPr>
          <w:rFonts w:ascii="Arial" w:hAnsi="Arial" w:cs="Arial"/>
          <w:color w:val="000000" w:themeColor="text1"/>
        </w:rPr>
        <w:t xml:space="preserve">suspension </w:t>
      </w:r>
      <w:r w:rsidR="003F0E55" w:rsidRPr="007C6545">
        <w:rPr>
          <w:rFonts w:ascii="Arial" w:hAnsi="Arial" w:cs="Arial"/>
          <w:color w:val="000000" w:themeColor="text1"/>
        </w:rPr>
        <w:t xml:space="preserve">exhibits linear </w:t>
      </w:r>
      <w:r w:rsidR="0020136C" w:rsidRPr="007C6545">
        <w:rPr>
          <w:rFonts w:ascii="Arial" w:hAnsi="Arial" w:cs="Arial"/>
          <w:color w:val="000000" w:themeColor="text1"/>
        </w:rPr>
        <w:t xml:space="preserve">pharmacokinetics </w:t>
      </w:r>
      <w:r w:rsidR="003F0E55" w:rsidRPr="007C6545">
        <w:rPr>
          <w:rFonts w:ascii="Arial" w:hAnsi="Arial" w:cs="Arial"/>
          <w:color w:val="000000" w:themeColor="text1"/>
        </w:rPr>
        <w:t xml:space="preserve">with daily doses up to 800mg, </w:t>
      </w:r>
      <w:r w:rsidR="00E64B1F" w:rsidRPr="007C6545">
        <w:rPr>
          <w:rFonts w:ascii="Arial" w:hAnsi="Arial" w:cs="Arial"/>
          <w:color w:val="000000" w:themeColor="text1"/>
        </w:rPr>
        <w:t>beyond which further dose</w:t>
      </w:r>
      <w:r w:rsidR="003F0E55" w:rsidRPr="007C6545">
        <w:rPr>
          <w:rFonts w:ascii="Arial" w:hAnsi="Arial" w:cs="Arial"/>
          <w:color w:val="000000" w:themeColor="text1"/>
        </w:rPr>
        <w:t xml:space="preserve"> increases do not result in proportional increases in drug exposure.</w:t>
      </w:r>
      <w:r w:rsidR="00EB39C5" w:rsidRPr="007C6545">
        <w:rPr>
          <w:rFonts w:ascii="Arial" w:hAnsi="Arial" w:cs="Arial"/>
          <w:color w:val="000000" w:themeColor="text1"/>
          <w:vertAlign w:val="superscript"/>
        </w:rPr>
        <w:t>4</w:t>
      </w:r>
      <w:r w:rsidR="005A1824" w:rsidRPr="007C6545">
        <w:rPr>
          <w:rFonts w:ascii="Arial" w:hAnsi="Arial" w:cs="Arial"/>
          <w:color w:val="000000" w:themeColor="text1"/>
          <w:vertAlign w:val="superscript"/>
        </w:rPr>
        <w:t>3</w:t>
      </w:r>
      <w:r w:rsidR="003F0E55" w:rsidRPr="007C6545">
        <w:rPr>
          <w:rFonts w:ascii="Arial" w:hAnsi="Arial" w:cs="Arial"/>
          <w:color w:val="000000" w:themeColor="text1"/>
        </w:rPr>
        <w:t xml:space="preserve"> </w:t>
      </w:r>
      <w:r w:rsidR="00205E02" w:rsidRPr="007C6545">
        <w:rPr>
          <w:rFonts w:ascii="Arial" w:hAnsi="Arial" w:cs="Arial"/>
          <w:color w:val="000000" w:themeColor="text1"/>
        </w:rPr>
        <w:t xml:space="preserve">It has a </w:t>
      </w:r>
      <w:proofErr w:type="spellStart"/>
      <w:r w:rsidR="00205E02" w:rsidRPr="007C6545">
        <w:rPr>
          <w:rFonts w:ascii="Arial" w:hAnsi="Arial" w:cs="Arial"/>
          <w:color w:val="000000" w:themeColor="text1"/>
        </w:rPr>
        <w:t>T</w:t>
      </w:r>
      <w:r w:rsidR="00205E02" w:rsidRPr="007C6545">
        <w:rPr>
          <w:rFonts w:ascii="Arial" w:hAnsi="Arial" w:cs="Arial"/>
          <w:color w:val="000000" w:themeColor="text1"/>
          <w:vertAlign w:val="subscript"/>
        </w:rPr>
        <w:t>max</w:t>
      </w:r>
      <w:proofErr w:type="spellEnd"/>
      <w:r w:rsidR="00205E02" w:rsidRPr="007C6545">
        <w:rPr>
          <w:rFonts w:ascii="Arial" w:hAnsi="Arial" w:cs="Arial"/>
          <w:color w:val="000000" w:themeColor="text1"/>
        </w:rPr>
        <w:t xml:space="preserve"> of 5 hours</w:t>
      </w:r>
      <w:r w:rsidR="009726B5" w:rsidRPr="007C6545">
        <w:rPr>
          <w:rFonts w:ascii="Arial" w:hAnsi="Arial" w:cs="Arial"/>
          <w:color w:val="000000" w:themeColor="text1"/>
        </w:rPr>
        <w:t xml:space="preserve">. </w:t>
      </w:r>
      <w:r w:rsidR="00E64B1F" w:rsidRPr="007C6545">
        <w:rPr>
          <w:rFonts w:ascii="Arial" w:hAnsi="Arial" w:cs="Arial"/>
          <w:color w:val="000000" w:themeColor="text1"/>
        </w:rPr>
        <w:t>The o</w:t>
      </w:r>
      <w:r w:rsidR="009726B5" w:rsidRPr="007C6545">
        <w:rPr>
          <w:rFonts w:ascii="Arial" w:hAnsi="Arial" w:cs="Arial"/>
          <w:color w:val="000000" w:themeColor="text1"/>
        </w:rPr>
        <w:t xml:space="preserve">ral </w:t>
      </w:r>
      <w:r w:rsidR="00BE5357" w:rsidRPr="007C6545">
        <w:rPr>
          <w:rFonts w:ascii="Arial" w:hAnsi="Arial" w:cs="Arial"/>
          <w:color w:val="000000" w:themeColor="text1"/>
        </w:rPr>
        <w:t xml:space="preserve">bioavailability </w:t>
      </w:r>
      <w:r w:rsidR="00B024A9" w:rsidRPr="007C6545">
        <w:rPr>
          <w:rFonts w:ascii="Arial" w:hAnsi="Arial" w:cs="Arial"/>
          <w:color w:val="000000" w:themeColor="text1"/>
        </w:rPr>
        <w:t xml:space="preserve">of posaconazole suspension </w:t>
      </w:r>
      <w:r w:rsidR="009726B5" w:rsidRPr="007C6545">
        <w:rPr>
          <w:rFonts w:ascii="Arial" w:hAnsi="Arial" w:cs="Arial"/>
          <w:color w:val="000000" w:themeColor="text1"/>
        </w:rPr>
        <w:t xml:space="preserve">is </w:t>
      </w:r>
      <w:r w:rsidR="00BE5357" w:rsidRPr="007C6545">
        <w:rPr>
          <w:rFonts w:ascii="Arial" w:hAnsi="Arial" w:cs="Arial"/>
          <w:color w:val="000000" w:themeColor="text1"/>
        </w:rPr>
        <w:t>increased in an acidic environment and in the presence of food</w:t>
      </w:r>
      <w:r w:rsidR="00205E02" w:rsidRPr="007C6545">
        <w:rPr>
          <w:rFonts w:ascii="Arial" w:hAnsi="Arial" w:cs="Arial"/>
          <w:color w:val="000000" w:themeColor="text1"/>
        </w:rPr>
        <w:t>.</w:t>
      </w:r>
      <w:r w:rsidR="00EB39C5" w:rsidRPr="007C6545">
        <w:rPr>
          <w:rFonts w:ascii="Arial" w:hAnsi="Arial" w:cs="Arial"/>
          <w:color w:val="000000" w:themeColor="text1"/>
          <w:vertAlign w:val="superscript"/>
        </w:rPr>
        <w:t>4</w:t>
      </w:r>
      <w:r w:rsidR="005A1824" w:rsidRPr="007C6545">
        <w:rPr>
          <w:rFonts w:ascii="Arial" w:hAnsi="Arial" w:cs="Arial"/>
          <w:color w:val="000000" w:themeColor="text1"/>
          <w:vertAlign w:val="superscript"/>
        </w:rPr>
        <w:t>3</w:t>
      </w:r>
      <w:r w:rsidR="00EB39C5" w:rsidRPr="007C6545">
        <w:rPr>
          <w:rFonts w:ascii="Arial" w:hAnsi="Arial" w:cs="Arial"/>
          <w:color w:val="000000" w:themeColor="text1"/>
          <w:vertAlign w:val="superscript"/>
        </w:rPr>
        <w:t>,4</w:t>
      </w:r>
      <w:r w:rsidR="005A1824" w:rsidRPr="007C6545">
        <w:rPr>
          <w:rFonts w:ascii="Arial" w:hAnsi="Arial" w:cs="Arial"/>
          <w:color w:val="000000" w:themeColor="text1"/>
          <w:vertAlign w:val="superscript"/>
        </w:rPr>
        <w:t>4</w:t>
      </w:r>
      <w:r w:rsidR="00205E02" w:rsidRPr="007C6545">
        <w:rPr>
          <w:rFonts w:ascii="Arial" w:hAnsi="Arial" w:cs="Arial"/>
          <w:color w:val="000000" w:themeColor="text1"/>
        </w:rPr>
        <w:t xml:space="preserve"> </w:t>
      </w:r>
      <w:r w:rsidR="008945EE" w:rsidRPr="007C6545">
        <w:rPr>
          <w:rFonts w:ascii="Arial" w:hAnsi="Arial" w:cs="Arial"/>
          <w:color w:val="000000" w:themeColor="text1"/>
        </w:rPr>
        <w:t>The long terminal half-life of posaconazole (</w:t>
      </w:r>
      <w:r w:rsidR="00414CD5" w:rsidRPr="007C6545">
        <w:rPr>
          <w:rFonts w:ascii="Arial" w:hAnsi="Arial" w:cs="Arial"/>
          <w:color w:val="000000" w:themeColor="text1"/>
        </w:rPr>
        <w:t xml:space="preserve">approximately </w:t>
      </w:r>
      <w:r w:rsidR="008945EE" w:rsidRPr="007C6545">
        <w:rPr>
          <w:rFonts w:ascii="Arial" w:hAnsi="Arial" w:cs="Arial"/>
          <w:color w:val="000000" w:themeColor="text1"/>
        </w:rPr>
        <w:t xml:space="preserve">34 hours) means </w:t>
      </w:r>
      <w:r w:rsidR="00E64B1F" w:rsidRPr="007C6545">
        <w:rPr>
          <w:rFonts w:ascii="Arial" w:hAnsi="Arial" w:cs="Arial"/>
          <w:color w:val="000000" w:themeColor="text1"/>
        </w:rPr>
        <w:t xml:space="preserve">that </w:t>
      </w:r>
      <w:r w:rsidR="008945EE" w:rsidRPr="007C6545">
        <w:rPr>
          <w:rFonts w:ascii="Arial" w:hAnsi="Arial" w:cs="Arial"/>
          <w:color w:val="000000" w:themeColor="text1"/>
        </w:rPr>
        <w:t xml:space="preserve">steady-state serum concentrations </w:t>
      </w:r>
      <w:r w:rsidR="00CF534F" w:rsidRPr="007C6545">
        <w:rPr>
          <w:rFonts w:ascii="Arial" w:hAnsi="Arial" w:cs="Arial"/>
          <w:color w:val="000000" w:themeColor="text1"/>
        </w:rPr>
        <w:t xml:space="preserve">are only achieved after 1 </w:t>
      </w:r>
      <w:r w:rsidR="00414CD5" w:rsidRPr="007C6545">
        <w:rPr>
          <w:rFonts w:ascii="Arial" w:hAnsi="Arial" w:cs="Arial"/>
          <w:color w:val="000000" w:themeColor="text1"/>
        </w:rPr>
        <w:t>week</w:t>
      </w:r>
      <w:r w:rsidR="008945EE"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5A1824" w:rsidRPr="007C6545">
        <w:rPr>
          <w:rFonts w:ascii="Arial" w:hAnsi="Arial" w:cs="Arial"/>
          <w:color w:val="000000" w:themeColor="text1"/>
          <w:vertAlign w:val="superscript"/>
        </w:rPr>
        <w:t>7</w:t>
      </w:r>
      <w:r w:rsidR="008945EE" w:rsidRPr="007C6545">
        <w:rPr>
          <w:rFonts w:ascii="Arial" w:hAnsi="Arial" w:cs="Arial"/>
          <w:color w:val="000000" w:themeColor="text1"/>
        </w:rPr>
        <w:t xml:space="preserve"> Metabolism is primarily by </w:t>
      </w:r>
      <w:proofErr w:type="spellStart"/>
      <w:r w:rsidR="008945EE" w:rsidRPr="007C6545">
        <w:rPr>
          <w:rFonts w:ascii="Arial" w:hAnsi="Arial" w:cs="Arial"/>
          <w:color w:val="000000" w:themeColor="text1"/>
        </w:rPr>
        <w:t>glucuronidation</w:t>
      </w:r>
      <w:proofErr w:type="spellEnd"/>
      <w:r w:rsidR="008945EE" w:rsidRPr="007C6545">
        <w:rPr>
          <w:rFonts w:ascii="Arial" w:hAnsi="Arial" w:cs="Arial"/>
          <w:color w:val="000000" w:themeColor="text1"/>
        </w:rPr>
        <w:t xml:space="preserve"> rather than oxidation.</w:t>
      </w:r>
      <w:r w:rsidR="00414CD5" w:rsidRPr="007C6545">
        <w:rPr>
          <w:rFonts w:ascii="Arial" w:hAnsi="Arial" w:cs="Arial"/>
          <w:color w:val="000000" w:themeColor="text1"/>
        </w:rPr>
        <w:t xml:space="preserve"> </w:t>
      </w:r>
      <w:r w:rsidR="008945EE" w:rsidRPr="007C6545">
        <w:rPr>
          <w:rFonts w:ascii="Arial" w:hAnsi="Arial" w:cs="Arial"/>
          <w:color w:val="000000" w:themeColor="text1"/>
        </w:rPr>
        <w:t xml:space="preserve"> </w:t>
      </w:r>
      <w:r w:rsidR="00414CD5" w:rsidRPr="007C6545">
        <w:rPr>
          <w:rFonts w:ascii="Arial" w:hAnsi="Arial" w:cs="Arial"/>
          <w:color w:val="000000" w:themeColor="text1"/>
        </w:rPr>
        <w:t xml:space="preserve">Posaconazole </w:t>
      </w:r>
      <w:r w:rsidR="008945EE" w:rsidRPr="007C6545">
        <w:rPr>
          <w:rFonts w:ascii="Arial" w:hAnsi="Arial" w:cs="Arial"/>
          <w:color w:val="000000" w:themeColor="text1"/>
        </w:rPr>
        <w:t>inhibits CYP3A4 activity</w:t>
      </w:r>
      <w:r w:rsidR="00E64B1F" w:rsidRPr="007C6545">
        <w:rPr>
          <w:rFonts w:ascii="Arial" w:hAnsi="Arial" w:cs="Arial"/>
          <w:color w:val="000000" w:themeColor="text1"/>
        </w:rPr>
        <w:t>,</w:t>
      </w:r>
      <w:r w:rsidR="008945EE" w:rsidRPr="007C6545">
        <w:rPr>
          <w:rFonts w:ascii="Arial" w:hAnsi="Arial" w:cs="Arial"/>
          <w:color w:val="000000" w:themeColor="text1"/>
        </w:rPr>
        <w:t xml:space="preserve"> and as such </w:t>
      </w:r>
      <w:r w:rsidR="0022203C" w:rsidRPr="007C6545">
        <w:rPr>
          <w:rFonts w:ascii="Arial" w:hAnsi="Arial" w:cs="Arial"/>
          <w:color w:val="000000" w:themeColor="text1"/>
        </w:rPr>
        <w:t>has a number of clinically relevant drug-drug interactions</w:t>
      </w:r>
      <w:r w:rsidR="008945EE" w:rsidRPr="007C6545">
        <w:rPr>
          <w:rFonts w:ascii="Arial" w:hAnsi="Arial" w:cs="Arial"/>
          <w:color w:val="000000" w:themeColor="text1"/>
        </w:rPr>
        <w:t>.</w:t>
      </w:r>
      <w:r w:rsidR="00EB39C5" w:rsidRPr="007C6545">
        <w:rPr>
          <w:rFonts w:ascii="Arial" w:hAnsi="Arial" w:cs="Arial"/>
          <w:color w:val="000000" w:themeColor="text1"/>
          <w:vertAlign w:val="superscript"/>
        </w:rPr>
        <w:t>4</w:t>
      </w:r>
      <w:r w:rsidR="005A1824" w:rsidRPr="007C6545">
        <w:rPr>
          <w:rFonts w:ascii="Arial" w:hAnsi="Arial" w:cs="Arial"/>
          <w:color w:val="000000" w:themeColor="text1"/>
          <w:vertAlign w:val="superscript"/>
        </w:rPr>
        <w:t>5</w:t>
      </w:r>
      <w:r w:rsidR="008945EE" w:rsidRPr="007C6545">
        <w:rPr>
          <w:rFonts w:ascii="Arial" w:hAnsi="Arial" w:cs="Arial"/>
          <w:color w:val="000000" w:themeColor="text1"/>
        </w:rPr>
        <w:t xml:space="preserve"> </w:t>
      </w:r>
      <w:r w:rsidR="00490B8D" w:rsidRPr="007C6545">
        <w:rPr>
          <w:rFonts w:ascii="Arial" w:hAnsi="Arial" w:cs="Arial"/>
          <w:color w:val="000000" w:themeColor="text1"/>
        </w:rPr>
        <w:t xml:space="preserve"> </w:t>
      </w:r>
    </w:p>
    <w:p w14:paraId="6BBF3A0A" w14:textId="77777777" w:rsidR="003F0E55" w:rsidRPr="007C6545" w:rsidRDefault="00841EF8" w:rsidP="00490B8D">
      <w:pPr>
        <w:shd w:val="clear" w:color="auto" w:fill="FFFFFF"/>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 case for TDM of posaconazole </w:t>
      </w:r>
      <w:r w:rsidR="006C0F05" w:rsidRPr="007C6545">
        <w:rPr>
          <w:rFonts w:ascii="Arial" w:hAnsi="Arial" w:cs="Arial"/>
          <w:color w:val="000000" w:themeColor="text1"/>
        </w:rPr>
        <w:t>is</w:t>
      </w:r>
      <w:r w:rsidR="00E64B1F" w:rsidRPr="007C6545">
        <w:rPr>
          <w:rFonts w:ascii="Arial" w:hAnsi="Arial" w:cs="Arial"/>
          <w:color w:val="000000" w:themeColor="text1"/>
        </w:rPr>
        <w:t xml:space="preserve"> currently</w:t>
      </w:r>
      <w:r w:rsidR="006C0F05" w:rsidRPr="007C6545">
        <w:rPr>
          <w:rFonts w:ascii="Arial" w:hAnsi="Arial" w:cs="Arial"/>
          <w:color w:val="000000" w:themeColor="text1"/>
        </w:rPr>
        <w:t xml:space="preserve"> in a state of flux following </w:t>
      </w:r>
      <w:r w:rsidR="00E64B1F" w:rsidRPr="007C6545">
        <w:rPr>
          <w:rFonts w:ascii="Arial" w:hAnsi="Arial" w:cs="Arial"/>
          <w:color w:val="000000" w:themeColor="text1"/>
        </w:rPr>
        <w:t>introduction of</w:t>
      </w:r>
      <w:r w:rsidR="006C0F05" w:rsidRPr="007C6545">
        <w:rPr>
          <w:rFonts w:ascii="Arial" w:hAnsi="Arial" w:cs="Arial"/>
          <w:color w:val="000000" w:themeColor="text1"/>
        </w:rPr>
        <w:t xml:space="preserve"> </w:t>
      </w:r>
      <w:r w:rsidR="00B024A9" w:rsidRPr="007C6545">
        <w:rPr>
          <w:rFonts w:ascii="Arial" w:hAnsi="Arial" w:cs="Arial"/>
          <w:color w:val="000000" w:themeColor="text1"/>
        </w:rPr>
        <w:t xml:space="preserve">a </w:t>
      </w:r>
      <w:r w:rsidR="006C0F05" w:rsidRPr="007C6545">
        <w:rPr>
          <w:rFonts w:ascii="Arial" w:hAnsi="Arial" w:cs="Arial"/>
          <w:color w:val="000000" w:themeColor="text1"/>
        </w:rPr>
        <w:t xml:space="preserve">newer </w:t>
      </w:r>
      <w:r w:rsidR="00B024A9" w:rsidRPr="007C6545">
        <w:rPr>
          <w:rFonts w:ascii="Arial" w:hAnsi="Arial" w:cs="Arial"/>
          <w:color w:val="000000" w:themeColor="text1"/>
        </w:rPr>
        <w:t>table</w:t>
      </w:r>
      <w:r w:rsidR="004E3841" w:rsidRPr="007C6545">
        <w:rPr>
          <w:rFonts w:ascii="Arial" w:hAnsi="Arial" w:cs="Arial"/>
          <w:color w:val="000000" w:themeColor="text1"/>
        </w:rPr>
        <w:t>t</w:t>
      </w:r>
      <w:r w:rsidR="00B024A9" w:rsidRPr="007C6545">
        <w:rPr>
          <w:rFonts w:ascii="Arial" w:hAnsi="Arial" w:cs="Arial"/>
          <w:color w:val="000000" w:themeColor="text1"/>
        </w:rPr>
        <w:t xml:space="preserve"> </w:t>
      </w:r>
      <w:r w:rsidR="006C0F05" w:rsidRPr="007C6545">
        <w:rPr>
          <w:rFonts w:ascii="Arial" w:hAnsi="Arial" w:cs="Arial"/>
          <w:color w:val="000000" w:themeColor="text1"/>
        </w:rPr>
        <w:t xml:space="preserve">formulation </w:t>
      </w:r>
      <w:r w:rsidR="00E64B1F" w:rsidRPr="007C6545">
        <w:rPr>
          <w:rFonts w:ascii="Arial" w:hAnsi="Arial" w:cs="Arial"/>
          <w:color w:val="000000" w:themeColor="text1"/>
        </w:rPr>
        <w:t xml:space="preserve">which </w:t>
      </w:r>
      <w:r w:rsidR="00B024A9" w:rsidRPr="007C6545">
        <w:rPr>
          <w:rFonts w:ascii="Arial" w:hAnsi="Arial" w:cs="Arial"/>
          <w:color w:val="000000" w:themeColor="text1"/>
        </w:rPr>
        <w:t xml:space="preserve">has </w:t>
      </w:r>
      <w:r w:rsidR="00213F44" w:rsidRPr="007C6545">
        <w:rPr>
          <w:rFonts w:ascii="Arial" w:hAnsi="Arial" w:cs="Arial"/>
          <w:color w:val="000000" w:themeColor="text1"/>
        </w:rPr>
        <w:t xml:space="preserve">improved oral bioavailability. </w:t>
      </w:r>
      <w:r w:rsidR="008945EE" w:rsidRPr="007C6545">
        <w:rPr>
          <w:rFonts w:ascii="Arial" w:hAnsi="Arial" w:cs="Arial"/>
          <w:color w:val="000000" w:themeColor="text1"/>
        </w:rPr>
        <w:t xml:space="preserve">TDM of posaconazole </w:t>
      </w:r>
      <w:r w:rsidR="00213F44" w:rsidRPr="007C6545">
        <w:rPr>
          <w:rFonts w:ascii="Arial" w:hAnsi="Arial" w:cs="Arial"/>
          <w:color w:val="000000" w:themeColor="text1"/>
        </w:rPr>
        <w:t>may be</w:t>
      </w:r>
      <w:r w:rsidR="00815DBA" w:rsidRPr="007C6545">
        <w:rPr>
          <w:rFonts w:ascii="Arial" w:hAnsi="Arial" w:cs="Arial"/>
          <w:color w:val="000000" w:themeColor="text1"/>
        </w:rPr>
        <w:t xml:space="preserve"> indicated when used</w:t>
      </w:r>
      <w:r w:rsidR="00E64B1F" w:rsidRPr="007C6545">
        <w:rPr>
          <w:rFonts w:ascii="Arial" w:hAnsi="Arial" w:cs="Arial"/>
          <w:color w:val="000000" w:themeColor="text1"/>
        </w:rPr>
        <w:t xml:space="preserve"> either</w:t>
      </w:r>
      <w:r w:rsidR="00815DBA" w:rsidRPr="007C6545">
        <w:rPr>
          <w:rFonts w:ascii="Arial" w:hAnsi="Arial" w:cs="Arial"/>
          <w:color w:val="000000" w:themeColor="text1"/>
        </w:rPr>
        <w:t xml:space="preserve"> for</w:t>
      </w:r>
      <w:r w:rsidR="008945EE" w:rsidRPr="007C6545">
        <w:rPr>
          <w:rFonts w:ascii="Arial" w:hAnsi="Arial" w:cs="Arial"/>
          <w:color w:val="000000" w:themeColor="text1"/>
        </w:rPr>
        <w:t xml:space="preserve"> </w:t>
      </w:r>
      <w:r w:rsidR="007D54E9" w:rsidRPr="007C6545">
        <w:rPr>
          <w:rFonts w:ascii="Arial" w:hAnsi="Arial" w:cs="Arial"/>
          <w:color w:val="000000" w:themeColor="text1"/>
        </w:rPr>
        <w:t>prophylaxis</w:t>
      </w:r>
      <w:r w:rsidR="00213F44" w:rsidRPr="007C6545">
        <w:rPr>
          <w:rFonts w:ascii="Arial" w:hAnsi="Arial" w:cs="Arial"/>
          <w:color w:val="000000" w:themeColor="text1"/>
        </w:rPr>
        <w:t xml:space="preserve"> or treatment of established disease</w:t>
      </w:r>
      <w:r w:rsidR="00815DBA" w:rsidRPr="007C6545">
        <w:rPr>
          <w:rFonts w:ascii="Arial" w:hAnsi="Arial" w:cs="Arial"/>
          <w:color w:val="000000" w:themeColor="text1"/>
        </w:rPr>
        <w:t>.</w:t>
      </w:r>
      <w:r w:rsidR="008945EE" w:rsidRPr="007C6545">
        <w:rPr>
          <w:rFonts w:ascii="Arial" w:hAnsi="Arial" w:cs="Arial"/>
          <w:color w:val="000000" w:themeColor="text1"/>
        </w:rPr>
        <w:t xml:space="preserve"> </w:t>
      </w:r>
      <w:r w:rsidR="00815DBA" w:rsidRPr="007C6545">
        <w:rPr>
          <w:rFonts w:ascii="Arial" w:hAnsi="Arial" w:cs="Arial"/>
          <w:color w:val="000000" w:themeColor="text1"/>
        </w:rPr>
        <w:t xml:space="preserve"> </w:t>
      </w:r>
      <w:proofErr w:type="spellStart"/>
      <w:r w:rsidR="00815DBA"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815DBA" w:rsidRPr="007C6545">
        <w:rPr>
          <w:rFonts w:ascii="Arial" w:hAnsi="Arial" w:cs="Arial"/>
          <w:color w:val="000000" w:themeColor="text1"/>
        </w:rPr>
        <w:t xml:space="preserve"> should be measured </w:t>
      </w:r>
      <w:r w:rsidR="008945EE" w:rsidRPr="007C6545">
        <w:rPr>
          <w:rFonts w:ascii="Arial" w:hAnsi="Arial" w:cs="Arial"/>
          <w:color w:val="000000" w:themeColor="text1"/>
        </w:rPr>
        <w:t xml:space="preserve">7 days after initiation of therapy or </w:t>
      </w:r>
      <w:r w:rsidR="00E64B1F" w:rsidRPr="007C6545">
        <w:rPr>
          <w:rFonts w:ascii="Arial" w:hAnsi="Arial" w:cs="Arial"/>
          <w:color w:val="000000" w:themeColor="text1"/>
        </w:rPr>
        <w:t xml:space="preserve">a </w:t>
      </w:r>
      <w:r w:rsidRPr="007C6545">
        <w:rPr>
          <w:rFonts w:ascii="Arial" w:hAnsi="Arial" w:cs="Arial"/>
          <w:color w:val="000000" w:themeColor="text1"/>
        </w:rPr>
        <w:t xml:space="preserve">dosage </w:t>
      </w:r>
      <w:r w:rsidR="008945EE" w:rsidRPr="007C6545">
        <w:rPr>
          <w:rFonts w:ascii="Arial" w:hAnsi="Arial" w:cs="Arial"/>
          <w:color w:val="000000" w:themeColor="text1"/>
        </w:rPr>
        <w:t>adjustment</w:t>
      </w:r>
      <w:r w:rsidRPr="007C6545">
        <w:rPr>
          <w:rFonts w:ascii="Arial" w:hAnsi="Arial" w:cs="Arial"/>
          <w:color w:val="000000" w:themeColor="text1"/>
        </w:rPr>
        <w:t xml:space="preserve">.  </w:t>
      </w:r>
      <w:r w:rsidR="00213F44" w:rsidRPr="007C6545">
        <w:rPr>
          <w:rFonts w:ascii="Arial" w:hAnsi="Arial" w:cs="Arial"/>
          <w:color w:val="000000" w:themeColor="text1"/>
        </w:rPr>
        <w:t>When posaconazole suspension is used</w:t>
      </w:r>
      <w:r w:rsidR="00E64B1F" w:rsidRPr="007C6545">
        <w:rPr>
          <w:rFonts w:ascii="Arial" w:hAnsi="Arial" w:cs="Arial"/>
          <w:color w:val="000000" w:themeColor="text1"/>
        </w:rPr>
        <w:t>,</w:t>
      </w:r>
      <w:r w:rsidR="00213F44" w:rsidRPr="007C6545">
        <w:rPr>
          <w:rFonts w:ascii="Arial" w:hAnsi="Arial" w:cs="Arial"/>
          <w:color w:val="000000" w:themeColor="text1"/>
        </w:rPr>
        <w:t xml:space="preserve"> </w:t>
      </w:r>
      <w:r w:rsidRPr="007C6545">
        <w:rPr>
          <w:rFonts w:ascii="Arial" w:hAnsi="Arial" w:cs="Arial"/>
          <w:color w:val="000000" w:themeColor="text1"/>
        </w:rPr>
        <w:t>TDM is especially indicated if there are</w:t>
      </w:r>
      <w:r w:rsidR="008945EE" w:rsidRPr="007C6545">
        <w:rPr>
          <w:rFonts w:ascii="Arial" w:hAnsi="Arial" w:cs="Arial"/>
          <w:color w:val="000000" w:themeColor="text1"/>
        </w:rPr>
        <w:t xml:space="preserve"> concerns about </w:t>
      </w:r>
      <w:r w:rsidR="00FB514C" w:rsidRPr="007C6545">
        <w:rPr>
          <w:rFonts w:ascii="Arial" w:hAnsi="Arial" w:cs="Arial"/>
          <w:color w:val="000000" w:themeColor="text1"/>
        </w:rPr>
        <w:lastRenderedPageBreak/>
        <w:t>gastrointestinal</w:t>
      </w:r>
      <w:r w:rsidR="00213F44" w:rsidRPr="007C6545">
        <w:rPr>
          <w:rFonts w:ascii="Arial" w:hAnsi="Arial" w:cs="Arial"/>
          <w:color w:val="000000" w:themeColor="text1"/>
        </w:rPr>
        <w:t xml:space="preserve"> </w:t>
      </w:r>
      <w:r w:rsidR="008945EE" w:rsidRPr="007C6545">
        <w:rPr>
          <w:rFonts w:ascii="Arial" w:hAnsi="Arial" w:cs="Arial"/>
          <w:color w:val="000000" w:themeColor="text1"/>
        </w:rPr>
        <w:t xml:space="preserve">absorption and </w:t>
      </w:r>
      <w:r w:rsidR="00213F44" w:rsidRPr="007C6545">
        <w:rPr>
          <w:rFonts w:ascii="Arial" w:hAnsi="Arial" w:cs="Arial"/>
          <w:color w:val="000000" w:themeColor="text1"/>
        </w:rPr>
        <w:t xml:space="preserve">if there is </w:t>
      </w:r>
      <w:r w:rsidR="008945EE" w:rsidRPr="007C6545">
        <w:rPr>
          <w:rFonts w:ascii="Arial" w:hAnsi="Arial" w:cs="Arial"/>
          <w:color w:val="000000" w:themeColor="text1"/>
        </w:rPr>
        <w:t xml:space="preserve">uncertainty about compliance. </w:t>
      </w:r>
      <w:r w:rsidR="00ED0FB1" w:rsidRPr="007C6545">
        <w:rPr>
          <w:rFonts w:ascii="Arial" w:hAnsi="Arial" w:cs="Arial"/>
          <w:color w:val="000000" w:themeColor="text1"/>
        </w:rPr>
        <w:t xml:space="preserve">The oral bioavailability of posaconazole </w:t>
      </w:r>
      <w:r w:rsidR="00F27108" w:rsidRPr="007C6545">
        <w:rPr>
          <w:rFonts w:ascii="Arial" w:hAnsi="Arial" w:cs="Arial"/>
          <w:color w:val="000000" w:themeColor="text1"/>
        </w:rPr>
        <w:t xml:space="preserve">tablets and </w:t>
      </w:r>
      <w:r w:rsidR="00ED0FB1" w:rsidRPr="007C6545">
        <w:rPr>
          <w:rFonts w:ascii="Arial" w:hAnsi="Arial" w:cs="Arial"/>
          <w:color w:val="000000" w:themeColor="text1"/>
        </w:rPr>
        <w:t xml:space="preserve">capsules is better </w:t>
      </w:r>
      <w:r w:rsidR="000C5607" w:rsidRPr="007C6545">
        <w:rPr>
          <w:rFonts w:ascii="Arial" w:hAnsi="Arial" w:cs="Arial"/>
          <w:color w:val="000000" w:themeColor="text1"/>
        </w:rPr>
        <w:t xml:space="preserve">than the suspension </w:t>
      </w:r>
      <w:r w:rsidR="00ED0FB1" w:rsidRPr="007C6545">
        <w:rPr>
          <w:rFonts w:ascii="Arial" w:hAnsi="Arial" w:cs="Arial"/>
          <w:color w:val="000000" w:themeColor="text1"/>
        </w:rPr>
        <w:t xml:space="preserve">although </w:t>
      </w:r>
      <w:r w:rsidR="000C5607" w:rsidRPr="007C6545">
        <w:rPr>
          <w:rFonts w:ascii="Arial" w:hAnsi="Arial" w:cs="Arial"/>
          <w:color w:val="000000" w:themeColor="text1"/>
        </w:rPr>
        <w:t>considerable variability is still seen</w:t>
      </w:r>
      <w:r w:rsidR="00490B8D" w:rsidRPr="007C6545">
        <w:rPr>
          <w:rFonts w:ascii="Arial" w:hAnsi="Arial" w:cs="Arial"/>
          <w:color w:val="000000" w:themeColor="text1"/>
        </w:rPr>
        <w:t>,</w:t>
      </w:r>
      <w:r w:rsidR="00930A94" w:rsidRPr="007C6545">
        <w:rPr>
          <w:rFonts w:ascii="Arial" w:hAnsi="Arial" w:cs="Arial"/>
          <w:color w:val="000000" w:themeColor="text1"/>
          <w:vertAlign w:val="superscript"/>
        </w:rPr>
        <w:t>46</w:t>
      </w:r>
      <w:r w:rsidR="000C5607" w:rsidRPr="007C6545">
        <w:rPr>
          <w:rFonts w:ascii="Arial" w:hAnsi="Arial" w:cs="Arial"/>
          <w:color w:val="000000" w:themeColor="text1"/>
        </w:rPr>
        <w:t xml:space="preserve"> suggesting that TDM should be considered. </w:t>
      </w:r>
      <w:r w:rsidR="00490B8D" w:rsidRPr="007C6545">
        <w:rPr>
          <w:rFonts w:ascii="Arial" w:hAnsi="Arial" w:cs="Arial"/>
          <w:color w:val="000000" w:themeColor="text1"/>
        </w:rPr>
        <w:t xml:space="preserve">The </w:t>
      </w:r>
      <w:r w:rsidR="00F27108" w:rsidRPr="007C6545">
        <w:rPr>
          <w:rFonts w:ascii="Arial" w:hAnsi="Arial" w:cs="Arial"/>
          <w:color w:val="000000" w:themeColor="text1"/>
        </w:rPr>
        <w:t>tablet and oral suspension formulations of posaconazole are not considered interchangeable due to different dosing and pharmacokinetics</w:t>
      </w:r>
      <w:r w:rsidR="00137909" w:rsidRPr="007C6545">
        <w:rPr>
          <w:rFonts w:ascii="Arial" w:hAnsi="Arial" w:cs="Arial"/>
          <w:color w:val="000000" w:themeColor="text1"/>
        </w:rPr>
        <w:t>.</w:t>
      </w:r>
      <w:r w:rsidR="00930A94" w:rsidRPr="007C6545">
        <w:rPr>
          <w:rFonts w:ascii="Arial" w:hAnsi="Arial" w:cs="Arial"/>
          <w:color w:val="000000" w:themeColor="text1"/>
          <w:vertAlign w:val="superscript"/>
        </w:rPr>
        <w:t>47</w:t>
      </w:r>
      <w:r w:rsidR="00490B8D" w:rsidRPr="007C6545">
        <w:rPr>
          <w:rFonts w:ascii="Arial" w:hAnsi="Arial" w:cs="Arial"/>
          <w:color w:val="000000" w:themeColor="text1"/>
        </w:rPr>
        <w:t xml:space="preserve"> </w:t>
      </w:r>
      <w:r w:rsidR="000C5607" w:rsidRPr="007C6545">
        <w:rPr>
          <w:rFonts w:ascii="Arial" w:hAnsi="Arial" w:cs="Arial"/>
          <w:color w:val="000000" w:themeColor="text1"/>
        </w:rPr>
        <w:t xml:space="preserve"> </w:t>
      </w:r>
      <w:r w:rsidR="0002479C" w:rsidRPr="007C6545">
        <w:rPr>
          <w:rFonts w:ascii="Arial" w:hAnsi="Arial" w:cs="Arial"/>
          <w:color w:val="000000" w:themeColor="text1"/>
        </w:rPr>
        <w:t>For patients with established disease,</w:t>
      </w:r>
      <w:r w:rsidR="00FC0406" w:rsidRPr="007C6545">
        <w:rPr>
          <w:rFonts w:ascii="Arial" w:hAnsi="Arial" w:cs="Arial"/>
          <w:color w:val="000000" w:themeColor="text1"/>
        </w:rPr>
        <w:t xml:space="preserve"> the probability of </w:t>
      </w:r>
      <w:r w:rsidR="0002479C" w:rsidRPr="007C6545">
        <w:rPr>
          <w:rFonts w:ascii="Arial" w:hAnsi="Arial" w:cs="Arial"/>
          <w:color w:val="000000" w:themeColor="text1"/>
        </w:rPr>
        <w:t xml:space="preserve">a </w:t>
      </w:r>
      <w:r w:rsidR="00FC0406" w:rsidRPr="007C6545">
        <w:rPr>
          <w:rFonts w:ascii="Arial" w:hAnsi="Arial" w:cs="Arial"/>
          <w:color w:val="000000" w:themeColor="text1"/>
        </w:rPr>
        <w:t>clinical response increase</w:t>
      </w:r>
      <w:r w:rsidR="0002479C" w:rsidRPr="007C6545">
        <w:rPr>
          <w:rFonts w:ascii="Arial" w:hAnsi="Arial" w:cs="Arial"/>
          <w:color w:val="000000" w:themeColor="text1"/>
        </w:rPr>
        <w:t>s</w:t>
      </w:r>
      <w:r w:rsidR="00FC0406" w:rsidRPr="007C6545">
        <w:rPr>
          <w:rFonts w:ascii="Arial" w:hAnsi="Arial" w:cs="Arial"/>
          <w:color w:val="000000" w:themeColor="text1"/>
        </w:rPr>
        <w:t xml:space="preserve"> with increasing drug exposure</w:t>
      </w:r>
      <w:r w:rsidR="007D54E9" w:rsidRPr="007C6545">
        <w:rPr>
          <w:rFonts w:ascii="Arial" w:hAnsi="Arial" w:cs="Arial"/>
          <w:color w:val="000000" w:themeColor="text1"/>
        </w:rPr>
        <w:t>.</w:t>
      </w:r>
      <w:r w:rsidR="00EB39C5" w:rsidRPr="007C6545">
        <w:rPr>
          <w:rFonts w:ascii="Arial" w:hAnsi="Arial" w:cs="Arial"/>
          <w:color w:val="000000" w:themeColor="text1"/>
          <w:vertAlign w:val="superscript"/>
        </w:rPr>
        <w:t>4</w:t>
      </w:r>
      <w:r w:rsidR="00A90149" w:rsidRPr="007C6545">
        <w:rPr>
          <w:rFonts w:ascii="Arial" w:hAnsi="Arial" w:cs="Arial"/>
          <w:color w:val="000000" w:themeColor="text1"/>
          <w:vertAlign w:val="superscript"/>
        </w:rPr>
        <w:t>8</w:t>
      </w:r>
      <w:r w:rsidR="00EB39C5" w:rsidRPr="007C6545">
        <w:rPr>
          <w:rFonts w:ascii="Arial" w:hAnsi="Arial" w:cs="Arial"/>
          <w:color w:val="000000" w:themeColor="text1"/>
          <w:vertAlign w:val="superscript"/>
        </w:rPr>
        <w:t>-</w:t>
      </w:r>
      <w:r w:rsidR="00A90149" w:rsidRPr="007C6545">
        <w:rPr>
          <w:rFonts w:ascii="Arial" w:hAnsi="Arial" w:cs="Arial"/>
          <w:color w:val="000000" w:themeColor="text1"/>
          <w:vertAlign w:val="superscript"/>
        </w:rPr>
        <w:t>50</w:t>
      </w:r>
      <w:r w:rsidR="007D54E9" w:rsidRPr="007C6545">
        <w:rPr>
          <w:rFonts w:ascii="Arial" w:hAnsi="Arial" w:cs="Arial"/>
          <w:color w:val="000000" w:themeColor="text1"/>
        </w:rPr>
        <w:t xml:space="preserve"> </w:t>
      </w:r>
      <w:r w:rsidR="00EA527A" w:rsidRPr="007C6545">
        <w:rPr>
          <w:rFonts w:ascii="Arial" w:hAnsi="Arial" w:cs="Arial"/>
          <w:color w:val="000000" w:themeColor="text1"/>
        </w:rPr>
        <w:t>For salvage therapy,</w:t>
      </w:r>
      <w:r w:rsidR="007D54E9" w:rsidRPr="007C6545">
        <w:rPr>
          <w:rFonts w:ascii="Arial" w:hAnsi="Arial" w:cs="Arial"/>
          <w:color w:val="000000" w:themeColor="text1"/>
        </w:rPr>
        <w:t xml:space="preserve"> target trough conc</w:t>
      </w:r>
      <w:r w:rsidR="00FC0406" w:rsidRPr="007C6545">
        <w:rPr>
          <w:rFonts w:ascii="Arial" w:hAnsi="Arial" w:cs="Arial"/>
          <w:color w:val="000000" w:themeColor="text1"/>
        </w:rPr>
        <w:t xml:space="preserve">entrations should be &gt;1.0mg/L, though this does not incorporate </w:t>
      </w:r>
      <w:r w:rsidR="007F1C75" w:rsidRPr="007C6545">
        <w:rPr>
          <w:rFonts w:ascii="Arial" w:hAnsi="Arial" w:cs="Arial"/>
          <w:color w:val="000000" w:themeColor="text1"/>
        </w:rPr>
        <w:t>an estimate of</w:t>
      </w:r>
      <w:r w:rsidR="00FC0406" w:rsidRPr="007C6545">
        <w:rPr>
          <w:rFonts w:ascii="Arial" w:hAnsi="Arial" w:cs="Arial"/>
          <w:color w:val="000000" w:themeColor="text1"/>
        </w:rPr>
        <w:t xml:space="preserve"> MIC.</w:t>
      </w:r>
      <w:r w:rsidR="00EB39C5" w:rsidRPr="007C6545">
        <w:rPr>
          <w:rFonts w:ascii="Arial" w:hAnsi="Arial" w:cs="Arial"/>
          <w:color w:val="000000" w:themeColor="text1"/>
          <w:vertAlign w:val="superscript"/>
        </w:rPr>
        <w:t>1</w:t>
      </w:r>
      <w:r w:rsidR="005A1824" w:rsidRPr="007C6545">
        <w:rPr>
          <w:rFonts w:ascii="Arial" w:hAnsi="Arial" w:cs="Arial"/>
          <w:color w:val="000000" w:themeColor="text1"/>
          <w:vertAlign w:val="superscript"/>
        </w:rPr>
        <w:t>7</w:t>
      </w:r>
      <w:r w:rsidR="00FC0406" w:rsidRPr="007C6545">
        <w:rPr>
          <w:rFonts w:ascii="Arial" w:hAnsi="Arial" w:cs="Arial"/>
          <w:color w:val="000000" w:themeColor="text1"/>
        </w:rPr>
        <w:t xml:space="preserve"> </w:t>
      </w:r>
    </w:p>
    <w:p w14:paraId="222276F0" w14:textId="77777777" w:rsidR="001D2C78" w:rsidRPr="007C6545" w:rsidRDefault="001D2C78"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I</w:t>
      </w:r>
      <w:r w:rsidR="00C76092" w:rsidRPr="007C6545">
        <w:rPr>
          <w:rFonts w:ascii="Arial" w:hAnsi="Arial" w:cs="Arial"/>
          <w:i/>
          <w:color w:val="000000" w:themeColor="text1"/>
        </w:rPr>
        <w:t>savu</w:t>
      </w:r>
      <w:r w:rsidRPr="007C6545">
        <w:rPr>
          <w:rFonts w:ascii="Arial" w:hAnsi="Arial" w:cs="Arial"/>
          <w:i/>
          <w:color w:val="000000" w:themeColor="text1"/>
        </w:rPr>
        <w:t>conazole</w:t>
      </w:r>
    </w:p>
    <w:p w14:paraId="1F399ED8" w14:textId="77777777" w:rsidR="001D2C78" w:rsidRPr="007C6545" w:rsidRDefault="00C76092"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Isavu</w:t>
      </w:r>
      <w:r w:rsidR="001D2C78" w:rsidRPr="007C6545">
        <w:rPr>
          <w:rFonts w:ascii="Arial" w:hAnsi="Arial" w:cs="Arial"/>
          <w:color w:val="000000" w:themeColor="text1"/>
        </w:rPr>
        <w:t>conazole is a novel broad</w:t>
      </w:r>
      <w:r w:rsidR="00E64B1F" w:rsidRPr="007C6545">
        <w:rPr>
          <w:rFonts w:ascii="Arial" w:hAnsi="Arial" w:cs="Arial"/>
          <w:color w:val="000000" w:themeColor="text1"/>
        </w:rPr>
        <w:t>-</w:t>
      </w:r>
      <w:r w:rsidR="001D2C78" w:rsidRPr="007C6545">
        <w:rPr>
          <w:rFonts w:ascii="Arial" w:hAnsi="Arial" w:cs="Arial"/>
          <w:color w:val="000000" w:themeColor="text1"/>
        </w:rPr>
        <w:t>spectrum azole dr</w:t>
      </w:r>
      <w:r w:rsidR="002E79D8" w:rsidRPr="007C6545">
        <w:rPr>
          <w:rFonts w:ascii="Arial" w:hAnsi="Arial" w:cs="Arial"/>
          <w:color w:val="000000" w:themeColor="text1"/>
        </w:rPr>
        <w:t xml:space="preserve">ug with activity against yeasts, </w:t>
      </w:r>
      <w:r w:rsidR="001D2C78" w:rsidRPr="007C6545">
        <w:rPr>
          <w:rFonts w:ascii="Arial" w:hAnsi="Arial" w:cs="Arial"/>
          <w:color w:val="000000" w:themeColor="text1"/>
        </w:rPr>
        <w:t>moulds</w:t>
      </w:r>
      <w:r w:rsidR="002E79D8" w:rsidRPr="007C6545">
        <w:rPr>
          <w:rFonts w:ascii="Arial" w:hAnsi="Arial" w:cs="Arial"/>
          <w:color w:val="000000" w:themeColor="text1"/>
        </w:rPr>
        <w:t xml:space="preserve"> and dimorphic fungi </w:t>
      </w:r>
      <w:r w:rsidR="00D41E8B" w:rsidRPr="007C6545">
        <w:rPr>
          <w:rFonts w:ascii="Arial" w:hAnsi="Arial" w:cs="Arial"/>
          <w:color w:val="000000" w:themeColor="text1"/>
        </w:rPr>
        <w:t xml:space="preserve">including </w:t>
      </w:r>
      <w:r w:rsidR="00D41E8B" w:rsidRPr="007C6545">
        <w:rPr>
          <w:rFonts w:ascii="Arial" w:hAnsi="Arial" w:cs="Arial"/>
          <w:i/>
          <w:color w:val="000000" w:themeColor="text1"/>
        </w:rPr>
        <w:t>Aspergillus</w:t>
      </w:r>
      <w:r w:rsidR="00D41E8B" w:rsidRPr="007C6545">
        <w:rPr>
          <w:rFonts w:ascii="Arial" w:hAnsi="Arial" w:cs="Arial"/>
          <w:color w:val="000000" w:themeColor="text1"/>
        </w:rPr>
        <w:t xml:space="preserve"> spp., </w:t>
      </w:r>
      <w:proofErr w:type="spellStart"/>
      <w:r w:rsidR="00D41E8B" w:rsidRPr="007C6545">
        <w:rPr>
          <w:rFonts w:ascii="Arial" w:hAnsi="Arial" w:cs="Arial"/>
          <w:color w:val="000000" w:themeColor="text1"/>
        </w:rPr>
        <w:t>Mucorales</w:t>
      </w:r>
      <w:proofErr w:type="spellEnd"/>
      <w:r w:rsidR="00D41E8B" w:rsidRPr="007C6545">
        <w:rPr>
          <w:rFonts w:ascii="Arial" w:hAnsi="Arial" w:cs="Arial"/>
          <w:color w:val="000000" w:themeColor="text1"/>
        </w:rPr>
        <w:t xml:space="preserve">, </w:t>
      </w:r>
      <w:r w:rsidR="00D41E8B" w:rsidRPr="007C6545">
        <w:rPr>
          <w:rFonts w:ascii="Arial" w:hAnsi="Arial" w:cs="Arial"/>
          <w:i/>
          <w:color w:val="000000" w:themeColor="text1"/>
        </w:rPr>
        <w:t>Candida</w:t>
      </w:r>
      <w:r w:rsidR="00D41E8B" w:rsidRPr="007C6545">
        <w:rPr>
          <w:rFonts w:ascii="Arial" w:hAnsi="Arial" w:cs="Arial"/>
          <w:color w:val="000000" w:themeColor="text1"/>
        </w:rPr>
        <w:t xml:space="preserve"> spp., and </w:t>
      </w:r>
      <w:r w:rsidR="00D41E8B" w:rsidRPr="007C6545">
        <w:rPr>
          <w:rFonts w:ascii="Arial" w:hAnsi="Arial" w:cs="Arial"/>
          <w:i/>
          <w:color w:val="000000" w:themeColor="text1"/>
        </w:rPr>
        <w:t>Cryptococcus</w:t>
      </w:r>
      <w:r w:rsidR="00D41E8B" w:rsidRPr="007C6545">
        <w:rPr>
          <w:rFonts w:ascii="Arial" w:hAnsi="Arial" w:cs="Arial"/>
          <w:color w:val="000000" w:themeColor="text1"/>
        </w:rPr>
        <w:t xml:space="preserve"> spp.</w:t>
      </w:r>
      <w:r w:rsidR="00A90149" w:rsidRPr="007C6545">
        <w:rPr>
          <w:rFonts w:ascii="Arial" w:hAnsi="Arial" w:cs="Arial"/>
          <w:color w:val="000000" w:themeColor="text1"/>
          <w:vertAlign w:val="superscript"/>
        </w:rPr>
        <w:t>51</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3</w:t>
      </w:r>
      <w:r w:rsidR="001D2C78" w:rsidRPr="007C6545">
        <w:rPr>
          <w:rFonts w:ascii="Arial" w:hAnsi="Arial" w:cs="Arial"/>
          <w:color w:val="000000" w:themeColor="text1"/>
        </w:rPr>
        <w:t xml:space="preserve"> It has been approved by the </w:t>
      </w:r>
      <w:r w:rsidR="00CE54C3" w:rsidRPr="007C6545">
        <w:rPr>
          <w:rFonts w:ascii="Arial" w:hAnsi="Arial" w:cs="Arial"/>
          <w:color w:val="000000" w:themeColor="text1"/>
        </w:rPr>
        <w:t xml:space="preserve">EMA </w:t>
      </w:r>
      <w:r w:rsidR="00234FC1" w:rsidRPr="007C6545">
        <w:rPr>
          <w:rFonts w:ascii="Arial" w:hAnsi="Arial" w:cs="Arial"/>
          <w:color w:val="000000" w:themeColor="text1"/>
        </w:rPr>
        <w:t xml:space="preserve">and </w:t>
      </w:r>
      <w:r w:rsidR="00E64B1F" w:rsidRPr="007C6545">
        <w:rPr>
          <w:rFonts w:ascii="Arial" w:hAnsi="Arial" w:cs="Arial"/>
          <w:color w:val="000000" w:themeColor="text1"/>
        </w:rPr>
        <w:t xml:space="preserve">the </w:t>
      </w:r>
      <w:r w:rsidR="00CE54C3" w:rsidRPr="007C6545">
        <w:rPr>
          <w:rFonts w:ascii="Arial" w:hAnsi="Arial" w:cs="Arial"/>
          <w:color w:val="000000" w:themeColor="text1"/>
        </w:rPr>
        <w:t xml:space="preserve">FDA </w:t>
      </w:r>
      <w:r w:rsidR="002E79D8" w:rsidRPr="007C6545">
        <w:rPr>
          <w:rFonts w:ascii="Arial" w:hAnsi="Arial" w:cs="Arial"/>
          <w:color w:val="000000" w:themeColor="text1"/>
        </w:rPr>
        <w:t>for treatment of invasive a</w:t>
      </w:r>
      <w:r w:rsidRPr="007C6545">
        <w:rPr>
          <w:rFonts w:ascii="Arial" w:hAnsi="Arial" w:cs="Arial"/>
          <w:color w:val="000000" w:themeColor="text1"/>
        </w:rPr>
        <w:t>spergillosis</w:t>
      </w:r>
      <w:r w:rsidR="004477F8" w:rsidRPr="007C6545">
        <w:rPr>
          <w:rFonts w:ascii="Arial" w:hAnsi="Arial" w:cs="Arial"/>
          <w:color w:val="000000" w:themeColor="text1"/>
        </w:rPr>
        <w:t>,</w:t>
      </w:r>
      <w:r w:rsidRPr="007C6545">
        <w:rPr>
          <w:rFonts w:ascii="Arial" w:hAnsi="Arial" w:cs="Arial"/>
          <w:color w:val="000000" w:themeColor="text1"/>
        </w:rPr>
        <w:t xml:space="preserve"> and </w:t>
      </w:r>
      <w:r w:rsidR="00CE215A" w:rsidRPr="007C6545">
        <w:rPr>
          <w:rFonts w:ascii="Arial" w:hAnsi="Arial" w:cs="Arial"/>
          <w:color w:val="000000" w:themeColor="text1"/>
        </w:rPr>
        <w:t xml:space="preserve">by the EMA </w:t>
      </w:r>
      <w:r w:rsidR="004477F8" w:rsidRPr="007C6545">
        <w:rPr>
          <w:rFonts w:ascii="Arial" w:hAnsi="Arial" w:cs="Arial"/>
          <w:color w:val="000000" w:themeColor="text1"/>
        </w:rPr>
        <w:t xml:space="preserve">for </w:t>
      </w:r>
      <w:r w:rsidRPr="007C6545">
        <w:rPr>
          <w:rFonts w:ascii="Arial" w:hAnsi="Arial" w:cs="Arial"/>
          <w:color w:val="000000" w:themeColor="text1"/>
        </w:rPr>
        <w:t xml:space="preserve">invasive </w:t>
      </w:r>
      <w:proofErr w:type="spellStart"/>
      <w:r w:rsidRPr="007C6545">
        <w:rPr>
          <w:rFonts w:ascii="Arial" w:hAnsi="Arial" w:cs="Arial"/>
          <w:color w:val="000000" w:themeColor="text1"/>
        </w:rPr>
        <w:t>mucormycosis</w:t>
      </w:r>
      <w:proofErr w:type="spellEnd"/>
      <w:r w:rsidR="004477F8" w:rsidRPr="007C6545">
        <w:rPr>
          <w:rFonts w:ascii="Arial" w:hAnsi="Arial" w:cs="Arial"/>
          <w:color w:val="000000" w:themeColor="text1"/>
        </w:rPr>
        <w:t xml:space="preserve"> in cases where amphotericin B is inappropriate</w:t>
      </w:r>
      <w:r w:rsidRPr="007C6545">
        <w:rPr>
          <w:rFonts w:ascii="Arial" w:hAnsi="Arial" w:cs="Arial"/>
          <w:color w:val="000000" w:themeColor="text1"/>
        </w:rPr>
        <w:t>.</w:t>
      </w:r>
      <w:r w:rsidR="00A90149" w:rsidRPr="007C6545">
        <w:rPr>
          <w:rFonts w:ascii="Arial" w:hAnsi="Arial" w:cs="Arial"/>
          <w:color w:val="000000" w:themeColor="text1"/>
          <w:vertAlign w:val="superscript"/>
        </w:rPr>
        <w:t>51</w:t>
      </w:r>
      <w:r w:rsidRPr="007C6545">
        <w:rPr>
          <w:rFonts w:ascii="Arial" w:hAnsi="Arial" w:cs="Arial"/>
          <w:color w:val="000000" w:themeColor="text1"/>
        </w:rPr>
        <w:t xml:space="preserve"> </w:t>
      </w:r>
      <w:r w:rsidR="00FF1ED5" w:rsidRPr="007C6545">
        <w:rPr>
          <w:rFonts w:ascii="Arial" w:hAnsi="Arial" w:cs="Arial"/>
          <w:color w:val="000000" w:themeColor="text1"/>
        </w:rPr>
        <w:t xml:space="preserve"> </w:t>
      </w:r>
      <w:r w:rsidRPr="007C6545">
        <w:rPr>
          <w:rFonts w:ascii="Arial" w:hAnsi="Arial" w:cs="Arial"/>
          <w:color w:val="000000" w:themeColor="text1"/>
        </w:rPr>
        <w:t xml:space="preserve">Isavuconazole is </w:t>
      </w:r>
      <w:r w:rsidR="00FF1ED5" w:rsidRPr="007C6545">
        <w:rPr>
          <w:rFonts w:ascii="Arial" w:hAnsi="Arial" w:cs="Arial"/>
          <w:color w:val="000000" w:themeColor="text1"/>
        </w:rPr>
        <w:t>administered as a prodrug (</w:t>
      </w:r>
      <w:proofErr w:type="spellStart"/>
      <w:r w:rsidR="00FF1ED5" w:rsidRPr="007C6545">
        <w:rPr>
          <w:rFonts w:ascii="Arial" w:hAnsi="Arial" w:cs="Arial"/>
          <w:color w:val="000000" w:themeColor="text1"/>
        </w:rPr>
        <w:t>isavuconazonium</w:t>
      </w:r>
      <w:proofErr w:type="spellEnd"/>
      <w:r w:rsidR="00FF1ED5" w:rsidRPr="007C6545">
        <w:rPr>
          <w:rFonts w:ascii="Arial" w:hAnsi="Arial" w:cs="Arial"/>
          <w:color w:val="000000" w:themeColor="text1"/>
        </w:rPr>
        <w:t xml:space="preserve"> sulphate) and is </w:t>
      </w:r>
      <w:r w:rsidRPr="007C6545">
        <w:rPr>
          <w:rFonts w:ascii="Arial" w:hAnsi="Arial" w:cs="Arial"/>
          <w:color w:val="000000" w:themeColor="text1"/>
        </w:rPr>
        <w:t xml:space="preserve">available </w:t>
      </w:r>
      <w:r w:rsidR="004E7939" w:rsidRPr="007C6545">
        <w:rPr>
          <w:rFonts w:ascii="Arial" w:hAnsi="Arial" w:cs="Arial"/>
          <w:color w:val="000000" w:themeColor="text1"/>
        </w:rPr>
        <w:t>in</w:t>
      </w:r>
      <w:r w:rsidRPr="007C6545">
        <w:rPr>
          <w:rFonts w:ascii="Arial" w:hAnsi="Arial" w:cs="Arial"/>
          <w:color w:val="000000" w:themeColor="text1"/>
        </w:rPr>
        <w:t xml:space="preserve"> both oral and </w:t>
      </w:r>
      <w:r w:rsidR="00605508" w:rsidRPr="007C6545">
        <w:rPr>
          <w:rFonts w:ascii="Arial" w:hAnsi="Arial" w:cs="Arial"/>
          <w:color w:val="000000" w:themeColor="text1"/>
        </w:rPr>
        <w:t>iv</w:t>
      </w:r>
      <w:r w:rsidRPr="007C6545">
        <w:rPr>
          <w:rFonts w:ascii="Arial" w:hAnsi="Arial" w:cs="Arial"/>
          <w:color w:val="000000" w:themeColor="text1"/>
        </w:rPr>
        <w:t xml:space="preserve"> </w:t>
      </w:r>
      <w:r w:rsidR="00FF1ED5" w:rsidRPr="007C6545">
        <w:rPr>
          <w:rFonts w:ascii="Arial" w:hAnsi="Arial" w:cs="Arial"/>
          <w:color w:val="000000" w:themeColor="text1"/>
        </w:rPr>
        <w:t>formulations</w:t>
      </w:r>
      <w:r w:rsidRPr="007C6545">
        <w:rPr>
          <w:rFonts w:ascii="Arial" w:hAnsi="Arial" w:cs="Arial"/>
          <w:color w:val="000000" w:themeColor="text1"/>
        </w:rPr>
        <w:t>.</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4</w:t>
      </w:r>
      <w:r w:rsidRPr="007C6545">
        <w:rPr>
          <w:rFonts w:ascii="Arial" w:hAnsi="Arial" w:cs="Arial"/>
          <w:color w:val="000000" w:themeColor="text1"/>
        </w:rPr>
        <w:t xml:space="preserve"> </w:t>
      </w:r>
    </w:p>
    <w:p w14:paraId="008F8D27" w14:textId="78CE0D76" w:rsidR="007712B8" w:rsidRPr="007C6545" w:rsidRDefault="00700B2E" w:rsidP="005F2259">
      <w:pPr>
        <w:spacing w:before="100" w:beforeAutospacing="1" w:after="100" w:afterAutospacing="1" w:line="480" w:lineRule="auto"/>
        <w:rPr>
          <w:rFonts w:ascii="Arial" w:hAnsi="Arial" w:cs="Arial"/>
          <w:color w:val="000000" w:themeColor="text1"/>
        </w:rPr>
      </w:pPr>
      <w:proofErr w:type="spellStart"/>
      <w:r w:rsidRPr="007C6545">
        <w:rPr>
          <w:rFonts w:ascii="Arial" w:hAnsi="Arial" w:cs="Arial"/>
          <w:color w:val="000000" w:themeColor="text1"/>
        </w:rPr>
        <w:t>Isuvaconazole</w:t>
      </w:r>
      <w:proofErr w:type="spellEnd"/>
      <w:r w:rsidRPr="007C6545">
        <w:rPr>
          <w:rFonts w:ascii="Arial" w:hAnsi="Arial" w:cs="Arial"/>
          <w:color w:val="000000" w:themeColor="text1"/>
        </w:rPr>
        <w:t xml:space="preserve"> </w:t>
      </w:r>
      <w:r w:rsidR="00890342" w:rsidRPr="007C6545">
        <w:rPr>
          <w:rFonts w:ascii="Arial" w:hAnsi="Arial" w:cs="Arial"/>
          <w:color w:val="000000" w:themeColor="text1"/>
        </w:rPr>
        <w:t>has been shown to be</w:t>
      </w:r>
      <w:r w:rsidR="00FF1ED5" w:rsidRPr="007C6545">
        <w:rPr>
          <w:rFonts w:ascii="Arial" w:hAnsi="Arial" w:cs="Arial"/>
          <w:color w:val="000000" w:themeColor="text1"/>
        </w:rPr>
        <w:t xml:space="preserve"> </w:t>
      </w:r>
      <w:r w:rsidRPr="007C6545">
        <w:rPr>
          <w:rFonts w:ascii="Arial" w:hAnsi="Arial" w:cs="Arial"/>
          <w:color w:val="000000" w:themeColor="text1"/>
        </w:rPr>
        <w:t xml:space="preserve">non-inferior </w:t>
      </w:r>
      <w:r w:rsidR="00E64B1F" w:rsidRPr="007C6545">
        <w:rPr>
          <w:rFonts w:ascii="Arial" w:hAnsi="Arial" w:cs="Arial"/>
          <w:color w:val="000000" w:themeColor="text1"/>
        </w:rPr>
        <w:t>to</w:t>
      </w:r>
      <w:r w:rsidR="00FF1ED5" w:rsidRPr="007C6545">
        <w:rPr>
          <w:rFonts w:ascii="Arial" w:hAnsi="Arial" w:cs="Arial"/>
          <w:color w:val="000000" w:themeColor="text1"/>
        </w:rPr>
        <w:t xml:space="preserve"> </w:t>
      </w:r>
      <w:r w:rsidRPr="007C6545">
        <w:rPr>
          <w:rFonts w:ascii="Arial" w:hAnsi="Arial" w:cs="Arial"/>
          <w:color w:val="000000" w:themeColor="text1"/>
        </w:rPr>
        <w:t>voriconazole</w:t>
      </w:r>
      <w:r w:rsidR="0068606A" w:rsidRPr="007C6545">
        <w:rPr>
          <w:rFonts w:ascii="Arial" w:hAnsi="Arial" w:cs="Arial"/>
          <w:color w:val="000000" w:themeColor="text1"/>
        </w:rPr>
        <w:t xml:space="preserve"> for</w:t>
      </w:r>
      <w:r w:rsidR="00EA6AD7" w:rsidRPr="007C6545">
        <w:rPr>
          <w:rFonts w:ascii="Arial" w:hAnsi="Arial" w:cs="Arial"/>
          <w:color w:val="000000" w:themeColor="text1"/>
        </w:rPr>
        <w:t xml:space="preserve"> the</w:t>
      </w:r>
      <w:r w:rsidR="0068606A" w:rsidRPr="007C6545">
        <w:rPr>
          <w:rFonts w:ascii="Arial" w:hAnsi="Arial" w:cs="Arial"/>
          <w:color w:val="000000" w:themeColor="text1"/>
        </w:rPr>
        <w:t xml:space="preserve"> treatment of invasive disease caused by </w:t>
      </w:r>
      <w:r w:rsidR="0068606A" w:rsidRPr="007C6545">
        <w:rPr>
          <w:rFonts w:ascii="Arial" w:hAnsi="Arial" w:cs="Arial"/>
          <w:i/>
          <w:color w:val="000000" w:themeColor="text1"/>
        </w:rPr>
        <w:t>Aspergillus</w:t>
      </w:r>
      <w:r w:rsidR="0068606A" w:rsidRPr="007C6545">
        <w:rPr>
          <w:rFonts w:ascii="Arial" w:hAnsi="Arial" w:cs="Arial"/>
          <w:color w:val="000000" w:themeColor="text1"/>
        </w:rPr>
        <w:t xml:space="preserve"> spp. and other filamentous fungi</w:t>
      </w:r>
      <w:r w:rsidR="00890342" w:rsidRPr="007C6545">
        <w:rPr>
          <w:rFonts w:ascii="Arial" w:hAnsi="Arial" w:cs="Arial"/>
          <w:color w:val="000000" w:themeColor="text1"/>
        </w:rPr>
        <w:t xml:space="preserve"> in a </w:t>
      </w:r>
      <w:r w:rsidR="00C3646D" w:rsidRPr="007C6545">
        <w:rPr>
          <w:rFonts w:ascii="Arial" w:hAnsi="Arial" w:cs="Arial"/>
          <w:color w:val="000000" w:themeColor="text1"/>
        </w:rPr>
        <w:t>P</w:t>
      </w:r>
      <w:r w:rsidR="00890342" w:rsidRPr="007C6545">
        <w:rPr>
          <w:rFonts w:ascii="Arial" w:hAnsi="Arial" w:cs="Arial"/>
          <w:color w:val="000000" w:themeColor="text1"/>
        </w:rPr>
        <w:t>hase III</w:t>
      </w:r>
      <w:r w:rsidRPr="007C6545">
        <w:rPr>
          <w:rFonts w:ascii="Arial" w:hAnsi="Arial" w:cs="Arial"/>
          <w:color w:val="000000" w:themeColor="text1"/>
        </w:rPr>
        <w:t>, randomised controlled trial.</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5</w:t>
      </w:r>
      <w:r w:rsidR="00F0474E" w:rsidRPr="007C6545">
        <w:rPr>
          <w:rFonts w:ascii="Arial" w:hAnsi="Arial" w:cs="Arial"/>
          <w:color w:val="000000" w:themeColor="text1"/>
        </w:rPr>
        <w:t xml:space="preserve"> </w:t>
      </w:r>
      <w:r w:rsidR="00B65236" w:rsidRPr="007C6545">
        <w:rPr>
          <w:rFonts w:ascii="Arial" w:hAnsi="Arial" w:cs="Arial"/>
          <w:color w:val="000000" w:themeColor="text1"/>
        </w:rPr>
        <w:t xml:space="preserve"> </w:t>
      </w:r>
      <w:r w:rsidR="00F0474E" w:rsidRPr="007C6545">
        <w:rPr>
          <w:rFonts w:ascii="Arial" w:hAnsi="Arial" w:cs="Arial"/>
          <w:color w:val="000000" w:themeColor="text1"/>
        </w:rPr>
        <w:t>A multicentre, double</w:t>
      </w:r>
      <w:r w:rsidR="00EA6AD7" w:rsidRPr="007C6545">
        <w:rPr>
          <w:rFonts w:ascii="Arial" w:hAnsi="Arial" w:cs="Arial"/>
          <w:color w:val="000000" w:themeColor="text1"/>
        </w:rPr>
        <w:t>-</w:t>
      </w:r>
      <w:r w:rsidR="00F0474E" w:rsidRPr="007C6545">
        <w:rPr>
          <w:rFonts w:ascii="Arial" w:hAnsi="Arial" w:cs="Arial"/>
          <w:color w:val="000000" w:themeColor="text1"/>
        </w:rPr>
        <w:t xml:space="preserve">blind </w:t>
      </w:r>
      <w:r w:rsidR="00C3646D" w:rsidRPr="007C6545">
        <w:rPr>
          <w:rFonts w:ascii="Arial" w:hAnsi="Arial" w:cs="Arial"/>
          <w:color w:val="000000" w:themeColor="text1"/>
        </w:rPr>
        <w:t>P</w:t>
      </w:r>
      <w:r w:rsidR="00F0474E" w:rsidRPr="007C6545">
        <w:rPr>
          <w:rFonts w:ascii="Arial" w:hAnsi="Arial" w:cs="Arial"/>
          <w:color w:val="000000" w:themeColor="text1"/>
        </w:rPr>
        <w:t xml:space="preserve">hase </w:t>
      </w:r>
      <w:r w:rsidR="00031EDA" w:rsidRPr="007C6545">
        <w:rPr>
          <w:rFonts w:ascii="Arial" w:hAnsi="Arial" w:cs="Arial"/>
          <w:color w:val="000000" w:themeColor="text1"/>
        </w:rPr>
        <w:t xml:space="preserve">II </w:t>
      </w:r>
      <w:r w:rsidR="00F0474E" w:rsidRPr="007C6545">
        <w:rPr>
          <w:rFonts w:ascii="Arial" w:hAnsi="Arial" w:cs="Arial"/>
          <w:color w:val="000000" w:themeColor="text1"/>
        </w:rPr>
        <w:t>trial has demonstrated non-inferiority of isavuconazole versus fluconazole for the treatment of uncomplicated oesophageal candidiasis.</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6</w:t>
      </w:r>
      <w:r w:rsidR="00F0474E" w:rsidRPr="007C6545">
        <w:rPr>
          <w:rFonts w:ascii="Arial" w:hAnsi="Arial" w:cs="Arial"/>
          <w:color w:val="000000" w:themeColor="text1"/>
        </w:rPr>
        <w:t xml:space="preserve"> </w:t>
      </w:r>
      <w:r w:rsidR="004C0B08" w:rsidRPr="007C6545">
        <w:rPr>
          <w:rFonts w:ascii="Arial" w:hAnsi="Arial" w:cs="Arial"/>
          <w:color w:val="000000" w:themeColor="text1"/>
        </w:rPr>
        <w:t xml:space="preserve">In the treatment of </w:t>
      </w:r>
      <w:proofErr w:type="spellStart"/>
      <w:r w:rsidR="004C0B08" w:rsidRPr="007C6545">
        <w:rPr>
          <w:rFonts w:ascii="Arial" w:hAnsi="Arial" w:cs="Arial"/>
          <w:color w:val="000000" w:themeColor="text1"/>
        </w:rPr>
        <w:t>mucormycosis</w:t>
      </w:r>
      <w:proofErr w:type="spellEnd"/>
      <w:r w:rsidR="004C0B08" w:rsidRPr="007C6545">
        <w:rPr>
          <w:rFonts w:ascii="Arial" w:hAnsi="Arial" w:cs="Arial"/>
          <w:color w:val="000000" w:themeColor="text1"/>
        </w:rPr>
        <w:t>, the efficacy of isavuconazole is similar to that of amphotericin B and the former is well tolerated.</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7</w:t>
      </w:r>
      <w:r w:rsidR="004C0B08" w:rsidRPr="007C6545">
        <w:rPr>
          <w:rFonts w:ascii="Arial" w:hAnsi="Arial" w:cs="Arial"/>
          <w:color w:val="000000" w:themeColor="text1"/>
        </w:rPr>
        <w:t xml:space="preserve"> </w:t>
      </w:r>
      <w:r w:rsidR="00F0474E" w:rsidRPr="007C6545">
        <w:rPr>
          <w:rFonts w:ascii="Arial" w:hAnsi="Arial" w:cs="Arial"/>
          <w:color w:val="000000" w:themeColor="text1"/>
        </w:rPr>
        <w:t xml:space="preserve">Isavuconazole </w:t>
      </w:r>
      <w:r w:rsidR="00387E62" w:rsidRPr="007C6545">
        <w:rPr>
          <w:rFonts w:ascii="Arial" w:hAnsi="Arial" w:cs="Arial"/>
          <w:color w:val="000000" w:themeColor="text1"/>
        </w:rPr>
        <w:t xml:space="preserve">displays </w:t>
      </w:r>
      <w:r w:rsidR="00031EDA" w:rsidRPr="007C6545">
        <w:rPr>
          <w:rFonts w:ascii="Arial" w:hAnsi="Arial" w:cs="Arial"/>
          <w:color w:val="000000" w:themeColor="text1"/>
        </w:rPr>
        <w:t xml:space="preserve">high oral </w:t>
      </w:r>
      <w:r w:rsidR="00387E62" w:rsidRPr="007C6545">
        <w:rPr>
          <w:rFonts w:ascii="Arial" w:hAnsi="Arial" w:cs="Arial"/>
          <w:color w:val="000000" w:themeColor="text1"/>
        </w:rPr>
        <w:t>bioavailability</w:t>
      </w:r>
      <w:r w:rsidR="00031EDA" w:rsidRPr="007C6545">
        <w:rPr>
          <w:rFonts w:ascii="Arial" w:hAnsi="Arial" w:cs="Arial"/>
          <w:color w:val="000000" w:themeColor="text1"/>
        </w:rPr>
        <w:t xml:space="preserve"> (near</w:t>
      </w:r>
      <w:r w:rsidR="00EA6AD7" w:rsidRPr="007C6545">
        <w:rPr>
          <w:rFonts w:ascii="Arial" w:hAnsi="Arial" w:cs="Arial"/>
          <w:color w:val="000000" w:themeColor="text1"/>
        </w:rPr>
        <w:t>ly</w:t>
      </w:r>
      <w:r w:rsidR="00031EDA" w:rsidRPr="007C6545">
        <w:rPr>
          <w:rFonts w:ascii="Arial" w:hAnsi="Arial" w:cs="Arial"/>
          <w:color w:val="000000" w:themeColor="text1"/>
        </w:rPr>
        <w:t xml:space="preserve"> 100%)</w:t>
      </w:r>
      <w:r w:rsidR="00387E62" w:rsidRPr="007C6545">
        <w:rPr>
          <w:rFonts w:ascii="Arial" w:hAnsi="Arial" w:cs="Arial"/>
          <w:color w:val="000000" w:themeColor="text1"/>
        </w:rPr>
        <w:t xml:space="preserve">, is relatively rapidly absorbed with a </w:t>
      </w:r>
      <w:proofErr w:type="spellStart"/>
      <w:r w:rsidR="00387E62" w:rsidRPr="007C6545">
        <w:rPr>
          <w:rFonts w:ascii="Arial" w:hAnsi="Arial" w:cs="Arial"/>
          <w:color w:val="000000" w:themeColor="text1"/>
        </w:rPr>
        <w:t>C</w:t>
      </w:r>
      <w:r w:rsidR="00387E62" w:rsidRPr="007C6545">
        <w:rPr>
          <w:rFonts w:ascii="Arial" w:hAnsi="Arial" w:cs="Arial"/>
          <w:color w:val="000000" w:themeColor="text1"/>
          <w:vertAlign w:val="subscript"/>
        </w:rPr>
        <w:t>max</w:t>
      </w:r>
      <w:proofErr w:type="spellEnd"/>
      <w:r w:rsidR="00387E62" w:rsidRPr="007C6545">
        <w:rPr>
          <w:rFonts w:ascii="Arial" w:hAnsi="Arial" w:cs="Arial"/>
          <w:color w:val="000000" w:themeColor="text1"/>
        </w:rPr>
        <w:t xml:space="preserve"> of 2</w:t>
      </w:r>
      <w:r w:rsidR="00891AC9" w:rsidRPr="007C6545">
        <w:rPr>
          <w:rFonts w:ascii="Arial" w:hAnsi="Arial" w:cs="Arial"/>
          <w:color w:val="000000" w:themeColor="text1"/>
        </w:rPr>
        <w:t>–</w:t>
      </w:r>
      <w:r w:rsidR="00387E62" w:rsidRPr="007C6545">
        <w:rPr>
          <w:rFonts w:ascii="Arial" w:hAnsi="Arial" w:cs="Arial"/>
          <w:color w:val="000000" w:themeColor="text1"/>
        </w:rPr>
        <w:t>3 hours</w:t>
      </w:r>
      <w:r w:rsidR="00053CEB" w:rsidRPr="007C6545">
        <w:rPr>
          <w:rFonts w:ascii="Arial" w:hAnsi="Arial" w:cs="Arial"/>
          <w:color w:val="000000" w:themeColor="text1"/>
        </w:rPr>
        <w:t xml:space="preserve"> after oral administration</w:t>
      </w:r>
      <w:r w:rsidR="00EA6AD7" w:rsidRPr="007C6545">
        <w:rPr>
          <w:rFonts w:ascii="Arial" w:hAnsi="Arial" w:cs="Arial"/>
          <w:color w:val="000000" w:themeColor="text1"/>
        </w:rPr>
        <w:t>,</w:t>
      </w:r>
      <w:r w:rsidR="00031EDA" w:rsidRPr="007C6545">
        <w:rPr>
          <w:rFonts w:ascii="Arial" w:hAnsi="Arial" w:cs="Arial"/>
          <w:color w:val="000000" w:themeColor="text1"/>
        </w:rPr>
        <w:t xml:space="preserve"> and</w:t>
      </w:r>
      <w:r w:rsidR="00387E62" w:rsidRPr="007C6545">
        <w:rPr>
          <w:rFonts w:ascii="Arial" w:hAnsi="Arial" w:cs="Arial"/>
          <w:color w:val="000000" w:themeColor="text1"/>
        </w:rPr>
        <w:t xml:space="preserve"> is </w:t>
      </w:r>
      <w:r w:rsidR="00053CEB" w:rsidRPr="007C6545">
        <w:rPr>
          <w:rFonts w:ascii="Arial" w:hAnsi="Arial" w:cs="Arial"/>
          <w:color w:val="000000" w:themeColor="text1"/>
        </w:rPr>
        <w:t>highly protein bound (</w:t>
      </w:r>
      <w:r w:rsidR="00387E62" w:rsidRPr="007C6545">
        <w:rPr>
          <w:rFonts w:ascii="Arial" w:hAnsi="Arial" w:cs="Arial"/>
          <w:color w:val="000000" w:themeColor="text1"/>
        </w:rPr>
        <w:t>around 98%</w:t>
      </w:r>
      <w:r w:rsidR="00053CEB" w:rsidRPr="007C6545">
        <w:rPr>
          <w:rFonts w:ascii="Arial" w:hAnsi="Arial" w:cs="Arial"/>
          <w:color w:val="000000" w:themeColor="text1"/>
        </w:rPr>
        <w:t>)</w:t>
      </w:r>
      <w:r w:rsidR="00387E62" w:rsidRPr="007C6545">
        <w:rPr>
          <w:rFonts w:ascii="Arial" w:hAnsi="Arial" w:cs="Arial"/>
          <w:color w:val="000000" w:themeColor="text1"/>
        </w:rPr>
        <w:t>.</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8</w:t>
      </w:r>
      <w:r w:rsidR="00387E62" w:rsidRPr="007C6545">
        <w:rPr>
          <w:rFonts w:ascii="Arial" w:hAnsi="Arial" w:cs="Arial"/>
          <w:color w:val="000000" w:themeColor="text1"/>
        </w:rPr>
        <w:t xml:space="preserve"> It </w:t>
      </w:r>
      <w:r w:rsidR="001D299F" w:rsidRPr="007C6545">
        <w:rPr>
          <w:rFonts w:ascii="Arial" w:hAnsi="Arial" w:cs="Arial"/>
          <w:color w:val="000000" w:themeColor="text1"/>
        </w:rPr>
        <w:t>undergoes hepati</w:t>
      </w:r>
      <w:r w:rsidR="00387E62" w:rsidRPr="007C6545">
        <w:rPr>
          <w:rFonts w:ascii="Arial" w:hAnsi="Arial" w:cs="Arial"/>
          <w:color w:val="000000" w:themeColor="text1"/>
        </w:rPr>
        <w:t>c metabolism</w:t>
      </w:r>
      <w:r w:rsidR="001D299F" w:rsidRPr="007C6545">
        <w:rPr>
          <w:rFonts w:ascii="Arial" w:hAnsi="Arial" w:cs="Arial"/>
          <w:color w:val="000000" w:themeColor="text1"/>
        </w:rPr>
        <w:t xml:space="preserve"> and </w:t>
      </w:r>
      <w:r w:rsidR="00350ACE" w:rsidRPr="007C6545">
        <w:rPr>
          <w:rFonts w:ascii="Arial" w:hAnsi="Arial" w:cs="Arial"/>
          <w:color w:val="000000" w:themeColor="text1"/>
        </w:rPr>
        <w:t xml:space="preserve">has a long </w:t>
      </w:r>
      <w:r w:rsidR="00041E1D" w:rsidRPr="007C6545">
        <w:rPr>
          <w:rFonts w:ascii="Arial" w:hAnsi="Arial" w:cs="Arial"/>
          <w:color w:val="000000" w:themeColor="text1"/>
        </w:rPr>
        <w:t>half-life</w:t>
      </w:r>
      <w:r w:rsidR="00350ACE" w:rsidRPr="007C6545">
        <w:rPr>
          <w:rFonts w:ascii="Arial" w:hAnsi="Arial" w:cs="Arial"/>
          <w:color w:val="000000" w:themeColor="text1"/>
        </w:rPr>
        <w:t xml:space="preserve"> (approximately 130</w:t>
      </w:r>
      <w:r w:rsidR="00031EDA" w:rsidRPr="007C6545">
        <w:rPr>
          <w:rFonts w:ascii="Arial" w:hAnsi="Arial" w:cs="Arial"/>
          <w:color w:val="000000" w:themeColor="text1"/>
        </w:rPr>
        <w:t xml:space="preserve"> hours)</w:t>
      </w:r>
      <w:r w:rsidR="00F27108" w:rsidRPr="007C6545">
        <w:rPr>
          <w:rFonts w:ascii="Arial" w:hAnsi="Arial" w:cs="Arial"/>
          <w:color w:val="000000" w:themeColor="text1"/>
        </w:rPr>
        <w:t xml:space="preserve">. </w:t>
      </w:r>
      <w:r w:rsidR="00CF5299" w:rsidRPr="007C6545">
        <w:rPr>
          <w:rFonts w:ascii="Arial" w:hAnsi="Arial" w:cs="Arial"/>
          <w:color w:val="000000" w:themeColor="text1"/>
        </w:rPr>
        <w:t xml:space="preserve">Accordingly, a loading dose of 200 mg isavuconazole </w:t>
      </w:r>
      <w:r w:rsidR="001776A5" w:rsidRPr="007C6545">
        <w:rPr>
          <w:rFonts w:ascii="Arial" w:hAnsi="Arial" w:cs="Arial"/>
          <w:color w:val="000000" w:themeColor="text1"/>
        </w:rPr>
        <w:t xml:space="preserve">is </w:t>
      </w:r>
      <w:r w:rsidR="00F2423E" w:rsidRPr="007C6545">
        <w:rPr>
          <w:rFonts w:ascii="Arial" w:hAnsi="Arial" w:cs="Arial"/>
          <w:color w:val="000000" w:themeColor="text1"/>
        </w:rPr>
        <w:t>g</w:t>
      </w:r>
      <w:r w:rsidR="00CF5299" w:rsidRPr="007C6545">
        <w:rPr>
          <w:rFonts w:ascii="Arial" w:hAnsi="Arial" w:cs="Arial"/>
          <w:color w:val="000000" w:themeColor="text1"/>
        </w:rPr>
        <w:t>iven three time</w:t>
      </w:r>
      <w:r w:rsidR="00F2423E" w:rsidRPr="007C6545">
        <w:rPr>
          <w:rFonts w:ascii="Arial" w:hAnsi="Arial" w:cs="Arial"/>
          <w:color w:val="000000" w:themeColor="text1"/>
        </w:rPr>
        <w:t>s</w:t>
      </w:r>
      <w:r w:rsidR="00CF5299" w:rsidRPr="007C6545">
        <w:rPr>
          <w:rFonts w:ascii="Arial" w:hAnsi="Arial" w:cs="Arial"/>
          <w:color w:val="000000" w:themeColor="text1"/>
        </w:rPr>
        <w:t xml:space="preserve"> a day for two days, </w:t>
      </w:r>
      <w:r w:rsidR="00BE38AE" w:rsidRPr="007C6545">
        <w:rPr>
          <w:rFonts w:ascii="Arial" w:hAnsi="Arial" w:cs="Arial"/>
          <w:color w:val="000000" w:themeColor="text1"/>
        </w:rPr>
        <w:t>followed by a maintenance dose of 200 mg once daily</w:t>
      </w:r>
      <w:r w:rsidR="00F2423E" w:rsidRPr="007C6545">
        <w:rPr>
          <w:rFonts w:ascii="Arial" w:hAnsi="Arial" w:cs="Arial"/>
          <w:color w:val="000000" w:themeColor="text1"/>
        </w:rPr>
        <w:t>,</w:t>
      </w:r>
      <w:r w:rsidR="00BE38AE" w:rsidRPr="007C6545">
        <w:rPr>
          <w:rFonts w:ascii="Arial" w:hAnsi="Arial" w:cs="Arial"/>
          <w:color w:val="000000" w:themeColor="text1"/>
        </w:rPr>
        <w:t xml:space="preserve"> </w:t>
      </w:r>
      <w:r w:rsidR="000C3A56" w:rsidRPr="007C6545">
        <w:rPr>
          <w:rFonts w:ascii="Arial" w:hAnsi="Arial" w:cs="Arial"/>
          <w:color w:val="000000" w:themeColor="text1"/>
        </w:rPr>
        <w:t>with the aim of reaching</w:t>
      </w:r>
      <w:r w:rsidR="00BE38AE" w:rsidRPr="007C6545">
        <w:rPr>
          <w:rFonts w:ascii="Arial" w:hAnsi="Arial" w:cs="Arial"/>
          <w:color w:val="000000" w:themeColor="text1"/>
        </w:rPr>
        <w:t xml:space="preserve"> </w:t>
      </w:r>
      <w:r w:rsidR="00CF5299" w:rsidRPr="007C6545">
        <w:rPr>
          <w:rFonts w:ascii="Arial" w:hAnsi="Arial" w:cs="Arial"/>
          <w:color w:val="000000" w:themeColor="text1"/>
        </w:rPr>
        <w:t xml:space="preserve">steady state </w:t>
      </w:r>
      <w:r w:rsidR="00840AF2" w:rsidRPr="007C6545">
        <w:rPr>
          <w:rFonts w:ascii="Arial" w:hAnsi="Arial" w:cs="Arial"/>
          <w:color w:val="000000" w:themeColor="text1"/>
        </w:rPr>
        <w:t xml:space="preserve">concentrations </w:t>
      </w:r>
      <w:r w:rsidR="00BE38AE" w:rsidRPr="007C6545">
        <w:rPr>
          <w:rFonts w:ascii="Arial" w:hAnsi="Arial" w:cs="Arial"/>
          <w:color w:val="000000" w:themeColor="text1"/>
        </w:rPr>
        <w:t xml:space="preserve">at </w:t>
      </w:r>
      <w:r w:rsidR="00CF5299" w:rsidRPr="007C6545">
        <w:rPr>
          <w:rFonts w:ascii="Arial" w:hAnsi="Arial" w:cs="Arial"/>
          <w:color w:val="000000" w:themeColor="text1"/>
        </w:rPr>
        <w:t>day 3</w:t>
      </w:r>
      <w:r w:rsidR="001D299F" w:rsidRPr="007C6545">
        <w:rPr>
          <w:rFonts w:ascii="Arial" w:hAnsi="Arial" w:cs="Arial"/>
          <w:color w:val="000000" w:themeColor="text1"/>
        </w:rPr>
        <w:t>.</w:t>
      </w:r>
      <w:r w:rsidR="00930A94" w:rsidRPr="007C6545">
        <w:rPr>
          <w:rFonts w:ascii="Arial" w:hAnsi="Arial" w:cs="Arial"/>
          <w:color w:val="000000" w:themeColor="text1"/>
          <w:vertAlign w:val="superscript"/>
        </w:rPr>
        <w:t>59</w:t>
      </w:r>
      <w:r w:rsidR="001D299F" w:rsidRPr="007C6545">
        <w:rPr>
          <w:rFonts w:ascii="Arial" w:hAnsi="Arial" w:cs="Arial"/>
          <w:color w:val="000000" w:themeColor="text1"/>
        </w:rPr>
        <w:t xml:space="preserve"> </w:t>
      </w:r>
      <w:r w:rsidR="00BB1B7C" w:rsidRPr="007C6545">
        <w:rPr>
          <w:rFonts w:ascii="Arial" w:hAnsi="Arial" w:cs="Arial"/>
          <w:color w:val="000000" w:themeColor="text1"/>
        </w:rPr>
        <w:lastRenderedPageBreak/>
        <w:t>D</w:t>
      </w:r>
      <w:r w:rsidR="001D299F" w:rsidRPr="007C6545">
        <w:rPr>
          <w:rFonts w:ascii="Arial" w:hAnsi="Arial" w:cs="Arial"/>
          <w:color w:val="000000" w:themeColor="text1"/>
        </w:rPr>
        <w:t>ose adjustment is not required in renal impairment.</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8</w:t>
      </w:r>
      <w:r w:rsidR="001D299F" w:rsidRPr="007C6545">
        <w:rPr>
          <w:rFonts w:ascii="Arial" w:hAnsi="Arial" w:cs="Arial"/>
          <w:color w:val="000000" w:themeColor="text1"/>
        </w:rPr>
        <w:t xml:space="preserve"> Relative to other azole antifungals, the </w:t>
      </w:r>
      <w:r w:rsidR="0020136C" w:rsidRPr="007C6545">
        <w:rPr>
          <w:rFonts w:ascii="Arial" w:hAnsi="Arial" w:cs="Arial"/>
          <w:color w:val="000000" w:themeColor="text1"/>
        </w:rPr>
        <w:t>pharmacokinetics</w:t>
      </w:r>
      <w:r w:rsidR="001D299F" w:rsidRPr="007C6545">
        <w:rPr>
          <w:rFonts w:ascii="Arial" w:hAnsi="Arial" w:cs="Arial"/>
          <w:color w:val="000000" w:themeColor="text1"/>
        </w:rPr>
        <w:t xml:space="preserve"> of isavuconazole is predictable</w:t>
      </w:r>
      <w:r w:rsidR="00EB39C5" w:rsidRPr="007C6545">
        <w:rPr>
          <w:rFonts w:ascii="Arial" w:hAnsi="Arial" w:cs="Arial"/>
          <w:color w:val="000000" w:themeColor="text1"/>
          <w:vertAlign w:val="superscript"/>
        </w:rPr>
        <w:t>5</w:t>
      </w:r>
      <w:r w:rsidR="00A90149" w:rsidRPr="007C6545">
        <w:rPr>
          <w:rFonts w:ascii="Arial" w:hAnsi="Arial" w:cs="Arial"/>
          <w:color w:val="000000" w:themeColor="text1"/>
          <w:vertAlign w:val="superscript"/>
        </w:rPr>
        <w:t>2</w:t>
      </w:r>
      <w:r w:rsidR="00EB39C5" w:rsidRPr="007C6545">
        <w:rPr>
          <w:rFonts w:ascii="Arial" w:hAnsi="Arial" w:cs="Arial"/>
          <w:color w:val="000000" w:themeColor="text1"/>
          <w:vertAlign w:val="superscript"/>
        </w:rPr>
        <w:t>,</w:t>
      </w:r>
      <w:r w:rsidR="00A90149" w:rsidRPr="007C6545">
        <w:rPr>
          <w:rFonts w:ascii="Arial" w:hAnsi="Arial" w:cs="Arial"/>
          <w:color w:val="000000" w:themeColor="text1"/>
          <w:vertAlign w:val="superscript"/>
        </w:rPr>
        <w:t>60</w:t>
      </w:r>
      <w:r w:rsidR="00B65236" w:rsidRPr="007C6545">
        <w:rPr>
          <w:rFonts w:ascii="Arial" w:hAnsi="Arial" w:cs="Arial"/>
          <w:color w:val="000000" w:themeColor="text1"/>
        </w:rPr>
        <w:t xml:space="preserve"> and </w:t>
      </w:r>
      <w:r w:rsidR="00EA6AD7" w:rsidRPr="007C6545">
        <w:rPr>
          <w:rFonts w:ascii="Arial" w:hAnsi="Arial" w:cs="Arial"/>
          <w:color w:val="000000" w:themeColor="text1"/>
        </w:rPr>
        <w:t>are</w:t>
      </w:r>
      <w:r w:rsidR="00B65236" w:rsidRPr="007C6545">
        <w:rPr>
          <w:rFonts w:ascii="Arial" w:hAnsi="Arial" w:cs="Arial"/>
          <w:color w:val="000000" w:themeColor="text1"/>
        </w:rPr>
        <w:t xml:space="preserve"> linear up to dosages of 600mg/day</w:t>
      </w:r>
      <w:r w:rsidR="007D3E64" w:rsidRPr="007C6545">
        <w:rPr>
          <w:rFonts w:ascii="Arial" w:hAnsi="Arial" w:cs="Arial"/>
          <w:color w:val="000000" w:themeColor="text1"/>
        </w:rPr>
        <w:t xml:space="preserve">. </w:t>
      </w:r>
      <w:r w:rsidR="00F200D8" w:rsidRPr="007C6545">
        <w:rPr>
          <w:rFonts w:ascii="Arial" w:hAnsi="Arial" w:cs="Arial"/>
          <w:color w:val="000000" w:themeColor="text1"/>
        </w:rPr>
        <w:t>Isavuconazole is better tolerated than</w:t>
      </w:r>
      <w:r w:rsidR="00053CEB" w:rsidRPr="007C6545">
        <w:rPr>
          <w:rFonts w:ascii="Arial" w:hAnsi="Arial" w:cs="Arial"/>
          <w:color w:val="000000" w:themeColor="text1"/>
        </w:rPr>
        <w:t xml:space="preserve"> voriconazole </w:t>
      </w:r>
      <w:r w:rsidR="00F200D8" w:rsidRPr="007C6545">
        <w:rPr>
          <w:rFonts w:ascii="Arial" w:hAnsi="Arial" w:cs="Arial"/>
          <w:color w:val="000000" w:themeColor="text1"/>
        </w:rPr>
        <w:t xml:space="preserve">with </w:t>
      </w:r>
      <w:r w:rsidR="00BE38AE" w:rsidRPr="007C6545">
        <w:rPr>
          <w:rFonts w:ascii="Arial" w:hAnsi="Arial" w:cs="Arial"/>
          <w:color w:val="000000" w:themeColor="text1"/>
        </w:rPr>
        <w:t xml:space="preserve">statistically </w:t>
      </w:r>
      <w:r w:rsidR="00F200D8" w:rsidRPr="007C6545">
        <w:rPr>
          <w:rFonts w:ascii="Arial" w:hAnsi="Arial" w:cs="Arial"/>
          <w:color w:val="000000" w:themeColor="text1"/>
        </w:rPr>
        <w:t>fewer visual</w:t>
      </w:r>
      <w:r w:rsidR="00BE38AE" w:rsidRPr="007C6545">
        <w:rPr>
          <w:rFonts w:ascii="Arial" w:hAnsi="Arial" w:cs="Arial"/>
          <w:color w:val="000000" w:themeColor="text1"/>
        </w:rPr>
        <w:t>, skin or subcutaneous tissue</w:t>
      </w:r>
      <w:r w:rsidR="00F200D8" w:rsidRPr="007C6545">
        <w:rPr>
          <w:rFonts w:ascii="Arial" w:hAnsi="Arial" w:cs="Arial"/>
          <w:color w:val="000000" w:themeColor="text1"/>
        </w:rPr>
        <w:t xml:space="preserve"> and hepat</w:t>
      </w:r>
      <w:r w:rsidR="00BE38AE" w:rsidRPr="007C6545">
        <w:rPr>
          <w:rFonts w:ascii="Arial" w:hAnsi="Arial" w:cs="Arial"/>
          <w:color w:val="000000" w:themeColor="text1"/>
        </w:rPr>
        <w:t>obiliary disorders</w:t>
      </w:r>
      <w:r w:rsidR="00C9511D" w:rsidRPr="007C6545">
        <w:rPr>
          <w:rFonts w:ascii="Arial" w:hAnsi="Arial" w:cs="Arial"/>
          <w:color w:val="000000" w:themeColor="text1"/>
        </w:rPr>
        <w:t>.</w:t>
      </w:r>
      <w:r w:rsidR="00EB39C5" w:rsidRPr="007C6545">
        <w:rPr>
          <w:rFonts w:ascii="Arial" w:hAnsi="Arial" w:cs="Arial"/>
          <w:color w:val="000000" w:themeColor="text1"/>
          <w:vertAlign w:val="superscript"/>
        </w:rPr>
        <w:t>5</w:t>
      </w:r>
      <w:r w:rsidR="00484A64" w:rsidRPr="007C6545">
        <w:rPr>
          <w:rFonts w:ascii="Arial" w:hAnsi="Arial" w:cs="Arial"/>
          <w:color w:val="000000" w:themeColor="text1"/>
          <w:vertAlign w:val="superscript"/>
        </w:rPr>
        <w:t>5</w:t>
      </w:r>
      <w:r w:rsidR="007712B8" w:rsidRPr="007C6545">
        <w:rPr>
          <w:rFonts w:ascii="Arial" w:hAnsi="Arial" w:cs="Arial"/>
          <w:color w:val="000000" w:themeColor="text1"/>
        </w:rPr>
        <w:tab/>
      </w:r>
    </w:p>
    <w:p w14:paraId="34DB6744" w14:textId="357CC821" w:rsidR="00317650" w:rsidRPr="007C6545" w:rsidRDefault="00053CEB">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 </w:t>
      </w:r>
      <w:r w:rsidR="00745686" w:rsidRPr="007C6545">
        <w:rPr>
          <w:rFonts w:ascii="Arial" w:hAnsi="Arial" w:cs="Arial"/>
          <w:color w:val="000000" w:themeColor="text1"/>
        </w:rPr>
        <w:t xml:space="preserve">case for </w:t>
      </w:r>
      <w:r w:rsidR="00891AC9" w:rsidRPr="007C6545">
        <w:rPr>
          <w:rFonts w:ascii="Arial" w:hAnsi="Arial" w:cs="Arial"/>
          <w:color w:val="000000" w:themeColor="text1"/>
        </w:rPr>
        <w:t>TDM</w:t>
      </w:r>
      <w:r w:rsidR="00D835F3" w:rsidRPr="007C6545">
        <w:rPr>
          <w:rFonts w:ascii="Arial" w:hAnsi="Arial" w:cs="Arial"/>
          <w:color w:val="000000" w:themeColor="text1"/>
        </w:rPr>
        <w:t xml:space="preserve"> of isavuconazole</w:t>
      </w:r>
      <w:r w:rsidR="00745686" w:rsidRPr="007C6545">
        <w:rPr>
          <w:rFonts w:ascii="Arial" w:hAnsi="Arial" w:cs="Arial"/>
          <w:color w:val="000000" w:themeColor="text1"/>
        </w:rPr>
        <w:t xml:space="preserve"> is uncertain</w:t>
      </w:r>
      <w:r w:rsidR="00066BD2" w:rsidRPr="007C6545">
        <w:rPr>
          <w:rFonts w:ascii="Arial" w:hAnsi="Arial" w:cs="Arial"/>
          <w:color w:val="000000" w:themeColor="text1"/>
        </w:rPr>
        <w:t xml:space="preserve"> at the present time</w:t>
      </w:r>
      <w:r w:rsidR="00745686" w:rsidRPr="007C6545">
        <w:rPr>
          <w:rFonts w:ascii="Arial" w:hAnsi="Arial" w:cs="Arial"/>
          <w:color w:val="000000" w:themeColor="text1"/>
        </w:rPr>
        <w:t xml:space="preserve">. </w:t>
      </w:r>
      <w:r w:rsidR="00317650" w:rsidRPr="007C6545">
        <w:rPr>
          <w:rFonts w:ascii="Arial" w:hAnsi="Arial" w:cs="Arial"/>
          <w:color w:val="000000" w:themeColor="text1"/>
        </w:rPr>
        <w:t xml:space="preserve"> </w:t>
      </w:r>
      <w:r w:rsidR="00745686" w:rsidRPr="007C6545">
        <w:rPr>
          <w:rFonts w:ascii="Arial" w:hAnsi="Arial" w:cs="Arial"/>
          <w:color w:val="000000" w:themeColor="text1"/>
        </w:rPr>
        <w:t xml:space="preserve">Analysis of clinical trial data does not reveal any relationship between </w:t>
      </w:r>
      <w:r w:rsidR="00066BD2" w:rsidRPr="007C6545">
        <w:rPr>
          <w:rFonts w:ascii="Arial" w:hAnsi="Arial" w:cs="Arial"/>
          <w:color w:val="000000" w:themeColor="text1"/>
        </w:rPr>
        <w:t xml:space="preserve">various </w:t>
      </w:r>
      <w:r w:rsidR="00A263EF" w:rsidRPr="007C6545">
        <w:rPr>
          <w:rFonts w:ascii="Arial" w:hAnsi="Arial" w:cs="Arial"/>
          <w:color w:val="000000" w:themeColor="text1"/>
        </w:rPr>
        <w:t xml:space="preserve">measures of drug exposure (e.g. AUC, </w:t>
      </w:r>
      <w:proofErr w:type="spellStart"/>
      <w:r w:rsidR="00A263EF" w:rsidRPr="007C6545">
        <w:rPr>
          <w:rFonts w:ascii="Arial" w:hAnsi="Arial" w:cs="Arial"/>
          <w:color w:val="000000" w:themeColor="text1"/>
        </w:rPr>
        <w:t>C</w:t>
      </w:r>
      <w:r w:rsidR="00EB39C5" w:rsidRPr="007C6545">
        <w:rPr>
          <w:rFonts w:ascii="Arial" w:hAnsi="Arial" w:cs="Arial"/>
          <w:color w:val="000000" w:themeColor="text1"/>
          <w:vertAlign w:val="subscript"/>
        </w:rPr>
        <w:t>min</w:t>
      </w:r>
      <w:proofErr w:type="spellEnd"/>
      <w:r w:rsidR="00A263EF" w:rsidRPr="007C6545">
        <w:rPr>
          <w:rFonts w:ascii="Arial" w:hAnsi="Arial" w:cs="Arial"/>
          <w:color w:val="000000" w:themeColor="text1"/>
        </w:rPr>
        <w:t>) and efficacy endpoints (</w:t>
      </w:r>
      <w:r w:rsidR="00D835F3" w:rsidRPr="007C6545">
        <w:rPr>
          <w:rFonts w:ascii="Arial" w:hAnsi="Arial" w:cs="Arial"/>
          <w:color w:val="000000" w:themeColor="text1"/>
        </w:rPr>
        <w:t>all-cause</w:t>
      </w:r>
      <w:r w:rsidR="00A263EF" w:rsidRPr="007C6545">
        <w:rPr>
          <w:rFonts w:ascii="Arial" w:hAnsi="Arial" w:cs="Arial"/>
          <w:color w:val="000000" w:themeColor="text1"/>
        </w:rPr>
        <w:t xml:space="preserve"> mortality, clinical response</w:t>
      </w:r>
      <w:r w:rsidR="007D63C6" w:rsidRPr="007C6545">
        <w:rPr>
          <w:rFonts w:ascii="Arial" w:hAnsi="Arial" w:cs="Arial"/>
          <w:color w:val="000000" w:themeColor="text1"/>
        </w:rPr>
        <w:t>)</w:t>
      </w:r>
      <w:r w:rsidR="00A263EF" w:rsidRPr="007C6545">
        <w:rPr>
          <w:rFonts w:ascii="Arial" w:hAnsi="Arial" w:cs="Arial"/>
          <w:color w:val="000000" w:themeColor="text1"/>
        </w:rPr>
        <w:t xml:space="preserve"> or safety endpoints</w:t>
      </w:r>
      <w:r w:rsidR="00891AC9" w:rsidRPr="007C6545">
        <w:rPr>
          <w:rFonts w:ascii="Arial" w:hAnsi="Arial" w:cs="Arial"/>
          <w:color w:val="000000" w:themeColor="text1"/>
        </w:rPr>
        <w:t>)</w:t>
      </w:r>
      <w:r w:rsidR="00874387" w:rsidRPr="007C6545">
        <w:rPr>
          <w:rFonts w:ascii="Arial" w:hAnsi="Arial" w:cs="Arial"/>
          <w:color w:val="000000" w:themeColor="text1"/>
        </w:rPr>
        <w:t xml:space="preserve">, although this information is only available in abstract form at </w:t>
      </w:r>
      <w:r w:rsidR="00891AC9" w:rsidRPr="007C6545">
        <w:rPr>
          <w:rFonts w:ascii="Arial" w:hAnsi="Arial" w:cs="Arial"/>
          <w:color w:val="000000" w:themeColor="text1"/>
        </w:rPr>
        <w:t>present</w:t>
      </w:r>
      <w:r w:rsidR="00F2423E" w:rsidRPr="007C6545">
        <w:rPr>
          <w:rFonts w:ascii="Arial" w:hAnsi="Arial" w:cs="Arial"/>
          <w:color w:val="000000" w:themeColor="text1"/>
        </w:rPr>
        <w:t>.</w:t>
      </w:r>
      <w:r w:rsidR="00930A94" w:rsidRPr="007C6545">
        <w:rPr>
          <w:rFonts w:ascii="Arial" w:hAnsi="Arial" w:cs="Arial"/>
          <w:color w:val="000000" w:themeColor="text1"/>
          <w:vertAlign w:val="superscript"/>
        </w:rPr>
        <w:t>61</w:t>
      </w:r>
      <w:r w:rsidR="00F2423E" w:rsidRPr="007C6545">
        <w:rPr>
          <w:rFonts w:ascii="Arial" w:hAnsi="Arial" w:cs="Arial"/>
          <w:color w:val="000000" w:themeColor="text1"/>
        </w:rPr>
        <w:t xml:space="preserve"> </w:t>
      </w:r>
      <w:r w:rsidR="007D63C6" w:rsidRPr="007C6545">
        <w:rPr>
          <w:rFonts w:ascii="Arial" w:hAnsi="Arial" w:cs="Arial"/>
          <w:color w:val="000000" w:themeColor="text1"/>
        </w:rPr>
        <w:t>I</w:t>
      </w:r>
      <w:r w:rsidR="001D4DC1" w:rsidRPr="007C6545">
        <w:rPr>
          <w:rFonts w:ascii="Arial" w:hAnsi="Arial" w:cs="Arial"/>
          <w:color w:val="000000" w:themeColor="text1"/>
        </w:rPr>
        <w:t xml:space="preserve">t is important to recognise that </w:t>
      </w:r>
      <w:r w:rsidR="00CB5481" w:rsidRPr="007C6545">
        <w:rPr>
          <w:rFonts w:ascii="Arial" w:hAnsi="Arial" w:cs="Arial"/>
          <w:color w:val="000000" w:themeColor="text1"/>
        </w:rPr>
        <w:t>these analyses were performed on the Phase III clinical trial using a</w:t>
      </w:r>
      <w:r w:rsidR="007D63C6" w:rsidRPr="007C6545">
        <w:rPr>
          <w:rFonts w:ascii="Arial" w:hAnsi="Arial" w:cs="Arial"/>
          <w:color w:val="000000" w:themeColor="text1"/>
        </w:rPr>
        <w:t>n optimised</w:t>
      </w:r>
      <w:r w:rsidR="00CB5481" w:rsidRPr="007C6545">
        <w:rPr>
          <w:rFonts w:ascii="Arial" w:hAnsi="Arial" w:cs="Arial"/>
          <w:color w:val="000000" w:themeColor="text1"/>
        </w:rPr>
        <w:t xml:space="preserve"> regimen</w:t>
      </w:r>
      <w:r w:rsidR="007D63C6" w:rsidRPr="007C6545">
        <w:rPr>
          <w:rFonts w:ascii="Arial" w:hAnsi="Arial" w:cs="Arial"/>
          <w:color w:val="000000" w:themeColor="text1"/>
        </w:rPr>
        <w:t>.</w:t>
      </w:r>
      <w:r w:rsidR="00CB5481" w:rsidRPr="007C6545">
        <w:rPr>
          <w:rFonts w:ascii="Arial" w:hAnsi="Arial" w:cs="Arial"/>
          <w:color w:val="000000" w:themeColor="text1"/>
        </w:rPr>
        <w:t xml:space="preserve"> Consequently, there is little opportunity to observe concentration-dependent clinical failures </w:t>
      </w:r>
      <w:r w:rsidR="00CC0FF9" w:rsidRPr="007C6545">
        <w:rPr>
          <w:rFonts w:ascii="Arial" w:hAnsi="Arial" w:cs="Arial"/>
          <w:color w:val="000000" w:themeColor="text1"/>
        </w:rPr>
        <w:t xml:space="preserve">and therefore identify a threshold for TDM.  Whether the same conclusion holds with more "real world" data remains to be seen. TDM could be considered in </w:t>
      </w:r>
      <w:r w:rsidR="00C06A25" w:rsidRPr="007C6545">
        <w:rPr>
          <w:rFonts w:ascii="Arial" w:hAnsi="Arial" w:cs="Arial"/>
          <w:color w:val="000000" w:themeColor="text1"/>
        </w:rPr>
        <w:t xml:space="preserve">selected clinical cases where drug exposure needs to be confirmed (e.g. severe gut disease from </w:t>
      </w:r>
      <w:r w:rsidR="00891AC9" w:rsidRPr="007C6545">
        <w:rPr>
          <w:rFonts w:ascii="Arial" w:hAnsi="Arial" w:cs="Arial"/>
          <w:color w:val="000000" w:themeColor="text1"/>
        </w:rPr>
        <w:t>graft-versus-host disease [</w:t>
      </w:r>
      <w:proofErr w:type="spellStart"/>
      <w:r w:rsidR="00C06A25" w:rsidRPr="007C6545">
        <w:rPr>
          <w:rFonts w:ascii="Arial" w:hAnsi="Arial" w:cs="Arial"/>
          <w:color w:val="000000" w:themeColor="text1"/>
        </w:rPr>
        <w:t>G</w:t>
      </w:r>
      <w:r w:rsidR="007D63C6" w:rsidRPr="007C6545">
        <w:rPr>
          <w:rFonts w:ascii="Arial" w:hAnsi="Arial" w:cs="Arial"/>
          <w:color w:val="000000" w:themeColor="text1"/>
        </w:rPr>
        <w:t>v</w:t>
      </w:r>
      <w:r w:rsidR="00C06A25" w:rsidRPr="007C6545">
        <w:rPr>
          <w:rFonts w:ascii="Arial" w:hAnsi="Arial" w:cs="Arial"/>
          <w:color w:val="000000" w:themeColor="text1"/>
        </w:rPr>
        <w:t>HD</w:t>
      </w:r>
      <w:proofErr w:type="spellEnd"/>
      <w:r w:rsidR="00891AC9" w:rsidRPr="007C6545">
        <w:rPr>
          <w:rFonts w:ascii="Arial" w:hAnsi="Arial" w:cs="Arial"/>
          <w:color w:val="000000" w:themeColor="text1"/>
        </w:rPr>
        <w:t>]</w:t>
      </w:r>
      <w:r w:rsidR="00C06A25" w:rsidRPr="007C6545">
        <w:rPr>
          <w:rFonts w:ascii="Arial" w:hAnsi="Arial" w:cs="Arial"/>
          <w:color w:val="000000" w:themeColor="text1"/>
        </w:rPr>
        <w:t xml:space="preserve"> where oral absorption may be problematic, treatment of central nervous system disease, or treatment of a </w:t>
      </w:r>
      <w:proofErr w:type="spellStart"/>
      <w:r w:rsidR="00C06A25" w:rsidRPr="007C6545">
        <w:rPr>
          <w:rFonts w:ascii="Arial" w:hAnsi="Arial" w:cs="Arial"/>
          <w:color w:val="000000" w:themeColor="text1"/>
        </w:rPr>
        <w:t>non wild</w:t>
      </w:r>
      <w:proofErr w:type="spellEnd"/>
      <w:r w:rsidR="00C06A25" w:rsidRPr="007C6545">
        <w:rPr>
          <w:rFonts w:ascii="Arial" w:hAnsi="Arial" w:cs="Arial"/>
          <w:color w:val="000000" w:themeColor="text1"/>
        </w:rPr>
        <w:t>-type fungal pathogen). TDM may also be indicated in circumstances where there is</w:t>
      </w:r>
      <w:r w:rsidR="007D63C6" w:rsidRPr="007C6545">
        <w:rPr>
          <w:rFonts w:ascii="Arial" w:hAnsi="Arial" w:cs="Arial"/>
          <w:color w:val="000000" w:themeColor="text1"/>
        </w:rPr>
        <w:t xml:space="preserve"> currently</w:t>
      </w:r>
      <w:r w:rsidR="00C06A25" w:rsidRPr="007C6545">
        <w:rPr>
          <w:rFonts w:ascii="Arial" w:hAnsi="Arial" w:cs="Arial"/>
          <w:color w:val="000000" w:themeColor="text1"/>
        </w:rPr>
        <w:t xml:space="preserve"> little information (e.g. dosing in children or adolescents).</w:t>
      </w:r>
      <w:r w:rsidR="00116935" w:rsidRPr="007C6545">
        <w:rPr>
          <w:rFonts w:ascii="Arial" w:hAnsi="Arial" w:cs="Arial"/>
          <w:color w:val="000000" w:themeColor="text1"/>
        </w:rPr>
        <w:t xml:space="preserve"> </w:t>
      </w:r>
    </w:p>
    <w:p w14:paraId="1E26CBFD" w14:textId="5A855B7A" w:rsidR="00DB693A" w:rsidRPr="007C6545" w:rsidRDefault="00317650">
      <w:pPr>
        <w:spacing w:before="100" w:beforeAutospacing="1" w:after="100" w:afterAutospacing="1" w:line="480" w:lineRule="auto"/>
        <w:rPr>
          <w:color w:val="000000" w:themeColor="text1"/>
        </w:rPr>
      </w:pPr>
      <w:r w:rsidRPr="007C6545">
        <w:rPr>
          <w:rFonts w:ascii="Arial" w:hAnsi="Arial" w:cs="Arial"/>
          <w:color w:val="000000" w:themeColor="text1"/>
        </w:rPr>
        <w:t xml:space="preserve">Concentrations of isavuconazole can be determined in a small number of reference laboratories in Europe.  There are no algorithms that can be used to adjust dosage.  </w:t>
      </w:r>
      <w:r w:rsidR="00FB012D" w:rsidRPr="007C6545">
        <w:rPr>
          <w:rFonts w:ascii="Arial" w:hAnsi="Arial" w:cs="Arial"/>
          <w:iCs/>
          <w:color w:val="000000" w:themeColor="text1"/>
          <w:lang w:val="en-US"/>
        </w:rPr>
        <w:t xml:space="preserve">One consideration that </w:t>
      </w:r>
      <w:r w:rsidRPr="007C6545">
        <w:rPr>
          <w:rFonts w:ascii="Arial" w:hAnsi="Arial" w:cs="Arial"/>
          <w:iCs/>
          <w:color w:val="000000" w:themeColor="text1"/>
          <w:lang w:val="en-US"/>
        </w:rPr>
        <w:t>is especially pertinent to dosage adjustment of isavuconazole</w:t>
      </w:r>
      <w:r w:rsidR="00FB012D" w:rsidRPr="007C6545">
        <w:rPr>
          <w:rFonts w:ascii="Arial" w:hAnsi="Arial" w:cs="Arial"/>
          <w:iCs/>
          <w:color w:val="000000" w:themeColor="text1"/>
          <w:lang w:val="en-US"/>
        </w:rPr>
        <w:t xml:space="preserve"> </w:t>
      </w:r>
      <w:r w:rsidR="00FB012D" w:rsidRPr="007C6545">
        <w:rPr>
          <w:rFonts w:ascii="Arial" w:hAnsi="Arial" w:cs="Arial"/>
          <w:color w:val="000000" w:themeColor="text1"/>
        </w:rPr>
        <w:t>is that although concentrations will begin to change immediately after the dose or dosing interval is amended, the impact</w:t>
      </w:r>
      <w:r w:rsidR="00FB012D" w:rsidRPr="007C6545">
        <w:rPr>
          <w:rFonts w:ascii="Arial" w:hAnsi="Arial" w:cs="Arial"/>
          <w:iCs/>
          <w:color w:val="000000" w:themeColor="text1"/>
          <w:lang w:val="en-US"/>
        </w:rPr>
        <w:t xml:space="preserve"> of changes will not be fully apparent for 4 weeks (the time to a new steady state), after which many clinically relevant issues will have either progressed or resolved. </w:t>
      </w:r>
    </w:p>
    <w:p w14:paraId="516C72F1" w14:textId="77777777" w:rsidR="00327B17" w:rsidRPr="007C6545" w:rsidRDefault="00FB012D"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Flucytosine</w:t>
      </w:r>
    </w:p>
    <w:p w14:paraId="48825836" w14:textId="77777777" w:rsidR="00327B17" w:rsidRPr="007C6545" w:rsidRDefault="00FB012D"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lastRenderedPageBreak/>
        <w:t>Flucytosine therapy is a standard-of-care for cryptococcal</w:t>
      </w:r>
      <w:r w:rsidR="00CD6A9D" w:rsidRPr="007C6545">
        <w:rPr>
          <w:rFonts w:ascii="Arial" w:hAnsi="Arial" w:cs="Arial"/>
          <w:color w:val="000000" w:themeColor="text1"/>
        </w:rPr>
        <w:t xml:space="preserve"> meningitis</w:t>
      </w:r>
      <w:r w:rsidR="004477F8" w:rsidRPr="007C6545">
        <w:rPr>
          <w:rFonts w:ascii="Arial" w:hAnsi="Arial" w:cs="Arial"/>
          <w:color w:val="000000" w:themeColor="text1"/>
        </w:rPr>
        <w:t xml:space="preserve">. </w:t>
      </w:r>
      <w:r w:rsidR="00E13765" w:rsidRPr="007C6545">
        <w:rPr>
          <w:rFonts w:ascii="Arial" w:hAnsi="Arial" w:cs="Arial"/>
          <w:color w:val="000000" w:themeColor="text1"/>
        </w:rPr>
        <w:t xml:space="preserve">Flucytosine (5-FC) is a pyrimidine analogue </w:t>
      </w:r>
      <w:r w:rsidR="00D10612" w:rsidRPr="007C6545">
        <w:rPr>
          <w:rFonts w:ascii="Arial" w:hAnsi="Arial" w:cs="Arial"/>
          <w:color w:val="000000" w:themeColor="text1"/>
        </w:rPr>
        <w:t xml:space="preserve">that </w:t>
      </w:r>
      <w:r w:rsidR="00E13765" w:rsidRPr="007C6545">
        <w:rPr>
          <w:rFonts w:ascii="Arial" w:hAnsi="Arial" w:cs="Arial"/>
          <w:color w:val="000000" w:themeColor="text1"/>
        </w:rPr>
        <w:t>has no intrinsic antifungal activity, but</w:t>
      </w:r>
      <w:r w:rsidR="007D63C6" w:rsidRPr="007C6545">
        <w:rPr>
          <w:rFonts w:ascii="Arial" w:hAnsi="Arial" w:cs="Arial"/>
          <w:color w:val="000000" w:themeColor="text1"/>
        </w:rPr>
        <w:t xml:space="preserve"> which</w:t>
      </w:r>
      <w:r w:rsidR="00E13765" w:rsidRPr="007C6545">
        <w:rPr>
          <w:rFonts w:ascii="Arial" w:hAnsi="Arial" w:cs="Arial"/>
          <w:color w:val="000000" w:themeColor="text1"/>
        </w:rPr>
        <w:t xml:space="preserve"> is taken up by susceptible fungal cells and </w:t>
      </w:r>
      <w:proofErr w:type="spellStart"/>
      <w:r w:rsidR="00E13765" w:rsidRPr="007C6545">
        <w:rPr>
          <w:rFonts w:ascii="Arial" w:hAnsi="Arial" w:cs="Arial"/>
          <w:color w:val="000000" w:themeColor="text1"/>
        </w:rPr>
        <w:t>deaminated</w:t>
      </w:r>
      <w:proofErr w:type="spellEnd"/>
      <w:r w:rsidR="00E13765" w:rsidRPr="007C6545">
        <w:rPr>
          <w:rFonts w:ascii="Arial" w:hAnsi="Arial" w:cs="Arial"/>
          <w:color w:val="000000" w:themeColor="text1"/>
        </w:rPr>
        <w:t xml:space="preserve"> to the active metabolite, 5-fluorouracil (5-FU), by the </w:t>
      </w:r>
      <w:r w:rsidR="00886081" w:rsidRPr="007C6545">
        <w:rPr>
          <w:rFonts w:ascii="Arial" w:hAnsi="Arial" w:cs="Arial"/>
          <w:color w:val="000000" w:themeColor="text1"/>
        </w:rPr>
        <w:t xml:space="preserve">fungal </w:t>
      </w:r>
      <w:r w:rsidR="00E13765" w:rsidRPr="007C6545">
        <w:rPr>
          <w:rFonts w:ascii="Arial" w:hAnsi="Arial" w:cs="Arial"/>
          <w:color w:val="000000" w:themeColor="text1"/>
        </w:rPr>
        <w:t>enzyme cytosine deaminase.</w:t>
      </w:r>
      <w:r w:rsidR="00C251E7" w:rsidRPr="007C6545">
        <w:rPr>
          <w:rFonts w:ascii="Arial" w:hAnsi="Arial" w:cs="Arial"/>
          <w:color w:val="000000" w:themeColor="text1"/>
          <w:vertAlign w:val="superscript"/>
        </w:rPr>
        <w:t>62</w:t>
      </w:r>
      <w:r w:rsidR="00E13765" w:rsidRPr="007C6545">
        <w:rPr>
          <w:rFonts w:ascii="Arial" w:hAnsi="Arial" w:cs="Arial"/>
          <w:color w:val="000000" w:themeColor="text1"/>
        </w:rPr>
        <w:t xml:space="preserve"> </w:t>
      </w:r>
      <w:r w:rsidR="00886081" w:rsidRPr="007C6545">
        <w:rPr>
          <w:rFonts w:ascii="Arial" w:hAnsi="Arial" w:cs="Arial"/>
          <w:color w:val="000000" w:themeColor="text1"/>
        </w:rPr>
        <w:t xml:space="preserve"> </w:t>
      </w:r>
      <w:r w:rsidR="003B752C" w:rsidRPr="007C6545">
        <w:rPr>
          <w:rFonts w:ascii="Arial" w:hAnsi="Arial" w:cs="Arial"/>
          <w:color w:val="000000" w:themeColor="text1"/>
        </w:rPr>
        <w:t xml:space="preserve">5-FU is further converted to metabolites </w:t>
      </w:r>
      <w:r w:rsidR="007D63C6" w:rsidRPr="007C6545">
        <w:rPr>
          <w:rFonts w:ascii="Arial" w:hAnsi="Arial" w:cs="Arial"/>
          <w:color w:val="000000" w:themeColor="text1"/>
        </w:rPr>
        <w:t xml:space="preserve">which </w:t>
      </w:r>
      <w:r w:rsidR="003B752C" w:rsidRPr="007C6545">
        <w:rPr>
          <w:rFonts w:ascii="Arial" w:hAnsi="Arial" w:cs="Arial"/>
          <w:color w:val="000000" w:themeColor="text1"/>
        </w:rPr>
        <w:t>inhibit fungal RNA and DNA synthesis.</w:t>
      </w:r>
      <w:r w:rsidR="00C251E7" w:rsidRPr="007C6545">
        <w:rPr>
          <w:rFonts w:ascii="Arial" w:hAnsi="Arial" w:cs="Arial"/>
          <w:color w:val="000000" w:themeColor="text1"/>
          <w:vertAlign w:val="superscript"/>
        </w:rPr>
        <w:t>63</w:t>
      </w:r>
      <w:r w:rsidR="003B752C" w:rsidRPr="007C6545">
        <w:rPr>
          <w:rFonts w:ascii="Arial" w:hAnsi="Arial" w:cs="Arial"/>
          <w:color w:val="000000" w:themeColor="text1"/>
        </w:rPr>
        <w:t xml:space="preserve"> </w:t>
      </w:r>
      <w:r w:rsidR="00886081" w:rsidRPr="007C6545">
        <w:rPr>
          <w:rFonts w:ascii="Arial" w:hAnsi="Arial" w:cs="Arial"/>
          <w:color w:val="000000" w:themeColor="text1"/>
        </w:rPr>
        <w:t>5</w:t>
      </w:r>
      <w:r w:rsidR="003C70B8" w:rsidRPr="007C6545">
        <w:rPr>
          <w:rFonts w:ascii="Arial" w:hAnsi="Arial" w:cs="Arial"/>
          <w:color w:val="000000" w:themeColor="text1"/>
        </w:rPr>
        <w:t xml:space="preserve">-FU is active against most </w:t>
      </w:r>
      <w:r w:rsidR="003C70B8" w:rsidRPr="007C6545">
        <w:rPr>
          <w:rFonts w:ascii="Arial" w:hAnsi="Arial" w:cs="Arial"/>
          <w:i/>
          <w:color w:val="000000" w:themeColor="text1"/>
        </w:rPr>
        <w:t xml:space="preserve">Candida </w:t>
      </w:r>
      <w:r w:rsidR="003C70B8" w:rsidRPr="007C6545">
        <w:rPr>
          <w:rFonts w:ascii="Arial" w:hAnsi="Arial" w:cs="Arial"/>
          <w:color w:val="000000" w:themeColor="text1"/>
        </w:rPr>
        <w:t xml:space="preserve">spp. and </w:t>
      </w:r>
      <w:r w:rsidR="003C70B8" w:rsidRPr="007C6545">
        <w:rPr>
          <w:rFonts w:ascii="Arial" w:hAnsi="Arial" w:cs="Arial"/>
          <w:i/>
          <w:color w:val="000000" w:themeColor="text1"/>
        </w:rPr>
        <w:t xml:space="preserve">C. neoformans </w:t>
      </w:r>
      <w:r w:rsidR="007D63C6" w:rsidRPr="007C6545">
        <w:rPr>
          <w:rFonts w:ascii="Arial" w:hAnsi="Arial" w:cs="Arial"/>
          <w:color w:val="000000" w:themeColor="text1"/>
        </w:rPr>
        <w:t>and has</w:t>
      </w:r>
      <w:r w:rsidR="00886081" w:rsidRPr="007C6545">
        <w:rPr>
          <w:rFonts w:ascii="Arial" w:hAnsi="Arial" w:cs="Arial"/>
          <w:color w:val="000000" w:themeColor="text1"/>
        </w:rPr>
        <w:t xml:space="preserve"> some activity against </w:t>
      </w:r>
      <w:r w:rsidR="003C70B8" w:rsidRPr="007C6545">
        <w:rPr>
          <w:rFonts w:ascii="Arial" w:hAnsi="Arial" w:cs="Arial"/>
          <w:i/>
          <w:color w:val="000000" w:themeColor="text1"/>
        </w:rPr>
        <w:t>Aspergillus</w:t>
      </w:r>
      <w:r w:rsidR="003C70B8" w:rsidRPr="007C6545">
        <w:rPr>
          <w:rFonts w:ascii="Arial" w:hAnsi="Arial" w:cs="Arial"/>
          <w:color w:val="000000" w:themeColor="text1"/>
        </w:rPr>
        <w:t xml:space="preserve"> spp. </w:t>
      </w:r>
      <w:r w:rsidR="00886081" w:rsidRPr="007C6545">
        <w:rPr>
          <w:rFonts w:ascii="Arial" w:hAnsi="Arial" w:cs="Arial"/>
          <w:color w:val="000000" w:themeColor="text1"/>
        </w:rPr>
        <w:t xml:space="preserve"> </w:t>
      </w:r>
      <w:r w:rsidR="003C70B8" w:rsidRPr="007C6545">
        <w:rPr>
          <w:rFonts w:ascii="Arial" w:hAnsi="Arial" w:cs="Arial"/>
          <w:color w:val="000000" w:themeColor="text1"/>
        </w:rPr>
        <w:t xml:space="preserve">Administration of 5-FC should always be </w:t>
      </w:r>
      <w:r w:rsidR="007D63C6" w:rsidRPr="007C6545">
        <w:rPr>
          <w:rFonts w:ascii="Arial" w:hAnsi="Arial" w:cs="Arial"/>
          <w:color w:val="000000" w:themeColor="text1"/>
        </w:rPr>
        <w:t>combined</w:t>
      </w:r>
      <w:r w:rsidR="003C70B8" w:rsidRPr="007C6545">
        <w:rPr>
          <w:rFonts w:ascii="Arial" w:hAnsi="Arial" w:cs="Arial"/>
          <w:color w:val="000000" w:themeColor="text1"/>
        </w:rPr>
        <w:t xml:space="preserve"> with other antifungal agents because of the significant risk of resistance acquisition when used as monotherapy.</w:t>
      </w:r>
      <w:r w:rsidR="00C251E7" w:rsidRPr="007C6545">
        <w:rPr>
          <w:rFonts w:ascii="Arial" w:hAnsi="Arial" w:cs="Arial"/>
          <w:color w:val="000000" w:themeColor="text1"/>
          <w:vertAlign w:val="superscript"/>
        </w:rPr>
        <w:t>62</w:t>
      </w:r>
      <w:r w:rsidR="00FA58C9" w:rsidRPr="007C6545">
        <w:rPr>
          <w:rFonts w:ascii="Arial" w:hAnsi="Arial" w:cs="Arial"/>
          <w:color w:val="000000" w:themeColor="text1"/>
        </w:rPr>
        <w:t xml:space="preserve"> It is indicated as an adjunct to amphotericin for the treatment of </w:t>
      </w:r>
      <w:r w:rsidR="00886081" w:rsidRPr="007C6545">
        <w:rPr>
          <w:rFonts w:ascii="Arial" w:hAnsi="Arial" w:cs="Arial"/>
          <w:color w:val="000000" w:themeColor="text1"/>
        </w:rPr>
        <w:t xml:space="preserve">some cases of </w:t>
      </w:r>
      <w:r w:rsidR="00FA58C9" w:rsidRPr="007C6545">
        <w:rPr>
          <w:rFonts w:ascii="Arial" w:hAnsi="Arial" w:cs="Arial"/>
          <w:color w:val="000000" w:themeColor="text1"/>
        </w:rPr>
        <w:t xml:space="preserve">severe systemic candidiasis and </w:t>
      </w:r>
      <w:r w:rsidR="00886081" w:rsidRPr="007C6545">
        <w:rPr>
          <w:rFonts w:ascii="Arial" w:hAnsi="Arial" w:cs="Arial"/>
          <w:color w:val="000000" w:themeColor="text1"/>
        </w:rPr>
        <w:t>is a routine</w:t>
      </w:r>
      <w:r w:rsidR="004053C2" w:rsidRPr="007C6545">
        <w:rPr>
          <w:rFonts w:ascii="Arial" w:hAnsi="Arial" w:cs="Arial"/>
          <w:color w:val="000000" w:themeColor="text1"/>
        </w:rPr>
        <w:t xml:space="preserve"> </w:t>
      </w:r>
      <w:r w:rsidR="00882A71" w:rsidRPr="007C6545">
        <w:rPr>
          <w:rFonts w:ascii="Arial" w:hAnsi="Arial" w:cs="Arial"/>
          <w:color w:val="000000" w:themeColor="text1"/>
        </w:rPr>
        <w:t>component of</w:t>
      </w:r>
      <w:r w:rsidR="00886081" w:rsidRPr="007C6545">
        <w:rPr>
          <w:rFonts w:ascii="Arial" w:hAnsi="Arial" w:cs="Arial"/>
          <w:color w:val="000000" w:themeColor="text1"/>
        </w:rPr>
        <w:t xml:space="preserve"> induction therapy </w:t>
      </w:r>
      <w:r w:rsidR="00882A71" w:rsidRPr="007C6545">
        <w:rPr>
          <w:rFonts w:ascii="Arial" w:hAnsi="Arial" w:cs="Arial"/>
          <w:color w:val="000000" w:themeColor="text1"/>
        </w:rPr>
        <w:t xml:space="preserve">for </w:t>
      </w:r>
      <w:r w:rsidR="00FA58C9" w:rsidRPr="007C6545">
        <w:rPr>
          <w:rFonts w:ascii="Arial" w:hAnsi="Arial" w:cs="Arial"/>
          <w:color w:val="000000" w:themeColor="text1"/>
        </w:rPr>
        <w:t>cryptococcal meningitis.</w:t>
      </w:r>
      <w:r w:rsidR="00EB39C5" w:rsidRPr="007C6545">
        <w:rPr>
          <w:rFonts w:ascii="Arial" w:hAnsi="Arial" w:cs="Arial"/>
          <w:color w:val="000000" w:themeColor="text1"/>
          <w:vertAlign w:val="superscript"/>
        </w:rPr>
        <w:t>3</w:t>
      </w:r>
    </w:p>
    <w:p w14:paraId="4B7EEAE1" w14:textId="77777777" w:rsidR="00F11ED6" w:rsidRPr="007C6545" w:rsidRDefault="003C70B8"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5-FC </w:t>
      </w:r>
      <w:r w:rsidR="00C119B7" w:rsidRPr="007C6545">
        <w:rPr>
          <w:rFonts w:ascii="Arial" w:hAnsi="Arial" w:cs="Arial"/>
          <w:color w:val="000000" w:themeColor="text1"/>
        </w:rPr>
        <w:t>displays</w:t>
      </w:r>
      <w:r w:rsidR="00841D67" w:rsidRPr="007C6545">
        <w:rPr>
          <w:rFonts w:ascii="Arial" w:hAnsi="Arial" w:cs="Arial"/>
          <w:color w:val="000000" w:themeColor="text1"/>
        </w:rPr>
        <w:t xml:space="preserve"> </w:t>
      </w:r>
      <w:r w:rsidRPr="007C6545">
        <w:rPr>
          <w:rFonts w:ascii="Arial" w:hAnsi="Arial" w:cs="Arial"/>
          <w:color w:val="000000" w:themeColor="text1"/>
        </w:rPr>
        <w:t xml:space="preserve">excellent bioavailability </w:t>
      </w:r>
      <w:r w:rsidR="00886081" w:rsidRPr="007C6545">
        <w:rPr>
          <w:rFonts w:ascii="Arial" w:hAnsi="Arial" w:cs="Arial"/>
          <w:color w:val="000000" w:themeColor="text1"/>
        </w:rPr>
        <w:t>(approximately</w:t>
      </w:r>
      <w:r w:rsidR="00841D67" w:rsidRPr="007C6545">
        <w:rPr>
          <w:rFonts w:ascii="Arial" w:hAnsi="Arial" w:cs="Arial"/>
          <w:color w:val="000000" w:themeColor="text1"/>
        </w:rPr>
        <w:t xml:space="preserve"> 90%</w:t>
      </w:r>
      <w:r w:rsidR="00886081" w:rsidRPr="007C6545">
        <w:rPr>
          <w:rFonts w:ascii="Arial" w:hAnsi="Arial" w:cs="Arial"/>
          <w:color w:val="000000" w:themeColor="text1"/>
        </w:rPr>
        <w:t>)</w:t>
      </w:r>
      <w:r w:rsidR="00841D67" w:rsidRPr="007C6545">
        <w:rPr>
          <w:rFonts w:ascii="Arial" w:hAnsi="Arial" w:cs="Arial"/>
          <w:color w:val="000000" w:themeColor="text1"/>
        </w:rPr>
        <w:t xml:space="preserve"> </w:t>
      </w:r>
      <w:r w:rsidR="00886081" w:rsidRPr="007C6545">
        <w:rPr>
          <w:rFonts w:ascii="Arial" w:hAnsi="Arial" w:cs="Arial"/>
          <w:color w:val="000000" w:themeColor="text1"/>
        </w:rPr>
        <w:t xml:space="preserve">following </w:t>
      </w:r>
      <w:r w:rsidR="00841D67" w:rsidRPr="007C6545">
        <w:rPr>
          <w:rFonts w:ascii="Arial" w:hAnsi="Arial" w:cs="Arial"/>
          <w:color w:val="000000" w:themeColor="text1"/>
        </w:rPr>
        <w:t>oral administration</w:t>
      </w:r>
      <w:r w:rsidR="007A50FD" w:rsidRPr="007C6545">
        <w:rPr>
          <w:rFonts w:ascii="Arial" w:hAnsi="Arial" w:cs="Arial"/>
          <w:color w:val="000000" w:themeColor="text1"/>
        </w:rPr>
        <w:t xml:space="preserve">. </w:t>
      </w:r>
      <w:r w:rsidR="00FB5A76" w:rsidRPr="007C6545">
        <w:rPr>
          <w:rFonts w:ascii="Arial" w:hAnsi="Arial" w:cs="Arial"/>
          <w:color w:val="000000" w:themeColor="text1"/>
        </w:rPr>
        <w:t>P</w:t>
      </w:r>
      <w:r w:rsidR="00CB6896" w:rsidRPr="007C6545">
        <w:rPr>
          <w:rFonts w:ascii="Arial" w:hAnsi="Arial" w:cs="Arial"/>
          <w:color w:val="000000" w:themeColor="text1"/>
        </w:rPr>
        <w:t>rotein</w:t>
      </w:r>
      <w:r w:rsidR="00FB5A76" w:rsidRPr="007C6545">
        <w:rPr>
          <w:rFonts w:ascii="Arial" w:hAnsi="Arial" w:cs="Arial"/>
          <w:color w:val="000000" w:themeColor="text1"/>
        </w:rPr>
        <w:t xml:space="preserve"> binding is negligible</w:t>
      </w:r>
      <w:r w:rsidR="00E602C3" w:rsidRPr="007C6545">
        <w:rPr>
          <w:rFonts w:ascii="Arial" w:hAnsi="Arial" w:cs="Arial"/>
          <w:color w:val="000000" w:themeColor="text1"/>
        </w:rPr>
        <w:t xml:space="preserve"> (2</w:t>
      </w:r>
      <w:r w:rsidR="007D3CAC" w:rsidRPr="007C6545">
        <w:rPr>
          <w:rFonts w:ascii="Arial" w:hAnsi="Arial" w:cs="Arial"/>
          <w:color w:val="000000" w:themeColor="text1"/>
        </w:rPr>
        <w:t>–</w:t>
      </w:r>
      <w:r w:rsidR="00E602C3" w:rsidRPr="007C6545">
        <w:rPr>
          <w:rFonts w:ascii="Arial" w:hAnsi="Arial" w:cs="Arial"/>
          <w:color w:val="000000" w:themeColor="text1"/>
        </w:rPr>
        <w:t>4%)</w:t>
      </w:r>
      <w:r w:rsidR="00FB5A76" w:rsidRPr="007C6545">
        <w:rPr>
          <w:rFonts w:ascii="Arial" w:hAnsi="Arial" w:cs="Arial"/>
          <w:color w:val="000000" w:themeColor="text1"/>
        </w:rPr>
        <w:t>.</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4</w:t>
      </w:r>
      <w:r w:rsidR="00FB5A76" w:rsidRPr="007C6545">
        <w:rPr>
          <w:rFonts w:ascii="Arial" w:hAnsi="Arial" w:cs="Arial"/>
          <w:color w:val="000000" w:themeColor="text1"/>
        </w:rPr>
        <w:t xml:space="preserve">  5-FC</w:t>
      </w:r>
      <w:r w:rsidR="00CB6896" w:rsidRPr="007C6545">
        <w:rPr>
          <w:rFonts w:ascii="Arial" w:hAnsi="Arial" w:cs="Arial"/>
          <w:color w:val="000000" w:themeColor="text1"/>
        </w:rPr>
        <w:t xml:space="preserve"> </w:t>
      </w:r>
      <w:r w:rsidR="00FB5A76" w:rsidRPr="007C6545">
        <w:rPr>
          <w:rFonts w:ascii="Arial" w:hAnsi="Arial" w:cs="Arial"/>
          <w:color w:val="000000" w:themeColor="text1"/>
        </w:rPr>
        <w:t>readily</w:t>
      </w:r>
      <w:r w:rsidR="007A50FD" w:rsidRPr="007C6545">
        <w:rPr>
          <w:rFonts w:ascii="Arial" w:hAnsi="Arial" w:cs="Arial"/>
          <w:color w:val="000000" w:themeColor="text1"/>
        </w:rPr>
        <w:t xml:space="preserve"> </w:t>
      </w:r>
      <w:r w:rsidRPr="007C6545">
        <w:rPr>
          <w:rFonts w:ascii="Arial" w:hAnsi="Arial" w:cs="Arial"/>
          <w:color w:val="000000" w:themeColor="text1"/>
        </w:rPr>
        <w:t xml:space="preserve">penetrates the blood brain barrier </w:t>
      </w:r>
      <w:r w:rsidR="00FB5A76" w:rsidRPr="007C6545">
        <w:rPr>
          <w:rFonts w:ascii="Arial" w:hAnsi="Arial" w:cs="Arial"/>
          <w:color w:val="000000" w:themeColor="text1"/>
        </w:rPr>
        <w:t>and achieves effective concentrations in the</w:t>
      </w:r>
      <w:r w:rsidR="00CB6896" w:rsidRPr="007C6545">
        <w:rPr>
          <w:rFonts w:ascii="Arial" w:hAnsi="Arial" w:cs="Arial"/>
          <w:color w:val="000000" w:themeColor="text1"/>
        </w:rPr>
        <w:t xml:space="preserve"> vitreous, peritoneal and synovial fluid</w:t>
      </w:r>
      <w:r w:rsidR="00C119B7" w:rsidRPr="007C6545">
        <w:rPr>
          <w:rFonts w:ascii="Arial" w:hAnsi="Arial" w:cs="Arial"/>
          <w:color w:val="000000" w:themeColor="text1"/>
        </w:rPr>
        <w:t>,</w:t>
      </w:r>
      <w:r w:rsidR="00CB6896" w:rsidRPr="007C6545">
        <w:rPr>
          <w:rFonts w:ascii="Arial" w:hAnsi="Arial" w:cs="Arial"/>
          <w:color w:val="000000" w:themeColor="text1"/>
        </w:rPr>
        <w:t xml:space="preserve"> making it </w:t>
      </w:r>
      <w:r w:rsidR="007A50FD" w:rsidRPr="007C6545">
        <w:rPr>
          <w:rFonts w:ascii="Arial" w:hAnsi="Arial" w:cs="Arial"/>
          <w:color w:val="000000" w:themeColor="text1"/>
        </w:rPr>
        <w:t>valuable</w:t>
      </w:r>
      <w:r w:rsidR="00CB6896" w:rsidRPr="007C6545">
        <w:rPr>
          <w:rFonts w:ascii="Arial" w:hAnsi="Arial" w:cs="Arial"/>
          <w:color w:val="000000" w:themeColor="text1"/>
        </w:rPr>
        <w:t xml:space="preserve"> for </w:t>
      </w:r>
      <w:r w:rsidR="007A50FD" w:rsidRPr="007C6545">
        <w:rPr>
          <w:rFonts w:ascii="Arial" w:hAnsi="Arial" w:cs="Arial"/>
          <w:color w:val="000000" w:themeColor="text1"/>
        </w:rPr>
        <w:t xml:space="preserve">treatment of </w:t>
      </w:r>
      <w:r w:rsidR="00CB6896" w:rsidRPr="007C6545">
        <w:rPr>
          <w:rFonts w:ascii="Arial" w:hAnsi="Arial" w:cs="Arial"/>
          <w:color w:val="000000" w:themeColor="text1"/>
        </w:rPr>
        <w:t xml:space="preserve">deep </w:t>
      </w:r>
      <w:r w:rsidR="003650E3" w:rsidRPr="007C6545">
        <w:rPr>
          <w:rFonts w:ascii="Arial" w:hAnsi="Arial" w:cs="Arial"/>
          <w:i/>
          <w:color w:val="000000" w:themeColor="text1"/>
        </w:rPr>
        <w:t>Candida</w:t>
      </w:r>
      <w:r w:rsidR="003650E3" w:rsidRPr="007C6545">
        <w:rPr>
          <w:rFonts w:ascii="Arial" w:hAnsi="Arial" w:cs="Arial"/>
          <w:color w:val="000000" w:themeColor="text1"/>
        </w:rPr>
        <w:t xml:space="preserve"> </w:t>
      </w:r>
      <w:r w:rsidR="00CB6896" w:rsidRPr="007C6545">
        <w:rPr>
          <w:rFonts w:ascii="Arial" w:hAnsi="Arial" w:cs="Arial"/>
          <w:color w:val="000000" w:themeColor="text1"/>
        </w:rPr>
        <w:t xml:space="preserve">infections </w:t>
      </w:r>
      <w:r w:rsidR="003650E3" w:rsidRPr="007C6545">
        <w:rPr>
          <w:rFonts w:ascii="Arial" w:hAnsi="Arial" w:cs="Arial"/>
          <w:color w:val="000000" w:themeColor="text1"/>
        </w:rPr>
        <w:t xml:space="preserve">that are otherwise </w:t>
      </w:r>
      <w:r w:rsidR="00CB6896" w:rsidRPr="007C6545">
        <w:rPr>
          <w:rFonts w:ascii="Arial" w:hAnsi="Arial" w:cs="Arial"/>
          <w:color w:val="000000" w:themeColor="text1"/>
        </w:rPr>
        <w:t xml:space="preserve">refractory to </w:t>
      </w:r>
      <w:r w:rsidR="003650E3" w:rsidRPr="007C6545">
        <w:rPr>
          <w:rFonts w:ascii="Arial" w:hAnsi="Arial" w:cs="Arial"/>
          <w:color w:val="000000" w:themeColor="text1"/>
        </w:rPr>
        <w:t>first-line agents</w:t>
      </w:r>
      <w:r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5A1824" w:rsidRPr="007C6545">
        <w:rPr>
          <w:rFonts w:ascii="Arial" w:hAnsi="Arial" w:cs="Arial"/>
          <w:color w:val="000000" w:themeColor="text1"/>
          <w:vertAlign w:val="superscript"/>
        </w:rPr>
        <w:t>7</w:t>
      </w:r>
      <w:r w:rsidR="00EB39C5" w:rsidRPr="007C6545">
        <w:rPr>
          <w:rFonts w:ascii="Arial" w:hAnsi="Arial" w:cs="Arial"/>
          <w:color w:val="000000" w:themeColor="text1"/>
          <w:vertAlign w:val="superscript"/>
        </w:rPr>
        <w:t>,</w:t>
      </w:r>
      <w:r w:rsidR="00C251E7" w:rsidRPr="007C6545">
        <w:rPr>
          <w:rFonts w:ascii="Arial" w:hAnsi="Arial" w:cs="Arial"/>
          <w:color w:val="000000" w:themeColor="text1"/>
          <w:vertAlign w:val="superscript"/>
        </w:rPr>
        <w:t>63</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5</w:t>
      </w:r>
      <w:r w:rsidR="00CB6896" w:rsidRPr="007C6545">
        <w:rPr>
          <w:rFonts w:ascii="Arial" w:hAnsi="Arial" w:cs="Arial"/>
          <w:color w:val="000000" w:themeColor="text1"/>
        </w:rPr>
        <w:t xml:space="preserve"> </w:t>
      </w:r>
      <w:r w:rsidR="00150B06" w:rsidRPr="007C6545">
        <w:rPr>
          <w:rFonts w:ascii="Arial" w:hAnsi="Arial" w:cs="Arial"/>
          <w:color w:val="000000" w:themeColor="text1"/>
        </w:rPr>
        <w:t>Since hepatic metabolism is minimal and more than 90% of the drug is excreted unchanged in urine, dose reduction is required in renal impairment.</w:t>
      </w:r>
      <w:r w:rsidR="00EB39C5" w:rsidRPr="007C6545">
        <w:rPr>
          <w:rFonts w:ascii="Arial" w:hAnsi="Arial" w:cs="Arial"/>
          <w:color w:val="000000" w:themeColor="text1"/>
          <w:vertAlign w:val="superscript"/>
        </w:rPr>
        <w:t>1</w:t>
      </w:r>
      <w:r w:rsidR="005A1824" w:rsidRPr="007C6545">
        <w:rPr>
          <w:rFonts w:ascii="Arial" w:hAnsi="Arial" w:cs="Arial"/>
          <w:color w:val="000000" w:themeColor="text1"/>
          <w:vertAlign w:val="superscript"/>
        </w:rPr>
        <w:t>7</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6</w:t>
      </w:r>
      <w:r w:rsidR="00150B06" w:rsidRPr="007C6545">
        <w:rPr>
          <w:rFonts w:ascii="Arial" w:hAnsi="Arial" w:cs="Arial"/>
          <w:color w:val="000000" w:themeColor="text1"/>
        </w:rPr>
        <w:t xml:space="preserve"> </w:t>
      </w:r>
      <w:r w:rsidR="00073F0D" w:rsidRPr="007C6545">
        <w:rPr>
          <w:rFonts w:ascii="Arial" w:hAnsi="Arial" w:cs="Arial"/>
          <w:color w:val="000000" w:themeColor="text1"/>
        </w:rPr>
        <w:t xml:space="preserve">In patients with normal renal function, </w:t>
      </w:r>
      <w:proofErr w:type="spellStart"/>
      <w:r w:rsidR="00073F0D" w:rsidRPr="007C6545">
        <w:rPr>
          <w:rFonts w:ascii="Arial" w:hAnsi="Arial" w:cs="Arial"/>
          <w:color w:val="000000" w:themeColor="text1"/>
        </w:rPr>
        <w:t>C</w:t>
      </w:r>
      <w:r w:rsidR="00EB39C5" w:rsidRPr="007C6545">
        <w:rPr>
          <w:rFonts w:ascii="Arial" w:hAnsi="Arial" w:cs="Arial"/>
          <w:color w:val="000000" w:themeColor="text1"/>
          <w:vertAlign w:val="subscript"/>
        </w:rPr>
        <w:t>max</w:t>
      </w:r>
      <w:proofErr w:type="spellEnd"/>
      <w:r w:rsidR="00073F0D" w:rsidRPr="007C6545">
        <w:rPr>
          <w:rFonts w:ascii="Arial" w:hAnsi="Arial" w:cs="Arial"/>
          <w:color w:val="000000" w:themeColor="text1"/>
        </w:rPr>
        <w:t xml:space="preserve"> is reached within 1</w:t>
      </w:r>
      <w:r w:rsidR="007D3CAC" w:rsidRPr="007C6545">
        <w:rPr>
          <w:rFonts w:ascii="Arial" w:hAnsi="Arial" w:cs="Arial"/>
          <w:color w:val="000000" w:themeColor="text1"/>
        </w:rPr>
        <w:t>–</w:t>
      </w:r>
      <w:r w:rsidR="00073F0D" w:rsidRPr="007C6545">
        <w:rPr>
          <w:rFonts w:ascii="Arial" w:hAnsi="Arial" w:cs="Arial"/>
          <w:color w:val="000000" w:themeColor="text1"/>
        </w:rPr>
        <w:t>2 hours</w:t>
      </w:r>
      <w:r w:rsidR="00150B06" w:rsidRPr="007C6545">
        <w:rPr>
          <w:rFonts w:ascii="Arial" w:hAnsi="Arial" w:cs="Arial"/>
          <w:color w:val="000000" w:themeColor="text1"/>
        </w:rPr>
        <w:t xml:space="preserve"> at steady state. </w:t>
      </w:r>
      <w:r w:rsidR="007D63C6" w:rsidRPr="007C6545">
        <w:rPr>
          <w:rFonts w:ascii="Arial" w:hAnsi="Arial" w:cs="Arial"/>
          <w:color w:val="000000" w:themeColor="text1"/>
        </w:rPr>
        <w:t>The h</w:t>
      </w:r>
      <w:r w:rsidR="00150B06" w:rsidRPr="007C6545">
        <w:rPr>
          <w:rFonts w:ascii="Arial" w:hAnsi="Arial" w:cs="Arial"/>
          <w:color w:val="000000" w:themeColor="text1"/>
        </w:rPr>
        <w:t>alf-life is 3</w:t>
      </w:r>
      <w:r w:rsidR="007D3CAC" w:rsidRPr="007C6545">
        <w:rPr>
          <w:rFonts w:ascii="Arial" w:hAnsi="Arial" w:cs="Arial"/>
          <w:color w:val="000000" w:themeColor="text1"/>
        </w:rPr>
        <w:t>–</w:t>
      </w:r>
      <w:r w:rsidR="00150B06" w:rsidRPr="007C6545">
        <w:rPr>
          <w:rFonts w:ascii="Arial" w:hAnsi="Arial" w:cs="Arial"/>
          <w:color w:val="000000" w:themeColor="text1"/>
        </w:rPr>
        <w:t>4 hours in patients with normal renal function but this can increase to several days in those with renal impairment or anuria.</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7</w:t>
      </w:r>
      <w:r w:rsidR="00073F0D" w:rsidRPr="007C6545">
        <w:rPr>
          <w:rFonts w:ascii="Arial" w:hAnsi="Arial" w:cs="Arial"/>
          <w:color w:val="000000" w:themeColor="text1"/>
        </w:rPr>
        <w:t xml:space="preserve"> </w:t>
      </w:r>
    </w:p>
    <w:p w14:paraId="5F059CB8" w14:textId="77777777" w:rsidR="00353771" w:rsidRPr="007C6545" w:rsidRDefault="003650E3"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5</w:t>
      </w:r>
      <w:r w:rsidR="007D3CAC" w:rsidRPr="007C6545">
        <w:rPr>
          <w:rFonts w:ascii="Arial" w:hAnsi="Arial" w:cs="Arial"/>
          <w:color w:val="000000" w:themeColor="text1"/>
        </w:rPr>
        <w:t>-</w:t>
      </w:r>
      <w:r w:rsidRPr="007C6545">
        <w:rPr>
          <w:rFonts w:ascii="Arial" w:hAnsi="Arial" w:cs="Arial"/>
          <w:color w:val="000000" w:themeColor="text1"/>
        </w:rPr>
        <w:t xml:space="preserve">FC exhibits significant </w:t>
      </w:r>
      <w:r w:rsidR="00D835F3" w:rsidRPr="007C6545">
        <w:rPr>
          <w:rFonts w:ascii="Arial" w:hAnsi="Arial" w:cs="Arial"/>
          <w:color w:val="000000" w:themeColor="text1"/>
        </w:rPr>
        <w:t>inter-</w:t>
      </w:r>
      <w:r w:rsidR="00F11ED6" w:rsidRPr="007C6545">
        <w:rPr>
          <w:rFonts w:ascii="Arial" w:hAnsi="Arial" w:cs="Arial"/>
          <w:color w:val="000000" w:themeColor="text1"/>
        </w:rPr>
        <w:t xml:space="preserve">patient </w:t>
      </w:r>
      <w:r w:rsidRPr="007C6545">
        <w:rPr>
          <w:rFonts w:ascii="Arial" w:hAnsi="Arial" w:cs="Arial"/>
          <w:color w:val="000000" w:themeColor="text1"/>
        </w:rPr>
        <w:t xml:space="preserve">pharmacokinetic </w:t>
      </w:r>
      <w:r w:rsidR="00F11ED6" w:rsidRPr="007C6545">
        <w:rPr>
          <w:rFonts w:ascii="Arial" w:hAnsi="Arial" w:cs="Arial"/>
          <w:color w:val="000000" w:themeColor="text1"/>
        </w:rPr>
        <w:t>variability.</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8</w:t>
      </w:r>
      <w:r w:rsidR="00F11ED6" w:rsidRPr="007C6545">
        <w:rPr>
          <w:rFonts w:ascii="Arial" w:hAnsi="Arial" w:cs="Arial"/>
          <w:color w:val="000000" w:themeColor="text1"/>
        </w:rPr>
        <w:t xml:space="preserve"> </w:t>
      </w:r>
      <w:r w:rsidR="00353771" w:rsidRPr="007C6545">
        <w:rPr>
          <w:rFonts w:ascii="Arial" w:hAnsi="Arial" w:cs="Arial"/>
          <w:color w:val="000000" w:themeColor="text1"/>
        </w:rPr>
        <w:t>A precise</w:t>
      </w:r>
      <w:r w:rsidR="000E4C8E" w:rsidRPr="007C6545">
        <w:rPr>
          <w:rFonts w:ascii="Arial" w:hAnsi="Arial" w:cs="Arial"/>
          <w:color w:val="000000" w:themeColor="text1"/>
        </w:rPr>
        <w:t xml:space="preserve"> </w:t>
      </w:r>
      <w:r w:rsidR="00C36581" w:rsidRPr="007C6545">
        <w:rPr>
          <w:rFonts w:ascii="Arial" w:hAnsi="Arial" w:cs="Arial"/>
          <w:color w:val="000000" w:themeColor="text1"/>
        </w:rPr>
        <w:t xml:space="preserve">target </w:t>
      </w:r>
      <w:r w:rsidR="000E4C8E" w:rsidRPr="007C6545">
        <w:rPr>
          <w:rFonts w:ascii="Arial" w:hAnsi="Arial" w:cs="Arial"/>
          <w:color w:val="000000" w:themeColor="text1"/>
        </w:rPr>
        <w:t xml:space="preserve">range </w:t>
      </w:r>
      <w:r w:rsidR="007D63C6" w:rsidRPr="007C6545">
        <w:rPr>
          <w:rFonts w:ascii="Arial" w:hAnsi="Arial" w:cs="Arial"/>
          <w:color w:val="000000" w:themeColor="text1"/>
        </w:rPr>
        <w:t>for</w:t>
      </w:r>
      <w:r w:rsidR="000E4C8E" w:rsidRPr="007C6545">
        <w:rPr>
          <w:rFonts w:ascii="Arial" w:hAnsi="Arial" w:cs="Arial"/>
          <w:color w:val="000000" w:themeColor="text1"/>
        </w:rPr>
        <w:t xml:space="preserve"> </w:t>
      </w:r>
      <w:r w:rsidR="00C36581" w:rsidRPr="007C6545">
        <w:rPr>
          <w:rFonts w:ascii="Arial" w:hAnsi="Arial" w:cs="Arial"/>
          <w:color w:val="000000" w:themeColor="text1"/>
        </w:rPr>
        <w:t>serum concentrations of 5-FC for TDM is not universally agreed. Recommendations from the B</w:t>
      </w:r>
      <w:r w:rsidR="00A46021" w:rsidRPr="007C6545">
        <w:rPr>
          <w:rFonts w:ascii="Arial" w:hAnsi="Arial" w:cs="Arial"/>
          <w:color w:val="000000" w:themeColor="text1"/>
        </w:rPr>
        <w:t>SMM</w:t>
      </w:r>
      <w:r w:rsidR="00C36581" w:rsidRPr="007C6545">
        <w:rPr>
          <w:rFonts w:ascii="Arial" w:hAnsi="Arial" w:cs="Arial"/>
          <w:color w:val="000000" w:themeColor="text1"/>
        </w:rPr>
        <w:t xml:space="preserve"> are based on </w:t>
      </w:r>
      <w:r w:rsidR="00EB39C5" w:rsidRPr="007C6545">
        <w:rPr>
          <w:rFonts w:ascii="Arial" w:hAnsi="Arial" w:cs="Arial"/>
          <w:i/>
          <w:color w:val="000000" w:themeColor="text1"/>
        </w:rPr>
        <w:t>in vitro</w:t>
      </w:r>
      <w:r w:rsidR="00C36581" w:rsidRPr="007C6545">
        <w:rPr>
          <w:rFonts w:ascii="Arial" w:hAnsi="Arial" w:cs="Arial"/>
          <w:color w:val="000000" w:themeColor="text1"/>
        </w:rPr>
        <w:t xml:space="preserve"> evidence that yeasts exposed to trough concentrations less than 20</w:t>
      </w:r>
      <w:r w:rsidR="007D3CAC" w:rsidRPr="007C6545">
        <w:rPr>
          <w:rFonts w:ascii="Arial" w:hAnsi="Arial" w:cs="Arial"/>
          <w:color w:val="000000" w:themeColor="text1"/>
        </w:rPr>
        <w:t>–</w:t>
      </w:r>
      <w:r w:rsidR="00C36581" w:rsidRPr="007C6545">
        <w:rPr>
          <w:rFonts w:ascii="Arial" w:hAnsi="Arial" w:cs="Arial"/>
          <w:color w:val="000000" w:themeColor="text1"/>
        </w:rPr>
        <w:t>40mg/L develop resistance</w:t>
      </w:r>
      <w:r w:rsidR="00A46021" w:rsidRPr="007C6545">
        <w:rPr>
          <w:rFonts w:ascii="Arial" w:hAnsi="Arial" w:cs="Arial"/>
          <w:color w:val="000000" w:themeColor="text1"/>
        </w:rPr>
        <w:t xml:space="preserve">, and </w:t>
      </w:r>
      <w:r w:rsidR="007D63C6" w:rsidRPr="007C6545">
        <w:rPr>
          <w:rFonts w:ascii="Arial" w:hAnsi="Arial" w:cs="Arial"/>
          <w:color w:val="000000" w:themeColor="text1"/>
        </w:rPr>
        <w:t xml:space="preserve">that </w:t>
      </w:r>
      <w:r w:rsidR="00A46021" w:rsidRPr="007C6545">
        <w:rPr>
          <w:rFonts w:ascii="Arial" w:hAnsi="Arial" w:cs="Arial"/>
          <w:color w:val="000000" w:themeColor="text1"/>
        </w:rPr>
        <w:t>peak concentrations &gt;100mg/L are associated with myelotoxicity</w:t>
      </w:r>
      <w:r w:rsidR="00961867" w:rsidRPr="007C6545">
        <w:rPr>
          <w:rFonts w:ascii="Arial" w:hAnsi="Arial" w:cs="Arial"/>
          <w:color w:val="000000" w:themeColor="text1"/>
        </w:rPr>
        <w:t xml:space="preserve"> and hepatotoxicity</w:t>
      </w:r>
      <w:r w:rsidR="00A46021" w:rsidRPr="007C6545">
        <w:rPr>
          <w:rFonts w:ascii="Arial" w:hAnsi="Arial" w:cs="Arial"/>
          <w:color w:val="000000" w:themeColor="text1"/>
        </w:rPr>
        <w:t>.</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9</w:t>
      </w:r>
      <w:r w:rsidR="00EB39C5" w:rsidRPr="007C6545">
        <w:rPr>
          <w:rFonts w:ascii="Arial" w:hAnsi="Arial" w:cs="Arial"/>
          <w:color w:val="000000" w:themeColor="text1"/>
          <w:vertAlign w:val="superscript"/>
        </w:rPr>
        <w:t>,</w:t>
      </w:r>
      <w:r w:rsidR="00C251E7" w:rsidRPr="007C6545">
        <w:rPr>
          <w:rFonts w:ascii="Arial" w:hAnsi="Arial" w:cs="Arial"/>
          <w:color w:val="000000" w:themeColor="text1"/>
          <w:vertAlign w:val="superscript"/>
        </w:rPr>
        <w:t>70</w:t>
      </w:r>
      <w:r w:rsidR="00A46021" w:rsidRPr="007C6545">
        <w:rPr>
          <w:rFonts w:ascii="Arial" w:hAnsi="Arial" w:cs="Arial"/>
          <w:color w:val="000000" w:themeColor="text1"/>
        </w:rPr>
        <w:t xml:space="preserve"> T</w:t>
      </w:r>
      <w:r w:rsidR="00C36581" w:rsidRPr="007C6545">
        <w:rPr>
          <w:rFonts w:ascii="Arial" w:hAnsi="Arial" w:cs="Arial"/>
          <w:color w:val="000000" w:themeColor="text1"/>
        </w:rPr>
        <w:t xml:space="preserve">he impact of trough level on clinical outcomes is </w:t>
      </w:r>
      <w:r w:rsidR="007D63C6" w:rsidRPr="007C6545">
        <w:rPr>
          <w:rFonts w:ascii="Arial" w:hAnsi="Arial" w:cs="Arial"/>
          <w:color w:val="000000" w:themeColor="text1"/>
        </w:rPr>
        <w:t>un</w:t>
      </w:r>
      <w:r w:rsidR="00C36581" w:rsidRPr="007C6545">
        <w:rPr>
          <w:rFonts w:ascii="Arial" w:hAnsi="Arial" w:cs="Arial"/>
          <w:color w:val="000000" w:themeColor="text1"/>
        </w:rPr>
        <w:t>known</w:t>
      </w:r>
      <w:r w:rsidR="004F171D" w:rsidRPr="007C6545">
        <w:rPr>
          <w:rFonts w:ascii="Arial" w:hAnsi="Arial" w:cs="Arial"/>
          <w:color w:val="000000" w:themeColor="text1"/>
        </w:rPr>
        <w:t>.</w:t>
      </w:r>
      <w:r w:rsidR="00A46021" w:rsidRPr="007C6545">
        <w:rPr>
          <w:rFonts w:ascii="Arial" w:hAnsi="Arial" w:cs="Arial"/>
          <w:color w:val="000000" w:themeColor="text1"/>
        </w:rPr>
        <w:t xml:space="preserve"> </w:t>
      </w:r>
      <w:r w:rsidR="004F171D" w:rsidRPr="007C6545">
        <w:rPr>
          <w:rFonts w:ascii="Arial" w:hAnsi="Arial" w:cs="Arial"/>
          <w:color w:val="000000" w:themeColor="text1"/>
        </w:rPr>
        <w:t xml:space="preserve"> M</w:t>
      </w:r>
      <w:r w:rsidR="00A46021" w:rsidRPr="007C6545">
        <w:rPr>
          <w:rFonts w:ascii="Arial" w:hAnsi="Arial" w:cs="Arial"/>
          <w:color w:val="000000" w:themeColor="text1"/>
        </w:rPr>
        <w:t xml:space="preserve">oreover, target concentrations for 5-FC in combination </w:t>
      </w:r>
      <w:r w:rsidR="004F171D" w:rsidRPr="007C6545">
        <w:rPr>
          <w:rFonts w:ascii="Arial" w:hAnsi="Arial" w:cs="Arial"/>
          <w:color w:val="000000" w:themeColor="text1"/>
        </w:rPr>
        <w:t xml:space="preserve">with other antifungal agents </w:t>
      </w:r>
      <w:r w:rsidR="00A46021" w:rsidRPr="007C6545">
        <w:rPr>
          <w:rFonts w:ascii="Arial" w:hAnsi="Arial" w:cs="Arial"/>
          <w:color w:val="000000" w:themeColor="text1"/>
        </w:rPr>
        <w:t>are not defined</w:t>
      </w:r>
      <w:r w:rsidR="00C36581" w:rsidRPr="007C6545">
        <w:rPr>
          <w:rFonts w:ascii="Arial" w:hAnsi="Arial" w:cs="Arial"/>
          <w:color w:val="000000" w:themeColor="text1"/>
        </w:rPr>
        <w:t xml:space="preserve">.  </w:t>
      </w:r>
      <w:r w:rsidR="00643ADC" w:rsidRPr="007C6545">
        <w:rPr>
          <w:rFonts w:ascii="Arial" w:hAnsi="Arial" w:cs="Arial"/>
          <w:color w:val="000000" w:themeColor="text1"/>
        </w:rPr>
        <w:t xml:space="preserve">Published data on </w:t>
      </w:r>
      <w:r w:rsidR="00891CF7" w:rsidRPr="007C6545">
        <w:rPr>
          <w:rFonts w:ascii="Arial" w:hAnsi="Arial" w:cs="Arial"/>
          <w:color w:val="000000" w:themeColor="text1"/>
        </w:rPr>
        <w:t xml:space="preserve">TDM of </w:t>
      </w:r>
      <w:r w:rsidR="00643ADC" w:rsidRPr="007C6545">
        <w:rPr>
          <w:rFonts w:ascii="Arial" w:hAnsi="Arial" w:cs="Arial"/>
          <w:color w:val="000000" w:themeColor="text1"/>
        </w:rPr>
        <w:t xml:space="preserve">5-FC has revealed alarmingly </w:t>
      </w:r>
      <w:r w:rsidR="00C119B7" w:rsidRPr="007C6545">
        <w:rPr>
          <w:rFonts w:ascii="Arial" w:hAnsi="Arial" w:cs="Arial"/>
          <w:color w:val="000000" w:themeColor="text1"/>
        </w:rPr>
        <w:t>infrequent</w:t>
      </w:r>
      <w:r w:rsidR="00643ADC" w:rsidRPr="007C6545">
        <w:rPr>
          <w:rFonts w:ascii="Arial" w:hAnsi="Arial" w:cs="Arial"/>
          <w:color w:val="000000" w:themeColor="text1"/>
        </w:rPr>
        <w:t xml:space="preserve"> </w:t>
      </w:r>
      <w:r w:rsidR="00643ADC" w:rsidRPr="007C6545">
        <w:rPr>
          <w:rFonts w:ascii="Arial" w:hAnsi="Arial" w:cs="Arial"/>
          <w:color w:val="000000" w:themeColor="text1"/>
        </w:rPr>
        <w:lastRenderedPageBreak/>
        <w:t xml:space="preserve">achievement of </w:t>
      </w:r>
      <w:r w:rsidR="004F171D" w:rsidRPr="007C6545">
        <w:rPr>
          <w:rFonts w:ascii="Arial" w:hAnsi="Arial" w:cs="Arial"/>
          <w:color w:val="000000" w:themeColor="text1"/>
        </w:rPr>
        <w:t xml:space="preserve">concentrations </w:t>
      </w:r>
      <w:r w:rsidR="00643ADC" w:rsidRPr="007C6545">
        <w:rPr>
          <w:rFonts w:ascii="Arial" w:hAnsi="Arial" w:cs="Arial"/>
          <w:color w:val="000000" w:themeColor="text1"/>
        </w:rPr>
        <w:t>in</w:t>
      </w:r>
      <w:r w:rsidR="00353771" w:rsidRPr="007C6545">
        <w:rPr>
          <w:rFonts w:ascii="Arial" w:hAnsi="Arial" w:cs="Arial"/>
          <w:color w:val="000000" w:themeColor="text1"/>
        </w:rPr>
        <w:t xml:space="preserve"> this putative</w:t>
      </w:r>
      <w:r w:rsidR="00643ADC" w:rsidRPr="007C6545">
        <w:rPr>
          <w:rFonts w:ascii="Arial" w:hAnsi="Arial" w:cs="Arial"/>
          <w:color w:val="000000" w:themeColor="text1"/>
        </w:rPr>
        <w:t xml:space="preserve"> therapeutic range, with two studies from the UK revealing </w:t>
      </w:r>
      <w:r w:rsidR="004F171D" w:rsidRPr="007C6545">
        <w:rPr>
          <w:rFonts w:ascii="Arial" w:hAnsi="Arial" w:cs="Arial"/>
          <w:color w:val="000000" w:themeColor="text1"/>
        </w:rPr>
        <w:t>&lt;20%</w:t>
      </w:r>
      <w:r w:rsidR="00643ADC" w:rsidRPr="007C6545">
        <w:rPr>
          <w:rFonts w:ascii="Arial" w:hAnsi="Arial" w:cs="Arial"/>
          <w:color w:val="000000" w:themeColor="text1"/>
        </w:rPr>
        <w:t xml:space="preserve"> of </w:t>
      </w:r>
      <w:r w:rsidR="004F171D" w:rsidRPr="007C6545">
        <w:rPr>
          <w:rFonts w:ascii="Arial" w:hAnsi="Arial" w:cs="Arial"/>
          <w:color w:val="000000" w:themeColor="text1"/>
        </w:rPr>
        <w:t xml:space="preserve">concentrations </w:t>
      </w:r>
      <w:r w:rsidR="00891CF7" w:rsidRPr="007C6545">
        <w:rPr>
          <w:rFonts w:ascii="Arial" w:hAnsi="Arial" w:cs="Arial"/>
          <w:color w:val="000000" w:themeColor="text1"/>
        </w:rPr>
        <w:t>with</w:t>
      </w:r>
      <w:r w:rsidR="00643ADC" w:rsidRPr="007C6545">
        <w:rPr>
          <w:rFonts w:ascii="Arial" w:hAnsi="Arial" w:cs="Arial"/>
          <w:color w:val="000000" w:themeColor="text1"/>
        </w:rPr>
        <w:t>in range,</w:t>
      </w:r>
      <w:r w:rsidR="00EB39C5" w:rsidRPr="007C6545">
        <w:rPr>
          <w:rFonts w:ascii="Arial" w:hAnsi="Arial" w:cs="Arial"/>
          <w:color w:val="000000" w:themeColor="text1"/>
          <w:vertAlign w:val="superscript"/>
        </w:rPr>
        <w:t>6</w:t>
      </w:r>
      <w:r w:rsidR="00C251E7" w:rsidRPr="007C6545">
        <w:rPr>
          <w:rFonts w:ascii="Arial" w:hAnsi="Arial" w:cs="Arial"/>
          <w:color w:val="000000" w:themeColor="text1"/>
          <w:vertAlign w:val="superscript"/>
        </w:rPr>
        <w:t>8</w:t>
      </w:r>
      <w:r w:rsidR="00EB39C5" w:rsidRPr="007C6545">
        <w:rPr>
          <w:rFonts w:ascii="Arial" w:hAnsi="Arial" w:cs="Arial"/>
          <w:color w:val="000000" w:themeColor="text1"/>
          <w:vertAlign w:val="superscript"/>
        </w:rPr>
        <w:t>,</w:t>
      </w:r>
      <w:r w:rsidR="00C251E7" w:rsidRPr="007C6545">
        <w:rPr>
          <w:rFonts w:ascii="Arial" w:hAnsi="Arial" w:cs="Arial"/>
          <w:color w:val="000000" w:themeColor="text1"/>
          <w:vertAlign w:val="superscript"/>
        </w:rPr>
        <w:t>71</w:t>
      </w:r>
      <w:r w:rsidR="00643ADC" w:rsidRPr="007C6545">
        <w:rPr>
          <w:rFonts w:ascii="Arial" w:hAnsi="Arial" w:cs="Arial"/>
          <w:color w:val="000000" w:themeColor="text1"/>
        </w:rPr>
        <w:t xml:space="preserve"> and a further study achieving </w:t>
      </w:r>
      <w:r w:rsidR="008B4F6E" w:rsidRPr="007C6545">
        <w:rPr>
          <w:rFonts w:ascii="Arial" w:hAnsi="Arial" w:cs="Arial"/>
          <w:color w:val="000000" w:themeColor="text1"/>
        </w:rPr>
        <w:t xml:space="preserve">only </w:t>
      </w:r>
      <w:r w:rsidR="00643ADC" w:rsidRPr="007C6545">
        <w:rPr>
          <w:rFonts w:ascii="Arial" w:hAnsi="Arial" w:cs="Arial"/>
          <w:color w:val="000000" w:themeColor="text1"/>
        </w:rPr>
        <w:t>64.3</w:t>
      </w:r>
      <w:r w:rsidR="004F171D" w:rsidRPr="007C6545">
        <w:rPr>
          <w:rFonts w:ascii="Arial" w:hAnsi="Arial" w:cs="Arial"/>
          <w:color w:val="000000" w:themeColor="text1"/>
        </w:rPr>
        <w:t xml:space="preserve">% </w:t>
      </w:r>
      <w:r w:rsidR="00643ADC" w:rsidRPr="007C6545">
        <w:rPr>
          <w:rFonts w:ascii="Arial" w:hAnsi="Arial" w:cs="Arial"/>
          <w:color w:val="000000" w:themeColor="text1"/>
        </w:rPr>
        <w:t xml:space="preserve">of </w:t>
      </w:r>
      <w:r w:rsidR="004F171D" w:rsidRPr="007C6545">
        <w:rPr>
          <w:rFonts w:ascii="Arial" w:hAnsi="Arial" w:cs="Arial"/>
          <w:color w:val="000000" w:themeColor="text1"/>
        </w:rPr>
        <w:t xml:space="preserve">concentrations </w:t>
      </w:r>
      <w:r w:rsidR="00891CF7" w:rsidRPr="007C6545">
        <w:rPr>
          <w:rFonts w:ascii="Arial" w:hAnsi="Arial" w:cs="Arial"/>
          <w:color w:val="000000" w:themeColor="text1"/>
        </w:rPr>
        <w:t>with</w:t>
      </w:r>
      <w:r w:rsidR="00643ADC" w:rsidRPr="007C6545">
        <w:rPr>
          <w:rFonts w:ascii="Arial" w:hAnsi="Arial" w:cs="Arial"/>
          <w:color w:val="000000" w:themeColor="text1"/>
        </w:rPr>
        <w:t>in range.</w:t>
      </w:r>
      <w:r w:rsidR="00C251E7" w:rsidRPr="007C6545">
        <w:rPr>
          <w:rFonts w:ascii="Arial" w:hAnsi="Arial" w:cs="Arial"/>
          <w:color w:val="000000" w:themeColor="text1"/>
          <w:vertAlign w:val="superscript"/>
        </w:rPr>
        <w:t>72</w:t>
      </w:r>
    </w:p>
    <w:p w14:paraId="755A16A8" w14:textId="77777777" w:rsidR="007A50FD" w:rsidRPr="007C6545" w:rsidRDefault="007A50FD"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TDM </w:t>
      </w:r>
      <w:r w:rsidR="00BF4C6C" w:rsidRPr="007C6545">
        <w:rPr>
          <w:rFonts w:ascii="Arial" w:hAnsi="Arial" w:cs="Arial"/>
          <w:color w:val="000000" w:themeColor="text1"/>
        </w:rPr>
        <w:t>is standard of care for the use of</w:t>
      </w:r>
      <w:r w:rsidRPr="007C6545">
        <w:rPr>
          <w:rFonts w:ascii="Arial" w:hAnsi="Arial" w:cs="Arial"/>
          <w:color w:val="000000" w:themeColor="text1"/>
        </w:rPr>
        <w:t xml:space="preserve"> 5-FC</w:t>
      </w:r>
      <w:r w:rsidR="00BF4C6C" w:rsidRPr="007C6545">
        <w:rPr>
          <w:rFonts w:ascii="Arial" w:hAnsi="Arial" w:cs="Arial"/>
          <w:color w:val="000000" w:themeColor="text1"/>
        </w:rPr>
        <w:t xml:space="preserve">.  Serum concentrations should be determined </w:t>
      </w:r>
      <w:r w:rsidR="00891CF7" w:rsidRPr="007C6545">
        <w:rPr>
          <w:rFonts w:ascii="Arial" w:hAnsi="Arial" w:cs="Arial"/>
          <w:color w:val="000000" w:themeColor="text1"/>
        </w:rPr>
        <w:t xml:space="preserve">at </w:t>
      </w:r>
      <w:r w:rsidR="00FE63E9" w:rsidRPr="007C6545">
        <w:rPr>
          <w:rFonts w:ascii="Arial" w:hAnsi="Arial" w:cs="Arial"/>
          <w:color w:val="000000" w:themeColor="text1"/>
        </w:rPr>
        <w:t xml:space="preserve">72 hours </w:t>
      </w:r>
      <w:r w:rsidR="007E5529" w:rsidRPr="007C6545">
        <w:rPr>
          <w:rFonts w:ascii="Arial" w:hAnsi="Arial" w:cs="Arial"/>
          <w:color w:val="000000" w:themeColor="text1"/>
        </w:rPr>
        <w:t>post</w:t>
      </w:r>
      <w:r w:rsidR="00A1171F" w:rsidRPr="007C6545">
        <w:rPr>
          <w:rFonts w:ascii="Arial" w:hAnsi="Arial" w:cs="Arial"/>
          <w:color w:val="000000" w:themeColor="text1"/>
        </w:rPr>
        <w:t>-</w:t>
      </w:r>
      <w:r w:rsidR="00FE63E9" w:rsidRPr="007C6545">
        <w:rPr>
          <w:rFonts w:ascii="Arial" w:hAnsi="Arial" w:cs="Arial"/>
          <w:color w:val="000000" w:themeColor="text1"/>
        </w:rPr>
        <w:t>therapy initiation; after dose adjustment;</w:t>
      </w:r>
      <w:r w:rsidR="00462DCC" w:rsidRPr="007C6545">
        <w:rPr>
          <w:rFonts w:ascii="Arial" w:hAnsi="Arial" w:cs="Arial"/>
          <w:color w:val="000000" w:themeColor="text1"/>
        </w:rPr>
        <w:t xml:space="preserve"> if there is</w:t>
      </w:r>
      <w:r w:rsidR="00FE63E9" w:rsidRPr="007C6545">
        <w:rPr>
          <w:rFonts w:ascii="Arial" w:hAnsi="Arial" w:cs="Arial"/>
          <w:color w:val="000000" w:themeColor="text1"/>
        </w:rPr>
        <w:t xml:space="preserve"> uncertain compliance with oral therapy;</w:t>
      </w:r>
      <w:r w:rsidR="00462DCC" w:rsidRPr="007C6545">
        <w:rPr>
          <w:rFonts w:ascii="Arial" w:hAnsi="Arial" w:cs="Arial"/>
          <w:color w:val="000000" w:themeColor="text1"/>
        </w:rPr>
        <w:t xml:space="preserve"> </w:t>
      </w:r>
      <w:r w:rsidR="007E5529" w:rsidRPr="007C6545">
        <w:rPr>
          <w:rFonts w:ascii="Arial" w:hAnsi="Arial" w:cs="Arial"/>
          <w:color w:val="000000" w:themeColor="text1"/>
        </w:rPr>
        <w:t xml:space="preserve">and </w:t>
      </w:r>
      <w:r w:rsidR="00462DCC" w:rsidRPr="007C6545">
        <w:rPr>
          <w:rFonts w:ascii="Arial" w:hAnsi="Arial" w:cs="Arial"/>
          <w:color w:val="000000" w:themeColor="text1"/>
        </w:rPr>
        <w:t>if there are</w:t>
      </w:r>
      <w:r w:rsidR="00FE63E9" w:rsidRPr="007C6545">
        <w:rPr>
          <w:rFonts w:ascii="Arial" w:hAnsi="Arial" w:cs="Arial"/>
          <w:color w:val="000000" w:themeColor="text1"/>
        </w:rPr>
        <w:t xml:space="preserve"> clinical or laboratory signs of toxicity</w:t>
      </w:r>
      <w:r w:rsidR="00353771" w:rsidRPr="007C6545">
        <w:rPr>
          <w:rFonts w:ascii="Arial" w:hAnsi="Arial" w:cs="Arial"/>
          <w:color w:val="000000" w:themeColor="text1"/>
        </w:rPr>
        <w:t>. The BSMM recommends an upwards dose adjustment of 50</w:t>
      </w:r>
      <w:r w:rsidR="007E5529" w:rsidRPr="007C6545">
        <w:rPr>
          <w:rFonts w:ascii="Arial" w:hAnsi="Arial" w:cs="Arial"/>
          <w:color w:val="000000" w:themeColor="text1"/>
        </w:rPr>
        <w:t xml:space="preserve">% </w:t>
      </w:r>
      <w:r w:rsidR="00353771" w:rsidRPr="007C6545">
        <w:rPr>
          <w:rFonts w:ascii="Arial" w:hAnsi="Arial" w:cs="Arial"/>
          <w:color w:val="000000" w:themeColor="text1"/>
        </w:rPr>
        <w:t>if levels are sub</w:t>
      </w:r>
      <w:r w:rsidR="007E5529" w:rsidRPr="007C6545">
        <w:rPr>
          <w:rFonts w:ascii="Arial" w:hAnsi="Arial" w:cs="Arial"/>
          <w:color w:val="000000" w:themeColor="text1"/>
        </w:rPr>
        <w:t>-</w:t>
      </w:r>
      <w:r w:rsidR="00353771" w:rsidRPr="007C6545">
        <w:rPr>
          <w:rFonts w:ascii="Arial" w:hAnsi="Arial" w:cs="Arial"/>
          <w:color w:val="000000" w:themeColor="text1"/>
        </w:rPr>
        <w:t>therapeutic</w:t>
      </w:r>
      <w:r w:rsidR="00FE63E9" w:rsidRPr="007C6545">
        <w:rPr>
          <w:rFonts w:ascii="Arial" w:hAnsi="Arial" w:cs="Arial"/>
          <w:color w:val="000000" w:themeColor="text1"/>
        </w:rPr>
        <w:t>.</w:t>
      </w:r>
      <w:r w:rsidR="00EB39C5" w:rsidRPr="007C6545">
        <w:rPr>
          <w:rFonts w:ascii="Arial" w:hAnsi="Arial" w:cs="Arial"/>
          <w:color w:val="000000" w:themeColor="text1"/>
          <w:vertAlign w:val="superscript"/>
        </w:rPr>
        <w:t>1</w:t>
      </w:r>
      <w:r w:rsidR="005A1824" w:rsidRPr="007C6545">
        <w:rPr>
          <w:rFonts w:ascii="Arial" w:hAnsi="Arial" w:cs="Arial"/>
          <w:color w:val="000000" w:themeColor="text1"/>
          <w:vertAlign w:val="superscript"/>
        </w:rPr>
        <w:t>7</w:t>
      </w:r>
      <w:r w:rsidR="00F11ED6" w:rsidRPr="007C6545">
        <w:rPr>
          <w:rFonts w:ascii="Arial" w:hAnsi="Arial" w:cs="Arial"/>
          <w:color w:val="000000" w:themeColor="text1"/>
        </w:rPr>
        <w:t xml:space="preserve"> </w:t>
      </w:r>
    </w:p>
    <w:p w14:paraId="1C2426BE" w14:textId="77777777" w:rsidR="00FA58C9" w:rsidRPr="007C6545" w:rsidRDefault="00EB33EE"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Polyenes</w:t>
      </w:r>
    </w:p>
    <w:p w14:paraId="31EEF64E" w14:textId="77777777" w:rsidR="00FA58C9" w:rsidRPr="007C6545" w:rsidRDefault="00EB33EE"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The polyenes comprise amphotericin B</w:t>
      </w:r>
      <w:r w:rsidR="00D44703" w:rsidRPr="007C6545">
        <w:rPr>
          <w:rFonts w:ascii="Arial" w:hAnsi="Arial" w:cs="Arial"/>
          <w:color w:val="000000" w:themeColor="text1"/>
        </w:rPr>
        <w:t xml:space="preserve"> </w:t>
      </w:r>
      <w:r w:rsidR="00550468" w:rsidRPr="007C6545">
        <w:rPr>
          <w:rFonts w:ascii="Arial" w:hAnsi="Arial" w:cs="Arial"/>
          <w:color w:val="000000" w:themeColor="text1"/>
        </w:rPr>
        <w:t xml:space="preserve">deoxycholate </w:t>
      </w:r>
      <w:r w:rsidR="00D44703" w:rsidRPr="007C6545">
        <w:rPr>
          <w:rFonts w:ascii="Arial" w:hAnsi="Arial" w:cs="Arial"/>
          <w:color w:val="000000" w:themeColor="text1"/>
        </w:rPr>
        <w:t>(</w:t>
      </w:r>
      <w:proofErr w:type="spellStart"/>
      <w:r w:rsidR="00ED6BE4" w:rsidRPr="007C6545">
        <w:rPr>
          <w:rFonts w:ascii="Arial" w:hAnsi="Arial" w:cs="Arial"/>
          <w:color w:val="000000" w:themeColor="text1"/>
        </w:rPr>
        <w:t>DAmB</w:t>
      </w:r>
      <w:proofErr w:type="spellEnd"/>
      <w:r w:rsidR="00D44703" w:rsidRPr="007C6545">
        <w:rPr>
          <w:rFonts w:ascii="Arial" w:hAnsi="Arial" w:cs="Arial"/>
          <w:color w:val="000000" w:themeColor="text1"/>
        </w:rPr>
        <w:t>)</w:t>
      </w:r>
      <w:r w:rsidRPr="007C6545">
        <w:rPr>
          <w:rFonts w:ascii="Arial" w:hAnsi="Arial" w:cs="Arial"/>
          <w:color w:val="000000" w:themeColor="text1"/>
        </w:rPr>
        <w:t xml:space="preserve">, licensed for </w:t>
      </w:r>
      <w:r w:rsidR="00D44703" w:rsidRPr="007C6545">
        <w:rPr>
          <w:rFonts w:ascii="Arial" w:hAnsi="Arial" w:cs="Arial"/>
          <w:color w:val="000000" w:themeColor="text1"/>
        </w:rPr>
        <w:t>systemic fungal infections; liposomal amphotericin B</w:t>
      </w:r>
      <w:r w:rsidR="00550468" w:rsidRPr="007C6545">
        <w:rPr>
          <w:rFonts w:ascii="Arial" w:hAnsi="Arial" w:cs="Arial"/>
          <w:color w:val="000000" w:themeColor="text1"/>
        </w:rPr>
        <w:t xml:space="preserve"> </w:t>
      </w:r>
      <w:r w:rsidR="00D44703" w:rsidRPr="007C6545">
        <w:rPr>
          <w:rFonts w:ascii="Arial" w:hAnsi="Arial" w:cs="Arial"/>
          <w:color w:val="000000" w:themeColor="text1"/>
        </w:rPr>
        <w:t>(</w:t>
      </w:r>
      <w:r w:rsidR="00ED6BE4" w:rsidRPr="007C6545">
        <w:rPr>
          <w:rFonts w:ascii="Arial" w:hAnsi="Arial" w:cs="Arial"/>
          <w:color w:val="000000" w:themeColor="text1"/>
        </w:rPr>
        <w:t>LAmB</w:t>
      </w:r>
      <w:r w:rsidR="00D44703" w:rsidRPr="007C6545">
        <w:rPr>
          <w:rFonts w:ascii="Arial" w:hAnsi="Arial" w:cs="Arial"/>
          <w:color w:val="000000" w:themeColor="text1"/>
        </w:rPr>
        <w:t>), licensed for severe or deep mycoses where toxicity precludes use of conventional amphotericin B, for infection in febrile neutropenic patients unresponsive to broad-spectrum antifungals and for aspergillosis; and amphotericin B lipid complex (</w:t>
      </w:r>
      <w:r w:rsidR="00ED6BE4" w:rsidRPr="007C6545">
        <w:rPr>
          <w:rFonts w:ascii="Arial" w:hAnsi="Arial" w:cs="Arial"/>
          <w:color w:val="000000" w:themeColor="text1"/>
        </w:rPr>
        <w:t>ABLC</w:t>
      </w:r>
      <w:r w:rsidR="00D44703" w:rsidRPr="007C6545">
        <w:rPr>
          <w:rFonts w:ascii="Arial" w:hAnsi="Arial" w:cs="Arial"/>
          <w:color w:val="000000" w:themeColor="text1"/>
        </w:rPr>
        <w:t>), for severe invasive candidiasis and systemic fungal infections refractory to conventional amphotericin or where toxicity precludes its use.</w:t>
      </w:r>
      <w:r w:rsidR="00EB39C5" w:rsidRPr="007C6545">
        <w:rPr>
          <w:rFonts w:ascii="Arial" w:hAnsi="Arial" w:cs="Arial"/>
          <w:color w:val="000000" w:themeColor="text1"/>
          <w:vertAlign w:val="superscript"/>
        </w:rPr>
        <w:t>3</w:t>
      </w:r>
      <w:r w:rsidR="00757BC3" w:rsidRPr="007C6545">
        <w:rPr>
          <w:rFonts w:ascii="Arial" w:hAnsi="Arial" w:cs="Arial"/>
          <w:color w:val="000000" w:themeColor="text1"/>
        </w:rPr>
        <w:t xml:space="preserve"> </w:t>
      </w:r>
    </w:p>
    <w:p w14:paraId="376BD96A" w14:textId="77777777" w:rsidR="0033316C" w:rsidRPr="007C6545" w:rsidRDefault="0033316C"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Despite over 50 years of clinical use of </w:t>
      </w:r>
      <w:proofErr w:type="spellStart"/>
      <w:r w:rsidRPr="007C6545">
        <w:rPr>
          <w:rFonts w:ascii="Arial" w:hAnsi="Arial" w:cs="Arial"/>
          <w:color w:val="000000" w:themeColor="text1"/>
        </w:rPr>
        <w:t>DAmB</w:t>
      </w:r>
      <w:proofErr w:type="spellEnd"/>
      <w:r w:rsidR="0077318C" w:rsidRPr="007C6545">
        <w:rPr>
          <w:rFonts w:ascii="Arial" w:hAnsi="Arial" w:cs="Arial"/>
          <w:color w:val="000000" w:themeColor="text1"/>
        </w:rPr>
        <w:t>,</w:t>
      </w:r>
      <w:r w:rsidRPr="007C6545">
        <w:rPr>
          <w:rFonts w:ascii="Arial" w:hAnsi="Arial" w:cs="Arial"/>
          <w:color w:val="000000" w:themeColor="text1"/>
        </w:rPr>
        <w:t xml:space="preserve"> and 20 years</w:t>
      </w:r>
      <w:r w:rsidR="0077318C" w:rsidRPr="007C6545">
        <w:rPr>
          <w:rFonts w:ascii="Arial" w:hAnsi="Arial" w:cs="Arial"/>
          <w:color w:val="000000" w:themeColor="text1"/>
        </w:rPr>
        <w:t>' use</w:t>
      </w:r>
      <w:r w:rsidRPr="007C6545">
        <w:rPr>
          <w:rFonts w:ascii="Arial" w:hAnsi="Arial" w:cs="Arial"/>
          <w:color w:val="000000" w:themeColor="text1"/>
        </w:rPr>
        <w:t xml:space="preserve"> of LAmB</w:t>
      </w:r>
      <w:r w:rsidR="00CF3732" w:rsidRPr="007C6545">
        <w:rPr>
          <w:rFonts w:ascii="Arial" w:hAnsi="Arial" w:cs="Arial"/>
          <w:color w:val="000000" w:themeColor="text1"/>
        </w:rPr>
        <w:t xml:space="preserve"> and ABLC</w:t>
      </w:r>
      <w:r w:rsidRPr="007C6545">
        <w:rPr>
          <w:rFonts w:ascii="Arial" w:hAnsi="Arial" w:cs="Arial"/>
          <w:color w:val="000000" w:themeColor="text1"/>
        </w:rPr>
        <w:t xml:space="preserve">, relatively little is understood about the </w:t>
      </w:r>
      <w:r w:rsidR="00C56661" w:rsidRPr="007C6545">
        <w:rPr>
          <w:rFonts w:ascii="Arial" w:hAnsi="Arial" w:cs="Arial"/>
          <w:color w:val="000000" w:themeColor="text1"/>
        </w:rPr>
        <w:t>pharmacology of amphotericin B and the requirement for TDM</w:t>
      </w:r>
      <w:r w:rsidRPr="007C6545">
        <w:rPr>
          <w:rFonts w:ascii="Arial" w:hAnsi="Arial" w:cs="Arial"/>
          <w:color w:val="000000" w:themeColor="text1"/>
        </w:rPr>
        <w:t>.</w:t>
      </w:r>
      <w:r w:rsidR="00C251E7" w:rsidRPr="007C6545">
        <w:rPr>
          <w:rFonts w:ascii="Arial" w:hAnsi="Arial" w:cs="Arial"/>
          <w:color w:val="000000" w:themeColor="text1"/>
          <w:vertAlign w:val="superscript"/>
        </w:rPr>
        <w:t>73</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5</w:t>
      </w:r>
      <w:r w:rsidRPr="007C6545">
        <w:rPr>
          <w:rFonts w:ascii="Arial" w:hAnsi="Arial" w:cs="Arial"/>
          <w:color w:val="000000" w:themeColor="text1"/>
        </w:rPr>
        <w:t xml:space="preserve"> </w:t>
      </w:r>
      <w:r w:rsidR="00212D43" w:rsidRPr="007C6545">
        <w:rPr>
          <w:rFonts w:ascii="Arial" w:hAnsi="Arial" w:cs="Arial"/>
          <w:color w:val="000000" w:themeColor="text1"/>
        </w:rPr>
        <w:t xml:space="preserve">The </w:t>
      </w:r>
      <w:proofErr w:type="spellStart"/>
      <w:r w:rsidR="00212D43" w:rsidRPr="007C6545">
        <w:rPr>
          <w:rFonts w:ascii="Arial" w:hAnsi="Arial" w:cs="Arial"/>
          <w:color w:val="000000" w:themeColor="text1"/>
        </w:rPr>
        <w:t>C</w:t>
      </w:r>
      <w:r w:rsidR="00212D43" w:rsidRPr="007C6545">
        <w:rPr>
          <w:rFonts w:ascii="Arial" w:hAnsi="Arial" w:cs="Arial"/>
          <w:color w:val="000000" w:themeColor="text1"/>
          <w:vertAlign w:val="subscript"/>
        </w:rPr>
        <w:t>max</w:t>
      </w:r>
      <w:proofErr w:type="spellEnd"/>
      <w:r w:rsidR="00212D43" w:rsidRPr="007C6545">
        <w:rPr>
          <w:rFonts w:ascii="Arial" w:hAnsi="Arial" w:cs="Arial"/>
          <w:color w:val="000000" w:themeColor="text1"/>
        </w:rPr>
        <w:t xml:space="preserve"> and AUC: MIC ratio are recognised as the </w:t>
      </w:r>
      <w:r w:rsidR="00C56661" w:rsidRPr="007C6545">
        <w:rPr>
          <w:rFonts w:ascii="Arial" w:hAnsi="Arial" w:cs="Arial"/>
          <w:color w:val="000000" w:themeColor="text1"/>
        </w:rPr>
        <w:t xml:space="preserve">indices </w:t>
      </w:r>
      <w:r w:rsidR="0077318C" w:rsidRPr="007C6545">
        <w:rPr>
          <w:rFonts w:ascii="Arial" w:hAnsi="Arial" w:cs="Arial"/>
          <w:color w:val="000000" w:themeColor="text1"/>
        </w:rPr>
        <w:t>which predict</w:t>
      </w:r>
      <w:r w:rsidR="00212D43" w:rsidRPr="007C6545">
        <w:rPr>
          <w:rFonts w:ascii="Arial" w:hAnsi="Arial" w:cs="Arial"/>
          <w:color w:val="000000" w:themeColor="text1"/>
        </w:rPr>
        <w:t xml:space="preserve"> clinical response</w:t>
      </w:r>
      <w:r w:rsidR="00C56661" w:rsidRPr="007C6545">
        <w:rPr>
          <w:rFonts w:ascii="Arial" w:hAnsi="Arial" w:cs="Arial"/>
          <w:color w:val="000000" w:themeColor="text1"/>
        </w:rPr>
        <w:t>.</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6</w:t>
      </w:r>
      <w:r w:rsidR="00212D43" w:rsidRPr="007C6545">
        <w:rPr>
          <w:rFonts w:ascii="Arial" w:hAnsi="Arial" w:cs="Arial"/>
          <w:color w:val="000000" w:themeColor="text1"/>
        </w:rPr>
        <w:t xml:space="preserve"> </w:t>
      </w:r>
      <w:r w:rsidR="00C56661" w:rsidRPr="007C6545">
        <w:rPr>
          <w:rFonts w:ascii="Arial" w:hAnsi="Arial" w:cs="Arial"/>
          <w:color w:val="000000" w:themeColor="text1"/>
        </w:rPr>
        <w:t xml:space="preserve">However, </w:t>
      </w:r>
      <w:r w:rsidR="00212D43" w:rsidRPr="007C6545">
        <w:rPr>
          <w:rFonts w:ascii="Arial" w:hAnsi="Arial" w:cs="Arial"/>
          <w:color w:val="000000" w:themeColor="text1"/>
        </w:rPr>
        <w:t>t</w:t>
      </w:r>
      <w:r w:rsidRPr="007C6545">
        <w:rPr>
          <w:rFonts w:ascii="Arial" w:hAnsi="Arial" w:cs="Arial"/>
          <w:color w:val="000000" w:themeColor="text1"/>
        </w:rPr>
        <w:t xml:space="preserve">here is currently </w:t>
      </w:r>
      <w:r w:rsidR="00212D43" w:rsidRPr="007C6545">
        <w:rPr>
          <w:rFonts w:ascii="Arial" w:hAnsi="Arial" w:cs="Arial"/>
          <w:color w:val="000000" w:themeColor="text1"/>
        </w:rPr>
        <w:t>insufficient</w:t>
      </w:r>
      <w:r w:rsidRPr="007C6545">
        <w:rPr>
          <w:rFonts w:ascii="Arial" w:hAnsi="Arial" w:cs="Arial"/>
          <w:color w:val="000000" w:themeColor="text1"/>
        </w:rPr>
        <w:t xml:space="preserve"> evidence to support the routine use of </w:t>
      </w:r>
      <w:r w:rsidR="00212D43" w:rsidRPr="007C6545">
        <w:rPr>
          <w:rFonts w:ascii="Arial" w:hAnsi="Arial" w:cs="Arial"/>
          <w:color w:val="000000" w:themeColor="text1"/>
        </w:rPr>
        <w:t>TDM for polyenes.</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7</w:t>
      </w:r>
    </w:p>
    <w:p w14:paraId="3F80917F" w14:textId="77777777" w:rsidR="00630FB2" w:rsidRPr="007C6545" w:rsidRDefault="00630FB2" w:rsidP="005F2259">
      <w:pPr>
        <w:spacing w:before="100" w:beforeAutospacing="1" w:after="100" w:afterAutospacing="1" w:line="480" w:lineRule="auto"/>
        <w:rPr>
          <w:rFonts w:ascii="Arial" w:hAnsi="Arial" w:cs="Arial"/>
          <w:color w:val="000000" w:themeColor="text1"/>
        </w:rPr>
      </w:pPr>
      <w:r w:rsidRPr="007C6545">
        <w:rPr>
          <w:rFonts w:ascii="Arial" w:hAnsi="Arial" w:cs="Arial"/>
          <w:i/>
          <w:color w:val="000000" w:themeColor="text1"/>
        </w:rPr>
        <w:t>Echinocandins</w:t>
      </w:r>
    </w:p>
    <w:p w14:paraId="425A94BF" w14:textId="77777777" w:rsidR="00212D43" w:rsidRPr="007C6545" w:rsidRDefault="00212D43"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 echinocandin </w:t>
      </w:r>
      <w:r w:rsidR="00C245A5" w:rsidRPr="007C6545">
        <w:rPr>
          <w:rFonts w:ascii="Arial" w:hAnsi="Arial" w:cs="Arial"/>
          <w:color w:val="000000" w:themeColor="text1"/>
        </w:rPr>
        <w:t xml:space="preserve">class </w:t>
      </w:r>
      <w:r w:rsidR="000A60C3" w:rsidRPr="007C6545">
        <w:rPr>
          <w:rFonts w:ascii="Arial" w:hAnsi="Arial" w:cs="Arial"/>
          <w:color w:val="000000" w:themeColor="text1"/>
        </w:rPr>
        <w:t xml:space="preserve">comprises </w:t>
      </w:r>
      <w:r w:rsidRPr="007C6545">
        <w:rPr>
          <w:rFonts w:ascii="Arial" w:hAnsi="Arial" w:cs="Arial"/>
          <w:color w:val="000000" w:themeColor="text1"/>
        </w:rPr>
        <w:t>anidulafungin, caspofungin and micafungin</w:t>
      </w:r>
      <w:r w:rsidR="000A60C3" w:rsidRPr="007C6545">
        <w:rPr>
          <w:rFonts w:ascii="Arial" w:hAnsi="Arial" w:cs="Arial"/>
          <w:color w:val="000000" w:themeColor="text1"/>
        </w:rPr>
        <w:t xml:space="preserve">. </w:t>
      </w:r>
      <w:r w:rsidR="009311EC" w:rsidRPr="007C6545">
        <w:rPr>
          <w:rFonts w:ascii="Arial" w:hAnsi="Arial" w:cs="Arial"/>
          <w:color w:val="000000" w:themeColor="text1"/>
        </w:rPr>
        <w:t xml:space="preserve">These drugs inhibit </w:t>
      </w:r>
      <w:r w:rsidR="00F24FA8" w:rsidRPr="007C6545">
        <w:rPr>
          <w:rFonts w:ascii="Arial" w:hAnsi="Arial" w:cs="Arial"/>
          <w:color w:val="000000" w:themeColor="text1"/>
        </w:rPr>
        <w:t>synthesis of 1,3-β-D-glucan, an essential component of the fungal cell wall.</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8</w:t>
      </w:r>
      <w:r w:rsidR="00F24FA8" w:rsidRPr="007C6545">
        <w:rPr>
          <w:rFonts w:ascii="Arial" w:hAnsi="Arial" w:cs="Arial"/>
          <w:color w:val="000000" w:themeColor="text1"/>
        </w:rPr>
        <w:t xml:space="preserve"> </w:t>
      </w:r>
      <w:r w:rsidR="000A60C3" w:rsidRPr="007C6545">
        <w:rPr>
          <w:rFonts w:ascii="Arial" w:hAnsi="Arial" w:cs="Arial"/>
          <w:color w:val="000000" w:themeColor="text1"/>
        </w:rPr>
        <w:t>Anidulafungin is i</w:t>
      </w:r>
      <w:r w:rsidRPr="007C6545">
        <w:rPr>
          <w:rFonts w:ascii="Arial" w:hAnsi="Arial" w:cs="Arial"/>
          <w:color w:val="000000" w:themeColor="text1"/>
        </w:rPr>
        <w:t>ndicated for the treatment of invasive candidiasis</w:t>
      </w:r>
      <w:r w:rsidR="000A60C3" w:rsidRPr="007C6545">
        <w:rPr>
          <w:rFonts w:ascii="Arial" w:hAnsi="Arial" w:cs="Arial"/>
          <w:color w:val="000000" w:themeColor="text1"/>
        </w:rPr>
        <w:t xml:space="preserve">. Caspofungin can additionally be used to treat invasive aspergillosis and systemic fungal infections in </w:t>
      </w:r>
      <w:r w:rsidR="000A60C3" w:rsidRPr="007C6545">
        <w:rPr>
          <w:rFonts w:ascii="Arial" w:hAnsi="Arial" w:cs="Arial"/>
          <w:color w:val="000000" w:themeColor="text1"/>
        </w:rPr>
        <w:lastRenderedPageBreak/>
        <w:t xml:space="preserve">neutropenic patients. Micafungin is licensed for the treatment of invasive and oesophageal candidiasis, and </w:t>
      </w:r>
      <w:r w:rsidR="00C245A5" w:rsidRPr="007C6545">
        <w:rPr>
          <w:rFonts w:ascii="Arial" w:hAnsi="Arial" w:cs="Arial"/>
          <w:color w:val="000000" w:themeColor="text1"/>
        </w:rPr>
        <w:t xml:space="preserve">for </w:t>
      </w:r>
      <w:r w:rsidR="000A60C3" w:rsidRPr="007C6545">
        <w:rPr>
          <w:rFonts w:ascii="Arial" w:hAnsi="Arial" w:cs="Arial"/>
          <w:color w:val="000000" w:themeColor="text1"/>
        </w:rPr>
        <w:t xml:space="preserve">prophylaxis in </w:t>
      </w:r>
      <w:r w:rsidR="00D835F3" w:rsidRPr="007C6545">
        <w:rPr>
          <w:rFonts w:ascii="Arial" w:hAnsi="Arial" w:cs="Arial"/>
          <w:color w:val="000000" w:themeColor="text1"/>
        </w:rPr>
        <w:t xml:space="preserve">the </w:t>
      </w:r>
      <w:r w:rsidR="000A60C3" w:rsidRPr="007C6545">
        <w:rPr>
          <w:rFonts w:ascii="Arial" w:hAnsi="Arial" w:cs="Arial"/>
          <w:color w:val="000000" w:themeColor="text1"/>
        </w:rPr>
        <w:t xml:space="preserve">neutropenic </w:t>
      </w:r>
      <w:r w:rsidR="000D7C70" w:rsidRPr="007C6545">
        <w:rPr>
          <w:rFonts w:ascii="Arial" w:hAnsi="Arial" w:cs="Arial"/>
          <w:color w:val="000000" w:themeColor="text1"/>
        </w:rPr>
        <w:t>phase of bone marrow transplantation</w:t>
      </w:r>
      <w:r w:rsidR="000A60C3" w:rsidRPr="007C6545">
        <w:rPr>
          <w:rFonts w:ascii="Arial" w:hAnsi="Arial" w:cs="Arial"/>
          <w:color w:val="000000" w:themeColor="text1"/>
        </w:rPr>
        <w:t>.</w:t>
      </w:r>
      <w:r w:rsidR="00EB39C5" w:rsidRPr="007C6545">
        <w:rPr>
          <w:rFonts w:ascii="Arial" w:hAnsi="Arial" w:cs="Arial"/>
          <w:color w:val="000000" w:themeColor="text1"/>
          <w:vertAlign w:val="superscript"/>
        </w:rPr>
        <w:t>3</w:t>
      </w:r>
      <w:r w:rsidR="000A60C3" w:rsidRPr="007C6545">
        <w:rPr>
          <w:rFonts w:ascii="Arial" w:hAnsi="Arial" w:cs="Arial"/>
          <w:color w:val="000000" w:themeColor="text1"/>
        </w:rPr>
        <w:t xml:space="preserve"> </w:t>
      </w:r>
      <w:r w:rsidR="007F02E5" w:rsidRPr="007C6545">
        <w:rPr>
          <w:rFonts w:ascii="Arial" w:hAnsi="Arial" w:cs="Arial"/>
          <w:color w:val="000000" w:themeColor="text1"/>
        </w:rPr>
        <w:t>The echinocandins</w:t>
      </w:r>
      <w:r w:rsidR="00F24FA8" w:rsidRPr="007C6545">
        <w:rPr>
          <w:rFonts w:ascii="Arial" w:hAnsi="Arial" w:cs="Arial"/>
          <w:color w:val="000000" w:themeColor="text1"/>
        </w:rPr>
        <w:t xml:space="preserve"> offer potential for use against azole-resistant </w:t>
      </w:r>
      <w:r w:rsidR="000D7C70" w:rsidRPr="007C6545">
        <w:rPr>
          <w:rFonts w:ascii="Arial" w:hAnsi="Arial" w:cs="Arial"/>
          <w:color w:val="000000" w:themeColor="text1"/>
        </w:rPr>
        <w:t xml:space="preserve">fungal </w:t>
      </w:r>
      <w:r w:rsidR="00F24FA8" w:rsidRPr="007C6545">
        <w:rPr>
          <w:rFonts w:ascii="Arial" w:hAnsi="Arial" w:cs="Arial"/>
          <w:color w:val="000000" w:themeColor="text1"/>
        </w:rPr>
        <w:t>pathogens</w:t>
      </w:r>
      <w:r w:rsidR="000A60C3" w:rsidRPr="007C6545">
        <w:rPr>
          <w:rFonts w:ascii="Arial" w:hAnsi="Arial" w:cs="Arial"/>
          <w:color w:val="000000" w:themeColor="text1"/>
        </w:rPr>
        <w:t>.</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8</w:t>
      </w:r>
    </w:p>
    <w:p w14:paraId="28093489" w14:textId="77777777" w:rsidR="000A60C3" w:rsidRPr="007C6545" w:rsidRDefault="007F02E5"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All echinocandins have low oral </w:t>
      </w:r>
      <w:r w:rsidR="00251AF7" w:rsidRPr="007C6545">
        <w:rPr>
          <w:rFonts w:ascii="Arial" w:hAnsi="Arial" w:cs="Arial"/>
          <w:color w:val="000000" w:themeColor="text1"/>
        </w:rPr>
        <w:t>bioavailability</w:t>
      </w:r>
      <w:r w:rsidRPr="007C6545">
        <w:rPr>
          <w:rFonts w:ascii="Arial" w:hAnsi="Arial" w:cs="Arial"/>
          <w:color w:val="000000" w:themeColor="text1"/>
        </w:rPr>
        <w:t xml:space="preserve"> and are </w:t>
      </w:r>
      <w:r w:rsidR="000D7C70" w:rsidRPr="007C6545">
        <w:rPr>
          <w:rFonts w:ascii="Arial" w:hAnsi="Arial" w:cs="Arial"/>
          <w:color w:val="000000" w:themeColor="text1"/>
        </w:rPr>
        <w:t>only available for parenteral use</w:t>
      </w:r>
      <w:r w:rsidRPr="007C6545">
        <w:rPr>
          <w:rFonts w:ascii="Arial" w:hAnsi="Arial" w:cs="Arial"/>
          <w:color w:val="000000" w:themeColor="text1"/>
        </w:rPr>
        <w:t>.</w:t>
      </w:r>
      <w:r w:rsidR="00EB39C5" w:rsidRPr="007C6545">
        <w:rPr>
          <w:rFonts w:ascii="Arial" w:hAnsi="Arial" w:cs="Arial"/>
          <w:color w:val="000000" w:themeColor="text1"/>
          <w:vertAlign w:val="superscript"/>
        </w:rPr>
        <w:t>3,7</w:t>
      </w:r>
      <w:r w:rsidR="00C251E7" w:rsidRPr="007C6545">
        <w:rPr>
          <w:rFonts w:ascii="Arial" w:hAnsi="Arial" w:cs="Arial"/>
          <w:color w:val="000000" w:themeColor="text1"/>
          <w:vertAlign w:val="superscript"/>
        </w:rPr>
        <w:t>8</w:t>
      </w:r>
      <w:r w:rsidRPr="007C6545">
        <w:rPr>
          <w:rFonts w:ascii="Arial" w:hAnsi="Arial" w:cs="Arial"/>
          <w:color w:val="000000" w:themeColor="text1"/>
        </w:rPr>
        <w:t xml:space="preserve"> </w:t>
      </w:r>
      <w:r w:rsidR="00D0380B" w:rsidRPr="007C6545">
        <w:rPr>
          <w:rFonts w:ascii="Arial" w:hAnsi="Arial" w:cs="Arial"/>
          <w:color w:val="000000" w:themeColor="text1"/>
        </w:rPr>
        <w:t xml:space="preserve">They exhibit linear pharmacokinetics </w:t>
      </w:r>
      <w:r w:rsidR="00894E7B" w:rsidRPr="007C6545">
        <w:rPr>
          <w:rFonts w:ascii="Arial" w:hAnsi="Arial" w:cs="Arial"/>
          <w:color w:val="000000" w:themeColor="text1"/>
        </w:rPr>
        <w:t>following</w:t>
      </w:r>
      <w:r w:rsidR="00A1171F" w:rsidRPr="007C6545">
        <w:rPr>
          <w:rFonts w:ascii="Arial" w:hAnsi="Arial" w:cs="Arial"/>
          <w:color w:val="000000" w:themeColor="text1"/>
        </w:rPr>
        <w:t xml:space="preserve"> </w:t>
      </w:r>
      <w:r w:rsidR="00605508" w:rsidRPr="007C6545">
        <w:rPr>
          <w:rFonts w:ascii="Arial" w:hAnsi="Arial" w:cs="Arial"/>
          <w:color w:val="000000" w:themeColor="text1"/>
        </w:rPr>
        <w:t>iv</w:t>
      </w:r>
      <w:r w:rsidR="00D0380B" w:rsidRPr="007C6545">
        <w:rPr>
          <w:rFonts w:ascii="Arial" w:hAnsi="Arial" w:cs="Arial"/>
          <w:color w:val="000000" w:themeColor="text1"/>
        </w:rPr>
        <w:t xml:space="preserve"> administration</w:t>
      </w:r>
      <w:r w:rsidR="00FC4123" w:rsidRPr="007C6545">
        <w:rPr>
          <w:rFonts w:ascii="Arial" w:hAnsi="Arial" w:cs="Arial"/>
          <w:color w:val="000000" w:themeColor="text1"/>
        </w:rPr>
        <w:t xml:space="preserve">, and </w:t>
      </w:r>
      <w:r w:rsidRPr="007C6545">
        <w:rPr>
          <w:rFonts w:ascii="Arial" w:hAnsi="Arial" w:cs="Arial"/>
          <w:color w:val="000000" w:themeColor="text1"/>
        </w:rPr>
        <w:t>distribute into tissues</w:t>
      </w:r>
      <w:r w:rsidR="00894E7B" w:rsidRPr="007C6545">
        <w:rPr>
          <w:rFonts w:ascii="Arial" w:hAnsi="Arial" w:cs="Arial"/>
          <w:color w:val="000000" w:themeColor="text1"/>
        </w:rPr>
        <w:t>.</w:t>
      </w:r>
      <w:r w:rsidR="00FD686E" w:rsidRPr="007C6545">
        <w:rPr>
          <w:rFonts w:ascii="Arial" w:hAnsi="Arial" w:cs="Arial"/>
          <w:color w:val="000000" w:themeColor="text1"/>
        </w:rPr>
        <w:t xml:space="preserve"> Central nervous system penetration is possible but only </w:t>
      </w:r>
      <w:r w:rsidR="0077318C" w:rsidRPr="007C6545">
        <w:rPr>
          <w:rFonts w:ascii="Arial" w:hAnsi="Arial" w:cs="Arial"/>
          <w:color w:val="000000" w:themeColor="text1"/>
        </w:rPr>
        <w:t>with</w:t>
      </w:r>
      <w:r w:rsidR="00FD686E" w:rsidRPr="007C6545">
        <w:rPr>
          <w:rFonts w:ascii="Arial" w:hAnsi="Arial" w:cs="Arial"/>
          <w:color w:val="000000" w:themeColor="text1"/>
        </w:rPr>
        <w:t xml:space="preserve"> use of high</w:t>
      </w:r>
      <w:r w:rsidR="00E5105A" w:rsidRPr="007C6545">
        <w:rPr>
          <w:rFonts w:ascii="Arial" w:hAnsi="Arial" w:cs="Arial"/>
          <w:color w:val="000000" w:themeColor="text1"/>
        </w:rPr>
        <w:t>er</w:t>
      </w:r>
      <w:r w:rsidR="004053C2" w:rsidRPr="007C6545">
        <w:rPr>
          <w:rFonts w:ascii="Arial" w:hAnsi="Arial" w:cs="Arial"/>
          <w:color w:val="000000" w:themeColor="text1"/>
        </w:rPr>
        <w:t xml:space="preserve"> dosages</w:t>
      </w:r>
      <w:r w:rsidR="003346CB" w:rsidRPr="007C6545">
        <w:rPr>
          <w:rFonts w:ascii="Arial" w:hAnsi="Arial" w:cs="Arial"/>
          <w:color w:val="000000" w:themeColor="text1"/>
        </w:rPr>
        <w:t xml:space="preserve"> </w:t>
      </w:r>
      <w:r w:rsidR="00E5105A" w:rsidRPr="007C6545">
        <w:rPr>
          <w:rFonts w:ascii="Arial" w:hAnsi="Arial" w:cs="Arial"/>
          <w:color w:val="000000" w:themeColor="text1"/>
        </w:rPr>
        <w:t xml:space="preserve">than </w:t>
      </w:r>
      <w:r w:rsidR="0077318C" w:rsidRPr="007C6545">
        <w:rPr>
          <w:rFonts w:ascii="Arial" w:hAnsi="Arial" w:cs="Arial"/>
          <w:color w:val="000000" w:themeColor="text1"/>
        </w:rPr>
        <w:t xml:space="preserve">are </w:t>
      </w:r>
      <w:r w:rsidR="00E5105A" w:rsidRPr="007C6545">
        <w:rPr>
          <w:rFonts w:ascii="Arial" w:hAnsi="Arial" w:cs="Arial"/>
          <w:color w:val="000000" w:themeColor="text1"/>
        </w:rPr>
        <w:t>licensed for</w:t>
      </w:r>
      <w:r w:rsidR="0077318C" w:rsidRPr="007C6545">
        <w:rPr>
          <w:rFonts w:ascii="Arial" w:hAnsi="Arial" w:cs="Arial"/>
          <w:color w:val="000000" w:themeColor="text1"/>
        </w:rPr>
        <w:t xml:space="preserve"> the</w:t>
      </w:r>
      <w:r w:rsidR="00E5105A" w:rsidRPr="007C6545">
        <w:rPr>
          <w:rFonts w:ascii="Arial" w:hAnsi="Arial" w:cs="Arial"/>
          <w:color w:val="000000" w:themeColor="text1"/>
        </w:rPr>
        <w:t xml:space="preserve"> treatment of bloodstream infection</w:t>
      </w:r>
      <w:r w:rsidR="009311EC" w:rsidRPr="007C6545">
        <w:rPr>
          <w:rFonts w:ascii="Arial" w:hAnsi="Arial" w:cs="Arial"/>
          <w:color w:val="000000" w:themeColor="text1"/>
        </w:rPr>
        <w:t>.</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8</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9</w:t>
      </w:r>
      <w:r w:rsidR="00F24FA8" w:rsidRPr="007C6545">
        <w:rPr>
          <w:rFonts w:ascii="Arial" w:hAnsi="Arial" w:cs="Arial"/>
          <w:color w:val="000000" w:themeColor="text1"/>
        </w:rPr>
        <w:t xml:space="preserve"> </w:t>
      </w:r>
      <w:r w:rsidR="00D0380B" w:rsidRPr="007C6545">
        <w:rPr>
          <w:rFonts w:ascii="Arial" w:hAnsi="Arial" w:cs="Arial"/>
          <w:color w:val="000000" w:themeColor="text1"/>
        </w:rPr>
        <w:t xml:space="preserve">Drug interactions are less </w:t>
      </w:r>
      <w:r w:rsidR="0012786A" w:rsidRPr="007C6545">
        <w:rPr>
          <w:rFonts w:ascii="Arial" w:hAnsi="Arial" w:cs="Arial"/>
          <w:color w:val="000000" w:themeColor="text1"/>
        </w:rPr>
        <w:t xml:space="preserve">clinically </w:t>
      </w:r>
      <w:r w:rsidR="00D0380B" w:rsidRPr="007C6545">
        <w:rPr>
          <w:rFonts w:ascii="Arial" w:hAnsi="Arial" w:cs="Arial"/>
          <w:color w:val="000000" w:themeColor="text1"/>
        </w:rPr>
        <w:t xml:space="preserve">important for the echinocandins than for other </w:t>
      </w:r>
      <w:r w:rsidR="0012786A" w:rsidRPr="007C6545">
        <w:rPr>
          <w:rFonts w:ascii="Arial" w:hAnsi="Arial" w:cs="Arial"/>
          <w:color w:val="000000" w:themeColor="text1"/>
        </w:rPr>
        <w:t>agents</w:t>
      </w:r>
      <w:r w:rsidR="00D0380B" w:rsidRPr="007C6545">
        <w:rPr>
          <w:rFonts w:ascii="Arial" w:hAnsi="Arial" w:cs="Arial"/>
          <w:color w:val="000000" w:themeColor="text1"/>
        </w:rPr>
        <w:t xml:space="preserve"> since they are weak substrates for, and do not inhibit, cytochrome P450 enzymes</w:t>
      </w:r>
      <w:r w:rsidR="0012786A" w:rsidRPr="007C6545">
        <w:rPr>
          <w:rFonts w:ascii="Arial" w:hAnsi="Arial" w:cs="Arial"/>
          <w:color w:val="000000" w:themeColor="text1"/>
        </w:rPr>
        <w:t>.</w:t>
      </w:r>
      <w:r w:rsidR="00D0380B" w:rsidRPr="007C6545">
        <w:rPr>
          <w:rFonts w:ascii="Arial" w:hAnsi="Arial" w:cs="Arial"/>
          <w:color w:val="000000" w:themeColor="text1"/>
        </w:rPr>
        <w:t xml:space="preserve"> </w:t>
      </w:r>
      <w:r w:rsidR="0012786A" w:rsidRPr="007C6545">
        <w:rPr>
          <w:rFonts w:ascii="Arial" w:hAnsi="Arial" w:cs="Arial"/>
          <w:color w:val="000000" w:themeColor="text1"/>
        </w:rPr>
        <w:t xml:space="preserve">Neither </w:t>
      </w:r>
      <w:r w:rsidR="00D0380B" w:rsidRPr="007C6545">
        <w:rPr>
          <w:rFonts w:ascii="Arial" w:hAnsi="Arial" w:cs="Arial"/>
          <w:color w:val="000000" w:themeColor="text1"/>
        </w:rPr>
        <w:t>are they substrates for the P-glycoprotein transport systems.</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8</w:t>
      </w:r>
      <w:r w:rsidR="00EB39C5" w:rsidRPr="007C6545">
        <w:rPr>
          <w:rFonts w:ascii="Arial" w:hAnsi="Arial" w:cs="Arial"/>
          <w:color w:val="000000" w:themeColor="text1"/>
          <w:vertAlign w:val="superscript"/>
        </w:rPr>
        <w:t>,</w:t>
      </w:r>
      <w:r w:rsidR="00C251E7" w:rsidRPr="007C6545">
        <w:rPr>
          <w:rFonts w:ascii="Arial" w:hAnsi="Arial" w:cs="Arial"/>
          <w:color w:val="000000" w:themeColor="text1"/>
          <w:vertAlign w:val="superscript"/>
        </w:rPr>
        <w:t>80</w:t>
      </w:r>
      <w:r w:rsidR="0012786A" w:rsidRPr="007C6545">
        <w:rPr>
          <w:rFonts w:ascii="Arial" w:hAnsi="Arial" w:cs="Arial"/>
          <w:color w:val="000000" w:themeColor="text1"/>
        </w:rPr>
        <w:t xml:space="preserve"> </w:t>
      </w:r>
      <w:r w:rsidR="00D0380B" w:rsidRPr="007C6545">
        <w:rPr>
          <w:rFonts w:ascii="Arial" w:hAnsi="Arial" w:cs="Arial"/>
          <w:color w:val="000000" w:themeColor="text1"/>
        </w:rPr>
        <w:t xml:space="preserve"> As is the case with the polyenes, there is </w:t>
      </w:r>
      <w:r w:rsidR="0012786A" w:rsidRPr="007C6545">
        <w:rPr>
          <w:rFonts w:ascii="Arial" w:hAnsi="Arial" w:cs="Arial"/>
          <w:color w:val="000000" w:themeColor="text1"/>
        </w:rPr>
        <w:t>in</w:t>
      </w:r>
      <w:r w:rsidR="00D0380B" w:rsidRPr="007C6545">
        <w:rPr>
          <w:rFonts w:ascii="Arial" w:hAnsi="Arial" w:cs="Arial"/>
          <w:color w:val="000000" w:themeColor="text1"/>
        </w:rPr>
        <w:t xml:space="preserve">sufficient data </w:t>
      </w:r>
      <w:r w:rsidR="0077318C" w:rsidRPr="007C6545">
        <w:rPr>
          <w:rFonts w:ascii="Arial" w:hAnsi="Arial" w:cs="Arial"/>
          <w:color w:val="000000" w:themeColor="text1"/>
        </w:rPr>
        <w:t>regarding</w:t>
      </w:r>
      <w:r w:rsidR="00D0380B" w:rsidRPr="007C6545">
        <w:rPr>
          <w:rFonts w:ascii="Arial" w:hAnsi="Arial" w:cs="Arial"/>
          <w:color w:val="000000" w:themeColor="text1"/>
        </w:rPr>
        <w:t xml:space="preserve"> the relationship between echinocandin serum concentrations and therapeutic outcomes to support the </w:t>
      </w:r>
      <w:r w:rsidR="0012786A" w:rsidRPr="007C6545">
        <w:rPr>
          <w:rFonts w:ascii="Arial" w:hAnsi="Arial" w:cs="Arial"/>
          <w:color w:val="000000" w:themeColor="text1"/>
        </w:rPr>
        <w:t xml:space="preserve">routine </w:t>
      </w:r>
      <w:r w:rsidR="00D0380B" w:rsidRPr="007C6545">
        <w:rPr>
          <w:rFonts w:ascii="Arial" w:hAnsi="Arial" w:cs="Arial"/>
          <w:color w:val="000000" w:themeColor="text1"/>
        </w:rPr>
        <w:t xml:space="preserve">use of TDM </w:t>
      </w:r>
      <w:r w:rsidR="0012786A" w:rsidRPr="007C6545">
        <w:rPr>
          <w:rFonts w:ascii="Arial" w:hAnsi="Arial" w:cs="Arial"/>
          <w:color w:val="000000" w:themeColor="text1"/>
        </w:rPr>
        <w:t xml:space="preserve">for </w:t>
      </w:r>
      <w:r w:rsidR="00FC4123" w:rsidRPr="007C6545">
        <w:rPr>
          <w:rFonts w:ascii="Arial" w:hAnsi="Arial" w:cs="Arial"/>
          <w:color w:val="000000" w:themeColor="text1"/>
        </w:rPr>
        <w:t>these agents.</w:t>
      </w:r>
      <w:r w:rsidR="00EB39C5" w:rsidRPr="007C6545">
        <w:rPr>
          <w:rFonts w:ascii="Arial" w:hAnsi="Arial" w:cs="Arial"/>
          <w:color w:val="000000" w:themeColor="text1"/>
          <w:vertAlign w:val="superscript"/>
        </w:rPr>
        <w:t>1</w:t>
      </w:r>
      <w:r w:rsidR="00BB71BC" w:rsidRPr="007C6545">
        <w:rPr>
          <w:rFonts w:ascii="Arial" w:hAnsi="Arial" w:cs="Arial"/>
          <w:color w:val="000000" w:themeColor="text1"/>
          <w:vertAlign w:val="superscript"/>
        </w:rPr>
        <w:t>7</w:t>
      </w:r>
      <w:r w:rsidR="00EB39C5" w:rsidRPr="007C6545">
        <w:rPr>
          <w:rFonts w:ascii="Arial" w:hAnsi="Arial" w:cs="Arial"/>
          <w:color w:val="000000" w:themeColor="text1"/>
          <w:vertAlign w:val="superscript"/>
        </w:rPr>
        <w:t>,7</w:t>
      </w:r>
      <w:r w:rsidR="00C251E7" w:rsidRPr="007C6545">
        <w:rPr>
          <w:rFonts w:ascii="Arial" w:hAnsi="Arial" w:cs="Arial"/>
          <w:color w:val="000000" w:themeColor="text1"/>
          <w:vertAlign w:val="superscript"/>
        </w:rPr>
        <w:t>8</w:t>
      </w:r>
    </w:p>
    <w:p w14:paraId="04313ABF" w14:textId="77777777" w:rsidR="00D64412" w:rsidRPr="007C6545" w:rsidRDefault="00A1171F" w:rsidP="005F2259">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t>Advancing the field: What are the immediate challenges for individualised antifungal therapy?</w:t>
      </w:r>
    </w:p>
    <w:p w14:paraId="6FA77618" w14:textId="53914946" w:rsidR="00D64412" w:rsidRPr="007C6545" w:rsidRDefault="00D64412"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Much </w:t>
      </w:r>
      <w:r w:rsidR="00396013" w:rsidRPr="007C6545">
        <w:rPr>
          <w:rFonts w:ascii="Arial" w:hAnsi="Arial" w:cs="Arial"/>
          <w:color w:val="000000" w:themeColor="text1"/>
        </w:rPr>
        <w:t>has been</w:t>
      </w:r>
      <w:r w:rsidRPr="007C6545">
        <w:rPr>
          <w:rFonts w:ascii="Arial" w:hAnsi="Arial" w:cs="Arial"/>
          <w:color w:val="000000" w:themeColor="text1"/>
        </w:rPr>
        <w:t xml:space="preserve"> written about </w:t>
      </w:r>
      <w:r w:rsidR="00396013" w:rsidRPr="007C6545">
        <w:rPr>
          <w:rFonts w:ascii="Arial" w:hAnsi="Arial" w:cs="Arial"/>
          <w:color w:val="000000" w:themeColor="text1"/>
        </w:rPr>
        <w:t xml:space="preserve">antifungal TDM, and </w:t>
      </w:r>
      <w:r w:rsidR="00317650" w:rsidRPr="007C6545">
        <w:rPr>
          <w:rFonts w:ascii="Arial" w:hAnsi="Arial" w:cs="Arial"/>
          <w:color w:val="000000" w:themeColor="text1"/>
        </w:rPr>
        <w:t>the</w:t>
      </w:r>
      <w:r w:rsidR="00396013" w:rsidRPr="007C6545">
        <w:rPr>
          <w:rFonts w:ascii="Arial" w:hAnsi="Arial" w:cs="Arial"/>
          <w:color w:val="000000" w:themeColor="text1"/>
        </w:rPr>
        <w:t xml:space="preserve"> current state of knowledge is relatively stable</w:t>
      </w:r>
      <w:r w:rsidR="006136A7" w:rsidRPr="007C6545">
        <w:rPr>
          <w:rFonts w:ascii="Arial" w:hAnsi="Arial" w:cs="Arial"/>
          <w:color w:val="000000" w:themeColor="text1"/>
        </w:rPr>
        <w:t xml:space="preserve">.  </w:t>
      </w:r>
      <w:r w:rsidR="00AE4D5A" w:rsidRPr="007C6545">
        <w:rPr>
          <w:rFonts w:ascii="Arial" w:hAnsi="Arial" w:cs="Arial"/>
          <w:color w:val="000000" w:themeColor="text1"/>
        </w:rPr>
        <w:t>Several g</w:t>
      </w:r>
      <w:r w:rsidR="009171CD" w:rsidRPr="007C6545">
        <w:rPr>
          <w:rFonts w:ascii="Arial" w:hAnsi="Arial" w:cs="Arial"/>
          <w:color w:val="000000" w:themeColor="text1"/>
        </w:rPr>
        <w:t xml:space="preserve">uidelines have been developed.  </w:t>
      </w:r>
      <w:r w:rsidR="006136A7" w:rsidRPr="007C6545">
        <w:rPr>
          <w:rFonts w:ascii="Arial" w:hAnsi="Arial" w:cs="Arial"/>
          <w:color w:val="000000" w:themeColor="text1"/>
        </w:rPr>
        <w:t>What then are the remaining challenges to ensure TDM becomes a</w:t>
      </w:r>
      <w:r w:rsidR="00AE4D5A" w:rsidRPr="007C6545">
        <w:rPr>
          <w:rFonts w:ascii="Arial" w:hAnsi="Arial" w:cs="Arial"/>
          <w:color w:val="000000" w:themeColor="text1"/>
        </w:rPr>
        <w:t xml:space="preserve"> practical </w:t>
      </w:r>
      <w:r w:rsidR="00C15B4D" w:rsidRPr="007C6545">
        <w:rPr>
          <w:rFonts w:ascii="Arial" w:hAnsi="Arial" w:cs="Arial"/>
          <w:color w:val="000000" w:themeColor="text1"/>
        </w:rPr>
        <w:t xml:space="preserve">and more widely used </w:t>
      </w:r>
      <w:r w:rsidR="006136A7" w:rsidRPr="007C6545">
        <w:rPr>
          <w:rFonts w:ascii="Arial" w:hAnsi="Arial" w:cs="Arial"/>
          <w:color w:val="000000" w:themeColor="text1"/>
        </w:rPr>
        <w:t xml:space="preserve">adjunct to the </w:t>
      </w:r>
      <w:r w:rsidR="00C15B4D" w:rsidRPr="007C6545">
        <w:rPr>
          <w:rFonts w:ascii="Arial" w:hAnsi="Arial" w:cs="Arial"/>
          <w:color w:val="000000" w:themeColor="text1"/>
        </w:rPr>
        <w:t xml:space="preserve">routine </w:t>
      </w:r>
      <w:r w:rsidR="006136A7" w:rsidRPr="007C6545">
        <w:rPr>
          <w:rFonts w:ascii="Arial" w:hAnsi="Arial" w:cs="Arial"/>
          <w:color w:val="000000" w:themeColor="text1"/>
        </w:rPr>
        <w:t>use of antifungal agents?</w:t>
      </w:r>
    </w:p>
    <w:p w14:paraId="066A6637" w14:textId="77777777" w:rsidR="009171CD" w:rsidRPr="007C6545" w:rsidRDefault="009171CD"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Challenge 1. Measuring drug concentrations at the bedside.</w:t>
      </w:r>
    </w:p>
    <w:p w14:paraId="3AE00A3F" w14:textId="77777777" w:rsidR="008D5673" w:rsidRPr="007C6545" w:rsidRDefault="008D5673"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In many institutions</w:t>
      </w:r>
      <w:r w:rsidR="0077318C" w:rsidRPr="007C6545">
        <w:rPr>
          <w:rFonts w:ascii="Arial" w:hAnsi="Arial" w:cs="Arial"/>
          <w:color w:val="000000" w:themeColor="text1"/>
        </w:rPr>
        <w:t>,</w:t>
      </w:r>
      <w:r w:rsidRPr="007C6545">
        <w:rPr>
          <w:rFonts w:ascii="Arial" w:hAnsi="Arial" w:cs="Arial"/>
          <w:color w:val="000000" w:themeColor="text1"/>
        </w:rPr>
        <w:t xml:space="preserve"> the turn</w:t>
      </w:r>
      <w:r w:rsidR="0077318C" w:rsidRPr="007C6545">
        <w:rPr>
          <w:rFonts w:ascii="Arial" w:hAnsi="Arial" w:cs="Arial"/>
          <w:color w:val="000000" w:themeColor="text1"/>
        </w:rPr>
        <w:t>a</w:t>
      </w:r>
      <w:r w:rsidRPr="007C6545">
        <w:rPr>
          <w:rFonts w:ascii="Arial" w:hAnsi="Arial" w:cs="Arial"/>
          <w:color w:val="000000" w:themeColor="text1"/>
        </w:rPr>
        <w:t>round</w:t>
      </w:r>
      <w:r w:rsidR="0077318C" w:rsidRPr="007C6545">
        <w:rPr>
          <w:rFonts w:ascii="Arial" w:hAnsi="Arial" w:cs="Arial"/>
          <w:color w:val="000000" w:themeColor="text1"/>
        </w:rPr>
        <w:t xml:space="preserve"> </w:t>
      </w:r>
      <w:r w:rsidRPr="007C6545">
        <w:rPr>
          <w:rFonts w:ascii="Arial" w:hAnsi="Arial" w:cs="Arial"/>
          <w:color w:val="000000" w:themeColor="text1"/>
        </w:rPr>
        <w:t xml:space="preserve">time for antifungal drug measurement is too slow to be clinically </w:t>
      </w:r>
      <w:r w:rsidR="0077318C" w:rsidRPr="007C6545">
        <w:rPr>
          <w:rFonts w:ascii="Arial" w:hAnsi="Arial" w:cs="Arial"/>
          <w:color w:val="000000" w:themeColor="text1"/>
        </w:rPr>
        <w:t>helpful</w:t>
      </w:r>
      <w:r w:rsidRPr="007C6545">
        <w:rPr>
          <w:rFonts w:ascii="Arial" w:hAnsi="Arial" w:cs="Arial"/>
          <w:color w:val="000000" w:themeColor="text1"/>
        </w:rPr>
        <w:t xml:space="preserve">.  Measurement requires relatively expensive equipment and highly trained laboratory personnel. </w:t>
      </w:r>
      <w:r w:rsidR="005C51AC" w:rsidRPr="007C6545">
        <w:rPr>
          <w:rFonts w:ascii="Arial" w:hAnsi="Arial" w:cs="Arial"/>
          <w:color w:val="000000" w:themeColor="text1"/>
        </w:rPr>
        <w:t xml:space="preserve">TDM services are </w:t>
      </w:r>
      <w:r w:rsidR="0077318C" w:rsidRPr="007C6545">
        <w:rPr>
          <w:rFonts w:ascii="Arial" w:hAnsi="Arial" w:cs="Arial"/>
          <w:color w:val="000000" w:themeColor="text1"/>
        </w:rPr>
        <w:t xml:space="preserve">often </w:t>
      </w:r>
      <w:r w:rsidR="005C51AC" w:rsidRPr="007C6545">
        <w:rPr>
          <w:rFonts w:ascii="Arial" w:hAnsi="Arial" w:cs="Arial"/>
          <w:color w:val="000000" w:themeColor="text1"/>
        </w:rPr>
        <w:t>centralised</w:t>
      </w:r>
      <w:r w:rsidR="0077318C" w:rsidRPr="007C6545">
        <w:rPr>
          <w:rFonts w:ascii="Arial" w:hAnsi="Arial" w:cs="Arial"/>
          <w:color w:val="000000" w:themeColor="text1"/>
        </w:rPr>
        <w:t>,</w:t>
      </w:r>
      <w:r w:rsidR="005C51AC" w:rsidRPr="007C6545">
        <w:rPr>
          <w:rFonts w:ascii="Arial" w:hAnsi="Arial" w:cs="Arial"/>
          <w:color w:val="000000" w:themeColor="text1"/>
        </w:rPr>
        <w:t xml:space="preserve"> leading to delays in transportation and reporting. A radical change in approach is required to enable measurement of drug </w:t>
      </w:r>
      <w:r w:rsidR="00B61BF1" w:rsidRPr="007C6545">
        <w:rPr>
          <w:rFonts w:ascii="Arial" w:hAnsi="Arial" w:cs="Arial"/>
          <w:color w:val="000000" w:themeColor="text1"/>
        </w:rPr>
        <w:t>concentrations</w:t>
      </w:r>
      <w:r w:rsidR="005C51AC" w:rsidRPr="007C6545">
        <w:rPr>
          <w:rFonts w:ascii="Arial" w:hAnsi="Arial" w:cs="Arial"/>
          <w:color w:val="000000" w:themeColor="text1"/>
        </w:rPr>
        <w:t xml:space="preserve"> at the bedside</w:t>
      </w:r>
      <w:r w:rsidR="0077318C" w:rsidRPr="007C6545">
        <w:rPr>
          <w:rFonts w:ascii="Arial" w:hAnsi="Arial" w:cs="Arial"/>
          <w:color w:val="000000" w:themeColor="text1"/>
        </w:rPr>
        <w:t xml:space="preserve"> </w:t>
      </w:r>
      <w:r w:rsidR="005C51AC" w:rsidRPr="007C6545">
        <w:rPr>
          <w:rFonts w:ascii="Arial" w:hAnsi="Arial" w:cs="Arial"/>
          <w:color w:val="000000" w:themeColor="text1"/>
        </w:rPr>
        <w:t>or in the clinic</w:t>
      </w:r>
      <w:r w:rsidR="0043513B" w:rsidRPr="007C6545">
        <w:rPr>
          <w:rFonts w:ascii="Arial" w:hAnsi="Arial" w:cs="Arial"/>
          <w:color w:val="000000" w:themeColor="text1"/>
        </w:rPr>
        <w:t>. This, in turn</w:t>
      </w:r>
      <w:r w:rsidR="0077318C" w:rsidRPr="007C6545">
        <w:rPr>
          <w:rFonts w:ascii="Arial" w:hAnsi="Arial" w:cs="Arial"/>
          <w:color w:val="000000" w:themeColor="text1"/>
        </w:rPr>
        <w:t>,</w:t>
      </w:r>
      <w:r w:rsidR="0043513B" w:rsidRPr="007C6545">
        <w:rPr>
          <w:rFonts w:ascii="Arial" w:hAnsi="Arial" w:cs="Arial"/>
          <w:color w:val="000000" w:themeColor="text1"/>
        </w:rPr>
        <w:t xml:space="preserve"> would allow rapid modifications </w:t>
      </w:r>
      <w:r w:rsidR="0077318C" w:rsidRPr="007C6545">
        <w:rPr>
          <w:rFonts w:ascii="Arial" w:hAnsi="Arial" w:cs="Arial"/>
          <w:color w:val="000000" w:themeColor="text1"/>
        </w:rPr>
        <w:t xml:space="preserve">to </w:t>
      </w:r>
      <w:r w:rsidR="0077318C" w:rsidRPr="007C6545">
        <w:rPr>
          <w:rFonts w:ascii="Arial" w:hAnsi="Arial" w:cs="Arial"/>
          <w:color w:val="000000" w:themeColor="text1"/>
        </w:rPr>
        <w:lastRenderedPageBreak/>
        <w:t xml:space="preserve">the </w:t>
      </w:r>
      <w:r w:rsidR="0043513B" w:rsidRPr="007C6545">
        <w:rPr>
          <w:rFonts w:ascii="Arial" w:hAnsi="Arial" w:cs="Arial"/>
          <w:color w:val="000000" w:themeColor="text1"/>
        </w:rPr>
        <w:t>antifungal regimen</w:t>
      </w:r>
      <w:r w:rsidR="00B61BF1" w:rsidRPr="007C6545">
        <w:rPr>
          <w:rFonts w:ascii="Arial" w:hAnsi="Arial" w:cs="Arial"/>
          <w:color w:val="000000" w:themeColor="text1"/>
        </w:rPr>
        <w:t xml:space="preserve"> </w:t>
      </w:r>
      <w:r w:rsidR="0077318C" w:rsidRPr="007C6545">
        <w:rPr>
          <w:rFonts w:ascii="Arial" w:hAnsi="Arial" w:cs="Arial"/>
          <w:color w:val="000000" w:themeColor="text1"/>
        </w:rPr>
        <w:t xml:space="preserve">which </w:t>
      </w:r>
      <w:r w:rsidR="00B61BF1" w:rsidRPr="007C6545">
        <w:rPr>
          <w:rFonts w:ascii="Arial" w:hAnsi="Arial" w:cs="Arial"/>
          <w:color w:val="000000" w:themeColor="text1"/>
        </w:rPr>
        <w:t>would</w:t>
      </w:r>
      <w:r w:rsidR="0077318C" w:rsidRPr="007C6545">
        <w:rPr>
          <w:rFonts w:ascii="Arial" w:hAnsi="Arial" w:cs="Arial"/>
          <w:color w:val="000000" w:themeColor="text1"/>
        </w:rPr>
        <w:t xml:space="preserve"> be expected to provide </w:t>
      </w:r>
      <w:r w:rsidR="00B61BF1" w:rsidRPr="007C6545">
        <w:rPr>
          <w:rFonts w:ascii="Arial" w:hAnsi="Arial" w:cs="Arial"/>
          <w:color w:val="000000" w:themeColor="text1"/>
        </w:rPr>
        <w:t>a far more significant clinic</w:t>
      </w:r>
      <w:r w:rsidR="003346CB" w:rsidRPr="007C6545">
        <w:rPr>
          <w:rFonts w:ascii="Arial" w:hAnsi="Arial" w:cs="Arial"/>
          <w:color w:val="000000" w:themeColor="text1"/>
        </w:rPr>
        <w:t>al benefit than waiting a week or longer,</w:t>
      </w:r>
      <w:r w:rsidR="00B61BF1" w:rsidRPr="007C6545">
        <w:rPr>
          <w:rFonts w:ascii="Arial" w:hAnsi="Arial" w:cs="Arial"/>
          <w:color w:val="000000" w:themeColor="text1"/>
        </w:rPr>
        <w:t xml:space="preserve"> as is currently often the case</w:t>
      </w:r>
      <w:r w:rsidR="0043513B" w:rsidRPr="007C6545">
        <w:rPr>
          <w:rFonts w:ascii="Arial" w:hAnsi="Arial" w:cs="Arial"/>
          <w:color w:val="000000" w:themeColor="text1"/>
        </w:rPr>
        <w:t>.</w:t>
      </w:r>
    </w:p>
    <w:p w14:paraId="3FF5EA8E" w14:textId="77777777" w:rsidR="0043513B" w:rsidRPr="007C6545" w:rsidRDefault="0043513B"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 xml:space="preserve">Challenge 2. </w:t>
      </w:r>
      <w:r w:rsidR="00B61BF1" w:rsidRPr="007C6545">
        <w:rPr>
          <w:rFonts w:ascii="Arial" w:hAnsi="Arial" w:cs="Arial"/>
          <w:i/>
          <w:color w:val="000000" w:themeColor="text1"/>
        </w:rPr>
        <w:t xml:space="preserve">Development of </w:t>
      </w:r>
      <w:r w:rsidR="00A1171F" w:rsidRPr="007C6545">
        <w:rPr>
          <w:rFonts w:ascii="Arial" w:hAnsi="Arial" w:cs="Arial"/>
          <w:i/>
          <w:color w:val="000000" w:themeColor="text1"/>
        </w:rPr>
        <w:t>algorithms for dosage adjustment</w:t>
      </w:r>
    </w:p>
    <w:p w14:paraId="583410FE" w14:textId="07B4EE1C" w:rsidR="00B61BF1" w:rsidRPr="007C6545" w:rsidRDefault="00B61BF1"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There is</w:t>
      </w:r>
      <w:r w:rsidR="00B26FCA" w:rsidRPr="007C6545">
        <w:rPr>
          <w:rFonts w:ascii="Arial" w:hAnsi="Arial" w:cs="Arial"/>
          <w:color w:val="000000" w:themeColor="text1"/>
        </w:rPr>
        <w:t xml:space="preserve"> a distinct lack of</w:t>
      </w:r>
      <w:r w:rsidR="004836BD" w:rsidRPr="007C6545">
        <w:rPr>
          <w:rFonts w:ascii="Arial" w:hAnsi="Arial" w:cs="Arial"/>
          <w:color w:val="000000" w:themeColor="text1"/>
        </w:rPr>
        <w:t xml:space="preserve"> published guidance on</w:t>
      </w:r>
      <w:r w:rsidRPr="007C6545">
        <w:rPr>
          <w:rFonts w:ascii="Arial" w:hAnsi="Arial" w:cs="Arial"/>
          <w:color w:val="000000" w:themeColor="text1"/>
        </w:rPr>
        <w:t xml:space="preserve"> how to adjust the dosage of antifungal agent</w:t>
      </w:r>
      <w:r w:rsidR="0077318C" w:rsidRPr="007C6545">
        <w:rPr>
          <w:rFonts w:ascii="Arial" w:hAnsi="Arial" w:cs="Arial"/>
          <w:color w:val="000000" w:themeColor="text1"/>
        </w:rPr>
        <w:t>s</w:t>
      </w:r>
      <w:r w:rsidRPr="007C6545">
        <w:rPr>
          <w:rFonts w:ascii="Arial" w:hAnsi="Arial" w:cs="Arial"/>
          <w:color w:val="000000" w:themeColor="text1"/>
        </w:rPr>
        <w:t xml:space="preserve"> in response to </w:t>
      </w:r>
      <w:r w:rsidR="0077318C" w:rsidRPr="007C6545">
        <w:rPr>
          <w:rFonts w:ascii="Arial" w:hAnsi="Arial" w:cs="Arial"/>
          <w:color w:val="000000" w:themeColor="text1"/>
        </w:rPr>
        <w:t>a level t</w:t>
      </w:r>
      <w:r w:rsidRPr="007C6545">
        <w:rPr>
          <w:rFonts w:ascii="Arial" w:hAnsi="Arial" w:cs="Arial"/>
          <w:color w:val="000000" w:themeColor="text1"/>
        </w:rPr>
        <w:t>hat is outside a specified therapeutic range.  Some authors suggest changing the dose by 50%.  Even for agents with relatively simple</w:t>
      </w:r>
      <w:r w:rsidR="00F16AFF" w:rsidRPr="007C6545">
        <w:rPr>
          <w:rFonts w:ascii="Arial" w:hAnsi="Arial" w:cs="Arial"/>
          <w:color w:val="000000" w:themeColor="text1"/>
        </w:rPr>
        <w:t xml:space="preserve"> pharmacology (e.g. fluconazole, 5-FC), such an approach is crude at best.  We have for </w:t>
      </w:r>
      <w:r w:rsidR="00AE4D5A" w:rsidRPr="007C6545">
        <w:rPr>
          <w:rFonts w:ascii="Arial" w:hAnsi="Arial" w:cs="Arial"/>
          <w:color w:val="000000" w:themeColor="text1"/>
        </w:rPr>
        <w:t>some time</w:t>
      </w:r>
      <w:r w:rsidR="00F16AFF" w:rsidRPr="007C6545">
        <w:rPr>
          <w:rFonts w:ascii="Arial" w:hAnsi="Arial" w:cs="Arial"/>
          <w:color w:val="000000" w:themeColor="text1"/>
        </w:rPr>
        <w:t xml:space="preserve"> b</w:t>
      </w:r>
      <w:r w:rsidR="004836BD" w:rsidRPr="007C6545">
        <w:rPr>
          <w:rFonts w:ascii="Arial" w:hAnsi="Arial" w:cs="Arial"/>
          <w:color w:val="000000" w:themeColor="text1"/>
        </w:rPr>
        <w:t>een</w:t>
      </w:r>
      <w:r w:rsidR="00F16AFF" w:rsidRPr="007C6545">
        <w:rPr>
          <w:rFonts w:ascii="Arial" w:hAnsi="Arial" w:cs="Arial"/>
          <w:color w:val="000000" w:themeColor="text1"/>
        </w:rPr>
        <w:t xml:space="preserve"> developing software that enables precise calculation of the regimen </w:t>
      </w:r>
      <w:r w:rsidR="0077318C" w:rsidRPr="007C6545">
        <w:rPr>
          <w:rFonts w:ascii="Arial" w:hAnsi="Arial" w:cs="Arial"/>
          <w:color w:val="000000" w:themeColor="text1"/>
        </w:rPr>
        <w:t xml:space="preserve">which </w:t>
      </w:r>
      <w:r w:rsidR="00F16AFF" w:rsidRPr="007C6545">
        <w:rPr>
          <w:rFonts w:ascii="Arial" w:hAnsi="Arial" w:cs="Arial"/>
          <w:color w:val="000000" w:themeColor="text1"/>
        </w:rPr>
        <w:t xml:space="preserve">is required to </w:t>
      </w:r>
      <w:r w:rsidR="0077318C" w:rsidRPr="007C6545">
        <w:rPr>
          <w:rFonts w:ascii="Arial" w:hAnsi="Arial" w:cs="Arial"/>
          <w:color w:val="000000" w:themeColor="text1"/>
        </w:rPr>
        <w:t xml:space="preserve">shift </w:t>
      </w:r>
      <w:r w:rsidR="00F16AFF" w:rsidRPr="007C6545">
        <w:rPr>
          <w:rFonts w:ascii="Arial" w:hAnsi="Arial" w:cs="Arial"/>
          <w:color w:val="000000" w:themeColor="text1"/>
        </w:rPr>
        <w:t>a patient from their current state to a new</w:t>
      </w:r>
      <w:r w:rsidR="00A1171F" w:rsidRPr="007C6545">
        <w:rPr>
          <w:rFonts w:ascii="Arial" w:hAnsi="Arial" w:cs="Arial"/>
          <w:color w:val="000000" w:themeColor="text1"/>
        </w:rPr>
        <w:t>,</w:t>
      </w:r>
      <w:r w:rsidR="00F16AFF" w:rsidRPr="007C6545">
        <w:rPr>
          <w:rFonts w:ascii="Arial" w:hAnsi="Arial" w:cs="Arial"/>
          <w:color w:val="000000" w:themeColor="text1"/>
        </w:rPr>
        <w:t xml:space="preserve"> safer and more effective </w:t>
      </w:r>
      <w:r w:rsidR="00EF499A" w:rsidRPr="007C6545">
        <w:rPr>
          <w:rFonts w:ascii="Arial" w:hAnsi="Arial" w:cs="Arial"/>
          <w:color w:val="000000" w:themeColor="text1"/>
        </w:rPr>
        <w:t>state.  Our approach use</w:t>
      </w:r>
      <w:r w:rsidR="0077318C" w:rsidRPr="007C6545">
        <w:rPr>
          <w:rFonts w:ascii="Arial" w:hAnsi="Arial" w:cs="Arial"/>
          <w:color w:val="000000" w:themeColor="text1"/>
        </w:rPr>
        <w:t>s</w:t>
      </w:r>
      <w:r w:rsidR="00EF499A" w:rsidRPr="007C6545">
        <w:rPr>
          <w:rFonts w:ascii="Arial" w:hAnsi="Arial" w:cs="Arial"/>
          <w:color w:val="000000" w:themeColor="text1"/>
        </w:rPr>
        <w:t xml:space="preserve"> a multiple model</w:t>
      </w:r>
      <w:r w:rsidR="0034540A" w:rsidRPr="007C6545">
        <w:rPr>
          <w:rFonts w:ascii="Arial" w:hAnsi="Arial" w:cs="Arial"/>
          <w:color w:val="000000" w:themeColor="text1"/>
        </w:rPr>
        <w:t xml:space="preserve"> </w:t>
      </w:r>
      <w:r w:rsidR="00BF717E" w:rsidRPr="007C6545">
        <w:rPr>
          <w:rFonts w:ascii="Arial" w:hAnsi="Arial" w:cs="Arial"/>
          <w:color w:val="000000" w:themeColor="text1"/>
        </w:rPr>
        <w:t xml:space="preserve">approach </w:t>
      </w:r>
      <w:r w:rsidR="0034540A" w:rsidRPr="007C6545">
        <w:rPr>
          <w:rFonts w:ascii="Arial" w:hAnsi="Arial" w:cs="Arial"/>
          <w:color w:val="000000" w:themeColor="text1"/>
        </w:rPr>
        <w:t>(BestDose)</w:t>
      </w:r>
      <w:r w:rsidR="00EF499A" w:rsidRPr="007C6545">
        <w:rPr>
          <w:rFonts w:ascii="Arial" w:hAnsi="Arial" w:cs="Arial"/>
          <w:color w:val="000000" w:themeColor="text1"/>
        </w:rPr>
        <w:t>, which is a natural extension of the nonparametric adaptive grid algorithms developed by the Laboratory of Applied Pharmacokinetics in Los Angeles.</w:t>
      </w:r>
      <w:r w:rsidR="0034540A" w:rsidRPr="007C6545">
        <w:rPr>
          <w:rFonts w:ascii="Arial" w:hAnsi="Arial" w:cs="Arial"/>
          <w:color w:val="000000" w:themeColor="text1"/>
        </w:rPr>
        <w:t xml:space="preserve">  Other approaches are certainly possible, although the complex </w:t>
      </w:r>
      <w:r w:rsidR="00B3572C" w:rsidRPr="007C6545">
        <w:rPr>
          <w:rFonts w:ascii="Arial" w:hAnsi="Arial" w:cs="Arial"/>
          <w:color w:val="000000" w:themeColor="text1"/>
        </w:rPr>
        <w:t>pharmacology</w:t>
      </w:r>
      <w:r w:rsidR="0034540A" w:rsidRPr="007C6545">
        <w:rPr>
          <w:rFonts w:ascii="Arial" w:hAnsi="Arial" w:cs="Arial"/>
          <w:color w:val="000000" w:themeColor="text1"/>
        </w:rPr>
        <w:t xml:space="preserve"> of </w:t>
      </w:r>
      <w:r w:rsidR="0077318C" w:rsidRPr="007C6545">
        <w:rPr>
          <w:rFonts w:ascii="Arial" w:hAnsi="Arial" w:cs="Arial"/>
          <w:color w:val="000000" w:themeColor="text1"/>
        </w:rPr>
        <w:t xml:space="preserve">almost all </w:t>
      </w:r>
      <w:r w:rsidR="00B3572C" w:rsidRPr="007C6545">
        <w:rPr>
          <w:rFonts w:ascii="Arial" w:hAnsi="Arial" w:cs="Arial"/>
          <w:color w:val="000000" w:themeColor="text1"/>
        </w:rPr>
        <w:t xml:space="preserve">antifungal agents (e.g. nonlinear pharmacokinetics) is an obstacle </w:t>
      </w:r>
      <w:r w:rsidR="002705F1" w:rsidRPr="007C6545">
        <w:rPr>
          <w:rFonts w:ascii="Arial" w:hAnsi="Arial" w:cs="Arial"/>
          <w:color w:val="000000" w:themeColor="text1"/>
        </w:rPr>
        <w:t>to the use of</w:t>
      </w:r>
      <w:r w:rsidR="00B3572C" w:rsidRPr="007C6545">
        <w:rPr>
          <w:rFonts w:ascii="Arial" w:hAnsi="Arial" w:cs="Arial"/>
          <w:color w:val="000000" w:themeColor="text1"/>
        </w:rPr>
        <w:t xml:space="preserve"> simple dosage calculators based on </w:t>
      </w:r>
      <w:r w:rsidR="002705F1" w:rsidRPr="007C6545">
        <w:rPr>
          <w:rFonts w:ascii="Arial" w:hAnsi="Arial" w:cs="Arial"/>
          <w:color w:val="000000" w:themeColor="text1"/>
        </w:rPr>
        <w:t>simple</w:t>
      </w:r>
      <w:r w:rsidR="00B3572C" w:rsidRPr="007C6545">
        <w:rPr>
          <w:rFonts w:ascii="Arial" w:hAnsi="Arial" w:cs="Arial"/>
          <w:color w:val="000000" w:themeColor="text1"/>
        </w:rPr>
        <w:t xml:space="preserve"> covariates.</w:t>
      </w:r>
      <w:r w:rsidR="002705F1" w:rsidRPr="007C6545">
        <w:rPr>
          <w:rFonts w:ascii="Arial" w:hAnsi="Arial" w:cs="Arial"/>
          <w:color w:val="000000" w:themeColor="text1"/>
        </w:rPr>
        <w:t xml:space="preserve">  Furthermore, the problem of extreme variability in pharmacokinetics becomes significantly </w:t>
      </w:r>
      <w:r w:rsidR="004836BD" w:rsidRPr="007C6545">
        <w:rPr>
          <w:rFonts w:ascii="Arial" w:hAnsi="Arial" w:cs="Arial"/>
          <w:color w:val="000000" w:themeColor="text1"/>
        </w:rPr>
        <w:t xml:space="preserve">heightened </w:t>
      </w:r>
      <w:r w:rsidR="002705F1" w:rsidRPr="007C6545">
        <w:rPr>
          <w:rFonts w:ascii="Arial" w:hAnsi="Arial" w:cs="Arial"/>
          <w:color w:val="000000" w:themeColor="text1"/>
        </w:rPr>
        <w:t>in special populations such as neonates and children.</w:t>
      </w:r>
    </w:p>
    <w:p w14:paraId="607CBE15" w14:textId="431F4CF6" w:rsidR="002705F1" w:rsidRPr="007C6545" w:rsidRDefault="002705F1"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The development of software (or other dosage selection tools) is not trivial.  Safe use will require </w:t>
      </w:r>
      <w:r w:rsidR="0077318C" w:rsidRPr="007C6545">
        <w:rPr>
          <w:rFonts w:ascii="Arial" w:hAnsi="Arial" w:cs="Arial"/>
          <w:color w:val="000000" w:themeColor="text1"/>
        </w:rPr>
        <w:t xml:space="preserve">expansion of </w:t>
      </w:r>
      <w:r w:rsidR="00A1171F" w:rsidRPr="007C6545">
        <w:rPr>
          <w:rFonts w:ascii="Arial" w:hAnsi="Arial" w:cs="Arial"/>
          <w:color w:val="000000" w:themeColor="text1"/>
        </w:rPr>
        <w:t xml:space="preserve">the currently limited pool of </w:t>
      </w:r>
      <w:r w:rsidRPr="007C6545">
        <w:rPr>
          <w:rFonts w:ascii="Arial" w:hAnsi="Arial" w:cs="Arial"/>
          <w:color w:val="000000" w:themeColor="text1"/>
        </w:rPr>
        <w:t>clinicians who are well trained in clinical pharmacology</w:t>
      </w:r>
      <w:r w:rsidR="00A1171F" w:rsidRPr="007C6545">
        <w:rPr>
          <w:rFonts w:ascii="Arial" w:hAnsi="Arial" w:cs="Arial"/>
          <w:color w:val="000000" w:themeColor="text1"/>
        </w:rPr>
        <w:t>.</w:t>
      </w:r>
      <w:r w:rsidRPr="007C6545">
        <w:rPr>
          <w:rFonts w:ascii="Arial" w:hAnsi="Arial" w:cs="Arial"/>
          <w:color w:val="000000" w:themeColor="text1"/>
        </w:rPr>
        <w:t xml:space="preserve"> </w:t>
      </w:r>
      <w:r w:rsidR="00E03205" w:rsidRPr="007C6545">
        <w:rPr>
          <w:rFonts w:ascii="Arial" w:hAnsi="Arial" w:cs="Arial"/>
          <w:color w:val="000000" w:themeColor="text1"/>
        </w:rPr>
        <w:t xml:space="preserve"> </w:t>
      </w:r>
      <w:r w:rsidR="00A1171F" w:rsidRPr="007C6545">
        <w:rPr>
          <w:rFonts w:ascii="Arial" w:hAnsi="Arial" w:cs="Arial"/>
          <w:color w:val="000000" w:themeColor="text1"/>
        </w:rPr>
        <w:t xml:space="preserve">In addition, </w:t>
      </w:r>
      <w:r w:rsidR="00E03205" w:rsidRPr="007C6545">
        <w:rPr>
          <w:rFonts w:ascii="Arial" w:hAnsi="Arial" w:cs="Arial"/>
          <w:color w:val="000000" w:themeColor="text1"/>
        </w:rPr>
        <w:t xml:space="preserve">there are significant regulatory hurdles to ensure </w:t>
      </w:r>
      <w:r w:rsidR="0077318C" w:rsidRPr="007C6545">
        <w:rPr>
          <w:rFonts w:ascii="Arial" w:hAnsi="Arial" w:cs="Arial"/>
          <w:color w:val="000000" w:themeColor="text1"/>
        </w:rPr>
        <w:t xml:space="preserve">that </w:t>
      </w:r>
      <w:r w:rsidR="00E03205" w:rsidRPr="007C6545">
        <w:rPr>
          <w:rFonts w:ascii="Arial" w:hAnsi="Arial" w:cs="Arial"/>
          <w:color w:val="000000" w:themeColor="text1"/>
        </w:rPr>
        <w:t xml:space="preserve">software developed in academic settings fulfils the necessary standards </w:t>
      </w:r>
      <w:r w:rsidR="00A1171F" w:rsidRPr="007C6545">
        <w:rPr>
          <w:rFonts w:ascii="Arial" w:hAnsi="Arial" w:cs="Arial"/>
          <w:color w:val="000000" w:themeColor="text1"/>
        </w:rPr>
        <w:t>for use</w:t>
      </w:r>
      <w:r w:rsidR="00E03205" w:rsidRPr="007C6545">
        <w:rPr>
          <w:rFonts w:ascii="Arial" w:hAnsi="Arial" w:cs="Arial"/>
          <w:color w:val="000000" w:themeColor="text1"/>
        </w:rPr>
        <w:t xml:space="preserve"> in patients.  Nevertheless</w:t>
      </w:r>
      <w:r w:rsidR="00A1171F" w:rsidRPr="007C6545">
        <w:rPr>
          <w:rFonts w:ascii="Arial" w:hAnsi="Arial" w:cs="Arial"/>
          <w:color w:val="000000" w:themeColor="text1"/>
        </w:rPr>
        <w:t>,</w:t>
      </w:r>
      <w:r w:rsidR="00E03205" w:rsidRPr="007C6545">
        <w:rPr>
          <w:rFonts w:ascii="Arial" w:hAnsi="Arial" w:cs="Arial"/>
          <w:color w:val="000000" w:themeColor="text1"/>
        </w:rPr>
        <w:t xml:space="preserve"> we are clear that this is the only path forward. Taking </w:t>
      </w:r>
      <w:r w:rsidR="00985845" w:rsidRPr="007C6545">
        <w:rPr>
          <w:rFonts w:ascii="Arial" w:hAnsi="Arial" w:cs="Arial"/>
          <w:color w:val="000000" w:themeColor="text1"/>
        </w:rPr>
        <w:t xml:space="preserve">time and effort to measure drug concentrations </w:t>
      </w:r>
      <w:r w:rsidR="00163FA2" w:rsidRPr="007C6545">
        <w:rPr>
          <w:rFonts w:ascii="Arial" w:hAnsi="Arial" w:cs="Arial"/>
          <w:color w:val="000000" w:themeColor="text1"/>
        </w:rPr>
        <w:t xml:space="preserve">in the laboratory </w:t>
      </w:r>
      <w:r w:rsidR="00985845" w:rsidRPr="007C6545">
        <w:rPr>
          <w:rFonts w:ascii="Arial" w:hAnsi="Arial" w:cs="Arial"/>
          <w:color w:val="000000" w:themeColor="text1"/>
        </w:rPr>
        <w:t xml:space="preserve">with a coefficient of variation &lt;10% and then guessing the dosage seems </w:t>
      </w:r>
      <w:r w:rsidR="003346CB" w:rsidRPr="007C6545">
        <w:rPr>
          <w:rFonts w:ascii="Arial" w:hAnsi="Arial" w:cs="Arial"/>
          <w:color w:val="000000" w:themeColor="text1"/>
        </w:rPr>
        <w:t xml:space="preserve">haphazard </w:t>
      </w:r>
      <w:r w:rsidR="00A1171F" w:rsidRPr="007C6545">
        <w:rPr>
          <w:rFonts w:ascii="Arial" w:hAnsi="Arial" w:cs="Arial"/>
          <w:color w:val="000000" w:themeColor="text1"/>
        </w:rPr>
        <w:t>at</w:t>
      </w:r>
      <w:r w:rsidR="00163FA2" w:rsidRPr="007C6545">
        <w:rPr>
          <w:rFonts w:ascii="Arial" w:hAnsi="Arial" w:cs="Arial"/>
          <w:color w:val="000000" w:themeColor="text1"/>
        </w:rPr>
        <w:t xml:space="preserve"> the least</w:t>
      </w:r>
      <w:r w:rsidR="0077318C" w:rsidRPr="007C6545">
        <w:rPr>
          <w:rFonts w:ascii="Arial" w:hAnsi="Arial" w:cs="Arial"/>
          <w:color w:val="000000" w:themeColor="text1"/>
        </w:rPr>
        <w:t>,</w:t>
      </w:r>
      <w:r w:rsidR="00163FA2" w:rsidRPr="007C6545">
        <w:rPr>
          <w:rFonts w:ascii="Arial" w:hAnsi="Arial" w:cs="Arial"/>
          <w:color w:val="000000" w:themeColor="text1"/>
        </w:rPr>
        <w:t xml:space="preserve"> </w:t>
      </w:r>
      <w:r w:rsidR="00985845" w:rsidRPr="007C6545">
        <w:rPr>
          <w:rFonts w:ascii="Arial" w:hAnsi="Arial" w:cs="Arial"/>
          <w:color w:val="000000" w:themeColor="text1"/>
        </w:rPr>
        <w:t xml:space="preserve">and in our view is </w:t>
      </w:r>
      <w:r w:rsidR="00163FA2" w:rsidRPr="007C6545">
        <w:rPr>
          <w:rFonts w:ascii="Arial" w:hAnsi="Arial" w:cs="Arial"/>
          <w:color w:val="000000" w:themeColor="text1"/>
        </w:rPr>
        <w:t xml:space="preserve">completely </w:t>
      </w:r>
      <w:r w:rsidR="00985845" w:rsidRPr="007C6545">
        <w:rPr>
          <w:rFonts w:ascii="Arial" w:hAnsi="Arial" w:cs="Arial"/>
          <w:color w:val="000000" w:themeColor="text1"/>
        </w:rPr>
        <w:t xml:space="preserve">unacceptable </w:t>
      </w:r>
      <w:r w:rsidR="00317650" w:rsidRPr="007C6545">
        <w:rPr>
          <w:rFonts w:ascii="Arial" w:hAnsi="Arial" w:cs="Arial"/>
          <w:color w:val="000000" w:themeColor="text1"/>
        </w:rPr>
        <w:t>for clinical</w:t>
      </w:r>
      <w:r w:rsidR="0077318C" w:rsidRPr="007C6545">
        <w:rPr>
          <w:rFonts w:ascii="Arial" w:hAnsi="Arial" w:cs="Arial"/>
          <w:color w:val="000000" w:themeColor="text1"/>
        </w:rPr>
        <w:t xml:space="preserve"> practice</w:t>
      </w:r>
      <w:r w:rsidR="00985845" w:rsidRPr="007C6545">
        <w:rPr>
          <w:rFonts w:ascii="Arial" w:hAnsi="Arial" w:cs="Arial"/>
          <w:color w:val="000000" w:themeColor="text1"/>
        </w:rPr>
        <w:t>.</w:t>
      </w:r>
    </w:p>
    <w:p w14:paraId="2C95155B" w14:textId="77777777" w:rsidR="00C119B7" w:rsidRPr="007C6545" w:rsidRDefault="00985845"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lastRenderedPageBreak/>
        <w:t>Challenge 3</w:t>
      </w:r>
      <w:r w:rsidR="00B60F16" w:rsidRPr="007C6545">
        <w:rPr>
          <w:rFonts w:ascii="Arial" w:hAnsi="Arial" w:cs="Arial"/>
          <w:i/>
          <w:color w:val="000000" w:themeColor="text1"/>
        </w:rPr>
        <w:t xml:space="preserve">. </w:t>
      </w:r>
      <w:r w:rsidR="00A1171F" w:rsidRPr="007C6545">
        <w:rPr>
          <w:rFonts w:ascii="Arial" w:hAnsi="Arial" w:cs="Arial"/>
          <w:i/>
          <w:color w:val="000000" w:themeColor="text1"/>
        </w:rPr>
        <w:t>Real-time pharmacodynamic monitoring in patients with invasive mould disease</w:t>
      </w:r>
    </w:p>
    <w:p w14:paraId="6E6102D9" w14:textId="0B3A7C1A" w:rsidR="00060880" w:rsidRPr="007C6545" w:rsidRDefault="00FD728F"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Current paradigms of drug concentration measurement and dosage adjustment are </w:t>
      </w:r>
      <w:r w:rsidR="006F4595" w:rsidRPr="007C6545">
        <w:rPr>
          <w:rFonts w:ascii="Arial" w:hAnsi="Arial" w:cs="Arial"/>
          <w:color w:val="000000" w:themeColor="text1"/>
        </w:rPr>
        <w:t xml:space="preserve">somewhat </w:t>
      </w:r>
      <w:r w:rsidR="003346CB" w:rsidRPr="007C6545">
        <w:rPr>
          <w:rFonts w:ascii="Arial" w:hAnsi="Arial" w:cs="Arial"/>
          <w:color w:val="000000" w:themeColor="text1"/>
        </w:rPr>
        <w:t xml:space="preserve">crude </w:t>
      </w:r>
      <w:r w:rsidR="006F4595" w:rsidRPr="007C6545">
        <w:rPr>
          <w:rFonts w:ascii="Arial" w:hAnsi="Arial" w:cs="Arial"/>
          <w:color w:val="000000" w:themeColor="text1"/>
        </w:rPr>
        <w:t xml:space="preserve">and counter to notions of </w:t>
      </w:r>
      <w:r w:rsidR="003977CB" w:rsidRPr="007C6545">
        <w:rPr>
          <w:rFonts w:ascii="Arial" w:hAnsi="Arial" w:cs="Arial"/>
          <w:color w:val="000000" w:themeColor="text1"/>
        </w:rPr>
        <w:t>truly individualised therapy</w:t>
      </w:r>
      <w:r w:rsidRPr="007C6545">
        <w:rPr>
          <w:rFonts w:ascii="Arial" w:hAnsi="Arial" w:cs="Arial"/>
          <w:color w:val="000000" w:themeColor="text1"/>
        </w:rPr>
        <w:t xml:space="preserve">. </w:t>
      </w:r>
      <w:r w:rsidR="0067367C" w:rsidRPr="007C6545">
        <w:rPr>
          <w:rFonts w:ascii="Arial" w:hAnsi="Arial" w:cs="Arial"/>
          <w:color w:val="000000" w:themeColor="text1"/>
        </w:rPr>
        <w:t>C</w:t>
      </w:r>
      <w:r w:rsidRPr="007C6545">
        <w:rPr>
          <w:rFonts w:ascii="Arial" w:hAnsi="Arial" w:cs="Arial"/>
          <w:color w:val="000000" w:themeColor="text1"/>
        </w:rPr>
        <w:t xml:space="preserve">onsiderable </w:t>
      </w:r>
      <w:r w:rsidR="002C3ED2" w:rsidRPr="007C6545">
        <w:rPr>
          <w:rFonts w:ascii="Arial" w:hAnsi="Arial" w:cs="Arial"/>
          <w:color w:val="000000" w:themeColor="text1"/>
        </w:rPr>
        <w:t xml:space="preserve">energy </w:t>
      </w:r>
      <w:r w:rsidR="0067367C" w:rsidRPr="007C6545">
        <w:rPr>
          <w:rFonts w:ascii="Arial" w:hAnsi="Arial" w:cs="Arial"/>
          <w:color w:val="000000" w:themeColor="text1"/>
        </w:rPr>
        <w:t xml:space="preserve">has been </w:t>
      </w:r>
      <w:r w:rsidR="002C3ED2" w:rsidRPr="007C6545">
        <w:rPr>
          <w:rFonts w:ascii="Arial" w:hAnsi="Arial" w:cs="Arial"/>
          <w:color w:val="000000" w:themeColor="text1"/>
        </w:rPr>
        <w:t xml:space="preserve">expended on developing population pharmacokinetic models </w:t>
      </w:r>
      <w:r w:rsidR="0067367C" w:rsidRPr="007C6545">
        <w:rPr>
          <w:rFonts w:ascii="Arial" w:hAnsi="Arial" w:cs="Arial"/>
          <w:color w:val="000000" w:themeColor="text1"/>
        </w:rPr>
        <w:t xml:space="preserve">which estimate </w:t>
      </w:r>
      <w:r w:rsidR="002C3ED2" w:rsidRPr="007C6545">
        <w:rPr>
          <w:rFonts w:ascii="Arial" w:hAnsi="Arial" w:cs="Arial"/>
          <w:color w:val="000000" w:themeColor="text1"/>
        </w:rPr>
        <w:t>drug exposure in individual patients with a high degree of precision</w:t>
      </w:r>
      <w:r w:rsidR="00317650" w:rsidRPr="007C6545">
        <w:rPr>
          <w:rFonts w:ascii="Arial" w:hAnsi="Arial" w:cs="Arial"/>
          <w:color w:val="000000" w:themeColor="text1"/>
        </w:rPr>
        <w:t>.  I</w:t>
      </w:r>
      <w:r w:rsidR="00E66080" w:rsidRPr="007C6545">
        <w:rPr>
          <w:rFonts w:ascii="Arial" w:hAnsi="Arial" w:cs="Arial"/>
          <w:color w:val="000000" w:themeColor="text1"/>
        </w:rPr>
        <w:t xml:space="preserve">nterpretation of the result is </w:t>
      </w:r>
      <w:r w:rsidR="00317650" w:rsidRPr="007C6545">
        <w:rPr>
          <w:rFonts w:ascii="Arial" w:hAnsi="Arial" w:cs="Arial"/>
          <w:color w:val="000000" w:themeColor="text1"/>
        </w:rPr>
        <w:t xml:space="preserve">then </w:t>
      </w:r>
      <w:r w:rsidR="00E66080" w:rsidRPr="007C6545">
        <w:rPr>
          <w:rFonts w:ascii="Arial" w:hAnsi="Arial" w:cs="Arial"/>
          <w:color w:val="000000" w:themeColor="text1"/>
        </w:rPr>
        <w:t xml:space="preserve">made with reference to a concentration target range that is constructed from a </w:t>
      </w:r>
      <w:r w:rsidR="00E66080" w:rsidRPr="007C6545">
        <w:rPr>
          <w:rFonts w:ascii="Arial" w:hAnsi="Arial" w:cs="Arial"/>
          <w:i/>
          <w:color w:val="000000" w:themeColor="text1"/>
        </w:rPr>
        <w:t>population</w:t>
      </w:r>
      <w:r w:rsidR="00E66080" w:rsidRPr="007C6545">
        <w:rPr>
          <w:rFonts w:ascii="Arial" w:hAnsi="Arial" w:cs="Arial"/>
          <w:color w:val="000000" w:themeColor="text1"/>
        </w:rPr>
        <w:t xml:space="preserve"> of patients (</w:t>
      </w:r>
      <w:r w:rsidR="0048704F" w:rsidRPr="007C6545">
        <w:rPr>
          <w:rFonts w:ascii="Arial" w:hAnsi="Arial" w:cs="Arial"/>
          <w:color w:val="000000" w:themeColor="text1"/>
        </w:rPr>
        <w:t>usually</w:t>
      </w:r>
      <w:r w:rsidR="00E66080" w:rsidRPr="007C6545">
        <w:rPr>
          <w:rFonts w:ascii="Arial" w:hAnsi="Arial" w:cs="Arial"/>
          <w:color w:val="000000" w:themeColor="text1"/>
        </w:rPr>
        <w:t xml:space="preserve"> </w:t>
      </w:r>
      <w:r w:rsidR="00C016A0" w:rsidRPr="007C6545">
        <w:rPr>
          <w:rFonts w:ascii="Arial" w:hAnsi="Arial" w:cs="Arial"/>
          <w:color w:val="000000" w:themeColor="text1"/>
        </w:rPr>
        <w:t xml:space="preserve">determined </w:t>
      </w:r>
      <w:r w:rsidR="00E66080" w:rsidRPr="007C6545">
        <w:rPr>
          <w:rFonts w:ascii="Arial" w:hAnsi="Arial" w:cs="Arial"/>
          <w:color w:val="000000" w:themeColor="text1"/>
        </w:rPr>
        <w:t xml:space="preserve">using logistic regression models or </w:t>
      </w:r>
      <w:r w:rsidR="0048704F" w:rsidRPr="007C6545">
        <w:rPr>
          <w:rFonts w:ascii="Arial" w:hAnsi="Arial" w:cs="Arial"/>
          <w:color w:val="000000" w:themeColor="text1"/>
        </w:rPr>
        <w:t>classification</w:t>
      </w:r>
      <w:r w:rsidR="00E66080" w:rsidRPr="007C6545">
        <w:rPr>
          <w:rFonts w:ascii="Arial" w:hAnsi="Arial" w:cs="Arial"/>
          <w:color w:val="000000" w:themeColor="text1"/>
        </w:rPr>
        <w:t xml:space="preserve"> and regression </w:t>
      </w:r>
      <w:r w:rsidR="0048704F" w:rsidRPr="007C6545">
        <w:rPr>
          <w:rFonts w:ascii="Arial" w:hAnsi="Arial" w:cs="Arial"/>
          <w:color w:val="000000" w:themeColor="text1"/>
        </w:rPr>
        <w:t xml:space="preserve">tree analysis). Such an approach is </w:t>
      </w:r>
      <w:r w:rsidR="00C016A0" w:rsidRPr="007C6545">
        <w:rPr>
          <w:rFonts w:ascii="Arial" w:hAnsi="Arial" w:cs="Arial"/>
          <w:color w:val="000000" w:themeColor="text1"/>
        </w:rPr>
        <w:t xml:space="preserve">necessarily </w:t>
      </w:r>
      <w:r w:rsidR="00A52A8D" w:rsidRPr="007C6545">
        <w:rPr>
          <w:rFonts w:ascii="Arial" w:hAnsi="Arial" w:cs="Arial"/>
          <w:color w:val="000000" w:themeColor="text1"/>
        </w:rPr>
        <w:t>a violation of any principle of individualised dosing</w:t>
      </w:r>
      <w:r w:rsidR="0067367C" w:rsidRPr="007C6545">
        <w:rPr>
          <w:rFonts w:ascii="Arial" w:hAnsi="Arial" w:cs="Arial"/>
          <w:color w:val="000000" w:themeColor="text1"/>
        </w:rPr>
        <w:t>, whereby</w:t>
      </w:r>
      <w:r w:rsidR="00A52A8D" w:rsidRPr="007C6545">
        <w:rPr>
          <w:rFonts w:ascii="Arial" w:hAnsi="Arial" w:cs="Arial"/>
          <w:color w:val="000000" w:themeColor="text1"/>
        </w:rPr>
        <w:t xml:space="preserve"> a patient should receive the right dose for their given disease.  Some patients will </w:t>
      </w:r>
      <w:r w:rsidR="003346CB" w:rsidRPr="007C6545">
        <w:rPr>
          <w:rFonts w:ascii="Arial" w:hAnsi="Arial" w:cs="Arial"/>
          <w:color w:val="000000" w:themeColor="text1"/>
        </w:rPr>
        <w:t xml:space="preserve">require </w:t>
      </w:r>
      <w:r w:rsidR="00A52A8D" w:rsidRPr="007C6545">
        <w:rPr>
          <w:rFonts w:ascii="Arial" w:hAnsi="Arial" w:cs="Arial"/>
          <w:color w:val="000000" w:themeColor="text1"/>
        </w:rPr>
        <w:t>more</w:t>
      </w:r>
      <w:r w:rsidR="00A1171F" w:rsidRPr="007C6545">
        <w:rPr>
          <w:rFonts w:ascii="Arial" w:hAnsi="Arial" w:cs="Arial"/>
          <w:color w:val="000000" w:themeColor="text1"/>
        </w:rPr>
        <w:t xml:space="preserve"> </w:t>
      </w:r>
      <w:r w:rsidR="00A52A8D" w:rsidRPr="007C6545">
        <w:rPr>
          <w:rFonts w:ascii="Arial" w:hAnsi="Arial" w:cs="Arial"/>
          <w:color w:val="000000" w:themeColor="text1"/>
        </w:rPr>
        <w:t>drug</w:t>
      </w:r>
      <w:r w:rsidR="0067367C" w:rsidRPr="007C6545">
        <w:rPr>
          <w:rFonts w:ascii="Arial" w:hAnsi="Arial" w:cs="Arial"/>
          <w:color w:val="000000" w:themeColor="text1"/>
        </w:rPr>
        <w:t xml:space="preserve">, </w:t>
      </w:r>
      <w:r w:rsidR="00A52A8D" w:rsidRPr="007C6545">
        <w:rPr>
          <w:rFonts w:ascii="Arial" w:hAnsi="Arial" w:cs="Arial"/>
          <w:color w:val="000000" w:themeColor="text1"/>
        </w:rPr>
        <w:t xml:space="preserve">others will require less.  Consider the differences in a patient that has been neutropenic for 6 weeks who has disseminated aspergillosis with bulky disease near the mediastinum and </w:t>
      </w:r>
      <w:r w:rsidR="0067367C" w:rsidRPr="007C6545">
        <w:rPr>
          <w:rFonts w:ascii="Arial" w:hAnsi="Arial" w:cs="Arial"/>
          <w:color w:val="000000" w:themeColor="text1"/>
        </w:rPr>
        <w:t xml:space="preserve">a </w:t>
      </w:r>
      <w:r w:rsidR="00A92C20" w:rsidRPr="007C6545">
        <w:rPr>
          <w:rFonts w:ascii="Arial" w:hAnsi="Arial" w:cs="Arial"/>
          <w:color w:val="000000" w:themeColor="text1"/>
        </w:rPr>
        <w:t>small CNS lesion on CT</w:t>
      </w:r>
      <w:r w:rsidR="0067367C" w:rsidRPr="007C6545">
        <w:rPr>
          <w:rFonts w:ascii="Arial" w:hAnsi="Arial" w:cs="Arial"/>
          <w:color w:val="000000" w:themeColor="text1"/>
        </w:rPr>
        <w:t xml:space="preserve">, compared to </w:t>
      </w:r>
      <w:r w:rsidR="00A92C20" w:rsidRPr="007C6545">
        <w:rPr>
          <w:rFonts w:ascii="Arial" w:hAnsi="Arial" w:cs="Arial"/>
          <w:color w:val="000000" w:themeColor="text1"/>
        </w:rPr>
        <w:t xml:space="preserve">a patient </w:t>
      </w:r>
      <w:r w:rsidR="0067367C" w:rsidRPr="007C6545">
        <w:rPr>
          <w:rFonts w:ascii="Arial" w:hAnsi="Arial" w:cs="Arial"/>
          <w:color w:val="000000" w:themeColor="text1"/>
        </w:rPr>
        <w:t>who received</w:t>
      </w:r>
      <w:r w:rsidR="00A92C20" w:rsidRPr="007C6545">
        <w:rPr>
          <w:rFonts w:ascii="Arial" w:hAnsi="Arial" w:cs="Arial"/>
          <w:color w:val="000000" w:themeColor="text1"/>
        </w:rPr>
        <w:t xml:space="preserve"> a</w:t>
      </w:r>
      <w:r w:rsidR="0007312F" w:rsidRPr="007C6545">
        <w:rPr>
          <w:rFonts w:ascii="Arial" w:hAnsi="Arial" w:cs="Arial"/>
          <w:color w:val="000000" w:themeColor="text1"/>
        </w:rPr>
        <w:t>n</w:t>
      </w:r>
      <w:r w:rsidR="00A92C20" w:rsidRPr="007C6545">
        <w:rPr>
          <w:rFonts w:ascii="Arial" w:hAnsi="Arial" w:cs="Arial"/>
          <w:color w:val="000000" w:themeColor="text1"/>
        </w:rPr>
        <w:t xml:space="preserve"> allogeneic transplant 120 days ago </w:t>
      </w:r>
      <w:r w:rsidR="0067367C" w:rsidRPr="007C6545">
        <w:rPr>
          <w:rFonts w:ascii="Arial" w:hAnsi="Arial" w:cs="Arial"/>
          <w:color w:val="000000" w:themeColor="text1"/>
        </w:rPr>
        <w:t xml:space="preserve">and </w:t>
      </w:r>
      <w:r w:rsidR="00A92C20" w:rsidRPr="007C6545">
        <w:rPr>
          <w:rFonts w:ascii="Arial" w:hAnsi="Arial" w:cs="Arial"/>
          <w:color w:val="000000" w:themeColor="text1"/>
        </w:rPr>
        <w:t>is well and currently an outpatient, but has a small nodule on a CT chest</w:t>
      </w:r>
      <w:r w:rsidR="005D0969" w:rsidRPr="007C6545">
        <w:rPr>
          <w:rFonts w:ascii="Arial" w:hAnsi="Arial" w:cs="Arial"/>
          <w:color w:val="000000" w:themeColor="text1"/>
        </w:rPr>
        <w:t>.  Clearly these patients are different and require different intensit</w:t>
      </w:r>
      <w:r w:rsidR="0067367C" w:rsidRPr="007C6545">
        <w:rPr>
          <w:rFonts w:ascii="Arial" w:hAnsi="Arial" w:cs="Arial"/>
          <w:color w:val="000000" w:themeColor="text1"/>
        </w:rPr>
        <w:t>ies</w:t>
      </w:r>
      <w:r w:rsidR="005D0969" w:rsidRPr="007C6545">
        <w:rPr>
          <w:rFonts w:ascii="Arial" w:hAnsi="Arial" w:cs="Arial"/>
          <w:color w:val="000000" w:themeColor="text1"/>
        </w:rPr>
        <w:t xml:space="preserve"> of therapy.  Yet, a TDM laboratory will report the same range for antifungal therapy</w:t>
      </w:r>
      <w:r w:rsidR="00C016A0" w:rsidRPr="007C6545">
        <w:rPr>
          <w:rFonts w:ascii="Arial" w:hAnsi="Arial" w:cs="Arial"/>
          <w:color w:val="000000" w:themeColor="text1"/>
        </w:rPr>
        <w:t xml:space="preserve"> and dosage adjustment</w:t>
      </w:r>
      <w:r w:rsidR="005D0969" w:rsidRPr="007C6545">
        <w:rPr>
          <w:rFonts w:ascii="Arial" w:hAnsi="Arial" w:cs="Arial"/>
          <w:color w:val="000000" w:themeColor="text1"/>
        </w:rPr>
        <w:t>.</w:t>
      </w:r>
    </w:p>
    <w:p w14:paraId="1AB720EA" w14:textId="77777777" w:rsidR="00CF4FAE" w:rsidRPr="007C6545" w:rsidRDefault="0067367C"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R</w:t>
      </w:r>
      <w:r w:rsidR="00060880" w:rsidRPr="007C6545">
        <w:rPr>
          <w:rFonts w:ascii="Arial" w:hAnsi="Arial" w:cs="Arial"/>
          <w:color w:val="000000" w:themeColor="text1"/>
        </w:rPr>
        <w:t>ecently, we have been investigating the use of galactomannan</w:t>
      </w:r>
      <w:r w:rsidR="00B26FCA" w:rsidRPr="007C6545">
        <w:rPr>
          <w:rFonts w:ascii="Arial" w:hAnsi="Arial" w:cs="Arial"/>
          <w:color w:val="000000" w:themeColor="text1"/>
        </w:rPr>
        <w:t xml:space="preserve"> (GM)</w:t>
      </w:r>
      <w:r w:rsidR="00060880" w:rsidRPr="007C6545">
        <w:rPr>
          <w:rFonts w:ascii="Arial" w:hAnsi="Arial" w:cs="Arial"/>
          <w:color w:val="000000" w:themeColor="text1"/>
        </w:rPr>
        <w:t xml:space="preserve"> to follow </w:t>
      </w:r>
      <w:r w:rsidR="00B26FCA" w:rsidRPr="007C6545">
        <w:rPr>
          <w:rFonts w:ascii="Arial" w:hAnsi="Arial" w:cs="Arial"/>
          <w:color w:val="000000" w:themeColor="text1"/>
        </w:rPr>
        <w:t xml:space="preserve">the pharmacodynamic effect of </w:t>
      </w:r>
      <w:r w:rsidR="00060880" w:rsidRPr="007C6545">
        <w:rPr>
          <w:rFonts w:ascii="Arial" w:hAnsi="Arial" w:cs="Arial"/>
          <w:color w:val="000000" w:themeColor="text1"/>
        </w:rPr>
        <w:t xml:space="preserve">antifungal therapy.  This is not </w:t>
      </w:r>
      <w:r w:rsidR="00FB6A8B" w:rsidRPr="007C6545">
        <w:rPr>
          <w:rFonts w:ascii="Arial" w:hAnsi="Arial" w:cs="Arial"/>
          <w:color w:val="000000" w:themeColor="text1"/>
        </w:rPr>
        <w:t xml:space="preserve">necessarily </w:t>
      </w:r>
      <w:r w:rsidR="00060880" w:rsidRPr="007C6545">
        <w:rPr>
          <w:rFonts w:ascii="Arial" w:hAnsi="Arial" w:cs="Arial"/>
          <w:color w:val="000000" w:themeColor="text1"/>
        </w:rPr>
        <w:t xml:space="preserve">a new concept.  While much </w:t>
      </w:r>
      <w:r w:rsidR="00B77D6B" w:rsidRPr="007C6545">
        <w:rPr>
          <w:rFonts w:ascii="Arial" w:hAnsi="Arial" w:cs="Arial"/>
          <w:color w:val="000000" w:themeColor="text1"/>
        </w:rPr>
        <w:t xml:space="preserve">early </w:t>
      </w:r>
      <w:r w:rsidR="00060880" w:rsidRPr="007C6545">
        <w:rPr>
          <w:rFonts w:ascii="Arial" w:hAnsi="Arial" w:cs="Arial"/>
          <w:color w:val="000000" w:themeColor="text1"/>
        </w:rPr>
        <w:t xml:space="preserve">work on </w:t>
      </w:r>
      <w:r w:rsidR="00B26FCA" w:rsidRPr="007C6545">
        <w:rPr>
          <w:rFonts w:ascii="Arial" w:hAnsi="Arial" w:cs="Arial"/>
          <w:color w:val="000000" w:themeColor="text1"/>
        </w:rPr>
        <w:t xml:space="preserve">GM </w:t>
      </w:r>
      <w:r w:rsidR="00060880" w:rsidRPr="007C6545">
        <w:rPr>
          <w:rFonts w:ascii="Arial" w:hAnsi="Arial" w:cs="Arial"/>
          <w:color w:val="000000" w:themeColor="text1"/>
        </w:rPr>
        <w:t xml:space="preserve">focused on its role as a diagnostic modality, there </w:t>
      </w:r>
      <w:r w:rsidR="00B77D6B" w:rsidRPr="007C6545">
        <w:rPr>
          <w:rFonts w:ascii="Arial" w:hAnsi="Arial" w:cs="Arial"/>
          <w:color w:val="000000" w:themeColor="text1"/>
        </w:rPr>
        <w:t>are</w:t>
      </w:r>
      <w:r w:rsidR="00060880" w:rsidRPr="007C6545">
        <w:rPr>
          <w:rFonts w:ascii="Arial" w:hAnsi="Arial" w:cs="Arial"/>
          <w:color w:val="000000" w:themeColor="text1"/>
        </w:rPr>
        <w:t xml:space="preserve"> many reports </w:t>
      </w:r>
      <w:r w:rsidRPr="007C6545">
        <w:rPr>
          <w:rFonts w:ascii="Arial" w:hAnsi="Arial" w:cs="Arial"/>
          <w:color w:val="000000" w:themeColor="text1"/>
        </w:rPr>
        <w:t xml:space="preserve">which </w:t>
      </w:r>
      <w:r w:rsidR="00060880" w:rsidRPr="007C6545">
        <w:rPr>
          <w:rFonts w:ascii="Arial" w:hAnsi="Arial" w:cs="Arial"/>
          <w:color w:val="000000" w:themeColor="text1"/>
        </w:rPr>
        <w:t xml:space="preserve">suggest </w:t>
      </w:r>
      <w:r w:rsidRPr="007C6545">
        <w:rPr>
          <w:rFonts w:ascii="Arial" w:hAnsi="Arial" w:cs="Arial"/>
          <w:color w:val="000000" w:themeColor="text1"/>
        </w:rPr>
        <w:t xml:space="preserve">that </w:t>
      </w:r>
      <w:r w:rsidR="00060880" w:rsidRPr="007C6545">
        <w:rPr>
          <w:rFonts w:ascii="Arial" w:hAnsi="Arial" w:cs="Arial"/>
          <w:color w:val="000000" w:themeColor="text1"/>
        </w:rPr>
        <w:t xml:space="preserve">high unremitting </w:t>
      </w:r>
      <w:r w:rsidR="00B77D6B" w:rsidRPr="007C6545">
        <w:rPr>
          <w:rFonts w:ascii="Arial" w:hAnsi="Arial" w:cs="Arial"/>
          <w:color w:val="000000" w:themeColor="text1"/>
        </w:rPr>
        <w:t xml:space="preserve">GM </w:t>
      </w:r>
      <w:r w:rsidR="00060880" w:rsidRPr="007C6545">
        <w:rPr>
          <w:rFonts w:ascii="Arial" w:hAnsi="Arial" w:cs="Arial"/>
          <w:color w:val="000000" w:themeColor="text1"/>
        </w:rPr>
        <w:t xml:space="preserve">levels </w:t>
      </w:r>
      <w:r w:rsidR="00B77D6B" w:rsidRPr="007C6545">
        <w:rPr>
          <w:rFonts w:ascii="Arial" w:hAnsi="Arial" w:cs="Arial"/>
          <w:color w:val="000000" w:themeColor="text1"/>
        </w:rPr>
        <w:t>are</w:t>
      </w:r>
      <w:r w:rsidR="00060880" w:rsidRPr="007C6545">
        <w:rPr>
          <w:rFonts w:ascii="Arial" w:hAnsi="Arial" w:cs="Arial"/>
          <w:color w:val="000000" w:themeColor="text1"/>
        </w:rPr>
        <w:t xml:space="preserve"> associated with poor clinical outcomes</w:t>
      </w:r>
      <w:r w:rsidRPr="007C6545">
        <w:rPr>
          <w:rFonts w:ascii="Arial" w:hAnsi="Arial" w:cs="Arial"/>
          <w:color w:val="000000" w:themeColor="text1"/>
        </w:rPr>
        <w:t>,</w:t>
      </w:r>
      <w:r w:rsidR="00060880" w:rsidRPr="007C6545">
        <w:rPr>
          <w:rFonts w:ascii="Arial" w:hAnsi="Arial" w:cs="Arial"/>
          <w:color w:val="000000" w:themeColor="text1"/>
        </w:rPr>
        <w:t xml:space="preserve"> including death.</w:t>
      </w:r>
      <w:r w:rsidR="00C251E7" w:rsidRPr="007C6545">
        <w:rPr>
          <w:rFonts w:ascii="Arial" w:hAnsi="Arial" w:cs="Arial"/>
          <w:color w:val="000000" w:themeColor="text1"/>
          <w:vertAlign w:val="superscript"/>
        </w:rPr>
        <w:t>81</w:t>
      </w:r>
      <w:r w:rsidR="00EB39C5" w:rsidRPr="007C6545">
        <w:rPr>
          <w:rFonts w:ascii="Arial" w:hAnsi="Arial" w:cs="Arial"/>
          <w:color w:val="000000" w:themeColor="text1"/>
          <w:vertAlign w:val="superscript"/>
        </w:rPr>
        <w:t>-8</w:t>
      </w:r>
      <w:r w:rsidR="00C251E7" w:rsidRPr="007C6545">
        <w:rPr>
          <w:rFonts w:ascii="Arial" w:hAnsi="Arial" w:cs="Arial"/>
          <w:color w:val="000000" w:themeColor="text1"/>
          <w:vertAlign w:val="superscript"/>
        </w:rPr>
        <w:t>4</w:t>
      </w:r>
      <w:r w:rsidR="005D0969" w:rsidRPr="007C6545">
        <w:rPr>
          <w:rFonts w:ascii="Arial" w:hAnsi="Arial" w:cs="Arial"/>
          <w:color w:val="000000" w:themeColor="text1"/>
        </w:rPr>
        <w:t xml:space="preserve"> </w:t>
      </w:r>
      <w:r w:rsidR="00060880" w:rsidRPr="007C6545">
        <w:rPr>
          <w:rFonts w:ascii="Arial" w:hAnsi="Arial" w:cs="Arial"/>
          <w:color w:val="000000" w:themeColor="text1"/>
        </w:rPr>
        <w:t xml:space="preserve">Thus, circulating GM is a </w:t>
      </w:r>
      <w:r w:rsidRPr="007C6545">
        <w:rPr>
          <w:rFonts w:ascii="Arial" w:hAnsi="Arial" w:cs="Arial"/>
          <w:color w:val="000000" w:themeColor="text1"/>
        </w:rPr>
        <w:t xml:space="preserve">means by which </w:t>
      </w:r>
      <w:r w:rsidR="005E4955" w:rsidRPr="007C6545">
        <w:rPr>
          <w:rFonts w:ascii="Arial" w:hAnsi="Arial" w:cs="Arial"/>
          <w:color w:val="000000" w:themeColor="text1"/>
        </w:rPr>
        <w:t>patients can "tell" their physician how much drug they need, without recourse to therapeutic ranges that are constructed from populations</w:t>
      </w:r>
      <w:r w:rsidR="00B77D6B" w:rsidRPr="007C6545">
        <w:rPr>
          <w:rFonts w:ascii="Arial" w:hAnsi="Arial" w:cs="Arial"/>
          <w:color w:val="000000" w:themeColor="text1"/>
        </w:rPr>
        <w:t xml:space="preserve"> of patients</w:t>
      </w:r>
      <w:r w:rsidR="005E4955" w:rsidRPr="007C6545">
        <w:rPr>
          <w:rFonts w:ascii="Arial" w:hAnsi="Arial" w:cs="Arial"/>
          <w:color w:val="000000" w:themeColor="text1"/>
        </w:rPr>
        <w:t xml:space="preserve">. </w:t>
      </w:r>
      <w:r w:rsidR="004836BD" w:rsidRPr="007C6545">
        <w:rPr>
          <w:rFonts w:ascii="Arial" w:hAnsi="Arial" w:cs="Arial"/>
          <w:color w:val="000000" w:themeColor="text1"/>
        </w:rPr>
        <w:t>Accordingly</w:t>
      </w:r>
      <w:r w:rsidR="00B77D6B" w:rsidRPr="007C6545">
        <w:rPr>
          <w:rFonts w:ascii="Arial" w:hAnsi="Arial" w:cs="Arial"/>
          <w:color w:val="000000" w:themeColor="text1"/>
        </w:rPr>
        <w:t>,</w:t>
      </w:r>
      <w:r w:rsidR="005E4955" w:rsidRPr="007C6545">
        <w:rPr>
          <w:rFonts w:ascii="Arial" w:hAnsi="Arial" w:cs="Arial"/>
          <w:color w:val="000000" w:themeColor="text1"/>
        </w:rPr>
        <w:t xml:space="preserve"> a patient with </w:t>
      </w:r>
      <w:r w:rsidRPr="007C6545">
        <w:rPr>
          <w:rFonts w:ascii="Arial" w:hAnsi="Arial" w:cs="Arial"/>
          <w:color w:val="000000" w:themeColor="text1"/>
        </w:rPr>
        <w:t xml:space="preserve">unremittingly </w:t>
      </w:r>
      <w:r w:rsidR="005E4955" w:rsidRPr="007C6545">
        <w:rPr>
          <w:rFonts w:ascii="Arial" w:hAnsi="Arial" w:cs="Arial"/>
          <w:color w:val="000000" w:themeColor="text1"/>
        </w:rPr>
        <w:t xml:space="preserve">high GM levels needs more drug, regardless of </w:t>
      </w:r>
      <w:r w:rsidR="00D26265" w:rsidRPr="007C6545">
        <w:rPr>
          <w:rFonts w:ascii="Arial" w:hAnsi="Arial" w:cs="Arial"/>
          <w:color w:val="000000" w:themeColor="text1"/>
        </w:rPr>
        <w:t xml:space="preserve">the measured </w:t>
      </w:r>
      <w:r w:rsidR="005E4955" w:rsidRPr="007C6545">
        <w:rPr>
          <w:rFonts w:ascii="Arial" w:hAnsi="Arial" w:cs="Arial"/>
          <w:color w:val="000000" w:themeColor="text1"/>
        </w:rPr>
        <w:t xml:space="preserve">plasma drug concentration and whether </w:t>
      </w:r>
      <w:r w:rsidRPr="007C6545">
        <w:rPr>
          <w:rFonts w:ascii="Arial" w:hAnsi="Arial" w:cs="Arial"/>
          <w:color w:val="000000" w:themeColor="text1"/>
        </w:rPr>
        <w:t>it is</w:t>
      </w:r>
      <w:r w:rsidR="005E4955" w:rsidRPr="007C6545">
        <w:rPr>
          <w:rFonts w:ascii="Arial" w:hAnsi="Arial" w:cs="Arial"/>
          <w:color w:val="000000" w:themeColor="text1"/>
        </w:rPr>
        <w:t xml:space="preserve"> deemed "therapeutic"</w:t>
      </w:r>
      <w:r w:rsidR="00D26265" w:rsidRPr="007C6545">
        <w:rPr>
          <w:rFonts w:ascii="Arial" w:hAnsi="Arial" w:cs="Arial"/>
          <w:color w:val="000000" w:themeColor="text1"/>
        </w:rPr>
        <w:t xml:space="preserve">. If this is not possible because of toxicity, or if dosage escalation </w:t>
      </w:r>
      <w:r w:rsidR="00D26265" w:rsidRPr="007C6545">
        <w:rPr>
          <w:rFonts w:ascii="Arial" w:hAnsi="Arial" w:cs="Arial"/>
          <w:color w:val="000000" w:themeColor="text1"/>
        </w:rPr>
        <w:lastRenderedPageBreak/>
        <w:t>and an increase in serum concentration does not result in normalisation of the biomarker, then a second drug needs to be added or the therapy needs to be changed altogether.  Such an approach constitutes true individualised therapy</w:t>
      </w:r>
      <w:r w:rsidR="0076564F" w:rsidRPr="007C6545">
        <w:rPr>
          <w:rFonts w:ascii="Arial" w:hAnsi="Arial" w:cs="Arial"/>
          <w:color w:val="000000" w:themeColor="text1"/>
        </w:rPr>
        <w:t xml:space="preserve">.  </w:t>
      </w:r>
      <w:r w:rsidR="003927ED" w:rsidRPr="007C6545">
        <w:rPr>
          <w:rFonts w:ascii="Arial" w:hAnsi="Arial" w:cs="Arial"/>
          <w:color w:val="000000" w:themeColor="text1"/>
        </w:rPr>
        <w:t>Both</w:t>
      </w:r>
      <w:r w:rsidR="0076564F" w:rsidRPr="007C6545">
        <w:rPr>
          <w:rFonts w:ascii="Arial" w:hAnsi="Arial" w:cs="Arial"/>
          <w:color w:val="000000" w:themeColor="text1"/>
        </w:rPr>
        <w:t xml:space="preserve"> a fixed dosing strategy </w:t>
      </w:r>
      <w:r w:rsidR="003927ED" w:rsidRPr="007C6545">
        <w:rPr>
          <w:rFonts w:ascii="Arial" w:hAnsi="Arial" w:cs="Arial"/>
          <w:color w:val="000000" w:themeColor="text1"/>
        </w:rPr>
        <w:t xml:space="preserve">and a therapeutic concentration range </w:t>
      </w:r>
      <w:r w:rsidR="0076564F" w:rsidRPr="007C6545">
        <w:rPr>
          <w:rFonts w:ascii="Arial" w:hAnsi="Arial" w:cs="Arial"/>
          <w:color w:val="000000" w:themeColor="text1"/>
        </w:rPr>
        <w:t xml:space="preserve">is a </w:t>
      </w:r>
      <w:r w:rsidRPr="007C6545">
        <w:rPr>
          <w:rFonts w:ascii="Arial" w:hAnsi="Arial" w:cs="Arial"/>
          <w:color w:val="000000" w:themeColor="text1"/>
        </w:rPr>
        <w:t>'</w:t>
      </w:r>
      <w:r w:rsidR="0076564F" w:rsidRPr="007C6545">
        <w:rPr>
          <w:rFonts w:ascii="Arial" w:hAnsi="Arial" w:cs="Arial"/>
          <w:color w:val="000000" w:themeColor="text1"/>
        </w:rPr>
        <w:t>one size fits all</w:t>
      </w:r>
      <w:r w:rsidRPr="007C6545">
        <w:rPr>
          <w:rFonts w:ascii="Arial" w:hAnsi="Arial" w:cs="Arial"/>
          <w:color w:val="000000" w:themeColor="text1"/>
        </w:rPr>
        <w:t xml:space="preserve">' </w:t>
      </w:r>
      <w:r w:rsidR="00F40915" w:rsidRPr="007C6545">
        <w:rPr>
          <w:rFonts w:ascii="Arial" w:hAnsi="Arial" w:cs="Arial"/>
          <w:color w:val="000000" w:themeColor="text1"/>
        </w:rPr>
        <w:t>approach</w:t>
      </w:r>
      <w:r w:rsidR="0076564F" w:rsidRPr="007C6545">
        <w:rPr>
          <w:rFonts w:ascii="Arial" w:hAnsi="Arial" w:cs="Arial"/>
          <w:color w:val="000000" w:themeColor="text1"/>
        </w:rPr>
        <w:t xml:space="preserve">, </w:t>
      </w:r>
      <w:r w:rsidR="003927ED" w:rsidRPr="007C6545">
        <w:rPr>
          <w:rFonts w:ascii="Arial" w:hAnsi="Arial" w:cs="Arial"/>
          <w:color w:val="000000" w:themeColor="text1"/>
        </w:rPr>
        <w:t xml:space="preserve">and neither is consistent with </w:t>
      </w:r>
      <w:r w:rsidR="00F93C6C" w:rsidRPr="007C6545">
        <w:rPr>
          <w:rFonts w:ascii="Arial" w:hAnsi="Arial" w:cs="Arial"/>
          <w:color w:val="000000" w:themeColor="text1"/>
        </w:rPr>
        <w:t xml:space="preserve">any notion of </w:t>
      </w:r>
      <w:r w:rsidR="003927ED" w:rsidRPr="007C6545">
        <w:rPr>
          <w:rFonts w:ascii="Arial" w:hAnsi="Arial" w:cs="Arial"/>
          <w:color w:val="000000" w:themeColor="text1"/>
        </w:rPr>
        <w:t>individualised antifungal therapy</w:t>
      </w:r>
      <w:r w:rsidR="00F40915" w:rsidRPr="007C6545">
        <w:rPr>
          <w:rFonts w:ascii="Arial" w:hAnsi="Arial" w:cs="Arial"/>
          <w:color w:val="000000" w:themeColor="text1"/>
        </w:rPr>
        <w:t>.</w:t>
      </w:r>
    </w:p>
    <w:p w14:paraId="7E768200" w14:textId="77777777" w:rsidR="00F40915" w:rsidRPr="007C6545" w:rsidRDefault="0067367C" w:rsidP="005F2259">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This</w:t>
      </w:r>
      <w:r w:rsidR="00F40915" w:rsidRPr="007C6545">
        <w:rPr>
          <w:rFonts w:ascii="Arial" w:hAnsi="Arial" w:cs="Arial"/>
          <w:color w:val="000000" w:themeColor="text1"/>
        </w:rPr>
        <w:t xml:space="preserve"> is also an argument for </w:t>
      </w:r>
      <w:r w:rsidR="00156272" w:rsidRPr="007C6545">
        <w:rPr>
          <w:rFonts w:ascii="Arial" w:hAnsi="Arial" w:cs="Arial"/>
          <w:color w:val="000000" w:themeColor="text1"/>
        </w:rPr>
        <w:t>the</w:t>
      </w:r>
      <w:r w:rsidR="00F40915" w:rsidRPr="007C6545">
        <w:rPr>
          <w:rFonts w:ascii="Arial" w:hAnsi="Arial" w:cs="Arial"/>
          <w:color w:val="000000" w:themeColor="text1"/>
        </w:rPr>
        <w:t xml:space="preserve"> development of biomarkers with prognostic value that can be used to follow </w:t>
      </w:r>
      <w:r w:rsidRPr="007C6545">
        <w:rPr>
          <w:rFonts w:ascii="Arial" w:hAnsi="Arial" w:cs="Arial"/>
          <w:color w:val="000000" w:themeColor="text1"/>
        </w:rPr>
        <w:t xml:space="preserve">the </w:t>
      </w:r>
      <w:r w:rsidR="00F40915" w:rsidRPr="007C6545">
        <w:rPr>
          <w:rFonts w:ascii="Arial" w:hAnsi="Arial" w:cs="Arial"/>
          <w:color w:val="000000" w:themeColor="text1"/>
        </w:rPr>
        <w:t>disease</w:t>
      </w:r>
      <w:r w:rsidRPr="007C6545">
        <w:rPr>
          <w:rFonts w:ascii="Arial" w:hAnsi="Arial" w:cs="Arial"/>
          <w:color w:val="000000" w:themeColor="text1"/>
        </w:rPr>
        <w:t xml:space="preserve"> course</w:t>
      </w:r>
      <w:r w:rsidR="00F40915" w:rsidRPr="007C6545">
        <w:rPr>
          <w:rFonts w:ascii="Arial" w:hAnsi="Arial" w:cs="Arial"/>
          <w:color w:val="000000" w:themeColor="text1"/>
        </w:rPr>
        <w:t>. Medical mycology is full of such possibilities</w:t>
      </w:r>
      <w:r w:rsidR="00156272" w:rsidRPr="007C6545">
        <w:rPr>
          <w:rFonts w:ascii="Arial" w:hAnsi="Arial" w:cs="Arial"/>
          <w:color w:val="000000" w:themeColor="text1"/>
        </w:rPr>
        <w:t>, some of which are already established (e.g. us</w:t>
      </w:r>
      <w:r w:rsidRPr="007C6545">
        <w:rPr>
          <w:rFonts w:ascii="Arial" w:hAnsi="Arial" w:cs="Arial"/>
          <w:color w:val="000000" w:themeColor="text1"/>
        </w:rPr>
        <w:t>e of</w:t>
      </w:r>
      <w:r w:rsidR="00156272" w:rsidRPr="007C6545">
        <w:rPr>
          <w:rFonts w:ascii="Arial" w:hAnsi="Arial" w:cs="Arial"/>
          <w:color w:val="000000" w:themeColor="text1"/>
        </w:rPr>
        <w:t xml:space="preserve"> quantitative CSF counts </w:t>
      </w:r>
      <w:r w:rsidR="00867E73" w:rsidRPr="007C6545">
        <w:rPr>
          <w:rFonts w:ascii="Arial" w:hAnsi="Arial" w:cs="Arial"/>
          <w:color w:val="000000" w:themeColor="text1"/>
        </w:rPr>
        <w:t>of 1,3-</w:t>
      </w:r>
      <w:r w:rsidR="00FB6A8B" w:rsidRPr="007C6545">
        <w:rPr>
          <w:rFonts w:ascii="Arial" w:hAnsi="Arial" w:cs="Arial"/>
          <w:color w:val="000000" w:themeColor="text1"/>
        </w:rPr>
        <w:t>b</w:t>
      </w:r>
      <w:r w:rsidR="00867E73" w:rsidRPr="007C6545">
        <w:rPr>
          <w:rFonts w:ascii="Arial" w:hAnsi="Arial" w:cs="Arial"/>
          <w:color w:val="000000" w:themeColor="text1"/>
        </w:rPr>
        <w:t xml:space="preserve">eta-D-glucan </w:t>
      </w:r>
      <w:r w:rsidR="00156272" w:rsidRPr="007C6545">
        <w:rPr>
          <w:rFonts w:ascii="Arial" w:hAnsi="Arial" w:cs="Arial"/>
          <w:color w:val="000000" w:themeColor="text1"/>
        </w:rPr>
        <w:t xml:space="preserve">to </w:t>
      </w:r>
      <w:r w:rsidRPr="007C6545">
        <w:rPr>
          <w:rFonts w:ascii="Arial" w:hAnsi="Arial" w:cs="Arial"/>
          <w:color w:val="000000" w:themeColor="text1"/>
        </w:rPr>
        <w:t xml:space="preserve">monitor </w:t>
      </w:r>
      <w:r w:rsidR="00156272" w:rsidRPr="007C6545">
        <w:rPr>
          <w:rFonts w:ascii="Arial" w:hAnsi="Arial" w:cs="Arial"/>
          <w:color w:val="000000" w:themeColor="text1"/>
        </w:rPr>
        <w:t>therapy for cryptococ</w:t>
      </w:r>
      <w:r w:rsidR="002B6B7A" w:rsidRPr="007C6545">
        <w:rPr>
          <w:rFonts w:ascii="Arial" w:hAnsi="Arial" w:cs="Arial"/>
          <w:color w:val="000000" w:themeColor="text1"/>
        </w:rPr>
        <w:t>cal meningitis).</w:t>
      </w:r>
      <w:r w:rsidR="00CD6A9D" w:rsidRPr="007C6545">
        <w:rPr>
          <w:rFonts w:ascii="Arial" w:hAnsi="Arial" w:cs="Arial"/>
          <w:color w:val="000000" w:themeColor="text1"/>
          <w:vertAlign w:val="superscript"/>
        </w:rPr>
        <w:t>8</w:t>
      </w:r>
      <w:r w:rsidR="00C251E7" w:rsidRPr="007C6545">
        <w:rPr>
          <w:rFonts w:ascii="Arial" w:hAnsi="Arial" w:cs="Arial"/>
          <w:color w:val="000000" w:themeColor="text1"/>
          <w:vertAlign w:val="superscript"/>
        </w:rPr>
        <w:t>5</w:t>
      </w:r>
      <w:r w:rsidR="00CD6A9D" w:rsidRPr="007C6545">
        <w:rPr>
          <w:rFonts w:ascii="Arial" w:hAnsi="Arial" w:cs="Arial"/>
          <w:color w:val="000000" w:themeColor="text1"/>
        </w:rPr>
        <w:t xml:space="preserve">  </w:t>
      </w:r>
      <w:r w:rsidR="002B6B7A" w:rsidRPr="007C6545">
        <w:rPr>
          <w:rFonts w:ascii="Arial" w:hAnsi="Arial" w:cs="Arial"/>
          <w:color w:val="000000" w:themeColor="text1"/>
        </w:rPr>
        <w:t>Most fungi</w:t>
      </w:r>
      <w:r w:rsidR="00156272" w:rsidRPr="007C6545">
        <w:rPr>
          <w:rFonts w:ascii="Arial" w:hAnsi="Arial" w:cs="Arial"/>
          <w:color w:val="000000" w:themeColor="text1"/>
        </w:rPr>
        <w:t xml:space="preserve"> produce a myriad of secondary metabolites that </w:t>
      </w:r>
      <w:r w:rsidR="00F93C6C" w:rsidRPr="007C6545">
        <w:rPr>
          <w:rFonts w:ascii="Arial" w:hAnsi="Arial" w:cs="Arial"/>
          <w:color w:val="000000" w:themeColor="text1"/>
        </w:rPr>
        <w:t>can potentially</w:t>
      </w:r>
      <w:r w:rsidR="00156272" w:rsidRPr="007C6545">
        <w:rPr>
          <w:rFonts w:ascii="Arial" w:hAnsi="Arial" w:cs="Arial"/>
          <w:color w:val="000000" w:themeColor="text1"/>
        </w:rPr>
        <w:t xml:space="preserve"> </w:t>
      </w:r>
      <w:r w:rsidR="002B6B7A" w:rsidRPr="007C6545">
        <w:rPr>
          <w:rFonts w:ascii="Arial" w:hAnsi="Arial" w:cs="Arial"/>
          <w:color w:val="000000" w:themeColor="text1"/>
        </w:rPr>
        <w:t xml:space="preserve">be used to </w:t>
      </w:r>
      <w:r w:rsidRPr="007C6545">
        <w:rPr>
          <w:rFonts w:ascii="Arial" w:hAnsi="Arial" w:cs="Arial"/>
          <w:color w:val="000000" w:themeColor="text1"/>
        </w:rPr>
        <w:t xml:space="preserve">track the effect of </w:t>
      </w:r>
      <w:r w:rsidR="00156272" w:rsidRPr="007C6545">
        <w:rPr>
          <w:rFonts w:ascii="Arial" w:hAnsi="Arial" w:cs="Arial"/>
          <w:color w:val="000000" w:themeColor="text1"/>
        </w:rPr>
        <w:t>antifungal therapy</w:t>
      </w:r>
      <w:r w:rsidRPr="007C6545">
        <w:rPr>
          <w:rFonts w:ascii="Arial" w:hAnsi="Arial" w:cs="Arial"/>
          <w:color w:val="000000" w:themeColor="text1"/>
        </w:rPr>
        <w:t>,</w:t>
      </w:r>
      <w:r w:rsidR="00156272" w:rsidRPr="007C6545">
        <w:rPr>
          <w:rFonts w:ascii="Arial" w:hAnsi="Arial" w:cs="Arial"/>
          <w:color w:val="000000" w:themeColor="text1"/>
        </w:rPr>
        <w:t xml:space="preserve"> and </w:t>
      </w:r>
      <w:r w:rsidRPr="007C6545">
        <w:rPr>
          <w:rFonts w:ascii="Arial" w:hAnsi="Arial" w:cs="Arial"/>
          <w:color w:val="000000" w:themeColor="text1"/>
        </w:rPr>
        <w:t xml:space="preserve">the </w:t>
      </w:r>
      <w:r w:rsidR="00156272" w:rsidRPr="007C6545">
        <w:rPr>
          <w:rFonts w:ascii="Arial" w:hAnsi="Arial" w:cs="Arial"/>
          <w:color w:val="000000" w:themeColor="text1"/>
        </w:rPr>
        <w:t xml:space="preserve">same </w:t>
      </w:r>
      <w:r w:rsidR="00B27DEE" w:rsidRPr="007C6545">
        <w:rPr>
          <w:rFonts w:ascii="Arial" w:hAnsi="Arial" w:cs="Arial"/>
          <w:color w:val="000000" w:themeColor="text1"/>
        </w:rPr>
        <w:t>c</w:t>
      </w:r>
      <w:r w:rsidR="00156272" w:rsidRPr="007C6545">
        <w:rPr>
          <w:rFonts w:ascii="Arial" w:hAnsi="Arial" w:cs="Arial"/>
          <w:color w:val="000000" w:themeColor="text1"/>
        </w:rPr>
        <w:t xml:space="preserve">ould apply </w:t>
      </w:r>
      <w:r w:rsidR="00B27DEE" w:rsidRPr="007C6545">
        <w:rPr>
          <w:rFonts w:ascii="Arial" w:hAnsi="Arial" w:cs="Arial"/>
          <w:color w:val="000000" w:themeColor="text1"/>
        </w:rPr>
        <w:t xml:space="preserve">to </w:t>
      </w:r>
      <w:r w:rsidR="00156272" w:rsidRPr="007C6545">
        <w:rPr>
          <w:rFonts w:ascii="Arial" w:hAnsi="Arial" w:cs="Arial"/>
          <w:color w:val="000000" w:themeColor="text1"/>
        </w:rPr>
        <w:t xml:space="preserve">transcriptomic and </w:t>
      </w:r>
      <w:proofErr w:type="spellStart"/>
      <w:r w:rsidR="00156272" w:rsidRPr="007C6545">
        <w:rPr>
          <w:rFonts w:ascii="Arial" w:hAnsi="Arial" w:cs="Arial"/>
          <w:color w:val="000000" w:themeColor="text1"/>
        </w:rPr>
        <w:t>metabolomic</w:t>
      </w:r>
      <w:proofErr w:type="spellEnd"/>
      <w:r w:rsidR="00156272" w:rsidRPr="007C6545">
        <w:rPr>
          <w:rFonts w:ascii="Arial" w:hAnsi="Arial" w:cs="Arial"/>
          <w:color w:val="000000" w:themeColor="text1"/>
        </w:rPr>
        <w:t xml:space="preserve"> </w:t>
      </w:r>
      <w:r w:rsidR="002B6B7A" w:rsidRPr="007C6545">
        <w:rPr>
          <w:rFonts w:ascii="Arial" w:hAnsi="Arial" w:cs="Arial"/>
          <w:color w:val="000000" w:themeColor="text1"/>
        </w:rPr>
        <w:t>approaches</w:t>
      </w:r>
      <w:r w:rsidR="00156272" w:rsidRPr="007C6545">
        <w:rPr>
          <w:rFonts w:ascii="Arial" w:hAnsi="Arial" w:cs="Arial"/>
          <w:color w:val="000000" w:themeColor="text1"/>
        </w:rPr>
        <w:t xml:space="preserve"> as they are further developed</w:t>
      </w:r>
      <w:r w:rsidR="002B6B7A" w:rsidRPr="007C6545">
        <w:rPr>
          <w:rFonts w:ascii="Arial" w:hAnsi="Arial" w:cs="Arial"/>
          <w:color w:val="000000" w:themeColor="text1"/>
        </w:rPr>
        <w:t>.  Volumetric radiological analyses are a further extension of this idea.</w:t>
      </w:r>
      <w:r w:rsidR="007A5961" w:rsidRPr="007C6545">
        <w:rPr>
          <w:rFonts w:ascii="Arial" w:hAnsi="Arial" w:cs="Arial"/>
          <w:color w:val="000000" w:themeColor="text1"/>
        </w:rPr>
        <w:t xml:space="preserve"> </w:t>
      </w:r>
    </w:p>
    <w:p w14:paraId="236647C4" w14:textId="77777777" w:rsidR="0067367C" w:rsidRPr="007C6545" w:rsidRDefault="0067367C" w:rsidP="0067367C">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t>Conclusion</w:t>
      </w:r>
    </w:p>
    <w:p w14:paraId="25DBF728" w14:textId="77777777" w:rsidR="004F1C74" w:rsidRPr="007C6545" w:rsidRDefault="0067367C" w:rsidP="0067367C">
      <w:pPr>
        <w:spacing w:before="100" w:beforeAutospacing="1" w:after="100" w:afterAutospacing="1" w:line="480" w:lineRule="auto"/>
        <w:rPr>
          <w:rFonts w:ascii="Arial" w:hAnsi="Arial" w:cs="Arial"/>
          <w:color w:val="000000" w:themeColor="text1"/>
        </w:rPr>
      </w:pPr>
      <w:r w:rsidRPr="007C6545">
        <w:rPr>
          <w:rFonts w:ascii="Arial" w:hAnsi="Arial" w:cs="Arial"/>
          <w:color w:val="000000" w:themeColor="text1"/>
        </w:rPr>
        <w:t xml:space="preserve">Much remains to be done to ensure that patients with rapidly advancing life-threatening fungal infections are treated in an optimal manner. Such challenges include the development of methods to measure plasma concentrations of antifungal agents at the bedside in a timely manner, algorithms to enable rapid and precise dosage adjustment, and mechanisms by which the treatment of infection can be followed and managed in real-time. The last point remains an important challenge to enable true individualised therapy for patients with invasive fungal diseases. </w:t>
      </w:r>
      <w:r w:rsidR="004F1C74" w:rsidRPr="007C6545">
        <w:rPr>
          <w:rFonts w:ascii="Arial" w:hAnsi="Arial" w:cs="Arial"/>
          <w:color w:val="000000" w:themeColor="text1"/>
        </w:rPr>
        <w:br w:type="page"/>
      </w:r>
    </w:p>
    <w:p w14:paraId="02A581EB" w14:textId="77777777" w:rsidR="004F1C74" w:rsidRPr="007C6545" w:rsidRDefault="00EB39C5" w:rsidP="005F2259">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lastRenderedPageBreak/>
        <w:t>Acknowledgements</w:t>
      </w:r>
    </w:p>
    <w:p w14:paraId="2275B352" w14:textId="77777777" w:rsidR="005F2259" w:rsidRPr="007C6545" w:rsidRDefault="005F2259"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Funding</w:t>
      </w:r>
      <w:r w:rsidRPr="007C6545">
        <w:rPr>
          <w:rFonts w:ascii="Arial" w:hAnsi="Arial" w:cs="Arial"/>
          <w:color w:val="000000" w:themeColor="text1"/>
        </w:rPr>
        <w:t xml:space="preserve">. This supplement was funded by </w:t>
      </w:r>
      <w:proofErr w:type="spellStart"/>
      <w:r w:rsidRPr="007C6545">
        <w:rPr>
          <w:rFonts w:ascii="Arial" w:hAnsi="Arial" w:cs="Arial"/>
          <w:bCs/>
          <w:color w:val="000000" w:themeColor="text1"/>
        </w:rPr>
        <w:t>Basilea</w:t>
      </w:r>
      <w:proofErr w:type="spellEnd"/>
      <w:r w:rsidRPr="007C6545">
        <w:rPr>
          <w:rFonts w:ascii="Arial" w:hAnsi="Arial" w:cs="Arial"/>
          <w:bCs/>
          <w:color w:val="000000" w:themeColor="text1"/>
        </w:rPr>
        <w:t xml:space="preserve"> </w:t>
      </w:r>
      <w:proofErr w:type="spellStart"/>
      <w:r w:rsidRPr="007C6545">
        <w:rPr>
          <w:rFonts w:ascii="Arial" w:hAnsi="Arial" w:cs="Arial"/>
          <w:bCs/>
          <w:color w:val="000000" w:themeColor="text1"/>
        </w:rPr>
        <w:t>Pharmaceutica</w:t>
      </w:r>
      <w:proofErr w:type="spellEnd"/>
      <w:r w:rsidRPr="007C6545">
        <w:rPr>
          <w:rFonts w:ascii="Arial" w:hAnsi="Arial" w:cs="Arial"/>
          <w:bCs/>
          <w:color w:val="000000" w:themeColor="text1"/>
        </w:rPr>
        <w:t xml:space="preserve"> International Ltd, Basel, Switzerland. Editorial support was provided by a freelance medical writer</w:t>
      </w:r>
      <w:r w:rsidR="00E67225" w:rsidRPr="007C6545">
        <w:rPr>
          <w:rFonts w:ascii="Arial" w:hAnsi="Arial" w:cs="Arial"/>
          <w:bCs/>
          <w:color w:val="000000" w:themeColor="text1"/>
        </w:rPr>
        <w:t xml:space="preserve"> (C </w:t>
      </w:r>
      <w:proofErr w:type="spellStart"/>
      <w:r w:rsidR="00E67225" w:rsidRPr="007C6545">
        <w:rPr>
          <w:rFonts w:ascii="Arial" w:hAnsi="Arial" w:cs="Arial"/>
          <w:bCs/>
          <w:color w:val="000000" w:themeColor="text1"/>
        </w:rPr>
        <w:t>Dunstall</w:t>
      </w:r>
      <w:proofErr w:type="spellEnd"/>
      <w:r w:rsidR="00E67225" w:rsidRPr="007C6545">
        <w:rPr>
          <w:rFonts w:ascii="Arial" w:hAnsi="Arial" w:cs="Arial"/>
          <w:bCs/>
          <w:color w:val="000000" w:themeColor="text1"/>
        </w:rPr>
        <w:t>)</w:t>
      </w:r>
      <w:r w:rsidRPr="007C6545">
        <w:rPr>
          <w:rFonts w:ascii="Arial" w:hAnsi="Arial" w:cs="Arial"/>
          <w:bCs/>
          <w:color w:val="000000" w:themeColor="text1"/>
        </w:rPr>
        <w:t xml:space="preserve"> with funding from </w:t>
      </w:r>
      <w:proofErr w:type="spellStart"/>
      <w:r w:rsidRPr="007C6545">
        <w:rPr>
          <w:rFonts w:ascii="Arial" w:hAnsi="Arial" w:cs="Arial"/>
          <w:bCs/>
          <w:color w:val="000000" w:themeColor="text1"/>
        </w:rPr>
        <w:t>Basilea</w:t>
      </w:r>
      <w:proofErr w:type="spellEnd"/>
      <w:r w:rsidRPr="007C6545">
        <w:rPr>
          <w:rFonts w:ascii="Arial" w:hAnsi="Arial" w:cs="Arial"/>
          <w:bCs/>
          <w:color w:val="000000" w:themeColor="text1"/>
        </w:rPr>
        <w:t xml:space="preserve">. </w:t>
      </w:r>
    </w:p>
    <w:p w14:paraId="186D04F2" w14:textId="77777777" w:rsidR="005F2259" w:rsidRPr="007C6545" w:rsidRDefault="005F2259" w:rsidP="005F2259">
      <w:pPr>
        <w:spacing w:before="100" w:beforeAutospacing="1" w:after="100" w:afterAutospacing="1" w:line="480" w:lineRule="auto"/>
        <w:rPr>
          <w:rFonts w:ascii="Arial" w:hAnsi="Arial" w:cs="Arial"/>
          <w:color w:val="000000" w:themeColor="text1"/>
        </w:rPr>
      </w:pPr>
      <w:r w:rsidRPr="007C6545">
        <w:rPr>
          <w:rFonts w:ascii="Arial" w:hAnsi="Arial" w:cs="Arial"/>
          <w:i/>
          <w:color w:val="000000" w:themeColor="text1"/>
        </w:rPr>
        <w:t>Conflicts of interest</w:t>
      </w:r>
      <w:r w:rsidRPr="007C6545">
        <w:rPr>
          <w:rFonts w:ascii="Arial" w:hAnsi="Arial" w:cs="Arial"/>
          <w:color w:val="000000" w:themeColor="text1"/>
        </w:rPr>
        <w:t xml:space="preserve">. </w:t>
      </w:r>
      <w:r w:rsidR="00550BA3" w:rsidRPr="007C6545">
        <w:rPr>
          <w:rFonts w:ascii="Arial" w:hAnsi="Arial" w:cs="Arial"/>
          <w:color w:val="000000" w:themeColor="text1"/>
        </w:rPr>
        <w:t xml:space="preserve">Katharine E Stott has no conflicts of interest to declare. </w:t>
      </w:r>
      <w:r w:rsidR="00544FF9" w:rsidRPr="007C6545">
        <w:rPr>
          <w:rFonts w:ascii="Arial" w:hAnsi="Arial" w:cs="Arial"/>
          <w:color w:val="000000" w:themeColor="text1"/>
          <w:lang w:val="en-US"/>
        </w:rPr>
        <w:t xml:space="preserve">William Hope has received research funding from Pfizer, Gilead, </w:t>
      </w:r>
      <w:proofErr w:type="spellStart"/>
      <w:r w:rsidR="00544FF9" w:rsidRPr="007C6545">
        <w:rPr>
          <w:rFonts w:ascii="Arial" w:hAnsi="Arial" w:cs="Arial"/>
          <w:color w:val="000000" w:themeColor="text1"/>
          <w:lang w:val="en-US"/>
        </w:rPr>
        <w:t>Astellas</w:t>
      </w:r>
      <w:proofErr w:type="spellEnd"/>
      <w:r w:rsidR="00544FF9" w:rsidRPr="007C6545">
        <w:rPr>
          <w:rFonts w:ascii="Arial" w:hAnsi="Arial" w:cs="Arial"/>
          <w:color w:val="000000" w:themeColor="text1"/>
          <w:lang w:val="en-US"/>
        </w:rPr>
        <w:t xml:space="preserve">, </w:t>
      </w:r>
      <w:proofErr w:type="spellStart"/>
      <w:r w:rsidR="00544FF9" w:rsidRPr="007C6545">
        <w:rPr>
          <w:rFonts w:ascii="Arial" w:hAnsi="Arial" w:cs="Arial"/>
          <w:color w:val="000000" w:themeColor="text1"/>
          <w:lang w:val="en-US"/>
        </w:rPr>
        <w:t>AiCuris</w:t>
      </w:r>
      <w:proofErr w:type="spellEnd"/>
      <w:r w:rsidR="00544FF9" w:rsidRPr="007C6545">
        <w:rPr>
          <w:rFonts w:ascii="Arial" w:hAnsi="Arial" w:cs="Arial"/>
          <w:color w:val="000000" w:themeColor="text1"/>
          <w:lang w:val="en-US"/>
        </w:rPr>
        <w:t xml:space="preserve">, </w:t>
      </w:r>
      <w:proofErr w:type="spellStart"/>
      <w:r w:rsidR="00544FF9" w:rsidRPr="007C6545">
        <w:rPr>
          <w:rFonts w:ascii="Arial" w:hAnsi="Arial" w:cs="Arial"/>
          <w:color w:val="000000" w:themeColor="text1"/>
          <w:lang w:val="en-US"/>
        </w:rPr>
        <w:t>Amplyx</w:t>
      </w:r>
      <w:proofErr w:type="spellEnd"/>
      <w:r w:rsidR="00624717" w:rsidRPr="007C6545">
        <w:rPr>
          <w:rFonts w:ascii="Arial" w:hAnsi="Arial" w:cs="Arial"/>
          <w:color w:val="000000" w:themeColor="text1"/>
          <w:lang w:val="en-US"/>
        </w:rPr>
        <w:t xml:space="preserve">, </w:t>
      </w:r>
      <w:proofErr w:type="spellStart"/>
      <w:r w:rsidR="00624717" w:rsidRPr="007C6545">
        <w:rPr>
          <w:rFonts w:ascii="Arial" w:hAnsi="Arial" w:cs="Arial"/>
          <w:color w:val="000000" w:themeColor="text1"/>
          <w:lang w:val="en-US"/>
        </w:rPr>
        <w:t>Spero</w:t>
      </w:r>
      <w:proofErr w:type="spellEnd"/>
      <w:r w:rsidR="00624717" w:rsidRPr="007C6545">
        <w:rPr>
          <w:rFonts w:ascii="Arial" w:hAnsi="Arial" w:cs="Arial"/>
          <w:color w:val="000000" w:themeColor="text1"/>
          <w:lang w:val="en-US"/>
        </w:rPr>
        <w:t xml:space="preserve"> Therapeutics</w:t>
      </w:r>
      <w:r w:rsidR="00544FF9" w:rsidRPr="007C6545">
        <w:rPr>
          <w:rFonts w:ascii="Arial" w:hAnsi="Arial" w:cs="Arial"/>
          <w:color w:val="000000" w:themeColor="text1"/>
          <w:lang w:val="en-US"/>
        </w:rPr>
        <w:t xml:space="preserve"> and F2G, and acted as a consultant and/or given talks for Pfizer, </w:t>
      </w:r>
      <w:proofErr w:type="spellStart"/>
      <w:r w:rsidR="00544FF9" w:rsidRPr="007C6545">
        <w:rPr>
          <w:rFonts w:ascii="Arial" w:hAnsi="Arial" w:cs="Arial"/>
          <w:color w:val="000000" w:themeColor="text1"/>
          <w:lang w:val="en-US"/>
        </w:rPr>
        <w:t>Basilea</w:t>
      </w:r>
      <w:proofErr w:type="spellEnd"/>
      <w:r w:rsidR="00544FF9" w:rsidRPr="007C6545">
        <w:rPr>
          <w:rFonts w:ascii="Arial" w:hAnsi="Arial" w:cs="Arial"/>
          <w:color w:val="000000" w:themeColor="text1"/>
          <w:lang w:val="en-US"/>
        </w:rPr>
        <w:t>,</w:t>
      </w:r>
      <w:r w:rsidR="00624717" w:rsidRPr="007C6545">
        <w:rPr>
          <w:rFonts w:ascii="Arial" w:hAnsi="Arial" w:cs="Arial"/>
          <w:color w:val="000000" w:themeColor="text1"/>
          <w:lang w:val="en-US"/>
        </w:rPr>
        <w:t xml:space="preserve"> </w:t>
      </w:r>
      <w:proofErr w:type="spellStart"/>
      <w:r w:rsidR="00624717" w:rsidRPr="007C6545">
        <w:rPr>
          <w:rFonts w:ascii="Arial" w:hAnsi="Arial" w:cs="Arial"/>
          <w:color w:val="000000" w:themeColor="text1"/>
          <w:lang w:val="en-US"/>
        </w:rPr>
        <w:t>Astellas</w:t>
      </w:r>
      <w:proofErr w:type="spellEnd"/>
      <w:r w:rsidR="00624717" w:rsidRPr="007C6545">
        <w:rPr>
          <w:rFonts w:ascii="Arial" w:hAnsi="Arial" w:cs="Arial"/>
          <w:color w:val="000000" w:themeColor="text1"/>
          <w:lang w:val="en-US"/>
        </w:rPr>
        <w:t xml:space="preserve">, F2G, Nordic Pharma, </w:t>
      </w:r>
      <w:r w:rsidR="00544FF9" w:rsidRPr="007C6545">
        <w:rPr>
          <w:rFonts w:ascii="Arial" w:hAnsi="Arial" w:cs="Arial"/>
          <w:color w:val="000000" w:themeColor="text1"/>
          <w:lang w:val="en-US"/>
        </w:rPr>
        <w:t xml:space="preserve">Medicines Company, </w:t>
      </w:r>
      <w:proofErr w:type="spellStart"/>
      <w:r w:rsidR="00544FF9" w:rsidRPr="007C6545">
        <w:rPr>
          <w:rFonts w:ascii="Arial" w:hAnsi="Arial" w:cs="Arial"/>
          <w:color w:val="000000" w:themeColor="text1"/>
          <w:lang w:val="en-US"/>
        </w:rPr>
        <w:t>Amplyx</w:t>
      </w:r>
      <w:proofErr w:type="spellEnd"/>
      <w:r w:rsidR="00544FF9" w:rsidRPr="007C6545">
        <w:rPr>
          <w:rFonts w:ascii="Arial" w:hAnsi="Arial" w:cs="Arial"/>
          <w:color w:val="000000" w:themeColor="text1"/>
          <w:lang w:val="en-US"/>
        </w:rPr>
        <w:t xml:space="preserve">, Mayne Pharma, </w:t>
      </w:r>
      <w:proofErr w:type="spellStart"/>
      <w:r w:rsidR="00544FF9" w:rsidRPr="007C6545">
        <w:rPr>
          <w:rFonts w:ascii="Arial" w:hAnsi="Arial" w:cs="Arial"/>
          <w:color w:val="000000" w:themeColor="text1"/>
          <w:lang w:val="en-US"/>
        </w:rPr>
        <w:t>Spero</w:t>
      </w:r>
      <w:proofErr w:type="spellEnd"/>
      <w:r w:rsidR="00544FF9" w:rsidRPr="007C6545">
        <w:rPr>
          <w:rFonts w:ascii="Arial" w:hAnsi="Arial" w:cs="Arial"/>
          <w:color w:val="000000" w:themeColor="text1"/>
          <w:lang w:val="en-US"/>
        </w:rPr>
        <w:t xml:space="preserve"> Therapeutics, </w:t>
      </w:r>
      <w:proofErr w:type="spellStart"/>
      <w:r w:rsidR="00544FF9" w:rsidRPr="007C6545">
        <w:rPr>
          <w:rFonts w:ascii="Arial" w:hAnsi="Arial" w:cs="Arial"/>
          <w:color w:val="000000" w:themeColor="text1"/>
          <w:lang w:val="en-US"/>
        </w:rPr>
        <w:t>Auspherix</w:t>
      </w:r>
      <w:proofErr w:type="spellEnd"/>
      <w:r w:rsidR="00544FF9" w:rsidRPr="007C6545">
        <w:rPr>
          <w:rFonts w:ascii="Arial" w:hAnsi="Arial" w:cs="Arial"/>
          <w:color w:val="000000" w:themeColor="text1"/>
          <w:lang w:val="en-US"/>
        </w:rPr>
        <w:t xml:space="preserve">, </w:t>
      </w:r>
      <w:proofErr w:type="spellStart"/>
      <w:r w:rsidR="00544FF9" w:rsidRPr="007C6545">
        <w:rPr>
          <w:rFonts w:ascii="Arial" w:hAnsi="Arial" w:cs="Arial"/>
          <w:color w:val="000000" w:themeColor="text1"/>
          <w:lang w:val="en-US"/>
        </w:rPr>
        <w:t>Cardeas</w:t>
      </w:r>
      <w:proofErr w:type="spellEnd"/>
      <w:r w:rsidR="00544FF9" w:rsidRPr="007C6545">
        <w:rPr>
          <w:rFonts w:ascii="Arial" w:hAnsi="Arial" w:cs="Arial"/>
          <w:color w:val="000000" w:themeColor="text1"/>
          <w:lang w:val="en-US"/>
        </w:rPr>
        <w:t xml:space="preserve"> and </w:t>
      </w:r>
      <w:proofErr w:type="spellStart"/>
      <w:r w:rsidR="00544FF9" w:rsidRPr="007C6545">
        <w:rPr>
          <w:rFonts w:ascii="Arial" w:hAnsi="Arial" w:cs="Arial"/>
          <w:color w:val="000000" w:themeColor="text1"/>
          <w:lang w:val="en-US"/>
        </w:rPr>
        <w:t>Pulmocide</w:t>
      </w:r>
      <w:proofErr w:type="spellEnd"/>
      <w:r w:rsidR="00544FF9" w:rsidRPr="007C6545">
        <w:rPr>
          <w:rFonts w:ascii="Arial" w:hAnsi="Arial" w:cs="Arial"/>
          <w:color w:val="000000" w:themeColor="text1"/>
          <w:lang w:val="en-US"/>
        </w:rPr>
        <w:t>.</w:t>
      </w:r>
      <w:r w:rsidR="00550BA3" w:rsidRPr="007C6545">
        <w:rPr>
          <w:rFonts w:ascii="Arial" w:hAnsi="Arial" w:cs="Arial"/>
          <w:color w:val="000000" w:themeColor="text1"/>
        </w:rPr>
        <w:t xml:space="preserve"> </w:t>
      </w:r>
    </w:p>
    <w:p w14:paraId="29636C37" w14:textId="77777777" w:rsidR="005F2259" w:rsidRPr="007C6545" w:rsidRDefault="005F2259" w:rsidP="005F2259">
      <w:pPr>
        <w:spacing w:before="100" w:beforeAutospacing="1" w:after="100" w:afterAutospacing="1" w:line="480" w:lineRule="auto"/>
        <w:rPr>
          <w:rFonts w:ascii="Arial" w:hAnsi="Arial" w:cs="Arial"/>
          <w:i/>
          <w:color w:val="000000" w:themeColor="text1"/>
        </w:rPr>
      </w:pPr>
      <w:r w:rsidRPr="007C6545">
        <w:rPr>
          <w:rFonts w:ascii="Arial" w:hAnsi="Arial" w:cs="Arial"/>
          <w:i/>
          <w:color w:val="000000" w:themeColor="text1"/>
        </w:rPr>
        <w:t xml:space="preserve">Author contributions. </w:t>
      </w:r>
      <w:r w:rsidRPr="007C6545">
        <w:rPr>
          <w:rFonts w:ascii="Arial" w:hAnsi="Arial" w:cs="Arial"/>
          <w:color w:val="000000" w:themeColor="text1"/>
        </w:rPr>
        <w:t>The authors co-wrote the article and approved the final version for publication.</w:t>
      </w:r>
    </w:p>
    <w:p w14:paraId="663B4B93" w14:textId="77777777" w:rsidR="00073F0D" w:rsidRPr="007C6545" w:rsidRDefault="00073F0D" w:rsidP="005F2259">
      <w:pPr>
        <w:spacing w:before="100" w:beforeAutospacing="1" w:after="100" w:afterAutospacing="1" w:line="480" w:lineRule="auto"/>
        <w:rPr>
          <w:rFonts w:ascii="Arial" w:hAnsi="Arial" w:cs="Arial"/>
          <w:b/>
          <w:color w:val="000000" w:themeColor="text1"/>
        </w:rPr>
      </w:pPr>
      <w:r w:rsidRPr="007C6545">
        <w:rPr>
          <w:rFonts w:ascii="Arial" w:hAnsi="Arial" w:cs="Arial"/>
          <w:b/>
          <w:color w:val="000000" w:themeColor="text1"/>
        </w:rPr>
        <w:br w:type="page"/>
      </w:r>
    </w:p>
    <w:p w14:paraId="0BCF3F31" w14:textId="77777777" w:rsidR="007470FB" w:rsidRPr="007C6545" w:rsidRDefault="00EB39C5" w:rsidP="005F2259">
      <w:pPr>
        <w:spacing w:after="0" w:line="480" w:lineRule="auto"/>
        <w:rPr>
          <w:rFonts w:ascii="Arial" w:hAnsi="Arial" w:cs="Arial"/>
          <w:b/>
          <w:color w:val="000000" w:themeColor="text1"/>
        </w:rPr>
      </w:pPr>
      <w:r w:rsidRPr="007C6545">
        <w:rPr>
          <w:rFonts w:ascii="Arial" w:hAnsi="Arial" w:cs="Arial"/>
          <w:b/>
          <w:color w:val="000000" w:themeColor="text1"/>
        </w:rPr>
        <w:lastRenderedPageBreak/>
        <w:t>References</w:t>
      </w:r>
    </w:p>
    <w:p w14:paraId="28B7E6C9"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1.</w:t>
      </w:r>
      <w:r w:rsidRPr="007C6545">
        <w:rPr>
          <w:rFonts w:ascii="Arial" w:hAnsi="Arial" w:cs="Arial"/>
          <w:color w:val="000000" w:themeColor="text1"/>
        </w:rPr>
        <w:tab/>
        <w:t xml:space="preserve">Schumacher G. Introduction to therapeutic drug monitoring. In: Schumacher G, ed. Therapeutic Drug Monitoring. </w:t>
      </w:r>
      <w:r w:rsidR="00874CE6" w:rsidRPr="007C6545">
        <w:rPr>
          <w:rFonts w:ascii="Arial" w:hAnsi="Arial" w:cs="Arial"/>
          <w:color w:val="000000" w:themeColor="text1"/>
        </w:rPr>
        <w:t xml:space="preserve">East </w:t>
      </w:r>
      <w:r w:rsidRPr="007C6545">
        <w:rPr>
          <w:rFonts w:ascii="Arial" w:hAnsi="Arial" w:cs="Arial"/>
          <w:color w:val="000000" w:themeColor="text1"/>
        </w:rPr>
        <w:t>Norwalk, CT</w:t>
      </w:r>
      <w:r w:rsidR="00874CE6" w:rsidRPr="007C6545">
        <w:rPr>
          <w:rFonts w:ascii="Arial" w:hAnsi="Arial" w:cs="Arial"/>
          <w:color w:val="000000" w:themeColor="text1"/>
        </w:rPr>
        <w:t>, USA</w:t>
      </w:r>
      <w:r w:rsidRPr="007C6545">
        <w:rPr>
          <w:rFonts w:ascii="Arial" w:hAnsi="Arial" w:cs="Arial"/>
          <w:color w:val="000000" w:themeColor="text1"/>
        </w:rPr>
        <w:t>: Appleton and Lange</w:t>
      </w:r>
      <w:r w:rsidR="00874CE6" w:rsidRPr="007C6545">
        <w:rPr>
          <w:rFonts w:ascii="Arial" w:hAnsi="Arial" w:cs="Arial"/>
          <w:color w:val="000000" w:themeColor="text1"/>
        </w:rPr>
        <w:t>,</w:t>
      </w:r>
      <w:r w:rsidRPr="007C6545">
        <w:rPr>
          <w:rFonts w:ascii="Arial" w:hAnsi="Arial" w:cs="Arial"/>
          <w:color w:val="000000" w:themeColor="text1"/>
        </w:rPr>
        <w:t xml:space="preserve"> 1995</w:t>
      </w:r>
      <w:r w:rsidR="00874CE6" w:rsidRPr="007C6545">
        <w:rPr>
          <w:rFonts w:ascii="Arial" w:hAnsi="Arial" w:cs="Arial"/>
          <w:color w:val="000000" w:themeColor="text1"/>
        </w:rPr>
        <w:t xml:space="preserve">; </w:t>
      </w:r>
      <w:r w:rsidRPr="007C6545">
        <w:rPr>
          <w:rFonts w:ascii="Arial" w:hAnsi="Arial" w:cs="Arial"/>
          <w:color w:val="000000" w:themeColor="text1"/>
        </w:rPr>
        <w:t>1-17.</w:t>
      </w:r>
    </w:p>
    <w:p w14:paraId="321D7866"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Pr="007C6545">
        <w:rPr>
          <w:rFonts w:ascii="Arial" w:hAnsi="Arial" w:cs="Arial"/>
          <w:color w:val="000000" w:themeColor="text1"/>
        </w:rPr>
        <w:tab/>
        <w:t xml:space="preserve">Lewis RE. Antifungal therapeutic drug monitoring. </w:t>
      </w:r>
      <w:r w:rsidR="00EB39C5" w:rsidRPr="007C6545">
        <w:rPr>
          <w:rFonts w:ascii="Arial" w:hAnsi="Arial" w:cs="Arial"/>
          <w:i/>
          <w:color w:val="000000" w:themeColor="text1"/>
        </w:rPr>
        <w:t>Curr Fungal Infect Rep</w:t>
      </w:r>
      <w:r w:rsidRPr="007C6545">
        <w:rPr>
          <w:rFonts w:ascii="Arial" w:hAnsi="Arial" w:cs="Arial"/>
          <w:color w:val="000000" w:themeColor="text1"/>
        </w:rPr>
        <w:t xml:space="preserve"> 2010;</w:t>
      </w:r>
      <w:r w:rsidR="00306BCD" w:rsidRPr="007C6545">
        <w:rPr>
          <w:rFonts w:ascii="Arial" w:hAnsi="Arial" w:cs="Arial"/>
          <w:color w:val="000000" w:themeColor="text1"/>
        </w:rPr>
        <w:t xml:space="preserve"> </w:t>
      </w:r>
      <w:r w:rsidR="00EB39C5" w:rsidRPr="007C6545">
        <w:rPr>
          <w:rFonts w:ascii="Arial" w:hAnsi="Arial" w:cs="Arial"/>
          <w:b/>
          <w:color w:val="000000" w:themeColor="text1"/>
        </w:rPr>
        <w:t>4</w:t>
      </w:r>
      <w:r w:rsidRPr="007C6545">
        <w:rPr>
          <w:rFonts w:ascii="Arial" w:hAnsi="Arial" w:cs="Arial"/>
          <w:color w:val="000000" w:themeColor="text1"/>
        </w:rPr>
        <w:t>:</w:t>
      </w:r>
      <w:r w:rsidR="00306BCD" w:rsidRPr="007C6545">
        <w:rPr>
          <w:rFonts w:ascii="Arial" w:hAnsi="Arial" w:cs="Arial"/>
          <w:color w:val="000000" w:themeColor="text1"/>
        </w:rPr>
        <w:t xml:space="preserve"> </w:t>
      </w:r>
      <w:r w:rsidRPr="007C6545">
        <w:rPr>
          <w:rFonts w:ascii="Arial" w:hAnsi="Arial" w:cs="Arial"/>
          <w:color w:val="000000" w:themeColor="text1"/>
        </w:rPr>
        <w:t>158</w:t>
      </w:r>
      <w:r w:rsidR="00306BCD" w:rsidRPr="007C6545">
        <w:rPr>
          <w:rFonts w:ascii="Arial" w:hAnsi="Arial" w:cs="Arial"/>
          <w:color w:val="000000" w:themeColor="text1"/>
        </w:rPr>
        <w:t>–</w:t>
      </w:r>
      <w:r w:rsidRPr="007C6545">
        <w:rPr>
          <w:rFonts w:ascii="Arial" w:hAnsi="Arial" w:cs="Arial"/>
          <w:color w:val="000000" w:themeColor="text1"/>
        </w:rPr>
        <w:t>67.</w:t>
      </w:r>
    </w:p>
    <w:p w14:paraId="2FA0B08E"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Pr="007C6545">
        <w:rPr>
          <w:rFonts w:ascii="Arial" w:hAnsi="Arial" w:cs="Arial"/>
          <w:color w:val="000000" w:themeColor="text1"/>
        </w:rPr>
        <w:tab/>
        <w:t>Joint_Formulary_Committee. British National Formulary (online) London: BMJ Group and Pharmaceutical Press; 2016</w:t>
      </w:r>
      <w:r w:rsidR="00A8139E" w:rsidRPr="007C6545">
        <w:rPr>
          <w:rFonts w:ascii="Arial" w:hAnsi="Arial" w:cs="Arial"/>
          <w:color w:val="000000" w:themeColor="text1"/>
        </w:rPr>
        <w:t>. Available at https://www.bnf.org/products/bnf-online/</w:t>
      </w:r>
    </w:p>
    <w:p w14:paraId="42A206B6" w14:textId="77777777" w:rsidR="00EB39C5" w:rsidRPr="007C6545" w:rsidRDefault="004F1C74"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rPr>
        <w:t>4.</w:t>
      </w:r>
      <w:r w:rsidRPr="007C6545">
        <w:rPr>
          <w:rFonts w:ascii="Arial" w:hAnsi="Arial" w:cs="Arial"/>
          <w:color w:val="000000" w:themeColor="text1"/>
        </w:rPr>
        <w:tab/>
        <w:t xml:space="preserve">McLachlan AJ, Tett SE. Pharmacokinetics of fluconazole in people with HIV infection: a population analysis. </w:t>
      </w:r>
      <w:r w:rsidR="000E16BA" w:rsidRPr="007C6545">
        <w:rPr>
          <w:rFonts w:ascii="Arial" w:hAnsi="Arial" w:cs="Arial"/>
          <w:i/>
          <w:color w:val="000000" w:themeColor="text1"/>
          <w:lang w:val="fr-FR"/>
        </w:rPr>
        <w:t>Br J Clin Pharmacol</w:t>
      </w:r>
      <w:r w:rsidR="000E16BA" w:rsidRPr="007C6545">
        <w:rPr>
          <w:rFonts w:ascii="Arial" w:hAnsi="Arial" w:cs="Arial"/>
          <w:color w:val="000000" w:themeColor="text1"/>
          <w:lang w:val="fr-FR"/>
        </w:rPr>
        <w:t xml:space="preserve"> 1996; </w:t>
      </w:r>
      <w:r w:rsidR="000E16BA" w:rsidRPr="007C6545">
        <w:rPr>
          <w:rFonts w:ascii="Arial" w:hAnsi="Arial" w:cs="Arial"/>
          <w:b/>
          <w:color w:val="000000" w:themeColor="text1"/>
          <w:lang w:val="fr-FR"/>
        </w:rPr>
        <w:t>41</w:t>
      </w:r>
      <w:r w:rsidR="000E16BA" w:rsidRPr="007C6545">
        <w:rPr>
          <w:rFonts w:ascii="Arial" w:hAnsi="Arial" w:cs="Arial"/>
          <w:color w:val="000000" w:themeColor="text1"/>
          <w:lang w:val="fr-FR"/>
        </w:rPr>
        <w:t>: 291–8.</w:t>
      </w:r>
    </w:p>
    <w:p w14:paraId="5CE846C3"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fr-FR"/>
        </w:rPr>
        <w:t>5.</w:t>
      </w:r>
      <w:r w:rsidRPr="007C6545">
        <w:rPr>
          <w:rFonts w:ascii="Arial" w:hAnsi="Arial" w:cs="Arial"/>
          <w:color w:val="000000" w:themeColor="text1"/>
          <w:lang w:val="fr-FR"/>
        </w:rPr>
        <w:tab/>
        <w:t>Anaissie EJ, Kontoyiannis DP, Huls C</w:t>
      </w:r>
      <w:r w:rsidR="00AF6197" w:rsidRPr="007C6545">
        <w:rPr>
          <w:rFonts w:ascii="Arial" w:hAnsi="Arial" w:cs="Arial"/>
          <w:i/>
          <w:color w:val="000000" w:themeColor="text1"/>
          <w:lang w:val="fr-FR"/>
        </w:rPr>
        <w:t xml:space="preserve"> et al</w:t>
      </w:r>
      <w:r w:rsidRPr="007C6545">
        <w:rPr>
          <w:rFonts w:ascii="Arial" w:hAnsi="Arial" w:cs="Arial"/>
          <w:color w:val="000000" w:themeColor="text1"/>
          <w:lang w:val="fr-FR"/>
        </w:rPr>
        <w:t xml:space="preserve">. </w:t>
      </w:r>
      <w:r w:rsidR="004F1C74" w:rsidRPr="007C6545">
        <w:rPr>
          <w:rFonts w:ascii="Arial" w:hAnsi="Arial" w:cs="Arial"/>
          <w:color w:val="000000" w:themeColor="text1"/>
        </w:rPr>
        <w:t xml:space="preserve">Safety, plasma concentrations, and efficacy of high-dose fluconazole in invasive mold infections. </w:t>
      </w:r>
      <w:r w:rsidR="00EB39C5" w:rsidRPr="007C6545">
        <w:rPr>
          <w:rFonts w:ascii="Arial" w:hAnsi="Arial" w:cs="Arial"/>
          <w:i/>
          <w:color w:val="000000" w:themeColor="text1"/>
        </w:rPr>
        <w:t>J Infect Dis</w:t>
      </w:r>
      <w:r w:rsidR="004F1C74" w:rsidRPr="007C6545">
        <w:rPr>
          <w:rFonts w:ascii="Arial" w:hAnsi="Arial" w:cs="Arial"/>
          <w:color w:val="000000" w:themeColor="text1"/>
        </w:rPr>
        <w:t xml:space="preserve"> 1995;</w:t>
      </w:r>
      <w:r w:rsidR="006269EF" w:rsidRPr="007C6545">
        <w:rPr>
          <w:rFonts w:ascii="Arial" w:hAnsi="Arial" w:cs="Arial"/>
          <w:color w:val="000000" w:themeColor="text1"/>
        </w:rPr>
        <w:t xml:space="preserve"> </w:t>
      </w:r>
      <w:r w:rsidR="00EB39C5" w:rsidRPr="007C6545">
        <w:rPr>
          <w:rFonts w:ascii="Arial" w:hAnsi="Arial" w:cs="Arial"/>
          <w:b/>
          <w:color w:val="000000" w:themeColor="text1"/>
        </w:rPr>
        <w:t>172</w:t>
      </w:r>
      <w:r w:rsidR="004F1C74" w:rsidRPr="007C6545">
        <w:rPr>
          <w:rFonts w:ascii="Arial" w:hAnsi="Arial" w:cs="Arial"/>
          <w:color w:val="000000" w:themeColor="text1"/>
        </w:rPr>
        <w:t>:</w:t>
      </w:r>
      <w:r w:rsidR="006269EF" w:rsidRPr="007C6545">
        <w:rPr>
          <w:rFonts w:ascii="Arial" w:hAnsi="Arial" w:cs="Arial"/>
          <w:color w:val="000000" w:themeColor="text1"/>
        </w:rPr>
        <w:t xml:space="preserve"> </w:t>
      </w:r>
      <w:r w:rsidR="004F1C74" w:rsidRPr="007C6545">
        <w:rPr>
          <w:rFonts w:ascii="Arial" w:hAnsi="Arial" w:cs="Arial"/>
          <w:color w:val="000000" w:themeColor="text1"/>
        </w:rPr>
        <w:t>599</w:t>
      </w:r>
      <w:r w:rsidR="006269EF" w:rsidRPr="007C6545">
        <w:rPr>
          <w:rFonts w:ascii="Arial" w:hAnsi="Arial" w:cs="Arial"/>
          <w:color w:val="000000" w:themeColor="text1"/>
        </w:rPr>
        <w:t>–</w:t>
      </w:r>
      <w:r w:rsidR="004F1C74" w:rsidRPr="007C6545">
        <w:rPr>
          <w:rFonts w:ascii="Arial" w:hAnsi="Arial" w:cs="Arial"/>
          <w:color w:val="000000" w:themeColor="text1"/>
        </w:rPr>
        <w:t>602.</w:t>
      </w:r>
    </w:p>
    <w:p w14:paraId="55EF8E17"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Pr="007C6545">
        <w:rPr>
          <w:rFonts w:ascii="Arial" w:hAnsi="Arial" w:cs="Arial"/>
          <w:color w:val="000000" w:themeColor="text1"/>
        </w:rPr>
        <w:tab/>
        <w:t xml:space="preserve">Andes D, van Ogtrop M. Characterization and quantitation of the pharmacodynamics of fluconazole in a neutropenic murine disseminated candidiasis infection model.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1999;</w:t>
      </w:r>
      <w:r w:rsidR="006269EF" w:rsidRPr="007C6545">
        <w:rPr>
          <w:rFonts w:ascii="Arial" w:hAnsi="Arial" w:cs="Arial"/>
          <w:color w:val="000000" w:themeColor="text1"/>
        </w:rPr>
        <w:t xml:space="preserve"> </w:t>
      </w:r>
      <w:r w:rsidR="00EB39C5" w:rsidRPr="007C6545">
        <w:rPr>
          <w:rFonts w:ascii="Arial" w:hAnsi="Arial" w:cs="Arial"/>
          <w:b/>
          <w:color w:val="000000" w:themeColor="text1"/>
        </w:rPr>
        <w:t>43</w:t>
      </w:r>
      <w:r w:rsidRPr="007C6545">
        <w:rPr>
          <w:rFonts w:ascii="Arial" w:hAnsi="Arial" w:cs="Arial"/>
          <w:color w:val="000000" w:themeColor="text1"/>
        </w:rPr>
        <w:t>:</w:t>
      </w:r>
      <w:r w:rsidR="006269EF" w:rsidRPr="007C6545">
        <w:rPr>
          <w:rFonts w:ascii="Arial" w:hAnsi="Arial" w:cs="Arial"/>
          <w:color w:val="000000" w:themeColor="text1"/>
        </w:rPr>
        <w:t xml:space="preserve"> </w:t>
      </w:r>
      <w:r w:rsidRPr="007C6545">
        <w:rPr>
          <w:rFonts w:ascii="Arial" w:hAnsi="Arial" w:cs="Arial"/>
          <w:color w:val="000000" w:themeColor="text1"/>
        </w:rPr>
        <w:t>2116</w:t>
      </w:r>
      <w:r w:rsidR="006269EF" w:rsidRPr="007C6545">
        <w:rPr>
          <w:rFonts w:ascii="Arial" w:hAnsi="Arial" w:cs="Arial"/>
          <w:color w:val="000000" w:themeColor="text1"/>
        </w:rPr>
        <w:t>–</w:t>
      </w:r>
      <w:r w:rsidRPr="007C6545">
        <w:rPr>
          <w:rFonts w:ascii="Arial" w:hAnsi="Arial" w:cs="Arial"/>
          <w:color w:val="000000" w:themeColor="text1"/>
        </w:rPr>
        <w:t>20.</w:t>
      </w:r>
    </w:p>
    <w:p w14:paraId="622AEDBB"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Pr="007C6545">
        <w:rPr>
          <w:rFonts w:ascii="Arial" w:hAnsi="Arial" w:cs="Arial"/>
          <w:color w:val="000000" w:themeColor="text1"/>
        </w:rPr>
        <w:tab/>
        <w:t xml:space="preserve">Clancy CJ, Yu VL, Morris AJ, Snydman DR, Nguyen MH. Fluconazole MIC and the </w:t>
      </w:r>
      <w:r w:rsidR="00640FDC" w:rsidRPr="007C6545">
        <w:rPr>
          <w:rFonts w:ascii="Arial" w:hAnsi="Arial" w:cs="Arial"/>
          <w:color w:val="000000" w:themeColor="text1"/>
        </w:rPr>
        <w:t>fluconazole dose/mic ratio correlate with therapeutic response among patients with candidemia</w:t>
      </w:r>
      <w:r w:rsidRPr="007C6545">
        <w:rPr>
          <w:rFonts w:ascii="Arial" w:hAnsi="Arial" w:cs="Arial"/>
          <w:color w:val="000000" w:themeColor="text1"/>
        </w:rPr>
        <w:t xml:space="preserve">. </w:t>
      </w:r>
      <w:r w:rsidR="00EB39C5" w:rsidRPr="007C6545">
        <w:rPr>
          <w:rFonts w:ascii="Arial" w:hAnsi="Arial" w:cs="Arial"/>
          <w:i/>
          <w:color w:val="000000" w:themeColor="text1"/>
        </w:rPr>
        <w:t>Antimicrob Agents Chemoth</w:t>
      </w:r>
      <w:r w:rsidR="00640FDC" w:rsidRPr="007C6545">
        <w:rPr>
          <w:rFonts w:ascii="Arial" w:hAnsi="Arial" w:cs="Arial"/>
          <w:color w:val="000000" w:themeColor="text1"/>
        </w:rPr>
        <w:t xml:space="preserve"> </w:t>
      </w:r>
      <w:r w:rsidRPr="007C6545">
        <w:rPr>
          <w:rFonts w:ascii="Arial" w:hAnsi="Arial" w:cs="Arial"/>
          <w:color w:val="000000" w:themeColor="text1"/>
        </w:rPr>
        <w:t>2005;</w:t>
      </w:r>
      <w:r w:rsidR="00640FDC" w:rsidRPr="007C6545">
        <w:rPr>
          <w:rFonts w:ascii="Arial" w:hAnsi="Arial" w:cs="Arial"/>
          <w:color w:val="000000" w:themeColor="text1"/>
        </w:rPr>
        <w:t xml:space="preserve"> </w:t>
      </w:r>
      <w:r w:rsidR="00EB39C5" w:rsidRPr="007C6545">
        <w:rPr>
          <w:rFonts w:ascii="Arial" w:hAnsi="Arial" w:cs="Arial"/>
          <w:b/>
          <w:color w:val="000000" w:themeColor="text1"/>
        </w:rPr>
        <w:t>49</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3171</w:t>
      </w:r>
      <w:r w:rsidR="00640FDC" w:rsidRPr="007C6545">
        <w:rPr>
          <w:rFonts w:ascii="Arial" w:hAnsi="Arial" w:cs="Arial"/>
          <w:color w:val="000000" w:themeColor="text1"/>
        </w:rPr>
        <w:t>–</w:t>
      </w:r>
      <w:r w:rsidRPr="007C6545">
        <w:rPr>
          <w:rFonts w:ascii="Arial" w:hAnsi="Arial" w:cs="Arial"/>
          <w:color w:val="000000" w:themeColor="text1"/>
        </w:rPr>
        <w:t>7.</w:t>
      </w:r>
    </w:p>
    <w:p w14:paraId="23EF15EC"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8.</w:t>
      </w:r>
      <w:r w:rsidRPr="007C6545">
        <w:rPr>
          <w:rFonts w:ascii="Arial" w:hAnsi="Arial" w:cs="Arial"/>
          <w:color w:val="000000" w:themeColor="text1"/>
        </w:rPr>
        <w:tab/>
      </w:r>
      <w:r w:rsidR="00AF6197" w:rsidRPr="007C6545">
        <w:rPr>
          <w:rFonts w:ascii="Arial" w:hAnsi="Arial" w:cs="Arial"/>
          <w:color w:val="000000" w:themeColor="text1"/>
        </w:rPr>
        <w:t>EUCAST. Fluconazole: Rationale for the clinical breakpoints. Version 2.0. 2013</w:t>
      </w:r>
      <w:r w:rsidRPr="007C6545">
        <w:rPr>
          <w:rFonts w:ascii="Arial" w:hAnsi="Arial" w:cs="Arial"/>
          <w:color w:val="000000" w:themeColor="text1"/>
        </w:rPr>
        <w:t xml:space="preserve"> Available</w:t>
      </w:r>
      <w:r w:rsidR="006B5150" w:rsidRPr="007C6545">
        <w:rPr>
          <w:rFonts w:ascii="Arial" w:hAnsi="Arial" w:cs="Arial"/>
          <w:color w:val="000000" w:themeColor="text1"/>
        </w:rPr>
        <w:t xml:space="preserve"> at: http://www.eucast.org/fileadmin/src/media/PDFs/EUCAST_files/Rationale_documents/Fluconazole_rationale_2_0_20130223.pdf</w:t>
      </w:r>
    </w:p>
    <w:p w14:paraId="2628C34C"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9.</w:t>
      </w:r>
      <w:r w:rsidRPr="007C6545">
        <w:rPr>
          <w:rFonts w:ascii="Arial" w:hAnsi="Arial" w:cs="Arial"/>
          <w:color w:val="000000" w:themeColor="text1"/>
        </w:rPr>
        <w:tab/>
        <w:t>Sudan A, Livermore J, Howard SJ</w:t>
      </w:r>
      <w:r w:rsidR="00AF6197" w:rsidRPr="007C6545">
        <w:rPr>
          <w:rFonts w:ascii="Arial" w:hAnsi="Arial" w:cs="Arial"/>
          <w:i/>
          <w:color w:val="000000" w:themeColor="text1"/>
        </w:rPr>
        <w:t xml:space="preserve"> et al</w:t>
      </w:r>
      <w:r w:rsidRPr="007C6545">
        <w:rPr>
          <w:rFonts w:ascii="Arial" w:hAnsi="Arial" w:cs="Arial"/>
          <w:color w:val="000000" w:themeColor="text1"/>
        </w:rPr>
        <w:t xml:space="preserve">. Pharmacokinetics and pharmacodynamics of fluconazole for cryptococcal meningoencephalitis: implications for antifungal therapy and in vitro susceptibility breakpoints.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2013;</w:t>
      </w:r>
      <w:r w:rsidR="00640FDC" w:rsidRPr="007C6545">
        <w:rPr>
          <w:rFonts w:ascii="Arial" w:hAnsi="Arial" w:cs="Arial"/>
          <w:color w:val="000000" w:themeColor="text1"/>
        </w:rPr>
        <w:t xml:space="preserve"> </w:t>
      </w:r>
      <w:r w:rsidR="00EB39C5" w:rsidRPr="007C6545">
        <w:rPr>
          <w:rFonts w:ascii="Arial" w:hAnsi="Arial" w:cs="Arial"/>
          <w:b/>
          <w:color w:val="000000" w:themeColor="text1"/>
        </w:rPr>
        <w:t>57</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2793</w:t>
      </w:r>
      <w:r w:rsidR="00640FDC" w:rsidRPr="007C6545">
        <w:rPr>
          <w:rFonts w:ascii="Arial" w:hAnsi="Arial" w:cs="Arial"/>
          <w:color w:val="000000" w:themeColor="text1"/>
        </w:rPr>
        <w:t>–</w:t>
      </w:r>
      <w:r w:rsidRPr="007C6545">
        <w:rPr>
          <w:rFonts w:ascii="Arial" w:hAnsi="Arial" w:cs="Arial"/>
          <w:color w:val="000000" w:themeColor="text1"/>
        </w:rPr>
        <w:t>800.</w:t>
      </w:r>
    </w:p>
    <w:p w14:paraId="04D8F5CF" w14:textId="77777777" w:rsidR="00EB39C5" w:rsidRPr="007C6545" w:rsidRDefault="004F1C74" w:rsidP="005F2259">
      <w:pPr>
        <w:pStyle w:val="EndNoteBibliography"/>
        <w:spacing w:after="0" w:line="480" w:lineRule="auto"/>
        <w:rPr>
          <w:rFonts w:ascii="Arial" w:hAnsi="Arial" w:cs="Arial"/>
          <w:color w:val="000000" w:themeColor="text1"/>
          <w:lang w:val="da-DK"/>
        </w:rPr>
      </w:pPr>
      <w:r w:rsidRPr="007C6545">
        <w:rPr>
          <w:rFonts w:ascii="Arial" w:hAnsi="Arial" w:cs="Arial"/>
          <w:color w:val="000000" w:themeColor="text1"/>
        </w:rPr>
        <w:t>1</w:t>
      </w:r>
      <w:r w:rsidR="00BB71BC" w:rsidRPr="007C6545">
        <w:rPr>
          <w:rFonts w:ascii="Arial" w:hAnsi="Arial" w:cs="Arial"/>
          <w:color w:val="000000" w:themeColor="text1"/>
        </w:rPr>
        <w:t>0</w:t>
      </w:r>
      <w:r w:rsidRPr="007C6545">
        <w:rPr>
          <w:rFonts w:ascii="Arial" w:hAnsi="Arial" w:cs="Arial"/>
          <w:color w:val="000000" w:themeColor="text1"/>
        </w:rPr>
        <w:t>.</w:t>
      </w:r>
      <w:r w:rsidRPr="007C6545">
        <w:rPr>
          <w:rFonts w:ascii="Arial" w:hAnsi="Arial" w:cs="Arial"/>
          <w:color w:val="000000" w:themeColor="text1"/>
        </w:rPr>
        <w:tab/>
        <w:t xml:space="preserve">Lestner J, Hope WW. Itraconazole: an update on pharmacology and clinical use for treatment of invasive and allergic fungal infections. </w:t>
      </w:r>
      <w:r w:rsidR="000E16BA" w:rsidRPr="007C6545">
        <w:rPr>
          <w:rFonts w:ascii="Arial" w:hAnsi="Arial" w:cs="Arial"/>
          <w:i/>
          <w:color w:val="000000" w:themeColor="text1"/>
          <w:lang w:val="da-DK"/>
        </w:rPr>
        <w:t>Expert Opin Drug Metab Toxicol</w:t>
      </w:r>
      <w:r w:rsidR="000E16BA" w:rsidRPr="007C6545">
        <w:rPr>
          <w:rFonts w:ascii="Arial" w:hAnsi="Arial" w:cs="Arial"/>
          <w:color w:val="000000" w:themeColor="text1"/>
          <w:lang w:val="da-DK"/>
        </w:rPr>
        <w:t xml:space="preserve"> 2013; </w:t>
      </w:r>
      <w:r w:rsidR="000E16BA" w:rsidRPr="007C6545">
        <w:rPr>
          <w:rFonts w:ascii="Arial" w:hAnsi="Arial" w:cs="Arial"/>
          <w:b/>
          <w:color w:val="000000" w:themeColor="text1"/>
          <w:lang w:val="da-DK"/>
        </w:rPr>
        <w:t>9</w:t>
      </w:r>
      <w:r w:rsidR="000E16BA" w:rsidRPr="007C6545">
        <w:rPr>
          <w:rFonts w:ascii="Arial" w:hAnsi="Arial" w:cs="Arial"/>
          <w:color w:val="000000" w:themeColor="text1"/>
          <w:lang w:val="da-DK"/>
        </w:rPr>
        <w:t>: 911–26.</w:t>
      </w:r>
    </w:p>
    <w:p w14:paraId="125AA659"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da-DK"/>
        </w:rPr>
        <w:lastRenderedPageBreak/>
        <w:t>1</w:t>
      </w:r>
      <w:r w:rsidR="00BB71BC" w:rsidRPr="007C6545">
        <w:rPr>
          <w:rFonts w:ascii="Arial" w:hAnsi="Arial" w:cs="Arial"/>
          <w:color w:val="000000" w:themeColor="text1"/>
          <w:lang w:val="da-DK"/>
        </w:rPr>
        <w:t>1</w:t>
      </w:r>
      <w:r w:rsidRPr="007C6545">
        <w:rPr>
          <w:rFonts w:ascii="Arial" w:hAnsi="Arial" w:cs="Arial"/>
          <w:color w:val="000000" w:themeColor="text1"/>
          <w:lang w:val="da-DK"/>
        </w:rPr>
        <w:t>.</w:t>
      </w:r>
      <w:r w:rsidRPr="007C6545">
        <w:rPr>
          <w:rFonts w:ascii="Arial" w:hAnsi="Arial" w:cs="Arial"/>
          <w:color w:val="000000" w:themeColor="text1"/>
          <w:lang w:val="da-DK"/>
        </w:rPr>
        <w:tab/>
        <w:t>Van de Velde VJ, Van Peer AP, Heykants JJ</w:t>
      </w:r>
      <w:r w:rsidR="00AF6197" w:rsidRPr="007C6545">
        <w:rPr>
          <w:rFonts w:ascii="Arial" w:hAnsi="Arial" w:cs="Arial"/>
          <w:i/>
          <w:color w:val="000000" w:themeColor="text1"/>
          <w:lang w:val="da-DK"/>
        </w:rPr>
        <w:t xml:space="preserve"> et al</w:t>
      </w:r>
      <w:r w:rsidRPr="007C6545">
        <w:rPr>
          <w:rFonts w:ascii="Arial" w:hAnsi="Arial" w:cs="Arial"/>
          <w:color w:val="000000" w:themeColor="text1"/>
          <w:lang w:val="da-DK"/>
        </w:rPr>
        <w:t xml:space="preserve">. </w:t>
      </w:r>
      <w:r w:rsidR="004F1C74" w:rsidRPr="007C6545">
        <w:rPr>
          <w:rFonts w:ascii="Arial" w:hAnsi="Arial" w:cs="Arial"/>
          <w:color w:val="000000" w:themeColor="text1"/>
        </w:rPr>
        <w:t xml:space="preserve">Effect of food on the pharmacokinetics of a new hydroxypropyl-beta-cyclodextrin formulation of itraconazole. </w:t>
      </w:r>
      <w:r w:rsidR="00EB39C5" w:rsidRPr="007C6545">
        <w:rPr>
          <w:rFonts w:ascii="Arial" w:hAnsi="Arial" w:cs="Arial"/>
          <w:i/>
          <w:color w:val="000000" w:themeColor="text1"/>
        </w:rPr>
        <w:t>Pharmacotherapy</w:t>
      </w:r>
      <w:r w:rsidR="004F1C74" w:rsidRPr="007C6545">
        <w:rPr>
          <w:rFonts w:ascii="Arial" w:hAnsi="Arial" w:cs="Arial"/>
          <w:color w:val="000000" w:themeColor="text1"/>
        </w:rPr>
        <w:t xml:space="preserve"> 1996;</w:t>
      </w:r>
      <w:r w:rsidR="00640FDC" w:rsidRPr="007C6545">
        <w:rPr>
          <w:rFonts w:ascii="Arial" w:hAnsi="Arial" w:cs="Arial"/>
          <w:color w:val="000000" w:themeColor="text1"/>
        </w:rPr>
        <w:t xml:space="preserve"> </w:t>
      </w:r>
      <w:r w:rsidR="00EB39C5" w:rsidRPr="007C6545">
        <w:rPr>
          <w:rFonts w:ascii="Arial" w:hAnsi="Arial" w:cs="Arial"/>
          <w:b/>
          <w:color w:val="000000" w:themeColor="text1"/>
        </w:rPr>
        <w:t>16</w:t>
      </w:r>
      <w:r w:rsidR="004F1C74" w:rsidRPr="007C6545">
        <w:rPr>
          <w:rFonts w:ascii="Arial" w:hAnsi="Arial" w:cs="Arial"/>
          <w:color w:val="000000" w:themeColor="text1"/>
        </w:rPr>
        <w:t>:</w:t>
      </w:r>
      <w:r w:rsidR="00640FDC" w:rsidRPr="007C6545">
        <w:rPr>
          <w:rFonts w:ascii="Arial" w:hAnsi="Arial" w:cs="Arial"/>
          <w:color w:val="000000" w:themeColor="text1"/>
        </w:rPr>
        <w:t xml:space="preserve"> </w:t>
      </w:r>
      <w:r w:rsidR="004F1C74" w:rsidRPr="007C6545">
        <w:rPr>
          <w:rFonts w:ascii="Arial" w:hAnsi="Arial" w:cs="Arial"/>
          <w:color w:val="000000" w:themeColor="text1"/>
        </w:rPr>
        <w:t>424</w:t>
      </w:r>
      <w:r w:rsidR="00640FDC" w:rsidRPr="007C6545">
        <w:rPr>
          <w:rFonts w:ascii="Arial" w:hAnsi="Arial" w:cs="Arial"/>
          <w:color w:val="000000" w:themeColor="text1"/>
        </w:rPr>
        <w:t>–</w:t>
      </w:r>
      <w:r w:rsidR="004F1C74" w:rsidRPr="007C6545">
        <w:rPr>
          <w:rFonts w:ascii="Arial" w:hAnsi="Arial" w:cs="Arial"/>
          <w:color w:val="000000" w:themeColor="text1"/>
        </w:rPr>
        <w:t>8.</w:t>
      </w:r>
    </w:p>
    <w:p w14:paraId="3AAC54E3"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1</w:t>
      </w:r>
      <w:r w:rsidR="00BB71BC" w:rsidRPr="007C6545">
        <w:rPr>
          <w:rFonts w:ascii="Arial" w:hAnsi="Arial" w:cs="Arial"/>
          <w:color w:val="000000" w:themeColor="text1"/>
        </w:rPr>
        <w:t>2</w:t>
      </w:r>
      <w:r w:rsidRPr="007C6545">
        <w:rPr>
          <w:rFonts w:ascii="Arial" w:hAnsi="Arial" w:cs="Arial"/>
          <w:color w:val="000000" w:themeColor="text1"/>
        </w:rPr>
        <w:t>.</w:t>
      </w:r>
      <w:r w:rsidRPr="007C6545">
        <w:rPr>
          <w:rFonts w:ascii="Arial" w:hAnsi="Arial" w:cs="Arial"/>
          <w:color w:val="000000" w:themeColor="text1"/>
        </w:rPr>
        <w:tab/>
        <w:t>Abuhelwa AY, Mudge S, Hayes D</w:t>
      </w:r>
      <w:r w:rsidR="00AF6197" w:rsidRPr="007C6545">
        <w:rPr>
          <w:rFonts w:ascii="Arial" w:hAnsi="Arial" w:cs="Arial"/>
          <w:i/>
          <w:color w:val="000000" w:themeColor="text1"/>
        </w:rPr>
        <w:t xml:space="preserve"> et al</w:t>
      </w:r>
      <w:r w:rsidRPr="007C6545">
        <w:rPr>
          <w:rFonts w:ascii="Arial" w:hAnsi="Arial" w:cs="Arial"/>
          <w:color w:val="000000" w:themeColor="text1"/>
        </w:rPr>
        <w:t xml:space="preserve">. </w:t>
      </w:r>
      <w:r w:rsidR="00640FDC" w:rsidRPr="007C6545">
        <w:rPr>
          <w:rFonts w:ascii="Arial" w:hAnsi="Arial" w:cs="Arial"/>
          <w:color w:val="000000" w:themeColor="text1"/>
        </w:rPr>
        <w:t>Population in vitro-in vivo correlation model linking gastrointestinal transit time, pH, and pharmacokinetics: itraconazole as a model drug</w:t>
      </w:r>
      <w:r w:rsidRPr="007C6545">
        <w:rPr>
          <w:rFonts w:ascii="Arial" w:hAnsi="Arial" w:cs="Arial"/>
          <w:color w:val="000000" w:themeColor="text1"/>
        </w:rPr>
        <w:t xml:space="preserve">. </w:t>
      </w:r>
      <w:r w:rsidR="00EB39C5" w:rsidRPr="007C6545">
        <w:rPr>
          <w:rFonts w:ascii="Arial" w:hAnsi="Arial" w:cs="Arial"/>
          <w:i/>
          <w:color w:val="000000" w:themeColor="text1"/>
        </w:rPr>
        <w:t>Pharm Res</w:t>
      </w:r>
      <w:r w:rsidRPr="007C6545">
        <w:rPr>
          <w:rFonts w:ascii="Arial" w:hAnsi="Arial" w:cs="Arial"/>
          <w:color w:val="000000" w:themeColor="text1"/>
        </w:rPr>
        <w:t xml:space="preserve"> 2016</w:t>
      </w:r>
      <w:r w:rsidR="00640FDC" w:rsidRPr="007C6545">
        <w:rPr>
          <w:rFonts w:ascii="Arial" w:hAnsi="Arial" w:cs="Arial"/>
          <w:color w:val="000000" w:themeColor="text1"/>
        </w:rPr>
        <w:t xml:space="preserve">; </w:t>
      </w:r>
      <w:r w:rsidR="00EB39C5" w:rsidRPr="007C6545">
        <w:rPr>
          <w:rFonts w:ascii="Arial" w:hAnsi="Arial" w:cs="Arial"/>
          <w:b/>
          <w:color w:val="000000" w:themeColor="text1"/>
        </w:rPr>
        <w:t>33</w:t>
      </w:r>
      <w:r w:rsidR="00640FDC" w:rsidRPr="007C6545">
        <w:rPr>
          <w:rFonts w:ascii="Arial" w:hAnsi="Arial" w:cs="Arial"/>
          <w:color w:val="000000" w:themeColor="text1"/>
        </w:rPr>
        <w:t>: 1782–94</w:t>
      </w:r>
      <w:r w:rsidRPr="007C6545">
        <w:rPr>
          <w:rFonts w:ascii="Arial" w:hAnsi="Arial" w:cs="Arial"/>
          <w:color w:val="000000" w:themeColor="text1"/>
        </w:rPr>
        <w:t>.</w:t>
      </w:r>
    </w:p>
    <w:p w14:paraId="004156EB"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1</w:t>
      </w:r>
      <w:r w:rsidR="00BB71BC" w:rsidRPr="007C6545">
        <w:rPr>
          <w:rFonts w:ascii="Arial" w:hAnsi="Arial" w:cs="Arial"/>
          <w:color w:val="000000" w:themeColor="text1"/>
        </w:rPr>
        <w:t>3</w:t>
      </w:r>
      <w:r w:rsidRPr="007C6545">
        <w:rPr>
          <w:rFonts w:ascii="Arial" w:hAnsi="Arial" w:cs="Arial"/>
          <w:color w:val="000000" w:themeColor="text1"/>
        </w:rPr>
        <w:t>.</w:t>
      </w:r>
      <w:r w:rsidRPr="007C6545">
        <w:rPr>
          <w:rFonts w:ascii="Arial" w:hAnsi="Arial" w:cs="Arial"/>
          <w:color w:val="000000" w:themeColor="text1"/>
        </w:rPr>
        <w:tab/>
        <w:t xml:space="preserve">Lass-Florl C. Triazole antifungal agents in invasive fungal infections: a comparative review. </w:t>
      </w:r>
      <w:r w:rsidR="00EB39C5" w:rsidRPr="007C6545">
        <w:rPr>
          <w:rFonts w:ascii="Arial" w:hAnsi="Arial" w:cs="Arial"/>
          <w:i/>
          <w:color w:val="000000" w:themeColor="text1"/>
        </w:rPr>
        <w:t>Drugs</w:t>
      </w:r>
      <w:r w:rsidRPr="007C6545">
        <w:rPr>
          <w:rFonts w:ascii="Arial" w:hAnsi="Arial" w:cs="Arial"/>
          <w:color w:val="000000" w:themeColor="text1"/>
        </w:rPr>
        <w:t xml:space="preserve"> 2011;</w:t>
      </w:r>
      <w:r w:rsidR="00640FDC" w:rsidRPr="007C6545">
        <w:rPr>
          <w:rFonts w:ascii="Arial" w:hAnsi="Arial" w:cs="Arial"/>
          <w:color w:val="000000" w:themeColor="text1"/>
        </w:rPr>
        <w:t xml:space="preserve"> </w:t>
      </w:r>
      <w:r w:rsidR="00EB39C5" w:rsidRPr="007C6545">
        <w:rPr>
          <w:rFonts w:ascii="Arial" w:hAnsi="Arial" w:cs="Arial"/>
          <w:b/>
          <w:color w:val="000000" w:themeColor="text1"/>
        </w:rPr>
        <w:t>71</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2405</w:t>
      </w:r>
      <w:r w:rsidR="00640FDC" w:rsidRPr="007C6545">
        <w:rPr>
          <w:rFonts w:ascii="Arial" w:hAnsi="Arial" w:cs="Arial"/>
          <w:color w:val="000000" w:themeColor="text1"/>
        </w:rPr>
        <w:t>–</w:t>
      </w:r>
      <w:r w:rsidRPr="007C6545">
        <w:rPr>
          <w:rFonts w:ascii="Arial" w:hAnsi="Arial" w:cs="Arial"/>
          <w:color w:val="000000" w:themeColor="text1"/>
        </w:rPr>
        <w:t>19.</w:t>
      </w:r>
    </w:p>
    <w:p w14:paraId="65B02FAA"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1</w:t>
      </w:r>
      <w:r w:rsidR="00BB71BC" w:rsidRPr="007C6545">
        <w:rPr>
          <w:rFonts w:ascii="Arial" w:hAnsi="Arial" w:cs="Arial"/>
          <w:color w:val="000000" w:themeColor="text1"/>
        </w:rPr>
        <w:t>4</w:t>
      </w:r>
      <w:r w:rsidRPr="007C6545">
        <w:rPr>
          <w:rFonts w:ascii="Arial" w:hAnsi="Arial" w:cs="Arial"/>
          <w:color w:val="000000" w:themeColor="text1"/>
        </w:rPr>
        <w:t>.</w:t>
      </w:r>
      <w:r w:rsidRPr="007C6545">
        <w:rPr>
          <w:rFonts w:ascii="Arial" w:hAnsi="Arial" w:cs="Arial"/>
          <w:color w:val="000000" w:themeColor="text1"/>
        </w:rPr>
        <w:tab/>
        <w:t xml:space="preserve">Andes D, Azie N, Yang H </w:t>
      </w:r>
      <w:r w:rsidR="00AF6197" w:rsidRPr="007C6545">
        <w:rPr>
          <w:rFonts w:ascii="Arial" w:hAnsi="Arial" w:cs="Arial"/>
          <w:i/>
          <w:color w:val="000000" w:themeColor="text1"/>
        </w:rPr>
        <w:t>et al</w:t>
      </w:r>
      <w:r w:rsidRPr="007C6545">
        <w:rPr>
          <w:rFonts w:ascii="Arial" w:hAnsi="Arial" w:cs="Arial"/>
          <w:color w:val="000000" w:themeColor="text1"/>
        </w:rPr>
        <w:t xml:space="preserve">. </w:t>
      </w:r>
      <w:r w:rsidR="00640FDC" w:rsidRPr="007C6545">
        <w:rPr>
          <w:rFonts w:ascii="Arial" w:hAnsi="Arial" w:cs="Arial"/>
          <w:color w:val="000000" w:themeColor="text1"/>
        </w:rPr>
        <w:t>Drug-drug interaction associated with mold-active triazoles among hospitalized patients</w:t>
      </w:r>
      <w:r w:rsidRPr="007C6545">
        <w:rPr>
          <w:rFonts w:ascii="Arial" w:hAnsi="Arial" w:cs="Arial"/>
          <w:color w:val="000000" w:themeColor="text1"/>
        </w:rPr>
        <w:t xml:space="preserve">.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2016</w:t>
      </w:r>
      <w:r w:rsidR="00640FDC" w:rsidRPr="007C6545">
        <w:rPr>
          <w:rFonts w:ascii="Arial" w:hAnsi="Arial" w:cs="Arial"/>
          <w:color w:val="000000" w:themeColor="text1"/>
        </w:rPr>
        <w:t xml:space="preserve">; </w:t>
      </w:r>
      <w:r w:rsidR="00EB39C5" w:rsidRPr="007C6545">
        <w:rPr>
          <w:rFonts w:ascii="Arial" w:hAnsi="Arial" w:cs="Arial"/>
          <w:b/>
          <w:color w:val="000000" w:themeColor="text1"/>
        </w:rPr>
        <w:t>60</w:t>
      </w:r>
      <w:r w:rsidR="00640FDC" w:rsidRPr="007C6545">
        <w:rPr>
          <w:rFonts w:ascii="Arial" w:hAnsi="Arial" w:cs="Arial"/>
          <w:color w:val="000000" w:themeColor="text1"/>
        </w:rPr>
        <w:t>: 3398–406</w:t>
      </w:r>
      <w:r w:rsidRPr="007C6545">
        <w:rPr>
          <w:rFonts w:ascii="Arial" w:hAnsi="Arial" w:cs="Arial"/>
          <w:color w:val="000000" w:themeColor="text1"/>
        </w:rPr>
        <w:t>.</w:t>
      </w:r>
    </w:p>
    <w:p w14:paraId="332172BD"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1</w:t>
      </w:r>
      <w:r w:rsidR="00BB71BC" w:rsidRPr="007C6545">
        <w:rPr>
          <w:rFonts w:ascii="Arial" w:hAnsi="Arial" w:cs="Arial"/>
          <w:color w:val="000000" w:themeColor="text1"/>
        </w:rPr>
        <w:t>5</w:t>
      </w:r>
      <w:r w:rsidRPr="007C6545">
        <w:rPr>
          <w:rFonts w:ascii="Arial" w:hAnsi="Arial" w:cs="Arial"/>
          <w:color w:val="000000" w:themeColor="text1"/>
        </w:rPr>
        <w:t>.</w:t>
      </w:r>
      <w:r w:rsidRPr="007C6545">
        <w:rPr>
          <w:rFonts w:ascii="Arial" w:hAnsi="Arial" w:cs="Arial"/>
          <w:color w:val="000000" w:themeColor="text1"/>
        </w:rPr>
        <w:tab/>
        <w:t>Liu L, Bello A, Dresser MJ, Heald D</w:t>
      </w:r>
      <w:r w:rsidR="00AF6197" w:rsidRPr="007C6545">
        <w:rPr>
          <w:rFonts w:ascii="Arial" w:hAnsi="Arial" w:cs="Arial"/>
          <w:i/>
          <w:color w:val="000000" w:themeColor="text1"/>
        </w:rPr>
        <w:t xml:space="preserve"> et al</w:t>
      </w:r>
      <w:r w:rsidRPr="007C6545">
        <w:rPr>
          <w:rFonts w:ascii="Arial" w:hAnsi="Arial" w:cs="Arial"/>
          <w:color w:val="000000" w:themeColor="text1"/>
        </w:rPr>
        <w:t xml:space="preserve">. Best practices for the use of itraconazole as a replacement for ketoconazole in drug-drug interaction studies. </w:t>
      </w:r>
      <w:r w:rsidR="00EB39C5" w:rsidRPr="007C6545">
        <w:rPr>
          <w:rFonts w:ascii="Arial" w:hAnsi="Arial" w:cs="Arial"/>
          <w:i/>
          <w:color w:val="000000" w:themeColor="text1"/>
        </w:rPr>
        <w:t>J Clin Pharmacol</w:t>
      </w:r>
      <w:r w:rsidRPr="007C6545">
        <w:rPr>
          <w:rFonts w:ascii="Arial" w:hAnsi="Arial" w:cs="Arial"/>
          <w:color w:val="000000" w:themeColor="text1"/>
        </w:rPr>
        <w:t xml:space="preserve"> 2016;</w:t>
      </w:r>
      <w:r w:rsidR="00640FDC" w:rsidRPr="007C6545">
        <w:rPr>
          <w:rFonts w:ascii="Arial" w:hAnsi="Arial" w:cs="Arial"/>
          <w:color w:val="000000" w:themeColor="text1"/>
        </w:rPr>
        <w:t xml:space="preserve"> </w:t>
      </w:r>
      <w:r w:rsidR="00EB39C5" w:rsidRPr="007C6545">
        <w:rPr>
          <w:rFonts w:ascii="Arial" w:hAnsi="Arial" w:cs="Arial"/>
          <w:b/>
          <w:color w:val="000000" w:themeColor="text1"/>
        </w:rPr>
        <w:t>56</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143</w:t>
      </w:r>
      <w:r w:rsidR="00640FDC" w:rsidRPr="007C6545">
        <w:rPr>
          <w:rFonts w:ascii="Arial" w:hAnsi="Arial" w:cs="Arial"/>
          <w:color w:val="000000" w:themeColor="text1"/>
        </w:rPr>
        <w:t>–</w:t>
      </w:r>
      <w:r w:rsidRPr="007C6545">
        <w:rPr>
          <w:rFonts w:ascii="Arial" w:hAnsi="Arial" w:cs="Arial"/>
          <w:color w:val="000000" w:themeColor="text1"/>
        </w:rPr>
        <w:t>51.</w:t>
      </w:r>
    </w:p>
    <w:p w14:paraId="253B86B1"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1</w:t>
      </w:r>
      <w:r w:rsidR="00BB71BC" w:rsidRPr="007C6545">
        <w:rPr>
          <w:rFonts w:ascii="Arial" w:hAnsi="Arial" w:cs="Arial"/>
          <w:color w:val="000000" w:themeColor="text1"/>
        </w:rPr>
        <w:t>6</w:t>
      </w:r>
      <w:r w:rsidRPr="007C6545">
        <w:rPr>
          <w:rFonts w:ascii="Arial" w:hAnsi="Arial" w:cs="Arial"/>
          <w:color w:val="000000" w:themeColor="text1"/>
        </w:rPr>
        <w:t>.</w:t>
      </w:r>
      <w:r w:rsidRPr="007C6545">
        <w:rPr>
          <w:rFonts w:ascii="Arial" w:hAnsi="Arial" w:cs="Arial"/>
          <w:color w:val="000000" w:themeColor="text1"/>
        </w:rPr>
        <w:tab/>
        <w:t xml:space="preserve">Dodds-Ashley E. Management of drug and food interactions with azole antifungal agents in transplant recipients. </w:t>
      </w:r>
      <w:r w:rsidR="00EB39C5" w:rsidRPr="007C6545">
        <w:rPr>
          <w:rFonts w:ascii="Arial" w:hAnsi="Arial" w:cs="Arial"/>
          <w:i/>
          <w:color w:val="000000" w:themeColor="text1"/>
        </w:rPr>
        <w:t xml:space="preserve">Pharmacotherapy </w:t>
      </w:r>
      <w:r w:rsidRPr="007C6545">
        <w:rPr>
          <w:rFonts w:ascii="Arial" w:hAnsi="Arial" w:cs="Arial"/>
          <w:color w:val="000000" w:themeColor="text1"/>
        </w:rPr>
        <w:t>2010;</w:t>
      </w:r>
      <w:r w:rsidR="00640FDC" w:rsidRPr="007C6545">
        <w:rPr>
          <w:rFonts w:ascii="Arial" w:hAnsi="Arial" w:cs="Arial"/>
          <w:color w:val="000000" w:themeColor="text1"/>
        </w:rPr>
        <w:t xml:space="preserve"> </w:t>
      </w:r>
      <w:r w:rsidR="00EB39C5" w:rsidRPr="007C6545">
        <w:rPr>
          <w:rFonts w:ascii="Arial" w:hAnsi="Arial" w:cs="Arial"/>
          <w:b/>
          <w:color w:val="000000" w:themeColor="text1"/>
        </w:rPr>
        <w:t>30</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842</w:t>
      </w:r>
      <w:r w:rsidR="00640FDC" w:rsidRPr="007C6545">
        <w:rPr>
          <w:rFonts w:ascii="Arial" w:hAnsi="Arial" w:cs="Arial"/>
          <w:color w:val="000000" w:themeColor="text1"/>
        </w:rPr>
        <w:t>–</w:t>
      </w:r>
      <w:r w:rsidRPr="007C6545">
        <w:rPr>
          <w:rFonts w:ascii="Arial" w:hAnsi="Arial" w:cs="Arial"/>
          <w:color w:val="000000" w:themeColor="text1"/>
        </w:rPr>
        <w:t>54.</w:t>
      </w:r>
    </w:p>
    <w:p w14:paraId="77AAF975" w14:textId="77777777" w:rsidR="00EB39C5" w:rsidRPr="007C6545" w:rsidRDefault="004F1C74" w:rsidP="005F2259">
      <w:pPr>
        <w:pStyle w:val="EndNoteBibliography"/>
        <w:spacing w:after="0" w:line="480" w:lineRule="auto"/>
        <w:rPr>
          <w:rFonts w:ascii="Arial" w:hAnsi="Arial" w:cs="Arial"/>
          <w:color w:val="000000" w:themeColor="text1"/>
          <w:lang w:val="de-CH"/>
        </w:rPr>
      </w:pPr>
      <w:r w:rsidRPr="007C6545">
        <w:rPr>
          <w:rFonts w:ascii="Arial" w:hAnsi="Arial" w:cs="Arial"/>
          <w:color w:val="000000" w:themeColor="text1"/>
        </w:rPr>
        <w:t>1</w:t>
      </w:r>
      <w:r w:rsidR="00BB71BC" w:rsidRPr="007C6545">
        <w:rPr>
          <w:rFonts w:ascii="Arial" w:hAnsi="Arial" w:cs="Arial"/>
          <w:color w:val="000000" w:themeColor="text1"/>
        </w:rPr>
        <w:t>7</w:t>
      </w:r>
      <w:r w:rsidRPr="007C6545">
        <w:rPr>
          <w:rFonts w:ascii="Arial" w:hAnsi="Arial" w:cs="Arial"/>
          <w:color w:val="000000" w:themeColor="text1"/>
        </w:rPr>
        <w:t>.</w:t>
      </w:r>
      <w:r w:rsidRPr="007C6545">
        <w:rPr>
          <w:rFonts w:ascii="Arial" w:hAnsi="Arial" w:cs="Arial"/>
          <w:color w:val="000000" w:themeColor="text1"/>
        </w:rPr>
        <w:tab/>
        <w:t>Ashbee HR, Barnes RA, Johnson EM</w:t>
      </w:r>
      <w:r w:rsidR="00AF6197" w:rsidRPr="007C6545">
        <w:rPr>
          <w:rFonts w:ascii="Arial" w:hAnsi="Arial" w:cs="Arial"/>
          <w:i/>
          <w:color w:val="000000" w:themeColor="text1"/>
        </w:rPr>
        <w:t xml:space="preserve">  et al</w:t>
      </w:r>
      <w:r w:rsidR="00640FDC" w:rsidRPr="007C6545">
        <w:rPr>
          <w:rFonts w:ascii="Arial" w:hAnsi="Arial" w:cs="Arial"/>
          <w:color w:val="000000" w:themeColor="text1"/>
        </w:rPr>
        <w:t xml:space="preserve">. </w:t>
      </w:r>
      <w:r w:rsidRPr="007C6545">
        <w:rPr>
          <w:rFonts w:ascii="Arial" w:hAnsi="Arial" w:cs="Arial"/>
          <w:color w:val="000000" w:themeColor="text1"/>
        </w:rPr>
        <w:t>Therapeutic drug monitoring (TDM) of antifungal agents: guidelines from the British Society for Medical Mycology</w:t>
      </w:r>
      <w:r w:rsidR="00EB39C5" w:rsidRPr="007C6545">
        <w:rPr>
          <w:rFonts w:ascii="Arial" w:hAnsi="Arial" w:cs="Arial"/>
          <w:i/>
          <w:color w:val="000000" w:themeColor="text1"/>
        </w:rPr>
        <w:t xml:space="preserve">. </w:t>
      </w:r>
      <w:r w:rsidR="000E16BA" w:rsidRPr="007C6545">
        <w:rPr>
          <w:rFonts w:ascii="Arial" w:hAnsi="Arial" w:cs="Arial"/>
          <w:i/>
          <w:color w:val="000000" w:themeColor="text1"/>
          <w:lang w:val="de-CH"/>
        </w:rPr>
        <w:t>J Antimicrob Chemother</w:t>
      </w:r>
      <w:r w:rsidR="000E16BA" w:rsidRPr="007C6545">
        <w:rPr>
          <w:rFonts w:ascii="Arial" w:hAnsi="Arial" w:cs="Arial"/>
          <w:color w:val="000000" w:themeColor="text1"/>
          <w:lang w:val="de-CH"/>
        </w:rPr>
        <w:t xml:space="preserve"> 2014; </w:t>
      </w:r>
      <w:r w:rsidR="000E16BA" w:rsidRPr="007C6545">
        <w:rPr>
          <w:rFonts w:ascii="Arial" w:hAnsi="Arial" w:cs="Arial"/>
          <w:b/>
          <w:color w:val="000000" w:themeColor="text1"/>
          <w:lang w:val="de-CH"/>
        </w:rPr>
        <w:t>69</w:t>
      </w:r>
      <w:r w:rsidR="000E16BA" w:rsidRPr="007C6545">
        <w:rPr>
          <w:rFonts w:ascii="Arial" w:hAnsi="Arial" w:cs="Arial"/>
          <w:color w:val="000000" w:themeColor="text1"/>
          <w:lang w:val="de-CH"/>
        </w:rPr>
        <w:t>: 1162–76.</w:t>
      </w:r>
    </w:p>
    <w:p w14:paraId="7530F071" w14:textId="77777777" w:rsidR="00EB39C5" w:rsidRPr="007C6545" w:rsidRDefault="000E16BA"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lang w:val="de-CH"/>
        </w:rPr>
        <w:t>1</w:t>
      </w:r>
      <w:r w:rsidR="00BB71BC" w:rsidRPr="007C6545">
        <w:rPr>
          <w:rFonts w:ascii="Arial" w:hAnsi="Arial" w:cs="Arial"/>
          <w:color w:val="000000" w:themeColor="text1"/>
          <w:lang w:val="de-CH"/>
        </w:rPr>
        <w:t>8</w:t>
      </w:r>
      <w:r w:rsidRPr="007C6545">
        <w:rPr>
          <w:rFonts w:ascii="Arial" w:hAnsi="Arial" w:cs="Arial"/>
          <w:color w:val="000000" w:themeColor="text1"/>
          <w:lang w:val="de-CH"/>
        </w:rPr>
        <w:t>.</w:t>
      </w:r>
      <w:r w:rsidRPr="007C6545">
        <w:rPr>
          <w:rFonts w:ascii="Arial" w:hAnsi="Arial" w:cs="Arial"/>
          <w:color w:val="000000" w:themeColor="text1"/>
          <w:lang w:val="de-CH"/>
        </w:rPr>
        <w:tab/>
        <w:t xml:space="preserve">Boogaerts MA, Verhoef GE, Zachee P </w:t>
      </w:r>
      <w:r w:rsidR="00AF6197" w:rsidRPr="007C6545">
        <w:rPr>
          <w:rFonts w:ascii="Arial" w:hAnsi="Arial" w:cs="Arial"/>
          <w:i/>
          <w:color w:val="000000" w:themeColor="text1"/>
          <w:lang w:val="de-CH"/>
        </w:rPr>
        <w:t>et al</w:t>
      </w:r>
      <w:r w:rsidRPr="007C6545">
        <w:rPr>
          <w:rFonts w:ascii="Arial" w:hAnsi="Arial" w:cs="Arial"/>
          <w:color w:val="000000" w:themeColor="text1"/>
          <w:lang w:val="de-CH"/>
        </w:rPr>
        <w:t xml:space="preserve">. </w:t>
      </w:r>
      <w:r w:rsidR="004F1C74" w:rsidRPr="007C6545">
        <w:rPr>
          <w:rFonts w:ascii="Arial" w:hAnsi="Arial" w:cs="Arial"/>
          <w:color w:val="000000" w:themeColor="text1"/>
        </w:rPr>
        <w:t xml:space="preserve">Antifungal prophylaxis with itraconazole in prolonged neutropenia: correlation with plasma levels. </w:t>
      </w:r>
      <w:r w:rsidRPr="007C6545">
        <w:rPr>
          <w:rFonts w:ascii="Arial" w:hAnsi="Arial" w:cs="Arial"/>
          <w:i/>
          <w:color w:val="000000" w:themeColor="text1"/>
          <w:lang w:val="fr-FR"/>
        </w:rPr>
        <w:t>Mycoses</w:t>
      </w:r>
      <w:r w:rsidRPr="007C6545">
        <w:rPr>
          <w:rFonts w:ascii="Arial" w:hAnsi="Arial" w:cs="Arial"/>
          <w:color w:val="000000" w:themeColor="text1"/>
          <w:lang w:val="fr-FR"/>
        </w:rPr>
        <w:t xml:space="preserve"> 1989; </w:t>
      </w:r>
      <w:r w:rsidRPr="007C6545">
        <w:rPr>
          <w:rFonts w:ascii="Arial" w:hAnsi="Arial" w:cs="Arial"/>
          <w:b/>
          <w:color w:val="000000" w:themeColor="text1"/>
          <w:lang w:val="fr-FR"/>
        </w:rPr>
        <w:t>32</w:t>
      </w:r>
      <w:r w:rsidRPr="007C6545">
        <w:rPr>
          <w:rFonts w:ascii="Arial" w:hAnsi="Arial" w:cs="Arial"/>
          <w:color w:val="000000" w:themeColor="text1"/>
          <w:lang w:val="fr-FR"/>
        </w:rPr>
        <w:t>(Suppl 1): 103–8.</w:t>
      </w:r>
    </w:p>
    <w:p w14:paraId="71851177" w14:textId="77777777" w:rsidR="00EB39C5" w:rsidRPr="007C6545" w:rsidRDefault="00BB71BC"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fr-FR"/>
        </w:rPr>
        <w:t>19</w:t>
      </w:r>
      <w:r w:rsidR="000E16BA" w:rsidRPr="007C6545">
        <w:rPr>
          <w:rFonts w:ascii="Arial" w:hAnsi="Arial" w:cs="Arial"/>
          <w:color w:val="000000" w:themeColor="text1"/>
          <w:lang w:val="fr-FR"/>
        </w:rPr>
        <w:t>.</w:t>
      </w:r>
      <w:r w:rsidR="000E16BA" w:rsidRPr="007C6545">
        <w:rPr>
          <w:rFonts w:ascii="Arial" w:hAnsi="Arial" w:cs="Arial"/>
          <w:color w:val="000000" w:themeColor="text1"/>
          <w:lang w:val="fr-FR"/>
        </w:rPr>
        <w:tab/>
        <w:t xml:space="preserve">Tricot G, Joosten E, Boogaerts MA </w:t>
      </w:r>
      <w:r w:rsidR="00AF6197" w:rsidRPr="007C6545">
        <w:rPr>
          <w:rFonts w:ascii="Arial" w:hAnsi="Arial" w:cs="Arial"/>
          <w:i/>
          <w:color w:val="000000" w:themeColor="text1"/>
          <w:lang w:val="fr-FR"/>
        </w:rPr>
        <w:t>et al</w:t>
      </w:r>
      <w:r w:rsidR="000E16BA" w:rsidRPr="007C6545">
        <w:rPr>
          <w:rFonts w:ascii="Arial" w:hAnsi="Arial" w:cs="Arial"/>
          <w:color w:val="000000" w:themeColor="text1"/>
          <w:lang w:val="fr-FR"/>
        </w:rPr>
        <w:t xml:space="preserve">. </w:t>
      </w:r>
      <w:r w:rsidR="004F1C74" w:rsidRPr="007C6545">
        <w:rPr>
          <w:rFonts w:ascii="Arial" w:hAnsi="Arial" w:cs="Arial"/>
          <w:color w:val="000000" w:themeColor="text1"/>
        </w:rPr>
        <w:t xml:space="preserve">Ketoconazole vs. itraconazole for antifungal prophylaxis in patients with severe granulocytopenia: preliminary results of two nonrandomized studies. </w:t>
      </w:r>
      <w:r w:rsidR="00EB39C5" w:rsidRPr="007C6545">
        <w:rPr>
          <w:rFonts w:ascii="Arial" w:hAnsi="Arial" w:cs="Arial"/>
          <w:i/>
          <w:color w:val="000000" w:themeColor="text1"/>
        </w:rPr>
        <w:t>Rev Infect Dis</w:t>
      </w:r>
      <w:r w:rsidR="004F1C74" w:rsidRPr="007C6545">
        <w:rPr>
          <w:rFonts w:ascii="Arial" w:hAnsi="Arial" w:cs="Arial"/>
          <w:color w:val="000000" w:themeColor="text1"/>
        </w:rPr>
        <w:t xml:space="preserve"> 1987;</w:t>
      </w:r>
      <w:r w:rsidR="00640FDC" w:rsidRPr="007C6545">
        <w:rPr>
          <w:rFonts w:ascii="Arial" w:hAnsi="Arial" w:cs="Arial"/>
          <w:color w:val="000000" w:themeColor="text1"/>
        </w:rPr>
        <w:t xml:space="preserve"> </w:t>
      </w:r>
      <w:r w:rsidR="00EB39C5" w:rsidRPr="007C6545">
        <w:rPr>
          <w:rFonts w:ascii="Arial" w:hAnsi="Arial" w:cs="Arial"/>
          <w:b/>
          <w:color w:val="000000" w:themeColor="text1"/>
        </w:rPr>
        <w:t>9</w:t>
      </w:r>
      <w:r w:rsidR="00640FDC" w:rsidRPr="007C6545">
        <w:rPr>
          <w:rFonts w:ascii="Arial" w:hAnsi="Arial" w:cs="Arial"/>
          <w:color w:val="000000" w:themeColor="text1"/>
        </w:rPr>
        <w:t>(</w:t>
      </w:r>
      <w:r w:rsidR="004F1C74" w:rsidRPr="007C6545">
        <w:rPr>
          <w:rFonts w:ascii="Arial" w:hAnsi="Arial" w:cs="Arial"/>
          <w:color w:val="000000" w:themeColor="text1"/>
        </w:rPr>
        <w:t>Suppl 1</w:t>
      </w:r>
      <w:r w:rsidR="00640FDC" w:rsidRPr="007C6545">
        <w:rPr>
          <w:rFonts w:ascii="Arial" w:hAnsi="Arial" w:cs="Arial"/>
          <w:color w:val="000000" w:themeColor="text1"/>
        </w:rPr>
        <w:t>)</w:t>
      </w:r>
      <w:r w:rsidR="004F1C74" w:rsidRPr="007C6545">
        <w:rPr>
          <w:rFonts w:ascii="Arial" w:hAnsi="Arial" w:cs="Arial"/>
          <w:color w:val="000000" w:themeColor="text1"/>
        </w:rPr>
        <w:t>:</w:t>
      </w:r>
      <w:r w:rsidR="00640FDC" w:rsidRPr="007C6545">
        <w:rPr>
          <w:rFonts w:ascii="Arial" w:hAnsi="Arial" w:cs="Arial"/>
          <w:color w:val="000000" w:themeColor="text1"/>
        </w:rPr>
        <w:t xml:space="preserve"> </w:t>
      </w:r>
      <w:r w:rsidR="004F1C74" w:rsidRPr="007C6545">
        <w:rPr>
          <w:rFonts w:ascii="Arial" w:hAnsi="Arial" w:cs="Arial"/>
          <w:color w:val="000000" w:themeColor="text1"/>
        </w:rPr>
        <w:t>S94</w:t>
      </w:r>
      <w:r w:rsidR="00640FDC" w:rsidRPr="007C6545">
        <w:rPr>
          <w:rFonts w:ascii="Arial" w:hAnsi="Arial" w:cs="Arial"/>
          <w:color w:val="000000" w:themeColor="text1"/>
        </w:rPr>
        <w:t>–</w:t>
      </w:r>
      <w:r w:rsidR="004F1C74" w:rsidRPr="007C6545">
        <w:rPr>
          <w:rFonts w:ascii="Arial" w:hAnsi="Arial" w:cs="Arial"/>
          <w:color w:val="000000" w:themeColor="text1"/>
        </w:rPr>
        <w:t>9.</w:t>
      </w:r>
    </w:p>
    <w:p w14:paraId="18FBEA29"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00BB71BC" w:rsidRPr="007C6545">
        <w:rPr>
          <w:rFonts w:ascii="Arial" w:hAnsi="Arial" w:cs="Arial"/>
          <w:color w:val="000000" w:themeColor="text1"/>
        </w:rPr>
        <w:t>0</w:t>
      </w:r>
      <w:r w:rsidRPr="007C6545">
        <w:rPr>
          <w:rFonts w:ascii="Arial" w:hAnsi="Arial" w:cs="Arial"/>
          <w:color w:val="000000" w:themeColor="text1"/>
        </w:rPr>
        <w:t>.</w:t>
      </w:r>
      <w:r w:rsidRPr="007C6545">
        <w:rPr>
          <w:rFonts w:ascii="Arial" w:hAnsi="Arial" w:cs="Arial"/>
          <w:color w:val="000000" w:themeColor="text1"/>
        </w:rPr>
        <w:tab/>
        <w:t>Glasmacher A, Hahn C, Leutner C</w:t>
      </w:r>
      <w:r w:rsidR="00AF6197" w:rsidRPr="007C6545">
        <w:rPr>
          <w:rFonts w:ascii="Arial" w:hAnsi="Arial" w:cs="Arial"/>
          <w:i/>
          <w:color w:val="000000" w:themeColor="text1"/>
        </w:rPr>
        <w:t xml:space="preserve"> et al</w:t>
      </w:r>
      <w:r w:rsidRPr="007C6545">
        <w:rPr>
          <w:rFonts w:ascii="Arial" w:hAnsi="Arial" w:cs="Arial"/>
          <w:color w:val="000000" w:themeColor="text1"/>
        </w:rPr>
        <w:t xml:space="preserve">. Breakthrough invasive fungal infections in neutropenic patients after prophylaxis with itraconazole. </w:t>
      </w:r>
      <w:r w:rsidR="00EB39C5" w:rsidRPr="007C6545">
        <w:rPr>
          <w:rFonts w:ascii="Arial" w:hAnsi="Arial" w:cs="Arial"/>
          <w:i/>
          <w:color w:val="000000" w:themeColor="text1"/>
        </w:rPr>
        <w:t>Mycoses</w:t>
      </w:r>
      <w:r w:rsidRPr="007C6545">
        <w:rPr>
          <w:rFonts w:ascii="Arial" w:hAnsi="Arial" w:cs="Arial"/>
          <w:color w:val="000000" w:themeColor="text1"/>
        </w:rPr>
        <w:t xml:space="preserve"> 1999;</w:t>
      </w:r>
      <w:r w:rsidR="00640FDC" w:rsidRPr="007C6545">
        <w:rPr>
          <w:rFonts w:ascii="Arial" w:hAnsi="Arial" w:cs="Arial"/>
          <w:color w:val="000000" w:themeColor="text1"/>
        </w:rPr>
        <w:t xml:space="preserve"> </w:t>
      </w:r>
      <w:r w:rsidR="00EB39C5" w:rsidRPr="007C6545">
        <w:rPr>
          <w:rFonts w:ascii="Arial" w:hAnsi="Arial" w:cs="Arial"/>
          <w:b/>
          <w:color w:val="000000" w:themeColor="text1"/>
        </w:rPr>
        <w:t>42</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443</w:t>
      </w:r>
      <w:r w:rsidR="00640FDC" w:rsidRPr="007C6545">
        <w:rPr>
          <w:rFonts w:ascii="Arial" w:hAnsi="Arial" w:cs="Arial"/>
          <w:color w:val="000000" w:themeColor="text1"/>
        </w:rPr>
        <w:t>–</w:t>
      </w:r>
      <w:r w:rsidRPr="007C6545">
        <w:rPr>
          <w:rFonts w:ascii="Arial" w:hAnsi="Arial" w:cs="Arial"/>
          <w:color w:val="000000" w:themeColor="text1"/>
        </w:rPr>
        <w:t>51.</w:t>
      </w:r>
    </w:p>
    <w:p w14:paraId="1352D7FA"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00BB71BC" w:rsidRPr="007C6545">
        <w:rPr>
          <w:rFonts w:ascii="Arial" w:hAnsi="Arial" w:cs="Arial"/>
          <w:color w:val="000000" w:themeColor="text1"/>
        </w:rPr>
        <w:t>1</w:t>
      </w:r>
      <w:r w:rsidRPr="007C6545">
        <w:rPr>
          <w:rFonts w:ascii="Arial" w:hAnsi="Arial" w:cs="Arial"/>
          <w:color w:val="000000" w:themeColor="text1"/>
        </w:rPr>
        <w:t>.</w:t>
      </w:r>
      <w:r w:rsidRPr="007C6545">
        <w:rPr>
          <w:rFonts w:ascii="Arial" w:hAnsi="Arial" w:cs="Arial"/>
          <w:color w:val="000000" w:themeColor="text1"/>
        </w:rPr>
        <w:tab/>
        <w:t xml:space="preserve">Cartledge JD, Midgely J, Gazzard BG. Itraconazole solution: higher serum drug concentrations and better clinical response rates than the capsule formulation in acquired immunodeficiency syndrome patients with candidosis. </w:t>
      </w:r>
      <w:r w:rsidR="00EB39C5" w:rsidRPr="007C6545">
        <w:rPr>
          <w:rFonts w:ascii="Arial" w:hAnsi="Arial" w:cs="Arial"/>
          <w:i/>
          <w:color w:val="000000" w:themeColor="text1"/>
        </w:rPr>
        <w:t>J Clin Pathol</w:t>
      </w:r>
      <w:r w:rsidRPr="007C6545">
        <w:rPr>
          <w:rFonts w:ascii="Arial" w:hAnsi="Arial" w:cs="Arial"/>
          <w:color w:val="000000" w:themeColor="text1"/>
        </w:rPr>
        <w:t>. 1997;</w:t>
      </w:r>
      <w:r w:rsidR="00640FDC" w:rsidRPr="007C6545">
        <w:rPr>
          <w:rFonts w:ascii="Arial" w:hAnsi="Arial" w:cs="Arial"/>
          <w:color w:val="000000" w:themeColor="text1"/>
        </w:rPr>
        <w:t xml:space="preserve"> </w:t>
      </w:r>
      <w:r w:rsidR="00EB39C5" w:rsidRPr="007C6545">
        <w:rPr>
          <w:rFonts w:ascii="Arial" w:hAnsi="Arial" w:cs="Arial"/>
          <w:b/>
          <w:color w:val="000000" w:themeColor="text1"/>
        </w:rPr>
        <w:t>50</w:t>
      </w:r>
      <w:r w:rsidRPr="007C6545">
        <w:rPr>
          <w:rFonts w:ascii="Arial" w:hAnsi="Arial" w:cs="Arial"/>
          <w:color w:val="000000" w:themeColor="text1"/>
        </w:rPr>
        <w:t>:</w:t>
      </w:r>
      <w:r w:rsidR="00640FDC" w:rsidRPr="007C6545">
        <w:rPr>
          <w:rFonts w:ascii="Arial" w:hAnsi="Arial" w:cs="Arial"/>
          <w:color w:val="000000" w:themeColor="text1"/>
        </w:rPr>
        <w:t xml:space="preserve"> </w:t>
      </w:r>
      <w:r w:rsidRPr="007C6545">
        <w:rPr>
          <w:rFonts w:ascii="Arial" w:hAnsi="Arial" w:cs="Arial"/>
          <w:color w:val="000000" w:themeColor="text1"/>
        </w:rPr>
        <w:t>477</w:t>
      </w:r>
      <w:r w:rsidR="00640FDC" w:rsidRPr="007C6545">
        <w:rPr>
          <w:rFonts w:ascii="Arial" w:hAnsi="Arial" w:cs="Arial"/>
          <w:color w:val="000000" w:themeColor="text1"/>
        </w:rPr>
        <w:t>–</w:t>
      </w:r>
      <w:r w:rsidRPr="007C6545">
        <w:rPr>
          <w:rFonts w:ascii="Arial" w:hAnsi="Arial" w:cs="Arial"/>
          <w:color w:val="000000" w:themeColor="text1"/>
        </w:rPr>
        <w:t>80.</w:t>
      </w:r>
    </w:p>
    <w:p w14:paraId="6C344452"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lastRenderedPageBreak/>
        <w:t>2</w:t>
      </w:r>
      <w:r w:rsidR="00BB71BC" w:rsidRPr="007C6545">
        <w:rPr>
          <w:rFonts w:ascii="Arial" w:hAnsi="Arial" w:cs="Arial"/>
          <w:color w:val="000000" w:themeColor="text1"/>
        </w:rPr>
        <w:t>2</w:t>
      </w:r>
      <w:r w:rsidRPr="007C6545">
        <w:rPr>
          <w:rFonts w:ascii="Arial" w:hAnsi="Arial" w:cs="Arial"/>
          <w:color w:val="000000" w:themeColor="text1"/>
        </w:rPr>
        <w:t>.</w:t>
      </w:r>
      <w:r w:rsidRPr="007C6545">
        <w:rPr>
          <w:rFonts w:ascii="Arial" w:hAnsi="Arial" w:cs="Arial"/>
          <w:color w:val="000000" w:themeColor="text1"/>
        </w:rPr>
        <w:tab/>
        <w:t xml:space="preserve">Sharkey PK, Rinaldi MG, Dunn JF </w:t>
      </w:r>
      <w:r w:rsidR="00AF6197" w:rsidRPr="007C6545">
        <w:rPr>
          <w:rFonts w:ascii="Arial" w:hAnsi="Arial" w:cs="Arial"/>
          <w:i/>
          <w:color w:val="000000" w:themeColor="text1"/>
        </w:rPr>
        <w:t>et al</w:t>
      </w:r>
      <w:r w:rsidRPr="007C6545">
        <w:rPr>
          <w:rFonts w:ascii="Arial" w:hAnsi="Arial" w:cs="Arial"/>
          <w:color w:val="000000" w:themeColor="text1"/>
        </w:rPr>
        <w:t xml:space="preserve">. High-dose itraconazole in the treatment of severe mycoses.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1991;</w:t>
      </w:r>
      <w:r w:rsidR="00E5353B" w:rsidRPr="007C6545">
        <w:rPr>
          <w:rFonts w:ascii="Arial" w:hAnsi="Arial" w:cs="Arial"/>
          <w:color w:val="000000" w:themeColor="text1"/>
        </w:rPr>
        <w:t xml:space="preserve"> </w:t>
      </w:r>
      <w:r w:rsidR="00EB39C5" w:rsidRPr="007C6545">
        <w:rPr>
          <w:rFonts w:ascii="Arial" w:hAnsi="Arial" w:cs="Arial"/>
          <w:b/>
          <w:color w:val="000000" w:themeColor="text1"/>
        </w:rPr>
        <w:t>35</w:t>
      </w:r>
      <w:r w:rsidRPr="007C6545">
        <w:rPr>
          <w:rFonts w:ascii="Arial" w:hAnsi="Arial" w:cs="Arial"/>
          <w:color w:val="000000" w:themeColor="text1"/>
        </w:rPr>
        <w:t>:</w:t>
      </w:r>
      <w:r w:rsidR="00E5353B" w:rsidRPr="007C6545">
        <w:rPr>
          <w:rFonts w:ascii="Arial" w:hAnsi="Arial" w:cs="Arial"/>
          <w:color w:val="000000" w:themeColor="text1"/>
        </w:rPr>
        <w:t xml:space="preserve"> </w:t>
      </w:r>
      <w:r w:rsidRPr="007C6545">
        <w:rPr>
          <w:rFonts w:ascii="Arial" w:hAnsi="Arial" w:cs="Arial"/>
          <w:color w:val="000000" w:themeColor="text1"/>
        </w:rPr>
        <w:t>707</w:t>
      </w:r>
      <w:r w:rsidR="00E5353B" w:rsidRPr="007C6545">
        <w:rPr>
          <w:rFonts w:ascii="Arial" w:hAnsi="Arial" w:cs="Arial"/>
          <w:color w:val="000000" w:themeColor="text1"/>
        </w:rPr>
        <w:t>–</w:t>
      </w:r>
      <w:r w:rsidRPr="007C6545">
        <w:rPr>
          <w:rFonts w:ascii="Arial" w:hAnsi="Arial" w:cs="Arial"/>
          <w:color w:val="000000" w:themeColor="text1"/>
        </w:rPr>
        <w:t>13.</w:t>
      </w:r>
    </w:p>
    <w:p w14:paraId="2C2DE7F7" w14:textId="77777777" w:rsidR="00EB39C5" w:rsidRPr="007C6545" w:rsidRDefault="004F1C74" w:rsidP="005F2259">
      <w:pPr>
        <w:pStyle w:val="EndNoteBibliography"/>
        <w:spacing w:after="0" w:line="480" w:lineRule="auto"/>
        <w:rPr>
          <w:rFonts w:ascii="Arial" w:hAnsi="Arial" w:cs="Arial"/>
          <w:color w:val="000000" w:themeColor="text1"/>
          <w:lang w:val="da-DK"/>
        </w:rPr>
      </w:pPr>
      <w:r w:rsidRPr="007C6545">
        <w:rPr>
          <w:rFonts w:ascii="Arial" w:hAnsi="Arial" w:cs="Arial"/>
          <w:color w:val="000000" w:themeColor="text1"/>
        </w:rPr>
        <w:t>2</w:t>
      </w:r>
      <w:r w:rsidR="00BB71BC" w:rsidRPr="007C6545">
        <w:rPr>
          <w:rFonts w:ascii="Arial" w:hAnsi="Arial" w:cs="Arial"/>
          <w:color w:val="000000" w:themeColor="text1"/>
        </w:rPr>
        <w:t>3</w:t>
      </w:r>
      <w:r w:rsidRPr="007C6545">
        <w:rPr>
          <w:rFonts w:ascii="Arial" w:hAnsi="Arial" w:cs="Arial"/>
          <w:color w:val="000000" w:themeColor="text1"/>
        </w:rPr>
        <w:t>.</w:t>
      </w:r>
      <w:r w:rsidRPr="007C6545">
        <w:rPr>
          <w:rFonts w:ascii="Arial" w:hAnsi="Arial" w:cs="Arial"/>
          <w:color w:val="000000" w:themeColor="text1"/>
        </w:rPr>
        <w:tab/>
        <w:t>Denning DW, Tucker RM, Hanson LH</w:t>
      </w:r>
      <w:r w:rsidR="00A84472" w:rsidRPr="007C6545">
        <w:rPr>
          <w:rFonts w:ascii="Arial" w:hAnsi="Arial" w:cs="Arial"/>
          <w:color w:val="000000" w:themeColor="text1"/>
        </w:rPr>
        <w:t xml:space="preserve"> </w:t>
      </w:r>
      <w:r w:rsidR="00AF6197" w:rsidRPr="007C6545">
        <w:rPr>
          <w:rFonts w:ascii="Arial" w:hAnsi="Arial" w:cs="Arial"/>
          <w:i/>
          <w:color w:val="000000" w:themeColor="text1"/>
        </w:rPr>
        <w:t>et al</w:t>
      </w:r>
      <w:r w:rsidRPr="007C6545">
        <w:rPr>
          <w:rFonts w:ascii="Arial" w:hAnsi="Arial" w:cs="Arial"/>
          <w:color w:val="000000" w:themeColor="text1"/>
        </w:rPr>
        <w:t xml:space="preserve">. Itraconazole in opportunistic mycoses: cryptococcosis and aspergillosis. </w:t>
      </w:r>
      <w:r w:rsidR="00CF7004" w:rsidRPr="007C6545">
        <w:rPr>
          <w:rFonts w:ascii="Arial" w:hAnsi="Arial" w:cs="Arial"/>
          <w:i/>
          <w:color w:val="000000" w:themeColor="text1"/>
          <w:lang w:val="da-DK"/>
        </w:rPr>
        <w:t>J Am Acad Dermatol</w:t>
      </w:r>
      <w:r w:rsidR="00CF7004" w:rsidRPr="007C6545">
        <w:rPr>
          <w:rFonts w:ascii="Arial" w:hAnsi="Arial" w:cs="Arial"/>
          <w:color w:val="000000" w:themeColor="text1"/>
          <w:lang w:val="da-DK"/>
        </w:rPr>
        <w:t xml:space="preserve"> 1990; </w:t>
      </w:r>
      <w:r w:rsidR="00CF7004" w:rsidRPr="007C6545">
        <w:rPr>
          <w:rFonts w:ascii="Arial" w:hAnsi="Arial" w:cs="Arial"/>
          <w:b/>
          <w:color w:val="000000" w:themeColor="text1"/>
          <w:lang w:val="da-DK"/>
        </w:rPr>
        <w:t>23</w:t>
      </w:r>
      <w:r w:rsidR="00CF7004" w:rsidRPr="007C6545">
        <w:rPr>
          <w:rFonts w:ascii="Arial" w:hAnsi="Arial" w:cs="Arial"/>
          <w:color w:val="000000" w:themeColor="text1"/>
          <w:lang w:val="da-DK"/>
        </w:rPr>
        <w:t>(3 Pt 2): 602–7.</w:t>
      </w:r>
    </w:p>
    <w:p w14:paraId="7828B10A"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da-DK"/>
        </w:rPr>
        <w:t>2</w:t>
      </w:r>
      <w:r w:rsidR="00BB71BC" w:rsidRPr="007C6545">
        <w:rPr>
          <w:rFonts w:ascii="Arial" w:hAnsi="Arial" w:cs="Arial"/>
          <w:color w:val="000000" w:themeColor="text1"/>
          <w:lang w:val="da-DK"/>
        </w:rPr>
        <w:t>4</w:t>
      </w:r>
      <w:r w:rsidRPr="007C6545">
        <w:rPr>
          <w:rFonts w:ascii="Arial" w:hAnsi="Arial" w:cs="Arial"/>
          <w:color w:val="000000" w:themeColor="text1"/>
          <w:lang w:val="da-DK"/>
        </w:rPr>
        <w:t>.</w:t>
      </w:r>
      <w:r w:rsidRPr="007C6545">
        <w:rPr>
          <w:rFonts w:ascii="Arial" w:hAnsi="Arial" w:cs="Arial"/>
          <w:color w:val="000000" w:themeColor="text1"/>
          <w:lang w:val="da-DK"/>
        </w:rPr>
        <w:tab/>
        <w:t xml:space="preserve">Wheat J, Hafner R, Korzun AH </w:t>
      </w:r>
      <w:r w:rsidR="00AF6197" w:rsidRPr="007C6545">
        <w:rPr>
          <w:rFonts w:ascii="Arial" w:hAnsi="Arial" w:cs="Arial"/>
          <w:i/>
          <w:color w:val="000000" w:themeColor="text1"/>
          <w:lang w:val="da-DK"/>
        </w:rPr>
        <w:t>et al</w:t>
      </w:r>
      <w:r w:rsidRPr="007C6545">
        <w:rPr>
          <w:rFonts w:ascii="Arial" w:hAnsi="Arial" w:cs="Arial"/>
          <w:color w:val="000000" w:themeColor="text1"/>
          <w:lang w:val="da-DK"/>
        </w:rPr>
        <w:t xml:space="preserve">. </w:t>
      </w:r>
      <w:r w:rsidR="004F1C74" w:rsidRPr="007C6545">
        <w:rPr>
          <w:rFonts w:ascii="Arial" w:hAnsi="Arial" w:cs="Arial"/>
          <w:color w:val="000000" w:themeColor="text1"/>
        </w:rPr>
        <w:t xml:space="preserve">Itraconazole treatment of disseminated histoplasmosis in patients with the acquired immunodeficiency syndrome. AIDS Clinical Trial Group. </w:t>
      </w:r>
      <w:r w:rsidR="00EB39C5" w:rsidRPr="007C6545">
        <w:rPr>
          <w:rFonts w:ascii="Arial" w:hAnsi="Arial" w:cs="Arial"/>
          <w:i/>
          <w:color w:val="000000" w:themeColor="text1"/>
        </w:rPr>
        <w:t>Am J Med</w:t>
      </w:r>
      <w:r w:rsidR="004F1C74" w:rsidRPr="007C6545">
        <w:rPr>
          <w:rFonts w:ascii="Arial" w:hAnsi="Arial" w:cs="Arial"/>
          <w:color w:val="000000" w:themeColor="text1"/>
        </w:rPr>
        <w:t xml:space="preserve"> 1995;</w:t>
      </w:r>
      <w:r w:rsidR="00E5353B" w:rsidRPr="007C6545">
        <w:rPr>
          <w:rFonts w:ascii="Arial" w:hAnsi="Arial" w:cs="Arial"/>
          <w:color w:val="000000" w:themeColor="text1"/>
        </w:rPr>
        <w:t xml:space="preserve"> </w:t>
      </w:r>
      <w:r w:rsidR="00EB39C5" w:rsidRPr="007C6545">
        <w:rPr>
          <w:rFonts w:ascii="Arial" w:hAnsi="Arial" w:cs="Arial"/>
          <w:b/>
          <w:color w:val="000000" w:themeColor="text1"/>
        </w:rPr>
        <w:t>98</w:t>
      </w:r>
      <w:r w:rsidR="004F1C74" w:rsidRPr="007C6545">
        <w:rPr>
          <w:rFonts w:ascii="Arial" w:hAnsi="Arial" w:cs="Arial"/>
          <w:color w:val="000000" w:themeColor="text1"/>
        </w:rPr>
        <w:t>:</w:t>
      </w:r>
      <w:r w:rsidR="00E5353B" w:rsidRPr="007C6545">
        <w:rPr>
          <w:rFonts w:ascii="Arial" w:hAnsi="Arial" w:cs="Arial"/>
          <w:color w:val="000000" w:themeColor="text1"/>
        </w:rPr>
        <w:t xml:space="preserve"> </w:t>
      </w:r>
      <w:r w:rsidR="004F1C74" w:rsidRPr="007C6545">
        <w:rPr>
          <w:rFonts w:ascii="Arial" w:hAnsi="Arial" w:cs="Arial"/>
          <w:color w:val="000000" w:themeColor="text1"/>
        </w:rPr>
        <w:t>336</w:t>
      </w:r>
      <w:r w:rsidR="00E5353B" w:rsidRPr="007C6545">
        <w:rPr>
          <w:rFonts w:ascii="Arial" w:hAnsi="Arial" w:cs="Arial"/>
          <w:color w:val="000000" w:themeColor="text1"/>
        </w:rPr>
        <w:t>–</w:t>
      </w:r>
      <w:r w:rsidR="004F1C74" w:rsidRPr="007C6545">
        <w:rPr>
          <w:rFonts w:ascii="Arial" w:hAnsi="Arial" w:cs="Arial"/>
          <w:color w:val="000000" w:themeColor="text1"/>
        </w:rPr>
        <w:t>42.</w:t>
      </w:r>
    </w:p>
    <w:p w14:paraId="4C1CC352"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00BB71BC" w:rsidRPr="007C6545">
        <w:rPr>
          <w:rFonts w:ascii="Arial" w:hAnsi="Arial" w:cs="Arial"/>
          <w:color w:val="000000" w:themeColor="text1"/>
        </w:rPr>
        <w:t>5</w:t>
      </w:r>
      <w:r w:rsidRPr="007C6545">
        <w:rPr>
          <w:rFonts w:ascii="Arial" w:hAnsi="Arial" w:cs="Arial"/>
          <w:color w:val="000000" w:themeColor="text1"/>
        </w:rPr>
        <w:t>.</w:t>
      </w:r>
      <w:r w:rsidRPr="007C6545">
        <w:rPr>
          <w:rFonts w:ascii="Arial" w:hAnsi="Arial" w:cs="Arial"/>
          <w:color w:val="000000" w:themeColor="text1"/>
        </w:rPr>
        <w:tab/>
        <w:t>Lestner JM, Roberts SA, Moore CB</w:t>
      </w:r>
      <w:r w:rsidR="00A84472" w:rsidRPr="007C6545">
        <w:rPr>
          <w:rFonts w:ascii="Arial" w:hAnsi="Arial" w:cs="Arial"/>
          <w:color w:val="000000" w:themeColor="text1"/>
        </w:rPr>
        <w:t xml:space="preserve"> </w:t>
      </w:r>
      <w:r w:rsidR="00AF6197" w:rsidRPr="007C6545">
        <w:rPr>
          <w:rFonts w:ascii="Arial" w:hAnsi="Arial" w:cs="Arial"/>
          <w:i/>
          <w:color w:val="000000" w:themeColor="text1"/>
        </w:rPr>
        <w:t>et al</w:t>
      </w:r>
      <w:r w:rsidRPr="007C6545">
        <w:rPr>
          <w:rFonts w:ascii="Arial" w:hAnsi="Arial" w:cs="Arial"/>
          <w:color w:val="000000" w:themeColor="text1"/>
        </w:rPr>
        <w:t xml:space="preserve">. </w:t>
      </w:r>
      <w:r w:rsidR="00394483" w:rsidRPr="007C6545">
        <w:rPr>
          <w:rFonts w:ascii="Arial" w:hAnsi="Arial" w:cs="Arial"/>
          <w:color w:val="000000" w:themeColor="text1"/>
        </w:rPr>
        <w:t>Toxicodynamics of itraconazole: implications for therapeutic drug monitoring</w:t>
      </w:r>
      <w:r w:rsidRPr="007C6545">
        <w:rPr>
          <w:rFonts w:ascii="Arial" w:hAnsi="Arial" w:cs="Arial"/>
          <w:color w:val="000000" w:themeColor="text1"/>
        </w:rPr>
        <w:t xml:space="preserve">. </w:t>
      </w:r>
      <w:r w:rsidR="00EB39C5" w:rsidRPr="007C6545">
        <w:rPr>
          <w:rFonts w:ascii="Arial" w:hAnsi="Arial" w:cs="Arial"/>
          <w:i/>
          <w:color w:val="000000" w:themeColor="text1"/>
        </w:rPr>
        <w:t>Clin Infect Dis</w:t>
      </w:r>
      <w:r w:rsidRPr="007C6545">
        <w:rPr>
          <w:rFonts w:ascii="Arial" w:hAnsi="Arial" w:cs="Arial"/>
          <w:color w:val="000000" w:themeColor="text1"/>
        </w:rPr>
        <w:t xml:space="preserve"> 2009;</w:t>
      </w:r>
      <w:r w:rsidR="00394483" w:rsidRPr="007C6545">
        <w:rPr>
          <w:rFonts w:ascii="Arial" w:hAnsi="Arial" w:cs="Arial"/>
          <w:color w:val="000000" w:themeColor="text1"/>
        </w:rPr>
        <w:t xml:space="preserve"> </w:t>
      </w:r>
      <w:r w:rsidR="00EB39C5" w:rsidRPr="007C6545">
        <w:rPr>
          <w:rFonts w:ascii="Arial" w:hAnsi="Arial" w:cs="Arial"/>
          <w:b/>
          <w:color w:val="000000" w:themeColor="text1"/>
        </w:rPr>
        <w:t>49</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928</w:t>
      </w:r>
      <w:r w:rsidR="00394483" w:rsidRPr="007C6545">
        <w:rPr>
          <w:rFonts w:ascii="Arial" w:hAnsi="Arial" w:cs="Arial"/>
          <w:color w:val="000000" w:themeColor="text1"/>
        </w:rPr>
        <w:t>–</w:t>
      </w:r>
      <w:r w:rsidRPr="007C6545">
        <w:rPr>
          <w:rFonts w:ascii="Arial" w:hAnsi="Arial" w:cs="Arial"/>
          <w:color w:val="000000" w:themeColor="text1"/>
        </w:rPr>
        <w:t>30.</w:t>
      </w:r>
    </w:p>
    <w:p w14:paraId="067DEFD8"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00BB71BC" w:rsidRPr="007C6545">
        <w:rPr>
          <w:rFonts w:ascii="Arial" w:hAnsi="Arial" w:cs="Arial"/>
          <w:color w:val="000000" w:themeColor="text1"/>
        </w:rPr>
        <w:t>6</w:t>
      </w:r>
      <w:r w:rsidRPr="007C6545">
        <w:rPr>
          <w:rFonts w:ascii="Arial" w:hAnsi="Arial" w:cs="Arial"/>
          <w:color w:val="000000" w:themeColor="text1"/>
        </w:rPr>
        <w:t>.</w:t>
      </w:r>
      <w:r w:rsidRPr="007C6545">
        <w:rPr>
          <w:rFonts w:ascii="Arial" w:hAnsi="Arial" w:cs="Arial"/>
          <w:color w:val="000000" w:themeColor="text1"/>
        </w:rPr>
        <w:tab/>
        <w:t>Hardin TC, Graybill JR, Fetchick R</w:t>
      </w:r>
      <w:r w:rsidR="00394483" w:rsidRPr="007C6545">
        <w:rPr>
          <w:rFonts w:ascii="Arial" w:hAnsi="Arial" w:cs="Arial"/>
          <w:color w:val="000000" w:themeColor="text1"/>
        </w:rPr>
        <w:t xml:space="preserve"> </w:t>
      </w:r>
      <w:r w:rsidR="00AF6197" w:rsidRPr="007C6545">
        <w:rPr>
          <w:rFonts w:ascii="Arial" w:hAnsi="Arial" w:cs="Arial"/>
          <w:i/>
          <w:color w:val="000000" w:themeColor="text1"/>
        </w:rPr>
        <w:t>et al</w:t>
      </w:r>
      <w:r w:rsidRPr="007C6545">
        <w:rPr>
          <w:rFonts w:ascii="Arial" w:hAnsi="Arial" w:cs="Arial"/>
          <w:color w:val="000000" w:themeColor="text1"/>
        </w:rPr>
        <w:t xml:space="preserve">. Pharmacokinetics of itraconazole following oral administration to normal volunteers.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1988;</w:t>
      </w:r>
      <w:r w:rsidR="00394483" w:rsidRPr="007C6545">
        <w:rPr>
          <w:rFonts w:ascii="Arial" w:hAnsi="Arial" w:cs="Arial"/>
          <w:color w:val="000000" w:themeColor="text1"/>
        </w:rPr>
        <w:t xml:space="preserve"> </w:t>
      </w:r>
      <w:r w:rsidR="00EB39C5" w:rsidRPr="007C6545">
        <w:rPr>
          <w:rFonts w:ascii="Arial" w:hAnsi="Arial" w:cs="Arial"/>
          <w:b/>
          <w:color w:val="000000" w:themeColor="text1"/>
        </w:rPr>
        <w:t>32</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1310</w:t>
      </w:r>
      <w:r w:rsidR="00394483" w:rsidRPr="007C6545">
        <w:rPr>
          <w:rFonts w:ascii="Arial" w:hAnsi="Arial" w:cs="Arial"/>
          <w:color w:val="000000" w:themeColor="text1"/>
        </w:rPr>
        <w:t>–</w:t>
      </w:r>
      <w:r w:rsidRPr="007C6545">
        <w:rPr>
          <w:rFonts w:ascii="Arial" w:hAnsi="Arial" w:cs="Arial"/>
          <w:color w:val="000000" w:themeColor="text1"/>
        </w:rPr>
        <w:t>3.</w:t>
      </w:r>
    </w:p>
    <w:p w14:paraId="2866D6C9"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00BB71BC" w:rsidRPr="007C6545">
        <w:rPr>
          <w:rFonts w:ascii="Arial" w:hAnsi="Arial" w:cs="Arial"/>
          <w:color w:val="000000" w:themeColor="text1"/>
        </w:rPr>
        <w:t>7</w:t>
      </w:r>
      <w:r w:rsidRPr="007C6545">
        <w:rPr>
          <w:rFonts w:ascii="Arial" w:hAnsi="Arial" w:cs="Arial"/>
          <w:color w:val="000000" w:themeColor="text1"/>
        </w:rPr>
        <w:t>.</w:t>
      </w:r>
      <w:r w:rsidRPr="007C6545">
        <w:rPr>
          <w:rFonts w:ascii="Arial" w:hAnsi="Arial" w:cs="Arial"/>
          <w:color w:val="000000" w:themeColor="text1"/>
        </w:rPr>
        <w:tab/>
        <w:t xml:space="preserve">Willems L, van der Geest R, de Beule K. Itraconazole oral solution and intravenous formulations: a review of pharmacokinetics and pharmacodynamics. </w:t>
      </w:r>
      <w:r w:rsidR="00EB39C5" w:rsidRPr="007C6545">
        <w:rPr>
          <w:rFonts w:ascii="Arial" w:hAnsi="Arial" w:cs="Arial"/>
          <w:i/>
          <w:color w:val="000000" w:themeColor="text1"/>
        </w:rPr>
        <w:t>J Clin Pharm Ther</w:t>
      </w:r>
      <w:r w:rsidRPr="007C6545">
        <w:rPr>
          <w:rFonts w:ascii="Arial" w:hAnsi="Arial" w:cs="Arial"/>
          <w:color w:val="000000" w:themeColor="text1"/>
        </w:rPr>
        <w:t xml:space="preserve"> 2001;</w:t>
      </w:r>
      <w:r w:rsidR="00394483" w:rsidRPr="007C6545">
        <w:rPr>
          <w:rFonts w:ascii="Arial" w:hAnsi="Arial" w:cs="Arial"/>
          <w:color w:val="000000" w:themeColor="text1"/>
        </w:rPr>
        <w:t xml:space="preserve"> </w:t>
      </w:r>
      <w:r w:rsidR="00EB39C5" w:rsidRPr="007C6545">
        <w:rPr>
          <w:rFonts w:ascii="Arial" w:hAnsi="Arial" w:cs="Arial"/>
          <w:b/>
          <w:color w:val="000000" w:themeColor="text1"/>
        </w:rPr>
        <w:t>26</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159</w:t>
      </w:r>
      <w:r w:rsidR="00394483" w:rsidRPr="007C6545">
        <w:rPr>
          <w:rFonts w:ascii="Arial" w:hAnsi="Arial" w:cs="Arial"/>
          <w:color w:val="000000" w:themeColor="text1"/>
        </w:rPr>
        <w:t>–</w:t>
      </w:r>
      <w:r w:rsidRPr="007C6545">
        <w:rPr>
          <w:rFonts w:ascii="Arial" w:hAnsi="Arial" w:cs="Arial"/>
          <w:color w:val="000000" w:themeColor="text1"/>
        </w:rPr>
        <w:t>69.</w:t>
      </w:r>
    </w:p>
    <w:p w14:paraId="0C4AA208"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w:t>
      </w:r>
      <w:r w:rsidR="00BB71BC" w:rsidRPr="007C6545">
        <w:rPr>
          <w:rFonts w:ascii="Arial" w:hAnsi="Arial" w:cs="Arial"/>
          <w:color w:val="000000" w:themeColor="text1"/>
        </w:rPr>
        <w:t>8</w:t>
      </w:r>
      <w:r w:rsidRPr="007C6545">
        <w:rPr>
          <w:rFonts w:ascii="Arial" w:hAnsi="Arial" w:cs="Arial"/>
          <w:color w:val="000000" w:themeColor="text1"/>
        </w:rPr>
        <w:t>.</w:t>
      </w:r>
      <w:r w:rsidRPr="007C6545">
        <w:rPr>
          <w:rFonts w:ascii="Arial" w:hAnsi="Arial" w:cs="Arial"/>
          <w:color w:val="000000" w:themeColor="text1"/>
        </w:rPr>
        <w:tab/>
        <w:t xml:space="preserve">Theuretzbacher U, Ihle F, Derendorf H. Pharmacokinetic/pharmacodynamic profile of voriconazole. </w:t>
      </w:r>
      <w:r w:rsidR="00EB39C5" w:rsidRPr="007C6545">
        <w:rPr>
          <w:rFonts w:ascii="Arial" w:hAnsi="Arial" w:cs="Arial"/>
          <w:i/>
          <w:color w:val="000000" w:themeColor="text1"/>
        </w:rPr>
        <w:t xml:space="preserve">Clin Pharmacokinet </w:t>
      </w:r>
      <w:r w:rsidRPr="007C6545">
        <w:rPr>
          <w:rFonts w:ascii="Arial" w:hAnsi="Arial" w:cs="Arial"/>
          <w:color w:val="000000" w:themeColor="text1"/>
        </w:rPr>
        <w:t>2006;</w:t>
      </w:r>
      <w:r w:rsidR="00394483" w:rsidRPr="007C6545">
        <w:rPr>
          <w:rFonts w:ascii="Arial" w:hAnsi="Arial" w:cs="Arial"/>
          <w:color w:val="000000" w:themeColor="text1"/>
        </w:rPr>
        <w:t xml:space="preserve"> </w:t>
      </w:r>
      <w:r w:rsidR="00EB39C5" w:rsidRPr="007C6545">
        <w:rPr>
          <w:rFonts w:ascii="Arial" w:hAnsi="Arial" w:cs="Arial"/>
          <w:b/>
          <w:color w:val="000000" w:themeColor="text1"/>
        </w:rPr>
        <w:t>45</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649</w:t>
      </w:r>
      <w:r w:rsidR="00394483" w:rsidRPr="007C6545">
        <w:rPr>
          <w:rFonts w:ascii="Arial" w:hAnsi="Arial" w:cs="Arial"/>
          <w:color w:val="000000" w:themeColor="text1"/>
        </w:rPr>
        <w:t>–</w:t>
      </w:r>
      <w:r w:rsidRPr="007C6545">
        <w:rPr>
          <w:rFonts w:ascii="Arial" w:hAnsi="Arial" w:cs="Arial"/>
          <w:color w:val="000000" w:themeColor="text1"/>
        </w:rPr>
        <w:t>63.</w:t>
      </w:r>
    </w:p>
    <w:p w14:paraId="2636CB8C" w14:textId="77777777" w:rsidR="00EB39C5" w:rsidRPr="007C6545" w:rsidRDefault="00BB71BC"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29</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Wingard JR, Carter SL, Walsh TJ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Randomized, double-blind trial of fluconazole versus voriconazole for prevention of invasive fungal infection after allogeneic hematopoietic cell transplantation. </w:t>
      </w:r>
      <w:r w:rsidR="00EB39C5" w:rsidRPr="007C6545">
        <w:rPr>
          <w:rFonts w:ascii="Arial" w:hAnsi="Arial" w:cs="Arial"/>
          <w:i/>
          <w:color w:val="000000" w:themeColor="text1"/>
        </w:rPr>
        <w:t>Blood</w:t>
      </w:r>
      <w:r w:rsidR="004F1C74" w:rsidRPr="007C6545">
        <w:rPr>
          <w:rFonts w:ascii="Arial" w:hAnsi="Arial" w:cs="Arial"/>
          <w:color w:val="000000" w:themeColor="text1"/>
        </w:rPr>
        <w:t xml:space="preserve"> 2010;</w:t>
      </w:r>
      <w:r w:rsidR="00394483" w:rsidRPr="007C6545">
        <w:rPr>
          <w:rFonts w:ascii="Arial" w:hAnsi="Arial" w:cs="Arial"/>
          <w:color w:val="000000" w:themeColor="text1"/>
        </w:rPr>
        <w:t xml:space="preserve"> </w:t>
      </w:r>
      <w:r w:rsidR="00EB39C5" w:rsidRPr="007C6545">
        <w:rPr>
          <w:rFonts w:ascii="Arial" w:hAnsi="Arial" w:cs="Arial"/>
          <w:b/>
          <w:color w:val="000000" w:themeColor="text1"/>
        </w:rPr>
        <w:t>116</w:t>
      </w:r>
      <w:r w:rsidR="004F1C74" w:rsidRPr="007C6545">
        <w:rPr>
          <w:rFonts w:ascii="Arial" w:hAnsi="Arial" w:cs="Arial"/>
          <w:color w:val="000000" w:themeColor="text1"/>
        </w:rPr>
        <w:t>:</w:t>
      </w:r>
      <w:r w:rsidR="00394483" w:rsidRPr="007C6545">
        <w:rPr>
          <w:rFonts w:ascii="Arial" w:hAnsi="Arial" w:cs="Arial"/>
          <w:color w:val="000000" w:themeColor="text1"/>
        </w:rPr>
        <w:t xml:space="preserve"> </w:t>
      </w:r>
      <w:r w:rsidR="004F1C74" w:rsidRPr="007C6545">
        <w:rPr>
          <w:rFonts w:ascii="Arial" w:hAnsi="Arial" w:cs="Arial"/>
          <w:color w:val="000000" w:themeColor="text1"/>
        </w:rPr>
        <w:t>5111</w:t>
      </w:r>
      <w:r w:rsidR="00394483" w:rsidRPr="007C6545">
        <w:rPr>
          <w:rFonts w:ascii="Arial" w:hAnsi="Arial" w:cs="Arial"/>
          <w:color w:val="000000" w:themeColor="text1"/>
        </w:rPr>
        <w:t>–</w:t>
      </w:r>
      <w:r w:rsidR="004F1C74" w:rsidRPr="007C6545">
        <w:rPr>
          <w:rFonts w:ascii="Arial" w:hAnsi="Arial" w:cs="Arial"/>
          <w:color w:val="000000" w:themeColor="text1"/>
        </w:rPr>
        <w:t>8.</w:t>
      </w:r>
    </w:p>
    <w:p w14:paraId="1F2B8E02"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0</w:t>
      </w:r>
      <w:r w:rsidRPr="007C6545">
        <w:rPr>
          <w:rFonts w:ascii="Arial" w:hAnsi="Arial" w:cs="Arial"/>
          <w:color w:val="000000" w:themeColor="text1"/>
        </w:rPr>
        <w:t>.</w:t>
      </w:r>
      <w:r w:rsidRPr="007C6545">
        <w:rPr>
          <w:rFonts w:ascii="Arial" w:hAnsi="Arial" w:cs="Arial"/>
          <w:color w:val="000000" w:themeColor="text1"/>
        </w:rPr>
        <w:tab/>
        <w:t xml:space="preserve">Marks DI, Pagliuca A, Kibbler CC </w:t>
      </w:r>
      <w:r w:rsidR="00AF6197" w:rsidRPr="007C6545">
        <w:rPr>
          <w:rFonts w:ascii="Arial" w:hAnsi="Arial" w:cs="Arial"/>
          <w:i/>
          <w:color w:val="000000" w:themeColor="text1"/>
        </w:rPr>
        <w:t>et al</w:t>
      </w:r>
      <w:r w:rsidRPr="007C6545">
        <w:rPr>
          <w:rFonts w:ascii="Arial" w:hAnsi="Arial" w:cs="Arial"/>
          <w:color w:val="000000" w:themeColor="text1"/>
        </w:rPr>
        <w:t xml:space="preserve">. Voriconazole versus itraconazole for antifungal prophylaxis following allogeneic haematopoietic stem-cell transplantation. </w:t>
      </w:r>
      <w:r w:rsidR="00EB39C5" w:rsidRPr="007C6545">
        <w:rPr>
          <w:rFonts w:ascii="Arial" w:hAnsi="Arial" w:cs="Arial"/>
          <w:i/>
          <w:color w:val="000000" w:themeColor="text1"/>
        </w:rPr>
        <w:t>Br J Haematol</w:t>
      </w:r>
      <w:r w:rsidRPr="007C6545">
        <w:rPr>
          <w:rFonts w:ascii="Arial" w:hAnsi="Arial" w:cs="Arial"/>
          <w:color w:val="000000" w:themeColor="text1"/>
        </w:rPr>
        <w:t xml:space="preserve"> 2011;</w:t>
      </w:r>
      <w:r w:rsidR="00394483" w:rsidRPr="007C6545">
        <w:rPr>
          <w:rFonts w:ascii="Arial" w:hAnsi="Arial" w:cs="Arial"/>
          <w:color w:val="000000" w:themeColor="text1"/>
        </w:rPr>
        <w:t xml:space="preserve"> </w:t>
      </w:r>
      <w:r w:rsidR="00EB39C5" w:rsidRPr="007C6545">
        <w:rPr>
          <w:rFonts w:ascii="Arial" w:hAnsi="Arial" w:cs="Arial"/>
          <w:b/>
          <w:color w:val="000000" w:themeColor="text1"/>
        </w:rPr>
        <w:t>155</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318</w:t>
      </w:r>
      <w:r w:rsidR="00394483" w:rsidRPr="007C6545">
        <w:rPr>
          <w:rFonts w:ascii="Arial" w:hAnsi="Arial" w:cs="Arial"/>
          <w:color w:val="000000" w:themeColor="text1"/>
        </w:rPr>
        <w:t>–</w:t>
      </w:r>
      <w:r w:rsidRPr="007C6545">
        <w:rPr>
          <w:rFonts w:ascii="Arial" w:hAnsi="Arial" w:cs="Arial"/>
          <w:color w:val="000000" w:themeColor="text1"/>
        </w:rPr>
        <w:t>27.</w:t>
      </w:r>
    </w:p>
    <w:p w14:paraId="64F39587"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1</w:t>
      </w:r>
      <w:r w:rsidRPr="007C6545">
        <w:rPr>
          <w:rFonts w:ascii="Arial" w:hAnsi="Arial" w:cs="Arial"/>
          <w:color w:val="000000" w:themeColor="text1"/>
        </w:rPr>
        <w:t>.</w:t>
      </w:r>
      <w:r w:rsidRPr="007C6545">
        <w:rPr>
          <w:rFonts w:ascii="Arial" w:hAnsi="Arial" w:cs="Arial"/>
          <w:color w:val="000000" w:themeColor="text1"/>
        </w:rPr>
        <w:tab/>
        <w:t xml:space="preserve">Hope WW. Population pharmacokinetics of voriconazole in adults.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2012;</w:t>
      </w:r>
      <w:r w:rsidR="00394483" w:rsidRPr="007C6545">
        <w:rPr>
          <w:rFonts w:ascii="Arial" w:hAnsi="Arial" w:cs="Arial"/>
          <w:color w:val="000000" w:themeColor="text1"/>
        </w:rPr>
        <w:t xml:space="preserve"> </w:t>
      </w:r>
      <w:r w:rsidR="00EB39C5" w:rsidRPr="007C6545">
        <w:rPr>
          <w:rFonts w:ascii="Arial" w:hAnsi="Arial" w:cs="Arial"/>
          <w:b/>
          <w:color w:val="000000" w:themeColor="text1"/>
        </w:rPr>
        <w:t>56</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526</w:t>
      </w:r>
      <w:r w:rsidR="00394483" w:rsidRPr="007C6545">
        <w:rPr>
          <w:rFonts w:ascii="Arial" w:hAnsi="Arial" w:cs="Arial"/>
          <w:color w:val="000000" w:themeColor="text1"/>
        </w:rPr>
        <w:t>–</w:t>
      </w:r>
      <w:r w:rsidRPr="007C6545">
        <w:rPr>
          <w:rFonts w:ascii="Arial" w:hAnsi="Arial" w:cs="Arial"/>
          <w:color w:val="000000" w:themeColor="text1"/>
        </w:rPr>
        <w:t>31.</w:t>
      </w:r>
    </w:p>
    <w:p w14:paraId="6FBC3BB9"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2</w:t>
      </w:r>
      <w:r w:rsidRPr="007C6545">
        <w:rPr>
          <w:rFonts w:ascii="Arial" w:hAnsi="Arial" w:cs="Arial"/>
          <w:color w:val="000000" w:themeColor="text1"/>
        </w:rPr>
        <w:t>.</w:t>
      </w:r>
      <w:r w:rsidRPr="007C6545">
        <w:rPr>
          <w:rFonts w:ascii="Arial" w:hAnsi="Arial" w:cs="Arial"/>
          <w:color w:val="000000" w:themeColor="text1"/>
        </w:rPr>
        <w:tab/>
        <w:t xml:space="preserve">Luong M-L, Al-Dabbagh M, Groll AH </w:t>
      </w:r>
      <w:r w:rsidR="00AF6197" w:rsidRPr="007C6545">
        <w:rPr>
          <w:rFonts w:ascii="Arial" w:hAnsi="Arial" w:cs="Arial"/>
          <w:i/>
          <w:color w:val="000000" w:themeColor="text1"/>
        </w:rPr>
        <w:t>et al</w:t>
      </w:r>
      <w:r w:rsidRPr="007C6545">
        <w:rPr>
          <w:rFonts w:ascii="Arial" w:hAnsi="Arial" w:cs="Arial"/>
          <w:color w:val="000000" w:themeColor="text1"/>
        </w:rPr>
        <w:t xml:space="preserve">. Utility of voriconazole therapeutic drug monitoring: a meta-analysis. </w:t>
      </w:r>
      <w:r w:rsidR="00EB39C5" w:rsidRPr="007C6545">
        <w:rPr>
          <w:rFonts w:ascii="Arial" w:hAnsi="Arial" w:cs="Arial"/>
          <w:i/>
          <w:color w:val="000000" w:themeColor="text1"/>
        </w:rPr>
        <w:t>J Antimicrob Chemother</w:t>
      </w:r>
      <w:r w:rsidRPr="007C6545">
        <w:rPr>
          <w:rFonts w:ascii="Arial" w:hAnsi="Arial" w:cs="Arial"/>
          <w:color w:val="000000" w:themeColor="text1"/>
        </w:rPr>
        <w:t xml:space="preserve"> 2016;</w:t>
      </w:r>
      <w:r w:rsidR="00394483" w:rsidRPr="007C6545">
        <w:rPr>
          <w:rFonts w:ascii="Arial" w:hAnsi="Arial" w:cs="Arial"/>
          <w:color w:val="000000" w:themeColor="text1"/>
        </w:rPr>
        <w:t xml:space="preserve"> </w:t>
      </w:r>
      <w:r w:rsidR="00EB39C5" w:rsidRPr="007C6545">
        <w:rPr>
          <w:rFonts w:ascii="Arial" w:hAnsi="Arial" w:cs="Arial"/>
          <w:b/>
          <w:color w:val="000000" w:themeColor="text1"/>
        </w:rPr>
        <w:t>71</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1786</w:t>
      </w:r>
      <w:r w:rsidR="00394483" w:rsidRPr="007C6545">
        <w:rPr>
          <w:rFonts w:ascii="Arial" w:hAnsi="Arial" w:cs="Arial"/>
          <w:color w:val="000000" w:themeColor="text1"/>
        </w:rPr>
        <w:t>–</w:t>
      </w:r>
      <w:r w:rsidRPr="007C6545">
        <w:rPr>
          <w:rFonts w:ascii="Arial" w:hAnsi="Arial" w:cs="Arial"/>
          <w:color w:val="000000" w:themeColor="text1"/>
        </w:rPr>
        <w:t>99.</w:t>
      </w:r>
    </w:p>
    <w:p w14:paraId="234C26B0"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3</w:t>
      </w:r>
      <w:r w:rsidRPr="007C6545">
        <w:rPr>
          <w:rFonts w:ascii="Arial" w:hAnsi="Arial" w:cs="Arial"/>
          <w:color w:val="000000" w:themeColor="text1"/>
        </w:rPr>
        <w:t>.</w:t>
      </w:r>
      <w:r w:rsidRPr="007C6545">
        <w:rPr>
          <w:rFonts w:ascii="Arial" w:hAnsi="Arial" w:cs="Arial"/>
          <w:color w:val="000000" w:themeColor="text1"/>
        </w:rPr>
        <w:tab/>
        <w:t>Hyland R, Jones BC, Smith DA</w:t>
      </w:r>
      <w:r w:rsidR="00394483" w:rsidRPr="007C6545">
        <w:rPr>
          <w:rFonts w:ascii="Arial" w:hAnsi="Arial" w:cs="Arial"/>
          <w:color w:val="000000" w:themeColor="text1"/>
        </w:rPr>
        <w:t>. Identification of the cytochrome p450 enzymes involved in the N-oxidation of voriconazole</w:t>
      </w:r>
      <w:r w:rsidRPr="007C6545">
        <w:rPr>
          <w:rFonts w:ascii="Arial" w:hAnsi="Arial" w:cs="Arial"/>
          <w:color w:val="000000" w:themeColor="text1"/>
        </w:rPr>
        <w:t xml:space="preserve">. </w:t>
      </w:r>
      <w:r w:rsidR="00EB39C5" w:rsidRPr="007C6545">
        <w:rPr>
          <w:rFonts w:ascii="Arial" w:hAnsi="Arial" w:cs="Arial"/>
          <w:i/>
          <w:color w:val="000000" w:themeColor="text1"/>
        </w:rPr>
        <w:t>Drug Metab Dispos</w:t>
      </w:r>
      <w:r w:rsidR="00394483" w:rsidRPr="007C6545">
        <w:rPr>
          <w:rFonts w:ascii="Arial" w:hAnsi="Arial" w:cs="Arial"/>
          <w:color w:val="000000" w:themeColor="text1"/>
        </w:rPr>
        <w:t xml:space="preserve"> </w:t>
      </w:r>
      <w:r w:rsidRPr="007C6545">
        <w:rPr>
          <w:rFonts w:ascii="Arial" w:hAnsi="Arial" w:cs="Arial"/>
          <w:color w:val="000000" w:themeColor="text1"/>
        </w:rPr>
        <w:t>2003;</w:t>
      </w:r>
      <w:r w:rsidR="00394483" w:rsidRPr="007C6545">
        <w:rPr>
          <w:rFonts w:ascii="Arial" w:hAnsi="Arial" w:cs="Arial"/>
          <w:color w:val="000000" w:themeColor="text1"/>
        </w:rPr>
        <w:t xml:space="preserve"> </w:t>
      </w:r>
      <w:r w:rsidR="00EB39C5" w:rsidRPr="007C6545">
        <w:rPr>
          <w:rFonts w:ascii="Arial" w:hAnsi="Arial" w:cs="Arial"/>
          <w:b/>
          <w:color w:val="000000" w:themeColor="text1"/>
        </w:rPr>
        <w:t>31</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540</w:t>
      </w:r>
      <w:r w:rsidR="00394483" w:rsidRPr="007C6545">
        <w:rPr>
          <w:rFonts w:ascii="Arial" w:hAnsi="Arial" w:cs="Arial"/>
          <w:color w:val="000000" w:themeColor="text1"/>
        </w:rPr>
        <w:t>–</w:t>
      </w:r>
      <w:r w:rsidRPr="007C6545">
        <w:rPr>
          <w:rFonts w:ascii="Arial" w:hAnsi="Arial" w:cs="Arial"/>
          <w:color w:val="000000" w:themeColor="text1"/>
        </w:rPr>
        <w:t>7.</w:t>
      </w:r>
    </w:p>
    <w:p w14:paraId="3B74F8CB" w14:textId="77777777" w:rsidR="00EB39C5" w:rsidRPr="007C6545" w:rsidRDefault="004F1C74"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rPr>
        <w:lastRenderedPageBreak/>
        <w:t>3</w:t>
      </w:r>
      <w:r w:rsidR="00BB71BC" w:rsidRPr="007C6545">
        <w:rPr>
          <w:rFonts w:ascii="Arial" w:hAnsi="Arial" w:cs="Arial"/>
          <w:color w:val="000000" w:themeColor="text1"/>
        </w:rPr>
        <w:t>4</w:t>
      </w:r>
      <w:r w:rsidRPr="007C6545">
        <w:rPr>
          <w:rFonts w:ascii="Arial" w:hAnsi="Arial" w:cs="Arial"/>
          <w:color w:val="000000" w:themeColor="text1"/>
        </w:rPr>
        <w:t>.</w:t>
      </w:r>
      <w:r w:rsidRPr="007C6545">
        <w:rPr>
          <w:rFonts w:ascii="Arial" w:hAnsi="Arial" w:cs="Arial"/>
          <w:color w:val="000000" w:themeColor="text1"/>
        </w:rPr>
        <w:tab/>
        <w:t xml:space="preserve">Walsh TJ, Karlsson MO, Driscoll T </w:t>
      </w:r>
      <w:r w:rsidR="00AF6197" w:rsidRPr="007C6545">
        <w:rPr>
          <w:rFonts w:ascii="Arial" w:hAnsi="Arial" w:cs="Arial"/>
          <w:i/>
          <w:color w:val="000000" w:themeColor="text1"/>
        </w:rPr>
        <w:t>et al</w:t>
      </w:r>
      <w:r w:rsidRPr="007C6545">
        <w:rPr>
          <w:rFonts w:ascii="Arial" w:hAnsi="Arial" w:cs="Arial"/>
          <w:color w:val="000000" w:themeColor="text1"/>
        </w:rPr>
        <w:t xml:space="preserve">. Pharmacokinetics and safety of intravenous voriconazole in children after single- or multiple-dose administration. </w:t>
      </w:r>
      <w:r w:rsidR="000E16BA" w:rsidRPr="007C6545">
        <w:rPr>
          <w:rFonts w:ascii="Arial" w:hAnsi="Arial" w:cs="Arial"/>
          <w:i/>
          <w:color w:val="000000" w:themeColor="text1"/>
          <w:lang w:val="fr-FR"/>
        </w:rPr>
        <w:t>Antimicrob Agents Chemother</w:t>
      </w:r>
      <w:r w:rsidR="000E16BA" w:rsidRPr="007C6545">
        <w:rPr>
          <w:rFonts w:ascii="Arial" w:hAnsi="Arial" w:cs="Arial"/>
          <w:color w:val="000000" w:themeColor="text1"/>
          <w:lang w:val="fr-FR"/>
        </w:rPr>
        <w:t xml:space="preserve"> 2004; </w:t>
      </w:r>
      <w:r w:rsidR="000E16BA" w:rsidRPr="007C6545">
        <w:rPr>
          <w:rFonts w:ascii="Arial" w:hAnsi="Arial" w:cs="Arial"/>
          <w:b/>
          <w:color w:val="000000" w:themeColor="text1"/>
          <w:lang w:val="fr-FR"/>
        </w:rPr>
        <w:t>48</w:t>
      </w:r>
      <w:r w:rsidR="000E16BA" w:rsidRPr="007C6545">
        <w:rPr>
          <w:rFonts w:ascii="Arial" w:hAnsi="Arial" w:cs="Arial"/>
          <w:color w:val="000000" w:themeColor="text1"/>
          <w:lang w:val="fr-FR"/>
        </w:rPr>
        <w:t>: 2166–72.</w:t>
      </w:r>
    </w:p>
    <w:p w14:paraId="117948D5"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fr-FR"/>
        </w:rPr>
        <w:t>3</w:t>
      </w:r>
      <w:r w:rsidR="00BB71BC" w:rsidRPr="007C6545">
        <w:rPr>
          <w:rFonts w:ascii="Arial" w:hAnsi="Arial" w:cs="Arial"/>
          <w:color w:val="000000" w:themeColor="text1"/>
          <w:lang w:val="fr-FR"/>
        </w:rPr>
        <w:t>5</w:t>
      </w:r>
      <w:r w:rsidRPr="007C6545">
        <w:rPr>
          <w:rFonts w:ascii="Arial" w:hAnsi="Arial" w:cs="Arial"/>
          <w:color w:val="000000" w:themeColor="text1"/>
          <w:lang w:val="fr-FR"/>
        </w:rPr>
        <w:t>.</w:t>
      </w:r>
      <w:r w:rsidRPr="007C6545">
        <w:rPr>
          <w:rFonts w:ascii="Arial" w:hAnsi="Arial" w:cs="Arial"/>
          <w:color w:val="000000" w:themeColor="text1"/>
          <w:lang w:val="fr-FR"/>
        </w:rPr>
        <w:tab/>
        <w:t xml:space="preserve">Friberg LE, Ravva P, Karlsson MO </w:t>
      </w:r>
      <w:r w:rsidR="00AF6197" w:rsidRPr="007C6545">
        <w:rPr>
          <w:rFonts w:ascii="Arial" w:hAnsi="Arial" w:cs="Arial"/>
          <w:i/>
          <w:color w:val="000000" w:themeColor="text1"/>
          <w:lang w:val="fr-FR"/>
        </w:rPr>
        <w:t>et al</w:t>
      </w:r>
      <w:r w:rsidRPr="007C6545">
        <w:rPr>
          <w:rFonts w:ascii="Arial" w:hAnsi="Arial" w:cs="Arial"/>
          <w:color w:val="000000" w:themeColor="text1"/>
          <w:lang w:val="fr-FR"/>
        </w:rPr>
        <w:t xml:space="preserve">. </w:t>
      </w:r>
      <w:r w:rsidR="004F1C74" w:rsidRPr="007C6545">
        <w:rPr>
          <w:rFonts w:ascii="Arial" w:hAnsi="Arial" w:cs="Arial"/>
          <w:color w:val="000000" w:themeColor="text1"/>
        </w:rPr>
        <w:t xml:space="preserve">Integrated population pharmacokinetic analysis of voriconazole in children, adolescents, and adults. </w:t>
      </w:r>
      <w:r w:rsidR="00EB39C5" w:rsidRPr="007C6545">
        <w:rPr>
          <w:rFonts w:ascii="Arial" w:hAnsi="Arial" w:cs="Arial"/>
          <w:i/>
          <w:color w:val="000000" w:themeColor="text1"/>
        </w:rPr>
        <w:t>Antimicrob Agents Chemother</w:t>
      </w:r>
      <w:r w:rsidR="004F1C74" w:rsidRPr="007C6545">
        <w:rPr>
          <w:rFonts w:ascii="Arial" w:hAnsi="Arial" w:cs="Arial"/>
          <w:color w:val="000000" w:themeColor="text1"/>
        </w:rPr>
        <w:t xml:space="preserve"> 2012;</w:t>
      </w:r>
      <w:r w:rsidR="00394483" w:rsidRPr="007C6545">
        <w:rPr>
          <w:rFonts w:ascii="Arial" w:hAnsi="Arial" w:cs="Arial"/>
          <w:color w:val="000000" w:themeColor="text1"/>
        </w:rPr>
        <w:t xml:space="preserve"> </w:t>
      </w:r>
      <w:r w:rsidR="00EB39C5" w:rsidRPr="007C6545">
        <w:rPr>
          <w:rFonts w:ascii="Arial" w:hAnsi="Arial" w:cs="Arial"/>
          <w:b/>
          <w:color w:val="000000" w:themeColor="text1"/>
        </w:rPr>
        <w:t>56</w:t>
      </w:r>
      <w:r w:rsidR="004F1C74" w:rsidRPr="007C6545">
        <w:rPr>
          <w:rFonts w:ascii="Arial" w:hAnsi="Arial" w:cs="Arial"/>
          <w:color w:val="000000" w:themeColor="text1"/>
        </w:rPr>
        <w:t>:</w:t>
      </w:r>
      <w:r w:rsidR="00394483" w:rsidRPr="007C6545">
        <w:rPr>
          <w:rFonts w:ascii="Arial" w:hAnsi="Arial" w:cs="Arial"/>
          <w:color w:val="000000" w:themeColor="text1"/>
        </w:rPr>
        <w:t xml:space="preserve"> </w:t>
      </w:r>
      <w:r w:rsidR="004F1C74" w:rsidRPr="007C6545">
        <w:rPr>
          <w:rFonts w:ascii="Arial" w:hAnsi="Arial" w:cs="Arial"/>
          <w:color w:val="000000" w:themeColor="text1"/>
        </w:rPr>
        <w:t>3032</w:t>
      </w:r>
      <w:r w:rsidR="00394483" w:rsidRPr="007C6545">
        <w:rPr>
          <w:rFonts w:ascii="Arial" w:hAnsi="Arial" w:cs="Arial"/>
          <w:color w:val="000000" w:themeColor="text1"/>
        </w:rPr>
        <w:t>–</w:t>
      </w:r>
      <w:r w:rsidR="004F1C74" w:rsidRPr="007C6545">
        <w:rPr>
          <w:rFonts w:ascii="Arial" w:hAnsi="Arial" w:cs="Arial"/>
          <w:color w:val="000000" w:themeColor="text1"/>
        </w:rPr>
        <w:t>42.</w:t>
      </w:r>
    </w:p>
    <w:p w14:paraId="74EBD8FC"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6</w:t>
      </w:r>
      <w:r w:rsidRPr="007C6545">
        <w:rPr>
          <w:rFonts w:ascii="Arial" w:hAnsi="Arial" w:cs="Arial"/>
          <w:color w:val="000000" w:themeColor="text1"/>
        </w:rPr>
        <w:t>.</w:t>
      </w:r>
      <w:r w:rsidRPr="007C6545">
        <w:rPr>
          <w:rFonts w:ascii="Arial" w:hAnsi="Arial" w:cs="Arial"/>
          <w:color w:val="000000" w:themeColor="text1"/>
        </w:rPr>
        <w:tab/>
        <w:t xml:space="preserve">Kadam RS, Van Den Anker JN. </w:t>
      </w:r>
      <w:r w:rsidR="00394483" w:rsidRPr="007C6545">
        <w:rPr>
          <w:rFonts w:ascii="Arial" w:hAnsi="Arial" w:cs="Arial"/>
          <w:color w:val="000000" w:themeColor="text1"/>
        </w:rPr>
        <w:t>Pediatric clinical pharmacology of voriconazole: role of pharmacokinetic/pharmacodynamic modeling in pharmacotherapy</w:t>
      </w:r>
      <w:r w:rsidRPr="007C6545">
        <w:rPr>
          <w:rFonts w:ascii="Arial" w:hAnsi="Arial" w:cs="Arial"/>
          <w:color w:val="000000" w:themeColor="text1"/>
        </w:rPr>
        <w:t xml:space="preserve">. </w:t>
      </w:r>
      <w:r w:rsidR="00EB39C5" w:rsidRPr="007C6545">
        <w:rPr>
          <w:rFonts w:ascii="Arial" w:hAnsi="Arial" w:cs="Arial"/>
          <w:i/>
          <w:color w:val="000000" w:themeColor="text1"/>
        </w:rPr>
        <w:t>Clin Pharmacokinet</w:t>
      </w:r>
      <w:r w:rsidR="00394483" w:rsidRPr="007C6545">
        <w:rPr>
          <w:rFonts w:ascii="Arial" w:hAnsi="Arial" w:cs="Arial"/>
          <w:color w:val="000000" w:themeColor="text1"/>
        </w:rPr>
        <w:t xml:space="preserve"> </w:t>
      </w:r>
      <w:r w:rsidRPr="007C6545">
        <w:rPr>
          <w:rFonts w:ascii="Arial" w:hAnsi="Arial" w:cs="Arial"/>
          <w:color w:val="000000" w:themeColor="text1"/>
        </w:rPr>
        <w:t>2016</w:t>
      </w:r>
      <w:r w:rsidR="00DC4074" w:rsidRPr="007C6545">
        <w:rPr>
          <w:rFonts w:ascii="Arial" w:hAnsi="Arial" w:cs="Arial"/>
          <w:color w:val="000000" w:themeColor="text1"/>
        </w:rPr>
        <w:t xml:space="preserve">; </w:t>
      </w:r>
      <w:r w:rsidR="00AF6197" w:rsidRPr="007C6545">
        <w:rPr>
          <w:rFonts w:ascii="Arial" w:hAnsi="Arial" w:cs="Arial"/>
          <w:b/>
          <w:color w:val="000000" w:themeColor="text1"/>
        </w:rPr>
        <w:t>55</w:t>
      </w:r>
      <w:r w:rsidR="00DC4074" w:rsidRPr="007C6545">
        <w:rPr>
          <w:rFonts w:ascii="Arial" w:hAnsi="Arial" w:cs="Arial"/>
          <w:color w:val="000000" w:themeColor="text1"/>
        </w:rPr>
        <w:t>: 1031–43.</w:t>
      </w:r>
    </w:p>
    <w:p w14:paraId="16F031F0"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7</w:t>
      </w:r>
      <w:r w:rsidRPr="007C6545">
        <w:rPr>
          <w:rFonts w:ascii="Arial" w:hAnsi="Arial" w:cs="Arial"/>
          <w:color w:val="000000" w:themeColor="text1"/>
        </w:rPr>
        <w:t>.</w:t>
      </w:r>
      <w:r w:rsidRPr="007C6545">
        <w:rPr>
          <w:rFonts w:ascii="Arial" w:hAnsi="Arial" w:cs="Arial"/>
          <w:color w:val="000000" w:themeColor="text1"/>
        </w:rPr>
        <w:tab/>
        <w:t xml:space="preserve">Elewa H, El-Mekaty E, El-Bardissy A </w:t>
      </w:r>
      <w:r w:rsidR="00AF6197" w:rsidRPr="007C6545">
        <w:rPr>
          <w:rFonts w:ascii="Arial" w:hAnsi="Arial" w:cs="Arial"/>
          <w:i/>
          <w:color w:val="000000" w:themeColor="text1"/>
        </w:rPr>
        <w:t>et al</w:t>
      </w:r>
      <w:r w:rsidRPr="007C6545">
        <w:rPr>
          <w:rFonts w:ascii="Arial" w:hAnsi="Arial" w:cs="Arial"/>
          <w:color w:val="000000" w:themeColor="text1"/>
        </w:rPr>
        <w:t xml:space="preserve">. </w:t>
      </w:r>
      <w:r w:rsidR="00394483" w:rsidRPr="007C6545">
        <w:rPr>
          <w:rFonts w:ascii="Arial" w:hAnsi="Arial" w:cs="Arial"/>
          <w:color w:val="000000" w:themeColor="text1"/>
        </w:rPr>
        <w:t>Therapeutic drug monitoring of voriconazole in the management of invasive fungal infections: a critical review</w:t>
      </w:r>
      <w:r w:rsidRPr="007C6545">
        <w:rPr>
          <w:rFonts w:ascii="Arial" w:hAnsi="Arial" w:cs="Arial"/>
          <w:color w:val="000000" w:themeColor="text1"/>
        </w:rPr>
        <w:t xml:space="preserve">. </w:t>
      </w:r>
      <w:r w:rsidR="00EB39C5" w:rsidRPr="007C6545">
        <w:rPr>
          <w:rFonts w:ascii="Arial" w:hAnsi="Arial" w:cs="Arial"/>
          <w:i/>
          <w:color w:val="000000" w:themeColor="text1"/>
        </w:rPr>
        <w:t xml:space="preserve">Clin Pharmacokinet  </w:t>
      </w:r>
      <w:r w:rsidRPr="007C6545">
        <w:rPr>
          <w:rFonts w:ascii="Arial" w:hAnsi="Arial" w:cs="Arial"/>
          <w:color w:val="000000" w:themeColor="text1"/>
        </w:rPr>
        <w:t>2015;</w:t>
      </w:r>
      <w:r w:rsidR="00394483" w:rsidRPr="007C6545">
        <w:rPr>
          <w:rFonts w:ascii="Arial" w:hAnsi="Arial" w:cs="Arial"/>
          <w:color w:val="000000" w:themeColor="text1"/>
        </w:rPr>
        <w:t xml:space="preserve"> </w:t>
      </w:r>
      <w:r w:rsidR="00EB39C5" w:rsidRPr="007C6545">
        <w:rPr>
          <w:rFonts w:ascii="Arial" w:hAnsi="Arial" w:cs="Arial"/>
          <w:b/>
          <w:color w:val="000000" w:themeColor="text1"/>
        </w:rPr>
        <w:t>54</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1223</w:t>
      </w:r>
      <w:r w:rsidR="00394483" w:rsidRPr="007C6545">
        <w:rPr>
          <w:rFonts w:ascii="Arial" w:hAnsi="Arial" w:cs="Arial"/>
          <w:color w:val="000000" w:themeColor="text1"/>
        </w:rPr>
        <w:t>–</w:t>
      </w:r>
      <w:r w:rsidRPr="007C6545">
        <w:rPr>
          <w:rFonts w:ascii="Arial" w:hAnsi="Arial" w:cs="Arial"/>
          <w:color w:val="000000" w:themeColor="text1"/>
        </w:rPr>
        <w:t>35.</w:t>
      </w:r>
    </w:p>
    <w:p w14:paraId="17B8775E"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w:t>
      </w:r>
      <w:r w:rsidR="00BB71BC" w:rsidRPr="007C6545">
        <w:rPr>
          <w:rFonts w:ascii="Arial" w:hAnsi="Arial" w:cs="Arial"/>
          <w:color w:val="000000" w:themeColor="text1"/>
        </w:rPr>
        <w:t>8</w:t>
      </w:r>
      <w:r w:rsidRPr="007C6545">
        <w:rPr>
          <w:rFonts w:ascii="Arial" w:hAnsi="Arial" w:cs="Arial"/>
          <w:color w:val="000000" w:themeColor="text1"/>
        </w:rPr>
        <w:t>.</w:t>
      </w:r>
      <w:r w:rsidRPr="007C6545">
        <w:rPr>
          <w:rFonts w:ascii="Arial" w:hAnsi="Arial" w:cs="Arial"/>
          <w:color w:val="000000" w:themeColor="text1"/>
        </w:rPr>
        <w:tab/>
        <w:t xml:space="preserve">Hamada Y, Seto Y, Yago K, Kuroyama M. Investigation and threshold of optimum blood concentration of voriconazole: a descriptive statistical meta-analysis. </w:t>
      </w:r>
      <w:r w:rsidR="00EB39C5" w:rsidRPr="007C6545">
        <w:rPr>
          <w:rFonts w:ascii="Arial" w:hAnsi="Arial" w:cs="Arial"/>
          <w:i/>
          <w:color w:val="000000" w:themeColor="text1"/>
        </w:rPr>
        <w:t>J Infect Chemother</w:t>
      </w:r>
      <w:r w:rsidRPr="007C6545">
        <w:rPr>
          <w:rFonts w:ascii="Arial" w:hAnsi="Arial" w:cs="Arial"/>
          <w:color w:val="000000" w:themeColor="text1"/>
        </w:rPr>
        <w:t xml:space="preserve"> 2012;</w:t>
      </w:r>
      <w:r w:rsidR="00394483" w:rsidRPr="007C6545">
        <w:rPr>
          <w:rFonts w:ascii="Arial" w:hAnsi="Arial" w:cs="Arial"/>
          <w:color w:val="000000" w:themeColor="text1"/>
        </w:rPr>
        <w:t xml:space="preserve"> </w:t>
      </w:r>
      <w:r w:rsidR="00EB39C5" w:rsidRPr="007C6545">
        <w:rPr>
          <w:rFonts w:ascii="Arial" w:hAnsi="Arial" w:cs="Arial"/>
          <w:b/>
          <w:color w:val="000000" w:themeColor="text1"/>
        </w:rPr>
        <w:t>18</w:t>
      </w:r>
      <w:r w:rsidRPr="007C6545">
        <w:rPr>
          <w:rFonts w:ascii="Arial" w:hAnsi="Arial" w:cs="Arial"/>
          <w:color w:val="000000" w:themeColor="text1"/>
        </w:rPr>
        <w:t>:</w:t>
      </w:r>
      <w:r w:rsidR="00394483" w:rsidRPr="007C6545">
        <w:rPr>
          <w:rFonts w:ascii="Arial" w:hAnsi="Arial" w:cs="Arial"/>
          <w:color w:val="000000" w:themeColor="text1"/>
        </w:rPr>
        <w:t xml:space="preserve"> </w:t>
      </w:r>
      <w:r w:rsidRPr="007C6545">
        <w:rPr>
          <w:rFonts w:ascii="Arial" w:hAnsi="Arial" w:cs="Arial"/>
          <w:color w:val="000000" w:themeColor="text1"/>
        </w:rPr>
        <w:t>501</w:t>
      </w:r>
      <w:r w:rsidR="00394483" w:rsidRPr="007C6545">
        <w:rPr>
          <w:rFonts w:ascii="Arial" w:hAnsi="Arial" w:cs="Arial"/>
          <w:color w:val="000000" w:themeColor="text1"/>
        </w:rPr>
        <w:t>–</w:t>
      </w:r>
      <w:r w:rsidRPr="007C6545">
        <w:rPr>
          <w:rFonts w:ascii="Arial" w:hAnsi="Arial" w:cs="Arial"/>
          <w:color w:val="000000" w:themeColor="text1"/>
        </w:rPr>
        <w:t>7.</w:t>
      </w:r>
    </w:p>
    <w:p w14:paraId="1AC806F3" w14:textId="77777777" w:rsidR="00EB39C5" w:rsidRPr="007C6545" w:rsidRDefault="00BB71BC"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39</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Jeans AR, Howard SJ, Al-Nakeeb Z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Combination of voriconazole and anidulafungin for treatment of triazole-resistant aspergillus fumigatus in an in vitro model of invasive pulmonary aspergillosis. </w:t>
      </w:r>
      <w:r w:rsidR="00EB39C5" w:rsidRPr="007C6545">
        <w:rPr>
          <w:rFonts w:ascii="Arial" w:hAnsi="Arial" w:cs="Arial"/>
          <w:i/>
          <w:color w:val="000000" w:themeColor="text1"/>
        </w:rPr>
        <w:t>Antimicrob Agents Chemother</w:t>
      </w:r>
      <w:r w:rsidR="004F1C74" w:rsidRPr="007C6545">
        <w:rPr>
          <w:rFonts w:ascii="Arial" w:hAnsi="Arial" w:cs="Arial"/>
          <w:color w:val="000000" w:themeColor="text1"/>
        </w:rPr>
        <w:t xml:space="preserve"> 2012;</w:t>
      </w:r>
      <w:r w:rsidR="00394483" w:rsidRPr="007C6545">
        <w:rPr>
          <w:rFonts w:ascii="Arial" w:hAnsi="Arial" w:cs="Arial"/>
          <w:color w:val="000000" w:themeColor="text1"/>
        </w:rPr>
        <w:t xml:space="preserve"> </w:t>
      </w:r>
      <w:r w:rsidR="00EB39C5" w:rsidRPr="007C6545">
        <w:rPr>
          <w:rFonts w:ascii="Arial" w:hAnsi="Arial" w:cs="Arial"/>
          <w:b/>
          <w:color w:val="000000" w:themeColor="text1"/>
        </w:rPr>
        <w:t>56</w:t>
      </w:r>
      <w:r w:rsidR="004F1C74" w:rsidRPr="007C6545">
        <w:rPr>
          <w:rFonts w:ascii="Arial" w:hAnsi="Arial" w:cs="Arial"/>
          <w:color w:val="000000" w:themeColor="text1"/>
        </w:rPr>
        <w:t>:</w:t>
      </w:r>
      <w:r w:rsidR="00394483" w:rsidRPr="007C6545">
        <w:rPr>
          <w:rFonts w:ascii="Arial" w:hAnsi="Arial" w:cs="Arial"/>
          <w:color w:val="000000" w:themeColor="text1"/>
        </w:rPr>
        <w:t xml:space="preserve"> </w:t>
      </w:r>
      <w:r w:rsidR="004F1C74" w:rsidRPr="007C6545">
        <w:rPr>
          <w:rFonts w:ascii="Arial" w:hAnsi="Arial" w:cs="Arial"/>
          <w:color w:val="000000" w:themeColor="text1"/>
        </w:rPr>
        <w:t>5180</w:t>
      </w:r>
      <w:r w:rsidR="00394483" w:rsidRPr="007C6545">
        <w:rPr>
          <w:rFonts w:ascii="Arial" w:hAnsi="Arial" w:cs="Arial"/>
          <w:color w:val="000000" w:themeColor="text1"/>
        </w:rPr>
        <w:t>–</w:t>
      </w:r>
      <w:r w:rsidR="004F1C74" w:rsidRPr="007C6545">
        <w:rPr>
          <w:rFonts w:ascii="Arial" w:hAnsi="Arial" w:cs="Arial"/>
          <w:color w:val="000000" w:themeColor="text1"/>
        </w:rPr>
        <w:t>5.</w:t>
      </w:r>
    </w:p>
    <w:p w14:paraId="06BF5BCB" w14:textId="77777777" w:rsidR="00EB39C5" w:rsidRPr="007C6545" w:rsidRDefault="004F1C74"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rPr>
        <w:t>4</w:t>
      </w:r>
      <w:r w:rsidR="00BB71BC" w:rsidRPr="007C6545">
        <w:rPr>
          <w:rFonts w:ascii="Arial" w:hAnsi="Arial" w:cs="Arial"/>
          <w:color w:val="000000" w:themeColor="text1"/>
        </w:rPr>
        <w:t>0</w:t>
      </w:r>
      <w:r w:rsidRPr="007C6545">
        <w:rPr>
          <w:rFonts w:ascii="Arial" w:hAnsi="Arial" w:cs="Arial"/>
          <w:color w:val="000000" w:themeColor="text1"/>
        </w:rPr>
        <w:t>.</w:t>
      </w:r>
      <w:r w:rsidRPr="007C6545">
        <w:rPr>
          <w:rFonts w:ascii="Arial" w:hAnsi="Arial" w:cs="Arial"/>
          <w:color w:val="000000" w:themeColor="text1"/>
        </w:rPr>
        <w:tab/>
        <w:t xml:space="preserve">Troke PF, Hockey HP, Hope WW. Observational study of the clinical efficacy of voriconazole and its relationship to plasma concentrations in patients. </w:t>
      </w:r>
      <w:r w:rsidR="000E16BA" w:rsidRPr="007C6545">
        <w:rPr>
          <w:rFonts w:ascii="Arial" w:hAnsi="Arial" w:cs="Arial"/>
          <w:i/>
          <w:color w:val="000000" w:themeColor="text1"/>
          <w:lang w:val="fr-FR"/>
        </w:rPr>
        <w:t>Antimicrob Agents Chemother</w:t>
      </w:r>
      <w:r w:rsidR="000E16BA" w:rsidRPr="007C6545">
        <w:rPr>
          <w:rFonts w:ascii="Arial" w:hAnsi="Arial" w:cs="Arial"/>
          <w:color w:val="000000" w:themeColor="text1"/>
          <w:lang w:val="fr-FR"/>
        </w:rPr>
        <w:t xml:space="preserve"> 2011; </w:t>
      </w:r>
      <w:r w:rsidR="000E16BA" w:rsidRPr="007C6545">
        <w:rPr>
          <w:rFonts w:ascii="Arial" w:hAnsi="Arial" w:cs="Arial"/>
          <w:b/>
          <w:color w:val="000000" w:themeColor="text1"/>
          <w:lang w:val="fr-FR"/>
        </w:rPr>
        <w:t>55</w:t>
      </w:r>
      <w:r w:rsidR="000E16BA" w:rsidRPr="007C6545">
        <w:rPr>
          <w:rFonts w:ascii="Arial" w:hAnsi="Arial" w:cs="Arial"/>
          <w:color w:val="000000" w:themeColor="text1"/>
          <w:lang w:val="fr-FR"/>
        </w:rPr>
        <w:t>: 4782–8.</w:t>
      </w:r>
    </w:p>
    <w:p w14:paraId="7631211B"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fr-FR"/>
        </w:rPr>
        <w:t>4</w:t>
      </w:r>
      <w:r w:rsidR="00BB71BC" w:rsidRPr="007C6545">
        <w:rPr>
          <w:rFonts w:ascii="Arial" w:hAnsi="Arial" w:cs="Arial"/>
          <w:color w:val="000000" w:themeColor="text1"/>
          <w:lang w:val="fr-FR"/>
        </w:rPr>
        <w:t>1</w:t>
      </w:r>
      <w:r w:rsidRPr="007C6545">
        <w:rPr>
          <w:rFonts w:ascii="Arial" w:hAnsi="Arial" w:cs="Arial"/>
          <w:color w:val="000000" w:themeColor="text1"/>
          <w:lang w:val="fr-FR"/>
        </w:rPr>
        <w:t>.</w:t>
      </w:r>
      <w:r w:rsidRPr="007C6545">
        <w:rPr>
          <w:rFonts w:ascii="Arial" w:hAnsi="Arial" w:cs="Arial"/>
          <w:color w:val="000000" w:themeColor="text1"/>
          <w:lang w:val="fr-FR"/>
        </w:rPr>
        <w:tab/>
        <w:t xml:space="preserve">Sabatelli F, Patel R, Mann PA </w:t>
      </w:r>
      <w:r w:rsidR="00AF6197" w:rsidRPr="007C6545">
        <w:rPr>
          <w:rFonts w:ascii="Arial" w:hAnsi="Arial" w:cs="Arial"/>
          <w:i/>
          <w:color w:val="000000" w:themeColor="text1"/>
          <w:lang w:val="fr-FR"/>
        </w:rPr>
        <w:t>et al</w:t>
      </w:r>
      <w:r w:rsidRPr="007C6545">
        <w:rPr>
          <w:rFonts w:ascii="Arial" w:hAnsi="Arial" w:cs="Arial"/>
          <w:color w:val="000000" w:themeColor="text1"/>
          <w:lang w:val="fr-FR"/>
        </w:rPr>
        <w:t xml:space="preserve">. </w:t>
      </w:r>
      <w:r w:rsidR="004F1C74" w:rsidRPr="007C6545">
        <w:rPr>
          <w:rFonts w:ascii="Arial" w:hAnsi="Arial" w:cs="Arial"/>
          <w:color w:val="000000" w:themeColor="text1"/>
        </w:rPr>
        <w:t xml:space="preserve">In vitro activities of posaconazole, fluconazole, itraconazole, voriconazole, and amphotericin B against a large collection of clinically important molds and yeasts. </w:t>
      </w:r>
      <w:r w:rsidR="00EB39C5" w:rsidRPr="007C6545">
        <w:rPr>
          <w:rFonts w:ascii="Arial" w:hAnsi="Arial" w:cs="Arial"/>
          <w:i/>
          <w:color w:val="000000" w:themeColor="text1"/>
        </w:rPr>
        <w:t>Antimicrob Agents Chemother</w:t>
      </w:r>
      <w:r w:rsidR="004F1C74" w:rsidRPr="007C6545">
        <w:rPr>
          <w:rFonts w:ascii="Arial" w:hAnsi="Arial" w:cs="Arial"/>
          <w:color w:val="000000" w:themeColor="text1"/>
        </w:rPr>
        <w:t xml:space="preserve"> 2006;</w:t>
      </w:r>
      <w:r w:rsidR="00394483" w:rsidRPr="007C6545">
        <w:rPr>
          <w:rFonts w:ascii="Arial" w:hAnsi="Arial" w:cs="Arial"/>
          <w:color w:val="000000" w:themeColor="text1"/>
        </w:rPr>
        <w:t xml:space="preserve"> </w:t>
      </w:r>
      <w:r w:rsidR="00EB39C5" w:rsidRPr="007C6545">
        <w:rPr>
          <w:rFonts w:ascii="Arial" w:hAnsi="Arial" w:cs="Arial"/>
          <w:b/>
          <w:color w:val="000000" w:themeColor="text1"/>
        </w:rPr>
        <w:t>50</w:t>
      </w:r>
      <w:r w:rsidR="004F1C74" w:rsidRPr="007C6545">
        <w:rPr>
          <w:rFonts w:ascii="Arial" w:hAnsi="Arial" w:cs="Arial"/>
          <w:color w:val="000000" w:themeColor="text1"/>
        </w:rPr>
        <w:t>:</w:t>
      </w:r>
      <w:r w:rsidR="00394483" w:rsidRPr="007C6545">
        <w:rPr>
          <w:rFonts w:ascii="Arial" w:hAnsi="Arial" w:cs="Arial"/>
          <w:color w:val="000000" w:themeColor="text1"/>
        </w:rPr>
        <w:t xml:space="preserve"> </w:t>
      </w:r>
      <w:r w:rsidR="004F1C74" w:rsidRPr="007C6545">
        <w:rPr>
          <w:rFonts w:ascii="Arial" w:hAnsi="Arial" w:cs="Arial"/>
          <w:color w:val="000000" w:themeColor="text1"/>
        </w:rPr>
        <w:t>2009</w:t>
      </w:r>
      <w:r w:rsidR="00394483" w:rsidRPr="007C6545">
        <w:rPr>
          <w:rFonts w:ascii="Arial" w:hAnsi="Arial" w:cs="Arial"/>
          <w:color w:val="000000" w:themeColor="text1"/>
        </w:rPr>
        <w:t>–</w:t>
      </w:r>
      <w:r w:rsidR="004F1C74" w:rsidRPr="007C6545">
        <w:rPr>
          <w:rFonts w:ascii="Arial" w:hAnsi="Arial" w:cs="Arial"/>
          <w:color w:val="000000" w:themeColor="text1"/>
        </w:rPr>
        <w:t>15.</w:t>
      </w:r>
    </w:p>
    <w:p w14:paraId="55D00903"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4</w:t>
      </w:r>
      <w:r w:rsidR="00BB71BC" w:rsidRPr="007C6545">
        <w:rPr>
          <w:rFonts w:ascii="Arial" w:hAnsi="Arial" w:cs="Arial"/>
          <w:color w:val="000000" w:themeColor="text1"/>
        </w:rPr>
        <w:t>2</w:t>
      </w:r>
      <w:r w:rsidRPr="007C6545">
        <w:rPr>
          <w:rFonts w:ascii="Arial" w:hAnsi="Arial" w:cs="Arial"/>
          <w:color w:val="000000" w:themeColor="text1"/>
        </w:rPr>
        <w:t>.</w:t>
      </w:r>
      <w:r w:rsidRPr="007C6545">
        <w:rPr>
          <w:rFonts w:ascii="Arial" w:hAnsi="Arial" w:cs="Arial"/>
          <w:color w:val="000000" w:themeColor="text1"/>
        </w:rPr>
        <w:tab/>
        <w:t xml:space="preserve">Ezzet F, Wexler D, Courtney R </w:t>
      </w:r>
      <w:r w:rsidR="00AF6197" w:rsidRPr="007C6545">
        <w:rPr>
          <w:rFonts w:ascii="Arial" w:hAnsi="Arial" w:cs="Arial"/>
          <w:i/>
          <w:color w:val="000000" w:themeColor="text1"/>
        </w:rPr>
        <w:t>et al</w:t>
      </w:r>
      <w:r w:rsidRPr="007C6545">
        <w:rPr>
          <w:rFonts w:ascii="Arial" w:hAnsi="Arial" w:cs="Arial"/>
          <w:color w:val="000000" w:themeColor="text1"/>
        </w:rPr>
        <w:t xml:space="preserve">. Oral bioavailability of posaconazole in fasted healthy subjects: comparison between three regimens and basis for clinical dosage recommendations. </w:t>
      </w:r>
      <w:r w:rsidR="00EB39C5" w:rsidRPr="007C6545">
        <w:rPr>
          <w:rFonts w:ascii="Arial" w:hAnsi="Arial" w:cs="Arial"/>
          <w:i/>
          <w:color w:val="000000" w:themeColor="text1"/>
        </w:rPr>
        <w:t>Clin Pharmacokinet</w:t>
      </w:r>
      <w:r w:rsidRPr="007C6545">
        <w:rPr>
          <w:rFonts w:ascii="Arial" w:hAnsi="Arial" w:cs="Arial"/>
          <w:color w:val="000000" w:themeColor="text1"/>
        </w:rPr>
        <w:t xml:space="preserve"> 2005;</w:t>
      </w:r>
      <w:r w:rsidR="00607029" w:rsidRPr="007C6545">
        <w:rPr>
          <w:rFonts w:ascii="Arial" w:hAnsi="Arial" w:cs="Arial"/>
          <w:color w:val="000000" w:themeColor="text1"/>
        </w:rPr>
        <w:t xml:space="preserve"> </w:t>
      </w:r>
      <w:r w:rsidR="00EB39C5" w:rsidRPr="007C6545">
        <w:rPr>
          <w:rFonts w:ascii="Arial" w:hAnsi="Arial" w:cs="Arial"/>
          <w:b/>
          <w:color w:val="000000" w:themeColor="text1"/>
        </w:rPr>
        <w:t>44</w:t>
      </w:r>
      <w:r w:rsidRPr="007C6545">
        <w:rPr>
          <w:rFonts w:ascii="Arial" w:hAnsi="Arial" w:cs="Arial"/>
          <w:color w:val="000000" w:themeColor="text1"/>
        </w:rPr>
        <w:t>:</w:t>
      </w:r>
      <w:r w:rsidR="00607029" w:rsidRPr="007C6545">
        <w:rPr>
          <w:rFonts w:ascii="Arial" w:hAnsi="Arial" w:cs="Arial"/>
          <w:color w:val="000000" w:themeColor="text1"/>
        </w:rPr>
        <w:t xml:space="preserve"> </w:t>
      </w:r>
      <w:r w:rsidRPr="007C6545">
        <w:rPr>
          <w:rFonts w:ascii="Arial" w:hAnsi="Arial" w:cs="Arial"/>
          <w:color w:val="000000" w:themeColor="text1"/>
        </w:rPr>
        <w:t>211</w:t>
      </w:r>
      <w:r w:rsidR="00607029" w:rsidRPr="007C6545">
        <w:rPr>
          <w:rFonts w:ascii="Arial" w:hAnsi="Arial" w:cs="Arial"/>
          <w:color w:val="000000" w:themeColor="text1"/>
        </w:rPr>
        <w:t>–</w:t>
      </w:r>
      <w:r w:rsidRPr="007C6545">
        <w:rPr>
          <w:rFonts w:ascii="Arial" w:hAnsi="Arial" w:cs="Arial"/>
          <w:color w:val="000000" w:themeColor="text1"/>
        </w:rPr>
        <w:t>20.</w:t>
      </w:r>
    </w:p>
    <w:p w14:paraId="28F689D7"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lastRenderedPageBreak/>
        <w:t>4</w:t>
      </w:r>
      <w:r w:rsidR="00BB71BC" w:rsidRPr="007C6545">
        <w:rPr>
          <w:rFonts w:ascii="Arial" w:hAnsi="Arial" w:cs="Arial"/>
          <w:color w:val="000000" w:themeColor="text1"/>
        </w:rPr>
        <w:t>3</w:t>
      </w:r>
      <w:r w:rsidRPr="007C6545">
        <w:rPr>
          <w:rFonts w:ascii="Arial" w:hAnsi="Arial" w:cs="Arial"/>
          <w:color w:val="000000" w:themeColor="text1"/>
        </w:rPr>
        <w:t>.</w:t>
      </w:r>
      <w:r w:rsidRPr="007C6545">
        <w:rPr>
          <w:rFonts w:ascii="Arial" w:hAnsi="Arial" w:cs="Arial"/>
          <w:color w:val="000000" w:themeColor="text1"/>
        </w:rPr>
        <w:tab/>
        <w:t xml:space="preserve">Courtney R, Pai S, Laughlin M </w:t>
      </w:r>
      <w:r w:rsidR="00AF6197" w:rsidRPr="007C6545">
        <w:rPr>
          <w:rFonts w:ascii="Arial" w:hAnsi="Arial" w:cs="Arial"/>
          <w:i/>
          <w:color w:val="000000" w:themeColor="text1"/>
        </w:rPr>
        <w:t>et al</w:t>
      </w:r>
      <w:r w:rsidRPr="007C6545">
        <w:rPr>
          <w:rFonts w:ascii="Arial" w:hAnsi="Arial" w:cs="Arial"/>
          <w:color w:val="000000" w:themeColor="text1"/>
        </w:rPr>
        <w:t xml:space="preserve">. Pharmacokinetics, safety, and tolerability of oral posaconazole administered in single and multiple doses in healthy adults. </w:t>
      </w:r>
      <w:r w:rsidR="00EB39C5" w:rsidRPr="007C6545">
        <w:rPr>
          <w:rFonts w:ascii="Arial" w:hAnsi="Arial" w:cs="Arial"/>
          <w:i/>
          <w:color w:val="000000" w:themeColor="text1"/>
        </w:rPr>
        <w:t>Antimicrob Agents Chemother</w:t>
      </w:r>
      <w:r w:rsidR="005D5BBA" w:rsidRPr="007C6545">
        <w:rPr>
          <w:rFonts w:ascii="Arial" w:hAnsi="Arial" w:cs="Arial"/>
          <w:color w:val="000000" w:themeColor="text1"/>
        </w:rPr>
        <w:t xml:space="preserve"> 2003; </w:t>
      </w:r>
      <w:r w:rsidR="005D5BBA" w:rsidRPr="007C6545">
        <w:rPr>
          <w:rFonts w:ascii="Arial" w:hAnsi="Arial" w:cs="Arial"/>
          <w:b/>
          <w:color w:val="000000" w:themeColor="text1"/>
        </w:rPr>
        <w:t>47</w:t>
      </w:r>
      <w:r w:rsidR="005D5BBA" w:rsidRPr="007C6545">
        <w:rPr>
          <w:rFonts w:ascii="Arial" w:hAnsi="Arial" w:cs="Arial"/>
          <w:color w:val="000000" w:themeColor="text1"/>
        </w:rPr>
        <w:t>: 2788–95.</w:t>
      </w:r>
    </w:p>
    <w:p w14:paraId="1512B71A" w14:textId="77777777" w:rsidR="00EB39C5" w:rsidRPr="007C6545" w:rsidRDefault="005D5B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44.</w:t>
      </w:r>
      <w:r w:rsidRPr="007C6545">
        <w:rPr>
          <w:rFonts w:ascii="Arial" w:hAnsi="Arial" w:cs="Arial"/>
          <w:color w:val="000000" w:themeColor="text1"/>
        </w:rPr>
        <w:tab/>
        <w:t xml:space="preserve">Courtney R, Wexler D, Radwanski E </w:t>
      </w:r>
      <w:r w:rsidR="00AF6197" w:rsidRPr="007C6545">
        <w:rPr>
          <w:rFonts w:ascii="Arial" w:hAnsi="Arial" w:cs="Arial"/>
          <w:i/>
          <w:color w:val="000000" w:themeColor="text1"/>
        </w:rPr>
        <w:t>et al</w:t>
      </w:r>
      <w:r w:rsidRPr="007C6545">
        <w:rPr>
          <w:rFonts w:ascii="Arial" w:hAnsi="Arial" w:cs="Arial"/>
          <w:color w:val="000000" w:themeColor="text1"/>
        </w:rPr>
        <w:t xml:space="preserve">. Effect of food on the relative bioavailability of two oral formulations of posaconazole in healthy adults. </w:t>
      </w:r>
      <w:r w:rsidRPr="007C6545">
        <w:rPr>
          <w:rFonts w:ascii="Arial" w:hAnsi="Arial" w:cs="Arial"/>
          <w:i/>
          <w:color w:val="000000" w:themeColor="text1"/>
        </w:rPr>
        <w:t>Br J Clin Pharmacol</w:t>
      </w:r>
      <w:r w:rsidRPr="007C6545">
        <w:rPr>
          <w:rFonts w:ascii="Arial" w:hAnsi="Arial" w:cs="Arial"/>
          <w:color w:val="000000" w:themeColor="text1"/>
        </w:rPr>
        <w:t xml:space="preserve"> 2004; </w:t>
      </w:r>
      <w:r w:rsidRPr="007C6545">
        <w:rPr>
          <w:rFonts w:ascii="Arial" w:hAnsi="Arial" w:cs="Arial"/>
          <w:b/>
          <w:color w:val="000000" w:themeColor="text1"/>
        </w:rPr>
        <w:t>57</w:t>
      </w:r>
      <w:r w:rsidRPr="007C6545">
        <w:rPr>
          <w:rFonts w:ascii="Arial" w:hAnsi="Arial" w:cs="Arial"/>
          <w:color w:val="000000" w:themeColor="text1"/>
        </w:rPr>
        <w:t>: 218–22.</w:t>
      </w:r>
    </w:p>
    <w:p w14:paraId="0A072A8E" w14:textId="77777777" w:rsidR="00EB39C5" w:rsidRPr="007C6545" w:rsidRDefault="005D5BBA"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rPr>
        <w:t>45.</w:t>
      </w:r>
      <w:r w:rsidRPr="007C6545">
        <w:rPr>
          <w:rFonts w:ascii="Arial" w:hAnsi="Arial" w:cs="Arial"/>
          <w:color w:val="000000" w:themeColor="text1"/>
        </w:rPr>
        <w:tab/>
        <w:t xml:space="preserve">Niwa T, Imagawa Y, Yamazaki H. Drug interactions between nine antifungal agents and drugs metabolized by human cytochromes P450. </w:t>
      </w:r>
      <w:r w:rsidRPr="007C6545">
        <w:rPr>
          <w:rFonts w:ascii="Arial" w:hAnsi="Arial" w:cs="Arial"/>
          <w:i/>
          <w:color w:val="000000" w:themeColor="text1"/>
          <w:lang w:val="fr-FR"/>
        </w:rPr>
        <w:t>Curr Drug Metab</w:t>
      </w:r>
      <w:r w:rsidRPr="007C6545">
        <w:rPr>
          <w:rFonts w:ascii="Arial" w:hAnsi="Arial" w:cs="Arial"/>
          <w:color w:val="000000" w:themeColor="text1"/>
          <w:lang w:val="fr-FR"/>
        </w:rPr>
        <w:t xml:space="preserve"> 2014; </w:t>
      </w:r>
      <w:r w:rsidRPr="007C6545">
        <w:rPr>
          <w:rFonts w:ascii="Arial" w:hAnsi="Arial" w:cs="Arial"/>
          <w:b/>
          <w:color w:val="000000" w:themeColor="text1"/>
          <w:lang w:val="fr-FR"/>
        </w:rPr>
        <w:t>15</w:t>
      </w:r>
      <w:r w:rsidRPr="007C6545">
        <w:rPr>
          <w:rFonts w:ascii="Arial" w:hAnsi="Arial" w:cs="Arial"/>
          <w:color w:val="000000" w:themeColor="text1"/>
          <w:lang w:val="fr-FR"/>
        </w:rPr>
        <w:t>: 651–79.</w:t>
      </w:r>
    </w:p>
    <w:p w14:paraId="4FF82F59" w14:textId="77777777" w:rsidR="00137909" w:rsidRPr="007C6545" w:rsidRDefault="00930A94" w:rsidP="005F2259">
      <w:pPr>
        <w:pStyle w:val="EndNoteBibliography"/>
        <w:spacing w:after="0" w:line="480" w:lineRule="auto"/>
        <w:rPr>
          <w:rFonts w:ascii="Arial" w:eastAsia="Times New Roman" w:hAnsi="Arial" w:cs="Arial"/>
          <w:color w:val="000000" w:themeColor="text1"/>
          <w:lang w:eastAsia="en-GB"/>
        </w:rPr>
      </w:pPr>
      <w:r w:rsidRPr="007C6545">
        <w:rPr>
          <w:rFonts w:ascii="Arial" w:hAnsi="Arial" w:cs="Arial"/>
          <w:color w:val="000000" w:themeColor="text1"/>
        </w:rPr>
        <w:t xml:space="preserve">46. </w:t>
      </w:r>
      <w:r w:rsidRPr="007C6545">
        <w:rPr>
          <w:rFonts w:ascii="Arial" w:hAnsi="Arial" w:cs="Arial"/>
          <w:color w:val="000000" w:themeColor="text1"/>
        </w:rPr>
        <w:tab/>
      </w:r>
      <w:hyperlink r:id="rId8" w:history="1">
        <w:r w:rsidR="005D5BBA" w:rsidRPr="007C6545">
          <w:rPr>
            <w:rFonts w:ascii="Arial" w:eastAsia="Times New Roman" w:hAnsi="Arial" w:cs="Arial"/>
            <w:color w:val="000000" w:themeColor="text1"/>
            <w:lang w:eastAsia="en-GB"/>
          </w:rPr>
          <w:t>Krishna G</w:t>
        </w:r>
      </w:hyperlink>
      <w:r w:rsidR="00137909" w:rsidRPr="007C6545">
        <w:rPr>
          <w:rFonts w:ascii="Arial" w:eastAsia="Times New Roman" w:hAnsi="Arial" w:cs="Arial"/>
          <w:color w:val="000000" w:themeColor="text1"/>
          <w:lang w:eastAsia="en-GB"/>
        </w:rPr>
        <w:t>, </w:t>
      </w:r>
      <w:hyperlink r:id="rId9" w:history="1">
        <w:r w:rsidR="005D5BBA" w:rsidRPr="007C6545">
          <w:rPr>
            <w:rFonts w:ascii="Arial" w:eastAsia="Times New Roman" w:hAnsi="Arial" w:cs="Arial"/>
            <w:color w:val="000000" w:themeColor="text1"/>
            <w:lang w:eastAsia="en-GB"/>
          </w:rPr>
          <w:t>Ma L</w:t>
        </w:r>
      </w:hyperlink>
      <w:r w:rsidR="00137909" w:rsidRPr="007C6545">
        <w:rPr>
          <w:rFonts w:ascii="Arial" w:eastAsia="Times New Roman" w:hAnsi="Arial" w:cs="Arial"/>
          <w:color w:val="000000" w:themeColor="text1"/>
          <w:lang w:eastAsia="en-GB"/>
        </w:rPr>
        <w:t>, </w:t>
      </w:r>
      <w:hyperlink r:id="rId10" w:history="1">
        <w:r w:rsidR="00137909" w:rsidRPr="007C6545">
          <w:rPr>
            <w:rFonts w:ascii="Arial" w:eastAsia="Times New Roman" w:hAnsi="Arial" w:cs="Arial"/>
            <w:color w:val="000000" w:themeColor="text1"/>
            <w:lang w:eastAsia="en-GB"/>
          </w:rPr>
          <w:t>Martinho M</w:t>
        </w:r>
      </w:hyperlink>
      <w:r w:rsidR="00137909" w:rsidRPr="007C6545">
        <w:rPr>
          <w:rFonts w:ascii="Arial" w:eastAsia="Times New Roman" w:hAnsi="Arial" w:cs="Arial"/>
          <w:color w:val="000000" w:themeColor="text1"/>
          <w:lang w:eastAsia="en-GB"/>
        </w:rPr>
        <w:t> </w:t>
      </w:r>
      <w:r w:rsidR="00AF6197" w:rsidRPr="007C6545">
        <w:rPr>
          <w:rFonts w:ascii="Arial" w:eastAsia="Times New Roman" w:hAnsi="Arial" w:cs="Arial"/>
          <w:i/>
          <w:color w:val="000000" w:themeColor="text1"/>
          <w:lang w:eastAsia="en-GB"/>
        </w:rPr>
        <w:t>et al</w:t>
      </w:r>
      <w:r w:rsidR="00137909" w:rsidRPr="007C6545">
        <w:rPr>
          <w:rFonts w:ascii="Arial" w:eastAsia="Times New Roman" w:hAnsi="Arial" w:cs="Arial"/>
          <w:color w:val="000000" w:themeColor="text1"/>
          <w:lang w:eastAsia="en-GB"/>
        </w:rPr>
        <w:t xml:space="preserve">. </w:t>
      </w:r>
      <w:r w:rsidR="00137909" w:rsidRPr="007C6545">
        <w:rPr>
          <w:rFonts w:ascii="Arial" w:eastAsia="Times New Roman" w:hAnsi="Arial" w:cs="Arial"/>
          <w:bCs/>
          <w:color w:val="000000" w:themeColor="text1"/>
          <w:kern w:val="36"/>
          <w:lang w:eastAsia="en-GB"/>
        </w:rPr>
        <w:t xml:space="preserve">Single-dose phase I study to evaluate the pharmacokinetics of posaconazole in new tablet and capsule formulations relative to oral suspension. </w:t>
      </w:r>
      <w:hyperlink r:id="rId11" w:tooltip="Antimicrobial agents and chemotherapy." w:history="1">
        <w:r w:rsidRPr="007C6545">
          <w:rPr>
            <w:rFonts w:ascii="Arial" w:eastAsia="Times New Roman" w:hAnsi="Arial" w:cs="Arial"/>
            <w:i/>
            <w:color w:val="000000" w:themeColor="text1"/>
            <w:lang w:eastAsia="en-GB"/>
          </w:rPr>
          <w:t>Antimicrob Agents Chemother</w:t>
        </w:r>
      </w:hyperlink>
      <w:r w:rsidR="00137909" w:rsidRPr="007C6545">
        <w:rPr>
          <w:rFonts w:ascii="Arial" w:eastAsia="Times New Roman" w:hAnsi="Arial" w:cs="Arial"/>
          <w:color w:val="000000" w:themeColor="text1"/>
          <w:lang w:eastAsia="en-GB"/>
        </w:rPr>
        <w:t xml:space="preserve"> 2012; </w:t>
      </w:r>
      <w:r w:rsidRPr="007C6545">
        <w:rPr>
          <w:rFonts w:ascii="Arial" w:eastAsia="Times New Roman" w:hAnsi="Arial" w:cs="Arial"/>
          <w:b/>
          <w:color w:val="000000" w:themeColor="text1"/>
          <w:lang w:eastAsia="en-GB"/>
        </w:rPr>
        <w:t>56</w:t>
      </w:r>
      <w:r w:rsidR="00137909" w:rsidRPr="007C6545">
        <w:rPr>
          <w:rFonts w:ascii="Arial" w:eastAsia="Times New Roman" w:hAnsi="Arial" w:cs="Arial"/>
          <w:color w:val="000000" w:themeColor="text1"/>
          <w:lang w:eastAsia="en-GB"/>
        </w:rPr>
        <w:t>: 4196–201.</w:t>
      </w:r>
    </w:p>
    <w:p w14:paraId="7F3D5826" w14:textId="77777777" w:rsidR="00137909" w:rsidRPr="007C6545" w:rsidRDefault="00137909"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rPr>
        <w:t>47.</w:t>
      </w:r>
      <w:r w:rsidRPr="007C6545">
        <w:rPr>
          <w:rFonts w:ascii="Arial" w:hAnsi="Arial" w:cs="Arial"/>
          <w:color w:val="000000" w:themeColor="text1"/>
        </w:rPr>
        <w:tab/>
        <w:t>European Medicines Agency. EMA warns that Noxafil tablets and oral suspension have different doses and re not interchangeable. EMA/425762/2016.</w:t>
      </w:r>
      <w:r w:rsidR="00582FE9" w:rsidRPr="007C6545">
        <w:rPr>
          <w:rFonts w:ascii="Arial" w:hAnsi="Arial" w:cs="Arial"/>
          <w:color w:val="000000" w:themeColor="text1"/>
        </w:rPr>
        <w:t xml:space="preserve"> Available at http://www.ema.europa.eu/docs/en_GB/document_library/Press_release/2016/06/WC500209313.pdf</w:t>
      </w:r>
    </w:p>
    <w:p w14:paraId="6F6B9C71"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fr-FR"/>
        </w:rPr>
        <w:t>4</w:t>
      </w:r>
      <w:r w:rsidR="00137909" w:rsidRPr="007C6545">
        <w:rPr>
          <w:rFonts w:ascii="Arial" w:hAnsi="Arial" w:cs="Arial"/>
          <w:color w:val="000000" w:themeColor="text1"/>
          <w:lang w:val="fr-FR"/>
        </w:rPr>
        <w:t>8</w:t>
      </w:r>
      <w:r w:rsidRPr="007C6545">
        <w:rPr>
          <w:rFonts w:ascii="Arial" w:hAnsi="Arial" w:cs="Arial"/>
          <w:color w:val="000000" w:themeColor="text1"/>
          <w:lang w:val="fr-FR"/>
        </w:rPr>
        <w:t>.</w:t>
      </w:r>
      <w:r w:rsidRPr="007C6545">
        <w:rPr>
          <w:rFonts w:ascii="Arial" w:hAnsi="Arial" w:cs="Arial"/>
          <w:color w:val="000000" w:themeColor="text1"/>
          <w:lang w:val="fr-FR"/>
        </w:rPr>
        <w:tab/>
        <w:t xml:space="preserve">Cattaneo C, Panzali A, Passi A </w:t>
      </w:r>
      <w:r w:rsidR="00AF6197" w:rsidRPr="007C6545">
        <w:rPr>
          <w:rFonts w:ascii="Arial" w:hAnsi="Arial" w:cs="Arial"/>
          <w:i/>
          <w:color w:val="000000" w:themeColor="text1"/>
          <w:lang w:val="fr-FR"/>
        </w:rPr>
        <w:t>et al</w:t>
      </w:r>
      <w:r w:rsidRPr="007C6545">
        <w:rPr>
          <w:rFonts w:ascii="Arial" w:hAnsi="Arial" w:cs="Arial"/>
          <w:color w:val="000000" w:themeColor="text1"/>
          <w:lang w:val="fr-FR"/>
        </w:rPr>
        <w:t xml:space="preserve">. </w:t>
      </w:r>
      <w:r w:rsidR="004F1C74" w:rsidRPr="007C6545">
        <w:rPr>
          <w:rFonts w:ascii="Arial" w:hAnsi="Arial" w:cs="Arial"/>
          <w:color w:val="000000" w:themeColor="text1"/>
        </w:rPr>
        <w:t xml:space="preserve">Serum posaconazole levels during acute myeloid leukaemia induction therapy: correlations with breakthrough invasive fungal infections. </w:t>
      </w:r>
      <w:r w:rsidR="00EB39C5" w:rsidRPr="007C6545">
        <w:rPr>
          <w:rFonts w:ascii="Arial" w:hAnsi="Arial" w:cs="Arial"/>
          <w:i/>
          <w:color w:val="000000" w:themeColor="text1"/>
        </w:rPr>
        <w:t>Mycoses</w:t>
      </w:r>
      <w:r w:rsidR="004F1C74" w:rsidRPr="007C6545">
        <w:rPr>
          <w:rFonts w:ascii="Arial" w:hAnsi="Arial" w:cs="Arial"/>
          <w:color w:val="000000" w:themeColor="text1"/>
        </w:rPr>
        <w:t xml:space="preserve"> 2015;</w:t>
      </w:r>
      <w:r w:rsidR="00607029" w:rsidRPr="007C6545">
        <w:rPr>
          <w:rFonts w:ascii="Arial" w:hAnsi="Arial" w:cs="Arial"/>
          <w:color w:val="000000" w:themeColor="text1"/>
        </w:rPr>
        <w:t xml:space="preserve"> </w:t>
      </w:r>
      <w:r w:rsidR="00EB39C5" w:rsidRPr="007C6545">
        <w:rPr>
          <w:rFonts w:ascii="Arial" w:hAnsi="Arial" w:cs="Arial"/>
          <w:b/>
          <w:color w:val="000000" w:themeColor="text1"/>
        </w:rPr>
        <w:t>58</w:t>
      </w:r>
      <w:r w:rsidR="004F1C74" w:rsidRPr="007C6545">
        <w:rPr>
          <w:rFonts w:ascii="Arial" w:hAnsi="Arial" w:cs="Arial"/>
          <w:color w:val="000000" w:themeColor="text1"/>
        </w:rPr>
        <w:t>:</w:t>
      </w:r>
      <w:r w:rsidR="00607029" w:rsidRPr="007C6545">
        <w:rPr>
          <w:rFonts w:ascii="Arial" w:hAnsi="Arial" w:cs="Arial"/>
          <w:color w:val="000000" w:themeColor="text1"/>
        </w:rPr>
        <w:t xml:space="preserve"> </w:t>
      </w:r>
      <w:r w:rsidR="004F1C74" w:rsidRPr="007C6545">
        <w:rPr>
          <w:rFonts w:ascii="Arial" w:hAnsi="Arial" w:cs="Arial"/>
          <w:color w:val="000000" w:themeColor="text1"/>
        </w:rPr>
        <w:t>362</w:t>
      </w:r>
      <w:r w:rsidR="00607029" w:rsidRPr="007C6545">
        <w:rPr>
          <w:rFonts w:ascii="Arial" w:hAnsi="Arial" w:cs="Arial"/>
          <w:color w:val="000000" w:themeColor="text1"/>
        </w:rPr>
        <w:t>–</w:t>
      </w:r>
      <w:r w:rsidR="004F1C74" w:rsidRPr="007C6545">
        <w:rPr>
          <w:rFonts w:ascii="Arial" w:hAnsi="Arial" w:cs="Arial"/>
          <w:color w:val="000000" w:themeColor="text1"/>
        </w:rPr>
        <w:t>7.</w:t>
      </w:r>
    </w:p>
    <w:p w14:paraId="0E5D97F6"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4</w:t>
      </w:r>
      <w:r w:rsidR="00A90149" w:rsidRPr="007C6545">
        <w:rPr>
          <w:rFonts w:ascii="Arial" w:hAnsi="Arial" w:cs="Arial"/>
          <w:color w:val="000000" w:themeColor="text1"/>
        </w:rPr>
        <w:t>9</w:t>
      </w:r>
      <w:r w:rsidRPr="007C6545">
        <w:rPr>
          <w:rFonts w:ascii="Arial" w:hAnsi="Arial" w:cs="Arial"/>
          <w:color w:val="000000" w:themeColor="text1"/>
        </w:rPr>
        <w:t>.</w:t>
      </w:r>
      <w:r w:rsidRPr="007C6545">
        <w:rPr>
          <w:rFonts w:ascii="Arial" w:hAnsi="Arial" w:cs="Arial"/>
          <w:color w:val="000000" w:themeColor="text1"/>
        </w:rPr>
        <w:tab/>
        <w:t>Dolton MJ, Ray JE, Chen SC</w:t>
      </w:r>
      <w:r w:rsidR="00607029" w:rsidRPr="007C6545">
        <w:rPr>
          <w:rFonts w:ascii="Arial" w:hAnsi="Arial" w:cs="Arial"/>
          <w:color w:val="000000" w:themeColor="text1"/>
        </w:rPr>
        <w:t xml:space="preserve"> </w:t>
      </w:r>
      <w:r w:rsidR="00AF6197" w:rsidRPr="007C6545">
        <w:rPr>
          <w:rFonts w:ascii="Arial" w:hAnsi="Arial" w:cs="Arial"/>
          <w:i/>
          <w:color w:val="000000" w:themeColor="text1"/>
        </w:rPr>
        <w:t>et al</w:t>
      </w:r>
      <w:r w:rsidRPr="007C6545">
        <w:rPr>
          <w:rFonts w:ascii="Arial" w:hAnsi="Arial" w:cs="Arial"/>
          <w:color w:val="000000" w:themeColor="text1"/>
        </w:rPr>
        <w:t xml:space="preserve">. Multicenter study of posaconazole therapeutic drug monitoring: exposure-response relationship and factors affecting concentration.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2012;</w:t>
      </w:r>
      <w:r w:rsidR="00607029" w:rsidRPr="007C6545">
        <w:rPr>
          <w:rFonts w:ascii="Arial" w:hAnsi="Arial" w:cs="Arial"/>
          <w:color w:val="000000" w:themeColor="text1"/>
        </w:rPr>
        <w:t xml:space="preserve"> </w:t>
      </w:r>
      <w:r w:rsidR="00EB39C5" w:rsidRPr="007C6545">
        <w:rPr>
          <w:rFonts w:ascii="Arial" w:hAnsi="Arial" w:cs="Arial"/>
          <w:b/>
          <w:color w:val="000000" w:themeColor="text1"/>
        </w:rPr>
        <w:t>56</w:t>
      </w:r>
      <w:r w:rsidRPr="007C6545">
        <w:rPr>
          <w:rFonts w:ascii="Arial" w:hAnsi="Arial" w:cs="Arial"/>
          <w:color w:val="000000" w:themeColor="text1"/>
        </w:rPr>
        <w:t>:</w:t>
      </w:r>
      <w:r w:rsidR="00607029" w:rsidRPr="007C6545">
        <w:rPr>
          <w:rFonts w:ascii="Arial" w:hAnsi="Arial" w:cs="Arial"/>
          <w:color w:val="000000" w:themeColor="text1"/>
        </w:rPr>
        <w:t xml:space="preserve"> </w:t>
      </w:r>
      <w:r w:rsidRPr="007C6545">
        <w:rPr>
          <w:rFonts w:ascii="Arial" w:hAnsi="Arial" w:cs="Arial"/>
          <w:color w:val="000000" w:themeColor="text1"/>
        </w:rPr>
        <w:t>5503</w:t>
      </w:r>
      <w:r w:rsidR="00607029" w:rsidRPr="007C6545">
        <w:rPr>
          <w:rFonts w:ascii="Arial" w:hAnsi="Arial" w:cs="Arial"/>
          <w:color w:val="000000" w:themeColor="text1"/>
        </w:rPr>
        <w:t>–</w:t>
      </w:r>
      <w:r w:rsidRPr="007C6545">
        <w:rPr>
          <w:rFonts w:ascii="Arial" w:hAnsi="Arial" w:cs="Arial"/>
          <w:color w:val="000000" w:themeColor="text1"/>
        </w:rPr>
        <w:t>10.</w:t>
      </w:r>
    </w:p>
    <w:p w14:paraId="379B640D" w14:textId="77777777" w:rsidR="00EB39C5" w:rsidRPr="007C6545" w:rsidRDefault="00A90149" w:rsidP="005F2259">
      <w:pPr>
        <w:pStyle w:val="EndNoteBibliography"/>
        <w:spacing w:after="0" w:line="480" w:lineRule="auto"/>
        <w:rPr>
          <w:rFonts w:ascii="Arial" w:hAnsi="Arial" w:cs="Arial"/>
          <w:color w:val="000000" w:themeColor="text1"/>
          <w:lang w:val="da-DK"/>
        </w:rPr>
      </w:pPr>
      <w:r w:rsidRPr="007C6545">
        <w:rPr>
          <w:rFonts w:ascii="Arial" w:hAnsi="Arial" w:cs="Arial"/>
          <w:color w:val="000000" w:themeColor="text1"/>
        </w:rPr>
        <w:t>50</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Walsh TJ, Raad I, Patterson TF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Treatment of invasive aspergillosis with posaconazole in patients who are refractory to or intolerant of conventional therapy: an externally controlled trial. </w:t>
      </w:r>
      <w:r w:rsidR="000E16BA" w:rsidRPr="007C6545">
        <w:rPr>
          <w:rFonts w:ascii="Arial" w:hAnsi="Arial" w:cs="Arial"/>
          <w:i/>
          <w:color w:val="000000" w:themeColor="text1"/>
          <w:lang w:val="da-DK"/>
        </w:rPr>
        <w:t>Clin Infect Dis</w:t>
      </w:r>
      <w:r w:rsidR="000E16BA" w:rsidRPr="007C6545">
        <w:rPr>
          <w:rFonts w:ascii="Arial" w:hAnsi="Arial" w:cs="Arial"/>
          <w:color w:val="000000" w:themeColor="text1"/>
          <w:lang w:val="da-DK"/>
        </w:rPr>
        <w:t xml:space="preserve"> 2007; </w:t>
      </w:r>
      <w:r w:rsidR="000E16BA" w:rsidRPr="007C6545">
        <w:rPr>
          <w:rFonts w:ascii="Arial" w:hAnsi="Arial" w:cs="Arial"/>
          <w:b/>
          <w:color w:val="000000" w:themeColor="text1"/>
          <w:lang w:val="da-DK"/>
        </w:rPr>
        <w:t>44</w:t>
      </w:r>
      <w:r w:rsidR="000E16BA" w:rsidRPr="007C6545">
        <w:rPr>
          <w:rFonts w:ascii="Arial" w:hAnsi="Arial" w:cs="Arial"/>
          <w:color w:val="000000" w:themeColor="text1"/>
          <w:lang w:val="da-DK"/>
        </w:rPr>
        <w:t>: 2–12.</w:t>
      </w:r>
    </w:p>
    <w:p w14:paraId="5F5A1C97" w14:textId="77777777" w:rsidR="00EB39C5" w:rsidRPr="007C6545" w:rsidRDefault="00A90149"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da-DK"/>
        </w:rPr>
        <w:t>51</w:t>
      </w:r>
      <w:r w:rsidR="000E16BA" w:rsidRPr="007C6545">
        <w:rPr>
          <w:rFonts w:ascii="Arial" w:hAnsi="Arial" w:cs="Arial"/>
          <w:color w:val="000000" w:themeColor="text1"/>
          <w:lang w:val="da-DK"/>
        </w:rPr>
        <w:t>.</w:t>
      </w:r>
      <w:r w:rsidR="000E16BA" w:rsidRPr="007C6545">
        <w:rPr>
          <w:rFonts w:ascii="Arial" w:hAnsi="Arial" w:cs="Arial"/>
          <w:color w:val="000000" w:themeColor="text1"/>
          <w:lang w:val="da-DK"/>
        </w:rPr>
        <w:tab/>
        <w:t xml:space="preserve">Rybak JM, Marx KR, Nishimoto AT </w:t>
      </w:r>
      <w:r w:rsidR="00AF6197" w:rsidRPr="007C6545">
        <w:rPr>
          <w:rFonts w:ascii="Arial" w:hAnsi="Arial" w:cs="Arial"/>
          <w:i/>
          <w:color w:val="000000" w:themeColor="text1"/>
          <w:lang w:val="da-DK"/>
        </w:rPr>
        <w:t>et al</w:t>
      </w:r>
      <w:r w:rsidR="000E16BA" w:rsidRPr="007C6545">
        <w:rPr>
          <w:rFonts w:ascii="Arial" w:hAnsi="Arial" w:cs="Arial"/>
          <w:color w:val="000000" w:themeColor="text1"/>
          <w:lang w:val="da-DK"/>
        </w:rPr>
        <w:t xml:space="preserve">. </w:t>
      </w:r>
      <w:r w:rsidR="00A26D55" w:rsidRPr="007C6545">
        <w:rPr>
          <w:rFonts w:ascii="Arial" w:hAnsi="Arial" w:cs="Arial"/>
          <w:color w:val="000000" w:themeColor="text1"/>
        </w:rPr>
        <w:t>Isavuconazole: pharmacology, pharmacodynamics, and current clinical experience with a new triazole antifungal agent</w:t>
      </w:r>
      <w:r w:rsidR="004F1C74" w:rsidRPr="007C6545">
        <w:rPr>
          <w:rFonts w:ascii="Arial" w:hAnsi="Arial" w:cs="Arial"/>
          <w:color w:val="000000" w:themeColor="text1"/>
        </w:rPr>
        <w:t xml:space="preserve">. </w:t>
      </w:r>
      <w:r w:rsidR="00EB39C5" w:rsidRPr="007C6545">
        <w:rPr>
          <w:rFonts w:ascii="Arial" w:hAnsi="Arial" w:cs="Arial"/>
          <w:i/>
          <w:color w:val="000000" w:themeColor="text1"/>
        </w:rPr>
        <w:t>Pharmacotherapy</w:t>
      </w:r>
      <w:r w:rsidR="004F1C74" w:rsidRPr="007C6545">
        <w:rPr>
          <w:rFonts w:ascii="Arial" w:hAnsi="Arial" w:cs="Arial"/>
          <w:color w:val="000000" w:themeColor="text1"/>
        </w:rPr>
        <w:t xml:space="preserve"> 2015;</w:t>
      </w:r>
      <w:r w:rsidR="00A26D55" w:rsidRPr="007C6545">
        <w:rPr>
          <w:rFonts w:ascii="Arial" w:hAnsi="Arial" w:cs="Arial"/>
          <w:color w:val="000000" w:themeColor="text1"/>
        </w:rPr>
        <w:t xml:space="preserve"> </w:t>
      </w:r>
      <w:r w:rsidR="00EB39C5" w:rsidRPr="007C6545">
        <w:rPr>
          <w:rFonts w:ascii="Arial" w:hAnsi="Arial" w:cs="Arial"/>
          <w:b/>
          <w:color w:val="000000" w:themeColor="text1"/>
        </w:rPr>
        <w:t>35</w:t>
      </w:r>
      <w:r w:rsidR="004F1C74" w:rsidRPr="007C6545">
        <w:rPr>
          <w:rFonts w:ascii="Arial" w:hAnsi="Arial" w:cs="Arial"/>
          <w:color w:val="000000" w:themeColor="text1"/>
        </w:rPr>
        <w:t>:</w:t>
      </w:r>
      <w:r w:rsidR="00A26D55" w:rsidRPr="007C6545">
        <w:rPr>
          <w:rFonts w:ascii="Arial" w:hAnsi="Arial" w:cs="Arial"/>
          <w:color w:val="000000" w:themeColor="text1"/>
        </w:rPr>
        <w:t xml:space="preserve"> </w:t>
      </w:r>
      <w:r w:rsidR="004F1C74" w:rsidRPr="007C6545">
        <w:rPr>
          <w:rFonts w:ascii="Arial" w:hAnsi="Arial" w:cs="Arial"/>
          <w:color w:val="000000" w:themeColor="text1"/>
        </w:rPr>
        <w:t>1037</w:t>
      </w:r>
      <w:r w:rsidR="00A26D55" w:rsidRPr="007C6545">
        <w:rPr>
          <w:rFonts w:ascii="Arial" w:hAnsi="Arial" w:cs="Arial"/>
          <w:color w:val="000000" w:themeColor="text1"/>
        </w:rPr>
        <w:t>–</w:t>
      </w:r>
      <w:r w:rsidR="004F1C74" w:rsidRPr="007C6545">
        <w:rPr>
          <w:rFonts w:ascii="Arial" w:hAnsi="Arial" w:cs="Arial"/>
          <w:color w:val="000000" w:themeColor="text1"/>
        </w:rPr>
        <w:t>51.</w:t>
      </w:r>
    </w:p>
    <w:p w14:paraId="1F07ACD7"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lastRenderedPageBreak/>
        <w:t>5</w:t>
      </w:r>
      <w:r w:rsidR="00A90149" w:rsidRPr="007C6545">
        <w:rPr>
          <w:rFonts w:ascii="Arial" w:hAnsi="Arial" w:cs="Arial"/>
          <w:color w:val="000000" w:themeColor="text1"/>
        </w:rPr>
        <w:t>2</w:t>
      </w:r>
      <w:r w:rsidRPr="007C6545">
        <w:rPr>
          <w:rFonts w:ascii="Arial" w:hAnsi="Arial" w:cs="Arial"/>
          <w:color w:val="000000" w:themeColor="text1"/>
        </w:rPr>
        <w:t>.</w:t>
      </w:r>
      <w:r w:rsidRPr="007C6545">
        <w:rPr>
          <w:rFonts w:ascii="Arial" w:hAnsi="Arial" w:cs="Arial"/>
          <w:color w:val="000000" w:themeColor="text1"/>
        </w:rPr>
        <w:tab/>
        <w:t xml:space="preserve">Miceli MH, Kauffman CA. </w:t>
      </w:r>
      <w:r w:rsidR="00B26342" w:rsidRPr="007C6545">
        <w:rPr>
          <w:rFonts w:ascii="Arial" w:hAnsi="Arial" w:cs="Arial"/>
          <w:color w:val="000000" w:themeColor="text1"/>
        </w:rPr>
        <w:t xml:space="preserve">Isavuconazole: a new broad-spectrum triazole antifungal agent. </w:t>
      </w:r>
      <w:r w:rsidR="00EB39C5" w:rsidRPr="007C6545">
        <w:rPr>
          <w:rFonts w:ascii="Arial" w:hAnsi="Arial" w:cs="Arial"/>
          <w:i/>
          <w:color w:val="000000" w:themeColor="text1"/>
        </w:rPr>
        <w:t>Clin Infect Dis</w:t>
      </w:r>
      <w:r w:rsidRPr="007C6545">
        <w:rPr>
          <w:rFonts w:ascii="Arial" w:hAnsi="Arial" w:cs="Arial"/>
          <w:color w:val="000000" w:themeColor="text1"/>
        </w:rPr>
        <w:t xml:space="preserve"> 2015;</w:t>
      </w:r>
      <w:r w:rsidR="00B26342" w:rsidRPr="007C6545">
        <w:rPr>
          <w:rFonts w:ascii="Arial" w:hAnsi="Arial" w:cs="Arial"/>
          <w:color w:val="000000" w:themeColor="text1"/>
        </w:rPr>
        <w:t xml:space="preserve"> </w:t>
      </w:r>
      <w:r w:rsidR="00EB39C5" w:rsidRPr="007C6545">
        <w:rPr>
          <w:rFonts w:ascii="Arial" w:hAnsi="Arial" w:cs="Arial"/>
          <w:b/>
          <w:color w:val="000000" w:themeColor="text1"/>
        </w:rPr>
        <w:t>61</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1558</w:t>
      </w:r>
      <w:r w:rsidR="00B26342" w:rsidRPr="007C6545">
        <w:rPr>
          <w:rFonts w:ascii="Arial" w:hAnsi="Arial" w:cs="Arial"/>
          <w:color w:val="000000" w:themeColor="text1"/>
        </w:rPr>
        <w:t>–</w:t>
      </w:r>
      <w:r w:rsidRPr="007C6545">
        <w:rPr>
          <w:rFonts w:ascii="Arial" w:hAnsi="Arial" w:cs="Arial"/>
          <w:color w:val="000000" w:themeColor="text1"/>
        </w:rPr>
        <w:t>65.</w:t>
      </w:r>
    </w:p>
    <w:p w14:paraId="047E81BC"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5</w:t>
      </w:r>
      <w:r w:rsidR="00A90149" w:rsidRPr="007C6545">
        <w:rPr>
          <w:rFonts w:ascii="Arial" w:hAnsi="Arial" w:cs="Arial"/>
          <w:color w:val="000000" w:themeColor="text1"/>
        </w:rPr>
        <w:t>3</w:t>
      </w:r>
      <w:r w:rsidRPr="007C6545">
        <w:rPr>
          <w:rFonts w:ascii="Arial" w:hAnsi="Arial" w:cs="Arial"/>
          <w:color w:val="000000" w:themeColor="text1"/>
        </w:rPr>
        <w:t>.</w:t>
      </w:r>
      <w:r w:rsidRPr="007C6545">
        <w:rPr>
          <w:rFonts w:ascii="Arial" w:hAnsi="Arial" w:cs="Arial"/>
          <w:color w:val="000000" w:themeColor="text1"/>
        </w:rPr>
        <w:tab/>
        <w:t xml:space="preserve">McCormack PL. Isavuconazonium: first global approval. </w:t>
      </w:r>
      <w:r w:rsidR="00EB39C5" w:rsidRPr="007C6545">
        <w:rPr>
          <w:rFonts w:ascii="Arial" w:hAnsi="Arial" w:cs="Arial"/>
          <w:i/>
          <w:color w:val="000000" w:themeColor="text1"/>
        </w:rPr>
        <w:t>Drugs</w:t>
      </w:r>
      <w:r w:rsidRPr="007C6545">
        <w:rPr>
          <w:rFonts w:ascii="Arial" w:hAnsi="Arial" w:cs="Arial"/>
          <w:color w:val="000000" w:themeColor="text1"/>
        </w:rPr>
        <w:t xml:space="preserve"> 2015;</w:t>
      </w:r>
      <w:r w:rsidR="00B26342" w:rsidRPr="007C6545">
        <w:rPr>
          <w:rFonts w:ascii="Arial" w:hAnsi="Arial" w:cs="Arial"/>
          <w:color w:val="000000" w:themeColor="text1"/>
        </w:rPr>
        <w:t xml:space="preserve"> </w:t>
      </w:r>
      <w:r w:rsidR="00EB39C5" w:rsidRPr="007C6545">
        <w:rPr>
          <w:rFonts w:ascii="Arial" w:hAnsi="Arial" w:cs="Arial"/>
          <w:b/>
          <w:color w:val="000000" w:themeColor="text1"/>
        </w:rPr>
        <w:t>75</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817</w:t>
      </w:r>
      <w:r w:rsidR="00B26342" w:rsidRPr="007C6545">
        <w:rPr>
          <w:rFonts w:ascii="Arial" w:hAnsi="Arial" w:cs="Arial"/>
          <w:color w:val="000000" w:themeColor="text1"/>
        </w:rPr>
        <w:t>–</w:t>
      </w:r>
      <w:r w:rsidRPr="007C6545">
        <w:rPr>
          <w:rFonts w:ascii="Arial" w:hAnsi="Arial" w:cs="Arial"/>
          <w:color w:val="000000" w:themeColor="text1"/>
        </w:rPr>
        <w:t>22.</w:t>
      </w:r>
    </w:p>
    <w:p w14:paraId="0443C3AC" w14:textId="77777777" w:rsidR="00EB39C5" w:rsidRPr="007C6545" w:rsidRDefault="004F1C74" w:rsidP="005F2259">
      <w:pPr>
        <w:pStyle w:val="EndNoteBibliography"/>
        <w:spacing w:after="0" w:line="480" w:lineRule="auto"/>
        <w:rPr>
          <w:rFonts w:ascii="Arial" w:hAnsi="Arial" w:cs="Arial"/>
          <w:color w:val="000000" w:themeColor="text1"/>
          <w:lang w:val="da-DK"/>
        </w:rPr>
      </w:pPr>
      <w:r w:rsidRPr="007C6545">
        <w:rPr>
          <w:rFonts w:ascii="Arial" w:hAnsi="Arial" w:cs="Arial"/>
          <w:color w:val="000000" w:themeColor="text1"/>
        </w:rPr>
        <w:t>5</w:t>
      </w:r>
      <w:r w:rsidR="00A90149" w:rsidRPr="007C6545">
        <w:rPr>
          <w:rFonts w:ascii="Arial" w:hAnsi="Arial" w:cs="Arial"/>
          <w:color w:val="000000" w:themeColor="text1"/>
        </w:rPr>
        <w:t>4</w:t>
      </w:r>
      <w:r w:rsidRPr="007C6545">
        <w:rPr>
          <w:rFonts w:ascii="Arial" w:hAnsi="Arial" w:cs="Arial"/>
          <w:color w:val="000000" w:themeColor="text1"/>
        </w:rPr>
        <w:t>.</w:t>
      </w:r>
      <w:r w:rsidRPr="007C6545">
        <w:rPr>
          <w:rFonts w:ascii="Arial" w:hAnsi="Arial" w:cs="Arial"/>
          <w:color w:val="000000" w:themeColor="text1"/>
        </w:rPr>
        <w:tab/>
        <w:t xml:space="preserve">Pettit NN, Carver PL. Isavuconazole: </w:t>
      </w:r>
      <w:r w:rsidR="00B26342" w:rsidRPr="007C6545">
        <w:rPr>
          <w:rFonts w:ascii="Arial" w:hAnsi="Arial" w:cs="Arial"/>
          <w:color w:val="000000" w:themeColor="text1"/>
        </w:rPr>
        <w:t>a new option for the management of invasive fungal infections</w:t>
      </w:r>
      <w:r w:rsidRPr="007C6545">
        <w:rPr>
          <w:rFonts w:ascii="Arial" w:hAnsi="Arial" w:cs="Arial"/>
          <w:color w:val="000000" w:themeColor="text1"/>
        </w:rPr>
        <w:t xml:space="preserve">. </w:t>
      </w:r>
      <w:r w:rsidR="000E16BA" w:rsidRPr="007C6545">
        <w:rPr>
          <w:rFonts w:ascii="Arial" w:hAnsi="Arial" w:cs="Arial"/>
          <w:i/>
          <w:color w:val="000000" w:themeColor="text1"/>
          <w:lang w:val="da-DK"/>
        </w:rPr>
        <w:t>Ann Pharmacother</w:t>
      </w:r>
      <w:r w:rsidR="000E16BA" w:rsidRPr="007C6545">
        <w:rPr>
          <w:rFonts w:ascii="Arial" w:hAnsi="Arial" w:cs="Arial"/>
          <w:color w:val="000000" w:themeColor="text1"/>
          <w:lang w:val="da-DK"/>
        </w:rPr>
        <w:t xml:space="preserve"> 2015; </w:t>
      </w:r>
      <w:r w:rsidR="000E16BA" w:rsidRPr="007C6545">
        <w:rPr>
          <w:rFonts w:ascii="Arial" w:hAnsi="Arial" w:cs="Arial"/>
          <w:b/>
          <w:color w:val="000000" w:themeColor="text1"/>
          <w:lang w:val="da-DK"/>
        </w:rPr>
        <w:t>49</w:t>
      </w:r>
      <w:r w:rsidR="000E16BA" w:rsidRPr="007C6545">
        <w:rPr>
          <w:rFonts w:ascii="Arial" w:hAnsi="Arial" w:cs="Arial"/>
          <w:color w:val="000000" w:themeColor="text1"/>
          <w:lang w:val="da-DK"/>
        </w:rPr>
        <w:t>: 825–42.</w:t>
      </w:r>
    </w:p>
    <w:p w14:paraId="36B63DB4" w14:textId="77777777" w:rsidR="00EB39C5" w:rsidRPr="007C6545" w:rsidRDefault="000E16BA" w:rsidP="005F2259">
      <w:pPr>
        <w:pStyle w:val="EndNoteBibliography"/>
        <w:spacing w:after="0" w:line="480" w:lineRule="auto"/>
        <w:rPr>
          <w:rFonts w:ascii="Arial" w:hAnsi="Arial" w:cs="Arial"/>
          <w:color w:val="000000" w:themeColor="text1"/>
          <w:lang w:val="de-CH"/>
        </w:rPr>
      </w:pPr>
      <w:r w:rsidRPr="007C6545">
        <w:rPr>
          <w:rFonts w:ascii="Arial" w:hAnsi="Arial" w:cs="Arial"/>
          <w:color w:val="000000" w:themeColor="text1"/>
          <w:lang w:val="da-DK"/>
        </w:rPr>
        <w:t>5</w:t>
      </w:r>
      <w:r w:rsidR="00A90149" w:rsidRPr="007C6545">
        <w:rPr>
          <w:rFonts w:ascii="Arial" w:hAnsi="Arial" w:cs="Arial"/>
          <w:color w:val="000000" w:themeColor="text1"/>
          <w:lang w:val="da-DK"/>
        </w:rPr>
        <w:t>5</w:t>
      </w:r>
      <w:r w:rsidRPr="007C6545">
        <w:rPr>
          <w:rFonts w:ascii="Arial" w:hAnsi="Arial" w:cs="Arial"/>
          <w:color w:val="000000" w:themeColor="text1"/>
          <w:lang w:val="da-DK"/>
        </w:rPr>
        <w:t>.</w:t>
      </w:r>
      <w:r w:rsidRPr="007C6545">
        <w:rPr>
          <w:rFonts w:ascii="Arial" w:hAnsi="Arial" w:cs="Arial"/>
          <w:color w:val="000000" w:themeColor="text1"/>
          <w:lang w:val="da-DK"/>
        </w:rPr>
        <w:tab/>
        <w:t xml:space="preserve">Maertens JA, Raad, II, Marr KA </w:t>
      </w:r>
      <w:r w:rsidR="00AF6197" w:rsidRPr="007C6545">
        <w:rPr>
          <w:rFonts w:ascii="Arial" w:hAnsi="Arial" w:cs="Arial"/>
          <w:i/>
          <w:color w:val="000000" w:themeColor="text1"/>
          <w:lang w:val="da-DK"/>
        </w:rPr>
        <w:t>et al</w:t>
      </w:r>
      <w:r w:rsidRPr="007C6545">
        <w:rPr>
          <w:rFonts w:ascii="Arial" w:hAnsi="Arial" w:cs="Arial"/>
          <w:color w:val="000000" w:themeColor="text1"/>
          <w:lang w:val="da-DK"/>
        </w:rPr>
        <w:t xml:space="preserve">. </w:t>
      </w:r>
      <w:r w:rsidR="004F1C74" w:rsidRPr="007C6545">
        <w:rPr>
          <w:rFonts w:ascii="Arial" w:hAnsi="Arial" w:cs="Arial"/>
          <w:color w:val="000000" w:themeColor="text1"/>
        </w:rPr>
        <w:t xml:space="preserve">Isavuconazole versus voriconazole for primary treatment of invasive mould disease caused by Aspergillus and other filamentous fungi (SECURE): a phase 3, randomised-controlled, non-inferiority trial. </w:t>
      </w:r>
      <w:r w:rsidRPr="007C6545">
        <w:rPr>
          <w:rFonts w:ascii="Arial" w:hAnsi="Arial" w:cs="Arial"/>
          <w:i/>
          <w:color w:val="000000" w:themeColor="text1"/>
          <w:lang w:val="de-CH"/>
        </w:rPr>
        <w:t xml:space="preserve">Lancet </w:t>
      </w:r>
      <w:r w:rsidRPr="007C6545">
        <w:rPr>
          <w:rFonts w:ascii="Arial" w:hAnsi="Arial" w:cs="Arial"/>
          <w:color w:val="000000" w:themeColor="text1"/>
          <w:lang w:val="de-CH"/>
        </w:rPr>
        <w:t xml:space="preserve">2016; </w:t>
      </w:r>
      <w:r w:rsidRPr="007C6545">
        <w:rPr>
          <w:rFonts w:ascii="Arial" w:hAnsi="Arial" w:cs="Arial"/>
          <w:b/>
          <w:color w:val="000000" w:themeColor="text1"/>
          <w:lang w:val="de-CH"/>
        </w:rPr>
        <w:t>387</w:t>
      </w:r>
      <w:r w:rsidRPr="007C6545">
        <w:rPr>
          <w:rFonts w:ascii="Arial" w:hAnsi="Arial" w:cs="Arial"/>
          <w:color w:val="000000" w:themeColor="text1"/>
          <w:lang w:val="de-CH"/>
        </w:rPr>
        <w:t>: 760–9.</w:t>
      </w:r>
    </w:p>
    <w:p w14:paraId="086A0048" w14:textId="77777777" w:rsidR="00EB39C5" w:rsidRPr="007C6545" w:rsidRDefault="000E16BA"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de-CH"/>
        </w:rPr>
        <w:t>5</w:t>
      </w:r>
      <w:r w:rsidR="00A90149" w:rsidRPr="007C6545">
        <w:rPr>
          <w:rFonts w:ascii="Arial" w:hAnsi="Arial" w:cs="Arial"/>
          <w:color w:val="000000" w:themeColor="text1"/>
          <w:lang w:val="de-CH"/>
        </w:rPr>
        <w:t>6</w:t>
      </w:r>
      <w:r w:rsidRPr="007C6545">
        <w:rPr>
          <w:rFonts w:ascii="Arial" w:hAnsi="Arial" w:cs="Arial"/>
          <w:color w:val="000000" w:themeColor="text1"/>
          <w:lang w:val="de-CH"/>
        </w:rPr>
        <w:t>.</w:t>
      </w:r>
      <w:r w:rsidRPr="007C6545">
        <w:rPr>
          <w:rFonts w:ascii="Arial" w:hAnsi="Arial" w:cs="Arial"/>
          <w:color w:val="000000" w:themeColor="text1"/>
          <w:lang w:val="de-CH"/>
        </w:rPr>
        <w:tab/>
        <w:t xml:space="preserve">Viljoen J, Azie N, Schmitt-Hoffmann AH </w:t>
      </w:r>
      <w:r w:rsidR="00AF6197" w:rsidRPr="007C6545">
        <w:rPr>
          <w:rFonts w:ascii="Arial" w:hAnsi="Arial" w:cs="Arial"/>
          <w:i/>
          <w:color w:val="000000" w:themeColor="text1"/>
          <w:lang w:val="de-CH"/>
        </w:rPr>
        <w:t>et al</w:t>
      </w:r>
      <w:r w:rsidRPr="007C6545">
        <w:rPr>
          <w:rFonts w:ascii="Arial" w:hAnsi="Arial" w:cs="Arial"/>
          <w:color w:val="000000" w:themeColor="text1"/>
          <w:lang w:val="de-CH"/>
        </w:rPr>
        <w:t xml:space="preserve">. </w:t>
      </w:r>
      <w:r w:rsidR="004F1C74" w:rsidRPr="007C6545">
        <w:rPr>
          <w:rFonts w:ascii="Arial" w:hAnsi="Arial" w:cs="Arial"/>
          <w:color w:val="000000" w:themeColor="text1"/>
        </w:rPr>
        <w:t xml:space="preserve">A phase 2, randomized, double-blind, multicenter trial to evaluate the safety and efficacy of three dosing regimens of isavuconazole compared with fluconazole in patients with uncomplicated esophageal candidiasis. </w:t>
      </w:r>
      <w:r w:rsidR="00EB39C5" w:rsidRPr="007C6545">
        <w:rPr>
          <w:rFonts w:ascii="Arial" w:hAnsi="Arial" w:cs="Arial"/>
          <w:i/>
          <w:color w:val="000000" w:themeColor="text1"/>
        </w:rPr>
        <w:t>Antimicrob Agents Chemother</w:t>
      </w:r>
      <w:r w:rsidR="004F1C74" w:rsidRPr="007C6545">
        <w:rPr>
          <w:rFonts w:ascii="Arial" w:hAnsi="Arial" w:cs="Arial"/>
          <w:color w:val="000000" w:themeColor="text1"/>
        </w:rPr>
        <w:t xml:space="preserve"> 2015;</w:t>
      </w:r>
      <w:r w:rsidR="00B26342" w:rsidRPr="007C6545">
        <w:rPr>
          <w:rFonts w:ascii="Arial" w:hAnsi="Arial" w:cs="Arial"/>
          <w:color w:val="000000" w:themeColor="text1"/>
        </w:rPr>
        <w:t xml:space="preserve"> </w:t>
      </w:r>
      <w:r w:rsidR="00EB39C5" w:rsidRPr="007C6545">
        <w:rPr>
          <w:rFonts w:ascii="Arial" w:hAnsi="Arial" w:cs="Arial"/>
          <w:b/>
          <w:color w:val="000000" w:themeColor="text1"/>
        </w:rPr>
        <w:t>59</w:t>
      </w:r>
      <w:r w:rsidR="004F1C74" w:rsidRPr="007C6545">
        <w:rPr>
          <w:rFonts w:ascii="Arial" w:hAnsi="Arial" w:cs="Arial"/>
          <w:color w:val="000000" w:themeColor="text1"/>
        </w:rPr>
        <w:t>:</w:t>
      </w:r>
      <w:r w:rsidR="00B26342" w:rsidRPr="007C6545">
        <w:rPr>
          <w:rFonts w:ascii="Arial" w:hAnsi="Arial" w:cs="Arial"/>
          <w:color w:val="000000" w:themeColor="text1"/>
        </w:rPr>
        <w:t xml:space="preserve"> </w:t>
      </w:r>
      <w:r w:rsidR="004F1C74" w:rsidRPr="007C6545">
        <w:rPr>
          <w:rFonts w:ascii="Arial" w:hAnsi="Arial" w:cs="Arial"/>
          <w:color w:val="000000" w:themeColor="text1"/>
        </w:rPr>
        <w:t>1671</w:t>
      </w:r>
      <w:r w:rsidR="00B26342" w:rsidRPr="007C6545">
        <w:rPr>
          <w:rFonts w:ascii="Arial" w:hAnsi="Arial" w:cs="Arial"/>
          <w:color w:val="000000" w:themeColor="text1"/>
        </w:rPr>
        <w:t>–</w:t>
      </w:r>
      <w:r w:rsidR="004F1C74" w:rsidRPr="007C6545">
        <w:rPr>
          <w:rFonts w:ascii="Arial" w:hAnsi="Arial" w:cs="Arial"/>
          <w:color w:val="000000" w:themeColor="text1"/>
        </w:rPr>
        <w:t>9.</w:t>
      </w:r>
    </w:p>
    <w:p w14:paraId="65996E1F"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5</w:t>
      </w:r>
      <w:r w:rsidR="00A90149" w:rsidRPr="007C6545">
        <w:rPr>
          <w:rFonts w:ascii="Arial" w:hAnsi="Arial" w:cs="Arial"/>
          <w:color w:val="000000" w:themeColor="text1"/>
        </w:rPr>
        <w:t>7</w:t>
      </w:r>
      <w:r w:rsidRPr="007C6545">
        <w:rPr>
          <w:rFonts w:ascii="Arial" w:hAnsi="Arial" w:cs="Arial"/>
          <w:color w:val="000000" w:themeColor="text1"/>
        </w:rPr>
        <w:t>.</w:t>
      </w:r>
      <w:r w:rsidRPr="007C6545">
        <w:rPr>
          <w:rFonts w:ascii="Arial" w:hAnsi="Arial" w:cs="Arial"/>
          <w:color w:val="000000" w:themeColor="text1"/>
        </w:rPr>
        <w:tab/>
        <w:t xml:space="preserve">Marty FM, Ostrosky-Zeichner L, Cornely OA </w:t>
      </w:r>
      <w:r w:rsidR="00AF6197" w:rsidRPr="007C6545">
        <w:rPr>
          <w:rFonts w:ascii="Arial" w:hAnsi="Arial" w:cs="Arial"/>
          <w:i/>
          <w:color w:val="000000" w:themeColor="text1"/>
        </w:rPr>
        <w:t>et al</w:t>
      </w:r>
      <w:r w:rsidRPr="007C6545">
        <w:rPr>
          <w:rFonts w:ascii="Arial" w:hAnsi="Arial" w:cs="Arial"/>
          <w:color w:val="000000" w:themeColor="text1"/>
        </w:rPr>
        <w:t xml:space="preserve">. Isavuconazole treatment for mucormycosis: a single-arm open-label trial and case-control analysis. </w:t>
      </w:r>
      <w:r w:rsidR="00EB39C5" w:rsidRPr="007C6545">
        <w:rPr>
          <w:rFonts w:ascii="Arial" w:hAnsi="Arial" w:cs="Arial"/>
          <w:i/>
          <w:color w:val="000000" w:themeColor="text1"/>
        </w:rPr>
        <w:t>Lancet Infect Dis</w:t>
      </w:r>
      <w:r w:rsidRPr="007C6545">
        <w:rPr>
          <w:rFonts w:ascii="Arial" w:hAnsi="Arial" w:cs="Arial"/>
          <w:color w:val="000000" w:themeColor="text1"/>
        </w:rPr>
        <w:t xml:space="preserve"> 2016;</w:t>
      </w:r>
      <w:r w:rsidR="00B26342" w:rsidRPr="007C6545">
        <w:rPr>
          <w:rFonts w:ascii="Arial" w:hAnsi="Arial" w:cs="Arial"/>
          <w:color w:val="000000" w:themeColor="text1"/>
        </w:rPr>
        <w:t xml:space="preserve"> </w:t>
      </w:r>
      <w:r w:rsidR="00EB39C5" w:rsidRPr="007C6545">
        <w:rPr>
          <w:rFonts w:ascii="Arial" w:hAnsi="Arial" w:cs="Arial"/>
          <w:b/>
          <w:color w:val="000000" w:themeColor="text1"/>
        </w:rPr>
        <w:t>16</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828</w:t>
      </w:r>
      <w:r w:rsidR="00B26342" w:rsidRPr="007C6545">
        <w:rPr>
          <w:rFonts w:ascii="Arial" w:hAnsi="Arial" w:cs="Arial"/>
          <w:color w:val="000000" w:themeColor="text1"/>
        </w:rPr>
        <w:t>–</w:t>
      </w:r>
      <w:r w:rsidRPr="007C6545">
        <w:rPr>
          <w:rFonts w:ascii="Arial" w:hAnsi="Arial" w:cs="Arial"/>
          <w:color w:val="000000" w:themeColor="text1"/>
        </w:rPr>
        <w:t>37.</w:t>
      </w:r>
    </w:p>
    <w:p w14:paraId="4A227C4B"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5</w:t>
      </w:r>
      <w:r w:rsidR="00A90149" w:rsidRPr="007C6545">
        <w:rPr>
          <w:rFonts w:ascii="Arial" w:hAnsi="Arial" w:cs="Arial"/>
          <w:color w:val="000000" w:themeColor="text1"/>
        </w:rPr>
        <w:t>8</w:t>
      </w:r>
      <w:r w:rsidRPr="007C6545">
        <w:rPr>
          <w:rFonts w:ascii="Arial" w:hAnsi="Arial" w:cs="Arial"/>
          <w:color w:val="000000" w:themeColor="text1"/>
        </w:rPr>
        <w:t>.</w:t>
      </w:r>
      <w:r w:rsidRPr="007C6545">
        <w:rPr>
          <w:rFonts w:ascii="Arial" w:hAnsi="Arial" w:cs="Arial"/>
          <w:color w:val="000000" w:themeColor="text1"/>
        </w:rPr>
        <w:tab/>
        <w:t xml:space="preserve">Girmenia C. New generation azole antifungals in clinical investigation. </w:t>
      </w:r>
      <w:r w:rsidR="00EB39C5" w:rsidRPr="007C6545">
        <w:rPr>
          <w:rFonts w:ascii="Arial" w:hAnsi="Arial" w:cs="Arial"/>
          <w:i/>
          <w:color w:val="000000" w:themeColor="text1"/>
        </w:rPr>
        <w:t xml:space="preserve">Expert Opin Investig Drugs </w:t>
      </w:r>
      <w:r w:rsidRPr="007C6545">
        <w:rPr>
          <w:rFonts w:ascii="Arial" w:hAnsi="Arial" w:cs="Arial"/>
          <w:color w:val="000000" w:themeColor="text1"/>
        </w:rPr>
        <w:t>2009;</w:t>
      </w:r>
      <w:r w:rsidR="00B26342" w:rsidRPr="007C6545">
        <w:rPr>
          <w:rFonts w:ascii="Arial" w:hAnsi="Arial" w:cs="Arial"/>
          <w:color w:val="000000" w:themeColor="text1"/>
        </w:rPr>
        <w:t xml:space="preserve"> </w:t>
      </w:r>
      <w:r w:rsidR="00EB39C5" w:rsidRPr="007C6545">
        <w:rPr>
          <w:rFonts w:ascii="Arial" w:hAnsi="Arial" w:cs="Arial"/>
          <w:b/>
          <w:color w:val="000000" w:themeColor="text1"/>
        </w:rPr>
        <w:t>18</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1279</w:t>
      </w:r>
      <w:r w:rsidR="00B26342" w:rsidRPr="007C6545">
        <w:rPr>
          <w:rFonts w:ascii="Arial" w:hAnsi="Arial" w:cs="Arial"/>
          <w:color w:val="000000" w:themeColor="text1"/>
        </w:rPr>
        <w:t>–</w:t>
      </w:r>
      <w:r w:rsidRPr="007C6545">
        <w:rPr>
          <w:rFonts w:ascii="Arial" w:hAnsi="Arial" w:cs="Arial"/>
          <w:color w:val="000000" w:themeColor="text1"/>
        </w:rPr>
        <w:t>95.</w:t>
      </w:r>
    </w:p>
    <w:p w14:paraId="28072BB4" w14:textId="77777777" w:rsidR="00A90149" w:rsidRPr="007C6545" w:rsidRDefault="00A90149"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 xml:space="preserve">59. </w:t>
      </w:r>
      <w:r w:rsidRPr="007C6545">
        <w:rPr>
          <w:rFonts w:ascii="Arial" w:hAnsi="Arial" w:cs="Arial"/>
          <w:color w:val="000000" w:themeColor="text1"/>
        </w:rPr>
        <w:tab/>
        <w:t>European Medicines Agency. Cresemba Assessment Report. EMA 596950/2015</w:t>
      </w:r>
      <w:r w:rsidR="00B23B4E" w:rsidRPr="007C6545">
        <w:rPr>
          <w:rFonts w:ascii="Arial" w:hAnsi="Arial" w:cs="Arial"/>
          <w:color w:val="000000" w:themeColor="text1"/>
        </w:rPr>
        <w:t>. Available at http://www.ema.europa.eu/docs/en_GB/document_library/EPAR_-_Public_assessment_report/human/002734/WC500196130.pdf</w:t>
      </w:r>
    </w:p>
    <w:p w14:paraId="362465CB" w14:textId="77777777" w:rsidR="00EB39C5" w:rsidRPr="007C6545" w:rsidRDefault="00484A6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60</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Schmitt-Hoffmann A, Roos B, Maares J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Multiple-dose pharmacokinetics and safety of the new antifungal triazole BAL4815 after intravenous infusion and oral administration of its prodrug, BAL8557, in healthy volunteers. </w:t>
      </w:r>
      <w:r w:rsidR="00EB39C5" w:rsidRPr="007C6545">
        <w:rPr>
          <w:rFonts w:ascii="Arial" w:hAnsi="Arial" w:cs="Arial"/>
          <w:i/>
          <w:color w:val="000000" w:themeColor="text1"/>
        </w:rPr>
        <w:t>Antimicrob Agents Chemother</w:t>
      </w:r>
      <w:r w:rsidR="004F1C74" w:rsidRPr="007C6545">
        <w:rPr>
          <w:rFonts w:ascii="Arial" w:hAnsi="Arial" w:cs="Arial"/>
          <w:color w:val="000000" w:themeColor="text1"/>
        </w:rPr>
        <w:t xml:space="preserve"> 2006;</w:t>
      </w:r>
      <w:r w:rsidR="00B26342" w:rsidRPr="007C6545">
        <w:rPr>
          <w:rFonts w:ascii="Arial" w:hAnsi="Arial" w:cs="Arial"/>
          <w:color w:val="000000" w:themeColor="text1"/>
        </w:rPr>
        <w:t xml:space="preserve"> </w:t>
      </w:r>
      <w:r w:rsidR="00EB39C5" w:rsidRPr="007C6545">
        <w:rPr>
          <w:rFonts w:ascii="Arial" w:hAnsi="Arial" w:cs="Arial"/>
          <w:b/>
          <w:color w:val="000000" w:themeColor="text1"/>
        </w:rPr>
        <w:t>50</w:t>
      </w:r>
      <w:r w:rsidR="004F1C74" w:rsidRPr="007C6545">
        <w:rPr>
          <w:rFonts w:ascii="Arial" w:hAnsi="Arial" w:cs="Arial"/>
          <w:color w:val="000000" w:themeColor="text1"/>
        </w:rPr>
        <w:t>:</w:t>
      </w:r>
      <w:r w:rsidR="00B26342" w:rsidRPr="007C6545">
        <w:rPr>
          <w:rFonts w:ascii="Arial" w:hAnsi="Arial" w:cs="Arial"/>
          <w:color w:val="000000" w:themeColor="text1"/>
        </w:rPr>
        <w:t xml:space="preserve"> </w:t>
      </w:r>
      <w:r w:rsidR="004F1C74" w:rsidRPr="007C6545">
        <w:rPr>
          <w:rFonts w:ascii="Arial" w:hAnsi="Arial" w:cs="Arial"/>
          <w:color w:val="000000" w:themeColor="text1"/>
        </w:rPr>
        <w:t>286</w:t>
      </w:r>
      <w:r w:rsidR="00B26342" w:rsidRPr="007C6545">
        <w:rPr>
          <w:rFonts w:ascii="Arial" w:hAnsi="Arial" w:cs="Arial"/>
          <w:color w:val="000000" w:themeColor="text1"/>
        </w:rPr>
        <w:t>–</w:t>
      </w:r>
      <w:r w:rsidR="004F1C74" w:rsidRPr="007C6545">
        <w:rPr>
          <w:rFonts w:ascii="Arial" w:hAnsi="Arial" w:cs="Arial"/>
          <w:color w:val="000000" w:themeColor="text1"/>
        </w:rPr>
        <w:t>93.</w:t>
      </w:r>
    </w:p>
    <w:p w14:paraId="2D61E893" w14:textId="77777777" w:rsidR="00945BFB" w:rsidRPr="007C6545" w:rsidRDefault="00484A6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61.</w:t>
      </w:r>
      <w:r w:rsidRPr="007C6545">
        <w:rPr>
          <w:rFonts w:ascii="Arial" w:hAnsi="Arial" w:cs="Arial"/>
          <w:color w:val="000000" w:themeColor="text1"/>
        </w:rPr>
        <w:tab/>
      </w:r>
      <w:r w:rsidR="00AB3B72" w:rsidRPr="007C6545">
        <w:rPr>
          <w:rFonts w:ascii="Arial" w:hAnsi="Arial" w:cs="Arial"/>
          <w:color w:val="000000" w:themeColor="text1"/>
        </w:rPr>
        <w:t xml:space="preserve">Kaindl T, Engelhardt M, Townsend R </w:t>
      </w:r>
      <w:r w:rsidR="00AF6197" w:rsidRPr="007C6545">
        <w:rPr>
          <w:rFonts w:ascii="Arial" w:hAnsi="Arial" w:cs="Arial"/>
          <w:i/>
          <w:color w:val="000000" w:themeColor="text1"/>
        </w:rPr>
        <w:t>et al</w:t>
      </w:r>
      <w:r w:rsidR="00AB3B72" w:rsidRPr="007C6545">
        <w:rPr>
          <w:rFonts w:ascii="Arial" w:hAnsi="Arial" w:cs="Arial"/>
          <w:color w:val="000000" w:themeColor="text1"/>
        </w:rPr>
        <w:t xml:space="preserve">. </w:t>
      </w:r>
      <w:r w:rsidR="00346C5B" w:rsidRPr="007C6545">
        <w:rPr>
          <w:rFonts w:ascii="Arial" w:hAnsi="Arial" w:cs="Arial"/>
          <w:color w:val="000000" w:themeColor="text1"/>
        </w:rPr>
        <w:t>Intra-subject variability and exposure-response relationship of isavuconazole in the phase 3 SECURE study in patients with invasive mould disease caused by Aspergillus spp. and other filamentous fungi</w:t>
      </w:r>
      <w:r w:rsidR="00AB3B72" w:rsidRPr="007C6545">
        <w:rPr>
          <w:rFonts w:ascii="Arial" w:hAnsi="Arial" w:cs="Arial"/>
          <w:color w:val="000000" w:themeColor="text1"/>
        </w:rPr>
        <w:t>.</w:t>
      </w:r>
      <w:r w:rsidR="00346C5B" w:rsidRPr="007C6545">
        <w:rPr>
          <w:rFonts w:ascii="Arial" w:hAnsi="Arial" w:cs="Arial"/>
          <w:color w:val="000000" w:themeColor="text1"/>
        </w:rPr>
        <w:t xml:space="preserve"> </w:t>
      </w:r>
      <w:r w:rsidR="00AB3B72" w:rsidRPr="007C6545">
        <w:rPr>
          <w:rFonts w:ascii="Arial" w:hAnsi="Arial" w:cs="Arial"/>
          <w:color w:val="000000" w:themeColor="text1"/>
        </w:rPr>
        <w:t xml:space="preserve">Abstract </w:t>
      </w:r>
      <w:r w:rsidR="00AB3B72" w:rsidRPr="007C6545">
        <w:rPr>
          <w:rFonts w:ascii="Arial" w:hAnsi="Arial" w:cs="Arial"/>
          <w:color w:val="000000" w:themeColor="text1"/>
        </w:rPr>
        <w:lastRenderedPageBreak/>
        <w:t>O424. Presented at European Society of Clinical Microbiology and Infectious Diseases (ECCMID) 26th Congress, 9-12 April 2016, Amsterdam, Netherlands</w:t>
      </w:r>
      <w:r w:rsidR="00945BFB" w:rsidRPr="007C6545">
        <w:rPr>
          <w:rFonts w:ascii="Arial" w:hAnsi="Arial" w:cs="Arial"/>
          <w:color w:val="000000" w:themeColor="text1"/>
        </w:rPr>
        <w:t>. Available to view at:</w:t>
      </w:r>
    </w:p>
    <w:p w14:paraId="2024225A" w14:textId="77777777" w:rsidR="00CB6355" w:rsidRPr="007C6545" w:rsidRDefault="00CB6355"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file:///C:/Users/felic_000/Downloads/eccmid2016_abstract_777%20(1).pdf</w:t>
      </w:r>
    </w:p>
    <w:p w14:paraId="25468D18"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62</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Polak A, Scholer HJ. Mode of action of 5-fluorocytosine and mechanisms of resistance. </w:t>
      </w:r>
      <w:r w:rsidR="00EB39C5" w:rsidRPr="007C6545">
        <w:rPr>
          <w:rFonts w:ascii="Arial" w:hAnsi="Arial" w:cs="Arial"/>
          <w:i/>
          <w:color w:val="000000" w:themeColor="text1"/>
        </w:rPr>
        <w:t>Chemotherapy</w:t>
      </w:r>
      <w:r w:rsidR="004F1C74" w:rsidRPr="007C6545">
        <w:rPr>
          <w:rFonts w:ascii="Arial" w:hAnsi="Arial" w:cs="Arial"/>
          <w:color w:val="000000" w:themeColor="text1"/>
        </w:rPr>
        <w:t xml:space="preserve"> 1975;</w:t>
      </w:r>
      <w:r w:rsidR="00B26342" w:rsidRPr="007C6545">
        <w:rPr>
          <w:rFonts w:ascii="Arial" w:hAnsi="Arial" w:cs="Arial"/>
          <w:color w:val="000000" w:themeColor="text1"/>
        </w:rPr>
        <w:t xml:space="preserve"> </w:t>
      </w:r>
      <w:r w:rsidR="00EB39C5" w:rsidRPr="007C6545">
        <w:rPr>
          <w:rFonts w:ascii="Arial" w:hAnsi="Arial" w:cs="Arial"/>
          <w:b/>
          <w:color w:val="000000" w:themeColor="text1"/>
        </w:rPr>
        <w:t>21</w:t>
      </w:r>
      <w:r w:rsidR="004F1C74" w:rsidRPr="007C6545">
        <w:rPr>
          <w:rFonts w:ascii="Arial" w:hAnsi="Arial" w:cs="Arial"/>
          <w:color w:val="000000" w:themeColor="text1"/>
        </w:rPr>
        <w:t>:</w:t>
      </w:r>
      <w:r w:rsidR="00B26342" w:rsidRPr="007C6545">
        <w:rPr>
          <w:rFonts w:ascii="Arial" w:hAnsi="Arial" w:cs="Arial"/>
          <w:color w:val="000000" w:themeColor="text1"/>
        </w:rPr>
        <w:t xml:space="preserve"> </w:t>
      </w:r>
      <w:r w:rsidR="004F1C74" w:rsidRPr="007C6545">
        <w:rPr>
          <w:rFonts w:ascii="Arial" w:hAnsi="Arial" w:cs="Arial"/>
          <w:color w:val="000000" w:themeColor="text1"/>
        </w:rPr>
        <w:t>113</w:t>
      </w:r>
      <w:r w:rsidR="00B26342" w:rsidRPr="007C6545">
        <w:rPr>
          <w:rFonts w:ascii="Arial" w:hAnsi="Arial" w:cs="Arial"/>
          <w:color w:val="000000" w:themeColor="text1"/>
        </w:rPr>
        <w:t>–</w:t>
      </w:r>
      <w:r w:rsidR="004F1C74" w:rsidRPr="007C6545">
        <w:rPr>
          <w:rFonts w:ascii="Arial" w:hAnsi="Arial" w:cs="Arial"/>
          <w:color w:val="000000" w:themeColor="text1"/>
        </w:rPr>
        <w:t>30.</w:t>
      </w:r>
    </w:p>
    <w:p w14:paraId="1E9FA69D"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63</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Vermes A, Guchelaar HJ, Dankert J. Flucytosine: a review of its pharmacology, clinical indications, pharmacokinetics, toxicity and drug interactions. </w:t>
      </w:r>
      <w:r w:rsidR="00EB39C5" w:rsidRPr="007C6545">
        <w:rPr>
          <w:rFonts w:ascii="Arial" w:hAnsi="Arial" w:cs="Arial"/>
          <w:i/>
          <w:color w:val="000000" w:themeColor="text1"/>
        </w:rPr>
        <w:t>J Antimicrob Chemother</w:t>
      </w:r>
      <w:r w:rsidR="004F1C74" w:rsidRPr="007C6545">
        <w:rPr>
          <w:rFonts w:ascii="Arial" w:hAnsi="Arial" w:cs="Arial"/>
          <w:color w:val="000000" w:themeColor="text1"/>
        </w:rPr>
        <w:t xml:space="preserve"> 2000;</w:t>
      </w:r>
      <w:r w:rsidR="00B26342" w:rsidRPr="007C6545">
        <w:rPr>
          <w:rFonts w:ascii="Arial" w:hAnsi="Arial" w:cs="Arial"/>
          <w:color w:val="000000" w:themeColor="text1"/>
        </w:rPr>
        <w:t xml:space="preserve"> </w:t>
      </w:r>
      <w:r w:rsidR="00EB39C5" w:rsidRPr="007C6545">
        <w:rPr>
          <w:rFonts w:ascii="Arial" w:hAnsi="Arial" w:cs="Arial"/>
          <w:b/>
          <w:color w:val="000000" w:themeColor="text1"/>
        </w:rPr>
        <w:t>46</w:t>
      </w:r>
      <w:r w:rsidR="004F1C74" w:rsidRPr="007C6545">
        <w:rPr>
          <w:rFonts w:ascii="Arial" w:hAnsi="Arial" w:cs="Arial"/>
          <w:color w:val="000000" w:themeColor="text1"/>
        </w:rPr>
        <w:t>:</w:t>
      </w:r>
      <w:r w:rsidR="00B26342" w:rsidRPr="007C6545">
        <w:rPr>
          <w:rFonts w:ascii="Arial" w:hAnsi="Arial" w:cs="Arial"/>
          <w:color w:val="000000" w:themeColor="text1"/>
        </w:rPr>
        <w:t xml:space="preserve"> </w:t>
      </w:r>
      <w:r w:rsidR="004F1C74" w:rsidRPr="007C6545">
        <w:rPr>
          <w:rFonts w:ascii="Arial" w:hAnsi="Arial" w:cs="Arial"/>
          <w:color w:val="000000" w:themeColor="text1"/>
        </w:rPr>
        <w:t>171</w:t>
      </w:r>
      <w:r w:rsidR="00B26342" w:rsidRPr="007C6545">
        <w:rPr>
          <w:rFonts w:ascii="Arial" w:hAnsi="Arial" w:cs="Arial"/>
          <w:color w:val="000000" w:themeColor="text1"/>
        </w:rPr>
        <w:t>–</w:t>
      </w:r>
      <w:r w:rsidR="004F1C74" w:rsidRPr="007C6545">
        <w:rPr>
          <w:rFonts w:ascii="Arial" w:hAnsi="Arial" w:cs="Arial"/>
          <w:color w:val="000000" w:themeColor="text1"/>
        </w:rPr>
        <w:t>9.</w:t>
      </w:r>
    </w:p>
    <w:p w14:paraId="6DC7A727"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00C251E7" w:rsidRPr="007C6545">
        <w:rPr>
          <w:rFonts w:ascii="Arial" w:hAnsi="Arial" w:cs="Arial"/>
          <w:color w:val="000000" w:themeColor="text1"/>
        </w:rPr>
        <w:t>4</w:t>
      </w:r>
      <w:r w:rsidRPr="007C6545">
        <w:rPr>
          <w:rFonts w:ascii="Arial" w:hAnsi="Arial" w:cs="Arial"/>
          <w:color w:val="000000" w:themeColor="text1"/>
        </w:rPr>
        <w:t>.</w:t>
      </w:r>
      <w:r w:rsidRPr="007C6545">
        <w:rPr>
          <w:rFonts w:ascii="Arial" w:hAnsi="Arial" w:cs="Arial"/>
          <w:color w:val="000000" w:themeColor="text1"/>
        </w:rPr>
        <w:tab/>
        <w:t xml:space="preserve">Block ER, Bennett JE, Livoti LG </w:t>
      </w:r>
      <w:r w:rsidR="00AF6197" w:rsidRPr="007C6545">
        <w:rPr>
          <w:rFonts w:ascii="Arial" w:hAnsi="Arial" w:cs="Arial"/>
          <w:i/>
          <w:color w:val="000000" w:themeColor="text1"/>
        </w:rPr>
        <w:t>et al</w:t>
      </w:r>
      <w:r w:rsidRPr="007C6545">
        <w:rPr>
          <w:rFonts w:ascii="Arial" w:hAnsi="Arial" w:cs="Arial"/>
          <w:color w:val="000000" w:themeColor="text1"/>
        </w:rPr>
        <w:t xml:space="preserve">. Flucytosine and amphotericin B: hemodialysis effects on the plasma concentration and clearance. Studies in man. </w:t>
      </w:r>
      <w:r w:rsidR="00EB39C5" w:rsidRPr="007C6545">
        <w:rPr>
          <w:rFonts w:ascii="Arial" w:hAnsi="Arial" w:cs="Arial"/>
          <w:i/>
          <w:color w:val="000000" w:themeColor="text1"/>
        </w:rPr>
        <w:t>Ann Intern Med</w:t>
      </w:r>
      <w:r w:rsidRPr="007C6545">
        <w:rPr>
          <w:rFonts w:ascii="Arial" w:hAnsi="Arial" w:cs="Arial"/>
          <w:color w:val="000000" w:themeColor="text1"/>
        </w:rPr>
        <w:t xml:space="preserve"> 1974;</w:t>
      </w:r>
      <w:r w:rsidR="00B26342" w:rsidRPr="007C6545">
        <w:rPr>
          <w:rFonts w:ascii="Arial" w:hAnsi="Arial" w:cs="Arial"/>
          <w:color w:val="000000" w:themeColor="text1"/>
        </w:rPr>
        <w:t xml:space="preserve"> </w:t>
      </w:r>
      <w:r w:rsidR="00EB39C5" w:rsidRPr="007C6545">
        <w:rPr>
          <w:rFonts w:ascii="Arial" w:hAnsi="Arial" w:cs="Arial"/>
          <w:b/>
          <w:color w:val="000000" w:themeColor="text1"/>
        </w:rPr>
        <w:t>80</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613</w:t>
      </w:r>
      <w:r w:rsidR="00B26342" w:rsidRPr="007C6545">
        <w:rPr>
          <w:rFonts w:ascii="Arial" w:hAnsi="Arial" w:cs="Arial"/>
          <w:color w:val="000000" w:themeColor="text1"/>
        </w:rPr>
        <w:t>–</w:t>
      </w:r>
      <w:r w:rsidRPr="007C6545">
        <w:rPr>
          <w:rFonts w:ascii="Arial" w:hAnsi="Arial" w:cs="Arial"/>
          <w:color w:val="000000" w:themeColor="text1"/>
        </w:rPr>
        <w:t>7.</w:t>
      </w:r>
    </w:p>
    <w:p w14:paraId="1F64865F"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00C251E7" w:rsidRPr="007C6545">
        <w:rPr>
          <w:rFonts w:ascii="Arial" w:hAnsi="Arial" w:cs="Arial"/>
          <w:color w:val="000000" w:themeColor="text1"/>
        </w:rPr>
        <w:t>5</w:t>
      </w:r>
      <w:r w:rsidRPr="007C6545">
        <w:rPr>
          <w:rFonts w:ascii="Arial" w:hAnsi="Arial" w:cs="Arial"/>
          <w:color w:val="000000" w:themeColor="text1"/>
        </w:rPr>
        <w:t>.</w:t>
      </w:r>
      <w:r w:rsidRPr="007C6545">
        <w:rPr>
          <w:rFonts w:ascii="Arial" w:hAnsi="Arial" w:cs="Arial"/>
          <w:color w:val="000000" w:themeColor="text1"/>
        </w:rPr>
        <w:tab/>
        <w:t xml:space="preserve">Cutler RE, Blair AD, Kelly MR. Flucytosine kinetics in subjects with normal and impaired renal function. </w:t>
      </w:r>
      <w:r w:rsidR="00EB39C5" w:rsidRPr="007C6545">
        <w:rPr>
          <w:rFonts w:ascii="Arial" w:hAnsi="Arial" w:cs="Arial"/>
          <w:i/>
          <w:color w:val="000000" w:themeColor="text1"/>
        </w:rPr>
        <w:t>Clin Pharmacol Ther</w:t>
      </w:r>
      <w:r w:rsidRPr="007C6545">
        <w:rPr>
          <w:rFonts w:ascii="Arial" w:hAnsi="Arial" w:cs="Arial"/>
          <w:color w:val="000000" w:themeColor="text1"/>
        </w:rPr>
        <w:t xml:space="preserve"> 1978;</w:t>
      </w:r>
      <w:r w:rsidR="00B26342" w:rsidRPr="007C6545">
        <w:rPr>
          <w:rFonts w:ascii="Arial" w:hAnsi="Arial" w:cs="Arial"/>
          <w:color w:val="000000" w:themeColor="text1"/>
        </w:rPr>
        <w:t xml:space="preserve"> </w:t>
      </w:r>
      <w:r w:rsidR="00EB39C5" w:rsidRPr="007C6545">
        <w:rPr>
          <w:rFonts w:ascii="Arial" w:hAnsi="Arial" w:cs="Arial"/>
          <w:b/>
          <w:color w:val="000000" w:themeColor="text1"/>
        </w:rPr>
        <w:t>24</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333</w:t>
      </w:r>
      <w:r w:rsidR="00B26342" w:rsidRPr="007C6545">
        <w:rPr>
          <w:rFonts w:ascii="Arial" w:hAnsi="Arial" w:cs="Arial"/>
          <w:color w:val="000000" w:themeColor="text1"/>
        </w:rPr>
        <w:t>–</w:t>
      </w:r>
      <w:r w:rsidRPr="007C6545">
        <w:rPr>
          <w:rFonts w:ascii="Arial" w:hAnsi="Arial" w:cs="Arial"/>
          <w:color w:val="000000" w:themeColor="text1"/>
        </w:rPr>
        <w:t>42.</w:t>
      </w:r>
    </w:p>
    <w:p w14:paraId="6E83A015"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00C251E7" w:rsidRPr="007C6545">
        <w:rPr>
          <w:rFonts w:ascii="Arial" w:hAnsi="Arial" w:cs="Arial"/>
          <w:color w:val="000000" w:themeColor="text1"/>
        </w:rPr>
        <w:t>6</w:t>
      </w:r>
      <w:r w:rsidRPr="007C6545">
        <w:rPr>
          <w:rFonts w:ascii="Arial" w:hAnsi="Arial" w:cs="Arial"/>
          <w:color w:val="000000" w:themeColor="text1"/>
        </w:rPr>
        <w:t>.</w:t>
      </w:r>
      <w:r w:rsidRPr="007C6545">
        <w:rPr>
          <w:rFonts w:ascii="Arial" w:hAnsi="Arial" w:cs="Arial"/>
          <w:color w:val="000000" w:themeColor="text1"/>
        </w:rPr>
        <w:tab/>
        <w:t xml:space="preserve">Goodwin ML, Drew RH. Antifungal serum concentration monitoring: an update. </w:t>
      </w:r>
      <w:r w:rsidR="00B26342" w:rsidRPr="007C6545">
        <w:rPr>
          <w:rFonts w:ascii="Arial" w:hAnsi="Arial" w:cs="Arial"/>
          <w:i/>
          <w:color w:val="000000" w:themeColor="text1"/>
        </w:rPr>
        <w:t>J Antimicrob Chemother</w:t>
      </w:r>
      <w:r w:rsidR="00B26342" w:rsidRPr="007C6545">
        <w:rPr>
          <w:rFonts w:ascii="Arial" w:hAnsi="Arial" w:cs="Arial"/>
          <w:color w:val="000000" w:themeColor="text1"/>
        </w:rPr>
        <w:t xml:space="preserve"> </w:t>
      </w:r>
      <w:r w:rsidRPr="007C6545">
        <w:rPr>
          <w:rFonts w:ascii="Arial" w:hAnsi="Arial" w:cs="Arial"/>
          <w:color w:val="000000" w:themeColor="text1"/>
        </w:rPr>
        <w:t>2008;</w:t>
      </w:r>
      <w:r w:rsidR="00B26342" w:rsidRPr="007C6545">
        <w:rPr>
          <w:rFonts w:ascii="Arial" w:hAnsi="Arial" w:cs="Arial"/>
          <w:color w:val="000000" w:themeColor="text1"/>
        </w:rPr>
        <w:t xml:space="preserve"> </w:t>
      </w:r>
      <w:r w:rsidR="00EB39C5" w:rsidRPr="007C6545">
        <w:rPr>
          <w:rFonts w:ascii="Arial" w:hAnsi="Arial" w:cs="Arial"/>
          <w:b/>
          <w:color w:val="000000" w:themeColor="text1"/>
        </w:rPr>
        <w:t>61</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17</w:t>
      </w:r>
      <w:r w:rsidR="00B26342" w:rsidRPr="007C6545">
        <w:rPr>
          <w:rFonts w:ascii="Arial" w:hAnsi="Arial" w:cs="Arial"/>
          <w:color w:val="000000" w:themeColor="text1"/>
        </w:rPr>
        <w:t>–</w:t>
      </w:r>
      <w:r w:rsidRPr="007C6545">
        <w:rPr>
          <w:rFonts w:ascii="Arial" w:hAnsi="Arial" w:cs="Arial"/>
          <w:color w:val="000000" w:themeColor="text1"/>
        </w:rPr>
        <w:t>25.</w:t>
      </w:r>
    </w:p>
    <w:p w14:paraId="4AA140F6"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00C251E7" w:rsidRPr="007C6545">
        <w:rPr>
          <w:rFonts w:ascii="Arial" w:hAnsi="Arial" w:cs="Arial"/>
          <w:color w:val="000000" w:themeColor="text1"/>
        </w:rPr>
        <w:t>7</w:t>
      </w:r>
      <w:r w:rsidRPr="007C6545">
        <w:rPr>
          <w:rFonts w:ascii="Arial" w:hAnsi="Arial" w:cs="Arial"/>
          <w:color w:val="000000" w:themeColor="text1"/>
        </w:rPr>
        <w:t>.</w:t>
      </w:r>
      <w:r w:rsidRPr="007C6545">
        <w:rPr>
          <w:rFonts w:ascii="Arial" w:hAnsi="Arial" w:cs="Arial"/>
          <w:color w:val="000000" w:themeColor="text1"/>
        </w:rPr>
        <w:tab/>
        <w:t xml:space="preserve">Block ER, Bennett JE. Pharmacological studies with 5-fluorocytosine.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1972;</w:t>
      </w:r>
      <w:r w:rsidR="00B26342" w:rsidRPr="007C6545">
        <w:rPr>
          <w:rFonts w:ascii="Arial" w:hAnsi="Arial" w:cs="Arial"/>
          <w:color w:val="000000" w:themeColor="text1"/>
        </w:rPr>
        <w:t xml:space="preserve"> </w:t>
      </w:r>
      <w:r w:rsidR="00EB39C5" w:rsidRPr="007C6545">
        <w:rPr>
          <w:rFonts w:ascii="Arial" w:hAnsi="Arial" w:cs="Arial"/>
          <w:b/>
          <w:color w:val="000000" w:themeColor="text1"/>
        </w:rPr>
        <w:t>1</w:t>
      </w:r>
      <w:r w:rsidRPr="007C6545">
        <w:rPr>
          <w:rFonts w:ascii="Arial" w:hAnsi="Arial" w:cs="Arial"/>
          <w:color w:val="000000" w:themeColor="text1"/>
        </w:rPr>
        <w:t>:</w:t>
      </w:r>
      <w:r w:rsidR="00B26342" w:rsidRPr="007C6545">
        <w:rPr>
          <w:rFonts w:ascii="Arial" w:hAnsi="Arial" w:cs="Arial"/>
          <w:color w:val="000000" w:themeColor="text1"/>
        </w:rPr>
        <w:t xml:space="preserve"> </w:t>
      </w:r>
      <w:r w:rsidRPr="007C6545">
        <w:rPr>
          <w:rFonts w:ascii="Arial" w:hAnsi="Arial" w:cs="Arial"/>
          <w:color w:val="000000" w:themeColor="text1"/>
        </w:rPr>
        <w:t>476</w:t>
      </w:r>
      <w:r w:rsidR="00B26342" w:rsidRPr="007C6545">
        <w:rPr>
          <w:rFonts w:ascii="Arial" w:hAnsi="Arial" w:cs="Arial"/>
          <w:color w:val="000000" w:themeColor="text1"/>
        </w:rPr>
        <w:t>–</w:t>
      </w:r>
      <w:r w:rsidRPr="007C6545">
        <w:rPr>
          <w:rFonts w:ascii="Arial" w:hAnsi="Arial" w:cs="Arial"/>
          <w:color w:val="000000" w:themeColor="text1"/>
        </w:rPr>
        <w:t>82.</w:t>
      </w:r>
    </w:p>
    <w:p w14:paraId="2745F69C"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00C251E7" w:rsidRPr="007C6545">
        <w:rPr>
          <w:rFonts w:ascii="Arial" w:hAnsi="Arial" w:cs="Arial"/>
          <w:color w:val="000000" w:themeColor="text1"/>
        </w:rPr>
        <w:t>8</w:t>
      </w:r>
      <w:r w:rsidRPr="007C6545">
        <w:rPr>
          <w:rFonts w:ascii="Arial" w:hAnsi="Arial" w:cs="Arial"/>
          <w:color w:val="000000" w:themeColor="text1"/>
        </w:rPr>
        <w:t>.</w:t>
      </w:r>
      <w:r w:rsidRPr="007C6545">
        <w:rPr>
          <w:rFonts w:ascii="Arial" w:hAnsi="Arial" w:cs="Arial"/>
          <w:color w:val="000000" w:themeColor="text1"/>
        </w:rPr>
        <w:tab/>
        <w:t xml:space="preserve">Pasqualotto AC, Howard SJ, Moore CB </w:t>
      </w:r>
      <w:r w:rsidR="00AF6197" w:rsidRPr="007C6545">
        <w:rPr>
          <w:rFonts w:ascii="Arial" w:hAnsi="Arial" w:cs="Arial"/>
          <w:i/>
          <w:color w:val="000000" w:themeColor="text1"/>
        </w:rPr>
        <w:t>et al</w:t>
      </w:r>
      <w:r w:rsidRPr="007C6545">
        <w:rPr>
          <w:rFonts w:ascii="Arial" w:hAnsi="Arial" w:cs="Arial"/>
          <w:color w:val="000000" w:themeColor="text1"/>
        </w:rPr>
        <w:t xml:space="preserve">. Flucytosine therapeutic monitoring: 15 years experience from the UK. </w:t>
      </w:r>
      <w:r w:rsidR="00EB39C5" w:rsidRPr="007C6545">
        <w:rPr>
          <w:rFonts w:ascii="Arial" w:hAnsi="Arial" w:cs="Arial"/>
          <w:i/>
          <w:color w:val="000000" w:themeColor="text1"/>
        </w:rPr>
        <w:t>J Antimicrob Chemother</w:t>
      </w:r>
      <w:r w:rsidRPr="007C6545">
        <w:rPr>
          <w:rFonts w:ascii="Arial" w:hAnsi="Arial" w:cs="Arial"/>
          <w:color w:val="000000" w:themeColor="text1"/>
        </w:rPr>
        <w:t xml:space="preserve"> 2007;</w:t>
      </w:r>
      <w:r w:rsidR="00E35003" w:rsidRPr="007C6545">
        <w:rPr>
          <w:rFonts w:ascii="Arial" w:hAnsi="Arial" w:cs="Arial"/>
          <w:color w:val="000000" w:themeColor="text1"/>
        </w:rPr>
        <w:t xml:space="preserve"> </w:t>
      </w:r>
      <w:r w:rsidR="00EB39C5" w:rsidRPr="007C6545">
        <w:rPr>
          <w:rFonts w:ascii="Arial" w:hAnsi="Arial" w:cs="Arial"/>
          <w:b/>
          <w:color w:val="000000" w:themeColor="text1"/>
        </w:rPr>
        <w:t>59</w:t>
      </w:r>
      <w:r w:rsidRPr="007C6545">
        <w:rPr>
          <w:rFonts w:ascii="Arial" w:hAnsi="Arial" w:cs="Arial"/>
          <w:color w:val="000000" w:themeColor="text1"/>
        </w:rPr>
        <w:t>:</w:t>
      </w:r>
      <w:r w:rsidR="00E35003" w:rsidRPr="007C6545">
        <w:rPr>
          <w:rFonts w:ascii="Arial" w:hAnsi="Arial" w:cs="Arial"/>
          <w:color w:val="000000" w:themeColor="text1"/>
        </w:rPr>
        <w:t xml:space="preserve"> </w:t>
      </w:r>
      <w:r w:rsidRPr="007C6545">
        <w:rPr>
          <w:rFonts w:ascii="Arial" w:hAnsi="Arial" w:cs="Arial"/>
          <w:color w:val="000000" w:themeColor="text1"/>
        </w:rPr>
        <w:t>791</w:t>
      </w:r>
      <w:r w:rsidR="00E35003" w:rsidRPr="007C6545">
        <w:rPr>
          <w:rFonts w:ascii="Arial" w:hAnsi="Arial" w:cs="Arial"/>
          <w:color w:val="000000" w:themeColor="text1"/>
        </w:rPr>
        <w:t>–</w:t>
      </w:r>
      <w:r w:rsidRPr="007C6545">
        <w:rPr>
          <w:rFonts w:ascii="Arial" w:hAnsi="Arial" w:cs="Arial"/>
          <w:color w:val="000000" w:themeColor="text1"/>
        </w:rPr>
        <w:t>3.</w:t>
      </w:r>
    </w:p>
    <w:p w14:paraId="42127EF6"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6</w:t>
      </w:r>
      <w:r w:rsidR="00C251E7" w:rsidRPr="007C6545">
        <w:rPr>
          <w:rFonts w:ascii="Arial" w:hAnsi="Arial" w:cs="Arial"/>
          <w:color w:val="000000" w:themeColor="text1"/>
        </w:rPr>
        <w:t>9</w:t>
      </w:r>
      <w:r w:rsidRPr="007C6545">
        <w:rPr>
          <w:rFonts w:ascii="Arial" w:hAnsi="Arial" w:cs="Arial"/>
          <w:color w:val="000000" w:themeColor="text1"/>
        </w:rPr>
        <w:t>.</w:t>
      </w:r>
      <w:r w:rsidRPr="007C6545">
        <w:rPr>
          <w:rFonts w:ascii="Arial" w:hAnsi="Arial" w:cs="Arial"/>
          <w:color w:val="000000" w:themeColor="text1"/>
        </w:rPr>
        <w:tab/>
        <w:t xml:space="preserve">Normark S, Schonebeck J. In vitro studies of 5-fluorocytosine resistance in Candida albicans and Torulopsis glabrata.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1972;</w:t>
      </w:r>
      <w:r w:rsidR="00E35003" w:rsidRPr="007C6545">
        <w:rPr>
          <w:rFonts w:ascii="Arial" w:hAnsi="Arial" w:cs="Arial"/>
          <w:color w:val="000000" w:themeColor="text1"/>
        </w:rPr>
        <w:t xml:space="preserve"> </w:t>
      </w:r>
      <w:r w:rsidR="00EB39C5" w:rsidRPr="007C6545">
        <w:rPr>
          <w:rFonts w:ascii="Arial" w:hAnsi="Arial" w:cs="Arial"/>
          <w:b/>
          <w:color w:val="000000" w:themeColor="text1"/>
        </w:rPr>
        <w:t>2</w:t>
      </w:r>
      <w:r w:rsidRPr="007C6545">
        <w:rPr>
          <w:rFonts w:ascii="Arial" w:hAnsi="Arial" w:cs="Arial"/>
          <w:color w:val="000000" w:themeColor="text1"/>
        </w:rPr>
        <w:t>:</w:t>
      </w:r>
      <w:r w:rsidR="00E35003" w:rsidRPr="007C6545">
        <w:rPr>
          <w:rFonts w:ascii="Arial" w:hAnsi="Arial" w:cs="Arial"/>
          <w:color w:val="000000" w:themeColor="text1"/>
        </w:rPr>
        <w:t xml:space="preserve"> </w:t>
      </w:r>
      <w:r w:rsidRPr="007C6545">
        <w:rPr>
          <w:rFonts w:ascii="Arial" w:hAnsi="Arial" w:cs="Arial"/>
          <w:color w:val="000000" w:themeColor="text1"/>
        </w:rPr>
        <w:t>114</w:t>
      </w:r>
      <w:r w:rsidR="00E35003" w:rsidRPr="007C6545">
        <w:rPr>
          <w:rFonts w:ascii="Arial" w:hAnsi="Arial" w:cs="Arial"/>
          <w:color w:val="000000" w:themeColor="text1"/>
        </w:rPr>
        <w:t>–</w:t>
      </w:r>
      <w:r w:rsidRPr="007C6545">
        <w:rPr>
          <w:rFonts w:ascii="Arial" w:hAnsi="Arial" w:cs="Arial"/>
          <w:color w:val="000000" w:themeColor="text1"/>
        </w:rPr>
        <w:t>21.</w:t>
      </w:r>
    </w:p>
    <w:p w14:paraId="5A9D775C" w14:textId="77777777" w:rsidR="00EB39C5" w:rsidRPr="007C6545" w:rsidRDefault="00C251E7" w:rsidP="005F2259">
      <w:pPr>
        <w:pStyle w:val="EndNoteBibliography"/>
        <w:spacing w:after="0" w:line="480" w:lineRule="auto"/>
        <w:rPr>
          <w:rFonts w:ascii="Arial" w:hAnsi="Arial" w:cs="Arial"/>
          <w:color w:val="000000" w:themeColor="text1"/>
          <w:lang w:val="da-DK"/>
        </w:rPr>
      </w:pPr>
      <w:r w:rsidRPr="007C6545">
        <w:rPr>
          <w:rFonts w:ascii="Arial" w:hAnsi="Arial" w:cs="Arial"/>
          <w:color w:val="000000" w:themeColor="text1"/>
        </w:rPr>
        <w:t>70</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Stamm AM, Diasio RB, Dismukes WE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Toxicity of amphotericin B plus flucytosine in 194 patients with cryptococcal meningitis. </w:t>
      </w:r>
      <w:r w:rsidR="000E16BA" w:rsidRPr="007C6545">
        <w:rPr>
          <w:rFonts w:ascii="Arial" w:hAnsi="Arial" w:cs="Arial"/>
          <w:i/>
          <w:color w:val="000000" w:themeColor="text1"/>
          <w:lang w:val="da-DK"/>
        </w:rPr>
        <w:t>Am J Med</w:t>
      </w:r>
      <w:r w:rsidR="000E16BA" w:rsidRPr="007C6545">
        <w:rPr>
          <w:rFonts w:ascii="Arial" w:hAnsi="Arial" w:cs="Arial"/>
          <w:color w:val="000000" w:themeColor="text1"/>
          <w:lang w:val="da-DK"/>
        </w:rPr>
        <w:t xml:space="preserve"> 1987; </w:t>
      </w:r>
      <w:r w:rsidR="000E16BA" w:rsidRPr="007C6545">
        <w:rPr>
          <w:rFonts w:ascii="Arial" w:hAnsi="Arial" w:cs="Arial"/>
          <w:b/>
          <w:color w:val="000000" w:themeColor="text1"/>
          <w:lang w:val="da-DK"/>
        </w:rPr>
        <w:t>83</w:t>
      </w:r>
      <w:r w:rsidR="000E16BA" w:rsidRPr="007C6545">
        <w:rPr>
          <w:rFonts w:ascii="Arial" w:hAnsi="Arial" w:cs="Arial"/>
          <w:color w:val="000000" w:themeColor="text1"/>
          <w:lang w:val="da-DK"/>
        </w:rPr>
        <w:t>: 236–42.</w:t>
      </w:r>
    </w:p>
    <w:p w14:paraId="65F8F603"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lang w:val="da-DK"/>
        </w:rPr>
        <w:t>71</w:t>
      </w:r>
      <w:r w:rsidR="000E16BA" w:rsidRPr="007C6545">
        <w:rPr>
          <w:rFonts w:ascii="Arial" w:hAnsi="Arial" w:cs="Arial"/>
          <w:color w:val="000000" w:themeColor="text1"/>
          <w:lang w:val="da-DK"/>
        </w:rPr>
        <w:t>.</w:t>
      </w:r>
      <w:r w:rsidR="000E16BA" w:rsidRPr="007C6545">
        <w:rPr>
          <w:rFonts w:ascii="Arial" w:hAnsi="Arial" w:cs="Arial"/>
          <w:color w:val="000000" w:themeColor="text1"/>
          <w:lang w:val="da-DK"/>
        </w:rPr>
        <w:tab/>
        <w:t xml:space="preserve">Soltani M, Tobin CM, Bowker KE </w:t>
      </w:r>
      <w:r w:rsidR="00AF6197" w:rsidRPr="007C6545">
        <w:rPr>
          <w:rFonts w:ascii="Arial" w:hAnsi="Arial" w:cs="Arial"/>
          <w:i/>
          <w:color w:val="000000" w:themeColor="text1"/>
          <w:lang w:val="da-DK"/>
        </w:rPr>
        <w:t>et al</w:t>
      </w:r>
      <w:r w:rsidR="000E16BA" w:rsidRPr="007C6545">
        <w:rPr>
          <w:rFonts w:ascii="Arial" w:hAnsi="Arial" w:cs="Arial"/>
          <w:color w:val="000000" w:themeColor="text1"/>
          <w:lang w:val="da-DK"/>
        </w:rPr>
        <w:t xml:space="preserve">. </w:t>
      </w:r>
      <w:r w:rsidR="004F1C74" w:rsidRPr="007C6545">
        <w:rPr>
          <w:rFonts w:ascii="Arial" w:hAnsi="Arial" w:cs="Arial"/>
          <w:color w:val="000000" w:themeColor="text1"/>
        </w:rPr>
        <w:t xml:space="preserve">Evidence of excessive concentrations of 5-flucytosine in children aged below 12 years: a 12-year review of serum concentrations from a UK clinical assay reference laboratory. </w:t>
      </w:r>
      <w:r w:rsidR="00EB39C5" w:rsidRPr="007C6545">
        <w:rPr>
          <w:rFonts w:ascii="Arial" w:hAnsi="Arial" w:cs="Arial"/>
          <w:i/>
          <w:color w:val="000000" w:themeColor="text1"/>
        </w:rPr>
        <w:t>Int J Antimicrob Agents</w:t>
      </w:r>
      <w:r w:rsidR="004F1C74" w:rsidRPr="007C6545">
        <w:rPr>
          <w:rFonts w:ascii="Arial" w:hAnsi="Arial" w:cs="Arial"/>
          <w:color w:val="000000" w:themeColor="text1"/>
        </w:rPr>
        <w:t xml:space="preserve"> 2006;</w:t>
      </w:r>
      <w:r w:rsidR="00E35003" w:rsidRPr="007C6545">
        <w:rPr>
          <w:rFonts w:ascii="Arial" w:hAnsi="Arial" w:cs="Arial"/>
          <w:color w:val="000000" w:themeColor="text1"/>
        </w:rPr>
        <w:t xml:space="preserve"> </w:t>
      </w:r>
      <w:r w:rsidR="00EB39C5" w:rsidRPr="007C6545">
        <w:rPr>
          <w:rFonts w:ascii="Arial" w:hAnsi="Arial" w:cs="Arial"/>
          <w:b/>
          <w:color w:val="000000" w:themeColor="text1"/>
        </w:rPr>
        <w:t>28</w:t>
      </w:r>
      <w:r w:rsidR="004F1C74" w:rsidRPr="007C6545">
        <w:rPr>
          <w:rFonts w:ascii="Arial" w:hAnsi="Arial" w:cs="Arial"/>
          <w:color w:val="000000" w:themeColor="text1"/>
        </w:rPr>
        <w:t>:</w:t>
      </w:r>
      <w:r w:rsidR="00E35003" w:rsidRPr="007C6545">
        <w:rPr>
          <w:rFonts w:ascii="Arial" w:hAnsi="Arial" w:cs="Arial"/>
          <w:color w:val="000000" w:themeColor="text1"/>
        </w:rPr>
        <w:t xml:space="preserve"> </w:t>
      </w:r>
      <w:r w:rsidR="004F1C74" w:rsidRPr="007C6545">
        <w:rPr>
          <w:rFonts w:ascii="Arial" w:hAnsi="Arial" w:cs="Arial"/>
          <w:color w:val="000000" w:themeColor="text1"/>
        </w:rPr>
        <w:t>574</w:t>
      </w:r>
      <w:r w:rsidR="00E35003" w:rsidRPr="007C6545">
        <w:rPr>
          <w:rFonts w:ascii="Arial" w:hAnsi="Arial" w:cs="Arial"/>
          <w:color w:val="000000" w:themeColor="text1"/>
        </w:rPr>
        <w:t>–</w:t>
      </w:r>
      <w:r w:rsidR="004F1C74" w:rsidRPr="007C6545">
        <w:rPr>
          <w:rFonts w:ascii="Arial" w:hAnsi="Arial" w:cs="Arial"/>
          <w:color w:val="000000" w:themeColor="text1"/>
        </w:rPr>
        <w:t>7.</w:t>
      </w:r>
    </w:p>
    <w:p w14:paraId="1B02B905"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72</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Petersen D, Demertzis S, Freund M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Individualization of 5-fluorocytosine therapy. </w:t>
      </w:r>
      <w:r w:rsidR="00EB39C5" w:rsidRPr="007C6545">
        <w:rPr>
          <w:rFonts w:ascii="Arial" w:hAnsi="Arial" w:cs="Arial"/>
          <w:i/>
          <w:color w:val="000000" w:themeColor="text1"/>
        </w:rPr>
        <w:t>Chemotherapy</w:t>
      </w:r>
      <w:r w:rsidR="004F1C74" w:rsidRPr="007C6545">
        <w:rPr>
          <w:rFonts w:ascii="Arial" w:hAnsi="Arial" w:cs="Arial"/>
          <w:color w:val="000000" w:themeColor="text1"/>
        </w:rPr>
        <w:t xml:space="preserve"> 1994;</w:t>
      </w:r>
      <w:r w:rsidR="00E35003" w:rsidRPr="007C6545">
        <w:rPr>
          <w:rFonts w:ascii="Arial" w:hAnsi="Arial" w:cs="Arial"/>
          <w:color w:val="000000" w:themeColor="text1"/>
        </w:rPr>
        <w:t xml:space="preserve"> </w:t>
      </w:r>
      <w:r w:rsidR="00EB39C5" w:rsidRPr="007C6545">
        <w:rPr>
          <w:rFonts w:ascii="Arial" w:hAnsi="Arial" w:cs="Arial"/>
          <w:b/>
          <w:color w:val="000000" w:themeColor="text1"/>
        </w:rPr>
        <w:t>40</w:t>
      </w:r>
      <w:r w:rsidR="004F1C74" w:rsidRPr="007C6545">
        <w:rPr>
          <w:rFonts w:ascii="Arial" w:hAnsi="Arial" w:cs="Arial"/>
          <w:color w:val="000000" w:themeColor="text1"/>
        </w:rPr>
        <w:t>:</w:t>
      </w:r>
      <w:r w:rsidR="00E35003" w:rsidRPr="007C6545">
        <w:rPr>
          <w:rFonts w:ascii="Arial" w:hAnsi="Arial" w:cs="Arial"/>
          <w:color w:val="000000" w:themeColor="text1"/>
        </w:rPr>
        <w:t xml:space="preserve"> </w:t>
      </w:r>
      <w:r w:rsidR="004F1C74" w:rsidRPr="007C6545">
        <w:rPr>
          <w:rFonts w:ascii="Arial" w:hAnsi="Arial" w:cs="Arial"/>
          <w:color w:val="000000" w:themeColor="text1"/>
        </w:rPr>
        <w:t>149</w:t>
      </w:r>
      <w:r w:rsidR="00E35003" w:rsidRPr="007C6545">
        <w:rPr>
          <w:rFonts w:ascii="Arial" w:hAnsi="Arial" w:cs="Arial"/>
          <w:color w:val="000000" w:themeColor="text1"/>
        </w:rPr>
        <w:t>–</w:t>
      </w:r>
      <w:r w:rsidR="004F1C74" w:rsidRPr="007C6545">
        <w:rPr>
          <w:rFonts w:ascii="Arial" w:hAnsi="Arial" w:cs="Arial"/>
          <w:color w:val="000000" w:themeColor="text1"/>
        </w:rPr>
        <w:t>56.</w:t>
      </w:r>
    </w:p>
    <w:p w14:paraId="5280A5D2"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lastRenderedPageBreak/>
        <w:t>73</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Saravolatz LD, Ostrosky-Zeichner L, Marr KA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Amphotericin B: Time for a New “Gold Standard”. </w:t>
      </w:r>
      <w:r w:rsidR="00EB39C5" w:rsidRPr="007C6545">
        <w:rPr>
          <w:rFonts w:ascii="Arial" w:hAnsi="Arial" w:cs="Arial"/>
          <w:i/>
          <w:color w:val="000000" w:themeColor="text1"/>
        </w:rPr>
        <w:t>Clin Infect Dis.</w:t>
      </w:r>
      <w:r w:rsidR="004F1C74" w:rsidRPr="007C6545">
        <w:rPr>
          <w:rFonts w:ascii="Arial" w:hAnsi="Arial" w:cs="Arial"/>
          <w:color w:val="000000" w:themeColor="text1"/>
        </w:rPr>
        <w:t xml:space="preserve"> 2003;</w:t>
      </w:r>
      <w:r w:rsidR="00E35003" w:rsidRPr="007C6545">
        <w:rPr>
          <w:rFonts w:ascii="Arial" w:hAnsi="Arial" w:cs="Arial"/>
          <w:color w:val="000000" w:themeColor="text1"/>
        </w:rPr>
        <w:t xml:space="preserve"> </w:t>
      </w:r>
      <w:r w:rsidR="00EB39C5" w:rsidRPr="007C6545">
        <w:rPr>
          <w:rFonts w:ascii="Arial" w:hAnsi="Arial" w:cs="Arial"/>
          <w:b/>
          <w:color w:val="000000" w:themeColor="text1"/>
        </w:rPr>
        <w:t>37</w:t>
      </w:r>
      <w:r w:rsidR="004F1C74" w:rsidRPr="007C6545">
        <w:rPr>
          <w:rFonts w:ascii="Arial" w:hAnsi="Arial" w:cs="Arial"/>
          <w:color w:val="000000" w:themeColor="text1"/>
        </w:rPr>
        <w:t>:</w:t>
      </w:r>
      <w:r w:rsidR="00E35003" w:rsidRPr="007C6545">
        <w:rPr>
          <w:rFonts w:ascii="Arial" w:hAnsi="Arial" w:cs="Arial"/>
          <w:color w:val="000000" w:themeColor="text1"/>
        </w:rPr>
        <w:t xml:space="preserve"> </w:t>
      </w:r>
      <w:r w:rsidR="004F1C74" w:rsidRPr="007C6545">
        <w:rPr>
          <w:rFonts w:ascii="Arial" w:hAnsi="Arial" w:cs="Arial"/>
          <w:color w:val="000000" w:themeColor="text1"/>
        </w:rPr>
        <w:t>415</w:t>
      </w:r>
      <w:r w:rsidR="00E35003" w:rsidRPr="007C6545">
        <w:rPr>
          <w:rFonts w:ascii="Arial" w:hAnsi="Arial" w:cs="Arial"/>
          <w:color w:val="000000" w:themeColor="text1"/>
        </w:rPr>
        <w:t>–</w:t>
      </w:r>
      <w:r w:rsidR="004F1C74" w:rsidRPr="007C6545">
        <w:rPr>
          <w:rFonts w:ascii="Arial" w:hAnsi="Arial" w:cs="Arial"/>
          <w:color w:val="000000" w:themeColor="text1"/>
        </w:rPr>
        <w:t>25.</w:t>
      </w:r>
    </w:p>
    <w:p w14:paraId="2C663B30"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00C251E7" w:rsidRPr="007C6545">
        <w:rPr>
          <w:rFonts w:ascii="Arial" w:hAnsi="Arial" w:cs="Arial"/>
          <w:color w:val="000000" w:themeColor="text1"/>
        </w:rPr>
        <w:t>4</w:t>
      </w:r>
      <w:r w:rsidRPr="007C6545">
        <w:rPr>
          <w:rFonts w:ascii="Arial" w:hAnsi="Arial" w:cs="Arial"/>
          <w:color w:val="000000" w:themeColor="text1"/>
        </w:rPr>
        <w:t>.</w:t>
      </w:r>
      <w:r w:rsidRPr="007C6545">
        <w:rPr>
          <w:rFonts w:ascii="Arial" w:hAnsi="Arial" w:cs="Arial"/>
          <w:color w:val="000000" w:themeColor="text1"/>
        </w:rPr>
        <w:tab/>
        <w:t xml:space="preserve">Stone NR, Bicanic T, Salim R, Hope W. </w:t>
      </w:r>
      <w:r w:rsidR="00E35003" w:rsidRPr="007C6545">
        <w:rPr>
          <w:rFonts w:ascii="Arial" w:hAnsi="Arial" w:cs="Arial"/>
          <w:color w:val="000000" w:themeColor="text1"/>
        </w:rPr>
        <w:t>Liposomal amphotericin b (AmBisome(®)): a review of the pharmacokinetics, pharmacodynamics, clinical experience and future directions</w:t>
      </w:r>
      <w:r w:rsidRPr="007C6545">
        <w:rPr>
          <w:rFonts w:ascii="Arial" w:hAnsi="Arial" w:cs="Arial"/>
          <w:color w:val="000000" w:themeColor="text1"/>
        </w:rPr>
        <w:t xml:space="preserve">. </w:t>
      </w:r>
      <w:r w:rsidR="00EB39C5" w:rsidRPr="007C6545">
        <w:rPr>
          <w:rFonts w:ascii="Arial" w:hAnsi="Arial" w:cs="Arial"/>
          <w:i/>
          <w:color w:val="000000" w:themeColor="text1"/>
        </w:rPr>
        <w:t>Drugs</w:t>
      </w:r>
      <w:r w:rsidRPr="007C6545">
        <w:rPr>
          <w:rFonts w:ascii="Arial" w:hAnsi="Arial" w:cs="Arial"/>
          <w:color w:val="000000" w:themeColor="text1"/>
        </w:rPr>
        <w:t xml:space="preserve"> 2016;</w:t>
      </w:r>
      <w:r w:rsidR="00E35003" w:rsidRPr="007C6545">
        <w:rPr>
          <w:rFonts w:ascii="Arial" w:hAnsi="Arial" w:cs="Arial"/>
          <w:color w:val="000000" w:themeColor="text1"/>
        </w:rPr>
        <w:t xml:space="preserve"> </w:t>
      </w:r>
      <w:r w:rsidR="00EB39C5" w:rsidRPr="007C6545">
        <w:rPr>
          <w:rFonts w:ascii="Arial" w:hAnsi="Arial" w:cs="Arial"/>
          <w:b/>
          <w:color w:val="000000" w:themeColor="text1"/>
        </w:rPr>
        <w:t>76</w:t>
      </w:r>
      <w:r w:rsidRPr="007C6545">
        <w:rPr>
          <w:rFonts w:ascii="Arial" w:hAnsi="Arial" w:cs="Arial"/>
          <w:color w:val="000000" w:themeColor="text1"/>
        </w:rPr>
        <w:t>:</w:t>
      </w:r>
      <w:r w:rsidR="00E35003" w:rsidRPr="007C6545">
        <w:rPr>
          <w:rFonts w:ascii="Arial" w:hAnsi="Arial" w:cs="Arial"/>
          <w:color w:val="000000" w:themeColor="text1"/>
        </w:rPr>
        <w:t xml:space="preserve"> </w:t>
      </w:r>
      <w:r w:rsidRPr="007C6545">
        <w:rPr>
          <w:rFonts w:ascii="Arial" w:hAnsi="Arial" w:cs="Arial"/>
          <w:color w:val="000000" w:themeColor="text1"/>
        </w:rPr>
        <w:t>485</w:t>
      </w:r>
      <w:r w:rsidR="00E35003" w:rsidRPr="007C6545">
        <w:rPr>
          <w:rFonts w:ascii="Arial" w:hAnsi="Arial" w:cs="Arial"/>
          <w:color w:val="000000" w:themeColor="text1"/>
        </w:rPr>
        <w:t>–</w:t>
      </w:r>
      <w:r w:rsidRPr="007C6545">
        <w:rPr>
          <w:rFonts w:ascii="Arial" w:hAnsi="Arial" w:cs="Arial"/>
          <w:color w:val="000000" w:themeColor="text1"/>
        </w:rPr>
        <w:t>500.</w:t>
      </w:r>
    </w:p>
    <w:p w14:paraId="68F9685E"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00C251E7" w:rsidRPr="007C6545">
        <w:rPr>
          <w:rFonts w:ascii="Arial" w:hAnsi="Arial" w:cs="Arial"/>
          <w:color w:val="000000" w:themeColor="text1"/>
        </w:rPr>
        <w:t>5</w:t>
      </w:r>
      <w:r w:rsidRPr="007C6545">
        <w:rPr>
          <w:rFonts w:ascii="Arial" w:hAnsi="Arial" w:cs="Arial"/>
          <w:color w:val="000000" w:themeColor="text1"/>
        </w:rPr>
        <w:t>.</w:t>
      </w:r>
      <w:r w:rsidRPr="007C6545">
        <w:rPr>
          <w:rFonts w:ascii="Arial" w:hAnsi="Arial" w:cs="Arial"/>
          <w:color w:val="000000" w:themeColor="text1"/>
        </w:rPr>
        <w:tab/>
        <w:t xml:space="preserve">Rapp RP, Gubbins PO, Evans ME. Amphotericin B lipid complex. </w:t>
      </w:r>
      <w:r w:rsidR="00EB39C5" w:rsidRPr="007C6545">
        <w:rPr>
          <w:rFonts w:ascii="Arial" w:hAnsi="Arial" w:cs="Arial"/>
          <w:i/>
          <w:color w:val="000000" w:themeColor="text1"/>
        </w:rPr>
        <w:t>Ann Pharmacother</w:t>
      </w:r>
      <w:r w:rsidRPr="007C6545">
        <w:rPr>
          <w:rFonts w:ascii="Arial" w:hAnsi="Arial" w:cs="Arial"/>
          <w:color w:val="000000" w:themeColor="text1"/>
        </w:rPr>
        <w:t xml:space="preserve"> 1997;</w:t>
      </w:r>
      <w:r w:rsidR="00E35003" w:rsidRPr="007C6545">
        <w:rPr>
          <w:rFonts w:ascii="Arial" w:hAnsi="Arial" w:cs="Arial"/>
          <w:color w:val="000000" w:themeColor="text1"/>
        </w:rPr>
        <w:t xml:space="preserve"> </w:t>
      </w:r>
      <w:r w:rsidR="00EB39C5" w:rsidRPr="007C6545">
        <w:rPr>
          <w:rFonts w:ascii="Arial" w:hAnsi="Arial" w:cs="Arial"/>
          <w:b/>
          <w:color w:val="000000" w:themeColor="text1"/>
        </w:rPr>
        <w:t>31</w:t>
      </w:r>
      <w:r w:rsidRPr="007C6545">
        <w:rPr>
          <w:rFonts w:ascii="Arial" w:hAnsi="Arial" w:cs="Arial"/>
          <w:color w:val="000000" w:themeColor="text1"/>
        </w:rPr>
        <w:t>:</w:t>
      </w:r>
      <w:r w:rsidR="00E35003" w:rsidRPr="007C6545">
        <w:rPr>
          <w:rFonts w:ascii="Arial" w:hAnsi="Arial" w:cs="Arial"/>
          <w:color w:val="000000" w:themeColor="text1"/>
        </w:rPr>
        <w:t xml:space="preserve"> </w:t>
      </w:r>
      <w:r w:rsidRPr="007C6545">
        <w:rPr>
          <w:rFonts w:ascii="Arial" w:hAnsi="Arial" w:cs="Arial"/>
          <w:color w:val="000000" w:themeColor="text1"/>
        </w:rPr>
        <w:t>1174</w:t>
      </w:r>
      <w:r w:rsidR="00E35003" w:rsidRPr="007C6545">
        <w:rPr>
          <w:rFonts w:ascii="Arial" w:hAnsi="Arial" w:cs="Arial"/>
          <w:color w:val="000000" w:themeColor="text1"/>
        </w:rPr>
        <w:t>–</w:t>
      </w:r>
      <w:r w:rsidRPr="007C6545">
        <w:rPr>
          <w:rFonts w:ascii="Arial" w:hAnsi="Arial" w:cs="Arial"/>
          <w:color w:val="000000" w:themeColor="text1"/>
        </w:rPr>
        <w:t>86.</w:t>
      </w:r>
    </w:p>
    <w:p w14:paraId="4325C660"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00C251E7" w:rsidRPr="007C6545">
        <w:rPr>
          <w:rFonts w:ascii="Arial" w:hAnsi="Arial" w:cs="Arial"/>
          <w:color w:val="000000" w:themeColor="text1"/>
        </w:rPr>
        <w:t>6</w:t>
      </w:r>
      <w:r w:rsidRPr="007C6545">
        <w:rPr>
          <w:rFonts w:ascii="Arial" w:hAnsi="Arial" w:cs="Arial"/>
          <w:color w:val="000000" w:themeColor="text1"/>
        </w:rPr>
        <w:t>.</w:t>
      </w:r>
      <w:r w:rsidRPr="007C6545">
        <w:rPr>
          <w:rFonts w:ascii="Arial" w:hAnsi="Arial" w:cs="Arial"/>
          <w:color w:val="000000" w:themeColor="text1"/>
        </w:rPr>
        <w:tab/>
        <w:t xml:space="preserve">Andes D, Stamsted T, Conklin R. </w:t>
      </w:r>
      <w:r w:rsidR="00E35003" w:rsidRPr="007C6545">
        <w:rPr>
          <w:rFonts w:ascii="Arial" w:hAnsi="Arial" w:cs="Arial"/>
          <w:color w:val="000000" w:themeColor="text1"/>
        </w:rPr>
        <w:t xml:space="preserve">Pharmacodynamics of amphotericin </w:t>
      </w:r>
      <w:r w:rsidR="00952D75" w:rsidRPr="007C6545">
        <w:rPr>
          <w:rFonts w:ascii="Arial" w:hAnsi="Arial" w:cs="Arial"/>
          <w:color w:val="000000" w:themeColor="text1"/>
        </w:rPr>
        <w:t>B</w:t>
      </w:r>
      <w:r w:rsidR="00E35003" w:rsidRPr="007C6545">
        <w:rPr>
          <w:rFonts w:ascii="Arial" w:hAnsi="Arial" w:cs="Arial"/>
          <w:color w:val="000000" w:themeColor="text1"/>
        </w:rPr>
        <w:t xml:space="preserve"> in a neutropenic-mouse disseminated-candidiasis model. </w:t>
      </w:r>
      <w:r w:rsidR="00E35003" w:rsidRPr="007C6545">
        <w:rPr>
          <w:rFonts w:ascii="Arial" w:hAnsi="Arial" w:cs="Arial"/>
          <w:i/>
          <w:color w:val="000000" w:themeColor="text1"/>
        </w:rPr>
        <w:t>Antimicrob Agents Chemother</w:t>
      </w:r>
      <w:r w:rsidR="00E35003" w:rsidRPr="007C6545">
        <w:rPr>
          <w:rFonts w:ascii="Arial" w:hAnsi="Arial" w:cs="Arial"/>
          <w:color w:val="000000" w:themeColor="text1"/>
        </w:rPr>
        <w:t xml:space="preserve"> </w:t>
      </w:r>
      <w:r w:rsidRPr="007C6545">
        <w:rPr>
          <w:rFonts w:ascii="Arial" w:hAnsi="Arial" w:cs="Arial"/>
          <w:color w:val="000000" w:themeColor="text1"/>
        </w:rPr>
        <w:t>2001;</w:t>
      </w:r>
      <w:r w:rsidR="00E35003" w:rsidRPr="007C6545">
        <w:rPr>
          <w:rFonts w:ascii="Arial" w:hAnsi="Arial" w:cs="Arial"/>
          <w:color w:val="000000" w:themeColor="text1"/>
        </w:rPr>
        <w:t xml:space="preserve"> </w:t>
      </w:r>
      <w:r w:rsidR="00EB39C5" w:rsidRPr="007C6545">
        <w:rPr>
          <w:rFonts w:ascii="Arial" w:hAnsi="Arial" w:cs="Arial"/>
          <w:b/>
          <w:color w:val="000000" w:themeColor="text1"/>
        </w:rPr>
        <w:t>45</w:t>
      </w:r>
      <w:r w:rsidRPr="007C6545">
        <w:rPr>
          <w:rFonts w:ascii="Arial" w:hAnsi="Arial" w:cs="Arial"/>
          <w:color w:val="000000" w:themeColor="text1"/>
        </w:rPr>
        <w:t>:</w:t>
      </w:r>
      <w:r w:rsidR="00E35003" w:rsidRPr="007C6545">
        <w:rPr>
          <w:rFonts w:ascii="Arial" w:hAnsi="Arial" w:cs="Arial"/>
          <w:color w:val="000000" w:themeColor="text1"/>
        </w:rPr>
        <w:t xml:space="preserve"> </w:t>
      </w:r>
      <w:r w:rsidRPr="007C6545">
        <w:rPr>
          <w:rFonts w:ascii="Arial" w:hAnsi="Arial" w:cs="Arial"/>
          <w:color w:val="000000" w:themeColor="text1"/>
        </w:rPr>
        <w:t>922</w:t>
      </w:r>
      <w:r w:rsidR="00E35003" w:rsidRPr="007C6545">
        <w:rPr>
          <w:rFonts w:ascii="Arial" w:hAnsi="Arial" w:cs="Arial"/>
          <w:color w:val="000000" w:themeColor="text1"/>
        </w:rPr>
        <w:t>–</w:t>
      </w:r>
      <w:r w:rsidRPr="007C6545">
        <w:rPr>
          <w:rFonts w:ascii="Arial" w:hAnsi="Arial" w:cs="Arial"/>
          <w:color w:val="000000" w:themeColor="text1"/>
        </w:rPr>
        <w:t>6.</w:t>
      </w:r>
    </w:p>
    <w:p w14:paraId="1B381DC1"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00C251E7" w:rsidRPr="007C6545">
        <w:rPr>
          <w:rFonts w:ascii="Arial" w:hAnsi="Arial" w:cs="Arial"/>
          <w:color w:val="000000" w:themeColor="text1"/>
        </w:rPr>
        <w:t>7</w:t>
      </w:r>
      <w:r w:rsidRPr="007C6545">
        <w:rPr>
          <w:rFonts w:ascii="Arial" w:hAnsi="Arial" w:cs="Arial"/>
          <w:color w:val="000000" w:themeColor="text1"/>
        </w:rPr>
        <w:t>.</w:t>
      </w:r>
      <w:r w:rsidRPr="007C6545">
        <w:rPr>
          <w:rFonts w:ascii="Arial" w:hAnsi="Arial" w:cs="Arial"/>
          <w:color w:val="000000" w:themeColor="text1"/>
        </w:rPr>
        <w:tab/>
        <w:t xml:space="preserve">Andes D, Pascual A, Marchetti O. </w:t>
      </w:r>
      <w:r w:rsidR="00952D75" w:rsidRPr="007C6545">
        <w:rPr>
          <w:rFonts w:ascii="Arial" w:hAnsi="Arial" w:cs="Arial"/>
          <w:color w:val="000000" w:themeColor="text1"/>
        </w:rPr>
        <w:t>Antifungal therapeutic drug monitoring: established and emerging indications</w:t>
      </w:r>
      <w:r w:rsidRPr="007C6545">
        <w:rPr>
          <w:rFonts w:ascii="Arial" w:hAnsi="Arial" w:cs="Arial"/>
          <w:color w:val="000000" w:themeColor="text1"/>
        </w:rPr>
        <w:t xml:space="preserve">. </w:t>
      </w:r>
      <w:r w:rsidR="00952D75" w:rsidRPr="007C6545">
        <w:rPr>
          <w:rFonts w:ascii="Arial" w:hAnsi="Arial" w:cs="Arial"/>
          <w:i/>
          <w:color w:val="000000" w:themeColor="text1"/>
        </w:rPr>
        <w:t>Antimicrob Agents Chemother</w:t>
      </w:r>
      <w:r w:rsidR="00952D75" w:rsidRPr="007C6545">
        <w:rPr>
          <w:rFonts w:ascii="Arial" w:hAnsi="Arial" w:cs="Arial"/>
          <w:color w:val="000000" w:themeColor="text1"/>
        </w:rPr>
        <w:t xml:space="preserve"> </w:t>
      </w:r>
      <w:r w:rsidRPr="007C6545">
        <w:rPr>
          <w:rFonts w:ascii="Arial" w:hAnsi="Arial" w:cs="Arial"/>
          <w:color w:val="000000" w:themeColor="text1"/>
        </w:rPr>
        <w:t>2009;</w:t>
      </w:r>
      <w:r w:rsidR="00952D75" w:rsidRPr="007C6545">
        <w:rPr>
          <w:rFonts w:ascii="Arial" w:hAnsi="Arial" w:cs="Arial"/>
          <w:color w:val="000000" w:themeColor="text1"/>
        </w:rPr>
        <w:t xml:space="preserve"> </w:t>
      </w:r>
      <w:r w:rsidR="00EB39C5" w:rsidRPr="007C6545">
        <w:rPr>
          <w:rFonts w:ascii="Arial" w:hAnsi="Arial" w:cs="Arial"/>
          <w:b/>
          <w:color w:val="000000" w:themeColor="text1"/>
        </w:rPr>
        <w:t>53</w:t>
      </w:r>
      <w:r w:rsidRPr="007C6545">
        <w:rPr>
          <w:rFonts w:ascii="Arial" w:hAnsi="Arial" w:cs="Arial"/>
          <w:color w:val="000000" w:themeColor="text1"/>
        </w:rPr>
        <w:t>:</w:t>
      </w:r>
      <w:r w:rsidR="00952D75" w:rsidRPr="007C6545">
        <w:rPr>
          <w:rFonts w:ascii="Arial" w:hAnsi="Arial" w:cs="Arial"/>
          <w:color w:val="000000" w:themeColor="text1"/>
        </w:rPr>
        <w:t xml:space="preserve"> </w:t>
      </w:r>
      <w:r w:rsidRPr="007C6545">
        <w:rPr>
          <w:rFonts w:ascii="Arial" w:hAnsi="Arial" w:cs="Arial"/>
          <w:color w:val="000000" w:themeColor="text1"/>
        </w:rPr>
        <w:t>24</w:t>
      </w:r>
      <w:r w:rsidR="00952D75" w:rsidRPr="007C6545">
        <w:rPr>
          <w:rFonts w:ascii="Arial" w:hAnsi="Arial" w:cs="Arial"/>
          <w:color w:val="000000" w:themeColor="text1"/>
        </w:rPr>
        <w:t>–</w:t>
      </w:r>
      <w:r w:rsidRPr="007C6545">
        <w:rPr>
          <w:rFonts w:ascii="Arial" w:hAnsi="Arial" w:cs="Arial"/>
          <w:color w:val="000000" w:themeColor="text1"/>
        </w:rPr>
        <w:t>34.</w:t>
      </w:r>
    </w:p>
    <w:p w14:paraId="52DA3686"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00C251E7" w:rsidRPr="007C6545">
        <w:rPr>
          <w:rFonts w:ascii="Arial" w:hAnsi="Arial" w:cs="Arial"/>
          <w:color w:val="000000" w:themeColor="text1"/>
        </w:rPr>
        <w:t>8</w:t>
      </w:r>
      <w:r w:rsidRPr="007C6545">
        <w:rPr>
          <w:rFonts w:ascii="Arial" w:hAnsi="Arial" w:cs="Arial"/>
          <w:color w:val="000000" w:themeColor="text1"/>
        </w:rPr>
        <w:t>.</w:t>
      </w:r>
      <w:r w:rsidRPr="007C6545">
        <w:rPr>
          <w:rFonts w:ascii="Arial" w:hAnsi="Arial" w:cs="Arial"/>
          <w:color w:val="000000" w:themeColor="text1"/>
        </w:rPr>
        <w:tab/>
        <w:t xml:space="preserve">Chen SC, Slavin MA, Sorrell TC. Echinocandin antifungal drugs in fungal infections: a comparison. </w:t>
      </w:r>
      <w:r w:rsidR="00EB39C5" w:rsidRPr="007C6545">
        <w:rPr>
          <w:rFonts w:ascii="Arial" w:hAnsi="Arial" w:cs="Arial"/>
          <w:i/>
          <w:color w:val="000000" w:themeColor="text1"/>
        </w:rPr>
        <w:t>Drugs</w:t>
      </w:r>
      <w:r w:rsidRPr="007C6545">
        <w:rPr>
          <w:rFonts w:ascii="Arial" w:hAnsi="Arial" w:cs="Arial"/>
          <w:color w:val="000000" w:themeColor="text1"/>
        </w:rPr>
        <w:t xml:space="preserve"> 2011;</w:t>
      </w:r>
      <w:r w:rsidR="00952D75" w:rsidRPr="007C6545">
        <w:rPr>
          <w:rFonts w:ascii="Arial" w:hAnsi="Arial" w:cs="Arial"/>
          <w:color w:val="000000" w:themeColor="text1"/>
        </w:rPr>
        <w:t xml:space="preserve"> </w:t>
      </w:r>
      <w:r w:rsidR="00EB39C5" w:rsidRPr="007C6545">
        <w:rPr>
          <w:rFonts w:ascii="Arial" w:hAnsi="Arial" w:cs="Arial"/>
          <w:b/>
          <w:color w:val="000000" w:themeColor="text1"/>
        </w:rPr>
        <w:t>71</w:t>
      </w:r>
      <w:r w:rsidRPr="007C6545">
        <w:rPr>
          <w:rFonts w:ascii="Arial" w:hAnsi="Arial" w:cs="Arial"/>
          <w:color w:val="000000" w:themeColor="text1"/>
        </w:rPr>
        <w:t>:</w:t>
      </w:r>
      <w:r w:rsidR="00952D75" w:rsidRPr="007C6545">
        <w:rPr>
          <w:rFonts w:ascii="Arial" w:hAnsi="Arial" w:cs="Arial"/>
          <w:color w:val="000000" w:themeColor="text1"/>
        </w:rPr>
        <w:t xml:space="preserve"> </w:t>
      </w:r>
      <w:r w:rsidRPr="007C6545">
        <w:rPr>
          <w:rFonts w:ascii="Arial" w:hAnsi="Arial" w:cs="Arial"/>
          <w:color w:val="000000" w:themeColor="text1"/>
        </w:rPr>
        <w:t>11</w:t>
      </w:r>
      <w:r w:rsidR="00952D75" w:rsidRPr="007C6545">
        <w:rPr>
          <w:rFonts w:ascii="Arial" w:hAnsi="Arial" w:cs="Arial"/>
          <w:color w:val="000000" w:themeColor="text1"/>
        </w:rPr>
        <w:t>–</w:t>
      </w:r>
      <w:r w:rsidRPr="007C6545">
        <w:rPr>
          <w:rFonts w:ascii="Arial" w:hAnsi="Arial" w:cs="Arial"/>
          <w:color w:val="000000" w:themeColor="text1"/>
        </w:rPr>
        <w:t>41.</w:t>
      </w:r>
    </w:p>
    <w:p w14:paraId="186AA27A" w14:textId="77777777" w:rsidR="00EB39C5" w:rsidRPr="007C6545" w:rsidRDefault="004F1C74"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7</w:t>
      </w:r>
      <w:r w:rsidR="00C251E7" w:rsidRPr="007C6545">
        <w:rPr>
          <w:rFonts w:ascii="Arial" w:hAnsi="Arial" w:cs="Arial"/>
          <w:color w:val="000000" w:themeColor="text1"/>
        </w:rPr>
        <w:t>9</w:t>
      </w:r>
      <w:r w:rsidRPr="007C6545">
        <w:rPr>
          <w:rFonts w:ascii="Arial" w:hAnsi="Arial" w:cs="Arial"/>
          <w:color w:val="000000" w:themeColor="text1"/>
        </w:rPr>
        <w:t>.</w:t>
      </w:r>
      <w:r w:rsidRPr="007C6545">
        <w:rPr>
          <w:rFonts w:ascii="Arial" w:hAnsi="Arial" w:cs="Arial"/>
          <w:color w:val="000000" w:themeColor="text1"/>
        </w:rPr>
        <w:tab/>
        <w:t xml:space="preserve">Reminiac F, Sonneville R, Massias L </w:t>
      </w:r>
      <w:r w:rsidR="00AF6197" w:rsidRPr="007C6545">
        <w:rPr>
          <w:rFonts w:ascii="Arial" w:hAnsi="Arial" w:cs="Arial"/>
          <w:i/>
          <w:color w:val="000000" w:themeColor="text1"/>
        </w:rPr>
        <w:t>et al</w:t>
      </w:r>
      <w:r w:rsidRPr="007C6545">
        <w:rPr>
          <w:rFonts w:ascii="Arial" w:hAnsi="Arial" w:cs="Arial"/>
          <w:color w:val="000000" w:themeColor="text1"/>
        </w:rPr>
        <w:t xml:space="preserve">. Very-high-dose caspofungin combined with voriconazole to treat central nervous system aspergillosis: substantial penetration of caspofungin into cerebrospinal fluid. </w:t>
      </w:r>
      <w:r w:rsidR="00EB39C5" w:rsidRPr="007C6545">
        <w:rPr>
          <w:rFonts w:ascii="Arial" w:hAnsi="Arial" w:cs="Arial"/>
          <w:i/>
          <w:color w:val="000000" w:themeColor="text1"/>
        </w:rPr>
        <w:t>Antimicrob Agents Chemother</w:t>
      </w:r>
      <w:r w:rsidRPr="007C6545">
        <w:rPr>
          <w:rFonts w:ascii="Arial" w:hAnsi="Arial" w:cs="Arial"/>
          <w:color w:val="000000" w:themeColor="text1"/>
        </w:rPr>
        <w:t xml:space="preserve"> 2014;</w:t>
      </w:r>
      <w:r w:rsidR="00952D75" w:rsidRPr="007C6545">
        <w:rPr>
          <w:rFonts w:ascii="Arial" w:hAnsi="Arial" w:cs="Arial"/>
          <w:color w:val="000000" w:themeColor="text1"/>
        </w:rPr>
        <w:t xml:space="preserve"> </w:t>
      </w:r>
      <w:r w:rsidR="00EB39C5" w:rsidRPr="007C6545">
        <w:rPr>
          <w:rFonts w:ascii="Arial" w:hAnsi="Arial" w:cs="Arial"/>
          <w:b/>
          <w:color w:val="000000" w:themeColor="text1"/>
        </w:rPr>
        <w:t>58</w:t>
      </w:r>
      <w:r w:rsidRPr="007C6545">
        <w:rPr>
          <w:rFonts w:ascii="Arial" w:hAnsi="Arial" w:cs="Arial"/>
          <w:color w:val="000000" w:themeColor="text1"/>
        </w:rPr>
        <w:t>:</w:t>
      </w:r>
      <w:r w:rsidR="00952D75" w:rsidRPr="007C6545">
        <w:rPr>
          <w:rFonts w:ascii="Arial" w:hAnsi="Arial" w:cs="Arial"/>
          <w:color w:val="000000" w:themeColor="text1"/>
        </w:rPr>
        <w:t xml:space="preserve"> </w:t>
      </w:r>
      <w:r w:rsidRPr="007C6545">
        <w:rPr>
          <w:rFonts w:ascii="Arial" w:hAnsi="Arial" w:cs="Arial"/>
          <w:color w:val="000000" w:themeColor="text1"/>
        </w:rPr>
        <w:t>3568</w:t>
      </w:r>
      <w:r w:rsidR="00952D75" w:rsidRPr="007C6545">
        <w:rPr>
          <w:rFonts w:ascii="Arial" w:hAnsi="Arial" w:cs="Arial"/>
          <w:color w:val="000000" w:themeColor="text1"/>
        </w:rPr>
        <w:t>–</w:t>
      </w:r>
      <w:r w:rsidRPr="007C6545">
        <w:rPr>
          <w:rFonts w:ascii="Arial" w:hAnsi="Arial" w:cs="Arial"/>
          <w:color w:val="000000" w:themeColor="text1"/>
        </w:rPr>
        <w:t>9.</w:t>
      </w:r>
    </w:p>
    <w:p w14:paraId="4DE7D618"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80</w:t>
      </w:r>
      <w:r w:rsidR="00CD6A9D" w:rsidRPr="007C6545">
        <w:rPr>
          <w:rFonts w:ascii="Arial" w:hAnsi="Arial" w:cs="Arial"/>
          <w:color w:val="000000" w:themeColor="text1"/>
        </w:rPr>
        <w:t>.</w:t>
      </w:r>
      <w:r w:rsidR="004F1C74" w:rsidRPr="007C6545">
        <w:rPr>
          <w:rFonts w:ascii="Arial" w:hAnsi="Arial" w:cs="Arial"/>
          <w:color w:val="000000" w:themeColor="text1"/>
        </w:rPr>
        <w:tab/>
        <w:t xml:space="preserve">Dowell JA, Knebel W, Ludden T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Population pharmacokinetic analysis of anidulafungin, an echinocandin antifungal. </w:t>
      </w:r>
      <w:r w:rsidR="00EB39C5" w:rsidRPr="007C6545">
        <w:rPr>
          <w:rFonts w:ascii="Arial" w:hAnsi="Arial" w:cs="Arial"/>
          <w:i/>
          <w:color w:val="000000" w:themeColor="text1"/>
        </w:rPr>
        <w:t>J Clin Pharmacol</w:t>
      </w:r>
      <w:r w:rsidR="004F1C74" w:rsidRPr="007C6545">
        <w:rPr>
          <w:rFonts w:ascii="Arial" w:hAnsi="Arial" w:cs="Arial"/>
          <w:color w:val="000000" w:themeColor="text1"/>
        </w:rPr>
        <w:t xml:space="preserve"> 2004;</w:t>
      </w:r>
      <w:r w:rsidR="00952D75" w:rsidRPr="007C6545">
        <w:rPr>
          <w:rFonts w:ascii="Arial" w:hAnsi="Arial" w:cs="Arial"/>
          <w:color w:val="000000" w:themeColor="text1"/>
        </w:rPr>
        <w:t xml:space="preserve"> </w:t>
      </w:r>
      <w:r w:rsidR="00EB39C5" w:rsidRPr="007C6545">
        <w:rPr>
          <w:rFonts w:ascii="Arial" w:hAnsi="Arial" w:cs="Arial"/>
          <w:b/>
          <w:color w:val="000000" w:themeColor="text1"/>
        </w:rPr>
        <w:t>44</w:t>
      </w:r>
      <w:r w:rsidR="004F1C74" w:rsidRPr="007C6545">
        <w:rPr>
          <w:rFonts w:ascii="Arial" w:hAnsi="Arial" w:cs="Arial"/>
          <w:color w:val="000000" w:themeColor="text1"/>
        </w:rPr>
        <w:t>:</w:t>
      </w:r>
      <w:r w:rsidR="00952D75" w:rsidRPr="007C6545">
        <w:rPr>
          <w:rFonts w:ascii="Arial" w:hAnsi="Arial" w:cs="Arial"/>
          <w:color w:val="000000" w:themeColor="text1"/>
        </w:rPr>
        <w:t xml:space="preserve"> </w:t>
      </w:r>
      <w:r w:rsidR="004F1C74" w:rsidRPr="007C6545">
        <w:rPr>
          <w:rFonts w:ascii="Arial" w:hAnsi="Arial" w:cs="Arial"/>
          <w:color w:val="000000" w:themeColor="text1"/>
        </w:rPr>
        <w:t>590</w:t>
      </w:r>
      <w:r w:rsidR="00952D75" w:rsidRPr="007C6545">
        <w:rPr>
          <w:rFonts w:ascii="Arial" w:hAnsi="Arial" w:cs="Arial"/>
          <w:color w:val="000000" w:themeColor="text1"/>
        </w:rPr>
        <w:t>–</w:t>
      </w:r>
      <w:r w:rsidR="004F1C74" w:rsidRPr="007C6545">
        <w:rPr>
          <w:rFonts w:ascii="Arial" w:hAnsi="Arial" w:cs="Arial"/>
          <w:color w:val="000000" w:themeColor="text1"/>
        </w:rPr>
        <w:t>8.</w:t>
      </w:r>
    </w:p>
    <w:p w14:paraId="520D4443"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81</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Miceli MH, Grazziutti ML, Woods G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w:t>
      </w:r>
      <w:r w:rsidR="00952D75" w:rsidRPr="007C6545">
        <w:rPr>
          <w:rFonts w:ascii="Arial" w:hAnsi="Arial" w:cs="Arial"/>
          <w:color w:val="000000" w:themeColor="text1"/>
        </w:rPr>
        <w:t>Strong correlation between serum aspergillus galactomannan index and outcome of aspergillosis in patients with hematological cancer: clinical and research implications</w:t>
      </w:r>
      <w:r w:rsidR="004F1C74" w:rsidRPr="007C6545">
        <w:rPr>
          <w:rFonts w:ascii="Arial" w:hAnsi="Arial" w:cs="Arial"/>
          <w:color w:val="000000" w:themeColor="text1"/>
        </w:rPr>
        <w:t xml:space="preserve">. </w:t>
      </w:r>
      <w:r w:rsidR="00EB39C5" w:rsidRPr="007C6545">
        <w:rPr>
          <w:rFonts w:ascii="Arial" w:hAnsi="Arial" w:cs="Arial"/>
          <w:i/>
          <w:color w:val="000000" w:themeColor="text1"/>
        </w:rPr>
        <w:t>Clin Infect Dis</w:t>
      </w:r>
      <w:r w:rsidR="004F1C74" w:rsidRPr="007C6545">
        <w:rPr>
          <w:rFonts w:ascii="Arial" w:hAnsi="Arial" w:cs="Arial"/>
          <w:color w:val="000000" w:themeColor="text1"/>
        </w:rPr>
        <w:t xml:space="preserve"> 2008;</w:t>
      </w:r>
      <w:r w:rsidR="00952D75" w:rsidRPr="007C6545">
        <w:rPr>
          <w:rFonts w:ascii="Arial" w:hAnsi="Arial" w:cs="Arial"/>
          <w:color w:val="000000" w:themeColor="text1"/>
        </w:rPr>
        <w:t xml:space="preserve"> </w:t>
      </w:r>
      <w:r w:rsidR="00EB39C5" w:rsidRPr="007C6545">
        <w:rPr>
          <w:rFonts w:ascii="Arial" w:hAnsi="Arial" w:cs="Arial"/>
          <w:b/>
          <w:color w:val="000000" w:themeColor="text1"/>
        </w:rPr>
        <w:t>46</w:t>
      </w:r>
      <w:r w:rsidR="004F1C74" w:rsidRPr="007C6545">
        <w:rPr>
          <w:rFonts w:ascii="Arial" w:hAnsi="Arial" w:cs="Arial"/>
          <w:color w:val="000000" w:themeColor="text1"/>
        </w:rPr>
        <w:t>:</w:t>
      </w:r>
      <w:r w:rsidR="00952D75" w:rsidRPr="007C6545">
        <w:rPr>
          <w:rFonts w:ascii="Arial" w:hAnsi="Arial" w:cs="Arial"/>
          <w:color w:val="000000" w:themeColor="text1"/>
        </w:rPr>
        <w:t xml:space="preserve"> </w:t>
      </w:r>
      <w:r w:rsidR="004F1C74" w:rsidRPr="007C6545">
        <w:rPr>
          <w:rFonts w:ascii="Arial" w:hAnsi="Arial" w:cs="Arial"/>
          <w:color w:val="000000" w:themeColor="text1"/>
        </w:rPr>
        <w:t>1412</w:t>
      </w:r>
      <w:r w:rsidR="00952D75" w:rsidRPr="007C6545">
        <w:rPr>
          <w:rFonts w:ascii="Arial" w:hAnsi="Arial" w:cs="Arial"/>
          <w:color w:val="000000" w:themeColor="text1"/>
        </w:rPr>
        <w:t>–</w:t>
      </w:r>
      <w:r w:rsidR="004F1C74" w:rsidRPr="007C6545">
        <w:rPr>
          <w:rFonts w:ascii="Arial" w:hAnsi="Arial" w:cs="Arial"/>
          <w:color w:val="000000" w:themeColor="text1"/>
        </w:rPr>
        <w:t>22.</w:t>
      </w:r>
    </w:p>
    <w:p w14:paraId="6200AD9B"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82</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Woods G, Miceli MH, Grazziutti ML </w:t>
      </w:r>
      <w:r w:rsidR="00AF6197" w:rsidRPr="007C6545">
        <w:rPr>
          <w:rFonts w:ascii="Arial" w:hAnsi="Arial" w:cs="Arial"/>
          <w:i/>
          <w:color w:val="000000" w:themeColor="text1"/>
        </w:rPr>
        <w:t>et al</w:t>
      </w:r>
      <w:r w:rsidR="004F1C74" w:rsidRPr="007C6545">
        <w:rPr>
          <w:rFonts w:ascii="Arial" w:hAnsi="Arial" w:cs="Arial"/>
          <w:color w:val="000000" w:themeColor="text1"/>
        </w:rPr>
        <w:t xml:space="preserve">. Serum Aspergillus galactomannan antigen values strongly correlate with outcome of invasive aspergillosis: a study of 56 patients with hematologic cancer. </w:t>
      </w:r>
      <w:r w:rsidR="00EB39C5" w:rsidRPr="007C6545">
        <w:rPr>
          <w:rFonts w:ascii="Arial" w:hAnsi="Arial" w:cs="Arial"/>
          <w:i/>
          <w:color w:val="000000" w:themeColor="text1"/>
        </w:rPr>
        <w:t xml:space="preserve">Cancer </w:t>
      </w:r>
      <w:r w:rsidR="004F1C74" w:rsidRPr="007C6545">
        <w:rPr>
          <w:rFonts w:ascii="Arial" w:hAnsi="Arial" w:cs="Arial"/>
          <w:color w:val="000000" w:themeColor="text1"/>
        </w:rPr>
        <w:t>2007;</w:t>
      </w:r>
      <w:r w:rsidR="001A6D86" w:rsidRPr="007C6545">
        <w:rPr>
          <w:rFonts w:ascii="Arial" w:hAnsi="Arial" w:cs="Arial"/>
          <w:color w:val="000000" w:themeColor="text1"/>
        </w:rPr>
        <w:t xml:space="preserve"> </w:t>
      </w:r>
      <w:r w:rsidR="00EB39C5" w:rsidRPr="007C6545">
        <w:rPr>
          <w:rFonts w:ascii="Arial" w:hAnsi="Arial" w:cs="Arial"/>
          <w:b/>
          <w:color w:val="000000" w:themeColor="text1"/>
        </w:rPr>
        <w:t>110</w:t>
      </w:r>
      <w:r w:rsidR="004F1C74" w:rsidRPr="007C6545">
        <w:rPr>
          <w:rFonts w:ascii="Arial" w:hAnsi="Arial" w:cs="Arial"/>
          <w:color w:val="000000" w:themeColor="text1"/>
        </w:rPr>
        <w:t>:</w:t>
      </w:r>
      <w:r w:rsidR="001A6D86" w:rsidRPr="007C6545">
        <w:rPr>
          <w:rFonts w:ascii="Arial" w:hAnsi="Arial" w:cs="Arial"/>
          <w:color w:val="000000" w:themeColor="text1"/>
        </w:rPr>
        <w:t xml:space="preserve"> </w:t>
      </w:r>
      <w:r w:rsidR="004F1C74" w:rsidRPr="007C6545">
        <w:rPr>
          <w:rFonts w:ascii="Arial" w:hAnsi="Arial" w:cs="Arial"/>
          <w:color w:val="000000" w:themeColor="text1"/>
        </w:rPr>
        <w:t>830</w:t>
      </w:r>
      <w:r w:rsidR="001A6D86" w:rsidRPr="007C6545">
        <w:rPr>
          <w:rFonts w:ascii="Arial" w:hAnsi="Arial" w:cs="Arial"/>
          <w:color w:val="000000" w:themeColor="text1"/>
        </w:rPr>
        <w:t>–</w:t>
      </w:r>
      <w:r w:rsidR="004F1C74" w:rsidRPr="007C6545">
        <w:rPr>
          <w:rFonts w:ascii="Arial" w:hAnsi="Arial" w:cs="Arial"/>
          <w:color w:val="000000" w:themeColor="text1"/>
        </w:rPr>
        <w:t>4.</w:t>
      </w:r>
    </w:p>
    <w:p w14:paraId="4F110965" w14:textId="77777777" w:rsidR="00EB39C5" w:rsidRPr="007C6545" w:rsidRDefault="00C251E7" w:rsidP="005F2259">
      <w:pPr>
        <w:pStyle w:val="EndNoteBibliography"/>
        <w:spacing w:after="0" w:line="480" w:lineRule="auto"/>
        <w:rPr>
          <w:rFonts w:ascii="Arial" w:hAnsi="Arial" w:cs="Arial"/>
          <w:color w:val="000000" w:themeColor="text1"/>
        </w:rPr>
      </w:pPr>
      <w:r w:rsidRPr="007C6545">
        <w:rPr>
          <w:rFonts w:ascii="Arial" w:hAnsi="Arial" w:cs="Arial"/>
          <w:color w:val="000000" w:themeColor="text1"/>
        </w:rPr>
        <w:t>83</w:t>
      </w:r>
      <w:r w:rsidR="004F1C74" w:rsidRPr="007C6545">
        <w:rPr>
          <w:rFonts w:ascii="Arial" w:hAnsi="Arial" w:cs="Arial"/>
          <w:color w:val="000000" w:themeColor="text1"/>
        </w:rPr>
        <w:t>.</w:t>
      </w:r>
      <w:r w:rsidR="004F1C74" w:rsidRPr="007C6545">
        <w:rPr>
          <w:rFonts w:ascii="Arial" w:hAnsi="Arial" w:cs="Arial"/>
          <w:color w:val="000000" w:themeColor="text1"/>
        </w:rPr>
        <w:tab/>
        <w:t xml:space="preserve">Maertens J, Buve K, Theunissen K </w:t>
      </w:r>
      <w:r w:rsidR="00AF6197" w:rsidRPr="007C6545">
        <w:rPr>
          <w:rFonts w:ascii="Arial" w:hAnsi="Arial" w:cs="Arial"/>
          <w:i/>
          <w:color w:val="000000" w:themeColor="text1"/>
        </w:rPr>
        <w:t>et al</w:t>
      </w:r>
      <w:r w:rsidR="004F1C74" w:rsidRPr="007C6545">
        <w:rPr>
          <w:rFonts w:ascii="Arial" w:hAnsi="Arial" w:cs="Arial"/>
          <w:color w:val="000000" w:themeColor="text1"/>
        </w:rPr>
        <w:t>. Galactomannan serves as a surrogate endpoint for outcome of pulmonary invasive aspergillosis in neutropenic hematology patients.</w:t>
      </w:r>
      <w:r w:rsidR="00EB39C5" w:rsidRPr="007C6545">
        <w:rPr>
          <w:rFonts w:ascii="Arial" w:hAnsi="Arial" w:cs="Arial"/>
          <w:i/>
          <w:color w:val="000000" w:themeColor="text1"/>
        </w:rPr>
        <w:t xml:space="preserve"> Cancer</w:t>
      </w:r>
      <w:r w:rsidR="004F1C74" w:rsidRPr="007C6545">
        <w:rPr>
          <w:rFonts w:ascii="Arial" w:hAnsi="Arial" w:cs="Arial"/>
          <w:color w:val="000000" w:themeColor="text1"/>
        </w:rPr>
        <w:t xml:space="preserve"> 2009;</w:t>
      </w:r>
      <w:r w:rsidR="001A6D86" w:rsidRPr="007C6545">
        <w:rPr>
          <w:rFonts w:ascii="Arial" w:hAnsi="Arial" w:cs="Arial"/>
          <w:color w:val="000000" w:themeColor="text1"/>
        </w:rPr>
        <w:t xml:space="preserve"> </w:t>
      </w:r>
      <w:r w:rsidR="00EB39C5" w:rsidRPr="007C6545">
        <w:rPr>
          <w:rFonts w:ascii="Arial" w:hAnsi="Arial" w:cs="Arial"/>
          <w:b/>
          <w:color w:val="000000" w:themeColor="text1"/>
        </w:rPr>
        <w:t>115</w:t>
      </w:r>
      <w:r w:rsidR="004F1C74" w:rsidRPr="007C6545">
        <w:rPr>
          <w:rFonts w:ascii="Arial" w:hAnsi="Arial" w:cs="Arial"/>
          <w:color w:val="000000" w:themeColor="text1"/>
        </w:rPr>
        <w:t>:</w:t>
      </w:r>
      <w:r w:rsidR="001A6D86" w:rsidRPr="007C6545">
        <w:rPr>
          <w:rFonts w:ascii="Arial" w:hAnsi="Arial" w:cs="Arial"/>
          <w:color w:val="000000" w:themeColor="text1"/>
        </w:rPr>
        <w:t xml:space="preserve"> </w:t>
      </w:r>
      <w:r w:rsidR="004F1C74" w:rsidRPr="007C6545">
        <w:rPr>
          <w:rFonts w:ascii="Arial" w:hAnsi="Arial" w:cs="Arial"/>
          <w:color w:val="000000" w:themeColor="text1"/>
        </w:rPr>
        <w:t>355</w:t>
      </w:r>
      <w:r w:rsidR="001A6D86" w:rsidRPr="007C6545">
        <w:rPr>
          <w:rFonts w:ascii="Arial" w:hAnsi="Arial" w:cs="Arial"/>
          <w:color w:val="000000" w:themeColor="text1"/>
        </w:rPr>
        <w:t>–</w:t>
      </w:r>
      <w:r w:rsidR="004F1C74" w:rsidRPr="007C6545">
        <w:rPr>
          <w:rFonts w:ascii="Arial" w:hAnsi="Arial" w:cs="Arial"/>
          <w:color w:val="000000" w:themeColor="text1"/>
        </w:rPr>
        <w:t>62.</w:t>
      </w:r>
    </w:p>
    <w:p w14:paraId="5BA24BB8" w14:textId="77777777" w:rsidR="00EB39C5" w:rsidRPr="007C6545" w:rsidRDefault="004F1C74" w:rsidP="005F2259">
      <w:pPr>
        <w:pStyle w:val="EndNoteBibliography"/>
        <w:spacing w:after="0" w:line="480" w:lineRule="auto"/>
        <w:rPr>
          <w:rFonts w:ascii="Arial" w:hAnsi="Arial" w:cs="Arial"/>
          <w:color w:val="000000" w:themeColor="text1"/>
          <w:lang w:val="fr-FR"/>
        </w:rPr>
      </w:pPr>
      <w:r w:rsidRPr="007C6545">
        <w:rPr>
          <w:rFonts w:ascii="Arial" w:hAnsi="Arial" w:cs="Arial"/>
          <w:color w:val="000000" w:themeColor="text1"/>
        </w:rPr>
        <w:lastRenderedPageBreak/>
        <w:t>8</w:t>
      </w:r>
      <w:r w:rsidR="00C251E7" w:rsidRPr="007C6545">
        <w:rPr>
          <w:rFonts w:ascii="Arial" w:hAnsi="Arial" w:cs="Arial"/>
          <w:color w:val="000000" w:themeColor="text1"/>
        </w:rPr>
        <w:t>4</w:t>
      </w:r>
      <w:r w:rsidRPr="007C6545">
        <w:rPr>
          <w:rFonts w:ascii="Arial" w:hAnsi="Arial" w:cs="Arial"/>
          <w:color w:val="000000" w:themeColor="text1"/>
        </w:rPr>
        <w:t>.</w:t>
      </w:r>
      <w:r w:rsidRPr="007C6545">
        <w:rPr>
          <w:rFonts w:ascii="Arial" w:hAnsi="Arial" w:cs="Arial"/>
          <w:color w:val="000000" w:themeColor="text1"/>
        </w:rPr>
        <w:tab/>
        <w:t xml:space="preserve">Nouér SA, Nucci M, Kumar NS </w:t>
      </w:r>
      <w:r w:rsidR="00AF6197" w:rsidRPr="007C6545">
        <w:rPr>
          <w:rFonts w:ascii="Arial" w:hAnsi="Arial" w:cs="Arial"/>
          <w:i/>
          <w:color w:val="000000" w:themeColor="text1"/>
        </w:rPr>
        <w:t>et al</w:t>
      </w:r>
      <w:r w:rsidRPr="007C6545">
        <w:rPr>
          <w:rFonts w:ascii="Arial" w:hAnsi="Arial" w:cs="Arial"/>
          <w:color w:val="000000" w:themeColor="text1"/>
        </w:rPr>
        <w:t xml:space="preserve">. </w:t>
      </w:r>
      <w:r w:rsidR="001A6D86" w:rsidRPr="007C6545">
        <w:rPr>
          <w:rFonts w:ascii="Arial" w:hAnsi="Arial" w:cs="Arial"/>
          <w:color w:val="000000" w:themeColor="text1"/>
        </w:rPr>
        <w:t xml:space="preserve">Earlier response assessment in invasive aspergillosis based on the kinetics of serum aspergillus galactomannan: proposal for a new definition. </w:t>
      </w:r>
      <w:r w:rsidR="000E16BA" w:rsidRPr="007C6545">
        <w:rPr>
          <w:rFonts w:ascii="Arial" w:hAnsi="Arial" w:cs="Arial"/>
          <w:i/>
          <w:color w:val="000000" w:themeColor="text1"/>
          <w:lang w:val="fr-FR"/>
        </w:rPr>
        <w:t>Clin Infect Dis</w:t>
      </w:r>
      <w:r w:rsidR="000E16BA" w:rsidRPr="007C6545">
        <w:rPr>
          <w:rFonts w:ascii="Arial" w:hAnsi="Arial" w:cs="Arial"/>
          <w:color w:val="000000" w:themeColor="text1"/>
          <w:lang w:val="fr-FR"/>
        </w:rPr>
        <w:t xml:space="preserve"> 2011; </w:t>
      </w:r>
      <w:r w:rsidR="000E16BA" w:rsidRPr="007C6545">
        <w:rPr>
          <w:rFonts w:ascii="Arial" w:hAnsi="Arial" w:cs="Arial"/>
          <w:b/>
          <w:color w:val="000000" w:themeColor="text1"/>
          <w:lang w:val="fr-FR"/>
        </w:rPr>
        <w:t>53</w:t>
      </w:r>
      <w:r w:rsidR="000E16BA" w:rsidRPr="007C6545">
        <w:rPr>
          <w:rFonts w:ascii="Arial" w:hAnsi="Arial" w:cs="Arial"/>
          <w:color w:val="000000" w:themeColor="text1"/>
          <w:lang w:val="fr-FR"/>
        </w:rPr>
        <w:t>: 671–6.</w:t>
      </w:r>
    </w:p>
    <w:p w14:paraId="7C3FBE7D" w14:textId="77777777" w:rsidR="00FA19E2" w:rsidRPr="007C6545" w:rsidRDefault="000E16BA">
      <w:pPr>
        <w:spacing w:line="480" w:lineRule="auto"/>
        <w:rPr>
          <w:rFonts w:ascii="Arial" w:hAnsi="Arial" w:cs="Arial"/>
          <w:color w:val="000000" w:themeColor="text1"/>
        </w:rPr>
      </w:pPr>
      <w:r w:rsidRPr="007C6545">
        <w:rPr>
          <w:rFonts w:ascii="Arial" w:hAnsi="Arial" w:cs="Arial"/>
          <w:color w:val="000000" w:themeColor="text1"/>
          <w:lang w:val="fr-FR"/>
        </w:rPr>
        <w:t>8</w:t>
      </w:r>
      <w:r w:rsidR="00C251E7" w:rsidRPr="007C6545">
        <w:rPr>
          <w:rFonts w:ascii="Arial" w:hAnsi="Arial" w:cs="Arial"/>
          <w:color w:val="000000" w:themeColor="text1"/>
          <w:lang w:val="fr-FR"/>
        </w:rPr>
        <w:t>5</w:t>
      </w:r>
      <w:r w:rsidRPr="007C6545">
        <w:rPr>
          <w:rFonts w:ascii="Arial" w:hAnsi="Arial" w:cs="Arial"/>
          <w:color w:val="000000" w:themeColor="text1"/>
          <w:lang w:val="fr-FR"/>
        </w:rPr>
        <w:t>.</w:t>
      </w:r>
      <w:r w:rsidRPr="007C6545">
        <w:rPr>
          <w:rFonts w:ascii="Arial" w:hAnsi="Arial" w:cs="Arial"/>
          <w:color w:val="000000" w:themeColor="text1"/>
          <w:lang w:val="fr-FR"/>
        </w:rPr>
        <w:tab/>
        <w:t xml:space="preserve">Salvatore CM, Chen TK, </w:t>
      </w:r>
      <w:proofErr w:type="spellStart"/>
      <w:r w:rsidRPr="007C6545">
        <w:rPr>
          <w:rFonts w:ascii="Arial" w:hAnsi="Arial" w:cs="Arial"/>
          <w:color w:val="000000" w:themeColor="text1"/>
          <w:lang w:val="fr-FR"/>
        </w:rPr>
        <w:t>Toussi</w:t>
      </w:r>
      <w:proofErr w:type="spellEnd"/>
      <w:r w:rsidRPr="007C6545">
        <w:rPr>
          <w:rFonts w:ascii="Arial" w:hAnsi="Arial" w:cs="Arial"/>
          <w:color w:val="000000" w:themeColor="text1"/>
          <w:lang w:val="fr-FR"/>
        </w:rPr>
        <w:t xml:space="preserve"> SS </w:t>
      </w:r>
      <w:r w:rsidR="00AF6197" w:rsidRPr="007C6545">
        <w:rPr>
          <w:rFonts w:ascii="Arial" w:hAnsi="Arial" w:cs="Arial"/>
          <w:i/>
          <w:color w:val="000000" w:themeColor="text1"/>
          <w:lang w:val="fr-FR"/>
        </w:rPr>
        <w:t>et al</w:t>
      </w:r>
      <w:r w:rsidRPr="007C6545">
        <w:rPr>
          <w:rFonts w:ascii="Arial" w:hAnsi="Arial" w:cs="Arial"/>
          <w:color w:val="000000" w:themeColor="text1"/>
          <w:lang w:val="fr-FR"/>
        </w:rPr>
        <w:t xml:space="preserve">. </w:t>
      </w:r>
      <w:r w:rsidR="004F1C74" w:rsidRPr="007C6545">
        <w:rPr>
          <w:rFonts w:ascii="Arial" w:hAnsi="Arial" w:cs="Arial"/>
          <w:color w:val="000000" w:themeColor="text1"/>
        </w:rPr>
        <w:t>(1→3)-β-d-</w:t>
      </w:r>
      <w:r w:rsidR="001A6D86" w:rsidRPr="007C6545">
        <w:rPr>
          <w:rFonts w:ascii="Arial" w:hAnsi="Arial" w:cs="Arial"/>
          <w:color w:val="000000" w:themeColor="text1"/>
        </w:rPr>
        <w:t xml:space="preserve">glucan in cerebrospinal fluid as a biomarker for candida and aspergillus infections of the central nervous system in </w:t>
      </w:r>
      <w:proofErr w:type="spellStart"/>
      <w:r w:rsidR="001A6D86" w:rsidRPr="007C6545">
        <w:rPr>
          <w:rFonts w:ascii="Arial" w:hAnsi="Arial" w:cs="Arial"/>
          <w:color w:val="000000" w:themeColor="text1"/>
        </w:rPr>
        <w:t>pediatric</w:t>
      </w:r>
      <w:proofErr w:type="spellEnd"/>
      <w:r w:rsidR="001A6D86" w:rsidRPr="007C6545">
        <w:rPr>
          <w:rFonts w:ascii="Arial" w:hAnsi="Arial" w:cs="Arial"/>
          <w:color w:val="000000" w:themeColor="text1"/>
        </w:rPr>
        <w:t xml:space="preserve"> patients</w:t>
      </w:r>
      <w:r w:rsidR="004F1C74" w:rsidRPr="007C6545">
        <w:rPr>
          <w:rFonts w:ascii="Arial" w:hAnsi="Arial" w:cs="Arial"/>
          <w:color w:val="000000" w:themeColor="text1"/>
        </w:rPr>
        <w:t xml:space="preserve">. </w:t>
      </w:r>
      <w:r w:rsidR="00EB39C5" w:rsidRPr="007C6545">
        <w:rPr>
          <w:rFonts w:ascii="Arial" w:hAnsi="Arial" w:cs="Arial"/>
          <w:i/>
          <w:color w:val="000000" w:themeColor="text1"/>
        </w:rPr>
        <w:t xml:space="preserve">J </w:t>
      </w:r>
      <w:proofErr w:type="spellStart"/>
      <w:r w:rsidR="00EB39C5" w:rsidRPr="007C6545">
        <w:rPr>
          <w:rFonts w:ascii="Arial" w:hAnsi="Arial" w:cs="Arial"/>
          <w:i/>
          <w:color w:val="000000" w:themeColor="text1"/>
        </w:rPr>
        <w:t>Pediatric</w:t>
      </w:r>
      <w:proofErr w:type="spellEnd"/>
      <w:r w:rsidR="00EB39C5" w:rsidRPr="007C6545">
        <w:rPr>
          <w:rFonts w:ascii="Arial" w:hAnsi="Arial" w:cs="Arial"/>
          <w:i/>
          <w:color w:val="000000" w:themeColor="text1"/>
        </w:rPr>
        <w:t xml:space="preserve"> Infect Dis </w:t>
      </w:r>
      <w:proofErr w:type="spellStart"/>
      <w:r w:rsidR="00EB39C5" w:rsidRPr="007C6545">
        <w:rPr>
          <w:rFonts w:ascii="Arial" w:hAnsi="Arial" w:cs="Arial"/>
          <w:i/>
          <w:color w:val="000000" w:themeColor="text1"/>
        </w:rPr>
        <w:t>Soc</w:t>
      </w:r>
      <w:proofErr w:type="spellEnd"/>
      <w:r w:rsidR="001A6D86" w:rsidRPr="007C6545">
        <w:rPr>
          <w:rFonts w:ascii="Arial" w:hAnsi="Arial" w:cs="Arial"/>
          <w:color w:val="000000" w:themeColor="text1"/>
        </w:rPr>
        <w:t xml:space="preserve"> </w:t>
      </w:r>
      <w:r w:rsidR="004F1C74" w:rsidRPr="007C6545">
        <w:rPr>
          <w:rFonts w:ascii="Arial" w:hAnsi="Arial" w:cs="Arial"/>
          <w:color w:val="000000" w:themeColor="text1"/>
        </w:rPr>
        <w:t>201</w:t>
      </w:r>
      <w:r w:rsidR="00127987" w:rsidRPr="007C6545">
        <w:rPr>
          <w:rFonts w:ascii="Arial" w:hAnsi="Arial" w:cs="Arial"/>
          <w:color w:val="000000" w:themeColor="text1"/>
        </w:rPr>
        <w:t xml:space="preserve">6; </w:t>
      </w:r>
      <w:r w:rsidR="00AF6197" w:rsidRPr="007C6545">
        <w:rPr>
          <w:rFonts w:ascii="Arial" w:hAnsi="Arial" w:cs="Arial"/>
          <w:b/>
          <w:color w:val="000000" w:themeColor="text1"/>
        </w:rPr>
        <w:t>5</w:t>
      </w:r>
      <w:r w:rsidR="00127987" w:rsidRPr="007C6545">
        <w:rPr>
          <w:rFonts w:ascii="Arial" w:hAnsi="Arial" w:cs="Arial"/>
          <w:color w:val="000000" w:themeColor="text1"/>
        </w:rPr>
        <w:t>: 277–86.</w:t>
      </w:r>
    </w:p>
    <w:sectPr w:rsidR="00FA19E2" w:rsidRPr="007C6545" w:rsidSect="00127987">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1021" w14:textId="77777777" w:rsidR="001F3707" w:rsidRDefault="001F3707" w:rsidP="002B39B8">
      <w:pPr>
        <w:spacing w:after="0" w:line="240" w:lineRule="auto"/>
      </w:pPr>
      <w:r>
        <w:separator/>
      </w:r>
    </w:p>
  </w:endnote>
  <w:endnote w:type="continuationSeparator" w:id="0">
    <w:p w14:paraId="5083FB6A" w14:textId="77777777" w:rsidR="001F3707" w:rsidRDefault="001F3707" w:rsidP="002B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10BF" w14:textId="77777777" w:rsidR="00624717" w:rsidRDefault="0090483E" w:rsidP="002B39B8">
    <w:pPr>
      <w:pStyle w:val="Footer"/>
      <w:framePr w:wrap="around" w:vAnchor="text" w:hAnchor="margin" w:xAlign="right" w:y="1"/>
      <w:rPr>
        <w:rStyle w:val="PageNumber"/>
      </w:rPr>
    </w:pPr>
    <w:r>
      <w:rPr>
        <w:rStyle w:val="PageNumber"/>
      </w:rPr>
      <w:fldChar w:fldCharType="begin"/>
    </w:r>
    <w:r w:rsidR="00624717">
      <w:rPr>
        <w:rStyle w:val="PageNumber"/>
      </w:rPr>
      <w:instrText xml:space="preserve">PAGE  </w:instrText>
    </w:r>
    <w:r>
      <w:rPr>
        <w:rStyle w:val="PageNumber"/>
      </w:rPr>
      <w:fldChar w:fldCharType="end"/>
    </w:r>
  </w:p>
  <w:p w14:paraId="1BBB3FDD" w14:textId="77777777" w:rsidR="00624717" w:rsidRDefault="00624717" w:rsidP="001B1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2914" w14:textId="77777777" w:rsidR="00624717" w:rsidRDefault="0090483E" w:rsidP="002B39B8">
    <w:pPr>
      <w:pStyle w:val="Footer"/>
      <w:framePr w:wrap="around" w:vAnchor="text" w:hAnchor="margin" w:xAlign="right" w:y="1"/>
      <w:rPr>
        <w:rStyle w:val="PageNumber"/>
      </w:rPr>
    </w:pPr>
    <w:r>
      <w:rPr>
        <w:rStyle w:val="PageNumber"/>
      </w:rPr>
      <w:fldChar w:fldCharType="begin"/>
    </w:r>
    <w:r w:rsidR="00624717">
      <w:rPr>
        <w:rStyle w:val="PageNumber"/>
      </w:rPr>
      <w:instrText xml:space="preserve">PAGE  </w:instrText>
    </w:r>
    <w:r>
      <w:rPr>
        <w:rStyle w:val="PageNumber"/>
      </w:rPr>
      <w:fldChar w:fldCharType="separate"/>
    </w:r>
    <w:r w:rsidR="00AA4B6F">
      <w:rPr>
        <w:rStyle w:val="PageNumber"/>
        <w:noProof/>
      </w:rPr>
      <w:t>11</w:t>
    </w:r>
    <w:r>
      <w:rPr>
        <w:rStyle w:val="PageNumber"/>
      </w:rPr>
      <w:fldChar w:fldCharType="end"/>
    </w:r>
  </w:p>
  <w:p w14:paraId="2895D064" w14:textId="77777777" w:rsidR="00624717" w:rsidRDefault="00624717" w:rsidP="00CC52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E2CA" w14:textId="77777777" w:rsidR="001F3707" w:rsidRDefault="001F3707" w:rsidP="002B39B8">
      <w:pPr>
        <w:spacing w:after="0" w:line="240" w:lineRule="auto"/>
      </w:pPr>
      <w:r>
        <w:separator/>
      </w:r>
    </w:p>
  </w:footnote>
  <w:footnote w:type="continuationSeparator" w:id="0">
    <w:p w14:paraId="15D1C6B8" w14:textId="77777777" w:rsidR="001F3707" w:rsidRDefault="001F3707" w:rsidP="002B3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1A68"/>
    <w:multiLevelType w:val="hybridMultilevel"/>
    <w:tmpl w:val="7A36F218"/>
    <w:lvl w:ilvl="0" w:tplc="3C68B546">
      <w:start w:val="1"/>
      <w:numFmt w:val="bullet"/>
      <w:lvlText w:val="•"/>
      <w:lvlJc w:val="left"/>
      <w:pPr>
        <w:tabs>
          <w:tab w:val="num" w:pos="720"/>
        </w:tabs>
        <w:ind w:left="720" w:hanging="360"/>
      </w:pPr>
      <w:rPr>
        <w:rFonts w:ascii="Arial" w:hAnsi="Arial" w:hint="default"/>
      </w:rPr>
    </w:lvl>
    <w:lvl w:ilvl="1" w:tplc="AF0CFD2E" w:tentative="1">
      <w:start w:val="1"/>
      <w:numFmt w:val="bullet"/>
      <w:lvlText w:val="•"/>
      <w:lvlJc w:val="left"/>
      <w:pPr>
        <w:tabs>
          <w:tab w:val="num" w:pos="1440"/>
        </w:tabs>
        <w:ind w:left="1440" w:hanging="360"/>
      </w:pPr>
      <w:rPr>
        <w:rFonts w:ascii="Arial" w:hAnsi="Arial" w:hint="default"/>
      </w:rPr>
    </w:lvl>
    <w:lvl w:ilvl="2" w:tplc="73062072" w:tentative="1">
      <w:start w:val="1"/>
      <w:numFmt w:val="bullet"/>
      <w:lvlText w:val="•"/>
      <w:lvlJc w:val="left"/>
      <w:pPr>
        <w:tabs>
          <w:tab w:val="num" w:pos="2160"/>
        </w:tabs>
        <w:ind w:left="2160" w:hanging="360"/>
      </w:pPr>
      <w:rPr>
        <w:rFonts w:ascii="Arial" w:hAnsi="Arial" w:hint="default"/>
      </w:rPr>
    </w:lvl>
    <w:lvl w:ilvl="3" w:tplc="0400E33A" w:tentative="1">
      <w:start w:val="1"/>
      <w:numFmt w:val="bullet"/>
      <w:lvlText w:val="•"/>
      <w:lvlJc w:val="left"/>
      <w:pPr>
        <w:tabs>
          <w:tab w:val="num" w:pos="2880"/>
        </w:tabs>
        <w:ind w:left="2880" w:hanging="360"/>
      </w:pPr>
      <w:rPr>
        <w:rFonts w:ascii="Arial" w:hAnsi="Arial" w:hint="default"/>
      </w:rPr>
    </w:lvl>
    <w:lvl w:ilvl="4" w:tplc="B8F405C4" w:tentative="1">
      <w:start w:val="1"/>
      <w:numFmt w:val="bullet"/>
      <w:lvlText w:val="•"/>
      <w:lvlJc w:val="left"/>
      <w:pPr>
        <w:tabs>
          <w:tab w:val="num" w:pos="3600"/>
        </w:tabs>
        <w:ind w:left="3600" w:hanging="360"/>
      </w:pPr>
      <w:rPr>
        <w:rFonts w:ascii="Arial" w:hAnsi="Arial" w:hint="default"/>
      </w:rPr>
    </w:lvl>
    <w:lvl w:ilvl="5" w:tplc="7540A0EC" w:tentative="1">
      <w:start w:val="1"/>
      <w:numFmt w:val="bullet"/>
      <w:lvlText w:val="•"/>
      <w:lvlJc w:val="left"/>
      <w:pPr>
        <w:tabs>
          <w:tab w:val="num" w:pos="4320"/>
        </w:tabs>
        <w:ind w:left="4320" w:hanging="360"/>
      </w:pPr>
      <w:rPr>
        <w:rFonts w:ascii="Arial" w:hAnsi="Arial" w:hint="default"/>
      </w:rPr>
    </w:lvl>
    <w:lvl w:ilvl="6" w:tplc="047E9312" w:tentative="1">
      <w:start w:val="1"/>
      <w:numFmt w:val="bullet"/>
      <w:lvlText w:val="•"/>
      <w:lvlJc w:val="left"/>
      <w:pPr>
        <w:tabs>
          <w:tab w:val="num" w:pos="5040"/>
        </w:tabs>
        <w:ind w:left="5040" w:hanging="360"/>
      </w:pPr>
      <w:rPr>
        <w:rFonts w:ascii="Arial" w:hAnsi="Arial" w:hint="default"/>
      </w:rPr>
    </w:lvl>
    <w:lvl w:ilvl="7" w:tplc="8B1E6E2A" w:tentative="1">
      <w:start w:val="1"/>
      <w:numFmt w:val="bullet"/>
      <w:lvlText w:val="•"/>
      <w:lvlJc w:val="left"/>
      <w:pPr>
        <w:tabs>
          <w:tab w:val="num" w:pos="5760"/>
        </w:tabs>
        <w:ind w:left="5760" w:hanging="360"/>
      </w:pPr>
      <w:rPr>
        <w:rFonts w:ascii="Arial" w:hAnsi="Arial" w:hint="default"/>
      </w:rPr>
    </w:lvl>
    <w:lvl w:ilvl="8" w:tplc="A89A9C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470FB"/>
    <w:rsid w:val="000019A2"/>
    <w:rsid w:val="0000651E"/>
    <w:rsid w:val="00006686"/>
    <w:rsid w:val="0001780C"/>
    <w:rsid w:val="0002479C"/>
    <w:rsid w:val="000262B1"/>
    <w:rsid w:val="00031C72"/>
    <w:rsid w:val="00031EDA"/>
    <w:rsid w:val="00034907"/>
    <w:rsid w:val="00041E1D"/>
    <w:rsid w:val="00041E64"/>
    <w:rsid w:val="00042DA6"/>
    <w:rsid w:val="00050C16"/>
    <w:rsid w:val="00053B3F"/>
    <w:rsid w:val="00053CEB"/>
    <w:rsid w:val="00060880"/>
    <w:rsid w:val="00066BD2"/>
    <w:rsid w:val="00067EAC"/>
    <w:rsid w:val="000726A9"/>
    <w:rsid w:val="0007312F"/>
    <w:rsid w:val="00073F0D"/>
    <w:rsid w:val="00076BBF"/>
    <w:rsid w:val="0007705D"/>
    <w:rsid w:val="00077DA7"/>
    <w:rsid w:val="00081F49"/>
    <w:rsid w:val="000824DC"/>
    <w:rsid w:val="0008793C"/>
    <w:rsid w:val="00097699"/>
    <w:rsid w:val="000A0537"/>
    <w:rsid w:val="000A0E6A"/>
    <w:rsid w:val="000A2806"/>
    <w:rsid w:val="000A4683"/>
    <w:rsid w:val="000A60C3"/>
    <w:rsid w:val="000B00D2"/>
    <w:rsid w:val="000B32B2"/>
    <w:rsid w:val="000C1C89"/>
    <w:rsid w:val="000C3A56"/>
    <w:rsid w:val="000C3C19"/>
    <w:rsid w:val="000C5607"/>
    <w:rsid w:val="000C6519"/>
    <w:rsid w:val="000D1C9F"/>
    <w:rsid w:val="000D1F12"/>
    <w:rsid w:val="000D2951"/>
    <w:rsid w:val="000D4446"/>
    <w:rsid w:val="000D4919"/>
    <w:rsid w:val="000D7C70"/>
    <w:rsid w:val="000E16BA"/>
    <w:rsid w:val="000E1B1B"/>
    <w:rsid w:val="000E1DD0"/>
    <w:rsid w:val="000E1EEB"/>
    <w:rsid w:val="000E1F54"/>
    <w:rsid w:val="000E2E4D"/>
    <w:rsid w:val="000E4C8E"/>
    <w:rsid w:val="000F10F3"/>
    <w:rsid w:val="000F2B39"/>
    <w:rsid w:val="00102BD7"/>
    <w:rsid w:val="0010689C"/>
    <w:rsid w:val="00114522"/>
    <w:rsid w:val="00116935"/>
    <w:rsid w:val="0011704B"/>
    <w:rsid w:val="00122322"/>
    <w:rsid w:val="0012287E"/>
    <w:rsid w:val="0012786A"/>
    <w:rsid w:val="00127987"/>
    <w:rsid w:val="00131082"/>
    <w:rsid w:val="0013194D"/>
    <w:rsid w:val="00132948"/>
    <w:rsid w:val="00135D8F"/>
    <w:rsid w:val="00136977"/>
    <w:rsid w:val="00137909"/>
    <w:rsid w:val="00140993"/>
    <w:rsid w:val="0014178C"/>
    <w:rsid w:val="00142B80"/>
    <w:rsid w:val="001469CD"/>
    <w:rsid w:val="00150B06"/>
    <w:rsid w:val="00152D02"/>
    <w:rsid w:val="00155F21"/>
    <w:rsid w:val="00156272"/>
    <w:rsid w:val="001563D5"/>
    <w:rsid w:val="00163FA2"/>
    <w:rsid w:val="00165930"/>
    <w:rsid w:val="001674D2"/>
    <w:rsid w:val="001709C9"/>
    <w:rsid w:val="00171ED5"/>
    <w:rsid w:val="00173E43"/>
    <w:rsid w:val="0017477E"/>
    <w:rsid w:val="001776A5"/>
    <w:rsid w:val="00183966"/>
    <w:rsid w:val="0018775C"/>
    <w:rsid w:val="001A1E13"/>
    <w:rsid w:val="001A4E3E"/>
    <w:rsid w:val="001A52A9"/>
    <w:rsid w:val="001A6D86"/>
    <w:rsid w:val="001B13BA"/>
    <w:rsid w:val="001B7D5C"/>
    <w:rsid w:val="001C042B"/>
    <w:rsid w:val="001D1D44"/>
    <w:rsid w:val="001D299F"/>
    <w:rsid w:val="001D2C78"/>
    <w:rsid w:val="001D4DC1"/>
    <w:rsid w:val="001D6A31"/>
    <w:rsid w:val="001E0F30"/>
    <w:rsid w:val="001E4C54"/>
    <w:rsid w:val="001E71F2"/>
    <w:rsid w:val="001F0082"/>
    <w:rsid w:val="001F3707"/>
    <w:rsid w:val="0020136C"/>
    <w:rsid w:val="00203A15"/>
    <w:rsid w:val="00205E02"/>
    <w:rsid w:val="00207056"/>
    <w:rsid w:val="0021185E"/>
    <w:rsid w:val="00212886"/>
    <w:rsid w:val="00212D43"/>
    <w:rsid w:val="00213F44"/>
    <w:rsid w:val="002141B7"/>
    <w:rsid w:val="002150A9"/>
    <w:rsid w:val="0022203C"/>
    <w:rsid w:val="002251C1"/>
    <w:rsid w:val="00226A92"/>
    <w:rsid w:val="00227CB9"/>
    <w:rsid w:val="00234FC1"/>
    <w:rsid w:val="00235CC9"/>
    <w:rsid w:val="002467FF"/>
    <w:rsid w:val="00250327"/>
    <w:rsid w:val="00251AF7"/>
    <w:rsid w:val="002657D0"/>
    <w:rsid w:val="002705F1"/>
    <w:rsid w:val="00283792"/>
    <w:rsid w:val="00284FBF"/>
    <w:rsid w:val="00285976"/>
    <w:rsid w:val="00290E76"/>
    <w:rsid w:val="00294798"/>
    <w:rsid w:val="002951FE"/>
    <w:rsid w:val="00295E55"/>
    <w:rsid w:val="002A3030"/>
    <w:rsid w:val="002A31D3"/>
    <w:rsid w:val="002A4E7C"/>
    <w:rsid w:val="002A5D22"/>
    <w:rsid w:val="002A7083"/>
    <w:rsid w:val="002B39B8"/>
    <w:rsid w:val="002B4380"/>
    <w:rsid w:val="002B5F27"/>
    <w:rsid w:val="002B6B7A"/>
    <w:rsid w:val="002C25BF"/>
    <w:rsid w:val="002C3ED2"/>
    <w:rsid w:val="002C65A3"/>
    <w:rsid w:val="002D41B6"/>
    <w:rsid w:val="002E5A42"/>
    <w:rsid w:val="002E6A5D"/>
    <w:rsid w:val="002E79D8"/>
    <w:rsid w:val="002F301B"/>
    <w:rsid w:val="00301120"/>
    <w:rsid w:val="00304423"/>
    <w:rsid w:val="00306BCD"/>
    <w:rsid w:val="00311447"/>
    <w:rsid w:val="00317650"/>
    <w:rsid w:val="00321046"/>
    <w:rsid w:val="00321E40"/>
    <w:rsid w:val="00326B2C"/>
    <w:rsid w:val="00327B17"/>
    <w:rsid w:val="00330A7B"/>
    <w:rsid w:val="003322B9"/>
    <w:rsid w:val="0033316C"/>
    <w:rsid w:val="003346CB"/>
    <w:rsid w:val="00337EC9"/>
    <w:rsid w:val="00337FB0"/>
    <w:rsid w:val="0034080C"/>
    <w:rsid w:val="00344EA7"/>
    <w:rsid w:val="0034540A"/>
    <w:rsid w:val="0034586C"/>
    <w:rsid w:val="00346C5B"/>
    <w:rsid w:val="003475B1"/>
    <w:rsid w:val="00350ACE"/>
    <w:rsid w:val="00353771"/>
    <w:rsid w:val="00363A3F"/>
    <w:rsid w:val="003650E3"/>
    <w:rsid w:val="003763D0"/>
    <w:rsid w:val="003804DF"/>
    <w:rsid w:val="00387E62"/>
    <w:rsid w:val="003927ED"/>
    <w:rsid w:val="00394483"/>
    <w:rsid w:val="00396013"/>
    <w:rsid w:val="003977CB"/>
    <w:rsid w:val="003A420B"/>
    <w:rsid w:val="003B752C"/>
    <w:rsid w:val="003C4EF6"/>
    <w:rsid w:val="003C5301"/>
    <w:rsid w:val="003C70B8"/>
    <w:rsid w:val="003D6BC0"/>
    <w:rsid w:val="003E1DBD"/>
    <w:rsid w:val="003E2410"/>
    <w:rsid w:val="003F0128"/>
    <w:rsid w:val="003F0E55"/>
    <w:rsid w:val="003F1B85"/>
    <w:rsid w:val="003F3369"/>
    <w:rsid w:val="003F77FA"/>
    <w:rsid w:val="0040176C"/>
    <w:rsid w:val="004053C2"/>
    <w:rsid w:val="00413BDF"/>
    <w:rsid w:val="00414CD5"/>
    <w:rsid w:val="004213DA"/>
    <w:rsid w:val="00424E93"/>
    <w:rsid w:val="00425A6B"/>
    <w:rsid w:val="00432CB9"/>
    <w:rsid w:val="0043513B"/>
    <w:rsid w:val="0044206D"/>
    <w:rsid w:val="0044240E"/>
    <w:rsid w:val="00442DA5"/>
    <w:rsid w:val="00447041"/>
    <w:rsid w:val="004477F8"/>
    <w:rsid w:val="00450CA0"/>
    <w:rsid w:val="004603E1"/>
    <w:rsid w:val="00462DCC"/>
    <w:rsid w:val="004631A5"/>
    <w:rsid w:val="0046452C"/>
    <w:rsid w:val="00465C2B"/>
    <w:rsid w:val="00471C7A"/>
    <w:rsid w:val="0047343F"/>
    <w:rsid w:val="004735CC"/>
    <w:rsid w:val="00475BBD"/>
    <w:rsid w:val="0048300E"/>
    <w:rsid w:val="004836BD"/>
    <w:rsid w:val="00484A64"/>
    <w:rsid w:val="0048704F"/>
    <w:rsid w:val="00487FA7"/>
    <w:rsid w:val="00490575"/>
    <w:rsid w:val="00490B8D"/>
    <w:rsid w:val="00491453"/>
    <w:rsid w:val="00495A39"/>
    <w:rsid w:val="004B0856"/>
    <w:rsid w:val="004B48AC"/>
    <w:rsid w:val="004B7EC7"/>
    <w:rsid w:val="004C0B08"/>
    <w:rsid w:val="004C49FE"/>
    <w:rsid w:val="004D105B"/>
    <w:rsid w:val="004E03E8"/>
    <w:rsid w:val="004E2170"/>
    <w:rsid w:val="004E2C15"/>
    <w:rsid w:val="004E3841"/>
    <w:rsid w:val="004E7939"/>
    <w:rsid w:val="004E7EB1"/>
    <w:rsid w:val="004F170D"/>
    <w:rsid w:val="004F171D"/>
    <w:rsid w:val="004F1C74"/>
    <w:rsid w:val="004F5563"/>
    <w:rsid w:val="004F5A25"/>
    <w:rsid w:val="005041B4"/>
    <w:rsid w:val="005074AC"/>
    <w:rsid w:val="005253EE"/>
    <w:rsid w:val="00525603"/>
    <w:rsid w:val="005265FF"/>
    <w:rsid w:val="00536D62"/>
    <w:rsid w:val="00536D66"/>
    <w:rsid w:val="0054287B"/>
    <w:rsid w:val="005436C8"/>
    <w:rsid w:val="00544FF9"/>
    <w:rsid w:val="00550468"/>
    <w:rsid w:val="00550BA3"/>
    <w:rsid w:val="00553485"/>
    <w:rsid w:val="00560B6B"/>
    <w:rsid w:val="00565CE5"/>
    <w:rsid w:val="00574814"/>
    <w:rsid w:val="00582FE9"/>
    <w:rsid w:val="00587322"/>
    <w:rsid w:val="0059634A"/>
    <w:rsid w:val="00597B6E"/>
    <w:rsid w:val="00597EC2"/>
    <w:rsid w:val="005A1824"/>
    <w:rsid w:val="005A569C"/>
    <w:rsid w:val="005B191F"/>
    <w:rsid w:val="005B35BA"/>
    <w:rsid w:val="005B3709"/>
    <w:rsid w:val="005B7427"/>
    <w:rsid w:val="005C1A7F"/>
    <w:rsid w:val="005C51AC"/>
    <w:rsid w:val="005C5287"/>
    <w:rsid w:val="005C5D83"/>
    <w:rsid w:val="005D0969"/>
    <w:rsid w:val="005D5BBA"/>
    <w:rsid w:val="005E0981"/>
    <w:rsid w:val="005E4955"/>
    <w:rsid w:val="005F2259"/>
    <w:rsid w:val="005F6D05"/>
    <w:rsid w:val="00601351"/>
    <w:rsid w:val="00604104"/>
    <w:rsid w:val="00605508"/>
    <w:rsid w:val="00607029"/>
    <w:rsid w:val="006136A7"/>
    <w:rsid w:val="00624717"/>
    <w:rsid w:val="006269EF"/>
    <w:rsid w:val="00630FB2"/>
    <w:rsid w:val="0063718B"/>
    <w:rsid w:val="00640FDC"/>
    <w:rsid w:val="00641B9E"/>
    <w:rsid w:val="00643ADC"/>
    <w:rsid w:val="00646C6E"/>
    <w:rsid w:val="00646D45"/>
    <w:rsid w:val="00652F69"/>
    <w:rsid w:val="00653171"/>
    <w:rsid w:val="00657A46"/>
    <w:rsid w:val="00663F95"/>
    <w:rsid w:val="00671F9A"/>
    <w:rsid w:val="00671FBF"/>
    <w:rsid w:val="0067295D"/>
    <w:rsid w:val="0067367C"/>
    <w:rsid w:val="00675897"/>
    <w:rsid w:val="00676D15"/>
    <w:rsid w:val="00684444"/>
    <w:rsid w:val="0068606A"/>
    <w:rsid w:val="006978A1"/>
    <w:rsid w:val="006A5853"/>
    <w:rsid w:val="006B5150"/>
    <w:rsid w:val="006B5EE8"/>
    <w:rsid w:val="006B7662"/>
    <w:rsid w:val="006C0F05"/>
    <w:rsid w:val="006C1B6C"/>
    <w:rsid w:val="006C3A8D"/>
    <w:rsid w:val="006C6F38"/>
    <w:rsid w:val="006D2603"/>
    <w:rsid w:val="006D7304"/>
    <w:rsid w:val="006D7923"/>
    <w:rsid w:val="006E0DC5"/>
    <w:rsid w:val="006E1E73"/>
    <w:rsid w:val="006E67A2"/>
    <w:rsid w:val="006F1133"/>
    <w:rsid w:val="006F29F4"/>
    <w:rsid w:val="006F4595"/>
    <w:rsid w:val="006F525E"/>
    <w:rsid w:val="0070055B"/>
    <w:rsid w:val="00700B2E"/>
    <w:rsid w:val="00723BA9"/>
    <w:rsid w:val="00732E28"/>
    <w:rsid w:val="00745686"/>
    <w:rsid w:val="007456F7"/>
    <w:rsid w:val="007470FB"/>
    <w:rsid w:val="007471BB"/>
    <w:rsid w:val="00747B24"/>
    <w:rsid w:val="0075072D"/>
    <w:rsid w:val="00751106"/>
    <w:rsid w:val="00751F33"/>
    <w:rsid w:val="00757BC3"/>
    <w:rsid w:val="0076564F"/>
    <w:rsid w:val="007666DA"/>
    <w:rsid w:val="00766C1D"/>
    <w:rsid w:val="00767345"/>
    <w:rsid w:val="007712B8"/>
    <w:rsid w:val="0077318C"/>
    <w:rsid w:val="007808CF"/>
    <w:rsid w:val="007825C0"/>
    <w:rsid w:val="007A50FD"/>
    <w:rsid w:val="007A5961"/>
    <w:rsid w:val="007A77D8"/>
    <w:rsid w:val="007B43C8"/>
    <w:rsid w:val="007B5167"/>
    <w:rsid w:val="007B5486"/>
    <w:rsid w:val="007B5958"/>
    <w:rsid w:val="007B6670"/>
    <w:rsid w:val="007C075F"/>
    <w:rsid w:val="007C1426"/>
    <w:rsid w:val="007C36CC"/>
    <w:rsid w:val="007C39CB"/>
    <w:rsid w:val="007C42F4"/>
    <w:rsid w:val="007C6545"/>
    <w:rsid w:val="007D3CAC"/>
    <w:rsid w:val="007D3E64"/>
    <w:rsid w:val="007D54E9"/>
    <w:rsid w:val="007D63C6"/>
    <w:rsid w:val="007D6742"/>
    <w:rsid w:val="007E4059"/>
    <w:rsid w:val="007E5529"/>
    <w:rsid w:val="007F02E5"/>
    <w:rsid w:val="007F1C75"/>
    <w:rsid w:val="007F2018"/>
    <w:rsid w:val="00803D17"/>
    <w:rsid w:val="00806631"/>
    <w:rsid w:val="00814099"/>
    <w:rsid w:val="00815DBA"/>
    <w:rsid w:val="00817CEF"/>
    <w:rsid w:val="00827D3C"/>
    <w:rsid w:val="00833A5B"/>
    <w:rsid w:val="00836579"/>
    <w:rsid w:val="00837A85"/>
    <w:rsid w:val="00837AA9"/>
    <w:rsid w:val="00840AF2"/>
    <w:rsid w:val="00841D67"/>
    <w:rsid w:val="00841EF8"/>
    <w:rsid w:val="0084610F"/>
    <w:rsid w:val="00846F1C"/>
    <w:rsid w:val="00853BFF"/>
    <w:rsid w:val="00867E73"/>
    <w:rsid w:val="00870B46"/>
    <w:rsid w:val="00874387"/>
    <w:rsid w:val="00874CE6"/>
    <w:rsid w:val="00880AB2"/>
    <w:rsid w:val="00881F01"/>
    <w:rsid w:val="00882835"/>
    <w:rsid w:val="00882A71"/>
    <w:rsid w:val="00886081"/>
    <w:rsid w:val="00890342"/>
    <w:rsid w:val="00891AC9"/>
    <w:rsid w:val="00891CF7"/>
    <w:rsid w:val="008945EE"/>
    <w:rsid w:val="00894E7B"/>
    <w:rsid w:val="008974AF"/>
    <w:rsid w:val="008A3135"/>
    <w:rsid w:val="008A32C8"/>
    <w:rsid w:val="008A6419"/>
    <w:rsid w:val="008B14DD"/>
    <w:rsid w:val="008B4F6E"/>
    <w:rsid w:val="008B78CE"/>
    <w:rsid w:val="008C41CF"/>
    <w:rsid w:val="008C6901"/>
    <w:rsid w:val="008D007D"/>
    <w:rsid w:val="008D1EB6"/>
    <w:rsid w:val="008D5673"/>
    <w:rsid w:val="008D6178"/>
    <w:rsid w:val="008D74C4"/>
    <w:rsid w:val="008E359A"/>
    <w:rsid w:val="008F4132"/>
    <w:rsid w:val="008F43EB"/>
    <w:rsid w:val="008F59E6"/>
    <w:rsid w:val="008F6131"/>
    <w:rsid w:val="008F6EA0"/>
    <w:rsid w:val="00901157"/>
    <w:rsid w:val="0090483E"/>
    <w:rsid w:val="009064D2"/>
    <w:rsid w:val="00906DAF"/>
    <w:rsid w:val="00910D3B"/>
    <w:rsid w:val="009119CD"/>
    <w:rsid w:val="00911CAD"/>
    <w:rsid w:val="009171CD"/>
    <w:rsid w:val="00925047"/>
    <w:rsid w:val="00926CA9"/>
    <w:rsid w:val="0092711E"/>
    <w:rsid w:val="00930A94"/>
    <w:rsid w:val="009311EC"/>
    <w:rsid w:val="009325F2"/>
    <w:rsid w:val="00932E65"/>
    <w:rsid w:val="009370A6"/>
    <w:rsid w:val="00945BFB"/>
    <w:rsid w:val="00946DF9"/>
    <w:rsid w:val="00950934"/>
    <w:rsid w:val="009523C4"/>
    <w:rsid w:val="00952D75"/>
    <w:rsid w:val="0095318E"/>
    <w:rsid w:val="00953C6C"/>
    <w:rsid w:val="00961867"/>
    <w:rsid w:val="00962417"/>
    <w:rsid w:val="009664F3"/>
    <w:rsid w:val="009726B5"/>
    <w:rsid w:val="00975EB4"/>
    <w:rsid w:val="00976217"/>
    <w:rsid w:val="009839C7"/>
    <w:rsid w:val="00985845"/>
    <w:rsid w:val="00985D18"/>
    <w:rsid w:val="00986FC8"/>
    <w:rsid w:val="00996D03"/>
    <w:rsid w:val="009A4158"/>
    <w:rsid w:val="009A698E"/>
    <w:rsid w:val="009B0223"/>
    <w:rsid w:val="009B44B5"/>
    <w:rsid w:val="009B5F73"/>
    <w:rsid w:val="009C22C6"/>
    <w:rsid w:val="009C5E0E"/>
    <w:rsid w:val="009D33F9"/>
    <w:rsid w:val="009E2276"/>
    <w:rsid w:val="009F1843"/>
    <w:rsid w:val="009F3CBB"/>
    <w:rsid w:val="009F60A6"/>
    <w:rsid w:val="00A04AFB"/>
    <w:rsid w:val="00A1171F"/>
    <w:rsid w:val="00A201DE"/>
    <w:rsid w:val="00A20D74"/>
    <w:rsid w:val="00A21B08"/>
    <w:rsid w:val="00A223AA"/>
    <w:rsid w:val="00A2522B"/>
    <w:rsid w:val="00A263EF"/>
    <w:rsid w:val="00A26D55"/>
    <w:rsid w:val="00A271FF"/>
    <w:rsid w:val="00A35E7D"/>
    <w:rsid w:val="00A364F3"/>
    <w:rsid w:val="00A40888"/>
    <w:rsid w:val="00A40BD6"/>
    <w:rsid w:val="00A41ACF"/>
    <w:rsid w:val="00A42375"/>
    <w:rsid w:val="00A46021"/>
    <w:rsid w:val="00A52A8D"/>
    <w:rsid w:val="00A54875"/>
    <w:rsid w:val="00A560E3"/>
    <w:rsid w:val="00A57F57"/>
    <w:rsid w:val="00A61036"/>
    <w:rsid w:val="00A6468A"/>
    <w:rsid w:val="00A66FDD"/>
    <w:rsid w:val="00A71296"/>
    <w:rsid w:val="00A75AEA"/>
    <w:rsid w:val="00A761FB"/>
    <w:rsid w:val="00A81027"/>
    <w:rsid w:val="00A8139E"/>
    <w:rsid w:val="00A84472"/>
    <w:rsid w:val="00A8602A"/>
    <w:rsid w:val="00A90149"/>
    <w:rsid w:val="00A90FB2"/>
    <w:rsid w:val="00A92C20"/>
    <w:rsid w:val="00A94CFA"/>
    <w:rsid w:val="00A97AA9"/>
    <w:rsid w:val="00AA289F"/>
    <w:rsid w:val="00AA3173"/>
    <w:rsid w:val="00AA492C"/>
    <w:rsid w:val="00AA4B6F"/>
    <w:rsid w:val="00AB3B72"/>
    <w:rsid w:val="00AC4574"/>
    <w:rsid w:val="00AC6602"/>
    <w:rsid w:val="00AD2DCD"/>
    <w:rsid w:val="00AE2B1C"/>
    <w:rsid w:val="00AE3F78"/>
    <w:rsid w:val="00AE4D5A"/>
    <w:rsid w:val="00AF6197"/>
    <w:rsid w:val="00B0092E"/>
    <w:rsid w:val="00B024A9"/>
    <w:rsid w:val="00B10C52"/>
    <w:rsid w:val="00B20BA1"/>
    <w:rsid w:val="00B23B4E"/>
    <w:rsid w:val="00B25008"/>
    <w:rsid w:val="00B26342"/>
    <w:rsid w:val="00B26FCA"/>
    <w:rsid w:val="00B27DEE"/>
    <w:rsid w:val="00B3572C"/>
    <w:rsid w:val="00B362AA"/>
    <w:rsid w:val="00B41BA8"/>
    <w:rsid w:val="00B50B82"/>
    <w:rsid w:val="00B543D7"/>
    <w:rsid w:val="00B56C93"/>
    <w:rsid w:val="00B56CCC"/>
    <w:rsid w:val="00B5745C"/>
    <w:rsid w:val="00B575F9"/>
    <w:rsid w:val="00B60DDF"/>
    <w:rsid w:val="00B60F16"/>
    <w:rsid w:val="00B615FD"/>
    <w:rsid w:val="00B61BF1"/>
    <w:rsid w:val="00B64729"/>
    <w:rsid w:val="00B65236"/>
    <w:rsid w:val="00B657BC"/>
    <w:rsid w:val="00B6732E"/>
    <w:rsid w:val="00B77D6B"/>
    <w:rsid w:val="00B81CDB"/>
    <w:rsid w:val="00B8675A"/>
    <w:rsid w:val="00B91E15"/>
    <w:rsid w:val="00BB1B7C"/>
    <w:rsid w:val="00BB71BC"/>
    <w:rsid w:val="00BC0CC8"/>
    <w:rsid w:val="00BC10FE"/>
    <w:rsid w:val="00BC29F4"/>
    <w:rsid w:val="00BC68DC"/>
    <w:rsid w:val="00BC7AE3"/>
    <w:rsid w:val="00BD08DD"/>
    <w:rsid w:val="00BD3059"/>
    <w:rsid w:val="00BD619B"/>
    <w:rsid w:val="00BD74FF"/>
    <w:rsid w:val="00BE22BE"/>
    <w:rsid w:val="00BE33CC"/>
    <w:rsid w:val="00BE38AE"/>
    <w:rsid w:val="00BE4CDC"/>
    <w:rsid w:val="00BE5357"/>
    <w:rsid w:val="00BF13CF"/>
    <w:rsid w:val="00BF3510"/>
    <w:rsid w:val="00BF4C6C"/>
    <w:rsid w:val="00BF5F42"/>
    <w:rsid w:val="00BF717E"/>
    <w:rsid w:val="00C016A0"/>
    <w:rsid w:val="00C059BA"/>
    <w:rsid w:val="00C06A25"/>
    <w:rsid w:val="00C10015"/>
    <w:rsid w:val="00C119B7"/>
    <w:rsid w:val="00C13C16"/>
    <w:rsid w:val="00C15B4D"/>
    <w:rsid w:val="00C22610"/>
    <w:rsid w:val="00C245A5"/>
    <w:rsid w:val="00C251E7"/>
    <w:rsid w:val="00C263AF"/>
    <w:rsid w:val="00C263DE"/>
    <w:rsid w:val="00C35723"/>
    <w:rsid w:val="00C3646D"/>
    <w:rsid w:val="00C36581"/>
    <w:rsid w:val="00C40E32"/>
    <w:rsid w:val="00C56661"/>
    <w:rsid w:val="00C736CF"/>
    <w:rsid w:val="00C76092"/>
    <w:rsid w:val="00C767FB"/>
    <w:rsid w:val="00C818E8"/>
    <w:rsid w:val="00C856DB"/>
    <w:rsid w:val="00C9511D"/>
    <w:rsid w:val="00C972B2"/>
    <w:rsid w:val="00C97405"/>
    <w:rsid w:val="00CA3EE3"/>
    <w:rsid w:val="00CA5F70"/>
    <w:rsid w:val="00CB5481"/>
    <w:rsid w:val="00CB6355"/>
    <w:rsid w:val="00CB6896"/>
    <w:rsid w:val="00CB6B6B"/>
    <w:rsid w:val="00CC0FF9"/>
    <w:rsid w:val="00CC2B11"/>
    <w:rsid w:val="00CC5264"/>
    <w:rsid w:val="00CC6609"/>
    <w:rsid w:val="00CD34E1"/>
    <w:rsid w:val="00CD6A9D"/>
    <w:rsid w:val="00CE1B10"/>
    <w:rsid w:val="00CE215A"/>
    <w:rsid w:val="00CE2786"/>
    <w:rsid w:val="00CE2E8A"/>
    <w:rsid w:val="00CE54C3"/>
    <w:rsid w:val="00CE5990"/>
    <w:rsid w:val="00CE7351"/>
    <w:rsid w:val="00CF3732"/>
    <w:rsid w:val="00CF4FAE"/>
    <w:rsid w:val="00CF5299"/>
    <w:rsid w:val="00CF534F"/>
    <w:rsid w:val="00CF5CA3"/>
    <w:rsid w:val="00CF7004"/>
    <w:rsid w:val="00D0105F"/>
    <w:rsid w:val="00D017DF"/>
    <w:rsid w:val="00D0181F"/>
    <w:rsid w:val="00D0380B"/>
    <w:rsid w:val="00D10612"/>
    <w:rsid w:val="00D1361C"/>
    <w:rsid w:val="00D14A04"/>
    <w:rsid w:val="00D15CBC"/>
    <w:rsid w:val="00D26265"/>
    <w:rsid w:val="00D3016F"/>
    <w:rsid w:val="00D32069"/>
    <w:rsid w:val="00D32650"/>
    <w:rsid w:val="00D35D6F"/>
    <w:rsid w:val="00D41E8B"/>
    <w:rsid w:val="00D43E15"/>
    <w:rsid w:val="00D44703"/>
    <w:rsid w:val="00D509B8"/>
    <w:rsid w:val="00D64412"/>
    <w:rsid w:val="00D728C6"/>
    <w:rsid w:val="00D7708E"/>
    <w:rsid w:val="00D81D6F"/>
    <w:rsid w:val="00D820E1"/>
    <w:rsid w:val="00D835F3"/>
    <w:rsid w:val="00D87CD1"/>
    <w:rsid w:val="00D94860"/>
    <w:rsid w:val="00DA465C"/>
    <w:rsid w:val="00DA4D2C"/>
    <w:rsid w:val="00DB076C"/>
    <w:rsid w:val="00DB0B4C"/>
    <w:rsid w:val="00DB693A"/>
    <w:rsid w:val="00DB7607"/>
    <w:rsid w:val="00DC4074"/>
    <w:rsid w:val="00DC6C7D"/>
    <w:rsid w:val="00DD797E"/>
    <w:rsid w:val="00DF3302"/>
    <w:rsid w:val="00E018BD"/>
    <w:rsid w:val="00E03205"/>
    <w:rsid w:val="00E050B2"/>
    <w:rsid w:val="00E13765"/>
    <w:rsid w:val="00E150D0"/>
    <w:rsid w:val="00E20552"/>
    <w:rsid w:val="00E20853"/>
    <w:rsid w:val="00E2553D"/>
    <w:rsid w:val="00E3046D"/>
    <w:rsid w:val="00E3291A"/>
    <w:rsid w:val="00E3382B"/>
    <w:rsid w:val="00E35003"/>
    <w:rsid w:val="00E4332C"/>
    <w:rsid w:val="00E45328"/>
    <w:rsid w:val="00E4602B"/>
    <w:rsid w:val="00E46EA3"/>
    <w:rsid w:val="00E5105A"/>
    <w:rsid w:val="00E5353B"/>
    <w:rsid w:val="00E55AA3"/>
    <w:rsid w:val="00E56653"/>
    <w:rsid w:val="00E602C3"/>
    <w:rsid w:val="00E64B1F"/>
    <w:rsid w:val="00E64CF9"/>
    <w:rsid w:val="00E66080"/>
    <w:rsid w:val="00E67225"/>
    <w:rsid w:val="00E67D3F"/>
    <w:rsid w:val="00E70F19"/>
    <w:rsid w:val="00E743A3"/>
    <w:rsid w:val="00E74FDF"/>
    <w:rsid w:val="00E76447"/>
    <w:rsid w:val="00E81ADB"/>
    <w:rsid w:val="00E820F6"/>
    <w:rsid w:val="00E851D2"/>
    <w:rsid w:val="00EA2AB3"/>
    <w:rsid w:val="00EA4CF7"/>
    <w:rsid w:val="00EA527A"/>
    <w:rsid w:val="00EA6AD7"/>
    <w:rsid w:val="00EB1627"/>
    <w:rsid w:val="00EB1B18"/>
    <w:rsid w:val="00EB33EE"/>
    <w:rsid w:val="00EB39C5"/>
    <w:rsid w:val="00EC2D22"/>
    <w:rsid w:val="00EC34B9"/>
    <w:rsid w:val="00EC50FD"/>
    <w:rsid w:val="00EC5972"/>
    <w:rsid w:val="00EC59B7"/>
    <w:rsid w:val="00EC62AB"/>
    <w:rsid w:val="00ED0FB1"/>
    <w:rsid w:val="00ED622C"/>
    <w:rsid w:val="00ED6BE4"/>
    <w:rsid w:val="00EE309D"/>
    <w:rsid w:val="00EE4871"/>
    <w:rsid w:val="00EF137D"/>
    <w:rsid w:val="00EF17B1"/>
    <w:rsid w:val="00EF2DC2"/>
    <w:rsid w:val="00EF499A"/>
    <w:rsid w:val="00EF7557"/>
    <w:rsid w:val="00F00A01"/>
    <w:rsid w:val="00F04597"/>
    <w:rsid w:val="00F0474E"/>
    <w:rsid w:val="00F0700A"/>
    <w:rsid w:val="00F11ED6"/>
    <w:rsid w:val="00F16AFF"/>
    <w:rsid w:val="00F200D8"/>
    <w:rsid w:val="00F225A5"/>
    <w:rsid w:val="00F22FFC"/>
    <w:rsid w:val="00F23DD4"/>
    <w:rsid w:val="00F2423E"/>
    <w:rsid w:val="00F24EB7"/>
    <w:rsid w:val="00F24FA8"/>
    <w:rsid w:val="00F27035"/>
    <w:rsid w:val="00F27108"/>
    <w:rsid w:val="00F30570"/>
    <w:rsid w:val="00F36C0F"/>
    <w:rsid w:val="00F40915"/>
    <w:rsid w:val="00F45E69"/>
    <w:rsid w:val="00F46507"/>
    <w:rsid w:val="00F508F4"/>
    <w:rsid w:val="00F525BE"/>
    <w:rsid w:val="00F53185"/>
    <w:rsid w:val="00F53D61"/>
    <w:rsid w:val="00F5698D"/>
    <w:rsid w:val="00F737D6"/>
    <w:rsid w:val="00F83B43"/>
    <w:rsid w:val="00F93C6C"/>
    <w:rsid w:val="00FA0E73"/>
    <w:rsid w:val="00FA19E2"/>
    <w:rsid w:val="00FA4C80"/>
    <w:rsid w:val="00FA58C9"/>
    <w:rsid w:val="00FB012D"/>
    <w:rsid w:val="00FB0C31"/>
    <w:rsid w:val="00FB3D85"/>
    <w:rsid w:val="00FB514C"/>
    <w:rsid w:val="00FB5A76"/>
    <w:rsid w:val="00FB6A8B"/>
    <w:rsid w:val="00FC0406"/>
    <w:rsid w:val="00FC24B0"/>
    <w:rsid w:val="00FC367B"/>
    <w:rsid w:val="00FC4123"/>
    <w:rsid w:val="00FC5D3B"/>
    <w:rsid w:val="00FC71DE"/>
    <w:rsid w:val="00FD0F65"/>
    <w:rsid w:val="00FD17CC"/>
    <w:rsid w:val="00FD41C7"/>
    <w:rsid w:val="00FD4A63"/>
    <w:rsid w:val="00FD686E"/>
    <w:rsid w:val="00FD728F"/>
    <w:rsid w:val="00FE63E9"/>
    <w:rsid w:val="00FE75F8"/>
    <w:rsid w:val="00FF1ED5"/>
    <w:rsid w:val="00FF24FE"/>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EA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0FB"/>
    <w:pPr>
      <w:ind w:left="720"/>
      <w:contextualSpacing/>
    </w:pPr>
  </w:style>
  <w:style w:type="paragraph" w:customStyle="1" w:styleId="EndNoteBibliographyTitle">
    <w:name w:val="EndNote Bibliography Title"/>
    <w:basedOn w:val="Normal"/>
    <w:link w:val="EndNoteBibliographyTitleChar"/>
    <w:rsid w:val="0054287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4287B"/>
    <w:rPr>
      <w:rFonts w:ascii="Calibri" w:hAnsi="Calibri"/>
      <w:noProof/>
      <w:lang w:val="en-US"/>
    </w:rPr>
  </w:style>
  <w:style w:type="paragraph" w:customStyle="1" w:styleId="EndNoteBibliography">
    <w:name w:val="EndNote Bibliography"/>
    <w:basedOn w:val="Normal"/>
    <w:link w:val="EndNoteBibliographyChar"/>
    <w:rsid w:val="0054287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4287B"/>
    <w:rPr>
      <w:rFonts w:ascii="Calibri" w:hAnsi="Calibri"/>
      <w:noProof/>
      <w:lang w:val="en-US"/>
    </w:rPr>
  </w:style>
  <w:style w:type="character" w:styleId="Hyperlink">
    <w:name w:val="Hyperlink"/>
    <w:basedOn w:val="DefaultParagraphFont"/>
    <w:uiPriority w:val="99"/>
    <w:unhideWhenUsed/>
    <w:rsid w:val="00870B46"/>
    <w:rPr>
      <w:color w:val="0000FF"/>
      <w:u w:val="single"/>
    </w:rPr>
  </w:style>
  <w:style w:type="character" w:customStyle="1" w:styleId="referencediv">
    <w:name w:val="referencediv"/>
    <w:basedOn w:val="DefaultParagraphFont"/>
    <w:rsid w:val="00870B46"/>
  </w:style>
  <w:style w:type="character" w:customStyle="1" w:styleId="blockspan">
    <w:name w:val="blockspan"/>
    <w:basedOn w:val="DefaultParagraphFont"/>
    <w:rsid w:val="00870B46"/>
  </w:style>
  <w:style w:type="character" w:styleId="Strong">
    <w:name w:val="Strong"/>
    <w:basedOn w:val="DefaultParagraphFont"/>
    <w:uiPriority w:val="22"/>
    <w:qFormat/>
    <w:rsid w:val="00870B46"/>
    <w:rPr>
      <w:b/>
      <w:bCs/>
    </w:rPr>
  </w:style>
  <w:style w:type="character" w:customStyle="1" w:styleId="apple-converted-space">
    <w:name w:val="apple-converted-space"/>
    <w:basedOn w:val="DefaultParagraphFont"/>
    <w:rsid w:val="009839C7"/>
  </w:style>
  <w:style w:type="character" w:styleId="FollowedHyperlink">
    <w:name w:val="FollowedHyperlink"/>
    <w:basedOn w:val="DefaultParagraphFont"/>
    <w:uiPriority w:val="99"/>
    <w:semiHidden/>
    <w:unhideWhenUsed/>
    <w:rsid w:val="009839C7"/>
    <w:rPr>
      <w:color w:val="800080" w:themeColor="followedHyperlink"/>
      <w:u w:val="single"/>
    </w:rPr>
  </w:style>
  <w:style w:type="paragraph" w:styleId="BalloonText">
    <w:name w:val="Balloon Text"/>
    <w:basedOn w:val="Normal"/>
    <w:link w:val="BalloonTextChar"/>
    <w:uiPriority w:val="99"/>
    <w:semiHidden/>
    <w:unhideWhenUsed/>
    <w:rsid w:val="00EF75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57"/>
    <w:rPr>
      <w:rFonts w:ascii="Lucida Grande" w:hAnsi="Lucida Grande" w:cs="Lucida Grande"/>
      <w:sz w:val="18"/>
      <w:szCs w:val="18"/>
    </w:rPr>
  </w:style>
  <w:style w:type="paragraph" w:styleId="Footer">
    <w:name w:val="footer"/>
    <w:basedOn w:val="Normal"/>
    <w:link w:val="FooterChar"/>
    <w:uiPriority w:val="99"/>
    <w:unhideWhenUsed/>
    <w:rsid w:val="002B39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39B8"/>
  </w:style>
  <w:style w:type="character" w:styleId="PageNumber">
    <w:name w:val="page number"/>
    <w:basedOn w:val="DefaultParagraphFont"/>
    <w:uiPriority w:val="99"/>
    <w:semiHidden/>
    <w:unhideWhenUsed/>
    <w:rsid w:val="002B39B8"/>
  </w:style>
  <w:style w:type="paragraph" w:styleId="Header">
    <w:name w:val="header"/>
    <w:basedOn w:val="Normal"/>
    <w:link w:val="HeaderChar"/>
    <w:uiPriority w:val="99"/>
    <w:unhideWhenUsed/>
    <w:rsid w:val="00CC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64"/>
  </w:style>
  <w:style w:type="character" w:styleId="CommentReference">
    <w:name w:val="annotation reference"/>
    <w:basedOn w:val="DefaultParagraphFont"/>
    <w:uiPriority w:val="99"/>
    <w:semiHidden/>
    <w:unhideWhenUsed/>
    <w:rsid w:val="00E3291A"/>
    <w:rPr>
      <w:sz w:val="16"/>
      <w:szCs w:val="16"/>
    </w:rPr>
  </w:style>
  <w:style w:type="paragraph" w:styleId="CommentText">
    <w:name w:val="annotation text"/>
    <w:basedOn w:val="Normal"/>
    <w:link w:val="CommentTextChar"/>
    <w:uiPriority w:val="99"/>
    <w:unhideWhenUsed/>
    <w:rsid w:val="00E3291A"/>
    <w:pPr>
      <w:spacing w:line="240" w:lineRule="auto"/>
    </w:pPr>
    <w:rPr>
      <w:sz w:val="20"/>
      <w:szCs w:val="20"/>
    </w:rPr>
  </w:style>
  <w:style w:type="character" w:customStyle="1" w:styleId="CommentTextChar">
    <w:name w:val="Comment Text Char"/>
    <w:basedOn w:val="DefaultParagraphFont"/>
    <w:link w:val="CommentText"/>
    <w:uiPriority w:val="99"/>
    <w:rsid w:val="00E3291A"/>
    <w:rPr>
      <w:sz w:val="20"/>
      <w:szCs w:val="20"/>
    </w:rPr>
  </w:style>
  <w:style w:type="paragraph" w:styleId="CommentSubject">
    <w:name w:val="annotation subject"/>
    <w:basedOn w:val="CommentText"/>
    <w:next w:val="CommentText"/>
    <w:link w:val="CommentSubjectChar"/>
    <w:uiPriority w:val="99"/>
    <w:semiHidden/>
    <w:unhideWhenUsed/>
    <w:rsid w:val="00E3291A"/>
    <w:rPr>
      <w:b/>
      <w:bCs/>
    </w:rPr>
  </w:style>
  <w:style w:type="character" w:customStyle="1" w:styleId="CommentSubjectChar">
    <w:name w:val="Comment Subject Char"/>
    <w:basedOn w:val="CommentTextChar"/>
    <w:link w:val="CommentSubject"/>
    <w:uiPriority w:val="99"/>
    <w:semiHidden/>
    <w:rsid w:val="00E3291A"/>
    <w:rPr>
      <w:b/>
      <w:bCs/>
      <w:sz w:val="20"/>
      <w:szCs w:val="20"/>
    </w:rPr>
  </w:style>
  <w:style w:type="character" w:styleId="LineNumber">
    <w:name w:val="line number"/>
    <w:basedOn w:val="DefaultParagraphFont"/>
    <w:uiPriority w:val="99"/>
    <w:semiHidden/>
    <w:unhideWhenUsed/>
    <w:rsid w:val="0012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8215">
      <w:bodyDiv w:val="1"/>
      <w:marLeft w:val="0"/>
      <w:marRight w:val="0"/>
      <w:marTop w:val="0"/>
      <w:marBottom w:val="0"/>
      <w:divBdr>
        <w:top w:val="none" w:sz="0" w:space="0" w:color="auto"/>
        <w:left w:val="none" w:sz="0" w:space="0" w:color="auto"/>
        <w:bottom w:val="none" w:sz="0" w:space="0" w:color="auto"/>
        <w:right w:val="none" w:sz="0" w:space="0" w:color="auto"/>
      </w:divBdr>
    </w:div>
    <w:div w:id="353314034">
      <w:bodyDiv w:val="1"/>
      <w:marLeft w:val="0"/>
      <w:marRight w:val="0"/>
      <w:marTop w:val="0"/>
      <w:marBottom w:val="0"/>
      <w:divBdr>
        <w:top w:val="none" w:sz="0" w:space="0" w:color="auto"/>
        <w:left w:val="none" w:sz="0" w:space="0" w:color="auto"/>
        <w:bottom w:val="none" w:sz="0" w:space="0" w:color="auto"/>
        <w:right w:val="none" w:sz="0" w:space="0" w:color="auto"/>
      </w:divBdr>
    </w:div>
    <w:div w:id="623269377">
      <w:bodyDiv w:val="1"/>
      <w:marLeft w:val="0"/>
      <w:marRight w:val="0"/>
      <w:marTop w:val="0"/>
      <w:marBottom w:val="0"/>
      <w:divBdr>
        <w:top w:val="none" w:sz="0" w:space="0" w:color="auto"/>
        <w:left w:val="none" w:sz="0" w:space="0" w:color="auto"/>
        <w:bottom w:val="none" w:sz="0" w:space="0" w:color="auto"/>
        <w:right w:val="none" w:sz="0" w:space="0" w:color="auto"/>
      </w:divBdr>
    </w:div>
    <w:div w:id="1666476869">
      <w:bodyDiv w:val="1"/>
      <w:marLeft w:val="0"/>
      <w:marRight w:val="0"/>
      <w:marTop w:val="0"/>
      <w:marBottom w:val="0"/>
      <w:divBdr>
        <w:top w:val="none" w:sz="0" w:space="0" w:color="auto"/>
        <w:left w:val="none" w:sz="0" w:space="0" w:color="auto"/>
        <w:bottom w:val="none" w:sz="0" w:space="0" w:color="auto"/>
        <w:right w:val="none" w:sz="0" w:space="0" w:color="auto"/>
      </w:divBdr>
      <w:divsChild>
        <w:div w:id="1028794934">
          <w:marLeft w:val="547"/>
          <w:marRight w:val="0"/>
          <w:marTop w:val="120"/>
          <w:marBottom w:val="0"/>
          <w:divBdr>
            <w:top w:val="none" w:sz="0" w:space="0" w:color="auto"/>
            <w:left w:val="none" w:sz="0" w:space="0" w:color="auto"/>
            <w:bottom w:val="none" w:sz="0" w:space="0" w:color="auto"/>
            <w:right w:val="none" w:sz="0" w:space="0" w:color="auto"/>
          </w:divBdr>
        </w:div>
      </w:divsChild>
    </w:div>
    <w:div w:id="1915124935">
      <w:bodyDiv w:val="1"/>
      <w:marLeft w:val="0"/>
      <w:marRight w:val="0"/>
      <w:marTop w:val="0"/>
      <w:marBottom w:val="0"/>
      <w:divBdr>
        <w:top w:val="none" w:sz="0" w:space="0" w:color="auto"/>
        <w:left w:val="none" w:sz="0" w:space="0" w:color="auto"/>
        <w:bottom w:val="none" w:sz="0" w:space="0" w:color="auto"/>
        <w:right w:val="none" w:sz="0" w:space="0" w:color="auto"/>
      </w:divBdr>
      <w:divsChild>
        <w:div w:id="414395898">
          <w:marLeft w:val="0"/>
          <w:marRight w:val="0"/>
          <w:marTop w:val="0"/>
          <w:marBottom w:val="0"/>
          <w:divBdr>
            <w:top w:val="none" w:sz="0" w:space="0" w:color="auto"/>
            <w:left w:val="none" w:sz="0" w:space="0" w:color="auto"/>
            <w:bottom w:val="none" w:sz="0" w:space="0" w:color="auto"/>
            <w:right w:val="none" w:sz="0" w:space="0" w:color="auto"/>
          </w:divBdr>
          <w:divsChild>
            <w:div w:id="1337810471">
              <w:marLeft w:val="0"/>
              <w:marRight w:val="0"/>
              <w:marTop w:val="0"/>
              <w:marBottom w:val="0"/>
              <w:divBdr>
                <w:top w:val="none" w:sz="0" w:space="0" w:color="auto"/>
                <w:left w:val="none" w:sz="0" w:space="0" w:color="auto"/>
                <w:bottom w:val="none" w:sz="0" w:space="0" w:color="auto"/>
                <w:right w:val="none" w:sz="0" w:space="0" w:color="auto"/>
              </w:divBdr>
              <w:divsChild>
                <w:div w:id="1241796962">
                  <w:marLeft w:val="0"/>
                  <w:marRight w:val="0"/>
                  <w:marTop w:val="0"/>
                  <w:marBottom w:val="0"/>
                  <w:divBdr>
                    <w:top w:val="none" w:sz="0" w:space="0" w:color="auto"/>
                    <w:left w:val="none" w:sz="0" w:space="0" w:color="auto"/>
                    <w:bottom w:val="none" w:sz="0" w:space="0" w:color="auto"/>
                    <w:right w:val="none" w:sz="0" w:space="0" w:color="auto"/>
                  </w:divBdr>
                  <w:divsChild>
                    <w:div w:id="1262059284">
                      <w:marLeft w:val="0"/>
                      <w:marRight w:val="0"/>
                      <w:marTop w:val="0"/>
                      <w:marBottom w:val="0"/>
                      <w:divBdr>
                        <w:top w:val="none" w:sz="0" w:space="0" w:color="auto"/>
                        <w:left w:val="none" w:sz="0" w:space="0" w:color="auto"/>
                        <w:bottom w:val="none" w:sz="0" w:space="0" w:color="auto"/>
                        <w:right w:val="none" w:sz="0" w:space="0" w:color="auto"/>
                      </w:divBdr>
                      <w:divsChild>
                        <w:div w:id="652759805">
                          <w:marLeft w:val="0"/>
                          <w:marRight w:val="0"/>
                          <w:marTop w:val="0"/>
                          <w:marBottom w:val="0"/>
                          <w:divBdr>
                            <w:top w:val="none" w:sz="0" w:space="0" w:color="auto"/>
                            <w:left w:val="none" w:sz="0" w:space="0" w:color="auto"/>
                            <w:bottom w:val="none" w:sz="0" w:space="0" w:color="auto"/>
                            <w:right w:val="none" w:sz="0" w:space="0" w:color="auto"/>
                          </w:divBdr>
                          <w:divsChild>
                            <w:div w:id="1752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rishna%20G%5BAuthor%5D&amp;cauthor=true&amp;cauthor_uid=226152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posaconazole+capsules+pharmacokine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Martinho%20M%5BAuthor%5D&amp;cauthor=true&amp;cauthor_uid=22615291" TargetMode="External"/><Relationship Id="rId4" Type="http://schemas.openxmlformats.org/officeDocument/2006/relationships/settings" Target="settings.xml"/><Relationship Id="rId9" Type="http://schemas.openxmlformats.org/officeDocument/2006/relationships/hyperlink" Target="http://www.ncbi.nlm.nih.gov/pubmed/?term=Ma%20L%5BAuthor%5D&amp;cauthor=true&amp;cauthor_uid=226152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553C-C825-D943-B0A4-97E5DDF1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7253</Words>
  <Characters>41348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Katharine (RQ6) RLBUHT</dc:creator>
  <cp:lastModifiedBy>Hope, William</cp:lastModifiedBy>
  <cp:revision>6</cp:revision>
  <cp:lastPrinted>2016-07-13T11:19:00Z</cp:lastPrinted>
  <dcterms:created xsi:type="dcterms:W3CDTF">2016-11-16T16:40:00Z</dcterms:created>
  <dcterms:modified xsi:type="dcterms:W3CDTF">2018-02-11T10:25:00Z</dcterms:modified>
</cp:coreProperties>
</file>