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5693" w14:textId="77777777" w:rsidR="00BE22AB" w:rsidRDefault="00BE22AB">
      <w:pPr>
        <w:rPr>
          <w:b/>
        </w:rPr>
      </w:pPr>
    </w:p>
    <w:p w14:paraId="73DF3B1D" w14:textId="77777777" w:rsidR="00BE22AB" w:rsidRDefault="00BE22AB">
      <w:pPr>
        <w:rPr>
          <w:b/>
        </w:rPr>
      </w:pPr>
    </w:p>
    <w:p w14:paraId="55EBAF29" w14:textId="161A5947" w:rsidR="00BE22AB" w:rsidRPr="008623D8" w:rsidRDefault="00BE22AB" w:rsidP="00BE22AB">
      <w:pPr>
        <w:jc w:val="center"/>
        <w:rPr>
          <w:b/>
          <w:sz w:val="28"/>
          <w:szCs w:val="28"/>
        </w:rPr>
      </w:pPr>
      <w:r w:rsidRPr="008623D8">
        <w:rPr>
          <w:b/>
          <w:sz w:val="28"/>
          <w:szCs w:val="28"/>
        </w:rPr>
        <w:t>The Overseas Registration Examination of the General Dental Council</w:t>
      </w:r>
    </w:p>
    <w:p w14:paraId="0BDFBE8E" w14:textId="77777777" w:rsidR="00BE22AB" w:rsidRDefault="00BE22AB" w:rsidP="00BE22AB">
      <w:pPr>
        <w:rPr>
          <w:b/>
        </w:rPr>
      </w:pPr>
    </w:p>
    <w:p w14:paraId="0C8982FE" w14:textId="77777777" w:rsidR="008623D8" w:rsidRDefault="008623D8">
      <w:pPr>
        <w:rPr>
          <w:b/>
        </w:rPr>
      </w:pPr>
      <w:bookmarkStart w:id="0" w:name="_GoBack"/>
      <w:bookmarkEnd w:id="0"/>
    </w:p>
    <w:p w14:paraId="3F74FDD3" w14:textId="77777777" w:rsidR="00BE22AB" w:rsidRDefault="00BE22AB">
      <w:pPr>
        <w:rPr>
          <w:b/>
        </w:rPr>
      </w:pPr>
    </w:p>
    <w:p w14:paraId="063A60D2" w14:textId="77777777" w:rsidR="00BE22AB" w:rsidRDefault="00BE22AB">
      <w:pPr>
        <w:rPr>
          <w:b/>
        </w:rPr>
      </w:pPr>
    </w:p>
    <w:p w14:paraId="08A1119D" w14:textId="77777777" w:rsidR="00BE22AB" w:rsidRDefault="00BE22AB">
      <w:pPr>
        <w:rPr>
          <w:b/>
        </w:rPr>
      </w:pPr>
    </w:p>
    <w:p w14:paraId="262D65CA" w14:textId="77777777" w:rsidR="00BE22AB" w:rsidRDefault="00BE22AB">
      <w:pPr>
        <w:rPr>
          <w:b/>
        </w:rPr>
      </w:pPr>
    </w:p>
    <w:p w14:paraId="36A6C13D" w14:textId="77777777" w:rsidR="00BE22AB" w:rsidRDefault="00BE22AB">
      <w:pPr>
        <w:rPr>
          <w:b/>
        </w:rPr>
      </w:pPr>
    </w:p>
    <w:p w14:paraId="3650063F" w14:textId="77777777" w:rsidR="00BE22AB" w:rsidRDefault="00BE22AB">
      <w:pPr>
        <w:rPr>
          <w:b/>
        </w:rPr>
      </w:pPr>
    </w:p>
    <w:p w14:paraId="370C647F" w14:textId="77777777" w:rsidR="00BE22AB" w:rsidRDefault="00BE22AB">
      <w:pPr>
        <w:rPr>
          <w:b/>
        </w:rPr>
      </w:pPr>
    </w:p>
    <w:p w14:paraId="71782C28" w14:textId="77777777" w:rsidR="00BE22AB" w:rsidRDefault="00BE22AB">
      <w:pPr>
        <w:rPr>
          <w:b/>
        </w:rPr>
      </w:pPr>
    </w:p>
    <w:p w14:paraId="2A42FA6F" w14:textId="77777777" w:rsidR="00BE22AB" w:rsidRDefault="00BE22AB">
      <w:pPr>
        <w:rPr>
          <w:b/>
        </w:rPr>
      </w:pPr>
    </w:p>
    <w:p w14:paraId="668E508F" w14:textId="77777777" w:rsidR="00BE22AB" w:rsidRDefault="00BE22AB">
      <w:pPr>
        <w:rPr>
          <w:b/>
        </w:rPr>
      </w:pPr>
    </w:p>
    <w:p w14:paraId="7CB56ECA" w14:textId="77777777" w:rsidR="00BE22AB" w:rsidRDefault="00BE22AB">
      <w:pPr>
        <w:rPr>
          <w:b/>
        </w:rPr>
      </w:pPr>
    </w:p>
    <w:p w14:paraId="57682A5A" w14:textId="77777777" w:rsidR="00BE22AB" w:rsidRDefault="00BE22AB">
      <w:pPr>
        <w:rPr>
          <w:b/>
        </w:rPr>
      </w:pPr>
    </w:p>
    <w:p w14:paraId="522D98FC" w14:textId="77777777" w:rsidR="00BE22AB" w:rsidRDefault="00BE22AB">
      <w:pPr>
        <w:rPr>
          <w:b/>
        </w:rPr>
      </w:pPr>
    </w:p>
    <w:p w14:paraId="3A52D0AB" w14:textId="77777777" w:rsidR="00BE22AB" w:rsidRDefault="00BE22AB">
      <w:pPr>
        <w:rPr>
          <w:b/>
        </w:rPr>
      </w:pPr>
    </w:p>
    <w:p w14:paraId="161BF0C9" w14:textId="37D9F2E7" w:rsidR="00D1642C" w:rsidRDefault="00D1642C">
      <w:pPr>
        <w:rPr>
          <w:b/>
        </w:rPr>
      </w:pPr>
      <w:r>
        <w:rPr>
          <w:b/>
        </w:rPr>
        <w:br w:type="page"/>
      </w:r>
    </w:p>
    <w:p w14:paraId="01E18BE9" w14:textId="77777777" w:rsidR="00D1642C" w:rsidRDefault="00D1642C">
      <w:pPr>
        <w:rPr>
          <w:b/>
        </w:rPr>
      </w:pPr>
      <w:r>
        <w:rPr>
          <w:b/>
        </w:rPr>
        <w:lastRenderedPageBreak/>
        <w:t>Abstract</w:t>
      </w:r>
    </w:p>
    <w:p w14:paraId="3F485013" w14:textId="45BF3FB4" w:rsidR="00D1642C" w:rsidRPr="00D1642C" w:rsidRDefault="00D1642C">
      <w:r w:rsidRPr="00D1642C">
        <w:t xml:space="preserve">The Overseas Registration Examination </w:t>
      </w:r>
      <w:r w:rsidR="00184A62">
        <w:t>is a route to entry to the UK D</w:t>
      </w:r>
      <w:r>
        <w:t>entists Register for dentists who have qualified</w:t>
      </w:r>
      <w:r w:rsidR="000525D3">
        <w:t xml:space="preserve"> outside the European Economic A</w:t>
      </w:r>
      <w:r>
        <w:t>rea. The role of the examination is to protect the public by ensuring that such dentists meet minimum standards of competence. Candidates invest considerable time and resource in attempting the examination. For these reasons it is essential that the examination is both robust and fair.  This paper describes the fundamental principles of assessment underpinning the design of the examination and the steps taken by the General Dental Council’s ORE Advisory Group to assure its ongoing quality.</w:t>
      </w:r>
      <w:r w:rsidRPr="00D1642C">
        <w:br w:type="page"/>
      </w:r>
    </w:p>
    <w:p w14:paraId="59341C0E" w14:textId="77777777" w:rsidR="00D21023" w:rsidRDefault="00D21023">
      <w:pPr>
        <w:rPr>
          <w:b/>
        </w:rPr>
      </w:pPr>
      <w:r>
        <w:rPr>
          <w:b/>
        </w:rPr>
        <w:lastRenderedPageBreak/>
        <w:t>Introduction</w:t>
      </w:r>
    </w:p>
    <w:p w14:paraId="3F2530D5" w14:textId="02DF79BF" w:rsidR="00761114" w:rsidRDefault="00010283" w:rsidP="00761114">
      <w:r>
        <w:t xml:space="preserve">The Overseas Registration Examination (ORE) is a means by which dentists who have qualified outside of the European Economic </w:t>
      </w:r>
      <w:r w:rsidR="004676A0">
        <w:t>A</w:t>
      </w:r>
      <w:r>
        <w:t>rea</w:t>
      </w:r>
      <w:r w:rsidR="00B227E9">
        <w:t xml:space="preserve"> (EEA)</w:t>
      </w:r>
      <w:r>
        <w:t xml:space="preserve"> may gain entry to the UK Dentists Register maintained by the General Dental Council. The ORE is the latest iteration of this statutory examination, replacing its predecessor, the International Qualifying Examination, in 2007. </w:t>
      </w:r>
    </w:p>
    <w:p w14:paraId="10CF3CDD" w14:textId="11DFE07C" w:rsidR="0015080B" w:rsidRDefault="0015080B" w:rsidP="0015080B">
      <w:r>
        <w:t>The ORE consists of two parts. Part 1 is covers knowledge and applied knowledge and consists of two M</w:t>
      </w:r>
      <w:r w:rsidR="004676A0">
        <w:t xml:space="preserve">ultiple Choice </w:t>
      </w:r>
      <w:r>
        <w:t>Q</w:t>
      </w:r>
      <w:r w:rsidR="004676A0">
        <w:t>uestion (MCQ)</w:t>
      </w:r>
      <w:r>
        <w:t xml:space="preserve"> papers; it must be passed before a candidate is allowed to </w:t>
      </w:r>
      <w:r w:rsidR="00615C3E">
        <w:t>take</w:t>
      </w:r>
      <w:r>
        <w:t xml:space="preserve"> Part 2. Part 2 consists of four standalone </w:t>
      </w:r>
      <w:r w:rsidR="00615C3E">
        <w:t xml:space="preserve">clinical or </w:t>
      </w:r>
      <w:r w:rsidR="00F64CB9">
        <w:t>practical</w:t>
      </w:r>
      <w:r>
        <w:t xml:space="preserve"> </w:t>
      </w:r>
      <w:r w:rsidR="004676A0">
        <w:t>components</w:t>
      </w:r>
      <w:r>
        <w:t xml:space="preserve"> that require candidates to </w:t>
      </w:r>
      <w:r w:rsidR="00F64CB9">
        <w:t>demonstrate</w:t>
      </w:r>
      <w:r>
        <w:t xml:space="preserve"> their clinical skills</w:t>
      </w:r>
      <w:r w:rsidR="004676A0">
        <w:t xml:space="preserve"> (see fig. 1)</w:t>
      </w:r>
      <w:r>
        <w:t xml:space="preserve">. </w:t>
      </w:r>
    </w:p>
    <w:p w14:paraId="795EA9D2" w14:textId="77777777" w:rsidR="0015080B" w:rsidDel="00E262AE" w:rsidRDefault="0015080B" w:rsidP="0015080B">
      <w:r w:rsidDel="00E262AE">
        <w:t>Further information on the structure of the examination can be located at</w:t>
      </w:r>
    </w:p>
    <w:p w14:paraId="3FA5DEB1" w14:textId="77777777" w:rsidR="0015080B" w:rsidDel="00E262AE" w:rsidRDefault="0015080B" w:rsidP="0015080B">
      <w:r w:rsidRPr="004A5412" w:rsidDel="00E262AE">
        <w:t>http://www.gdc-uk.org/Dentalprofessionals/ORE/Pages/default.aspx</w:t>
      </w:r>
    </w:p>
    <w:p w14:paraId="595CFA73" w14:textId="42CC5678" w:rsidR="00A930E0" w:rsidRDefault="002A4FA6">
      <w:r>
        <w:t>There are two diets</w:t>
      </w:r>
      <w:r w:rsidR="0025378C">
        <w:t xml:space="preserve"> (occasions on which the examination is held)</w:t>
      </w:r>
      <w:r>
        <w:t xml:space="preserve"> of Part 1 per year, each with a capacity of </w:t>
      </w:r>
      <w:r w:rsidR="0060707D">
        <w:t>2</w:t>
      </w:r>
      <w:r>
        <w:t xml:space="preserve">00 candidates. </w:t>
      </w:r>
      <w:r w:rsidR="009A4920">
        <w:t xml:space="preserve">Six </w:t>
      </w:r>
      <w:r>
        <w:t xml:space="preserve">diets of Part 2 are held </w:t>
      </w:r>
      <w:r w:rsidR="009A4920">
        <w:t>per</w:t>
      </w:r>
      <w:r>
        <w:t xml:space="preserve"> year, each diet having a capacity of 100 candidates. </w:t>
      </w:r>
      <w:r w:rsidR="00615C3E">
        <w:t>T</w:t>
      </w:r>
      <w:r w:rsidR="00F64CB9">
        <w:t xml:space="preserve">he number of candidates passing the examination varies from diet to diet. </w:t>
      </w:r>
      <w:r w:rsidR="004676A0">
        <w:t xml:space="preserve">Between 2012 and </w:t>
      </w:r>
      <w:r w:rsidR="00137300">
        <w:t>2015</w:t>
      </w:r>
      <w:r w:rsidR="009A4920">
        <w:t xml:space="preserve"> </w:t>
      </w:r>
      <w:r w:rsidR="00137300">
        <w:t xml:space="preserve">the </w:t>
      </w:r>
      <w:r w:rsidR="009A4920">
        <w:t>average pass rate for Part 1 was 57.25%</w:t>
      </w:r>
      <w:r w:rsidR="00F64CB9">
        <w:t xml:space="preserve"> of candidates</w:t>
      </w:r>
      <w:r w:rsidR="009A4920">
        <w:t xml:space="preserve">; over the same period the average pass rate for Part 2 was 30.5%. At the time of writing there are approximately 1300 dentists who have </w:t>
      </w:r>
      <w:r w:rsidR="004676A0">
        <w:t>joined</w:t>
      </w:r>
      <w:r w:rsidR="009A4920">
        <w:t xml:space="preserve"> the UK Dentists Register via the ORE route. </w:t>
      </w:r>
      <w:r w:rsidR="008C0D8E">
        <w:t>Th</w:t>
      </w:r>
      <w:r w:rsidR="00A930E0">
        <w:t xml:space="preserve">is paper describes </w:t>
      </w:r>
      <w:r w:rsidR="00E262AE">
        <w:t>some</w:t>
      </w:r>
      <w:r w:rsidR="00A930E0">
        <w:t xml:space="preserve"> key features of the </w:t>
      </w:r>
      <w:r w:rsidR="008C0D8E">
        <w:t>ORE</w:t>
      </w:r>
      <w:r w:rsidR="00137300">
        <w:t xml:space="preserve"> </w:t>
      </w:r>
      <w:r w:rsidR="008C0D8E">
        <w:t xml:space="preserve">in order to enhance understanding </w:t>
      </w:r>
      <w:r w:rsidR="00E262AE">
        <w:t>of this examination within the dental community</w:t>
      </w:r>
      <w:r w:rsidR="00AB195E">
        <w:t>.</w:t>
      </w:r>
    </w:p>
    <w:p w14:paraId="5F00F8EC" w14:textId="77777777" w:rsidR="00D21023" w:rsidRDefault="00D21023">
      <w:r>
        <w:t>The Dentists Act 1984</w:t>
      </w:r>
      <w:r w:rsidR="00A83D9E" w:rsidRPr="00A83D9E">
        <w:rPr>
          <w:vertAlign w:val="superscript"/>
        </w:rPr>
        <w:t>1</w:t>
      </w:r>
      <w:r>
        <w:t xml:space="preserve"> sets out the statutory basis for the Overseas Registration Examination. It states, in relation to holders of overseas diplomas (i.e. those holding primary dental qualifications from outside the EEA), that the </w:t>
      </w:r>
      <w:r w:rsidR="00B065D0">
        <w:t>General Dental Council (</w:t>
      </w:r>
      <w:r>
        <w:t>GDC</w:t>
      </w:r>
      <w:r w:rsidR="00B065D0">
        <w:t>)</w:t>
      </w:r>
      <w:r>
        <w:t xml:space="preserve"> </w:t>
      </w:r>
    </w:p>
    <w:p w14:paraId="435A6C32" w14:textId="77777777" w:rsidR="00D21023" w:rsidRPr="00D21023" w:rsidRDefault="00D21023">
      <w:pPr>
        <w:rPr>
          <w:i/>
        </w:rPr>
      </w:pPr>
      <w:r w:rsidRPr="00D21023">
        <w:rPr>
          <w:i/>
        </w:rPr>
        <w:t>shall for the purpose of satisfying themselves that a person has the requisite knowledge and skill as mentioned in section 15(4)(c) above, and in addition to such other requirements as they may impose on him, require him to sit for examinations held by a dental authority, or a group of dental authorities, under arrangements made by the Council.</w:t>
      </w:r>
    </w:p>
    <w:p w14:paraId="7EF59AAB" w14:textId="77777777" w:rsidR="00D21023" w:rsidRDefault="00D21023">
      <w:r>
        <w:t>There are some key phrases in the above clause</w:t>
      </w:r>
      <w:r w:rsidR="00B74AD9">
        <w:t xml:space="preserve"> that merit further exploration.</w:t>
      </w:r>
    </w:p>
    <w:p w14:paraId="2F3B9087" w14:textId="5ED2EAE5" w:rsidR="00B74AD9" w:rsidRDefault="00B74AD9">
      <w:r>
        <w:t xml:space="preserve">Firstly, for the purposes of the examination, </w:t>
      </w:r>
      <w:r w:rsidRPr="00B74AD9">
        <w:rPr>
          <w:i/>
        </w:rPr>
        <w:t>requisite knowledge and skill</w:t>
      </w:r>
      <w:r>
        <w:t>, is taken to mean that level</w:t>
      </w:r>
      <w:r w:rsidR="00081526">
        <w:t xml:space="preserve"> and range</w:t>
      </w:r>
      <w:r>
        <w:t xml:space="preserve"> of knowledge and skill (and, importantly, equivalent professional values and behaviour) that might be expected of a UK dental graduate at the point of first registration. The knowledge, skills and values/behaviours required of a UK graduate are set out in </w:t>
      </w:r>
      <w:r w:rsidRPr="00B74AD9">
        <w:rPr>
          <w:i/>
        </w:rPr>
        <w:t>Preparing for Practice, Dental team lea</w:t>
      </w:r>
      <w:r>
        <w:rPr>
          <w:i/>
        </w:rPr>
        <w:t>rning outcomes for registration</w:t>
      </w:r>
      <w:r w:rsidR="002E0818">
        <w:rPr>
          <w:i/>
        </w:rPr>
        <w:t xml:space="preserve"> (</w:t>
      </w:r>
      <w:proofErr w:type="spellStart"/>
      <w:r w:rsidR="002E0818">
        <w:rPr>
          <w:i/>
        </w:rPr>
        <w:t>PfP</w:t>
      </w:r>
      <w:proofErr w:type="spellEnd"/>
      <w:r w:rsidR="002E0818">
        <w:rPr>
          <w:i/>
        </w:rPr>
        <w:t>)</w:t>
      </w:r>
      <w:proofErr w:type="gramStart"/>
      <w:r w:rsidR="00897B76">
        <w:rPr>
          <w:i/>
        </w:rPr>
        <w:t>,</w:t>
      </w:r>
      <w:r w:rsidR="00F327A1">
        <w:rPr>
          <w:i/>
          <w:vertAlign w:val="superscript"/>
        </w:rPr>
        <w:t>2</w:t>
      </w:r>
      <w:proofErr w:type="gramEnd"/>
      <w:r>
        <w:rPr>
          <w:i/>
        </w:rPr>
        <w:t xml:space="preserve"> </w:t>
      </w:r>
      <w:r>
        <w:t xml:space="preserve">which recently replaced the previous guidance </w:t>
      </w:r>
      <w:r w:rsidRPr="00B74AD9">
        <w:rPr>
          <w:i/>
        </w:rPr>
        <w:t>The First Five Years</w:t>
      </w:r>
      <w:r w:rsidR="00897B76">
        <w:rPr>
          <w:i/>
        </w:rPr>
        <w:t>.</w:t>
      </w:r>
      <w:r w:rsidR="00F327A1">
        <w:rPr>
          <w:i/>
          <w:vertAlign w:val="superscript"/>
        </w:rPr>
        <w:t>3</w:t>
      </w:r>
      <w:r>
        <w:rPr>
          <w:i/>
        </w:rPr>
        <w:t xml:space="preserve"> </w:t>
      </w:r>
      <w:r>
        <w:t>These two documents provide the learning outcomes that are assessed in the ORE, as will be described later in this paper.</w:t>
      </w:r>
    </w:p>
    <w:p w14:paraId="1B244F01" w14:textId="77777777" w:rsidR="0015080B" w:rsidRDefault="00B065D0">
      <w:r>
        <w:t>Secondly, the examination must be provided</w:t>
      </w:r>
      <w:r w:rsidR="00F9414F">
        <w:t xml:space="preserve"> by</w:t>
      </w:r>
      <w:r>
        <w:t xml:space="preserve"> </w:t>
      </w:r>
      <w:r w:rsidRPr="00B065D0">
        <w:rPr>
          <w:i/>
        </w:rPr>
        <w:t>a dental authority, or a group of dental authorities</w:t>
      </w:r>
      <w:r>
        <w:t xml:space="preserve">. The GDC is not a dental authority and cannot conduct the examination itself. </w:t>
      </w:r>
      <w:r w:rsidR="009B4E59">
        <w:t>Parts 1 and</w:t>
      </w:r>
      <w:r w:rsidR="0015080B">
        <w:t xml:space="preserve"> 2 are therefore delivered by suppliers holding a contract with the GDC,</w:t>
      </w:r>
      <w:r w:rsidR="009B4E59">
        <w:t xml:space="preserve"> to an assessment strategy and specification designed and validated by the GDC</w:t>
      </w:r>
      <w:r>
        <w:t xml:space="preserve">. </w:t>
      </w:r>
    </w:p>
    <w:p w14:paraId="5AF7A989" w14:textId="77777777" w:rsidR="00B065D0" w:rsidRDefault="00B065D0">
      <w:r>
        <w:t xml:space="preserve">Thirdly, </w:t>
      </w:r>
      <w:r w:rsidRPr="00B065D0">
        <w:rPr>
          <w:i/>
        </w:rPr>
        <w:t>arrangements made by the Council</w:t>
      </w:r>
      <w:r>
        <w:rPr>
          <w:i/>
        </w:rPr>
        <w:t>,</w:t>
      </w:r>
      <w:r>
        <w:t xml:space="preserve"> refers to a range of responsibilities, such as:</w:t>
      </w:r>
    </w:p>
    <w:p w14:paraId="6A2FD43E" w14:textId="77777777" w:rsidR="00B065D0" w:rsidRDefault="00B065D0" w:rsidP="00B065D0">
      <w:pPr>
        <w:pStyle w:val="ListParagraph"/>
        <w:numPr>
          <w:ilvl w:val="0"/>
          <w:numId w:val="1"/>
        </w:numPr>
      </w:pPr>
      <w:r>
        <w:lastRenderedPageBreak/>
        <w:t>Specifying the standard and outline form of the examination</w:t>
      </w:r>
    </w:p>
    <w:p w14:paraId="47EE48CE" w14:textId="77777777" w:rsidR="00B065D0" w:rsidRDefault="00B065D0" w:rsidP="00B065D0">
      <w:pPr>
        <w:pStyle w:val="ListParagraph"/>
        <w:numPr>
          <w:ilvl w:val="0"/>
          <w:numId w:val="1"/>
        </w:numPr>
      </w:pPr>
      <w:r>
        <w:t>Contracting for suppliers</w:t>
      </w:r>
    </w:p>
    <w:p w14:paraId="1B6BF176" w14:textId="77777777" w:rsidR="00B065D0" w:rsidRDefault="00B065D0" w:rsidP="00B065D0">
      <w:pPr>
        <w:pStyle w:val="ListParagraph"/>
        <w:numPr>
          <w:ilvl w:val="0"/>
          <w:numId w:val="1"/>
        </w:numPr>
      </w:pPr>
      <w:r>
        <w:t>Enrolling candidates</w:t>
      </w:r>
    </w:p>
    <w:p w14:paraId="171B018E" w14:textId="77777777" w:rsidR="00B065D0" w:rsidRDefault="00B065D0" w:rsidP="00B065D0">
      <w:pPr>
        <w:pStyle w:val="ListParagraph"/>
        <w:numPr>
          <w:ilvl w:val="0"/>
          <w:numId w:val="1"/>
        </w:numPr>
      </w:pPr>
      <w:r>
        <w:t>Quality assurance</w:t>
      </w:r>
      <w:r w:rsidR="005D19A6">
        <w:t xml:space="preserve"> of all aspects of the examination</w:t>
      </w:r>
    </w:p>
    <w:p w14:paraId="02175538" w14:textId="6FA2D9FB" w:rsidR="00B224FA" w:rsidRDefault="005D19A6" w:rsidP="00B065D0">
      <w:r w:rsidRPr="005D19A6">
        <w:t>Fundamentally, the examination exists to protect the public, by ensuring that overseas dentists, whose training lies beyond the knowledge and influence of the GDC, meet certain minimum standards of compe</w:t>
      </w:r>
      <w:r>
        <w:t xml:space="preserve">tence. The standard </w:t>
      </w:r>
      <w:r w:rsidR="00E262AE">
        <w:t xml:space="preserve">for each of the papers and clinical assessments </w:t>
      </w:r>
      <w:r>
        <w:t xml:space="preserve">is </w:t>
      </w:r>
      <w:r w:rsidR="00E262AE">
        <w:t>set at the level expected of a recently graduated B</w:t>
      </w:r>
      <w:r w:rsidR="004676A0">
        <w:t xml:space="preserve">achelor of </w:t>
      </w:r>
      <w:r w:rsidR="00E262AE">
        <w:t>D</w:t>
      </w:r>
      <w:r w:rsidR="004676A0">
        <w:t xml:space="preserve">ental </w:t>
      </w:r>
      <w:r w:rsidR="00E262AE">
        <w:t>S</w:t>
      </w:r>
      <w:r w:rsidR="004676A0">
        <w:t>urgery (BDS/</w:t>
      </w:r>
      <w:proofErr w:type="spellStart"/>
      <w:r w:rsidR="004676A0">
        <w:t>BChD</w:t>
      </w:r>
      <w:proofErr w:type="spellEnd"/>
      <w:r w:rsidR="004676A0">
        <w:t>)</w:t>
      </w:r>
      <w:r w:rsidR="00E262AE">
        <w:t xml:space="preserve"> student. </w:t>
      </w:r>
      <w:r w:rsidRPr="005D19A6">
        <w:t xml:space="preserve">The </w:t>
      </w:r>
      <w:r w:rsidR="009B4E59">
        <w:t xml:space="preserve">examination </w:t>
      </w:r>
      <w:r w:rsidRPr="005D19A6">
        <w:t>is no</w:t>
      </w:r>
      <w:r w:rsidR="009B4E59">
        <w:t>t used to</w:t>
      </w:r>
      <w:r w:rsidRPr="005D19A6">
        <w:t xml:space="preserve"> </w:t>
      </w:r>
      <w:r w:rsidR="009B4E59">
        <w:t xml:space="preserve">limit, or control </w:t>
      </w:r>
      <w:r w:rsidRPr="005D19A6">
        <w:t>the numbers of overseas dentists entering the UK register. The examination is also, clearly, a “high-stakes” endeavour for candidates, who often inve</w:t>
      </w:r>
      <w:r>
        <w:t xml:space="preserve">st considerable time and </w:t>
      </w:r>
      <w:r w:rsidRPr="005D19A6">
        <w:t>resources in attempting it, and whose futures can often depend critically upon</w:t>
      </w:r>
      <w:r w:rsidR="004676A0">
        <w:t xml:space="preserve"> passing</w:t>
      </w:r>
      <w:r w:rsidRPr="005D19A6">
        <w:t>.</w:t>
      </w:r>
      <w:r>
        <w:t xml:space="preserve"> </w:t>
      </w:r>
      <w:r w:rsidRPr="005D19A6">
        <w:t xml:space="preserve">For these reasons </w:t>
      </w:r>
      <w:r w:rsidR="004263FE">
        <w:t xml:space="preserve">it is essential that all elements of the design and delivery of the ORE </w:t>
      </w:r>
      <w:r w:rsidR="00376AF1">
        <w:t xml:space="preserve">reflect </w:t>
      </w:r>
      <w:r w:rsidR="004263FE">
        <w:t xml:space="preserve">best practice </w:t>
      </w:r>
      <w:r w:rsidR="009B4E59">
        <w:t xml:space="preserve">and </w:t>
      </w:r>
      <w:r w:rsidR="00376AF1">
        <w:t>are sufficiently robust to make and defend these high stakes decisions about candidates’</w:t>
      </w:r>
      <w:r w:rsidR="009B4E59">
        <w:t xml:space="preserve"> fitness</w:t>
      </w:r>
      <w:r w:rsidR="004263FE">
        <w:t xml:space="preserve"> </w:t>
      </w:r>
      <w:r w:rsidR="009B4E59">
        <w:t>for registration in the UK</w:t>
      </w:r>
      <w:r>
        <w:t>.</w:t>
      </w:r>
      <w:r w:rsidRPr="005D19A6">
        <w:t xml:space="preserve"> </w:t>
      </w:r>
    </w:p>
    <w:p w14:paraId="542CF466" w14:textId="77777777" w:rsidR="0092520B" w:rsidRPr="0092520B" w:rsidRDefault="0092520B" w:rsidP="00B065D0">
      <w:pPr>
        <w:rPr>
          <w:b/>
        </w:rPr>
      </w:pPr>
      <w:r w:rsidRPr="0092520B">
        <w:rPr>
          <w:b/>
        </w:rPr>
        <w:t>Quality by design</w:t>
      </w:r>
    </w:p>
    <w:p w14:paraId="5BA8C998" w14:textId="44857840" w:rsidR="00376AF1" w:rsidRPr="00560D7C" w:rsidRDefault="0092520B" w:rsidP="00B065D0">
      <w:r>
        <w:t>Designing a high quality</w:t>
      </w:r>
      <w:r w:rsidR="00376AF1">
        <w:t>, robust</w:t>
      </w:r>
      <w:r>
        <w:t xml:space="preserve"> examination requires consideration of </w:t>
      </w:r>
      <w:r w:rsidR="004676A0">
        <w:t>several factors</w:t>
      </w:r>
      <w:r w:rsidR="00376AF1">
        <w:t>. The</w:t>
      </w:r>
      <w:r w:rsidR="00560D7C">
        <w:t xml:space="preserve">se </w:t>
      </w:r>
      <w:r w:rsidR="00560D7C" w:rsidRPr="00560D7C">
        <w:t>have been c</w:t>
      </w:r>
      <w:r w:rsidR="00560D7C">
        <w:t xml:space="preserve">aptured and summarised in </w:t>
      </w:r>
      <w:r w:rsidR="00560D7C" w:rsidRPr="00560D7C">
        <w:t>an</w:t>
      </w:r>
      <w:r w:rsidR="00376AF1" w:rsidRPr="00560D7C">
        <w:t xml:space="preserve"> assessment utility equation</w:t>
      </w:r>
      <w:r w:rsidR="00560D7C">
        <w:t xml:space="preserve"> that proffers that the usefulness of any assessment is a product of</w:t>
      </w:r>
      <w:r w:rsidR="00560D7C" w:rsidRPr="00560D7C">
        <w:t xml:space="preserve">: </w:t>
      </w:r>
    </w:p>
    <w:p w14:paraId="754AA335" w14:textId="77777777" w:rsidR="00376AF1" w:rsidRDefault="00376AF1" w:rsidP="001E3C43">
      <w:pPr>
        <w:autoSpaceDE w:val="0"/>
        <w:autoSpaceDN w:val="0"/>
        <w:adjustRightInd w:val="0"/>
        <w:spacing w:after="0" w:line="240" w:lineRule="auto"/>
        <w:rPr>
          <w:rFonts w:cs="NimbusRomNo9L-Regu"/>
          <w:vertAlign w:val="superscript"/>
        </w:rPr>
      </w:pPr>
      <w:r w:rsidRPr="00560D7C">
        <w:rPr>
          <w:rFonts w:cs="NimbusRomNo9L-Regu"/>
        </w:rPr>
        <w:t xml:space="preserve">Utility = </w:t>
      </w:r>
      <w:r w:rsidR="00560D7C" w:rsidRPr="00560D7C">
        <w:rPr>
          <w:rFonts w:cs="NimbusRomNo9L-Regu"/>
        </w:rPr>
        <w:t>r</w:t>
      </w:r>
      <w:r w:rsidRPr="00560D7C">
        <w:rPr>
          <w:rFonts w:cs="NimbusRomNo9L-Regu"/>
        </w:rPr>
        <w:t>eliability</w:t>
      </w:r>
      <w:r w:rsidR="00560D7C" w:rsidRPr="00560D7C">
        <w:rPr>
          <w:rFonts w:cs="NimbusRomNo9L-Regu"/>
        </w:rPr>
        <w:t xml:space="preserve"> x v</w:t>
      </w:r>
      <w:r w:rsidRPr="00560D7C">
        <w:rPr>
          <w:rFonts w:cs="NimbusRomNo9L-Regu"/>
        </w:rPr>
        <w:t>alidity</w:t>
      </w:r>
      <w:r w:rsidR="00560D7C" w:rsidRPr="00560D7C">
        <w:rPr>
          <w:rFonts w:cs="NimbusRomNo9L-Regu"/>
        </w:rPr>
        <w:t xml:space="preserve"> x e</w:t>
      </w:r>
      <w:r w:rsidRPr="00560D7C">
        <w:rPr>
          <w:rFonts w:cs="NimbusRomNo9L-Regu"/>
        </w:rPr>
        <w:t>ducational impact</w:t>
      </w:r>
      <w:r w:rsidR="00560D7C" w:rsidRPr="00560D7C">
        <w:rPr>
          <w:rFonts w:cs="NimbusRomNo9L-Regu"/>
        </w:rPr>
        <w:t xml:space="preserve"> x a</w:t>
      </w:r>
      <w:r w:rsidRPr="00560D7C">
        <w:rPr>
          <w:rFonts w:cs="NimbusRomNo9L-Regu"/>
        </w:rPr>
        <w:t>cceptability</w:t>
      </w:r>
      <w:r w:rsidR="00560D7C" w:rsidRPr="00560D7C">
        <w:rPr>
          <w:rFonts w:cs="NimbusRomNo9L-Regu"/>
        </w:rPr>
        <w:t xml:space="preserve"> x c</w:t>
      </w:r>
      <w:r w:rsidRPr="00560D7C">
        <w:rPr>
          <w:rFonts w:cs="NimbusRomNo9L-Regu"/>
        </w:rPr>
        <w:t>ost</w:t>
      </w:r>
      <w:r w:rsidR="00085739">
        <w:rPr>
          <w:rFonts w:cs="NimbusRomNo9L-Regu"/>
          <w:vertAlign w:val="superscript"/>
        </w:rPr>
        <w:t>4</w:t>
      </w:r>
      <w:r w:rsidR="00085739">
        <w:rPr>
          <w:rFonts w:cs="NimbusRomNo9L-Regu"/>
        </w:rPr>
        <w:t xml:space="preserve"> </w:t>
      </w:r>
      <w:r w:rsidR="00560D7C">
        <w:rPr>
          <w:rFonts w:cs="NimbusRomNo9L-Regu"/>
        </w:rPr>
        <w:t xml:space="preserve">x (the later addition of) </w:t>
      </w:r>
      <w:r w:rsidR="00B83FBC">
        <w:rPr>
          <w:rFonts w:cs="NimbusRomNo9L-Regu"/>
        </w:rPr>
        <w:t>feasibility</w:t>
      </w:r>
      <w:r w:rsidR="00B83FBC">
        <w:rPr>
          <w:rFonts w:cs="NimbusRomNo9L-Regu"/>
          <w:vertAlign w:val="superscript"/>
        </w:rPr>
        <w:t>5</w:t>
      </w:r>
    </w:p>
    <w:p w14:paraId="4B642409" w14:textId="77777777" w:rsidR="001E3C43" w:rsidRPr="00560D7C" w:rsidRDefault="001E3C43" w:rsidP="001E3C43">
      <w:pPr>
        <w:autoSpaceDE w:val="0"/>
        <w:autoSpaceDN w:val="0"/>
        <w:adjustRightInd w:val="0"/>
        <w:spacing w:after="0" w:line="240" w:lineRule="auto"/>
      </w:pPr>
    </w:p>
    <w:p w14:paraId="5BC749CE" w14:textId="77777777" w:rsidR="0092520B" w:rsidRDefault="004008C5" w:rsidP="00B065D0">
      <w:r>
        <w:t xml:space="preserve">It is beyond the scope of this paper to cover in detail </w:t>
      </w:r>
      <w:r w:rsidR="00455A2A">
        <w:t xml:space="preserve">how the ORE ensures appropriate coverage of all aspects of the utility equation. In terms of validity, however, it is essential </w:t>
      </w:r>
      <w:r>
        <w:t>that the examination elicit</w:t>
      </w:r>
      <w:r w:rsidR="00455A2A">
        <w:t>s</w:t>
      </w:r>
      <w:r>
        <w:t xml:space="preserve"> evidence from candidates that allows credible decisions to be made about their fitness for registration. In other words, the examination must be </w:t>
      </w:r>
      <w:r w:rsidRPr="004008C5">
        <w:rPr>
          <w:i/>
        </w:rPr>
        <w:t>fit for purpose.</w:t>
      </w:r>
      <w:r>
        <w:rPr>
          <w:i/>
        </w:rPr>
        <w:t xml:space="preserve"> </w:t>
      </w:r>
      <w:r>
        <w:t>The design of the ORE attempts to address this fundamental requirement by:</w:t>
      </w:r>
    </w:p>
    <w:p w14:paraId="07674A31" w14:textId="77777777" w:rsidR="004C3C3A" w:rsidRDefault="004C3C3A" w:rsidP="004008C5">
      <w:pPr>
        <w:pStyle w:val="ListParagraph"/>
        <w:numPr>
          <w:ilvl w:val="0"/>
          <w:numId w:val="2"/>
        </w:numPr>
      </w:pPr>
      <w:r>
        <w:t>Using assessment methods that are aligned with the outcomes being assessed (ensuring that the evidence arising from the assessment supports justifiable decisions about attainment of the outcomes)</w:t>
      </w:r>
    </w:p>
    <w:p w14:paraId="2095F1ED" w14:textId="77777777" w:rsidR="006056A4" w:rsidRDefault="006056A4" w:rsidP="006056A4">
      <w:pPr>
        <w:pStyle w:val="ListParagraph"/>
        <w:numPr>
          <w:ilvl w:val="0"/>
          <w:numId w:val="2"/>
        </w:numPr>
      </w:pPr>
      <w:r w:rsidRPr="006056A4">
        <w:t xml:space="preserve">Widely sampling the learning outcomes (ensuring </w:t>
      </w:r>
      <w:r w:rsidR="005D19A6">
        <w:t xml:space="preserve">broad </w:t>
      </w:r>
      <w:r w:rsidRPr="006056A4">
        <w:t>coverage of the curriculum)</w:t>
      </w:r>
    </w:p>
    <w:p w14:paraId="336EC673" w14:textId="77777777" w:rsidR="004C3C3A" w:rsidRDefault="004C3C3A" w:rsidP="004008C5">
      <w:pPr>
        <w:pStyle w:val="ListParagraph"/>
        <w:numPr>
          <w:ilvl w:val="0"/>
          <w:numId w:val="2"/>
        </w:numPr>
      </w:pPr>
      <w:r>
        <w:t xml:space="preserve">Setting the standard to be attained in order to pass the examination, using accepted methodology (ensuring only those demonstrating the requisite degree of knowledge and skill are successful) </w:t>
      </w:r>
    </w:p>
    <w:p w14:paraId="3BBFE9D7" w14:textId="77777777" w:rsidR="004C3C3A" w:rsidRDefault="004C3C3A" w:rsidP="004008C5">
      <w:pPr>
        <w:pStyle w:val="ListParagraph"/>
        <w:numPr>
          <w:ilvl w:val="0"/>
          <w:numId w:val="2"/>
        </w:numPr>
      </w:pPr>
      <w:r>
        <w:t>Standardising the examination for all candidates</w:t>
      </w:r>
      <w:r w:rsidR="005D19A6">
        <w:t xml:space="preserve"> at all sittings</w:t>
      </w:r>
      <w:r>
        <w:t xml:space="preserve"> (ensuring fairness)</w:t>
      </w:r>
    </w:p>
    <w:p w14:paraId="4C7AC28F" w14:textId="77777777" w:rsidR="0092520B" w:rsidRDefault="006056A4" w:rsidP="00B065D0">
      <w:r>
        <w:t xml:space="preserve">Quality assurance mechanisms </w:t>
      </w:r>
      <w:r w:rsidR="005D19A6">
        <w:t>are employed so</w:t>
      </w:r>
      <w:r>
        <w:t xml:space="preserve"> that the above objectives are achieved at each diet</w:t>
      </w:r>
      <w:r w:rsidR="005D19A6">
        <w:t xml:space="preserve">. </w:t>
      </w:r>
      <w:r>
        <w:t xml:space="preserve"> </w:t>
      </w:r>
      <w:r w:rsidR="005D19A6" w:rsidRPr="005D19A6">
        <w:t>The quality assurance process involves a continuous review of feedback on the performance of the examination, and its constituent parts, for the purpose of ensuring that the examination maintains appropriate standards over time.</w:t>
      </w:r>
    </w:p>
    <w:p w14:paraId="19762B26" w14:textId="77777777" w:rsidR="00D1642C" w:rsidRDefault="00D1642C" w:rsidP="00B065D0"/>
    <w:p w14:paraId="08305095" w14:textId="77777777" w:rsidR="003779A3" w:rsidRDefault="003779A3" w:rsidP="00B065D0"/>
    <w:p w14:paraId="1C86BF8B" w14:textId="77777777" w:rsidR="006056A4" w:rsidRDefault="006056A4" w:rsidP="006056A4">
      <w:pPr>
        <w:ind w:left="720"/>
        <w:rPr>
          <w:b/>
        </w:rPr>
      </w:pPr>
      <w:r>
        <w:rPr>
          <w:b/>
        </w:rPr>
        <w:lastRenderedPageBreak/>
        <w:t>Alignment of assessment methods</w:t>
      </w:r>
    </w:p>
    <w:p w14:paraId="786EF7EE" w14:textId="34959E66" w:rsidR="006056A4" w:rsidRDefault="008F064F" w:rsidP="006056A4">
      <w:pPr>
        <w:ind w:left="720"/>
      </w:pPr>
      <w:r>
        <w:t>Fig. 1 shows how Miller’s triangle</w:t>
      </w:r>
      <w:proofErr w:type="gramStart"/>
      <w:r w:rsidR="00897B76">
        <w:t>,</w:t>
      </w:r>
      <w:r w:rsidR="00B83FBC" w:rsidRPr="00B83FBC">
        <w:rPr>
          <w:vertAlign w:val="superscript"/>
        </w:rPr>
        <w:t>6</w:t>
      </w:r>
      <w:proofErr w:type="gramEnd"/>
      <w:r>
        <w:t xml:space="preserve"> frequently used to illustrate this concept</w:t>
      </w:r>
      <w:r w:rsidR="00897B76">
        <w:t>,</w:t>
      </w:r>
      <w:r w:rsidR="00B83FBC" w:rsidRPr="00B83FBC">
        <w:rPr>
          <w:vertAlign w:val="superscript"/>
        </w:rPr>
        <w:t>7</w:t>
      </w:r>
      <w:r>
        <w:t xml:space="preserve"> can be applied to the ORE. Learning outcomes that </w:t>
      </w:r>
      <w:r w:rsidR="00B224FA">
        <w:t xml:space="preserve">are cognitive in nature (knowledge and the application of knowledge) </w:t>
      </w:r>
      <w:r>
        <w:t xml:space="preserve">can be assessed using written </w:t>
      </w:r>
      <w:r w:rsidR="00F910DB">
        <w:t>tests</w:t>
      </w:r>
      <w:r>
        <w:t xml:space="preserve"> such as those employed in Part 1 of the ORE. </w:t>
      </w:r>
      <w:r w:rsidR="00791A2C">
        <w:t xml:space="preserve">Outcomes that relate to the performance of a skill must be assessed by methods that will allow observation of that performance. For example, it is not possible to infer from the answers to a series of multiple choice questions that a candidate can prepare a tooth for a metal-ceramic crown; those answers would only allow us to infer that the candidate </w:t>
      </w:r>
      <w:r w:rsidR="00791A2C" w:rsidRPr="00791A2C">
        <w:rPr>
          <w:i/>
        </w:rPr>
        <w:t>knew how</w:t>
      </w:r>
      <w:r w:rsidR="00791A2C">
        <w:t xml:space="preserve"> to do this. To be sure that the candidate could actually prepare the tooth they would need to be observed doing it</w:t>
      </w:r>
      <w:r w:rsidR="00996FB1">
        <w:t xml:space="preserve"> </w:t>
      </w:r>
      <w:r w:rsidR="003111C9">
        <w:t xml:space="preserve">(which is the essence of the </w:t>
      </w:r>
      <w:r w:rsidR="00996FB1">
        <w:t>Den</w:t>
      </w:r>
      <w:r w:rsidR="00EF3AEC">
        <w:t>tal Manikin component of Part 2</w:t>
      </w:r>
      <w:r w:rsidR="003111C9">
        <w:t>). O</w:t>
      </w:r>
      <w:r w:rsidR="00996FB1">
        <w:t>nly then c</w:t>
      </w:r>
      <w:r w:rsidR="00791A2C">
        <w:t xml:space="preserve">ould the inference </w:t>
      </w:r>
      <w:r w:rsidR="003111C9">
        <w:t xml:space="preserve">about clinical proficiency be made from the assessment and </w:t>
      </w:r>
      <w:r w:rsidR="00791A2C">
        <w:t xml:space="preserve">be considered </w:t>
      </w:r>
      <w:r w:rsidR="00791A2C" w:rsidRPr="00791A2C">
        <w:rPr>
          <w:i/>
        </w:rPr>
        <w:t>valid.</w:t>
      </w:r>
      <w:r w:rsidR="00791A2C">
        <w:rPr>
          <w:i/>
        </w:rPr>
        <w:t xml:space="preserve"> </w:t>
      </w:r>
      <w:r w:rsidR="00232993">
        <w:t xml:space="preserve">All of the assessment methods employed in Part 2 of the ORE require the </w:t>
      </w:r>
      <w:r w:rsidR="003111C9">
        <w:t xml:space="preserve">practise and </w:t>
      </w:r>
      <w:r w:rsidR="00232993">
        <w:t xml:space="preserve">observation of </w:t>
      </w:r>
      <w:r w:rsidR="003111C9">
        <w:t xml:space="preserve">a clinical </w:t>
      </w:r>
      <w:r w:rsidR="00232993">
        <w:t>performance by the candidate.</w:t>
      </w:r>
    </w:p>
    <w:p w14:paraId="542A6DC1" w14:textId="0FD47C74" w:rsidR="00232993" w:rsidRDefault="00232993" w:rsidP="006056A4">
      <w:pPr>
        <w:ind w:left="720"/>
      </w:pPr>
      <w:r>
        <w:t>The GDC provides guidance to the suppliers of the examination on how it considers learning outcomes to be aligned to the various components of the ORE, in the form of a generic blueprint</w:t>
      </w:r>
      <w:r w:rsidR="006F6787">
        <w:t>.</w:t>
      </w:r>
      <w:r>
        <w:t xml:space="preserve"> </w:t>
      </w:r>
      <w:r w:rsidR="006F6787" w:rsidRPr="00B224FA">
        <w:t xml:space="preserve">At the time of writing the ORE is in a period of transition with respect to the learning outcomes assessed, such that Part 1 is blueprinted against specified outcomes in </w:t>
      </w:r>
      <w:r w:rsidR="006F6787" w:rsidRPr="00223043">
        <w:rPr>
          <w:i/>
        </w:rPr>
        <w:t>Preparing for Practice</w:t>
      </w:r>
      <w:r w:rsidR="006F6787" w:rsidRPr="00B224FA">
        <w:t xml:space="preserve">, whereas Part 2 is blueprinted against the outcomes in </w:t>
      </w:r>
      <w:r w:rsidR="006F6787" w:rsidRPr="00223043">
        <w:rPr>
          <w:i/>
        </w:rPr>
        <w:t>The First Five Years</w:t>
      </w:r>
      <w:r w:rsidR="006F6787" w:rsidRPr="00B224FA">
        <w:t xml:space="preserve">. The new contract for the supply of Part 2, which will commence in 2017, will require assessment against </w:t>
      </w:r>
      <w:proofErr w:type="spellStart"/>
      <w:r w:rsidR="006F6787" w:rsidRPr="00B224FA">
        <w:t>PfP</w:t>
      </w:r>
      <w:proofErr w:type="spellEnd"/>
      <w:r w:rsidR="006F6787" w:rsidRPr="00B224FA">
        <w:t xml:space="preserve"> outcomes. Fig. 2 is an excerpt from a generic blueprint in which </w:t>
      </w:r>
      <w:proofErr w:type="spellStart"/>
      <w:r w:rsidR="006F6787" w:rsidRPr="00B224FA">
        <w:t>PfP</w:t>
      </w:r>
      <w:proofErr w:type="spellEnd"/>
      <w:r w:rsidR="006F6787" w:rsidRPr="00B224FA">
        <w:t xml:space="preserve"> outcomes have been mapped against the entire examination.</w:t>
      </w:r>
    </w:p>
    <w:p w14:paraId="7AC16E89" w14:textId="71A58EE7" w:rsidR="00996FB1" w:rsidRDefault="00232993" w:rsidP="006056A4">
      <w:pPr>
        <w:ind w:left="720"/>
      </w:pPr>
      <w:r>
        <w:t xml:space="preserve">Two further comments can be added on the alignment of assessment methods. </w:t>
      </w:r>
      <w:r w:rsidR="00F910DB">
        <w:t xml:space="preserve">The first is that no single assessment method is likely to be “perfect” in terms of possessing all the qualities of good assessment in equal abundance. The use of a number of different assessment methods in a “scheme” of assessment (or an examination with multiple components) </w:t>
      </w:r>
      <w:r w:rsidR="005D19A6">
        <w:t xml:space="preserve">is intended </w:t>
      </w:r>
      <w:r w:rsidR="00F910DB">
        <w:t>to balance strengths and weaknesses, producing overall trustworthy outcomes</w:t>
      </w:r>
      <w:r w:rsidR="00897B76">
        <w:t>.</w:t>
      </w:r>
      <w:r w:rsidR="00B83FBC" w:rsidRPr="00B83FBC">
        <w:rPr>
          <w:vertAlign w:val="superscript"/>
        </w:rPr>
        <w:t>8</w:t>
      </w:r>
      <w:r w:rsidR="005D19A6">
        <w:t xml:space="preserve"> </w:t>
      </w:r>
      <w:r w:rsidR="00F910DB">
        <w:t xml:space="preserve">The second is that </w:t>
      </w:r>
      <w:r w:rsidR="001F5028">
        <w:t xml:space="preserve">traditional </w:t>
      </w:r>
      <w:r w:rsidR="00F910DB">
        <w:t xml:space="preserve">examinations cannot </w:t>
      </w:r>
      <w:r w:rsidR="00540B4E">
        <w:t>capture evidence relating to</w:t>
      </w:r>
      <w:r w:rsidR="00F910DB">
        <w:t xml:space="preserve"> the “Does” domain of Miller’s triangle</w:t>
      </w:r>
      <w:r w:rsidR="00C566FE">
        <w:t>.</w:t>
      </w:r>
      <w:r w:rsidR="00F910DB">
        <w:t xml:space="preserve"> </w:t>
      </w:r>
      <w:r w:rsidR="00C566FE" w:rsidRPr="00C566FE">
        <w:t>In this respect the ORE is like many other entry</w:t>
      </w:r>
      <w:r w:rsidR="006D5BA2">
        <w:t xml:space="preserve"> level assessments of </w:t>
      </w:r>
      <w:r w:rsidR="00C566FE" w:rsidRPr="00C566FE">
        <w:t xml:space="preserve">professional practice, in that </w:t>
      </w:r>
      <w:r w:rsidR="00C566FE">
        <w:t>it reveals whether a candidate</w:t>
      </w:r>
      <w:r w:rsidR="00C566FE" w:rsidRPr="00C566FE">
        <w:t xml:space="preserve"> can perform </w:t>
      </w:r>
      <w:r w:rsidR="004F7EA0">
        <w:t xml:space="preserve">requisite skills to </w:t>
      </w:r>
      <w:r w:rsidR="00C566FE" w:rsidRPr="00C566FE">
        <w:t xml:space="preserve">an appropriate </w:t>
      </w:r>
      <w:r w:rsidR="004F7EA0">
        <w:t>standard</w:t>
      </w:r>
      <w:r w:rsidR="007A2088">
        <w:t xml:space="preserve"> in the context of an examination</w:t>
      </w:r>
      <w:r w:rsidR="00C566FE" w:rsidRPr="00C566FE">
        <w:t xml:space="preserve">, but cannot guarantee </w:t>
      </w:r>
      <w:r w:rsidR="004F7EA0">
        <w:t>replication of those skills and standard</w:t>
      </w:r>
      <w:r w:rsidR="00C566FE" w:rsidRPr="00C566FE">
        <w:t xml:space="preserve"> in the </w:t>
      </w:r>
      <w:r w:rsidR="007A2088">
        <w:t xml:space="preserve">workplace </w:t>
      </w:r>
      <w:r w:rsidR="00C566FE" w:rsidRPr="00C566FE">
        <w:t xml:space="preserve">once that individual becomes a registered practitioner. For that reason </w:t>
      </w:r>
      <w:r w:rsidR="00223043">
        <w:t>many</w:t>
      </w:r>
      <w:r w:rsidR="00C566FE" w:rsidRPr="00C566FE">
        <w:t xml:space="preserve"> pr</w:t>
      </w:r>
      <w:r w:rsidR="00D22AD4">
        <w:t xml:space="preserve">ofessions </w:t>
      </w:r>
      <w:r w:rsidR="00C566FE" w:rsidRPr="00C566FE">
        <w:t xml:space="preserve">now </w:t>
      </w:r>
      <w:r w:rsidR="00C566FE">
        <w:t>have a strong emphasis both on continuing professional development and on monitoring standards of professional p</w:t>
      </w:r>
      <w:r w:rsidR="00C566FE" w:rsidRPr="00C566FE">
        <w:t>ractice throughout the careers of registered practitioners.</w:t>
      </w:r>
    </w:p>
    <w:p w14:paraId="69BA6D69" w14:textId="77777777" w:rsidR="00996FB1" w:rsidRDefault="00996FB1" w:rsidP="006056A4">
      <w:pPr>
        <w:ind w:left="720"/>
        <w:rPr>
          <w:b/>
        </w:rPr>
      </w:pPr>
      <w:r>
        <w:rPr>
          <w:b/>
        </w:rPr>
        <w:t>Wide sampling of learning outc</w:t>
      </w:r>
      <w:r w:rsidR="00175DA7">
        <w:rPr>
          <w:b/>
        </w:rPr>
        <w:t>omes</w:t>
      </w:r>
    </w:p>
    <w:p w14:paraId="300447DC" w14:textId="77777777" w:rsidR="00996FB1" w:rsidRDefault="00C566FE" w:rsidP="006056A4">
      <w:pPr>
        <w:ind w:left="720"/>
      </w:pPr>
      <w:r w:rsidRPr="00C566FE">
        <w:t xml:space="preserve">The validity of the ORE depends fundamentally upon </w:t>
      </w:r>
      <w:r w:rsidR="00996FB1">
        <w:t>wide sampling of the learning outcomes that defi</w:t>
      </w:r>
      <w:r w:rsidR="00081526">
        <w:t>ne the scope of the examination.</w:t>
      </w:r>
      <w:r w:rsidR="00996FB1">
        <w:t xml:space="preserve"> </w:t>
      </w:r>
      <w:r w:rsidRPr="00C566FE">
        <w:t xml:space="preserve">The need for wide coverage of learning outcomes </w:t>
      </w:r>
      <w:r w:rsidR="00081526">
        <w:t>also</w:t>
      </w:r>
      <w:r w:rsidR="00996FB1">
        <w:t xml:space="preserve"> influences the choice of assessment instrument</w:t>
      </w:r>
      <w:r>
        <w:t>s</w:t>
      </w:r>
      <w:r w:rsidR="00081526">
        <w:t xml:space="preserve">; for instance, a multiple choice question paper can sample more learning outcomes than an essay paper of equal duration. </w:t>
      </w:r>
      <w:r w:rsidR="002C427E">
        <w:t xml:space="preserve">A significant number of good quality items </w:t>
      </w:r>
      <w:proofErr w:type="gramStart"/>
      <w:r w:rsidR="002C427E">
        <w:t>is</w:t>
      </w:r>
      <w:proofErr w:type="gramEnd"/>
      <w:r w:rsidR="002C427E">
        <w:t xml:space="preserve"> required to make reliable estimates of each candidates’ </w:t>
      </w:r>
      <w:r w:rsidR="004F7EA0">
        <w:t>depth and breadth of clinical knowledge</w:t>
      </w:r>
      <w:r w:rsidR="002C427E">
        <w:t xml:space="preserve">. </w:t>
      </w:r>
    </w:p>
    <w:p w14:paraId="2F45A049" w14:textId="77777777" w:rsidR="00D22AD4" w:rsidRDefault="002C427E" w:rsidP="006056A4">
      <w:pPr>
        <w:ind w:left="720"/>
      </w:pPr>
      <w:r>
        <w:lastRenderedPageBreak/>
        <w:t xml:space="preserve">The </w:t>
      </w:r>
      <w:r w:rsidR="00EF3AEC">
        <w:t>sampling</w:t>
      </w:r>
      <w:r w:rsidR="00C566FE">
        <w:t xml:space="preserve"> of learning outcomes</w:t>
      </w:r>
      <w:r w:rsidR="00830602">
        <w:t xml:space="preserve"> in the ORE</w:t>
      </w:r>
      <w:r w:rsidR="00EF3AEC">
        <w:t xml:space="preserve"> is </w:t>
      </w:r>
      <w:r>
        <w:t xml:space="preserve">determined by, and </w:t>
      </w:r>
      <w:r w:rsidR="00C566FE">
        <w:t>checked</w:t>
      </w:r>
      <w:r w:rsidR="00EF3AEC">
        <w:t xml:space="preserve"> </w:t>
      </w:r>
      <w:r>
        <w:t xml:space="preserve">against, </w:t>
      </w:r>
      <w:r w:rsidR="00EF3AEC">
        <w:t xml:space="preserve">a </w:t>
      </w:r>
      <w:r w:rsidR="005B5DCB">
        <w:t>“</w:t>
      </w:r>
      <w:r w:rsidR="00EF3AEC">
        <w:t>blueprint</w:t>
      </w:r>
      <w:r w:rsidR="005B5DCB">
        <w:t>”</w:t>
      </w:r>
      <w:r w:rsidR="00EF3AEC">
        <w:t xml:space="preserve"> </w:t>
      </w:r>
      <w:r>
        <w:t xml:space="preserve">for </w:t>
      </w:r>
      <w:r w:rsidR="00EF3AEC">
        <w:t xml:space="preserve">each </w:t>
      </w:r>
      <w:r>
        <w:t xml:space="preserve">diet of the </w:t>
      </w:r>
      <w:r w:rsidR="00EF3AEC">
        <w:t xml:space="preserve">examination. The diet-specific blueprint maps learning outcomes against specific </w:t>
      </w:r>
      <w:r>
        <w:t>items</w:t>
      </w:r>
      <w:r w:rsidR="00EF3AEC">
        <w:t xml:space="preserve">, stations, scenarios, exercises, etc., used in that diet. As well as demonstrating </w:t>
      </w:r>
      <w:r w:rsidR="00C566FE">
        <w:t xml:space="preserve">the extent of </w:t>
      </w:r>
      <w:r w:rsidR="00EF3AEC">
        <w:t xml:space="preserve">sampling, the use of a blueprint of this type </w:t>
      </w:r>
      <w:r>
        <w:t xml:space="preserve">ensures that all items and tasks are clearly aligned to the curriculum. </w:t>
      </w:r>
    </w:p>
    <w:p w14:paraId="1D22D070" w14:textId="77777777" w:rsidR="00175DA7" w:rsidRDefault="00175DA7" w:rsidP="006056A4">
      <w:pPr>
        <w:ind w:left="720"/>
        <w:rPr>
          <w:b/>
        </w:rPr>
      </w:pPr>
      <w:r>
        <w:rPr>
          <w:b/>
        </w:rPr>
        <w:t>Standard setting</w:t>
      </w:r>
    </w:p>
    <w:p w14:paraId="5BA309D7" w14:textId="77777777" w:rsidR="00175DA7" w:rsidRDefault="006C237C" w:rsidP="006056A4">
      <w:pPr>
        <w:ind w:left="720"/>
      </w:pPr>
      <w:r>
        <w:t xml:space="preserve">Given the different </w:t>
      </w:r>
      <w:r w:rsidR="00AE7D72">
        <w:t xml:space="preserve">purposes and designs </w:t>
      </w:r>
      <w:r>
        <w:t xml:space="preserve">of Parts 1 and 2, each uses a different approach to setting standards. </w:t>
      </w:r>
      <w:r w:rsidR="00AE7D72">
        <w:t xml:space="preserve">Both </w:t>
      </w:r>
      <w:r w:rsidR="00175DA7">
        <w:t>Part 1</w:t>
      </w:r>
      <w:r>
        <w:t xml:space="preserve"> papers use</w:t>
      </w:r>
      <w:r w:rsidR="00175DA7">
        <w:t xml:space="preserve"> a modification of the Ebel</w:t>
      </w:r>
      <w:r w:rsidR="00B83FBC">
        <w:rPr>
          <w:vertAlign w:val="superscript"/>
        </w:rPr>
        <w:t>9</w:t>
      </w:r>
      <w:r w:rsidR="00175DA7">
        <w:t xml:space="preserve"> method, </w:t>
      </w:r>
      <w:r w:rsidR="00AE7D72">
        <w:t xml:space="preserve">while the </w:t>
      </w:r>
      <w:r w:rsidR="00175DA7">
        <w:t>Part 2</w:t>
      </w:r>
      <w:r>
        <w:t xml:space="preserve"> </w:t>
      </w:r>
      <w:r w:rsidR="005B5DCB">
        <w:t>components</w:t>
      </w:r>
      <w:r>
        <w:t xml:space="preserve"> use</w:t>
      </w:r>
      <w:r w:rsidR="00175DA7">
        <w:t xml:space="preserve"> modifications of the Angoff</w:t>
      </w:r>
      <w:r w:rsidR="00B83FBC">
        <w:rPr>
          <w:vertAlign w:val="superscript"/>
        </w:rPr>
        <w:t>9</w:t>
      </w:r>
      <w:r w:rsidR="00175DA7">
        <w:t xml:space="preserve"> </w:t>
      </w:r>
      <w:r w:rsidR="00087A3A">
        <w:t xml:space="preserve">method. Both </w:t>
      </w:r>
      <w:r>
        <w:t xml:space="preserve">approaches are </w:t>
      </w:r>
      <w:r w:rsidR="00AE7D72">
        <w:t xml:space="preserve">based on the professional judgements of the standard setting panels, and are </w:t>
      </w:r>
      <w:r>
        <w:t>used to set ‘criterion’ (</w:t>
      </w:r>
      <w:r w:rsidR="00087A3A">
        <w:t>absolute</w:t>
      </w:r>
      <w:r>
        <w:t>) standards</w:t>
      </w:r>
      <w:r w:rsidR="00087A3A">
        <w:t xml:space="preserve">, rather than norm-referenced </w:t>
      </w:r>
      <w:r>
        <w:t xml:space="preserve">(cohort) </w:t>
      </w:r>
      <w:r w:rsidR="00087A3A">
        <w:t>standard</w:t>
      </w:r>
      <w:r>
        <w:t>s</w:t>
      </w:r>
      <w:r w:rsidR="00087A3A">
        <w:t xml:space="preserve">. </w:t>
      </w:r>
      <w:r>
        <w:t>As such, a candidate will pass each examination component based on whether they have met the minimum standard required, i</w:t>
      </w:r>
      <w:r w:rsidR="00AE7D72">
        <w:t xml:space="preserve">rrespective of the performance of their peers on the same assessment. </w:t>
      </w:r>
      <w:r w:rsidR="00087A3A">
        <w:t>There are important</w:t>
      </w:r>
      <w:r w:rsidR="00560118">
        <w:t xml:space="preserve"> consequences to</w:t>
      </w:r>
      <w:r w:rsidR="00087A3A">
        <w:t xml:space="preserve"> this approach:</w:t>
      </w:r>
    </w:p>
    <w:p w14:paraId="18BD5CF1" w14:textId="77777777" w:rsidR="00087A3A" w:rsidRDefault="00087A3A" w:rsidP="00087A3A">
      <w:pPr>
        <w:pStyle w:val="ListParagraph"/>
        <w:numPr>
          <w:ilvl w:val="0"/>
          <w:numId w:val="3"/>
        </w:numPr>
      </w:pPr>
      <w:r>
        <w:t xml:space="preserve">The pass mark for </w:t>
      </w:r>
      <w:r w:rsidR="00873EDC">
        <w:t xml:space="preserve">each </w:t>
      </w:r>
      <w:r>
        <w:t xml:space="preserve">examination </w:t>
      </w:r>
      <w:r w:rsidR="00873EDC">
        <w:t xml:space="preserve">is variable as it reflects </w:t>
      </w:r>
      <w:r>
        <w:t>the difficulty of the items</w:t>
      </w:r>
      <w:r w:rsidR="00873EDC">
        <w:t>, stations or tasks with which candidates are presented</w:t>
      </w:r>
    </w:p>
    <w:p w14:paraId="33A3493E" w14:textId="77777777" w:rsidR="00087A3A" w:rsidRDefault="00087A3A" w:rsidP="00087A3A">
      <w:pPr>
        <w:pStyle w:val="ListParagraph"/>
        <w:numPr>
          <w:ilvl w:val="0"/>
          <w:numId w:val="3"/>
        </w:numPr>
      </w:pPr>
      <w:r>
        <w:t>The number of candidates passing or failing the examination will be entirely dependent on the number achieving the pass mark. In theory an entire cohort of candidates could thus either pass or fail.</w:t>
      </w:r>
    </w:p>
    <w:p w14:paraId="1A3D9223" w14:textId="77777777" w:rsidR="0002061C" w:rsidRPr="00667E09" w:rsidRDefault="0002061C" w:rsidP="00560118">
      <w:pPr>
        <w:ind w:left="720"/>
      </w:pPr>
      <w:r w:rsidRPr="00667E09">
        <w:t xml:space="preserve">The </w:t>
      </w:r>
      <w:r w:rsidR="00667E09">
        <w:t>ORE employs</w:t>
      </w:r>
      <w:r w:rsidRPr="00667E09">
        <w:t xml:space="preserve"> two additional methods </w:t>
      </w:r>
      <w:r w:rsidR="006E1BE6" w:rsidRPr="00667E09">
        <w:t xml:space="preserve">as a check on </w:t>
      </w:r>
      <w:r w:rsidRPr="00667E09">
        <w:t xml:space="preserve">the appropriateness of the standards and the reliability of the outcomes:  </w:t>
      </w:r>
    </w:p>
    <w:p w14:paraId="471C0E8C" w14:textId="3A8D1A83" w:rsidR="00667E09" w:rsidRDefault="00171C3F" w:rsidP="00667E09">
      <w:pPr>
        <w:pStyle w:val="ListParagraph"/>
        <w:numPr>
          <w:ilvl w:val="0"/>
          <w:numId w:val="9"/>
        </w:numPr>
        <w:ind w:left="1080"/>
      </w:pPr>
      <w:r w:rsidRPr="00667E09">
        <w:t>Given the high stakes nature of the ORE, and the potential consequences for patients of false-positive outcomes (</w:t>
      </w:r>
      <w:r w:rsidR="004164BF" w:rsidRPr="00667E09">
        <w:t xml:space="preserve">unintentionally </w:t>
      </w:r>
      <w:r w:rsidRPr="00667E09">
        <w:t>passing candidates who are not fit for practise in the UK), the standard error of measurement (SEM)</w:t>
      </w:r>
      <w:r w:rsidR="00667E09">
        <w:t xml:space="preserve"> is added to cut scores derived from standard setting</w:t>
      </w:r>
      <w:r w:rsidRPr="00667E09">
        <w:t xml:space="preserve">. </w:t>
      </w:r>
      <w:r w:rsidR="004164BF" w:rsidRPr="00667E09">
        <w:t xml:space="preserve">The SEM is a numerical measure of how much measurement ‘noise’ exists within the range of scores produced by any one examination and, therefore, the reliability of each candidate’s pass or fail outcome. On any assessment the outcomes closest to the cut-score are likely to be the most problematic and potentially unreliable. To control for false-positive and false-negative outcomes around the cut-score, </w:t>
      </w:r>
      <w:r w:rsidR="0002061C" w:rsidRPr="00667E09">
        <w:t xml:space="preserve">and to ensure the defensibility of the standard, </w:t>
      </w:r>
      <w:r w:rsidR="004164BF" w:rsidRPr="00667E09">
        <w:t>the SEM is applied to create a range (like a confidence interval) within which the pass and fail outcomes are considered ‘borderline’</w:t>
      </w:r>
      <w:r w:rsidR="00897B76">
        <w:t>.</w:t>
      </w:r>
      <w:r w:rsidR="00B83FBC">
        <w:rPr>
          <w:vertAlign w:val="superscript"/>
        </w:rPr>
        <w:t>10</w:t>
      </w:r>
      <w:r w:rsidR="007B20D6" w:rsidRPr="00667E09">
        <w:rPr>
          <w:i/>
        </w:rPr>
        <w:t xml:space="preserve"> </w:t>
      </w:r>
      <w:r w:rsidR="0002061C" w:rsidRPr="00667E09">
        <w:t>C</w:t>
      </w:r>
      <w:r w:rsidR="00352C18" w:rsidRPr="00667E09">
        <w:t>andidates with scores in the borderline range in Part 1 are considered to have failed. In Part 2</w:t>
      </w:r>
      <w:r w:rsidR="0002061C" w:rsidRPr="00667E09">
        <w:t>,</w:t>
      </w:r>
      <w:r w:rsidR="00352C18" w:rsidRPr="00667E09">
        <w:t xml:space="preserve"> a candidate with a single borderline score in</w:t>
      </w:r>
      <w:r w:rsidR="006F6787" w:rsidRPr="00667E09">
        <w:t xml:space="preserve"> one of the four components can</w:t>
      </w:r>
      <w:r w:rsidR="00352C18" w:rsidRPr="00667E09">
        <w:t xml:space="preserve"> pass the examination provided they have clearly passed the other three components.</w:t>
      </w:r>
      <w:r w:rsidR="006F6787" w:rsidRPr="00667E09">
        <w:t xml:space="preserve"> </w:t>
      </w:r>
      <w:r w:rsidR="007D0B11" w:rsidRPr="00667E09">
        <w:t>The value of the SEM in supporting decision making for borderline students has been reported</w:t>
      </w:r>
      <w:r w:rsidR="00897B76">
        <w:t>.</w:t>
      </w:r>
      <w:r w:rsidR="00B83FBC">
        <w:rPr>
          <w:vertAlign w:val="superscript"/>
        </w:rPr>
        <w:t>11</w:t>
      </w:r>
    </w:p>
    <w:p w14:paraId="1A66F5CA" w14:textId="77777777" w:rsidR="00667E09" w:rsidRDefault="00667E09" w:rsidP="00667E09">
      <w:pPr>
        <w:pStyle w:val="ListParagraph"/>
        <w:ind w:left="360"/>
      </w:pPr>
    </w:p>
    <w:p w14:paraId="7AF0138E" w14:textId="77777777" w:rsidR="00352C18" w:rsidRDefault="0002061C" w:rsidP="00667E09">
      <w:pPr>
        <w:pStyle w:val="ListParagraph"/>
        <w:numPr>
          <w:ilvl w:val="0"/>
          <w:numId w:val="9"/>
        </w:numPr>
        <w:ind w:left="1080"/>
      </w:pPr>
      <w:r>
        <w:t>Post-assessment</w:t>
      </w:r>
      <w:r w:rsidR="00667E09">
        <w:t>,</w:t>
      </w:r>
      <w:r>
        <w:t xml:space="preserve"> the </w:t>
      </w:r>
      <w:r w:rsidR="005C0CEF">
        <w:t>B</w:t>
      </w:r>
      <w:r w:rsidR="008E1DDB">
        <w:t>orderline R</w:t>
      </w:r>
      <w:r w:rsidR="00352C18">
        <w:t>egression</w:t>
      </w:r>
      <w:r>
        <w:t xml:space="preserve"> method</w:t>
      </w:r>
      <w:r w:rsidR="00B83FBC">
        <w:rPr>
          <w:vertAlign w:val="superscript"/>
        </w:rPr>
        <w:t>12, 13</w:t>
      </w:r>
      <w:r w:rsidR="005C0CEF">
        <w:t xml:space="preserve"> </w:t>
      </w:r>
      <w:r w:rsidR="00352C18">
        <w:t xml:space="preserve">is used </w:t>
      </w:r>
      <w:r>
        <w:t xml:space="preserve">as a </w:t>
      </w:r>
      <w:r w:rsidR="00352C18">
        <w:t xml:space="preserve">check </w:t>
      </w:r>
      <w:r>
        <w:t xml:space="preserve">on the reliability of the Part 2 </w:t>
      </w:r>
      <w:r w:rsidR="001F5028">
        <w:t>cut scores</w:t>
      </w:r>
      <w:r>
        <w:t xml:space="preserve"> </w:t>
      </w:r>
      <w:r w:rsidR="00352C18">
        <w:t xml:space="preserve">established </w:t>
      </w:r>
      <w:r>
        <w:t xml:space="preserve">using </w:t>
      </w:r>
      <w:r w:rsidR="00352C18">
        <w:t xml:space="preserve">the modified </w:t>
      </w:r>
      <w:proofErr w:type="spellStart"/>
      <w:r w:rsidR="00352C18">
        <w:t>Angoff</w:t>
      </w:r>
      <w:proofErr w:type="spellEnd"/>
      <w:r w:rsidR="00352C18">
        <w:t xml:space="preserve"> method.</w:t>
      </w:r>
      <w:r>
        <w:t xml:space="preserve"> The Board of Examiners for Part 2 reviews the cut-scores </w:t>
      </w:r>
      <w:r w:rsidR="006E1BE6">
        <w:t xml:space="preserve">and resolves through discussion and negotiation any </w:t>
      </w:r>
      <w:r>
        <w:t>d</w:t>
      </w:r>
      <w:r w:rsidR="005C0CEF">
        <w:t xml:space="preserve">iscrepancies </w:t>
      </w:r>
      <w:r>
        <w:t xml:space="preserve">between the </w:t>
      </w:r>
      <w:r w:rsidR="006E1BE6">
        <w:t xml:space="preserve">outcomes of the two methods. </w:t>
      </w:r>
    </w:p>
    <w:p w14:paraId="672B323C" w14:textId="77777777" w:rsidR="005C0CEF" w:rsidRDefault="005C0CEF" w:rsidP="00560118">
      <w:pPr>
        <w:ind w:left="720"/>
        <w:rPr>
          <w:b/>
        </w:rPr>
      </w:pPr>
      <w:r>
        <w:rPr>
          <w:b/>
        </w:rPr>
        <w:lastRenderedPageBreak/>
        <w:t>Standardisation</w:t>
      </w:r>
    </w:p>
    <w:p w14:paraId="7F33072D" w14:textId="553D1304" w:rsidR="00F44F73" w:rsidRDefault="00A04C59" w:rsidP="00560118">
      <w:pPr>
        <w:ind w:left="720"/>
      </w:pPr>
      <w:r>
        <w:t>Each candidate at a particular diet of the ORE should have, as far as possible, an assessment that is fully equivalent to the assessments in all other diets of this examination. Achieving this type of equivalence (or comparability) is more straightforward in objective written tests</w:t>
      </w:r>
      <w:r w:rsidR="00171AB7">
        <w:t>,</w:t>
      </w:r>
      <w:r>
        <w:t xml:space="preserve"> but where clinical tasks are involved there are three principal challenges to overcome. The first challenge is to select practical tasks that provide candidates with an equivalent test across diets. For this reason a great deal of care goes into the creation of tasks that sample relevant skills, are not so similar from one diet to the next that candidates can be coached inappropriately to pass them, and which can be assessed accurately by teams of </w:t>
      </w:r>
      <w:r w:rsidR="006E1BE6">
        <w:t xml:space="preserve">trained </w:t>
      </w:r>
      <w:r>
        <w:t xml:space="preserve">examiners. Many such tasks would, in a clinical setting, involve interactions with patients and the second challenge is how to standardise </w:t>
      </w:r>
      <w:r w:rsidR="00041A32">
        <w:t xml:space="preserve">such </w:t>
      </w:r>
      <w:r>
        <w:t>patients so that candidates face similar tests of performance. Th</w:t>
      </w:r>
      <w:r w:rsidR="006E1BE6">
        <w:t xml:space="preserve">e pursuit of fairness through standardisation of the assessment experience </w:t>
      </w:r>
      <w:r>
        <w:t xml:space="preserve">is </w:t>
      </w:r>
      <w:r w:rsidR="006E1BE6">
        <w:t xml:space="preserve">a key </w:t>
      </w:r>
      <w:r>
        <w:t>reason why the ORE, unlike previous incarnations of the statutory examination, does not involve interaction with actual patients. Instead considerable effort is expended in the creation of realistic scenarios that make use of trained role players as standardised patients</w:t>
      </w:r>
      <w:r w:rsidR="00897B76">
        <w:t>.</w:t>
      </w:r>
      <w:r w:rsidR="006F4E64">
        <w:rPr>
          <w:vertAlign w:val="superscript"/>
        </w:rPr>
        <w:t>14</w:t>
      </w:r>
      <w:r>
        <w:t xml:space="preserve"> </w:t>
      </w:r>
      <w:proofErr w:type="gramStart"/>
      <w:r w:rsidR="00155715">
        <w:t>The</w:t>
      </w:r>
      <w:proofErr w:type="gramEnd"/>
      <w:r w:rsidR="00155715">
        <w:t xml:space="preserve"> </w:t>
      </w:r>
      <w:r>
        <w:t xml:space="preserve">third challenge for the </w:t>
      </w:r>
      <w:r w:rsidR="00155715">
        <w:t xml:space="preserve">standardisation </w:t>
      </w:r>
      <w:r>
        <w:t>of</w:t>
      </w:r>
      <w:r w:rsidR="00155715">
        <w:t xml:space="preserve"> clinical examinations </w:t>
      </w:r>
      <w:r>
        <w:t>relates to the role of</w:t>
      </w:r>
      <w:r w:rsidR="00155715">
        <w:t xml:space="preserve"> examiners. Examiners</w:t>
      </w:r>
      <w:r w:rsidR="006E1BE6">
        <w:t>’</w:t>
      </w:r>
      <w:r w:rsidR="00155715">
        <w:t xml:space="preserve"> judgements in the face of identical candidate performance can and do vary. </w:t>
      </w:r>
      <w:r w:rsidR="00FD4EB0">
        <w:t>Great importance is attached to the</w:t>
      </w:r>
      <w:r w:rsidR="00F44F73">
        <w:t xml:space="preserve"> select</w:t>
      </w:r>
      <w:r w:rsidR="00FD4EB0">
        <w:t>ion of</w:t>
      </w:r>
      <w:r w:rsidR="00F44F73">
        <w:t xml:space="preserve"> examiners who are familiar with the standard of first registrants and then to </w:t>
      </w:r>
      <w:r w:rsidR="00FD4EB0">
        <w:t xml:space="preserve">their thorough </w:t>
      </w:r>
      <w:r w:rsidR="00F44F73">
        <w:t>train</w:t>
      </w:r>
      <w:r w:rsidR="00FD4EB0">
        <w:t>ing and calibration</w:t>
      </w:r>
      <w:r w:rsidR="00F44F73">
        <w:t xml:space="preserve"> so as to limit this variance as far as possible.</w:t>
      </w:r>
    </w:p>
    <w:p w14:paraId="3D0495F0" w14:textId="4E8ED4BC" w:rsidR="00413D47" w:rsidRDefault="00413D47" w:rsidP="00560118">
      <w:pPr>
        <w:ind w:left="720"/>
      </w:pPr>
      <w:r>
        <w:rPr>
          <w:color w:val="000000"/>
        </w:rPr>
        <w:t>Part 2 examination components run over two days and the GDC and ORE providers are aware of instances of day 1 candidates sharing information with day 2 candidates. To mitigate the potential risks of candidates gaining insight to examination content and being unfairly advantaged by any collusion, there is a purposeful strategy of varying assessment scenarios across the two days.</w:t>
      </w:r>
    </w:p>
    <w:p w14:paraId="250DC8C4" w14:textId="77777777" w:rsidR="00FD4EB0" w:rsidRDefault="00FD4EB0" w:rsidP="00FD4EB0">
      <w:pPr>
        <w:rPr>
          <w:b/>
        </w:rPr>
      </w:pPr>
      <w:r>
        <w:rPr>
          <w:b/>
        </w:rPr>
        <w:t>Quality Assurance</w:t>
      </w:r>
    </w:p>
    <w:p w14:paraId="1CDBCACA" w14:textId="77777777" w:rsidR="00FD4EB0" w:rsidRDefault="00152F62" w:rsidP="00FD4EB0">
      <w:r>
        <w:t>Both the GDC and the examination suppliers have quality assurance mechanisms in place; only those that are the responsibility of the GDC will be described in this paper.</w:t>
      </w:r>
      <w:r w:rsidR="00E41EE2">
        <w:t xml:space="preserve"> </w:t>
      </w:r>
    </w:p>
    <w:p w14:paraId="36FF7B14" w14:textId="77777777" w:rsidR="00152F62" w:rsidRDefault="00152F62" w:rsidP="00FD4EB0">
      <w:r>
        <w:t>The ORE Advisory Group</w:t>
      </w:r>
      <w:r w:rsidR="00436CC2">
        <w:t xml:space="preserve"> (OREAG)</w:t>
      </w:r>
      <w:r>
        <w:t xml:space="preserve"> is chaired by a senior dental academic</w:t>
      </w:r>
      <w:r w:rsidR="00B96BC8">
        <w:t xml:space="preserve"> who is supported by </w:t>
      </w:r>
      <w:r>
        <w:t xml:space="preserve">two Chief External Examiners, </w:t>
      </w:r>
      <w:r w:rsidR="00B96BC8">
        <w:t xml:space="preserve">who are </w:t>
      </w:r>
      <w:r>
        <w:t xml:space="preserve">also senior dental academics, </w:t>
      </w:r>
      <w:r w:rsidR="000708F9">
        <w:t>and two educational assessment specialists</w:t>
      </w:r>
      <w:r w:rsidR="001E3C43">
        <w:t xml:space="preserve"> from non-dental</w:t>
      </w:r>
      <w:r w:rsidR="00B96BC8">
        <w:t xml:space="preserve"> disciplines</w:t>
      </w:r>
      <w:r w:rsidR="00436CC2">
        <w:t xml:space="preserve">. </w:t>
      </w:r>
      <w:r w:rsidR="00B96BC8">
        <w:t xml:space="preserve">Other expertise is recruited on an </w:t>
      </w:r>
      <w:r w:rsidR="00B96BC8" w:rsidRPr="001E3C43">
        <w:rPr>
          <w:i/>
        </w:rPr>
        <w:t>ad hoc</w:t>
      </w:r>
      <w:r w:rsidR="00B96BC8">
        <w:t xml:space="preserve"> basis according to need. </w:t>
      </w:r>
      <w:r w:rsidR="00436CC2">
        <w:t>The Advisory Group is supported by GDC Examinations Team staff and reports to the GDC Executive. The OREAG is responsible for:</w:t>
      </w:r>
    </w:p>
    <w:p w14:paraId="4C8D1706" w14:textId="77777777" w:rsidR="000525D3" w:rsidRDefault="00436CC2" w:rsidP="000525D3">
      <w:pPr>
        <w:numPr>
          <w:ilvl w:val="0"/>
          <w:numId w:val="4"/>
        </w:numPr>
        <w:tabs>
          <w:tab w:val="clear" w:pos="284"/>
          <w:tab w:val="num" w:pos="1420"/>
        </w:tabs>
        <w:overflowPunct w:val="0"/>
        <w:autoSpaceDE w:val="0"/>
        <w:autoSpaceDN w:val="0"/>
        <w:adjustRightInd w:val="0"/>
        <w:spacing w:line="240" w:lineRule="auto"/>
        <w:ind w:left="567"/>
        <w:jc w:val="both"/>
        <w:textAlignment w:val="baseline"/>
        <w:outlineLvl w:val="8"/>
        <w:rPr>
          <w:rFonts w:ascii="Calibri" w:eastAsia="Times New Roman" w:hAnsi="Calibri" w:cs="Times New Roman"/>
          <w:bCs/>
        </w:rPr>
      </w:pPr>
      <w:r w:rsidRPr="000525D3">
        <w:rPr>
          <w:rFonts w:ascii="Calibri" w:eastAsia="Times New Roman" w:hAnsi="Calibri" w:cs="Times New Roman"/>
          <w:bCs/>
        </w:rPr>
        <w:t>Quality Assurance, including:</w:t>
      </w:r>
    </w:p>
    <w:p w14:paraId="5AD12C98" w14:textId="5BB9115A" w:rsidR="00436CC2" w:rsidRPr="000525D3" w:rsidRDefault="00436CC2" w:rsidP="000525D3">
      <w:pPr>
        <w:overflowPunct w:val="0"/>
        <w:autoSpaceDE w:val="0"/>
        <w:autoSpaceDN w:val="0"/>
        <w:adjustRightInd w:val="0"/>
        <w:spacing w:line="240" w:lineRule="auto"/>
        <w:ind w:left="283" w:firstLine="284"/>
        <w:jc w:val="both"/>
        <w:textAlignment w:val="baseline"/>
        <w:outlineLvl w:val="8"/>
        <w:rPr>
          <w:rFonts w:ascii="Calibri" w:eastAsia="Times New Roman" w:hAnsi="Calibri" w:cs="Times New Roman"/>
          <w:bCs/>
        </w:rPr>
      </w:pPr>
      <w:r w:rsidRPr="000525D3">
        <w:rPr>
          <w:rFonts w:ascii="Calibri" w:eastAsia="Times New Roman" w:hAnsi="Calibri" w:cs="Times New Roman"/>
          <w:bCs/>
        </w:rPr>
        <w:t>- Consistency of standards and outcomes</w:t>
      </w:r>
    </w:p>
    <w:p w14:paraId="25A89917" w14:textId="77777777" w:rsidR="00436CC2" w:rsidRPr="00436CC2" w:rsidRDefault="00436CC2" w:rsidP="000525D3">
      <w:pPr>
        <w:overflowPunct w:val="0"/>
        <w:autoSpaceDE w:val="0"/>
        <w:autoSpaceDN w:val="0"/>
        <w:adjustRightInd w:val="0"/>
        <w:spacing w:line="240" w:lineRule="auto"/>
        <w:ind w:left="567"/>
        <w:jc w:val="both"/>
        <w:textAlignment w:val="baseline"/>
        <w:outlineLvl w:val="8"/>
        <w:rPr>
          <w:rFonts w:ascii="Calibri" w:eastAsia="Times New Roman" w:hAnsi="Calibri" w:cs="Times New Roman"/>
          <w:bCs/>
        </w:rPr>
      </w:pPr>
      <w:r w:rsidRPr="00436CC2">
        <w:rPr>
          <w:rFonts w:ascii="Calibri" w:eastAsia="Times New Roman" w:hAnsi="Calibri" w:cs="Times New Roman"/>
          <w:bCs/>
        </w:rPr>
        <w:t>- Scrutiny of the examination process, ensuring it remains valid and appropriate</w:t>
      </w:r>
    </w:p>
    <w:p w14:paraId="5005D7FA" w14:textId="77777777" w:rsidR="00436CC2" w:rsidRPr="00436CC2" w:rsidRDefault="00436CC2" w:rsidP="000525D3">
      <w:pPr>
        <w:overflowPunct w:val="0"/>
        <w:autoSpaceDE w:val="0"/>
        <w:autoSpaceDN w:val="0"/>
        <w:adjustRightInd w:val="0"/>
        <w:spacing w:line="240" w:lineRule="auto"/>
        <w:ind w:left="567"/>
        <w:jc w:val="both"/>
        <w:textAlignment w:val="baseline"/>
        <w:outlineLvl w:val="8"/>
        <w:rPr>
          <w:rFonts w:ascii="Calibri" w:eastAsia="Times New Roman" w:hAnsi="Calibri" w:cs="Times New Roman"/>
          <w:bCs/>
        </w:rPr>
      </w:pPr>
      <w:r w:rsidRPr="00436CC2">
        <w:rPr>
          <w:rFonts w:ascii="Calibri" w:eastAsia="Times New Roman" w:hAnsi="Calibri" w:cs="Times New Roman"/>
          <w:bCs/>
        </w:rPr>
        <w:t>- Transparency and fairness</w:t>
      </w:r>
    </w:p>
    <w:p w14:paraId="0B3B7CBF" w14:textId="19B84EA7" w:rsidR="00436CC2" w:rsidRPr="0060707D" w:rsidRDefault="00615C3E" w:rsidP="000525D3">
      <w:pPr>
        <w:numPr>
          <w:ilvl w:val="0"/>
          <w:numId w:val="4"/>
        </w:numPr>
        <w:tabs>
          <w:tab w:val="clear" w:pos="284"/>
          <w:tab w:val="num" w:pos="1136"/>
        </w:tabs>
        <w:overflowPunct w:val="0"/>
        <w:autoSpaceDE w:val="0"/>
        <w:autoSpaceDN w:val="0"/>
        <w:adjustRightInd w:val="0"/>
        <w:spacing w:line="240" w:lineRule="auto"/>
        <w:ind w:left="567"/>
        <w:jc w:val="both"/>
        <w:textAlignment w:val="baseline"/>
        <w:outlineLvl w:val="8"/>
        <w:rPr>
          <w:rFonts w:ascii="Calibri" w:eastAsia="Times New Roman" w:hAnsi="Calibri" w:cs="Times New Roman"/>
          <w:bCs/>
        </w:rPr>
      </w:pPr>
      <w:r w:rsidRPr="0060707D">
        <w:rPr>
          <w:rFonts w:ascii="Calibri" w:eastAsia="Times New Roman" w:hAnsi="Calibri" w:cs="Times New Roman"/>
          <w:bCs/>
        </w:rPr>
        <w:t>Providing guidance on regulation and policy development.</w:t>
      </w:r>
    </w:p>
    <w:p w14:paraId="042D6696" w14:textId="77777777" w:rsidR="00436CC2" w:rsidRPr="00436CC2" w:rsidRDefault="00436CC2" w:rsidP="000525D3">
      <w:pPr>
        <w:numPr>
          <w:ilvl w:val="0"/>
          <w:numId w:val="4"/>
        </w:numPr>
        <w:tabs>
          <w:tab w:val="clear" w:pos="284"/>
          <w:tab w:val="num" w:pos="852"/>
        </w:tabs>
        <w:overflowPunct w:val="0"/>
        <w:autoSpaceDE w:val="0"/>
        <w:autoSpaceDN w:val="0"/>
        <w:adjustRightInd w:val="0"/>
        <w:spacing w:line="240" w:lineRule="auto"/>
        <w:ind w:left="567"/>
        <w:jc w:val="both"/>
        <w:textAlignment w:val="baseline"/>
        <w:outlineLvl w:val="8"/>
      </w:pPr>
      <w:r w:rsidRPr="00436CC2">
        <w:rPr>
          <w:rFonts w:ascii="Calibri" w:eastAsia="Times New Roman" w:hAnsi="Calibri" w:cs="Times New Roman"/>
          <w:bCs/>
        </w:rPr>
        <w:lastRenderedPageBreak/>
        <w:t>Reviewing and implementing suggestions for continuous improvement of the examination (Quality Enhancement).</w:t>
      </w:r>
    </w:p>
    <w:p w14:paraId="5CC528A3" w14:textId="77777777" w:rsidR="00436CC2" w:rsidRDefault="00436CC2" w:rsidP="00436CC2">
      <w:pPr>
        <w:overflowPunct w:val="0"/>
        <w:autoSpaceDE w:val="0"/>
        <w:autoSpaceDN w:val="0"/>
        <w:adjustRightInd w:val="0"/>
        <w:spacing w:before="240" w:after="60" w:line="240" w:lineRule="auto"/>
        <w:ind w:left="284"/>
        <w:jc w:val="both"/>
        <w:textAlignment w:val="baseline"/>
        <w:outlineLvl w:val="8"/>
      </w:pPr>
    </w:p>
    <w:p w14:paraId="12B4CC22" w14:textId="1F2A3F5E" w:rsidR="00436CC2" w:rsidRDefault="00436CC2" w:rsidP="00FD4EB0">
      <w:r>
        <w:t>The principal means by which the GDC</w:t>
      </w:r>
      <w:r w:rsidR="00861131">
        <w:t xml:space="preserve"> monitors the examination is through its external examiners. </w:t>
      </w:r>
      <w:r w:rsidR="001F74C2">
        <w:t xml:space="preserve"> </w:t>
      </w:r>
      <w:r w:rsidR="001F74C2" w:rsidRPr="001F74C2">
        <w:t xml:space="preserve">The arrangements for external examining in the ORE are </w:t>
      </w:r>
      <w:r w:rsidR="00B96BC8">
        <w:t xml:space="preserve">consistent </w:t>
      </w:r>
      <w:r w:rsidR="001F74C2" w:rsidRPr="001F74C2">
        <w:t>with the requirements of the Quality Code of the Quality Assurance Agency</w:t>
      </w:r>
      <w:proofErr w:type="gramStart"/>
      <w:r w:rsidR="00897B76">
        <w:t>,</w:t>
      </w:r>
      <w:r w:rsidR="000C618A">
        <w:rPr>
          <w:vertAlign w:val="superscript"/>
        </w:rPr>
        <w:t>15</w:t>
      </w:r>
      <w:proofErr w:type="gramEnd"/>
      <w:r w:rsidR="001F74C2" w:rsidRPr="001F74C2">
        <w:t xml:space="preserve"> although</w:t>
      </w:r>
      <w:r w:rsidR="008E1DDB">
        <w:t>, clearly,</w:t>
      </w:r>
      <w:r w:rsidR="001F74C2" w:rsidRPr="001F74C2">
        <w:t xml:space="preserve"> there are differences in the circumstances under which the ORE operates in comparison with assessment in a Higher Education Institution.</w:t>
      </w:r>
      <w:r w:rsidR="001F74C2">
        <w:t xml:space="preserve"> </w:t>
      </w:r>
      <w:r w:rsidR="00861131">
        <w:t>External examiners are appointed from amongst the body of UK dental academic staff and clinical staff with close involvement in undergraduate education</w:t>
      </w:r>
      <w:r w:rsidR="004A5412">
        <w:t xml:space="preserve"> via a </w:t>
      </w:r>
      <w:r w:rsidR="006628C6">
        <w:t>national</w:t>
      </w:r>
      <w:r w:rsidR="004A5412">
        <w:t xml:space="preserve"> recruitment and selection process</w:t>
      </w:r>
      <w:r w:rsidR="00861131">
        <w:t>.</w:t>
      </w:r>
      <w:r w:rsidR="005C7E8F">
        <w:t xml:space="preserve"> The</w:t>
      </w:r>
      <w:r w:rsidR="00B96BC8">
        <w:t xml:space="preserve"> external examiners</w:t>
      </w:r>
      <w:r w:rsidR="005C7E8F">
        <w:t xml:space="preserve"> receive induction, followed by</w:t>
      </w:r>
      <w:r w:rsidR="008B69E8">
        <w:t xml:space="preserve"> yearly update training and bienni</w:t>
      </w:r>
      <w:r w:rsidR="005C7E8F">
        <w:t>al appraisal.</w:t>
      </w:r>
      <w:r w:rsidR="00861131">
        <w:t xml:space="preserve"> In relation to every diet of the examination they:</w:t>
      </w:r>
    </w:p>
    <w:p w14:paraId="3D0802CD" w14:textId="77777777" w:rsidR="00861131" w:rsidRDefault="00861131" w:rsidP="00861131">
      <w:pPr>
        <w:pStyle w:val="ListParagraph"/>
        <w:numPr>
          <w:ilvl w:val="0"/>
          <w:numId w:val="5"/>
        </w:numPr>
        <w:ind w:left="714" w:hanging="357"/>
      </w:pPr>
      <w:r>
        <w:t>Scrutinise examination items, artefacts, etc. prior to the diet</w:t>
      </w:r>
      <w:r w:rsidR="00E41EE2">
        <w:t>, including involvement with standard setting and blueprinting</w:t>
      </w:r>
    </w:p>
    <w:p w14:paraId="77605321" w14:textId="77777777" w:rsidR="00861131" w:rsidRDefault="00861131" w:rsidP="00861131">
      <w:pPr>
        <w:pStyle w:val="ListParagraph"/>
        <w:numPr>
          <w:ilvl w:val="0"/>
          <w:numId w:val="5"/>
        </w:numPr>
        <w:ind w:left="714" w:hanging="357"/>
      </w:pPr>
      <w:r>
        <w:t>Attend the diet in person and monitor all aspects of delivery of the examination, with a particular emphasis on the standard applied</w:t>
      </w:r>
    </w:p>
    <w:p w14:paraId="4561FEF7" w14:textId="77777777" w:rsidR="00861131" w:rsidRDefault="00FA3D75" w:rsidP="00861131">
      <w:pPr>
        <w:pStyle w:val="ListParagraph"/>
        <w:numPr>
          <w:ilvl w:val="0"/>
          <w:numId w:val="5"/>
        </w:numPr>
      </w:pPr>
      <w:r>
        <w:t>Submit post-diet reports containing their observations on the conduct of the examination</w:t>
      </w:r>
    </w:p>
    <w:p w14:paraId="5B7F2BCF" w14:textId="77777777" w:rsidR="005C7E8F" w:rsidRDefault="005C7E8F" w:rsidP="005C7E8F">
      <w:r>
        <w:t>A chief external examiner</w:t>
      </w:r>
      <w:r w:rsidR="00E41EE2">
        <w:t xml:space="preserve"> (CEE)</w:t>
      </w:r>
      <w:r>
        <w:t xml:space="preserve"> oversees the work</w:t>
      </w:r>
      <w:r w:rsidR="008B69E8">
        <w:t xml:space="preserve"> of the external examiners at each diet and collates their post-diet comments into a single report containing any necessary recommendations</w:t>
      </w:r>
      <w:r w:rsidR="00E41EE2">
        <w:t>.</w:t>
      </w:r>
      <w:r w:rsidR="008B69E8">
        <w:t xml:space="preserve"> </w:t>
      </w:r>
      <w:r w:rsidR="00E41EE2">
        <w:t>The CEEs report</w:t>
      </w:r>
      <w:r w:rsidR="008B69E8">
        <w:t xml:space="preserve"> is submitted to both the supplier and the OREAG. The supplier responds to the Chief External in </w:t>
      </w:r>
      <w:r w:rsidR="005821AA">
        <w:t>its</w:t>
      </w:r>
      <w:r w:rsidR="008B69E8">
        <w:t xml:space="preserve"> own report submitted to the OREAG. </w:t>
      </w:r>
      <w:r w:rsidR="005821AA" w:rsidRPr="005821AA">
        <w:t xml:space="preserve">Post-diet supplier reports include the minutes of the Board of Examiners, attended by the Chief External Examiner, at which the examination is reviewed and the results verified. </w:t>
      </w:r>
      <w:r w:rsidR="008B69E8">
        <w:t xml:space="preserve">Suppliers also submit annual (Part 1) and bi-annual (Part 2) reports to the OREAG. Fig. 3 illustrates the reporting structure. The OREAG meets four times per year and at each meeting the </w:t>
      </w:r>
      <w:r w:rsidR="00E41EE2">
        <w:t>CEE</w:t>
      </w:r>
      <w:r w:rsidR="008B69E8">
        <w:t xml:space="preserve"> and supplier reports are considered together in detail, the purpose being to monitor</w:t>
      </w:r>
      <w:r w:rsidR="007E4187">
        <w:t xml:space="preserve"> standards etc., as described above, and to confirm </w:t>
      </w:r>
      <w:r w:rsidR="001F3924">
        <w:t xml:space="preserve">that </w:t>
      </w:r>
      <w:r w:rsidR="007E4187">
        <w:t>the</w:t>
      </w:r>
      <w:r w:rsidR="001F3924">
        <w:t>re has been an adequate</w:t>
      </w:r>
      <w:r w:rsidR="007E4187">
        <w:t xml:space="preserve"> response to recommendations. </w:t>
      </w:r>
    </w:p>
    <w:p w14:paraId="38C09B7C" w14:textId="5C4F5CF0" w:rsidR="00F8604D" w:rsidRDefault="00D0585B" w:rsidP="005C7E8F">
      <w:r>
        <w:t>Representatives of the examination suppliers also meet with the OREAG on a r</w:t>
      </w:r>
      <w:r w:rsidR="00B96BC8">
        <w:t xml:space="preserve">outine </w:t>
      </w:r>
      <w:r>
        <w:t xml:space="preserve">basis, </w:t>
      </w:r>
      <w:r w:rsidR="00B96BC8">
        <w:t xml:space="preserve">as part of the GDC’s agenda for continuous improvement, </w:t>
      </w:r>
      <w:r>
        <w:t xml:space="preserve">innovation and quality enhancement. </w:t>
      </w:r>
      <w:r w:rsidR="00B96BC8">
        <w:t xml:space="preserve">In recent years, the </w:t>
      </w:r>
      <w:r>
        <w:t>innovation</w:t>
      </w:r>
      <w:r w:rsidR="00B96BC8">
        <w:t>s</w:t>
      </w:r>
      <w:r>
        <w:t xml:space="preserve"> that have </w:t>
      </w:r>
      <w:r w:rsidR="00B96BC8">
        <w:t xml:space="preserve">been </w:t>
      </w:r>
      <w:r w:rsidR="00BE22AB">
        <w:t xml:space="preserve">developed and </w:t>
      </w:r>
      <w:r w:rsidR="00B96BC8">
        <w:t xml:space="preserve">implemented </w:t>
      </w:r>
      <w:r w:rsidR="00BE22AB">
        <w:t>by the examination suppliers in partnership with</w:t>
      </w:r>
      <w:r w:rsidR="00B96BC8">
        <w:t xml:space="preserve"> the OREAG </w:t>
      </w:r>
      <w:r>
        <w:t xml:space="preserve">include: </w:t>
      </w:r>
      <w:r w:rsidR="00B96BC8">
        <w:t xml:space="preserve">the introduction of </w:t>
      </w:r>
      <w:r>
        <w:t>electronic mark</w:t>
      </w:r>
      <w:r w:rsidR="00B96BC8">
        <w:t xml:space="preserve"> capture</w:t>
      </w:r>
      <w:r>
        <w:t xml:space="preserve">, </w:t>
      </w:r>
      <w:r w:rsidR="00B96BC8">
        <w:t xml:space="preserve">the </w:t>
      </w:r>
      <w:r>
        <w:t xml:space="preserve">use of role-play in calibration of examiners, </w:t>
      </w:r>
      <w:r w:rsidR="00E41EE2">
        <w:t xml:space="preserve">and </w:t>
      </w:r>
      <w:r w:rsidR="00B96BC8">
        <w:t xml:space="preserve">routine analysis of </w:t>
      </w:r>
      <w:r w:rsidR="00F8604D">
        <w:t xml:space="preserve">assessment data using </w:t>
      </w:r>
      <w:r w:rsidR="00E41EE2">
        <w:t>appropriate</w:t>
      </w:r>
      <w:r>
        <w:t xml:space="preserve"> psychometric</w:t>
      </w:r>
      <w:r w:rsidR="00F8604D">
        <w:t xml:space="preserve"> methods.</w:t>
      </w:r>
    </w:p>
    <w:p w14:paraId="5019C47B" w14:textId="77777777" w:rsidR="007F45AD" w:rsidRDefault="007F45AD" w:rsidP="005C7E8F"/>
    <w:p w14:paraId="079373C3" w14:textId="77777777" w:rsidR="000708F9" w:rsidRDefault="000708F9" w:rsidP="005C7E8F">
      <w:pPr>
        <w:rPr>
          <w:b/>
        </w:rPr>
      </w:pPr>
      <w:r w:rsidRPr="000708F9">
        <w:rPr>
          <w:b/>
        </w:rPr>
        <w:t>Conclusion</w:t>
      </w:r>
    </w:p>
    <w:p w14:paraId="3ECCA17C" w14:textId="17154D25" w:rsidR="00B47E32" w:rsidRDefault="00223043" w:rsidP="000708F9">
      <w:r w:rsidRPr="00223043">
        <w:t xml:space="preserve">The primary role of the GDC is public protection and the ORE is designed to ensure </w:t>
      </w:r>
      <w:r>
        <w:t xml:space="preserve">that </w:t>
      </w:r>
      <w:r w:rsidRPr="00223043">
        <w:t xml:space="preserve">overseas qualified dentists, whose education and training has not been quality assured by the GDC, meet the minimum </w:t>
      </w:r>
      <w:r>
        <w:t>standards</w:t>
      </w:r>
      <w:r w:rsidRPr="00223043">
        <w:t xml:space="preserve"> required for safe practice in the UK.  </w:t>
      </w:r>
      <w:r w:rsidR="000708F9">
        <w:t>This paper has outline</w:t>
      </w:r>
      <w:r w:rsidR="0025378C">
        <w:t>d</w:t>
      </w:r>
      <w:r w:rsidR="000708F9">
        <w:t xml:space="preserve"> the key </w:t>
      </w:r>
      <w:r w:rsidR="004619DB">
        <w:t xml:space="preserve">design </w:t>
      </w:r>
      <w:r w:rsidR="000708F9">
        <w:t>characteristics of the ORE</w:t>
      </w:r>
      <w:r w:rsidR="0025378C">
        <w:t>, and the associated quality assurance processes</w:t>
      </w:r>
      <w:r>
        <w:t xml:space="preserve">. </w:t>
      </w:r>
      <w:r w:rsidR="000708F9">
        <w:t xml:space="preserve">The context </w:t>
      </w:r>
      <w:r w:rsidR="000656E8">
        <w:t xml:space="preserve">of the ORE </w:t>
      </w:r>
      <w:r w:rsidR="000708F9">
        <w:t xml:space="preserve">is very different from assessing dental students </w:t>
      </w:r>
      <w:r w:rsidR="00B47E32">
        <w:t>during and at the end of</w:t>
      </w:r>
      <w:r w:rsidR="000708F9">
        <w:t xml:space="preserve"> a five year full-time </w:t>
      </w:r>
      <w:r w:rsidR="007A1A47">
        <w:t>BDS/</w:t>
      </w:r>
      <w:proofErr w:type="spellStart"/>
      <w:r>
        <w:t>BChD</w:t>
      </w:r>
      <w:proofErr w:type="spellEnd"/>
      <w:r>
        <w:t xml:space="preserve"> programme</w:t>
      </w:r>
      <w:r w:rsidR="000656E8">
        <w:t xml:space="preserve">. Nonetheless, the notion of equivalence between a candidate passing the ORE and one </w:t>
      </w:r>
      <w:r w:rsidR="000656E8">
        <w:lastRenderedPageBreak/>
        <w:t>passing the final BDS</w:t>
      </w:r>
      <w:r w:rsidR="00B47E32">
        <w:t>/</w:t>
      </w:r>
      <w:proofErr w:type="spellStart"/>
      <w:r w:rsidR="00B47E32">
        <w:t>BChD</w:t>
      </w:r>
      <w:proofErr w:type="spellEnd"/>
      <w:r w:rsidR="000656E8">
        <w:t xml:space="preserve"> examination, both of whom would be entitled to apply for first registration, is central to the purpose and design of the ORE. </w:t>
      </w:r>
      <w:r w:rsidR="00B47E32">
        <w:t xml:space="preserve">Whilst not every aspect of </w:t>
      </w:r>
      <w:r w:rsidR="00B47E32" w:rsidRPr="00B47E32">
        <w:rPr>
          <w:i/>
        </w:rPr>
        <w:t>Standards for Education</w:t>
      </w:r>
      <w:proofErr w:type="gramStart"/>
      <w:r w:rsidR="00897B76">
        <w:rPr>
          <w:i/>
        </w:rPr>
        <w:t>,</w:t>
      </w:r>
      <w:r w:rsidR="00A747FA">
        <w:rPr>
          <w:vertAlign w:val="superscript"/>
        </w:rPr>
        <w:t>16</w:t>
      </w:r>
      <w:proofErr w:type="gramEnd"/>
      <w:r w:rsidR="00B47E32">
        <w:t xml:space="preserve"> the GDC</w:t>
      </w:r>
      <w:r w:rsidR="004619DB">
        <w:t>’</w:t>
      </w:r>
      <w:r w:rsidR="00B47E32">
        <w:t>s benchmark document for UK dental education providers, is applicable to the ORE, much of it is</w:t>
      </w:r>
      <w:r w:rsidR="006F4E64">
        <w:t>,</w:t>
      </w:r>
      <w:r w:rsidR="00B47E32">
        <w:t xml:space="preserve"> and </w:t>
      </w:r>
      <w:r w:rsidR="004619DB">
        <w:t xml:space="preserve">a key role of </w:t>
      </w:r>
      <w:r w:rsidR="00B47E32">
        <w:t xml:space="preserve">the OREAG is </w:t>
      </w:r>
      <w:r w:rsidR="006628C6">
        <w:t>to ensure compliance with the relevant standards.</w:t>
      </w:r>
    </w:p>
    <w:p w14:paraId="4B5BDAE0" w14:textId="77777777" w:rsidR="000708F9" w:rsidRDefault="00B47E32" w:rsidP="000708F9">
      <w:r w:rsidRPr="000656E8">
        <w:t xml:space="preserve">The ORE has </w:t>
      </w:r>
      <w:r w:rsidR="004619DB">
        <w:t xml:space="preserve">undergone significant change </w:t>
      </w:r>
      <w:r w:rsidR="000708F9">
        <w:t>since its introduction in 2007</w:t>
      </w:r>
      <w:r w:rsidR="004619DB">
        <w:t>. I</w:t>
      </w:r>
      <w:r w:rsidR="000708F9">
        <w:t xml:space="preserve">t will </w:t>
      </w:r>
      <w:r>
        <w:t xml:space="preserve">be </w:t>
      </w:r>
      <w:r w:rsidR="000708F9">
        <w:t>further modified in the ne</w:t>
      </w:r>
      <w:r w:rsidR="00A24D4A">
        <w:t xml:space="preserve">ar future </w:t>
      </w:r>
      <w:r w:rsidR="000708F9">
        <w:t>as it is adapted to meet the new challenges set out in Preparing for Practice</w:t>
      </w:r>
      <w:r w:rsidR="0054423B">
        <w:t xml:space="preserve">. This may prompt the use of alternative methods of assessment to </w:t>
      </w:r>
      <w:r w:rsidR="004619DB">
        <w:t xml:space="preserve">ensure </w:t>
      </w:r>
      <w:r w:rsidR="0054423B">
        <w:t xml:space="preserve">that </w:t>
      </w:r>
      <w:r w:rsidR="004619DB">
        <w:t xml:space="preserve">the design </w:t>
      </w:r>
      <w:r w:rsidR="0054423B">
        <w:t xml:space="preserve">of the ORE </w:t>
      </w:r>
      <w:r w:rsidR="004619DB">
        <w:t>continue</w:t>
      </w:r>
      <w:r w:rsidR="0054423B">
        <w:t>s</w:t>
      </w:r>
      <w:r w:rsidR="004619DB">
        <w:t xml:space="preserve"> to represent current ideas of best practice in assessment</w:t>
      </w:r>
      <w:r w:rsidR="0054423B">
        <w:t xml:space="preserve"> and the content appropriately samples across all the</w:t>
      </w:r>
      <w:r w:rsidR="000708F9">
        <w:t xml:space="preserve"> requirements set out for UK dentists in the twenty first century. </w:t>
      </w:r>
    </w:p>
    <w:p w14:paraId="656220FA" w14:textId="77777777" w:rsidR="00D1642C" w:rsidRDefault="00D1642C" w:rsidP="000708F9"/>
    <w:p w14:paraId="0097FE4D" w14:textId="3AF38EAB" w:rsidR="00D1642C" w:rsidRDefault="00D1642C" w:rsidP="000708F9">
      <w:pPr>
        <w:rPr>
          <w:b/>
        </w:rPr>
      </w:pPr>
      <w:r>
        <w:rPr>
          <w:b/>
        </w:rPr>
        <w:t>Acknowledgements</w:t>
      </w:r>
    </w:p>
    <w:p w14:paraId="62037D87" w14:textId="45BF973D" w:rsidR="00D1642C" w:rsidRPr="00D1642C" w:rsidRDefault="00D1642C" w:rsidP="000708F9">
      <w:r>
        <w:t xml:space="preserve">The authors are </w:t>
      </w:r>
      <w:r w:rsidR="00B0496B">
        <w:t xml:space="preserve">extremely </w:t>
      </w:r>
      <w:r>
        <w:t>grateful to the Examinations Team at the General Dental Council</w:t>
      </w:r>
      <w:r w:rsidR="00B0496B">
        <w:t xml:space="preserve"> for advice provided during the preparation of this article and the ongoing support they provide for the work of the OREAG.</w:t>
      </w:r>
    </w:p>
    <w:p w14:paraId="1DE8B27F" w14:textId="77777777" w:rsidR="00B47E32" w:rsidRDefault="00B47E32" w:rsidP="000708F9"/>
    <w:p w14:paraId="031473EE" w14:textId="77777777" w:rsidR="00B47E32" w:rsidRPr="00B47E32" w:rsidRDefault="00B47E32" w:rsidP="000708F9">
      <w:pPr>
        <w:rPr>
          <w:b/>
        </w:rPr>
      </w:pPr>
      <w:r>
        <w:rPr>
          <w:b/>
        </w:rPr>
        <w:t>References</w:t>
      </w:r>
    </w:p>
    <w:p w14:paraId="42B01102" w14:textId="77777777" w:rsidR="009C2666" w:rsidRDefault="00A83D9E" w:rsidP="00A83D9E">
      <w:pPr>
        <w:pStyle w:val="ListParagraph"/>
        <w:numPr>
          <w:ilvl w:val="0"/>
          <w:numId w:val="6"/>
        </w:numPr>
      </w:pPr>
      <w:r>
        <w:t xml:space="preserve">Dentists Act 1984. </w:t>
      </w:r>
      <w:hyperlink r:id="rId9" w:history="1">
        <w:r w:rsidR="00F327A1" w:rsidRPr="00187DB5">
          <w:rPr>
            <w:rStyle w:val="Hyperlink"/>
          </w:rPr>
          <w:t>http://www.legislation.gov.uk/ukpga/1984/24</w:t>
        </w:r>
      </w:hyperlink>
    </w:p>
    <w:p w14:paraId="77893F42" w14:textId="77777777" w:rsidR="00F327A1" w:rsidRDefault="00F327A1" w:rsidP="00F327A1">
      <w:pPr>
        <w:pStyle w:val="ListParagraph"/>
        <w:numPr>
          <w:ilvl w:val="0"/>
          <w:numId w:val="6"/>
        </w:numPr>
      </w:pPr>
      <w:r>
        <w:t xml:space="preserve">Preparing for Practice. Dental team learning outcomes for registration. General Dental Council. </w:t>
      </w:r>
      <w:hyperlink r:id="rId10" w:history="1">
        <w:r w:rsidRPr="00187DB5">
          <w:rPr>
            <w:rStyle w:val="Hyperlink"/>
          </w:rPr>
          <w:t>http://www.gdc-uk.org/Aboutus/education/Documents/Preparing%20for%20Practice%20(revised%202015).pdf</w:t>
        </w:r>
      </w:hyperlink>
    </w:p>
    <w:p w14:paraId="674CCD65" w14:textId="77777777" w:rsidR="00F327A1" w:rsidRDefault="00F327A1" w:rsidP="00F327A1">
      <w:pPr>
        <w:pStyle w:val="ListParagraph"/>
        <w:numPr>
          <w:ilvl w:val="0"/>
          <w:numId w:val="6"/>
        </w:numPr>
      </w:pPr>
      <w:r>
        <w:t xml:space="preserve">The First Five Years. General Dental Council. </w:t>
      </w:r>
      <w:hyperlink r:id="rId11" w:history="1">
        <w:r w:rsidRPr="00187DB5">
          <w:rPr>
            <w:rStyle w:val="Hyperlink"/>
          </w:rPr>
          <w:t>http://www.gdc-uk.org/Aboutus/education/Documents/TheFirstFiveYears.pdf</w:t>
        </w:r>
      </w:hyperlink>
    </w:p>
    <w:p w14:paraId="087096CD" w14:textId="77777777" w:rsidR="00F327A1" w:rsidRDefault="00B83FBC" w:rsidP="00F327A1">
      <w:pPr>
        <w:pStyle w:val="ListParagraph"/>
        <w:numPr>
          <w:ilvl w:val="0"/>
          <w:numId w:val="6"/>
        </w:numPr>
      </w:pPr>
      <w:r>
        <w:t xml:space="preserve">Van der </w:t>
      </w:r>
      <w:proofErr w:type="spellStart"/>
      <w:r>
        <w:t>Vleuten</w:t>
      </w:r>
      <w:proofErr w:type="spellEnd"/>
      <w:r>
        <w:t xml:space="preserve"> CPM. The assessment of professional competence: developments, research and practical implications. </w:t>
      </w:r>
      <w:proofErr w:type="spellStart"/>
      <w:r>
        <w:t>Adv</w:t>
      </w:r>
      <w:proofErr w:type="spellEnd"/>
      <w:r>
        <w:t xml:space="preserve"> Health </w:t>
      </w:r>
      <w:proofErr w:type="spellStart"/>
      <w:r>
        <w:t>Sci</w:t>
      </w:r>
      <w:proofErr w:type="spellEnd"/>
      <w:r>
        <w:t xml:space="preserve"> </w:t>
      </w:r>
      <w:proofErr w:type="spellStart"/>
      <w:r>
        <w:t>Educ</w:t>
      </w:r>
      <w:proofErr w:type="spellEnd"/>
      <w:r>
        <w:t xml:space="preserve"> 1996;1 (1); 41-67</w:t>
      </w:r>
    </w:p>
    <w:p w14:paraId="6255FAA8" w14:textId="77777777" w:rsidR="00B83FBC" w:rsidRDefault="00B83FBC" w:rsidP="00F327A1">
      <w:pPr>
        <w:pStyle w:val="ListParagraph"/>
        <w:numPr>
          <w:ilvl w:val="0"/>
          <w:numId w:val="6"/>
        </w:numPr>
      </w:pPr>
      <w:r>
        <w:t xml:space="preserve">Crossley J, </w:t>
      </w:r>
      <w:proofErr w:type="spellStart"/>
      <w:r>
        <w:t>Humphris</w:t>
      </w:r>
      <w:proofErr w:type="spellEnd"/>
      <w:r>
        <w:t xml:space="preserve"> G, Jolly B. Assessing Health Professionals. Med </w:t>
      </w:r>
      <w:proofErr w:type="spellStart"/>
      <w:r>
        <w:t>Educ</w:t>
      </w:r>
      <w:proofErr w:type="spellEnd"/>
      <w:r>
        <w:t xml:space="preserve"> 2002; 36; 800-804</w:t>
      </w:r>
    </w:p>
    <w:p w14:paraId="177DE41D" w14:textId="77777777" w:rsidR="00251756" w:rsidRDefault="00251756" w:rsidP="00F327A1">
      <w:pPr>
        <w:pStyle w:val="ListParagraph"/>
        <w:numPr>
          <w:ilvl w:val="0"/>
          <w:numId w:val="6"/>
        </w:numPr>
      </w:pPr>
      <w:r>
        <w:t xml:space="preserve">Miller GE. The assessment of clinical skills/competence/performance. </w:t>
      </w:r>
      <w:proofErr w:type="spellStart"/>
      <w:r>
        <w:t>Acad</w:t>
      </w:r>
      <w:proofErr w:type="spellEnd"/>
      <w:r>
        <w:t xml:space="preserve"> Med 1990; 65; 563-67</w:t>
      </w:r>
    </w:p>
    <w:p w14:paraId="53A4E149" w14:textId="245A10C5" w:rsidR="00C05978" w:rsidRDefault="006D5BA2" w:rsidP="00F327A1">
      <w:pPr>
        <w:pStyle w:val="ListParagraph"/>
        <w:numPr>
          <w:ilvl w:val="0"/>
          <w:numId w:val="6"/>
        </w:numPr>
      </w:pPr>
      <w:proofErr w:type="spellStart"/>
      <w:r>
        <w:t>Wass</w:t>
      </w:r>
      <w:proofErr w:type="spellEnd"/>
      <w:r>
        <w:t xml:space="preserve"> V, Van der </w:t>
      </w:r>
      <w:proofErr w:type="spellStart"/>
      <w:r>
        <w:t>Vleuten</w:t>
      </w:r>
      <w:proofErr w:type="spellEnd"/>
      <w:r>
        <w:t xml:space="preserve"> C, </w:t>
      </w:r>
      <w:proofErr w:type="spellStart"/>
      <w:r>
        <w:t>Shatzer</w:t>
      </w:r>
      <w:proofErr w:type="spellEnd"/>
      <w:r>
        <w:t xml:space="preserve"> J, Jones R. Assessment of clinical competence. Lancet 2001; 357; 945-949</w:t>
      </w:r>
    </w:p>
    <w:p w14:paraId="7763828F" w14:textId="31718690" w:rsidR="006D5BA2" w:rsidRDefault="006D5BA2" w:rsidP="006D5BA2">
      <w:pPr>
        <w:pStyle w:val="ListParagraph"/>
        <w:numPr>
          <w:ilvl w:val="0"/>
          <w:numId w:val="6"/>
        </w:numPr>
      </w:pPr>
      <w:proofErr w:type="spellStart"/>
      <w:r>
        <w:t>Carless</w:t>
      </w:r>
      <w:proofErr w:type="gramStart"/>
      <w:r>
        <w:t>,D</w:t>
      </w:r>
      <w:proofErr w:type="spellEnd"/>
      <w:proofErr w:type="gramEnd"/>
      <w:r>
        <w:t xml:space="preserve">. </w:t>
      </w:r>
      <w:r w:rsidRPr="006D5BA2">
        <w:t xml:space="preserve">Excellence in University </w:t>
      </w:r>
      <w:r>
        <w:t xml:space="preserve">Assessment. </w:t>
      </w:r>
      <w:r w:rsidR="003779A3">
        <w:t>Abingdon; Routledge,</w:t>
      </w:r>
      <w:r>
        <w:t xml:space="preserve"> 2015</w:t>
      </w:r>
    </w:p>
    <w:p w14:paraId="3F94AE5F" w14:textId="77777777" w:rsidR="003D0174" w:rsidRDefault="002D3586" w:rsidP="006D5BA2">
      <w:pPr>
        <w:pStyle w:val="ListParagraph"/>
        <w:numPr>
          <w:ilvl w:val="0"/>
          <w:numId w:val="6"/>
        </w:numPr>
      </w:pPr>
      <w:r>
        <w:t xml:space="preserve">Downing SM, </w:t>
      </w:r>
      <w:proofErr w:type="spellStart"/>
      <w:r>
        <w:t>Tekian</w:t>
      </w:r>
      <w:proofErr w:type="spellEnd"/>
      <w:r>
        <w:t xml:space="preserve"> A, </w:t>
      </w:r>
      <w:proofErr w:type="spellStart"/>
      <w:r>
        <w:t>Yudkowsky</w:t>
      </w:r>
      <w:proofErr w:type="spellEnd"/>
      <w:r>
        <w:t xml:space="preserve"> R. Procedures for establishing defensible absolute passing scores on performance examinations in health professions education. Teachin</w:t>
      </w:r>
      <w:r w:rsidR="005A3130">
        <w:t>g and Learning in Medicine 2010;</w:t>
      </w:r>
      <w:r>
        <w:t xml:space="preserve"> 18; 1; 50-57</w:t>
      </w:r>
    </w:p>
    <w:p w14:paraId="45F24741" w14:textId="77777777" w:rsidR="00751BC0" w:rsidRDefault="007D0B11" w:rsidP="00A747FA">
      <w:pPr>
        <w:pStyle w:val="ListParagraph"/>
        <w:numPr>
          <w:ilvl w:val="0"/>
          <w:numId w:val="6"/>
        </w:numPr>
        <w:ind w:left="782" w:hanging="357"/>
      </w:pPr>
      <w:r>
        <w:t>Roberts C, Newbie D, Jolly B, Reed M, Hampton K. Assuring the quality of high-stakes undergraduate assessments of clinical competence. Medical Teacher 2006; 28; 6; 535-543</w:t>
      </w:r>
    </w:p>
    <w:p w14:paraId="7AA47328" w14:textId="485B315D" w:rsidR="007D0B11" w:rsidRDefault="005A3130" w:rsidP="005A3130">
      <w:pPr>
        <w:pStyle w:val="ListParagraph"/>
        <w:numPr>
          <w:ilvl w:val="0"/>
          <w:numId w:val="6"/>
        </w:numPr>
      </w:pPr>
      <w:r w:rsidRPr="005A3130">
        <w:t>Hays, R, Gupta, T.S.</w:t>
      </w:r>
      <w:r>
        <w:t xml:space="preserve"> and Veitch, J. </w:t>
      </w:r>
      <w:r w:rsidRPr="005A3130">
        <w:t>The practical value of the standard error of measurement in borderl</w:t>
      </w:r>
      <w:r w:rsidR="003779A3">
        <w:t xml:space="preserve">ine pass/fail decisions. Med </w:t>
      </w:r>
      <w:proofErr w:type="spellStart"/>
      <w:r w:rsidR="003779A3">
        <w:t>Educ</w:t>
      </w:r>
      <w:proofErr w:type="spellEnd"/>
      <w:r>
        <w:t xml:space="preserve"> 2008;</w:t>
      </w:r>
      <w:r w:rsidRPr="005A3130">
        <w:t xml:space="preserve"> 42 (8), pp 810-815.</w:t>
      </w:r>
    </w:p>
    <w:p w14:paraId="11E2D0FA" w14:textId="77777777" w:rsidR="005A3130" w:rsidRDefault="005A3130" w:rsidP="005A3130">
      <w:pPr>
        <w:pStyle w:val="ListParagraph"/>
        <w:numPr>
          <w:ilvl w:val="0"/>
          <w:numId w:val="6"/>
        </w:numPr>
      </w:pPr>
      <w:r>
        <w:lastRenderedPageBreak/>
        <w:t>Pell G, Roberts TE. Setting standards for student assessment. International Journal of Research &amp; Method in Education 2006; 29; 1; 91-103</w:t>
      </w:r>
    </w:p>
    <w:p w14:paraId="4577BBA5" w14:textId="3C0E35BC" w:rsidR="005A3130" w:rsidRDefault="005A3130" w:rsidP="005A3130">
      <w:pPr>
        <w:pStyle w:val="ListParagraph"/>
        <w:numPr>
          <w:ilvl w:val="0"/>
          <w:numId w:val="6"/>
        </w:numPr>
      </w:pPr>
      <w:proofErr w:type="spellStart"/>
      <w:r w:rsidRPr="005A3130">
        <w:t>Schoonheim-Klein,M</w:t>
      </w:r>
      <w:proofErr w:type="spellEnd"/>
      <w:r w:rsidRPr="005A3130">
        <w:t xml:space="preserve">.,  </w:t>
      </w:r>
      <w:proofErr w:type="spellStart"/>
      <w:r w:rsidRPr="005A3130">
        <w:t>Muijtjens,A</w:t>
      </w:r>
      <w:proofErr w:type="spellEnd"/>
      <w:r w:rsidRPr="005A3130">
        <w:t xml:space="preserve">., </w:t>
      </w:r>
      <w:proofErr w:type="spellStart"/>
      <w:r w:rsidRPr="005A3130">
        <w:t>Habets,L</w:t>
      </w:r>
      <w:proofErr w:type="spellEnd"/>
      <w:r w:rsidRPr="005A3130">
        <w:t xml:space="preserve">., Manogue, M., van der </w:t>
      </w:r>
      <w:proofErr w:type="spellStart"/>
      <w:r w:rsidRPr="005A3130">
        <w:t>Vleuten</w:t>
      </w:r>
      <w:proofErr w:type="spellEnd"/>
      <w:r w:rsidRPr="005A3130">
        <w:t>, C an</w:t>
      </w:r>
      <w:r>
        <w:t xml:space="preserve">d van der </w:t>
      </w:r>
      <w:proofErr w:type="spellStart"/>
      <w:r>
        <w:t>Velden</w:t>
      </w:r>
      <w:proofErr w:type="spellEnd"/>
      <w:r>
        <w:t xml:space="preserve">, U. </w:t>
      </w:r>
      <w:r w:rsidRPr="005A3130">
        <w:t xml:space="preserve">Who will pass the dental OSCE? Comparison of the </w:t>
      </w:r>
      <w:proofErr w:type="spellStart"/>
      <w:r w:rsidRPr="005A3130">
        <w:t>Angoff</w:t>
      </w:r>
      <w:proofErr w:type="spellEnd"/>
      <w:r w:rsidRPr="005A3130">
        <w:t xml:space="preserve"> and the borderline regression standard setti</w:t>
      </w:r>
      <w:r w:rsidR="003779A3">
        <w:t xml:space="preserve">ng methods. </w:t>
      </w:r>
      <w:proofErr w:type="spellStart"/>
      <w:r w:rsidR="003779A3">
        <w:t>Eur</w:t>
      </w:r>
      <w:proofErr w:type="spellEnd"/>
      <w:r w:rsidR="003779A3">
        <w:t xml:space="preserve"> J Dent </w:t>
      </w:r>
      <w:proofErr w:type="spellStart"/>
      <w:r w:rsidR="003779A3">
        <w:t>Educ</w:t>
      </w:r>
      <w:proofErr w:type="spellEnd"/>
      <w:r>
        <w:t xml:space="preserve"> 2009;</w:t>
      </w:r>
      <w:r w:rsidRPr="005A3130">
        <w:t xml:space="preserve"> 13 (3), pp 162-171.</w:t>
      </w:r>
    </w:p>
    <w:p w14:paraId="1D6684F5" w14:textId="77777777" w:rsidR="000C618A" w:rsidRPr="007F45AD" w:rsidRDefault="000C618A" w:rsidP="007F45AD">
      <w:pPr>
        <w:pStyle w:val="ListParagraph"/>
        <w:numPr>
          <w:ilvl w:val="0"/>
          <w:numId w:val="6"/>
        </w:numPr>
      </w:pPr>
      <w:proofErr w:type="spellStart"/>
      <w:r>
        <w:t>Adamo</w:t>
      </w:r>
      <w:proofErr w:type="spellEnd"/>
      <w:r>
        <w:t xml:space="preserve"> G. </w:t>
      </w:r>
      <w:r w:rsidRPr="000C618A">
        <w:t>Simulated and standardized patients in OSCEs: achievements and challenges 1992–2003</w:t>
      </w:r>
      <w:r>
        <w:t>. Medical Teacher 2003; 25; 3; 262–270</w:t>
      </w:r>
    </w:p>
    <w:p w14:paraId="01076095" w14:textId="77777777" w:rsidR="000C618A" w:rsidRDefault="000C618A" w:rsidP="000C618A">
      <w:pPr>
        <w:pStyle w:val="ListParagraph"/>
        <w:numPr>
          <w:ilvl w:val="0"/>
          <w:numId w:val="6"/>
        </w:numPr>
      </w:pPr>
      <w:r>
        <w:t>The UK quality code for higher education.</w:t>
      </w:r>
      <w:r w:rsidR="00A747FA">
        <w:t xml:space="preserve"> Quality Assurance Agency</w:t>
      </w:r>
      <w:r>
        <w:t xml:space="preserve"> </w:t>
      </w:r>
      <w:hyperlink r:id="rId12" w:history="1">
        <w:r w:rsidRPr="00F504F1">
          <w:rPr>
            <w:rStyle w:val="Hyperlink"/>
          </w:rPr>
          <w:t>http://www.qaa.ac.uk/assuring-standards-and-quality/the-quality-code</w:t>
        </w:r>
      </w:hyperlink>
    </w:p>
    <w:p w14:paraId="1310E2BD" w14:textId="77777777" w:rsidR="000C618A" w:rsidRDefault="00A747FA" w:rsidP="00A747FA">
      <w:pPr>
        <w:pStyle w:val="ListParagraph"/>
        <w:numPr>
          <w:ilvl w:val="0"/>
          <w:numId w:val="6"/>
        </w:numPr>
      </w:pPr>
      <w:r>
        <w:t xml:space="preserve">Standards for Education. Standards and requirements for providers. General Dental Council. </w:t>
      </w:r>
      <w:hyperlink r:id="rId13" w:history="1">
        <w:r w:rsidRPr="00F504F1">
          <w:rPr>
            <w:rStyle w:val="Hyperlink"/>
          </w:rPr>
          <w:t>http://www.gdc-uk.org/Aboutus/education/Documents/Standards%20for%20Education%20(v2%20revised%202015).pdf</w:t>
        </w:r>
      </w:hyperlink>
    </w:p>
    <w:p w14:paraId="09D71F64" w14:textId="77777777" w:rsidR="00436CC2" w:rsidRPr="00FD4EB0" w:rsidRDefault="00436CC2" w:rsidP="00FD4EB0"/>
    <w:p w14:paraId="1CDBFD2F" w14:textId="77777777" w:rsidR="005C0CEF" w:rsidRPr="00C72043" w:rsidRDefault="00155715" w:rsidP="00560118">
      <w:pPr>
        <w:ind w:left="720"/>
      </w:pPr>
      <w:r>
        <w:t xml:space="preserve">  </w:t>
      </w:r>
    </w:p>
    <w:p w14:paraId="3E8CB899" w14:textId="77777777" w:rsidR="00175DA7" w:rsidRPr="00175DA7" w:rsidRDefault="00175DA7" w:rsidP="006056A4">
      <w:pPr>
        <w:ind w:left="720"/>
        <w:rPr>
          <w:b/>
        </w:rPr>
      </w:pPr>
    </w:p>
    <w:p w14:paraId="37929079" w14:textId="77777777" w:rsidR="00081526" w:rsidRPr="00996FB1" w:rsidRDefault="00081526" w:rsidP="006056A4">
      <w:pPr>
        <w:ind w:left="720"/>
      </w:pPr>
    </w:p>
    <w:sectPr w:rsidR="00081526" w:rsidRPr="00996FB1">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A32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E0A1" w14:textId="77777777" w:rsidR="006131AA" w:rsidRDefault="006131AA" w:rsidP="00232993">
      <w:pPr>
        <w:spacing w:after="0" w:line="240" w:lineRule="auto"/>
      </w:pPr>
      <w:r>
        <w:separator/>
      </w:r>
    </w:p>
  </w:endnote>
  <w:endnote w:type="continuationSeparator" w:id="0">
    <w:p w14:paraId="4BCFB272" w14:textId="77777777" w:rsidR="006131AA" w:rsidRDefault="006131AA" w:rsidP="0023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57818"/>
      <w:docPartObj>
        <w:docPartGallery w:val="Page Numbers (Bottom of Page)"/>
        <w:docPartUnique/>
      </w:docPartObj>
    </w:sdtPr>
    <w:sdtEndPr/>
    <w:sdtContent>
      <w:sdt>
        <w:sdtPr>
          <w:id w:val="-1669238322"/>
          <w:docPartObj>
            <w:docPartGallery w:val="Page Numbers (Top of Page)"/>
            <w:docPartUnique/>
          </w:docPartObj>
        </w:sdtPr>
        <w:sdtEndPr/>
        <w:sdtContent>
          <w:p w14:paraId="4A7A4D1C" w14:textId="77777777" w:rsidR="00B4224E" w:rsidRDefault="00B422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2AB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2ABA">
              <w:rPr>
                <w:b/>
                <w:bCs/>
                <w:noProof/>
              </w:rPr>
              <w:t>10</w:t>
            </w:r>
            <w:r>
              <w:rPr>
                <w:b/>
                <w:bCs/>
                <w:sz w:val="24"/>
                <w:szCs w:val="24"/>
              </w:rPr>
              <w:fldChar w:fldCharType="end"/>
            </w:r>
          </w:p>
        </w:sdtContent>
      </w:sdt>
    </w:sdtContent>
  </w:sdt>
  <w:p w14:paraId="50ED0B4E" w14:textId="77777777" w:rsidR="00B4224E" w:rsidRDefault="00B4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D9DEA" w14:textId="77777777" w:rsidR="006131AA" w:rsidRDefault="006131AA" w:rsidP="00232993">
      <w:pPr>
        <w:spacing w:after="0" w:line="240" w:lineRule="auto"/>
      </w:pPr>
      <w:r>
        <w:separator/>
      </w:r>
    </w:p>
  </w:footnote>
  <w:footnote w:type="continuationSeparator" w:id="0">
    <w:p w14:paraId="3B7EC8E7" w14:textId="77777777" w:rsidR="006131AA" w:rsidRDefault="006131AA" w:rsidP="00232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B98"/>
    <w:multiLevelType w:val="multilevel"/>
    <w:tmpl w:val="E67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B4BD8"/>
    <w:multiLevelType w:val="hybridMultilevel"/>
    <w:tmpl w:val="97F4F5A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F1604"/>
    <w:multiLevelType w:val="hybridMultilevel"/>
    <w:tmpl w:val="BA3AB86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81463AB"/>
    <w:multiLevelType w:val="hybridMultilevel"/>
    <w:tmpl w:val="C39E1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F32D78"/>
    <w:multiLevelType w:val="hybridMultilevel"/>
    <w:tmpl w:val="43FE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55453"/>
    <w:multiLevelType w:val="hybridMultilevel"/>
    <w:tmpl w:val="78B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14163F"/>
    <w:multiLevelType w:val="hybridMultilevel"/>
    <w:tmpl w:val="E4AE8A76"/>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2622055"/>
    <w:multiLevelType w:val="hybridMultilevel"/>
    <w:tmpl w:val="ABA445FC"/>
    <w:lvl w:ilvl="0" w:tplc="09660A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E026A9E"/>
    <w:multiLevelType w:val="hybridMultilevel"/>
    <w:tmpl w:val="F36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1"/>
  </w:num>
  <w:num w:numId="7">
    <w:abstractNumId w:val="0"/>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Higgs (020 7887 3806)">
    <w15:presenceInfo w15:providerId="AD" w15:userId="S-1-5-21-409613532-911831576-1532313055-1042"/>
  </w15:person>
  <w15:person w15:author="Philip Higgs">
    <w15:presenceInfo w15:providerId="AD" w15:userId="S-1-5-21-409613532-911831576-1532313055-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23"/>
    <w:rsid w:val="00010283"/>
    <w:rsid w:val="0002061C"/>
    <w:rsid w:val="00041A32"/>
    <w:rsid w:val="000525D3"/>
    <w:rsid w:val="000656E8"/>
    <w:rsid w:val="000708F9"/>
    <w:rsid w:val="00081526"/>
    <w:rsid w:val="00085739"/>
    <w:rsid w:val="00087A3A"/>
    <w:rsid w:val="000C618A"/>
    <w:rsid w:val="001344C8"/>
    <w:rsid w:val="00137300"/>
    <w:rsid w:val="0015080B"/>
    <w:rsid w:val="00152F62"/>
    <w:rsid w:val="00155715"/>
    <w:rsid w:val="00155A9C"/>
    <w:rsid w:val="00171AB7"/>
    <w:rsid w:val="00171C3F"/>
    <w:rsid w:val="00175DA7"/>
    <w:rsid w:val="00184A62"/>
    <w:rsid w:val="001B419C"/>
    <w:rsid w:val="001C589A"/>
    <w:rsid w:val="001E3C43"/>
    <w:rsid w:val="001F3924"/>
    <w:rsid w:val="001F5028"/>
    <w:rsid w:val="001F74C2"/>
    <w:rsid w:val="00223043"/>
    <w:rsid w:val="00232993"/>
    <w:rsid w:val="00251756"/>
    <w:rsid w:val="0025378C"/>
    <w:rsid w:val="00285709"/>
    <w:rsid w:val="002A4FA6"/>
    <w:rsid w:val="002C427E"/>
    <w:rsid w:val="002D3586"/>
    <w:rsid w:val="002E0818"/>
    <w:rsid w:val="002F731F"/>
    <w:rsid w:val="003111C9"/>
    <w:rsid w:val="00352C18"/>
    <w:rsid w:val="00373937"/>
    <w:rsid w:val="00376AF1"/>
    <w:rsid w:val="003779A3"/>
    <w:rsid w:val="003D0174"/>
    <w:rsid w:val="004008C5"/>
    <w:rsid w:val="00413D47"/>
    <w:rsid w:val="004164BF"/>
    <w:rsid w:val="00421AE4"/>
    <w:rsid w:val="004263FE"/>
    <w:rsid w:val="00436CC2"/>
    <w:rsid w:val="00455A2A"/>
    <w:rsid w:val="004619DB"/>
    <w:rsid w:val="004676A0"/>
    <w:rsid w:val="00480705"/>
    <w:rsid w:val="004A0998"/>
    <w:rsid w:val="004A5412"/>
    <w:rsid w:val="004C3C3A"/>
    <w:rsid w:val="004F7EA0"/>
    <w:rsid w:val="00500F7E"/>
    <w:rsid w:val="00514D30"/>
    <w:rsid w:val="00540B4E"/>
    <w:rsid w:val="0054423B"/>
    <w:rsid w:val="00560118"/>
    <w:rsid w:val="00560D7C"/>
    <w:rsid w:val="005821AA"/>
    <w:rsid w:val="005A3130"/>
    <w:rsid w:val="005A551E"/>
    <w:rsid w:val="005B5DCB"/>
    <w:rsid w:val="005C0CEF"/>
    <w:rsid w:val="005C7E8F"/>
    <w:rsid w:val="005D19A6"/>
    <w:rsid w:val="005D78A8"/>
    <w:rsid w:val="006056A4"/>
    <w:rsid w:val="0060707D"/>
    <w:rsid w:val="006131AA"/>
    <w:rsid w:val="00615C3E"/>
    <w:rsid w:val="006628C6"/>
    <w:rsid w:val="00667E09"/>
    <w:rsid w:val="006C237C"/>
    <w:rsid w:val="006D5BA2"/>
    <w:rsid w:val="006D725C"/>
    <w:rsid w:val="006E1BE6"/>
    <w:rsid w:val="006F4E64"/>
    <w:rsid w:val="006F6787"/>
    <w:rsid w:val="00751BC0"/>
    <w:rsid w:val="00761114"/>
    <w:rsid w:val="00791A2C"/>
    <w:rsid w:val="007A1A47"/>
    <w:rsid w:val="007A2088"/>
    <w:rsid w:val="007B20D6"/>
    <w:rsid w:val="007D0B11"/>
    <w:rsid w:val="007E4187"/>
    <w:rsid w:val="007F45AD"/>
    <w:rsid w:val="008174B8"/>
    <w:rsid w:val="0082551B"/>
    <w:rsid w:val="00830602"/>
    <w:rsid w:val="00861131"/>
    <w:rsid w:val="008623D8"/>
    <w:rsid w:val="00873EDC"/>
    <w:rsid w:val="008776BE"/>
    <w:rsid w:val="00897B76"/>
    <w:rsid w:val="008B69E8"/>
    <w:rsid w:val="008C0D8E"/>
    <w:rsid w:val="008C2E24"/>
    <w:rsid w:val="008E1BDC"/>
    <w:rsid w:val="008E1DDB"/>
    <w:rsid w:val="008F064F"/>
    <w:rsid w:val="0092520B"/>
    <w:rsid w:val="00996FB1"/>
    <w:rsid w:val="009A2ABA"/>
    <w:rsid w:val="009A4920"/>
    <w:rsid w:val="009B2ADE"/>
    <w:rsid w:val="009B4E59"/>
    <w:rsid w:val="009C2666"/>
    <w:rsid w:val="009F1A41"/>
    <w:rsid w:val="00A04C59"/>
    <w:rsid w:val="00A06CB4"/>
    <w:rsid w:val="00A12EE1"/>
    <w:rsid w:val="00A24D4A"/>
    <w:rsid w:val="00A62E2C"/>
    <w:rsid w:val="00A747FA"/>
    <w:rsid w:val="00A8320E"/>
    <w:rsid w:val="00A83D9E"/>
    <w:rsid w:val="00A930E0"/>
    <w:rsid w:val="00AB195E"/>
    <w:rsid w:val="00AE7D72"/>
    <w:rsid w:val="00B0496B"/>
    <w:rsid w:val="00B065D0"/>
    <w:rsid w:val="00B224FA"/>
    <w:rsid w:val="00B227E9"/>
    <w:rsid w:val="00B4224E"/>
    <w:rsid w:val="00B47E32"/>
    <w:rsid w:val="00B52591"/>
    <w:rsid w:val="00B74AD9"/>
    <w:rsid w:val="00B83FBC"/>
    <w:rsid w:val="00B96BC8"/>
    <w:rsid w:val="00BE22AB"/>
    <w:rsid w:val="00C05978"/>
    <w:rsid w:val="00C218E4"/>
    <w:rsid w:val="00C566FE"/>
    <w:rsid w:val="00C72043"/>
    <w:rsid w:val="00CC5D95"/>
    <w:rsid w:val="00CD5AE5"/>
    <w:rsid w:val="00D0585B"/>
    <w:rsid w:val="00D1642C"/>
    <w:rsid w:val="00D21023"/>
    <w:rsid w:val="00D22AD4"/>
    <w:rsid w:val="00DD71D5"/>
    <w:rsid w:val="00E262AE"/>
    <w:rsid w:val="00E41EE2"/>
    <w:rsid w:val="00E77D03"/>
    <w:rsid w:val="00EC6597"/>
    <w:rsid w:val="00EF3AEC"/>
    <w:rsid w:val="00F22D30"/>
    <w:rsid w:val="00F327A1"/>
    <w:rsid w:val="00F34DA3"/>
    <w:rsid w:val="00F44F73"/>
    <w:rsid w:val="00F64CB9"/>
    <w:rsid w:val="00F65303"/>
    <w:rsid w:val="00F6783F"/>
    <w:rsid w:val="00F8604D"/>
    <w:rsid w:val="00F910DB"/>
    <w:rsid w:val="00F925DF"/>
    <w:rsid w:val="00F9414F"/>
    <w:rsid w:val="00FA3D75"/>
    <w:rsid w:val="00FD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D0"/>
    <w:pPr>
      <w:ind w:left="720"/>
      <w:contextualSpacing/>
    </w:pPr>
  </w:style>
  <w:style w:type="paragraph" w:styleId="Header">
    <w:name w:val="header"/>
    <w:basedOn w:val="Normal"/>
    <w:link w:val="HeaderChar"/>
    <w:uiPriority w:val="99"/>
    <w:unhideWhenUsed/>
    <w:rsid w:val="00232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93"/>
  </w:style>
  <w:style w:type="paragraph" w:styleId="Footer">
    <w:name w:val="footer"/>
    <w:basedOn w:val="Normal"/>
    <w:link w:val="FooterChar"/>
    <w:uiPriority w:val="99"/>
    <w:unhideWhenUsed/>
    <w:rsid w:val="00232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93"/>
  </w:style>
  <w:style w:type="character" w:styleId="Hyperlink">
    <w:name w:val="Hyperlink"/>
    <w:basedOn w:val="DefaultParagraphFont"/>
    <w:uiPriority w:val="99"/>
    <w:unhideWhenUsed/>
    <w:rsid w:val="00F327A1"/>
    <w:rPr>
      <w:color w:val="0000FF" w:themeColor="hyperlink"/>
      <w:u w:val="single"/>
    </w:rPr>
  </w:style>
  <w:style w:type="paragraph" w:styleId="BalloonText">
    <w:name w:val="Balloon Text"/>
    <w:basedOn w:val="Normal"/>
    <w:link w:val="BalloonTextChar"/>
    <w:uiPriority w:val="99"/>
    <w:semiHidden/>
    <w:unhideWhenUsed/>
    <w:rsid w:val="00A8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0E"/>
    <w:rPr>
      <w:rFonts w:ascii="Tahoma" w:hAnsi="Tahoma" w:cs="Tahoma"/>
      <w:sz w:val="16"/>
      <w:szCs w:val="16"/>
    </w:rPr>
  </w:style>
  <w:style w:type="character" w:styleId="CommentReference">
    <w:name w:val="annotation reference"/>
    <w:basedOn w:val="DefaultParagraphFont"/>
    <w:uiPriority w:val="99"/>
    <w:semiHidden/>
    <w:unhideWhenUsed/>
    <w:rsid w:val="005D78A8"/>
    <w:rPr>
      <w:sz w:val="16"/>
      <w:szCs w:val="16"/>
    </w:rPr>
  </w:style>
  <w:style w:type="paragraph" w:styleId="CommentText">
    <w:name w:val="annotation text"/>
    <w:basedOn w:val="Normal"/>
    <w:link w:val="CommentTextChar"/>
    <w:uiPriority w:val="99"/>
    <w:semiHidden/>
    <w:unhideWhenUsed/>
    <w:rsid w:val="005D78A8"/>
    <w:pPr>
      <w:spacing w:line="240" w:lineRule="auto"/>
    </w:pPr>
    <w:rPr>
      <w:sz w:val="20"/>
      <w:szCs w:val="20"/>
    </w:rPr>
  </w:style>
  <w:style w:type="character" w:customStyle="1" w:styleId="CommentTextChar">
    <w:name w:val="Comment Text Char"/>
    <w:basedOn w:val="DefaultParagraphFont"/>
    <w:link w:val="CommentText"/>
    <w:uiPriority w:val="99"/>
    <w:semiHidden/>
    <w:rsid w:val="005D78A8"/>
    <w:rPr>
      <w:sz w:val="20"/>
      <w:szCs w:val="20"/>
    </w:rPr>
  </w:style>
  <w:style w:type="paragraph" w:styleId="CommentSubject">
    <w:name w:val="annotation subject"/>
    <w:basedOn w:val="CommentText"/>
    <w:next w:val="CommentText"/>
    <w:link w:val="CommentSubjectChar"/>
    <w:uiPriority w:val="99"/>
    <w:semiHidden/>
    <w:unhideWhenUsed/>
    <w:rsid w:val="005D78A8"/>
    <w:rPr>
      <w:b/>
      <w:bCs/>
    </w:rPr>
  </w:style>
  <w:style w:type="character" w:customStyle="1" w:styleId="CommentSubjectChar">
    <w:name w:val="Comment Subject Char"/>
    <w:basedOn w:val="CommentTextChar"/>
    <w:link w:val="CommentSubject"/>
    <w:uiPriority w:val="99"/>
    <w:semiHidden/>
    <w:rsid w:val="005D78A8"/>
    <w:rPr>
      <w:b/>
      <w:bCs/>
      <w:sz w:val="20"/>
      <w:szCs w:val="20"/>
    </w:rPr>
  </w:style>
  <w:style w:type="paragraph" w:customStyle="1" w:styleId="ms-rteelement-p">
    <w:name w:val="ms-rteelement-p"/>
    <w:basedOn w:val="Normal"/>
    <w:rsid w:val="008C0D8E"/>
    <w:pPr>
      <w:spacing w:before="100" w:beforeAutospacing="1" w:after="100" w:afterAutospacing="1" w:line="240" w:lineRule="auto"/>
    </w:pPr>
    <w:rPr>
      <w:rFonts w:ascii="Times New Roman" w:eastAsia="Times New Roman" w:hAnsi="Times New Roman" w:cs="Times New Roman"/>
      <w:color w:val="353535"/>
      <w:sz w:val="24"/>
      <w:szCs w:val="24"/>
      <w:lang w:eastAsia="en-GB"/>
    </w:rPr>
  </w:style>
  <w:style w:type="character" w:styleId="Emphasis">
    <w:name w:val="Emphasis"/>
    <w:basedOn w:val="DefaultParagraphFont"/>
    <w:uiPriority w:val="20"/>
    <w:qFormat/>
    <w:rsid w:val="00540B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D0"/>
    <w:pPr>
      <w:ind w:left="720"/>
      <w:contextualSpacing/>
    </w:pPr>
  </w:style>
  <w:style w:type="paragraph" w:styleId="Header">
    <w:name w:val="header"/>
    <w:basedOn w:val="Normal"/>
    <w:link w:val="HeaderChar"/>
    <w:uiPriority w:val="99"/>
    <w:unhideWhenUsed/>
    <w:rsid w:val="00232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93"/>
  </w:style>
  <w:style w:type="paragraph" w:styleId="Footer">
    <w:name w:val="footer"/>
    <w:basedOn w:val="Normal"/>
    <w:link w:val="FooterChar"/>
    <w:uiPriority w:val="99"/>
    <w:unhideWhenUsed/>
    <w:rsid w:val="00232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93"/>
  </w:style>
  <w:style w:type="character" w:styleId="Hyperlink">
    <w:name w:val="Hyperlink"/>
    <w:basedOn w:val="DefaultParagraphFont"/>
    <w:uiPriority w:val="99"/>
    <w:unhideWhenUsed/>
    <w:rsid w:val="00F327A1"/>
    <w:rPr>
      <w:color w:val="0000FF" w:themeColor="hyperlink"/>
      <w:u w:val="single"/>
    </w:rPr>
  </w:style>
  <w:style w:type="paragraph" w:styleId="BalloonText">
    <w:name w:val="Balloon Text"/>
    <w:basedOn w:val="Normal"/>
    <w:link w:val="BalloonTextChar"/>
    <w:uiPriority w:val="99"/>
    <w:semiHidden/>
    <w:unhideWhenUsed/>
    <w:rsid w:val="00A8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0E"/>
    <w:rPr>
      <w:rFonts w:ascii="Tahoma" w:hAnsi="Tahoma" w:cs="Tahoma"/>
      <w:sz w:val="16"/>
      <w:szCs w:val="16"/>
    </w:rPr>
  </w:style>
  <w:style w:type="character" w:styleId="CommentReference">
    <w:name w:val="annotation reference"/>
    <w:basedOn w:val="DefaultParagraphFont"/>
    <w:uiPriority w:val="99"/>
    <w:semiHidden/>
    <w:unhideWhenUsed/>
    <w:rsid w:val="005D78A8"/>
    <w:rPr>
      <w:sz w:val="16"/>
      <w:szCs w:val="16"/>
    </w:rPr>
  </w:style>
  <w:style w:type="paragraph" w:styleId="CommentText">
    <w:name w:val="annotation text"/>
    <w:basedOn w:val="Normal"/>
    <w:link w:val="CommentTextChar"/>
    <w:uiPriority w:val="99"/>
    <w:semiHidden/>
    <w:unhideWhenUsed/>
    <w:rsid w:val="005D78A8"/>
    <w:pPr>
      <w:spacing w:line="240" w:lineRule="auto"/>
    </w:pPr>
    <w:rPr>
      <w:sz w:val="20"/>
      <w:szCs w:val="20"/>
    </w:rPr>
  </w:style>
  <w:style w:type="character" w:customStyle="1" w:styleId="CommentTextChar">
    <w:name w:val="Comment Text Char"/>
    <w:basedOn w:val="DefaultParagraphFont"/>
    <w:link w:val="CommentText"/>
    <w:uiPriority w:val="99"/>
    <w:semiHidden/>
    <w:rsid w:val="005D78A8"/>
    <w:rPr>
      <w:sz w:val="20"/>
      <w:szCs w:val="20"/>
    </w:rPr>
  </w:style>
  <w:style w:type="paragraph" w:styleId="CommentSubject">
    <w:name w:val="annotation subject"/>
    <w:basedOn w:val="CommentText"/>
    <w:next w:val="CommentText"/>
    <w:link w:val="CommentSubjectChar"/>
    <w:uiPriority w:val="99"/>
    <w:semiHidden/>
    <w:unhideWhenUsed/>
    <w:rsid w:val="005D78A8"/>
    <w:rPr>
      <w:b/>
      <w:bCs/>
    </w:rPr>
  </w:style>
  <w:style w:type="character" w:customStyle="1" w:styleId="CommentSubjectChar">
    <w:name w:val="Comment Subject Char"/>
    <w:basedOn w:val="CommentTextChar"/>
    <w:link w:val="CommentSubject"/>
    <w:uiPriority w:val="99"/>
    <w:semiHidden/>
    <w:rsid w:val="005D78A8"/>
    <w:rPr>
      <w:b/>
      <w:bCs/>
      <w:sz w:val="20"/>
      <w:szCs w:val="20"/>
    </w:rPr>
  </w:style>
  <w:style w:type="paragraph" w:customStyle="1" w:styleId="ms-rteelement-p">
    <w:name w:val="ms-rteelement-p"/>
    <w:basedOn w:val="Normal"/>
    <w:rsid w:val="008C0D8E"/>
    <w:pPr>
      <w:spacing w:before="100" w:beforeAutospacing="1" w:after="100" w:afterAutospacing="1" w:line="240" w:lineRule="auto"/>
    </w:pPr>
    <w:rPr>
      <w:rFonts w:ascii="Times New Roman" w:eastAsia="Times New Roman" w:hAnsi="Times New Roman" w:cs="Times New Roman"/>
      <w:color w:val="353535"/>
      <w:sz w:val="24"/>
      <w:szCs w:val="24"/>
      <w:lang w:eastAsia="en-GB"/>
    </w:rPr>
  </w:style>
  <w:style w:type="character" w:styleId="Emphasis">
    <w:name w:val="Emphasis"/>
    <w:basedOn w:val="DefaultParagraphFont"/>
    <w:uiPriority w:val="20"/>
    <w:qFormat/>
    <w:rsid w:val="00540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6224">
      <w:bodyDiv w:val="1"/>
      <w:marLeft w:val="0"/>
      <w:marRight w:val="0"/>
      <w:marTop w:val="0"/>
      <w:marBottom w:val="0"/>
      <w:divBdr>
        <w:top w:val="none" w:sz="0" w:space="0" w:color="auto"/>
        <w:left w:val="none" w:sz="0" w:space="0" w:color="auto"/>
        <w:bottom w:val="none" w:sz="0" w:space="0" w:color="auto"/>
        <w:right w:val="none" w:sz="0" w:space="0" w:color="auto"/>
      </w:divBdr>
      <w:divsChild>
        <w:div w:id="1960260302">
          <w:marLeft w:val="0"/>
          <w:marRight w:val="0"/>
          <w:marTop w:val="0"/>
          <w:marBottom w:val="0"/>
          <w:divBdr>
            <w:top w:val="none" w:sz="0" w:space="0" w:color="auto"/>
            <w:left w:val="none" w:sz="0" w:space="0" w:color="auto"/>
            <w:bottom w:val="none" w:sz="0" w:space="0" w:color="auto"/>
            <w:right w:val="none" w:sz="0" w:space="0" w:color="auto"/>
          </w:divBdr>
          <w:divsChild>
            <w:div w:id="626160491">
              <w:marLeft w:val="0"/>
              <w:marRight w:val="0"/>
              <w:marTop w:val="0"/>
              <w:marBottom w:val="0"/>
              <w:divBdr>
                <w:top w:val="none" w:sz="0" w:space="0" w:color="auto"/>
                <w:left w:val="none" w:sz="0" w:space="0" w:color="auto"/>
                <w:bottom w:val="none" w:sz="0" w:space="0" w:color="auto"/>
                <w:right w:val="none" w:sz="0" w:space="0" w:color="auto"/>
              </w:divBdr>
              <w:divsChild>
                <w:div w:id="1905143879">
                  <w:marLeft w:val="0"/>
                  <w:marRight w:val="0"/>
                  <w:marTop w:val="0"/>
                  <w:marBottom w:val="0"/>
                  <w:divBdr>
                    <w:top w:val="none" w:sz="0" w:space="0" w:color="auto"/>
                    <w:left w:val="none" w:sz="0" w:space="0" w:color="auto"/>
                    <w:bottom w:val="none" w:sz="0" w:space="0" w:color="auto"/>
                    <w:right w:val="none" w:sz="0" w:space="0" w:color="auto"/>
                  </w:divBdr>
                  <w:divsChild>
                    <w:div w:id="80417216">
                      <w:marLeft w:val="0"/>
                      <w:marRight w:val="0"/>
                      <w:marTop w:val="0"/>
                      <w:marBottom w:val="0"/>
                      <w:divBdr>
                        <w:top w:val="none" w:sz="0" w:space="0" w:color="auto"/>
                        <w:left w:val="none" w:sz="0" w:space="0" w:color="auto"/>
                        <w:bottom w:val="none" w:sz="0" w:space="0" w:color="auto"/>
                        <w:right w:val="none" w:sz="0" w:space="0" w:color="auto"/>
                      </w:divBdr>
                      <w:divsChild>
                        <w:div w:id="743143469">
                          <w:marLeft w:val="0"/>
                          <w:marRight w:val="0"/>
                          <w:marTop w:val="0"/>
                          <w:marBottom w:val="0"/>
                          <w:divBdr>
                            <w:top w:val="none" w:sz="0" w:space="0" w:color="auto"/>
                            <w:left w:val="none" w:sz="0" w:space="0" w:color="auto"/>
                            <w:bottom w:val="none" w:sz="0" w:space="0" w:color="auto"/>
                            <w:right w:val="none" w:sz="0" w:space="0" w:color="auto"/>
                          </w:divBdr>
                          <w:divsChild>
                            <w:div w:id="1241865574">
                              <w:marLeft w:val="0"/>
                              <w:marRight w:val="0"/>
                              <w:marTop w:val="0"/>
                              <w:marBottom w:val="0"/>
                              <w:divBdr>
                                <w:top w:val="none" w:sz="0" w:space="0" w:color="auto"/>
                                <w:left w:val="none" w:sz="0" w:space="0" w:color="auto"/>
                                <w:bottom w:val="none" w:sz="0" w:space="0" w:color="auto"/>
                                <w:right w:val="none" w:sz="0" w:space="0" w:color="auto"/>
                              </w:divBdr>
                              <w:divsChild>
                                <w:div w:id="1828469602">
                                  <w:marLeft w:val="0"/>
                                  <w:marRight w:val="0"/>
                                  <w:marTop w:val="0"/>
                                  <w:marBottom w:val="0"/>
                                  <w:divBdr>
                                    <w:top w:val="none" w:sz="0" w:space="0" w:color="auto"/>
                                    <w:left w:val="none" w:sz="0" w:space="0" w:color="auto"/>
                                    <w:bottom w:val="none" w:sz="0" w:space="0" w:color="auto"/>
                                    <w:right w:val="none" w:sz="0" w:space="0" w:color="auto"/>
                                  </w:divBdr>
                                  <w:divsChild>
                                    <w:div w:id="922185485">
                                      <w:marLeft w:val="0"/>
                                      <w:marRight w:val="0"/>
                                      <w:marTop w:val="0"/>
                                      <w:marBottom w:val="0"/>
                                      <w:divBdr>
                                        <w:top w:val="none" w:sz="0" w:space="0" w:color="auto"/>
                                        <w:left w:val="none" w:sz="0" w:space="0" w:color="auto"/>
                                        <w:bottom w:val="none" w:sz="0" w:space="0" w:color="auto"/>
                                        <w:right w:val="none" w:sz="0" w:space="0" w:color="auto"/>
                                      </w:divBdr>
                                      <w:divsChild>
                                        <w:div w:id="1973443625">
                                          <w:marLeft w:val="0"/>
                                          <w:marRight w:val="0"/>
                                          <w:marTop w:val="0"/>
                                          <w:marBottom w:val="0"/>
                                          <w:divBdr>
                                            <w:top w:val="none" w:sz="0" w:space="0" w:color="auto"/>
                                            <w:left w:val="none" w:sz="0" w:space="0" w:color="auto"/>
                                            <w:bottom w:val="none" w:sz="0" w:space="0" w:color="auto"/>
                                            <w:right w:val="none" w:sz="0" w:space="0" w:color="auto"/>
                                          </w:divBdr>
                                          <w:divsChild>
                                            <w:div w:id="20747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c-uk.org/Aboutus/education/Documents/Standards%20for%20Education%20(v2%20revised%202015).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aa.ac.uk/assuring-standards-and-quality/the-quality-co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c-uk.org/Aboutus/education/Documents/TheFirstFiveYear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dc-uk.org/Aboutus/education/Documents/Preparing%20for%20Practice%20(revised%202015).pdf" TargetMode="External"/><Relationship Id="rId4" Type="http://schemas.microsoft.com/office/2007/relationships/stylesWithEffects" Target="stylesWithEffects.xml"/><Relationship Id="rId9" Type="http://schemas.openxmlformats.org/officeDocument/2006/relationships/hyperlink" Target="http://www.legislation.gov.uk/ukpga/1984/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7A14-35FF-4BCC-97E9-64521ECB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vb16v</dc:creator>
  <cp:lastModifiedBy>vb16v</cp:lastModifiedBy>
  <cp:revision>7</cp:revision>
  <cp:lastPrinted>2015-09-23T11:22:00Z</cp:lastPrinted>
  <dcterms:created xsi:type="dcterms:W3CDTF">2016-02-02T10:41:00Z</dcterms:created>
  <dcterms:modified xsi:type="dcterms:W3CDTF">2016-02-10T10:10:00Z</dcterms:modified>
</cp:coreProperties>
</file>