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4794" w14:textId="71CF859B" w:rsidR="00660D14" w:rsidRDefault="004B0A8B" w:rsidP="00375E7C">
      <w:pPr>
        <w:jc w:val="both"/>
        <w:rPr>
          <w:b/>
        </w:rPr>
      </w:pPr>
      <w:r>
        <w:rPr>
          <w:b/>
        </w:rPr>
        <w:t xml:space="preserve">ESPAC-4: </w:t>
      </w:r>
      <w:r w:rsidR="00B172CA" w:rsidRPr="00B34219">
        <w:rPr>
          <w:b/>
        </w:rPr>
        <w:t xml:space="preserve">RESPONSE TO </w:t>
      </w:r>
      <w:r>
        <w:rPr>
          <w:b/>
        </w:rPr>
        <w:t xml:space="preserve">LANCET </w:t>
      </w:r>
      <w:r w:rsidR="008F59BC">
        <w:rPr>
          <w:b/>
        </w:rPr>
        <w:t>COMMENTARY</w:t>
      </w:r>
      <w:r w:rsidR="00B172CA" w:rsidRPr="00B34219">
        <w:rPr>
          <w:b/>
        </w:rPr>
        <w:t xml:space="preserve"> BY DEPLANQUE AND DEMARTINES</w:t>
      </w:r>
    </w:p>
    <w:p w14:paraId="358B0263" w14:textId="5C84DA7A" w:rsidR="004B0A8B" w:rsidRDefault="004B0A8B" w:rsidP="00375E7C">
      <w:pPr>
        <w:jc w:val="both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Eftychia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Psarelli</w:t>
      </w:r>
      <w:proofErr w:type="spellEnd"/>
      <w:r>
        <w:rPr>
          <w:sz w:val="24"/>
          <w:szCs w:val="24"/>
        </w:rPr>
        <w:t>, M.Sc.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Richard Jackson, Ph.D.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John P. Neoptolemos, M.D.</w:t>
      </w:r>
      <w:r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 xml:space="preserve">, Daniel H. Palmer, </w:t>
      </w:r>
      <w:r>
        <w:rPr>
          <w:rFonts w:cs="Tahoma"/>
          <w:sz w:val="24"/>
          <w:szCs w:val="24"/>
        </w:rPr>
        <w:t>PhD.</w:t>
      </w:r>
      <w:r>
        <w:rPr>
          <w:sz w:val="24"/>
          <w:szCs w:val="24"/>
          <w:vertAlign w:val="superscript"/>
        </w:rPr>
        <w:t>1,3</w:t>
      </w:r>
      <w:r>
        <w:rPr>
          <w:sz w:val="24"/>
          <w:szCs w:val="24"/>
        </w:rPr>
        <w:t xml:space="preserve">, Paula </w:t>
      </w:r>
      <w:proofErr w:type="spellStart"/>
      <w:r>
        <w:rPr>
          <w:sz w:val="24"/>
          <w:szCs w:val="24"/>
        </w:rPr>
        <w:t>Ghaneh</w:t>
      </w:r>
      <w:proofErr w:type="spellEnd"/>
      <w:r>
        <w:rPr>
          <w:sz w:val="24"/>
          <w:szCs w:val="24"/>
        </w:rPr>
        <w:t>, M.D.</w:t>
      </w:r>
      <w:r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>,  Christopher M. Halloran, M.D.</w:t>
      </w:r>
      <w:r>
        <w:rPr>
          <w:sz w:val="24"/>
          <w:szCs w:val="24"/>
          <w:vertAlign w:val="superscript"/>
        </w:rPr>
        <w:t>1,</w:t>
      </w:r>
      <w:r w:rsidRPr="004B0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Markus W. </w:t>
      </w:r>
      <w:proofErr w:type="spellStart"/>
      <w:r>
        <w:rPr>
          <w:sz w:val="24"/>
          <w:szCs w:val="24"/>
        </w:rPr>
        <w:t>Büchler</w:t>
      </w:r>
      <w:proofErr w:type="spellEnd"/>
      <w:r>
        <w:rPr>
          <w:sz w:val="24"/>
          <w:szCs w:val="24"/>
        </w:rPr>
        <w:t>, M.D.</w:t>
      </w:r>
      <w:r>
        <w:rPr>
          <w:sz w:val="24"/>
          <w:szCs w:val="24"/>
          <w:vertAlign w:val="superscript"/>
        </w:rPr>
        <w:t>4</w:t>
      </w:r>
    </w:p>
    <w:p w14:paraId="0B79665A" w14:textId="77777777" w:rsidR="004B0A8B" w:rsidRDefault="004B0A8B" w:rsidP="00375E7C">
      <w:pPr>
        <w:jc w:val="both"/>
        <w:rPr>
          <w:sz w:val="24"/>
          <w:szCs w:val="24"/>
          <w:vertAlign w:val="superscript"/>
        </w:rPr>
      </w:pPr>
    </w:p>
    <w:p w14:paraId="09BC9AD9" w14:textId="71CA49D6" w:rsidR="004B0A8B" w:rsidRPr="004B0A8B" w:rsidRDefault="004B0A8B" w:rsidP="004B0A8B">
      <w:pPr>
        <w:jc w:val="both"/>
        <w:rPr>
          <w:b/>
        </w:rPr>
      </w:pPr>
      <w:r>
        <w:rPr>
          <w:sz w:val="24"/>
          <w:szCs w:val="24"/>
          <w:vertAlign w:val="superscript"/>
        </w:rPr>
        <w:t xml:space="preserve">1 </w:t>
      </w:r>
      <w:r w:rsidR="008F59BC">
        <w:rPr>
          <w:sz w:val="24"/>
          <w:szCs w:val="24"/>
        </w:rPr>
        <w:t xml:space="preserve">Cancer Research UK Liverpool Cancer Trials Unit, </w:t>
      </w:r>
      <w:r>
        <w:rPr>
          <w:sz w:val="24"/>
          <w:szCs w:val="24"/>
        </w:rPr>
        <w:t xml:space="preserve">University of Liverpool, Liverpool, United Kingdom; </w:t>
      </w:r>
      <w:r w:rsidR="008F59B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The Royal Liverpool University Hospital, Liverpool, United Kingdom; 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Clatterbridge</w:t>
      </w:r>
      <w:proofErr w:type="spellEnd"/>
      <w:r>
        <w:rPr>
          <w:sz w:val="24"/>
          <w:szCs w:val="24"/>
        </w:rPr>
        <w:t xml:space="preserve"> Cancer Centre, Wirral, United Kingdom; </w:t>
      </w:r>
      <w:r>
        <w:rPr>
          <w:sz w:val="24"/>
          <w:szCs w:val="24"/>
          <w:vertAlign w:val="superscript"/>
        </w:rPr>
        <w:t>4</w:t>
      </w:r>
      <w:r>
        <w:rPr>
          <w:rFonts w:cs="Calibri"/>
          <w:color w:val="000000"/>
          <w:sz w:val="24"/>
          <w:szCs w:val="24"/>
        </w:rPr>
        <w:t xml:space="preserve">University of </w:t>
      </w:r>
      <w:r>
        <w:rPr>
          <w:rFonts w:cs="Calibri"/>
          <w:color w:val="000000"/>
          <w:sz w:val="24"/>
          <w:szCs w:val="24"/>
        </w:rPr>
        <w:t>Heidelberg, Heidelberg, Germany.</w:t>
      </w:r>
    </w:p>
    <w:p w14:paraId="658717FA" w14:textId="77777777" w:rsidR="008F59BC" w:rsidRDefault="008F59BC" w:rsidP="004B0A8B">
      <w:pPr>
        <w:spacing w:after="0" w:line="480" w:lineRule="auto"/>
        <w:jc w:val="both"/>
      </w:pPr>
    </w:p>
    <w:p w14:paraId="0AAFC284" w14:textId="2D794238" w:rsidR="008F59BC" w:rsidRPr="008F59BC" w:rsidRDefault="008F59BC" w:rsidP="004B0A8B">
      <w:pPr>
        <w:spacing w:after="0" w:line="480" w:lineRule="auto"/>
        <w:jc w:val="both"/>
        <w:rPr>
          <w:b/>
        </w:rPr>
      </w:pPr>
      <w:r w:rsidRPr="008F59BC">
        <w:rPr>
          <w:b/>
        </w:rPr>
        <w:t>15</w:t>
      </w:r>
      <w:r w:rsidRPr="008F59BC">
        <w:rPr>
          <w:b/>
          <w:vertAlign w:val="superscript"/>
        </w:rPr>
        <w:t>th</w:t>
      </w:r>
      <w:r w:rsidRPr="008F59BC">
        <w:rPr>
          <w:b/>
        </w:rPr>
        <w:t xml:space="preserve"> February 2017</w:t>
      </w:r>
    </w:p>
    <w:p w14:paraId="21352A4B" w14:textId="77777777" w:rsidR="008F59BC" w:rsidRPr="008F59BC" w:rsidRDefault="008F59BC" w:rsidP="004B0A8B">
      <w:pPr>
        <w:spacing w:after="0" w:line="480" w:lineRule="auto"/>
        <w:jc w:val="both"/>
        <w:rPr>
          <w:b/>
        </w:rPr>
      </w:pPr>
      <w:r w:rsidRPr="008F59BC">
        <w:rPr>
          <w:b/>
        </w:rPr>
        <w:t>Editor,</w:t>
      </w:r>
    </w:p>
    <w:p w14:paraId="506A23B2" w14:textId="223850F9" w:rsidR="008F59BC" w:rsidRPr="008F59BC" w:rsidRDefault="008F59BC" w:rsidP="004B0A8B">
      <w:pPr>
        <w:spacing w:after="0" w:line="480" w:lineRule="auto"/>
        <w:jc w:val="both"/>
        <w:rPr>
          <w:b/>
        </w:rPr>
      </w:pPr>
      <w:r w:rsidRPr="008F59BC">
        <w:rPr>
          <w:b/>
        </w:rPr>
        <w:t>The Lancet</w:t>
      </w:r>
    </w:p>
    <w:p w14:paraId="12E85063" w14:textId="1FEE2BBF" w:rsidR="008F59BC" w:rsidRDefault="008F59BC" w:rsidP="004B0A8B">
      <w:pPr>
        <w:spacing w:after="0" w:line="480" w:lineRule="auto"/>
        <w:jc w:val="both"/>
      </w:pPr>
      <w:r>
        <w:t>Dear Sir,</w:t>
      </w:r>
    </w:p>
    <w:p w14:paraId="63D861FA" w14:textId="6A06D530" w:rsidR="00597B7C" w:rsidRDefault="0005729F" w:rsidP="004B0A8B">
      <w:pPr>
        <w:spacing w:after="0" w:line="480" w:lineRule="auto"/>
        <w:jc w:val="both"/>
      </w:pPr>
      <w:r>
        <w:t>We appreciate t</w:t>
      </w:r>
      <w:r w:rsidR="00B34219">
        <w:t xml:space="preserve">he commentary on our article by Dr </w:t>
      </w:r>
      <w:r w:rsidR="00B34219" w:rsidRPr="00B34219">
        <w:t>Gaël Deplanque</w:t>
      </w:r>
      <w:r w:rsidR="00A258F4">
        <w:t xml:space="preserve"> and Professor</w:t>
      </w:r>
      <w:r w:rsidR="00B34219">
        <w:t xml:space="preserve"> </w:t>
      </w:r>
      <w:r w:rsidR="00B34219" w:rsidRPr="00B34219">
        <w:t>Nicolas Demartines</w:t>
      </w:r>
      <w:r w:rsidR="00F8610E">
        <w:t xml:space="preserve"> </w:t>
      </w:r>
      <w:r w:rsidR="00A258F4">
        <w:t xml:space="preserve">concluding </w:t>
      </w:r>
      <w:r w:rsidR="008F59BC">
        <w:t xml:space="preserve">that </w:t>
      </w:r>
      <w:r w:rsidR="00377629">
        <w:t xml:space="preserve">the </w:t>
      </w:r>
      <w:r w:rsidR="008F59BC">
        <w:t>ESPAC</w:t>
      </w:r>
      <w:r w:rsidR="00A258F4">
        <w:t>-4 trial</w:t>
      </w:r>
      <w:r w:rsidR="00A258F4">
        <w:rPr>
          <w:vertAlign w:val="superscript"/>
        </w:rPr>
        <w:t>1</w:t>
      </w:r>
      <w:r w:rsidR="00377629">
        <w:t xml:space="preserve"> “…clearly establishes the combination of gemcitabine and capecitabine as a new standard of care in the adjuvant setting of pancreatic ductal adenocarcinoma.”</w:t>
      </w:r>
      <w:r w:rsidR="00597B7C">
        <w:rPr>
          <w:vertAlign w:val="superscript"/>
        </w:rPr>
        <w:t xml:space="preserve">2 </w:t>
      </w:r>
      <w:r w:rsidR="00A258F4">
        <w:t xml:space="preserve"> </w:t>
      </w:r>
    </w:p>
    <w:p w14:paraId="1B1D52C0" w14:textId="3DD5CA93" w:rsidR="00B05313" w:rsidRDefault="00A258F4" w:rsidP="004B0A8B">
      <w:pPr>
        <w:spacing w:after="0" w:line="480" w:lineRule="auto"/>
        <w:jc w:val="both"/>
      </w:pPr>
      <w:r>
        <w:t>W</w:t>
      </w:r>
      <w:r w:rsidR="008F59BC">
        <w:t>e would caution against the</w:t>
      </w:r>
      <w:r>
        <w:t xml:space="preserve"> </w:t>
      </w:r>
      <w:r>
        <w:t>approach taken by</w:t>
      </w:r>
      <w:r w:rsidR="00377629">
        <w:t xml:space="preserve"> the com</w:t>
      </w:r>
      <w:r w:rsidR="00CB1A7D">
        <w:t>m</w:t>
      </w:r>
      <w:r w:rsidR="00377629">
        <w:t xml:space="preserve">entators </w:t>
      </w:r>
      <w:r>
        <w:t>that</w:t>
      </w:r>
      <w:r w:rsidR="00377629">
        <w:t xml:space="preserve"> attempt</w:t>
      </w:r>
      <w:r>
        <w:t>s</w:t>
      </w:r>
      <w:r w:rsidR="00377629">
        <w:t xml:space="preserve"> to interpret the finding</w:t>
      </w:r>
      <w:r>
        <w:t xml:space="preserve">s in terms of a ‘cure’. </w:t>
      </w:r>
      <w:r w:rsidR="00597B7C">
        <w:t xml:space="preserve"> I</w:t>
      </w:r>
      <w:r w:rsidR="00C74207">
        <w:t>n our discuss</w:t>
      </w:r>
      <w:r w:rsidR="00C87EA7">
        <w:t>ion we comment only on the grou</w:t>
      </w:r>
      <w:r w:rsidR="00C74207">
        <w:t>n</w:t>
      </w:r>
      <w:r w:rsidR="00C87EA7">
        <w:t>d</w:t>
      </w:r>
      <w:r w:rsidR="00C74207">
        <w:t xml:space="preserve">s of extending </w:t>
      </w:r>
      <w:r w:rsidR="00C87EA7">
        <w:t xml:space="preserve">overall survival which must be the primary outcome worthy of discussion </w:t>
      </w:r>
      <w:r w:rsidR="00377629">
        <w:t xml:space="preserve">in a condition </w:t>
      </w:r>
      <w:r w:rsidR="00C87EA7">
        <w:t>with</w:t>
      </w:r>
      <w:r w:rsidR="00377629">
        <w:t xml:space="preserve"> such a poor prognosis.  </w:t>
      </w:r>
      <w:r w:rsidR="00C87EA7">
        <w:t>Further to this, it is dangerous to extrapolate cure from mea</w:t>
      </w:r>
      <w:r w:rsidR="00CB1A7D">
        <w:t>su</w:t>
      </w:r>
      <w:r w:rsidR="00C87EA7">
        <w:t>res of relapse free survival and tumour re</w:t>
      </w:r>
      <w:r w:rsidR="00B05313">
        <w:t>cur</w:t>
      </w:r>
      <w:r w:rsidR="00CB1A7D">
        <w:t>r</w:t>
      </w:r>
      <w:r w:rsidR="00B05313">
        <w:t xml:space="preserve">ence </w:t>
      </w:r>
      <w:r w:rsidR="00D748C6">
        <w:t>from</w:t>
      </w:r>
      <w:r w:rsidR="00B05313">
        <w:t xml:space="preserve"> this analysis as it is not possible to predict what will happen </w:t>
      </w:r>
      <w:r w:rsidR="00744E99">
        <w:t xml:space="preserve">to the patients still at risk. </w:t>
      </w:r>
      <w:r w:rsidR="00B05313">
        <w:t xml:space="preserve">Further analyses with longer follow-up are </w:t>
      </w:r>
      <w:r w:rsidR="003925DC">
        <w:t>required to get a better estimate of the number of patients who remain alive and disease free</w:t>
      </w:r>
      <w:r w:rsidR="00D748C6">
        <w:t xml:space="preserve"> after an extended period</w:t>
      </w:r>
      <w:r w:rsidR="003925DC">
        <w:t>.</w:t>
      </w:r>
    </w:p>
    <w:p w14:paraId="4EFC6338" w14:textId="42202973" w:rsidR="003925DC" w:rsidRDefault="00597B7C" w:rsidP="004B0A8B">
      <w:pPr>
        <w:spacing w:after="0" w:line="480" w:lineRule="auto"/>
        <w:jc w:val="both"/>
      </w:pPr>
      <w:r>
        <w:t>T</w:t>
      </w:r>
      <w:r w:rsidR="003925DC">
        <w:t>he estimates of the number needed to t</w:t>
      </w:r>
      <w:r>
        <w:t xml:space="preserve">reat </w:t>
      </w:r>
      <w:r w:rsidR="00180DC6">
        <w:t>should follow Altman</w:t>
      </w:r>
      <w:r>
        <w:t xml:space="preserve"> and </w:t>
      </w:r>
      <w:r w:rsidRPr="00597B7C">
        <w:t>Andersen</w:t>
      </w:r>
      <w:r w:rsidR="00180DC6">
        <w:t>’</w:t>
      </w:r>
      <w:r w:rsidR="00CB1A7D">
        <w:t>s</w:t>
      </w:r>
      <w:r>
        <w:rPr>
          <w:vertAlign w:val="superscript"/>
        </w:rPr>
        <w:t>3</w:t>
      </w:r>
      <w:r w:rsidR="003925DC">
        <w:t xml:space="preserve"> met</w:t>
      </w:r>
      <w:r>
        <w:t>hod for time-to-event outcomes which</w:t>
      </w:r>
      <w:r w:rsidR="003925DC">
        <w:t xml:space="preserve"> gives an estimate of needing to treat 15 patients</w:t>
      </w:r>
      <w:r>
        <w:t xml:space="preserve"> with the combination of gemcitabine and </w:t>
      </w:r>
      <w:proofErr w:type="spellStart"/>
      <w:r>
        <w:t>capecitabine</w:t>
      </w:r>
      <w:proofErr w:type="spellEnd"/>
      <w:r>
        <w:t xml:space="preserve"> rather than gemcitabine</w:t>
      </w:r>
      <w:r w:rsidR="003925DC">
        <w:t xml:space="preserve">, </w:t>
      </w:r>
      <w:r>
        <w:t xml:space="preserve">and </w:t>
      </w:r>
      <w:r w:rsidR="003925DC">
        <w:t>not 25, in order to save one more life.</w:t>
      </w:r>
      <w:r w:rsidR="00D50254">
        <w:t xml:space="preserve"> </w:t>
      </w:r>
      <w:r w:rsidR="003925DC">
        <w:t>We would also counter the claim that no patients had crossed</w:t>
      </w:r>
      <w:r w:rsidR="00744E99">
        <w:t xml:space="preserve"> the 5-year survival boundary. </w:t>
      </w:r>
      <w:r>
        <w:t>B</w:t>
      </w:r>
      <w:r w:rsidRPr="00597B7C">
        <w:t>etween November 10</w:t>
      </w:r>
      <w:r w:rsidRPr="00597B7C">
        <w:rPr>
          <w:vertAlign w:val="superscript"/>
        </w:rPr>
        <w:t>th</w:t>
      </w:r>
      <w:r>
        <w:t xml:space="preserve"> </w:t>
      </w:r>
      <w:r w:rsidRPr="00597B7C">
        <w:t>2008 and March 9</w:t>
      </w:r>
      <w:r w:rsidRPr="00597B7C">
        <w:rPr>
          <w:vertAlign w:val="superscript"/>
        </w:rPr>
        <w:t>th</w:t>
      </w:r>
      <w:r>
        <w:t xml:space="preserve"> </w:t>
      </w:r>
      <w:r w:rsidRPr="00597B7C">
        <w:t xml:space="preserve">2011 </w:t>
      </w:r>
      <w:r>
        <w:t xml:space="preserve">there were 162 patients randomised into the trial so </w:t>
      </w:r>
      <w:r>
        <w:lastRenderedPageBreak/>
        <w:t>permitting a minimum follow up of five years in these patients by the time of t</w:t>
      </w:r>
      <w:r>
        <w:t xml:space="preserve">he data </w:t>
      </w:r>
      <w:proofErr w:type="spellStart"/>
      <w:r>
        <w:t>cutoff</w:t>
      </w:r>
      <w:proofErr w:type="spellEnd"/>
      <w:r>
        <w:t xml:space="preserve"> date </w:t>
      </w:r>
      <w:r>
        <w:t xml:space="preserve">of </w:t>
      </w:r>
      <w:r>
        <w:t>March 9</w:t>
      </w:r>
      <w:r w:rsidRPr="00597B7C">
        <w:rPr>
          <w:vertAlign w:val="superscript"/>
        </w:rPr>
        <w:t>th</w:t>
      </w:r>
      <w:r>
        <w:t xml:space="preserve"> </w:t>
      </w:r>
      <w:proofErr w:type="gramStart"/>
      <w:r>
        <w:t>2016</w:t>
      </w:r>
      <w:r>
        <w:t>.</w:t>
      </w:r>
      <w:proofErr w:type="gramEnd"/>
    </w:p>
    <w:p w14:paraId="43774285" w14:textId="46BA325C" w:rsidR="00377629" w:rsidRPr="004B0A8B" w:rsidRDefault="00597B7C" w:rsidP="004B0A8B">
      <w:pPr>
        <w:spacing w:after="0" w:line="480" w:lineRule="auto"/>
        <w:jc w:val="both"/>
        <w:rPr>
          <w:vertAlign w:val="superscript"/>
        </w:rPr>
      </w:pPr>
      <w:r>
        <w:t>W</w:t>
      </w:r>
      <w:r w:rsidR="008F59BC">
        <w:t>e would like to re</w:t>
      </w:r>
      <w:r w:rsidR="00D748C6">
        <w:t xml:space="preserve">iterate the need raised by the </w:t>
      </w:r>
      <w:r w:rsidR="008F59BC">
        <w:t xml:space="preserve">commentators </w:t>
      </w:r>
      <w:r w:rsidR="00377629">
        <w:t>to improve</w:t>
      </w:r>
      <w:r w:rsidR="00D748C6">
        <w:t xml:space="preserve"> not only</w:t>
      </w:r>
      <w:r w:rsidR="00377629">
        <w:t xml:space="preserve"> the number of patients who are suitable for surgery </w:t>
      </w:r>
      <w:r w:rsidR="00D748C6">
        <w:t>but also</w:t>
      </w:r>
      <w:r w:rsidR="00377629">
        <w:t xml:space="preserve"> to improve the outcomes </w:t>
      </w:r>
      <w:r w:rsidR="00D50254">
        <w:t xml:space="preserve">of patients following surgery. </w:t>
      </w:r>
      <w:r w:rsidR="00377629">
        <w:t>Adjuvant chemotherapy clearly has a place in a condition that was on</w:t>
      </w:r>
      <w:r w:rsidR="00180DC6">
        <w:t>ce considered chemo-resistant and the data show here, as they have with previous ESPAC trials, that patients with better surgical outcom</w:t>
      </w:r>
      <w:r w:rsidR="00CB1A7D">
        <w:t>e</w:t>
      </w:r>
      <w:r w:rsidR="00180DC6">
        <w:t>s (typically R0 and N0) are more likely to benefit from adjuvant chemotherapy.</w:t>
      </w:r>
      <w:r w:rsidR="00D50254">
        <w:t xml:space="preserve"> </w:t>
      </w:r>
      <w:r w:rsidR="00180DC6">
        <w:t>Not only is more surgery required then, but surgery with better outcomes.</w:t>
      </w:r>
      <w:r w:rsidR="004B0A8B">
        <w:rPr>
          <w:vertAlign w:val="superscript"/>
        </w:rPr>
        <w:t>4</w:t>
      </w:r>
      <w:r w:rsidR="008F59BC">
        <w:t xml:space="preserve"> </w:t>
      </w:r>
      <w:proofErr w:type="gramStart"/>
      <w:r w:rsidR="00D12265">
        <w:t>The</w:t>
      </w:r>
      <w:proofErr w:type="gramEnd"/>
      <w:r w:rsidR="00D12265">
        <w:t xml:space="preserve"> role of neoadjuvant therapy also needs defining notably to increase the</w:t>
      </w:r>
      <w:r w:rsidR="004B0A8B">
        <w:t xml:space="preserve"> overall and </w:t>
      </w:r>
      <w:r w:rsidR="00D12265">
        <w:t>R0 and N0 resection rates.</w:t>
      </w:r>
      <w:r w:rsidR="004B0A8B">
        <w:rPr>
          <w:vertAlign w:val="superscript"/>
        </w:rPr>
        <w:t>5</w:t>
      </w:r>
    </w:p>
    <w:p w14:paraId="01BC4831" w14:textId="367B84B8" w:rsidR="00646FFC" w:rsidRDefault="00D83A61" w:rsidP="004B0A8B">
      <w:pPr>
        <w:spacing w:after="0" w:line="480" w:lineRule="auto"/>
        <w:jc w:val="both"/>
      </w:pPr>
      <w:r>
        <w:t>The primary endpoint wa</w:t>
      </w:r>
      <w:r>
        <w:t xml:space="preserve">s overall survival, measured as </w:t>
      </w:r>
      <w:r>
        <w:t>the time from ran</w:t>
      </w:r>
      <w:r>
        <w:t xml:space="preserve">domisation until death from any </w:t>
      </w:r>
      <w:r>
        <w:t>cause.</w:t>
      </w:r>
      <w:r>
        <w:t xml:space="preserve"> The</w:t>
      </w:r>
      <w:r>
        <w:t xml:space="preserve"> median (range) time from surgery to randomisation </w:t>
      </w:r>
      <w:r>
        <w:t xml:space="preserve">was </w:t>
      </w:r>
      <w:r>
        <w:t>64</w:t>
      </w:r>
      <w:r>
        <w:t xml:space="preserve"> </w:t>
      </w:r>
      <w:r>
        <w:t>(21–111)</w:t>
      </w:r>
      <w:r>
        <w:t xml:space="preserve"> days so the actual estimated survival </w:t>
      </w:r>
      <w:r w:rsidR="008F59BC">
        <w:t xml:space="preserve">from the time of surgery </w:t>
      </w:r>
      <w:bookmarkStart w:id="0" w:name="_GoBack"/>
      <w:bookmarkEnd w:id="0"/>
      <w:r>
        <w:t xml:space="preserve">is a median of an 64 additional days to the estimated median </w:t>
      </w:r>
      <w:r w:rsidRPr="00D83A61">
        <w:t>25·5 months</w:t>
      </w:r>
      <w:r>
        <w:t xml:space="preserve"> and 28.0 months </w:t>
      </w:r>
      <w:r w:rsidR="00401A75">
        <w:t>in the two groups.</w:t>
      </w:r>
      <w:r w:rsidR="004B0A8B">
        <w:rPr>
          <w:vertAlign w:val="superscript"/>
        </w:rPr>
        <w:t>1</w:t>
      </w:r>
      <w:r w:rsidR="00401A75">
        <w:t xml:space="preserve"> </w:t>
      </w:r>
    </w:p>
    <w:p w14:paraId="7D9D641F" w14:textId="1422CE45" w:rsidR="00646FFC" w:rsidRDefault="00646FFC" w:rsidP="004B0A8B">
      <w:pPr>
        <w:spacing w:after="0" w:line="480" w:lineRule="auto"/>
        <w:jc w:val="both"/>
      </w:pPr>
      <w:r>
        <w:t xml:space="preserve">As the reviewers note, fitter patients are more likely to tolerate 6 cycles of adjuvant chemotherapy and it has been shown using data from the ESPAC-3 trial </w:t>
      </w:r>
      <w:r w:rsidR="004B0A8B">
        <w:rPr>
          <w:vertAlign w:val="superscript"/>
        </w:rPr>
        <w:t>6</w:t>
      </w:r>
      <w:r>
        <w:t xml:space="preserve"> that completing all 6 cycles is an important factor in ensuring that the impact of adjuvant therapy is realised and may mean waiting </w:t>
      </w:r>
      <w:r>
        <w:t>sometime after eight weeks after surgery</w:t>
      </w:r>
      <w:r w:rsidR="00D12265">
        <w:t xml:space="preserve">. </w:t>
      </w:r>
      <w:r>
        <w:t>In the ESPAC-3 trial</w:t>
      </w:r>
      <w:r w:rsidR="00401A75">
        <w:t xml:space="preserve"> the estimated</w:t>
      </w:r>
      <w:r>
        <w:t xml:space="preserve"> median (interquartile range) from surgery to randomisation was </w:t>
      </w:r>
      <w:r w:rsidRPr="00646FFC">
        <w:t>45 (29-57)</w:t>
      </w:r>
      <w:r>
        <w:t xml:space="preserve"> days</w:t>
      </w:r>
      <w:r w:rsidRPr="00646FFC">
        <w:t xml:space="preserve"> </w:t>
      </w:r>
      <w:r>
        <w:t xml:space="preserve">and from randomization </w:t>
      </w:r>
      <w:r>
        <w:t>to the start of chemotherapy was</w:t>
      </w:r>
      <w:r>
        <w:t xml:space="preserve"> </w:t>
      </w:r>
      <w:r>
        <w:t>10 (5-18)</w:t>
      </w:r>
      <w:r>
        <w:t xml:space="preserve"> </w:t>
      </w:r>
      <w:r>
        <w:t>days for the fluorouracil plus folinic acid</w:t>
      </w:r>
      <w:r>
        <w:t xml:space="preserve"> </w:t>
      </w:r>
      <w:r>
        <w:t>group and 8 (5-14) days for the</w:t>
      </w:r>
      <w:r>
        <w:t xml:space="preserve"> </w:t>
      </w:r>
      <w:r>
        <w:t>gemcitabine group.</w:t>
      </w:r>
      <w:r w:rsidR="00D12265">
        <w:t xml:space="preserve"> Thus effective survival with adjuvant chemotherapy can be started up to 18 weeks post-surgery to achieve an optimum result with six cycles</w:t>
      </w:r>
      <w:r w:rsidR="004B0A8B">
        <w:t xml:space="preserve"> </w:t>
      </w:r>
      <w:r w:rsidR="00D12265">
        <w:t>of chemotherapy.</w:t>
      </w:r>
    </w:p>
    <w:p w14:paraId="2B985F80" w14:textId="0F110A38" w:rsidR="008F59BC" w:rsidRDefault="008F59BC">
      <w:r>
        <w:br w:type="page"/>
      </w:r>
    </w:p>
    <w:p w14:paraId="56F2DA17" w14:textId="77777777" w:rsidR="004B0A8B" w:rsidRDefault="004B0A8B" w:rsidP="004B0A8B">
      <w:pPr>
        <w:spacing w:after="0" w:line="48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Corresponding Author:</w:t>
      </w:r>
    </w:p>
    <w:p w14:paraId="3DA57C3F" w14:textId="77777777" w:rsidR="004B0A8B" w:rsidRDefault="004B0A8B" w:rsidP="004B0A8B">
      <w:pPr>
        <w:tabs>
          <w:tab w:val="left" w:pos="2200"/>
          <w:tab w:val="left" w:pos="8460"/>
          <w:tab w:val="right" w:pos="864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 John Neoptolemos, </w:t>
      </w:r>
    </w:p>
    <w:p w14:paraId="109C5934" w14:textId="77777777" w:rsidR="004B0A8B" w:rsidRDefault="004B0A8B" w:rsidP="004B0A8B">
      <w:pPr>
        <w:tabs>
          <w:tab w:val="left" w:pos="2200"/>
          <w:tab w:val="left" w:pos="8460"/>
          <w:tab w:val="right" w:pos="8640"/>
        </w:tabs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Owen and Ellen Evans Chair of Surgery, </w:t>
      </w:r>
    </w:p>
    <w:p w14:paraId="5916CAF9" w14:textId="77777777" w:rsidR="004B0A8B" w:rsidRDefault="004B0A8B" w:rsidP="004B0A8B">
      <w:pPr>
        <w:tabs>
          <w:tab w:val="left" w:pos="2200"/>
          <w:tab w:val="left" w:pos="8460"/>
          <w:tab w:val="right" w:pos="8640"/>
        </w:tabs>
        <w:spacing w:after="0" w:line="480" w:lineRule="auto"/>
        <w:jc w:val="both"/>
        <w:rPr>
          <w:rStyle w:val="Hyperlink"/>
          <w:color w:val="auto"/>
          <w:u w:val="none"/>
        </w:rPr>
      </w:pPr>
      <w:r>
        <w:rPr>
          <w:rStyle w:val="Hyperlink"/>
          <w:sz w:val="24"/>
          <w:szCs w:val="24"/>
        </w:rPr>
        <w:t>Liverpool Clinical and Cancer Research UK Trials Unit:</w:t>
      </w:r>
    </w:p>
    <w:p w14:paraId="5A759D4E" w14:textId="77777777" w:rsidR="004B0A8B" w:rsidRDefault="004B0A8B" w:rsidP="004B0A8B">
      <w:pPr>
        <w:spacing w:after="0" w:line="480" w:lineRule="auto"/>
        <w:jc w:val="both"/>
      </w:pPr>
      <w:r>
        <w:rPr>
          <w:sz w:val="24"/>
          <w:szCs w:val="24"/>
        </w:rPr>
        <w:t xml:space="preserve">University of Liverpool, </w:t>
      </w:r>
    </w:p>
    <w:p w14:paraId="6D2093EC" w14:textId="77777777" w:rsidR="004B0A8B" w:rsidRDefault="004B0A8B" w:rsidP="004B0A8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1st floor Block C, Waterhouse Building, </w:t>
      </w:r>
    </w:p>
    <w:p w14:paraId="15D7B5BB" w14:textId="77777777" w:rsidR="004B0A8B" w:rsidRDefault="004B0A8B" w:rsidP="004B0A8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Brownlow Street, Liverpool, </w:t>
      </w:r>
    </w:p>
    <w:p w14:paraId="0F63771E" w14:textId="77777777" w:rsidR="004B0A8B" w:rsidRDefault="004B0A8B" w:rsidP="004B0A8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L69 3GL, UK</w:t>
      </w:r>
    </w:p>
    <w:p w14:paraId="75DD6581" w14:textId="77777777" w:rsidR="004B0A8B" w:rsidRDefault="004B0A8B" w:rsidP="004B0A8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+44 (0)151 794 8383</w:t>
      </w:r>
    </w:p>
    <w:p w14:paraId="498BFB20" w14:textId="77777777" w:rsidR="004B0A8B" w:rsidRDefault="004B0A8B" w:rsidP="004B0A8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Fax: +44 (0)151 794 8931</w:t>
      </w:r>
    </w:p>
    <w:p w14:paraId="1A2DDECF" w14:textId="77777777" w:rsidR="004B0A8B" w:rsidRDefault="004B0A8B" w:rsidP="004B0A8B">
      <w:pPr>
        <w:tabs>
          <w:tab w:val="left" w:pos="2200"/>
          <w:tab w:val="left" w:pos="8460"/>
          <w:tab w:val="right" w:pos="8640"/>
        </w:tabs>
        <w:spacing w:after="0" w:line="480" w:lineRule="auto"/>
        <w:jc w:val="both"/>
        <w:rPr>
          <w:rStyle w:val="Hyperlink"/>
          <w:u w:val="none"/>
        </w:rPr>
      </w:pPr>
      <w:r>
        <w:rPr>
          <w:sz w:val="24"/>
          <w:szCs w:val="24"/>
        </w:rPr>
        <w:t xml:space="preserve">Email: </w:t>
      </w:r>
      <w:hyperlink r:id="rId7" w:history="1">
        <w:r>
          <w:rPr>
            <w:rStyle w:val="Hyperlink"/>
            <w:sz w:val="24"/>
            <w:szCs w:val="24"/>
          </w:rPr>
          <w:t>j.p.neoptolemos@liverpool.ac.uk</w:t>
        </w:r>
      </w:hyperlink>
      <w:r>
        <w:rPr>
          <w:rStyle w:val="Hyperlink"/>
          <w:sz w:val="24"/>
          <w:szCs w:val="24"/>
        </w:rPr>
        <w:t xml:space="preserve"> </w:t>
      </w:r>
    </w:p>
    <w:p w14:paraId="7FC8EC40" w14:textId="77777777" w:rsidR="00646FFC" w:rsidRDefault="00646FFC" w:rsidP="00D83A61">
      <w:pPr>
        <w:jc w:val="both"/>
      </w:pPr>
    </w:p>
    <w:p w14:paraId="16D9D438" w14:textId="1A170288" w:rsidR="0061228D" w:rsidRDefault="0061228D" w:rsidP="00D83A61">
      <w:pPr>
        <w:jc w:val="both"/>
      </w:pPr>
    </w:p>
    <w:p w14:paraId="088A1056" w14:textId="77777777" w:rsidR="008F59BC" w:rsidRDefault="008F59BC">
      <w:pPr>
        <w:rPr>
          <w:b/>
        </w:rPr>
      </w:pPr>
      <w:r>
        <w:rPr>
          <w:b/>
        </w:rPr>
        <w:br w:type="page"/>
      </w:r>
    </w:p>
    <w:p w14:paraId="1EA27B15" w14:textId="12B017B4" w:rsidR="00B1135C" w:rsidRPr="004B0A8B" w:rsidRDefault="004B0A8B" w:rsidP="00B1135C">
      <w:pPr>
        <w:jc w:val="both"/>
        <w:rPr>
          <w:b/>
        </w:rPr>
      </w:pPr>
      <w:r w:rsidRPr="004B0A8B">
        <w:rPr>
          <w:b/>
        </w:rPr>
        <w:lastRenderedPageBreak/>
        <w:t>REFERENCES</w:t>
      </w:r>
    </w:p>
    <w:p w14:paraId="76CBB278" w14:textId="3579A97D" w:rsidR="00A258F4" w:rsidRDefault="00A258F4" w:rsidP="008F59B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</w:pPr>
      <w:r w:rsidRPr="00A258F4">
        <w:t xml:space="preserve">Neoptolemos JP, Palmer DH, </w:t>
      </w:r>
      <w:proofErr w:type="spellStart"/>
      <w:r w:rsidRPr="00A258F4">
        <w:t>Ghaneh</w:t>
      </w:r>
      <w:proofErr w:type="spellEnd"/>
      <w:r w:rsidRPr="00A258F4">
        <w:t xml:space="preserve"> P, </w:t>
      </w:r>
      <w:r w:rsidR="00D12265">
        <w:t>et al</w:t>
      </w:r>
      <w:r w:rsidRPr="00A258F4">
        <w:t xml:space="preserve">; European Study Group for Pancreatic Cancer. Comparison of adjuvant gemcitabine and </w:t>
      </w:r>
      <w:proofErr w:type="spellStart"/>
      <w:r w:rsidRPr="00A258F4">
        <w:t>capecitabine</w:t>
      </w:r>
      <w:proofErr w:type="spellEnd"/>
      <w:r w:rsidRPr="00A258F4">
        <w:t xml:space="preserve"> with gemcitabine monotherapy in patients with resected pancreatic cancer (ESPAC-4): a multicentre, open-label, randomised, phase 3 trial. Lancet.  2017 Jan</w:t>
      </w:r>
      <w:r w:rsidR="008F59BC">
        <w:t xml:space="preserve"> 24. </w:t>
      </w:r>
      <w:proofErr w:type="spellStart"/>
      <w:proofErr w:type="gramStart"/>
      <w:r w:rsidR="008F59BC">
        <w:t>pii</w:t>
      </w:r>
      <w:proofErr w:type="spellEnd"/>
      <w:proofErr w:type="gramEnd"/>
      <w:r w:rsidR="008F59BC">
        <w:t>: S0140-6736(16)32409-6</w:t>
      </w:r>
      <w:r w:rsidRPr="00A258F4">
        <w:t>.</w:t>
      </w:r>
    </w:p>
    <w:p w14:paraId="4A683465" w14:textId="2912F47E" w:rsidR="00597B7C" w:rsidRDefault="00597B7C" w:rsidP="008F59B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</w:pPr>
      <w:proofErr w:type="spellStart"/>
      <w:r>
        <w:t>Deplanque</w:t>
      </w:r>
      <w:proofErr w:type="spellEnd"/>
      <w:r>
        <w:t xml:space="preserve"> G, Demartines N</w:t>
      </w:r>
      <w:r>
        <w:t>.</w:t>
      </w:r>
      <w:r w:rsidRPr="00597B7C">
        <w:t xml:space="preserve"> </w:t>
      </w:r>
      <w:r>
        <w:t>Pancreatic cancer: are more chemotherapy and surgery needed?</w:t>
      </w:r>
      <w:r>
        <w:t xml:space="preserve"> </w:t>
      </w:r>
      <w:r>
        <w:t xml:space="preserve">Lancet. 2017 Jan 24. </w:t>
      </w:r>
      <w:proofErr w:type="spellStart"/>
      <w:proofErr w:type="gramStart"/>
      <w:r>
        <w:t>pii</w:t>
      </w:r>
      <w:proofErr w:type="spellEnd"/>
      <w:proofErr w:type="gramEnd"/>
      <w:r>
        <w:t>: S0140-6736(17)30126-5</w:t>
      </w:r>
      <w:r w:rsidR="008F59BC">
        <w:t>.</w:t>
      </w:r>
    </w:p>
    <w:p w14:paraId="0136B9F8" w14:textId="77777777" w:rsidR="00D83A61" w:rsidRDefault="00B1135C" w:rsidP="008F59B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</w:pPr>
      <w:r w:rsidRPr="00B1135C">
        <w:t>Altman DG, Andersen PK: Calculating the number needed to treat where the outcome</w:t>
      </w:r>
      <w:r w:rsidR="00A258F4">
        <w:t xml:space="preserve"> is time to an event. BMJ. 1999;</w:t>
      </w:r>
      <w:r w:rsidRPr="00B1135C">
        <w:t xml:space="preserve"> 319: 1492-1495</w:t>
      </w:r>
      <w:r w:rsidR="00A258F4">
        <w:t>.</w:t>
      </w:r>
    </w:p>
    <w:p w14:paraId="5860418C" w14:textId="5B3AA34C" w:rsidR="008F59BC" w:rsidRDefault="008F59BC" w:rsidP="008F59B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</w:pPr>
      <w:proofErr w:type="spellStart"/>
      <w:r>
        <w:t>Hartwig</w:t>
      </w:r>
      <w:proofErr w:type="spellEnd"/>
      <w:r>
        <w:t xml:space="preserve"> W, Werner J, </w:t>
      </w:r>
      <w:proofErr w:type="spellStart"/>
      <w:r>
        <w:t>Jäger</w:t>
      </w:r>
      <w:proofErr w:type="spellEnd"/>
      <w:r>
        <w:t xml:space="preserve"> D, et al.</w:t>
      </w:r>
      <w:r w:rsidRPr="00D12265">
        <w:t xml:space="preserve"> </w:t>
      </w:r>
      <w:r>
        <w:t xml:space="preserve">Improvement of surgical results for pancreatic cancer. Lancet </w:t>
      </w:r>
      <w:proofErr w:type="spellStart"/>
      <w:r>
        <w:t>Oncol</w:t>
      </w:r>
      <w:proofErr w:type="spellEnd"/>
      <w:r>
        <w:t>. 2013</w:t>
      </w:r>
      <w:proofErr w:type="gramStart"/>
      <w:r>
        <w:t>;14</w:t>
      </w:r>
      <w:proofErr w:type="gramEnd"/>
      <w:r>
        <w:t xml:space="preserve">(11):e476-85. </w:t>
      </w:r>
    </w:p>
    <w:p w14:paraId="7FBF9031" w14:textId="77777777" w:rsidR="008F59BC" w:rsidRDefault="008F59BC" w:rsidP="008F59B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</w:pPr>
      <w:proofErr w:type="spellStart"/>
      <w:r>
        <w:t>Hackert</w:t>
      </w:r>
      <w:proofErr w:type="spellEnd"/>
      <w:r>
        <w:t xml:space="preserve"> T, </w:t>
      </w:r>
      <w:proofErr w:type="spellStart"/>
      <w:r>
        <w:t>Sachsenmaier</w:t>
      </w:r>
      <w:proofErr w:type="spellEnd"/>
      <w:r>
        <w:t xml:space="preserve"> M, </w:t>
      </w:r>
      <w:proofErr w:type="spellStart"/>
      <w:proofErr w:type="gramStart"/>
      <w:r>
        <w:t>Hinz</w:t>
      </w:r>
      <w:proofErr w:type="spellEnd"/>
      <w:proofErr w:type="gramEnd"/>
      <w:r>
        <w:t xml:space="preserve"> U, et al. Locally Advanced pancreatic cancer: neoadjuvant therapy with FOLFIRINOX results in </w:t>
      </w:r>
      <w:proofErr w:type="spellStart"/>
      <w:r>
        <w:t>resectability</w:t>
      </w:r>
      <w:proofErr w:type="spellEnd"/>
      <w:r>
        <w:t xml:space="preserve"> in 60% of the patients. Ann Surg. 2016; 264(3):457-63. </w:t>
      </w:r>
    </w:p>
    <w:p w14:paraId="07C47E53" w14:textId="551A5641" w:rsidR="00377629" w:rsidRDefault="00D83A61" w:rsidP="008F59BC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</w:pPr>
      <w:r w:rsidRPr="00D83A61">
        <w:t>Valle J</w:t>
      </w:r>
      <w:r>
        <w:t xml:space="preserve">W, Palmer D, Jackson R, </w:t>
      </w:r>
      <w:r w:rsidR="00D12265">
        <w:t>et al</w:t>
      </w:r>
      <w:r w:rsidRPr="00D83A61">
        <w:t>. Optimal duration and timing of adjuvant chemotherapy after definitive surgery for ductal adenocarcinoma of the pancreas: ongoing lessons from the ESPAC-3 study. Journal of Clinical Oncology. 2014; 32:504-512.</w:t>
      </w:r>
    </w:p>
    <w:p w14:paraId="7782E0FF" w14:textId="77777777" w:rsidR="00D12265" w:rsidRDefault="00D12265">
      <w:pPr>
        <w:jc w:val="both"/>
      </w:pPr>
    </w:p>
    <w:sectPr w:rsidR="00D1226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AE425" w14:textId="77777777" w:rsidR="00CD1101" w:rsidRDefault="00CD1101" w:rsidP="008F59BC">
      <w:pPr>
        <w:spacing w:after="0" w:line="240" w:lineRule="auto"/>
      </w:pPr>
      <w:r>
        <w:separator/>
      </w:r>
    </w:p>
  </w:endnote>
  <w:endnote w:type="continuationSeparator" w:id="0">
    <w:p w14:paraId="401E626B" w14:textId="77777777" w:rsidR="00CD1101" w:rsidRDefault="00CD1101" w:rsidP="008F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2588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F6C5CD" w14:textId="75FAB57E" w:rsidR="008F59BC" w:rsidRDefault="008F59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670B6" w14:textId="77777777" w:rsidR="008F59BC" w:rsidRDefault="008F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7E18" w14:textId="77777777" w:rsidR="00CD1101" w:rsidRDefault="00CD1101" w:rsidP="008F59BC">
      <w:pPr>
        <w:spacing w:after="0" w:line="240" w:lineRule="auto"/>
      </w:pPr>
      <w:r>
        <w:separator/>
      </w:r>
    </w:p>
  </w:footnote>
  <w:footnote w:type="continuationSeparator" w:id="0">
    <w:p w14:paraId="12885B64" w14:textId="77777777" w:rsidR="00CD1101" w:rsidRDefault="00CD1101" w:rsidP="008F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C413F" w14:textId="35539981" w:rsidR="008F59BC" w:rsidRDefault="008F59BC">
    <w:pPr>
      <w:pStyle w:val="Header"/>
    </w:pPr>
    <w:r>
      <w:t>ESPAC-4 Letter/Lancet                                                                                                          15</w:t>
    </w:r>
    <w:r w:rsidRPr="008F59BC">
      <w:rPr>
        <w:vertAlign w:val="superscript"/>
      </w:rPr>
      <w:t>th</w:t>
    </w:r>
    <w:r>
      <w:t xml:space="preserve"> February 2017</w:t>
    </w:r>
  </w:p>
  <w:p w14:paraId="75B2534D" w14:textId="77777777" w:rsidR="008F59BC" w:rsidRDefault="008F5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37BF7"/>
    <w:multiLevelType w:val="hybridMultilevel"/>
    <w:tmpl w:val="762CE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A"/>
    <w:rsid w:val="00035B6E"/>
    <w:rsid w:val="0005729F"/>
    <w:rsid w:val="000E3B0B"/>
    <w:rsid w:val="00180DC6"/>
    <w:rsid w:val="001C2043"/>
    <w:rsid w:val="00282735"/>
    <w:rsid w:val="00333BC5"/>
    <w:rsid w:val="00375E7C"/>
    <w:rsid w:val="00377629"/>
    <w:rsid w:val="003925DC"/>
    <w:rsid w:val="00401A75"/>
    <w:rsid w:val="00402A0C"/>
    <w:rsid w:val="004B0A8B"/>
    <w:rsid w:val="00597B7C"/>
    <w:rsid w:val="005E4BFC"/>
    <w:rsid w:val="0061228D"/>
    <w:rsid w:val="00646FFC"/>
    <w:rsid w:val="00660D14"/>
    <w:rsid w:val="006F735D"/>
    <w:rsid w:val="00744E99"/>
    <w:rsid w:val="008F59BC"/>
    <w:rsid w:val="00A258F4"/>
    <w:rsid w:val="00B05313"/>
    <w:rsid w:val="00B1135C"/>
    <w:rsid w:val="00B172CA"/>
    <w:rsid w:val="00B34219"/>
    <w:rsid w:val="00C63510"/>
    <w:rsid w:val="00C74207"/>
    <w:rsid w:val="00C87EA7"/>
    <w:rsid w:val="00CB1A7D"/>
    <w:rsid w:val="00CD1101"/>
    <w:rsid w:val="00D12265"/>
    <w:rsid w:val="00D50254"/>
    <w:rsid w:val="00D748C6"/>
    <w:rsid w:val="00D83A61"/>
    <w:rsid w:val="00F8610E"/>
    <w:rsid w:val="00F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C5D"/>
  <w15:chartTrackingRefBased/>
  <w15:docId w15:val="{6B0A8543-97DC-43CC-BEC4-354F707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2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9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B0A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9BC"/>
  </w:style>
  <w:style w:type="paragraph" w:styleId="Footer">
    <w:name w:val="footer"/>
    <w:basedOn w:val="Normal"/>
    <w:link w:val="FooterChar"/>
    <w:uiPriority w:val="99"/>
    <w:unhideWhenUsed/>
    <w:rsid w:val="008F5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p.neoptolemos@liverpoo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4D"/>
    <w:rsid w:val="005C244D"/>
    <w:rsid w:val="00B1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C040A268B4C8D8FEC5AA1AEEABD34">
    <w:name w:val="1F5C040A268B4C8D8FEC5AA1AEEABD34"/>
    <w:rsid w:val="005C2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Psarelli, Eftychia</dc:creator>
  <cp:keywords/>
  <dc:description/>
  <cp:lastModifiedBy>Neoptolemos, John</cp:lastModifiedBy>
  <cp:revision>2</cp:revision>
  <dcterms:created xsi:type="dcterms:W3CDTF">2017-02-14T14:43:00Z</dcterms:created>
  <dcterms:modified xsi:type="dcterms:W3CDTF">2017-02-14T14:43:00Z</dcterms:modified>
</cp:coreProperties>
</file>