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B933C" w14:textId="0542D002" w:rsidR="00E77423" w:rsidRPr="00FD7D7C" w:rsidRDefault="00DC40A2" w:rsidP="002109C3">
      <w:pPr>
        <w:spacing w:line="240" w:lineRule="auto"/>
        <w:rPr>
          <w:b/>
          <w:sz w:val="28"/>
          <w:szCs w:val="28"/>
        </w:rPr>
      </w:pPr>
      <w:r w:rsidRPr="00FD7D7C">
        <w:rPr>
          <w:b/>
          <w:sz w:val="28"/>
          <w:szCs w:val="28"/>
        </w:rPr>
        <w:t xml:space="preserve">MADIX </w:t>
      </w:r>
      <w:r w:rsidR="00CE42A7" w:rsidRPr="00FD7D7C">
        <w:rPr>
          <w:b/>
          <w:sz w:val="28"/>
          <w:szCs w:val="28"/>
        </w:rPr>
        <w:t>Polymerization</w:t>
      </w:r>
      <w:r w:rsidR="00E77423" w:rsidRPr="00FD7D7C">
        <w:rPr>
          <w:b/>
          <w:sz w:val="28"/>
          <w:szCs w:val="28"/>
        </w:rPr>
        <w:t xml:space="preserve"> of Vinyl Acetate</w:t>
      </w:r>
      <w:r w:rsidR="00792B7E" w:rsidRPr="00FD7D7C">
        <w:rPr>
          <w:b/>
          <w:sz w:val="28"/>
          <w:szCs w:val="28"/>
        </w:rPr>
        <w:t xml:space="preserve"> using Ethyl Acetate as </w:t>
      </w:r>
      <w:r w:rsidR="007C6D9E" w:rsidRPr="00FD7D7C">
        <w:rPr>
          <w:b/>
          <w:sz w:val="28"/>
          <w:szCs w:val="28"/>
        </w:rPr>
        <w:t>a</w:t>
      </w:r>
      <w:r w:rsidR="008439DF" w:rsidRPr="00FD7D7C">
        <w:rPr>
          <w:b/>
          <w:sz w:val="28"/>
          <w:szCs w:val="28"/>
        </w:rPr>
        <w:t xml:space="preserve"> Green Solvent</w:t>
      </w:r>
      <w:r w:rsidR="00792B7E" w:rsidRPr="00FD7D7C">
        <w:rPr>
          <w:b/>
          <w:sz w:val="28"/>
          <w:szCs w:val="28"/>
        </w:rPr>
        <w:t>;</w:t>
      </w:r>
      <w:r w:rsidR="00E77423" w:rsidRPr="00FD7D7C">
        <w:rPr>
          <w:b/>
          <w:sz w:val="28"/>
          <w:szCs w:val="28"/>
        </w:rPr>
        <w:t xml:space="preserve"> Near</w:t>
      </w:r>
      <w:r w:rsidRPr="00FD7D7C">
        <w:rPr>
          <w:b/>
          <w:sz w:val="28"/>
          <w:szCs w:val="28"/>
        </w:rPr>
        <w:t xml:space="preserve"> Complete Monomer Conversion with Molecular Weight </w:t>
      </w:r>
      <w:r w:rsidR="00B507B4" w:rsidRPr="00FD7D7C">
        <w:rPr>
          <w:b/>
          <w:sz w:val="28"/>
          <w:szCs w:val="28"/>
        </w:rPr>
        <w:t>Control</w:t>
      </w:r>
    </w:p>
    <w:p w14:paraId="18EC19D9" w14:textId="77777777" w:rsidR="003E229D" w:rsidRPr="00FD7D7C" w:rsidRDefault="004D6806" w:rsidP="002109C3">
      <w:pPr>
        <w:spacing w:line="240" w:lineRule="auto"/>
      </w:pPr>
      <w:r w:rsidRPr="00FD7D7C">
        <w:rPr>
          <w:b/>
        </w:rPr>
        <w:t>Martin</w:t>
      </w:r>
      <w:r w:rsidR="00EB5304" w:rsidRPr="00FD7D7C">
        <w:rPr>
          <w:b/>
        </w:rPr>
        <w:t xml:space="preserve"> E.</w:t>
      </w:r>
      <w:r w:rsidRPr="00FD7D7C">
        <w:rPr>
          <w:b/>
        </w:rPr>
        <w:t xml:space="preserve"> Levere, Pierre Chambon,</w:t>
      </w:r>
      <w:r w:rsidR="003E229D" w:rsidRPr="00FD7D7C">
        <w:rPr>
          <w:b/>
        </w:rPr>
        <w:t xml:space="preserve"> </w:t>
      </w:r>
      <w:r w:rsidR="00DC40A2" w:rsidRPr="00FD7D7C">
        <w:rPr>
          <w:b/>
        </w:rPr>
        <w:t>S</w:t>
      </w:r>
      <w:r w:rsidRPr="00FD7D7C">
        <w:rPr>
          <w:b/>
        </w:rPr>
        <w:t xml:space="preserve">teve </w:t>
      </w:r>
      <w:r w:rsidR="00DC40A2" w:rsidRPr="00FD7D7C">
        <w:rPr>
          <w:b/>
        </w:rPr>
        <w:t>P.</w:t>
      </w:r>
      <w:r w:rsidRPr="00FD7D7C">
        <w:rPr>
          <w:b/>
        </w:rPr>
        <w:t xml:space="preserve"> </w:t>
      </w:r>
      <w:r w:rsidR="00DC40A2" w:rsidRPr="00FD7D7C">
        <w:rPr>
          <w:b/>
        </w:rPr>
        <w:t>Rannard</w:t>
      </w:r>
      <w:r w:rsidRPr="00FD7D7C">
        <w:rPr>
          <w:b/>
        </w:rPr>
        <w:t xml:space="preserve"> and Tom O. McDonald</w:t>
      </w:r>
      <w:r w:rsidR="007E61D6" w:rsidRPr="00FD7D7C">
        <w:rPr>
          <w:b/>
        </w:rPr>
        <w:t>*</w:t>
      </w:r>
      <w:r w:rsidR="003E229D" w:rsidRPr="00FD7D7C">
        <w:rPr>
          <w:b/>
        </w:rPr>
        <w:t xml:space="preserve"> </w:t>
      </w:r>
    </w:p>
    <w:p w14:paraId="34A86463" w14:textId="77777777" w:rsidR="003E229D" w:rsidRPr="00FD7D7C" w:rsidRDefault="00DC40A2" w:rsidP="002109C3">
      <w:pPr>
        <w:spacing w:line="240" w:lineRule="auto"/>
      </w:pPr>
      <w:r w:rsidRPr="00FD7D7C">
        <w:t>Department of Chemistry, University of Liverpool, Crown Street, L69 7ZD, United Kingdom</w:t>
      </w:r>
    </w:p>
    <w:p w14:paraId="3B1FF98A" w14:textId="77777777" w:rsidR="003E229D" w:rsidRPr="00FD7D7C" w:rsidRDefault="003E229D" w:rsidP="002109C3">
      <w:pPr>
        <w:spacing w:line="240" w:lineRule="auto"/>
      </w:pPr>
      <w:r w:rsidRPr="00FD7D7C">
        <w:t xml:space="preserve">Correspondence to: </w:t>
      </w:r>
      <w:r w:rsidR="004D6806" w:rsidRPr="00FD7D7C">
        <w:t>Tom McDonald</w:t>
      </w:r>
      <w:r w:rsidRPr="00FD7D7C">
        <w:t xml:space="preserve"> (E-mail: </w:t>
      </w:r>
      <w:r w:rsidR="004D6806" w:rsidRPr="00FD7D7C">
        <w:rPr>
          <w:i/>
          <w:iCs/>
        </w:rPr>
        <w:t>Thomas.mcdonald</w:t>
      </w:r>
      <w:r w:rsidR="00DC40A2" w:rsidRPr="00FD7D7C">
        <w:rPr>
          <w:i/>
          <w:iCs/>
        </w:rPr>
        <w:t>@liverpool.ac.uk</w:t>
      </w:r>
      <w:r w:rsidRPr="00FD7D7C">
        <w:t>)</w:t>
      </w:r>
    </w:p>
    <w:p w14:paraId="54B4F939" w14:textId="77777777" w:rsidR="003E229D" w:rsidRPr="00FD7D7C" w:rsidRDefault="003E229D" w:rsidP="002109C3">
      <w:pPr>
        <w:spacing w:line="240" w:lineRule="auto"/>
      </w:pPr>
      <w:r w:rsidRPr="00FD7D7C">
        <w:t>((Additional Supporting Information may be found in the online version of this article.))</w:t>
      </w:r>
    </w:p>
    <w:p w14:paraId="3DC9F498" w14:textId="22E17B7D" w:rsidR="003E229D" w:rsidRPr="00FD7D7C" w:rsidRDefault="000A3EB2" w:rsidP="002109C3">
      <w:pPr>
        <w:spacing w:line="240" w:lineRule="auto"/>
      </w:pPr>
      <w:r w:rsidRPr="00FD7D7C">
        <w:rPr>
          <w:noProof/>
          <w:lang w:val="en-GB" w:eastAsia="en-GB"/>
        </w:rPr>
      </w:r>
      <w:r w:rsidR="00314761" w:rsidRPr="00FD7D7C">
        <w:rPr>
          <w:noProof/>
          <w:lang w:val="en-GB" w:eastAsia="en-GB"/>
        </w:rPr>
        <w:pict w14:anchorId="0E4A498F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width:476.05pt;height:38.5pt;visibility:visible;mso-left-percent:-10001;mso-top-percent:-10001;mso-position-horizontal:absolute;mso-position-horizontal-relative:char;mso-position-vertical:absolute;mso-position-vertical-relative:line;mso-left-percent:-10001;mso-top-percent:-10001" fillcolor="#d9d9d9" stroked="f" strokeweight=".5pt">
            <v:path arrowok="t"/>
            <v:textbox>
              <w:txbxContent>
                <w:p w14:paraId="5FBCB97B" w14:textId="3F4B28FA" w:rsidR="00A32B18" w:rsidRDefault="00A32B18">
                  <w:r w:rsidRPr="00780BA3">
                    <w:rPr>
                      <w:b/>
                      <w:bCs/>
                    </w:rPr>
                    <w:t>KEYWORDS</w:t>
                  </w:r>
                  <w:r>
                    <w:rPr>
                      <w:b/>
                      <w:bCs/>
                    </w:rPr>
                    <w:t>:</w:t>
                  </w:r>
                  <w:r>
                    <w:t xml:space="preserve"> </w:t>
                  </w:r>
                  <w:bookmarkStart w:id="0" w:name="_GoBack"/>
                  <w:r>
                    <w:t xml:space="preserve">MADIX, </w:t>
                  </w:r>
                  <w:proofErr w:type="gramStart"/>
                  <w:r w:rsidR="00314761">
                    <w:t>poly(</w:t>
                  </w:r>
                  <w:proofErr w:type="gramEnd"/>
                  <w:r>
                    <w:t>vinyl acetate</w:t>
                  </w:r>
                  <w:r w:rsidR="00314761">
                    <w:t>)</w:t>
                  </w:r>
                  <w:r>
                    <w:t>,</w:t>
                  </w:r>
                  <w:r w:rsidR="008C671D">
                    <w:t xml:space="preserve"> green chemistry,</w:t>
                  </w:r>
                  <w:r>
                    <w:t xml:space="preserve"> </w:t>
                  </w:r>
                  <w:r w:rsidR="00314761">
                    <w:t>high</w:t>
                  </w:r>
                  <w:r>
                    <w:t xml:space="preserve"> conversion, molecular weight, </w:t>
                  </w:r>
                  <w:r w:rsidR="00314761">
                    <w:t>solution polymerization</w:t>
                  </w:r>
                  <w:bookmarkEnd w:id="0"/>
                </w:p>
              </w:txbxContent>
            </v:textbox>
            <w10:wrap type="none"/>
            <w10:anchorlock/>
          </v:shape>
        </w:pict>
      </w:r>
    </w:p>
    <w:p w14:paraId="07B952D9" w14:textId="77777777" w:rsidR="003E229D" w:rsidRPr="00FD7D7C" w:rsidRDefault="003E229D" w:rsidP="002109C3">
      <w:pPr>
        <w:spacing w:line="240" w:lineRule="auto"/>
        <w:sectPr w:rsidR="003E229D" w:rsidRPr="00FD7D7C" w:rsidSect="00A33342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AC0A53" w14:textId="5EE349D6" w:rsidR="00D56810" w:rsidRPr="00FD7D7C" w:rsidRDefault="0000408D" w:rsidP="00DB5F01">
      <w:pPr>
        <w:spacing w:line="240" w:lineRule="auto"/>
        <w:ind w:firstLine="720"/>
        <w:jc w:val="both"/>
      </w:pPr>
      <w:r w:rsidRPr="00FD7D7C">
        <w:lastRenderedPageBreak/>
        <w:t xml:space="preserve">In the past </w:t>
      </w:r>
      <w:r w:rsidR="006F6D5D" w:rsidRPr="00FD7D7C">
        <w:t>thirty</w:t>
      </w:r>
      <w:r w:rsidRPr="00FD7D7C">
        <w:t xml:space="preserve"> years numerous Reversibl</w:t>
      </w:r>
      <w:r w:rsidR="00275D4B" w:rsidRPr="00FD7D7C">
        <w:t>e Deactivation Radical Polymeriz</w:t>
      </w:r>
      <w:r w:rsidRPr="00FD7D7C">
        <w:t xml:space="preserve">ation (RDRP) methods </w:t>
      </w:r>
      <w:r w:rsidR="00ED5CAF" w:rsidRPr="00FD7D7C">
        <w:t xml:space="preserve">using </w:t>
      </w:r>
      <w:proofErr w:type="spellStart"/>
      <w:r w:rsidR="00ED5CAF" w:rsidRPr="00FD7D7C">
        <w:t>nitroxides</w:t>
      </w:r>
      <w:proofErr w:type="spellEnd"/>
      <w:r w:rsidR="00ED5CAF" w:rsidRPr="00FD7D7C">
        <w:t xml:space="preserve"> (NMP)</w:t>
      </w:r>
      <w:r w:rsidRPr="00FD7D7C">
        <w:t>,</w:t>
      </w:r>
      <w:r w:rsidR="00133F72" w:rsidRPr="00FD7D7C">
        <w:rPr>
          <w:vertAlign w:val="superscript"/>
        </w:rPr>
        <w:t>1</w:t>
      </w:r>
      <w:r w:rsidRPr="00FD7D7C">
        <w:t xml:space="preserve"> </w:t>
      </w:r>
      <w:r w:rsidR="00ED5CAF" w:rsidRPr="00FD7D7C">
        <w:t>metal catalysis (ATRP)</w:t>
      </w:r>
      <w:r w:rsidRPr="00FD7D7C">
        <w:t>,</w:t>
      </w:r>
      <w:r w:rsidR="00133F72" w:rsidRPr="00FD7D7C">
        <w:rPr>
          <w:vertAlign w:val="superscript"/>
        </w:rPr>
        <w:t>2</w:t>
      </w:r>
      <w:r w:rsidRPr="00FD7D7C">
        <w:t xml:space="preserve"> </w:t>
      </w:r>
      <w:r w:rsidR="00F9073A" w:rsidRPr="00FD7D7C">
        <w:t>i</w:t>
      </w:r>
      <w:r w:rsidR="009E0822" w:rsidRPr="00FD7D7C">
        <w:t>odine mediated polymerisations</w:t>
      </w:r>
      <w:r w:rsidR="00F9073A" w:rsidRPr="00FD7D7C">
        <w:t>,</w:t>
      </w:r>
      <w:r w:rsidR="00133F72" w:rsidRPr="00FD7D7C">
        <w:rPr>
          <w:vertAlign w:val="superscript"/>
        </w:rPr>
        <w:t>3</w:t>
      </w:r>
      <w:r w:rsidR="00F9073A" w:rsidRPr="00FD7D7C">
        <w:rPr>
          <w:vertAlign w:val="superscript"/>
        </w:rPr>
        <w:t xml:space="preserve"> </w:t>
      </w:r>
      <w:r w:rsidR="00F9073A" w:rsidRPr="00FD7D7C">
        <w:t>and</w:t>
      </w:r>
      <w:r w:rsidRPr="00FD7D7C">
        <w:t xml:space="preserve"> R</w:t>
      </w:r>
      <w:r w:rsidR="00ED5CAF" w:rsidRPr="00FD7D7C">
        <w:t xml:space="preserve">eversible Addition Fragmentation Chain transfer </w:t>
      </w:r>
      <w:r w:rsidR="00F9073A" w:rsidRPr="00FD7D7C">
        <w:t>with</w:t>
      </w:r>
      <w:r w:rsidR="00ED5CAF" w:rsidRPr="00FD7D7C">
        <w:t xml:space="preserve"> Macromolecular Design via</w:t>
      </w:r>
      <w:r w:rsidR="00DF3DC9" w:rsidRPr="00FD7D7C">
        <w:t xml:space="preserve"> Interchange of Xanthates (RAFT/</w:t>
      </w:r>
      <w:r w:rsidR="00ED5CAF" w:rsidRPr="00FD7D7C">
        <w:t>MADIX)</w:t>
      </w:r>
      <w:r w:rsidR="00133F72" w:rsidRPr="00FD7D7C">
        <w:rPr>
          <w:vertAlign w:val="superscript"/>
        </w:rPr>
        <w:t>4-8</w:t>
      </w:r>
      <w:r w:rsidRPr="00FD7D7C">
        <w:t xml:space="preserve"> have been developed that facilitate the preparation of polymers with targeted molecular weight and narrow molecular weight distribution. Of these methods MADIX has been found to be the most effec</w:t>
      </w:r>
      <w:r w:rsidR="00275D4B" w:rsidRPr="00FD7D7C">
        <w:t>tive for mediating the polymeriz</w:t>
      </w:r>
      <w:r w:rsidRPr="00FD7D7C">
        <w:t>ation of vi</w:t>
      </w:r>
      <w:r w:rsidR="00275D4B" w:rsidRPr="00FD7D7C">
        <w:t>nyl acetate.</w:t>
      </w:r>
      <w:r w:rsidR="00DB5F01" w:rsidRPr="00FD7D7C">
        <w:t xml:space="preserve"> Poly(vinyl acetate) (</w:t>
      </w:r>
      <w:proofErr w:type="spellStart"/>
      <w:r w:rsidR="00DB5F01" w:rsidRPr="00FD7D7C">
        <w:t>PVAc</w:t>
      </w:r>
      <w:proofErr w:type="spellEnd"/>
      <w:r w:rsidR="00DB5F01" w:rsidRPr="00FD7D7C">
        <w:t xml:space="preserve">) is an industrially </w:t>
      </w:r>
      <w:r w:rsidR="00C35C22" w:rsidRPr="00FD7D7C">
        <w:t>important</w:t>
      </w:r>
      <w:r w:rsidR="00DB5F01" w:rsidRPr="00FD7D7C">
        <w:t xml:space="preserve"> polymer, forming the basis of a number of adhesives</w:t>
      </w:r>
      <w:r w:rsidR="00133F72" w:rsidRPr="00FD7D7C">
        <w:rPr>
          <w:vertAlign w:val="superscript"/>
        </w:rPr>
        <w:t>9,10</w:t>
      </w:r>
      <w:r w:rsidR="002A43C1" w:rsidRPr="00FD7D7C">
        <w:t xml:space="preserve"> and as a precursor </w:t>
      </w:r>
      <w:r w:rsidR="00DB5F01" w:rsidRPr="00FD7D7C">
        <w:t>to</w:t>
      </w:r>
      <w:r w:rsidR="00F9073A" w:rsidRPr="00FD7D7C">
        <w:t xml:space="preserve"> </w:t>
      </w:r>
      <w:r w:rsidR="00C35C22" w:rsidRPr="00FD7D7C">
        <w:t>poly(vinyl alcohol) (PVA)</w:t>
      </w:r>
      <w:r w:rsidR="000743AC" w:rsidRPr="00FD7D7C">
        <w:t xml:space="preserve"> via hydrolysis of the acetate groups</w:t>
      </w:r>
      <w:r w:rsidR="00DB5F01" w:rsidRPr="00FD7D7C">
        <w:t>.</w:t>
      </w:r>
      <w:r w:rsidR="00DB5F01" w:rsidRPr="00FD7D7C">
        <w:rPr>
          <w:vertAlign w:val="superscript"/>
        </w:rPr>
        <w:t>1</w:t>
      </w:r>
      <w:r w:rsidR="00133F72" w:rsidRPr="00FD7D7C">
        <w:rPr>
          <w:vertAlign w:val="superscript"/>
        </w:rPr>
        <w:t>1</w:t>
      </w:r>
      <w:r w:rsidR="00DB5F01" w:rsidRPr="00FD7D7C">
        <w:t xml:space="preserve"> PVA is a major component of adhesives and coatings</w:t>
      </w:r>
      <w:r w:rsidR="00133F72" w:rsidRPr="00FD7D7C">
        <w:rPr>
          <w:vertAlign w:val="superscript"/>
        </w:rPr>
        <w:t>12</w:t>
      </w:r>
      <w:r w:rsidR="00DB5F01" w:rsidRPr="00FD7D7C">
        <w:t xml:space="preserve"> and its water solubility has allowed it to find use in biomaterials and </w:t>
      </w:r>
      <w:r w:rsidR="00F9073A" w:rsidRPr="00FD7D7C">
        <w:t xml:space="preserve">applications </w:t>
      </w:r>
      <w:r w:rsidR="00DB5F01" w:rsidRPr="00FD7D7C">
        <w:t>in FDA approved oral formulations.</w:t>
      </w:r>
      <w:r w:rsidR="00133F72" w:rsidRPr="00FD7D7C">
        <w:rPr>
          <w:vertAlign w:val="superscript"/>
        </w:rPr>
        <w:t>13</w:t>
      </w:r>
      <w:r w:rsidR="00DB5F01" w:rsidRPr="00FD7D7C">
        <w:t xml:space="preserve"> </w:t>
      </w:r>
      <w:r w:rsidR="00275D4B" w:rsidRPr="00FD7D7C">
        <w:t>The MADIX polymeriz</w:t>
      </w:r>
      <w:r w:rsidRPr="00FD7D7C">
        <w:t>ation of vinyl acetate and subsequent hydrolysis to PVA were</w:t>
      </w:r>
      <w:r w:rsidR="00F9073A" w:rsidRPr="00FD7D7C">
        <w:t xml:space="preserve"> first</w:t>
      </w:r>
      <w:r w:rsidRPr="00FD7D7C">
        <w:t xml:space="preserve"> reported with a focus on star polymers.</w:t>
      </w:r>
      <w:r w:rsidR="00133F72" w:rsidRPr="00FD7D7C">
        <w:rPr>
          <w:vertAlign w:val="superscript"/>
        </w:rPr>
        <w:t>14</w:t>
      </w:r>
      <w:r w:rsidR="00762595" w:rsidRPr="00FD7D7C">
        <w:rPr>
          <w:vertAlign w:val="superscript"/>
        </w:rPr>
        <w:t>,</w:t>
      </w:r>
      <w:r w:rsidR="00133F72" w:rsidRPr="00FD7D7C">
        <w:rPr>
          <w:vertAlign w:val="superscript"/>
        </w:rPr>
        <w:t>15</w:t>
      </w:r>
      <w:r w:rsidR="00762595" w:rsidRPr="00FD7D7C">
        <w:rPr>
          <w:vertAlign w:val="superscript"/>
        </w:rPr>
        <w:t>,</w:t>
      </w:r>
      <w:r w:rsidR="00133F72" w:rsidRPr="00FD7D7C">
        <w:rPr>
          <w:vertAlign w:val="superscript"/>
        </w:rPr>
        <w:t>16</w:t>
      </w:r>
      <w:r w:rsidRPr="00FD7D7C">
        <w:t xml:space="preserve"> </w:t>
      </w:r>
      <w:r w:rsidR="0049401B" w:rsidRPr="00FD7D7C">
        <w:t>However</w:t>
      </w:r>
      <w:r w:rsidR="00762595" w:rsidRPr="00FD7D7C">
        <w:t>,</w:t>
      </w:r>
      <w:r w:rsidR="0049401B" w:rsidRPr="00FD7D7C">
        <w:t xml:space="preserve"> it currently</w:t>
      </w:r>
      <w:r w:rsidR="00007F46" w:rsidRPr="00FD7D7C">
        <w:t xml:space="preserve"> remains a challenge to </w:t>
      </w:r>
      <w:r w:rsidR="00CE42A7" w:rsidRPr="00FD7D7C">
        <w:t>synthesize</w:t>
      </w:r>
      <w:r w:rsidR="00007F46" w:rsidRPr="00FD7D7C">
        <w:t xml:space="preserve"> </w:t>
      </w:r>
      <w:proofErr w:type="spellStart"/>
      <w:r w:rsidR="00007F46" w:rsidRPr="00FD7D7C">
        <w:t>PVAc</w:t>
      </w:r>
      <w:proofErr w:type="spellEnd"/>
      <w:r w:rsidR="00007F46" w:rsidRPr="00FD7D7C">
        <w:t xml:space="preserve"> to high molecular weight with </w:t>
      </w:r>
      <w:r w:rsidR="00DB477A" w:rsidRPr="00FD7D7C">
        <w:t>low</w:t>
      </w:r>
      <w:r w:rsidR="00007F46" w:rsidRPr="00FD7D7C">
        <w:t xml:space="preserve"> dispersity</w:t>
      </w:r>
      <w:r w:rsidR="003E091B" w:rsidRPr="00FD7D7C">
        <w:t xml:space="preserve"> (Ð = </w:t>
      </w:r>
      <w:r w:rsidR="003E091B" w:rsidRPr="00FD7D7C">
        <w:rPr>
          <w:i/>
        </w:rPr>
        <w:t>M</w:t>
      </w:r>
      <w:r w:rsidR="003E091B" w:rsidRPr="00FD7D7C">
        <w:rPr>
          <w:i/>
          <w:vertAlign w:val="subscript"/>
        </w:rPr>
        <w:t>w</w:t>
      </w:r>
      <w:r w:rsidR="003E091B" w:rsidRPr="00FD7D7C">
        <w:rPr>
          <w:i/>
        </w:rPr>
        <w:t>/M</w:t>
      </w:r>
      <w:r w:rsidR="003E091B" w:rsidRPr="00FD7D7C">
        <w:rPr>
          <w:i/>
          <w:vertAlign w:val="subscript"/>
        </w:rPr>
        <w:t>n</w:t>
      </w:r>
      <w:r w:rsidR="003E091B" w:rsidRPr="00FD7D7C">
        <w:t>)</w:t>
      </w:r>
      <w:r w:rsidR="00926880" w:rsidRPr="00FD7D7C">
        <w:t xml:space="preserve"> in solution polymeriz</w:t>
      </w:r>
      <w:r w:rsidR="00007F46" w:rsidRPr="00FD7D7C">
        <w:t>ation.</w:t>
      </w:r>
      <w:r w:rsidR="00133F72" w:rsidRPr="00FD7D7C">
        <w:rPr>
          <w:vertAlign w:val="superscript"/>
        </w:rPr>
        <w:t>17</w:t>
      </w:r>
      <w:r w:rsidR="00994C9A" w:rsidRPr="00FD7D7C">
        <w:t xml:space="preserve"> </w:t>
      </w:r>
      <w:r w:rsidR="00762595" w:rsidRPr="00FD7D7C">
        <w:t xml:space="preserve">Chen </w:t>
      </w:r>
      <w:r w:rsidR="00762595" w:rsidRPr="00FD7D7C">
        <w:rPr>
          <w:i/>
        </w:rPr>
        <w:t>et al.</w:t>
      </w:r>
      <w:r w:rsidR="000C4C92" w:rsidRPr="00FD7D7C">
        <w:t xml:space="preserve"> have shown</w:t>
      </w:r>
      <w:r w:rsidRPr="00FD7D7C">
        <w:t xml:space="preserve"> </w:t>
      </w:r>
      <w:r w:rsidR="009976F0" w:rsidRPr="00FD7D7C">
        <w:t>the MADIX polymeriz</w:t>
      </w:r>
      <w:r w:rsidRPr="00FD7D7C">
        <w:t xml:space="preserve">ation of vinyl acetate under 5 </w:t>
      </w:r>
      <w:proofErr w:type="spellStart"/>
      <w:r w:rsidRPr="00FD7D7C">
        <w:t>kBar</w:t>
      </w:r>
      <w:proofErr w:type="spellEnd"/>
      <w:r w:rsidRPr="00FD7D7C">
        <w:t xml:space="preserve"> </w:t>
      </w:r>
      <w:r w:rsidR="000C4C92" w:rsidRPr="00FD7D7C">
        <w:t>or</w:t>
      </w:r>
      <w:r w:rsidRPr="00FD7D7C">
        <w:t xml:space="preserve"> 1 </w:t>
      </w:r>
      <w:proofErr w:type="spellStart"/>
      <w:r w:rsidRPr="00FD7D7C">
        <w:t>kBar</w:t>
      </w:r>
      <w:proofErr w:type="spellEnd"/>
      <w:r w:rsidRPr="00FD7D7C">
        <w:t xml:space="preserve"> pressure</w:t>
      </w:r>
      <w:r w:rsidR="000C4C92" w:rsidRPr="00FD7D7C">
        <w:t xml:space="preserve"> with a high pressure reaction system</w:t>
      </w:r>
      <w:r w:rsidRPr="00FD7D7C">
        <w:t xml:space="preserve"> </w:t>
      </w:r>
      <w:r w:rsidR="000C4C92" w:rsidRPr="00FD7D7C">
        <w:t>using</w:t>
      </w:r>
      <w:r w:rsidRPr="00FD7D7C">
        <w:t xml:space="preserve"> ethyl acetate</w:t>
      </w:r>
      <w:r w:rsidR="000C4C92" w:rsidRPr="00FD7D7C">
        <w:t xml:space="preserve"> as the</w:t>
      </w:r>
      <w:r w:rsidRPr="00FD7D7C">
        <w:t xml:space="preserve"> solvent at 35 </w:t>
      </w:r>
      <w:r w:rsidR="000C4C92" w:rsidRPr="00FD7D7C">
        <w:t>°</w:t>
      </w:r>
      <w:r w:rsidRPr="00FD7D7C">
        <w:t>C</w:t>
      </w:r>
      <w:r w:rsidR="000C4C92" w:rsidRPr="00FD7D7C">
        <w:t>. They used</w:t>
      </w:r>
      <w:r w:rsidRPr="00FD7D7C">
        <w:t xml:space="preserve"> a range of xanthates with differing R an</w:t>
      </w:r>
      <w:r w:rsidR="00275D4B" w:rsidRPr="00FD7D7C">
        <w:t xml:space="preserve">d Z groups in order to </w:t>
      </w:r>
      <w:r w:rsidR="00275D4B" w:rsidRPr="00FD7D7C">
        <w:lastRenderedPageBreak/>
        <w:t>synthesiz</w:t>
      </w:r>
      <w:r w:rsidRPr="00FD7D7C">
        <w:t>e high molecular weight</w:t>
      </w:r>
      <w:r w:rsidR="009C79FD" w:rsidRPr="00FD7D7C">
        <w:t xml:space="preserve"> </w:t>
      </w:r>
      <w:proofErr w:type="spellStart"/>
      <w:r w:rsidR="009C79FD" w:rsidRPr="00FD7D7C">
        <w:t>PVAc</w:t>
      </w:r>
      <w:proofErr w:type="spellEnd"/>
      <w:r w:rsidR="00F9073A" w:rsidRPr="00FD7D7C">
        <w:t xml:space="preserve"> (&gt;100,000 g mol</w:t>
      </w:r>
      <w:r w:rsidR="00F9073A" w:rsidRPr="00FD7D7C">
        <w:rPr>
          <w:vertAlign w:val="superscript"/>
        </w:rPr>
        <w:t>-1</w:t>
      </w:r>
      <w:r w:rsidR="00F9073A" w:rsidRPr="00FD7D7C">
        <w:t>),</w:t>
      </w:r>
      <w:r w:rsidR="00133F72" w:rsidRPr="00FD7D7C">
        <w:rPr>
          <w:vertAlign w:val="superscript"/>
        </w:rPr>
        <w:t>18</w:t>
      </w:r>
      <w:r w:rsidRPr="00FD7D7C">
        <w:t xml:space="preserve"> </w:t>
      </w:r>
      <w:r w:rsidR="00F9073A" w:rsidRPr="00FD7D7C">
        <w:t xml:space="preserve">however, </w:t>
      </w:r>
      <w:r w:rsidRPr="00FD7D7C">
        <w:t>the monomer conversions were typically</w:t>
      </w:r>
      <w:r w:rsidR="00DB5F01" w:rsidRPr="00FD7D7C">
        <w:t xml:space="preserve"> around</w:t>
      </w:r>
      <w:r w:rsidRPr="00FD7D7C">
        <w:t xml:space="preserve"> 35%. </w:t>
      </w:r>
      <w:proofErr w:type="spellStart"/>
      <w:r w:rsidR="00762595" w:rsidRPr="00FD7D7C">
        <w:t>Congdon</w:t>
      </w:r>
      <w:proofErr w:type="spellEnd"/>
      <w:r w:rsidR="00762595" w:rsidRPr="00FD7D7C">
        <w:t xml:space="preserve"> </w:t>
      </w:r>
      <w:r w:rsidR="00762595" w:rsidRPr="00FD7D7C">
        <w:rPr>
          <w:i/>
        </w:rPr>
        <w:t>et al.</w:t>
      </w:r>
      <w:r w:rsidR="00F9073A" w:rsidRPr="00FD7D7C">
        <w:t xml:space="preserve"> have</w:t>
      </w:r>
      <w:r w:rsidR="000C4C92" w:rsidRPr="00FD7D7C">
        <w:t xml:space="preserve"> </w:t>
      </w:r>
      <w:r w:rsidRPr="00FD7D7C">
        <w:t>report</w:t>
      </w:r>
      <w:r w:rsidR="000C4C92" w:rsidRPr="00FD7D7C">
        <w:t>ed the polymerization of</w:t>
      </w:r>
      <w:r w:rsidRPr="00FD7D7C">
        <w:t xml:space="preserve"> </w:t>
      </w:r>
      <w:proofErr w:type="spellStart"/>
      <w:r w:rsidR="00F9073A" w:rsidRPr="00FD7D7C">
        <w:t>PVAc</w:t>
      </w:r>
      <w:proofErr w:type="spellEnd"/>
      <w:r w:rsidR="00F9073A" w:rsidRPr="00FD7D7C">
        <w:t xml:space="preserve"> </w:t>
      </w:r>
      <w:r w:rsidRPr="00FD7D7C">
        <w:t xml:space="preserve">in bulk using S-benzyl-O-ethyl </w:t>
      </w:r>
      <w:proofErr w:type="spellStart"/>
      <w:r w:rsidRPr="00FD7D7C">
        <w:t>dithiocarbonate</w:t>
      </w:r>
      <w:proofErr w:type="spellEnd"/>
      <w:r w:rsidR="00C35C22" w:rsidRPr="00FD7D7C">
        <w:t xml:space="preserve"> as the MADIX agent</w:t>
      </w:r>
      <w:r w:rsidRPr="00FD7D7C">
        <w:t xml:space="preserve">, </w:t>
      </w:r>
      <w:r w:rsidR="00C35C22" w:rsidRPr="00FD7D7C">
        <w:t xml:space="preserve">with </w:t>
      </w:r>
      <w:r w:rsidRPr="00FD7D7C">
        <w:t xml:space="preserve">molecular weights of </w:t>
      </w:r>
      <w:r w:rsidR="00C35C22" w:rsidRPr="00FD7D7C">
        <w:t xml:space="preserve">up to </w:t>
      </w:r>
      <w:r w:rsidRPr="00FD7D7C">
        <w:t>30,050 g mol</w:t>
      </w:r>
      <w:r w:rsidRPr="00FD7D7C">
        <w:rPr>
          <w:vertAlign w:val="superscript"/>
        </w:rPr>
        <w:t>-1</w:t>
      </w:r>
      <w:r w:rsidRPr="00FD7D7C">
        <w:t xml:space="preserve"> </w:t>
      </w:r>
      <w:r w:rsidR="00392199" w:rsidRPr="00FD7D7C">
        <w:t>al</w:t>
      </w:r>
      <w:r w:rsidR="00C35C22" w:rsidRPr="00FD7D7C">
        <w:t xml:space="preserve">though the monomer conversions were </w:t>
      </w:r>
      <w:r w:rsidR="000C4C92" w:rsidRPr="00FD7D7C">
        <w:t>incomplete</w:t>
      </w:r>
      <w:r w:rsidRPr="00FD7D7C">
        <w:t xml:space="preserve"> ranging from 68% to 83% conversion.</w:t>
      </w:r>
      <w:r w:rsidR="00133F72" w:rsidRPr="00FD7D7C">
        <w:rPr>
          <w:vertAlign w:val="superscript"/>
        </w:rPr>
        <w:t>19</w:t>
      </w:r>
      <w:r w:rsidRPr="00FD7D7C">
        <w:t xml:space="preserve"> </w:t>
      </w:r>
      <w:proofErr w:type="spellStart"/>
      <w:r w:rsidR="00762595" w:rsidRPr="00FD7D7C">
        <w:t>Gois</w:t>
      </w:r>
      <w:proofErr w:type="spellEnd"/>
      <w:r w:rsidR="00762595" w:rsidRPr="00FD7D7C">
        <w:t xml:space="preserve"> </w:t>
      </w:r>
      <w:r w:rsidR="00762595" w:rsidRPr="00FD7D7C">
        <w:rPr>
          <w:i/>
        </w:rPr>
        <w:t>et al.</w:t>
      </w:r>
      <w:r w:rsidR="000C4C92" w:rsidRPr="00FD7D7C">
        <w:t xml:space="preserve"> carried out</w:t>
      </w:r>
      <w:r w:rsidRPr="00FD7D7C">
        <w:t xml:space="preserve"> the MADIX</w:t>
      </w:r>
      <w:r w:rsidR="00F9073A" w:rsidRPr="00FD7D7C">
        <w:t xml:space="preserve"> solution</w:t>
      </w:r>
      <w:r w:rsidRPr="00FD7D7C">
        <w:t xml:space="preserve"> polymerization of vinyl acetate </w:t>
      </w:r>
      <w:r w:rsidR="00F9073A" w:rsidRPr="00FD7D7C">
        <w:t>using</w:t>
      </w:r>
      <w:r w:rsidRPr="00FD7D7C">
        <w:t xml:space="preserve"> </w:t>
      </w:r>
      <w:r w:rsidR="000C4C92" w:rsidRPr="00FD7D7C">
        <w:t>1</w:t>
      </w:r>
      <w:proofErr w:type="gramStart"/>
      <w:r w:rsidR="000C4C92" w:rsidRPr="00FD7D7C">
        <w:t>,4</w:t>
      </w:r>
      <w:proofErr w:type="gramEnd"/>
      <w:r w:rsidR="000C4C92" w:rsidRPr="00FD7D7C">
        <w:t>-</w:t>
      </w:r>
      <w:r w:rsidRPr="00FD7D7C">
        <w:t xml:space="preserve">dioxane </w:t>
      </w:r>
      <w:r w:rsidR="000C4C92" w:rsidRPr="00FD7D7C">
        <w:t>with near complete</w:t>
      </w:r>
      <w:r w:rsidRPr="00FD7D7C">
        <w:t xml:space="preserve"> monomer conversion </w:t>
      </w:r>
      <w:r w:rsidR="000C4C92" w:rsidRPr="00FD7D7C">
        <w:t>(98%)</w:t>
      </w:r>
      <w:r w:rsidRPr="00FD7D7C">
        <w:t>.</w:t>
      </w:r>
      <w:r w:rsidR="00133F72" w:rsidRPr="00FD7D7C">
        <w:rPr>
          <w:vertAlign w:val="superscript"/>
        </w:rPr>
        <w:t>20</w:t>
      </w:r>
      <w:r w:rsidR="009E0822" w:rsidRPr="00FD7D7C">
        <w:t xml:space="preserve"> </w:t>
      </w:r>
      <w:r w:rsidR="00F9073A" w:rsidRPr="00FD7D7C">
        <w:t>These</w:t>
      </w:r>
      <w:r w:rsidR="000C4C92" w:rsidRPr="00FD7D7C">
        <w:t xml:space="preserve"> articles demonstrate the promise of</w:t>
      </w:r>
      <w:r w:rsidR="003804A3" w:rsidRPr="00FD7D7C">
        <w:t xml:space="preserve"> MADIX polymerization for producing well-defined </w:t>
      </w:r>
      <w:proofErr w:type="spellStart"/>
      <w:r w:rsidR="003804A3" w:rsidRPr="00FD7D7C">
        <w:t>PVAc</w:t>
      </w:r>
      <w:proofErr w:type="spellEnd"/>
      <w:r w:rsidR="003804A3" w:rsidRPr="00FD7D7C">
        <w:t>.</w:t>
      </w:r>
      <w:r w:rsidR="00125521" w:rsidRPr="00FD7D7C">
        <w:t xml:space="preserve"> Emulsion polymerization</w:t>
      </w:r>
      <w:r w:rsidR="008A657D" w:rsidRPr="00FD7D7C">
        <w:t xml:space="preserve"> has</w:t>
      </w:r>
      <w:r w:rsidR="00125521" w:rsidRPr="00FD7D7C">
        <w:t xml:space="preserve"> been shown to offer the green synthesis of </w:t>
      </w:r>
      <w:proofErr w:type="spellStart"/>
      <w:r w:rsidR="00125521" w:rsidRPr="00FD7D7C">
        <w:t>PVAc</w:t>
      </w:r>
      <w:proofErr w:type="spellEnd"/>
      <w:r w:rsidR="008A657D" w:rsidRPr="00FD7D7C">
        <w:t>,</w:t>
      </w:r>
      <w:r w:rsidR="00125521" w:rsidRPr="00FD7D7C">
        <w:t xml:space="preserve"> but</w:t>
      </w:r>
      <w:r w:rsidR="006D6CF7" w:rsidRPr="00FD7D7C">
        <w:t xml:space="preserve"> it has been</w:t>
      </w:r>
      <w:r w:rsidR="00125521" w:rsidRPr="00FD7D7C">
        <w:t xml:space="preserve"> demonstrated that it is difficult to achieve</w:t>
      </w:r>
      <w:r w:rsidR="008A657D" w:rsidRPr="00FD7D7C">
        <w:t xml:space="preserve"> the combination of</w:t>
      </w:r>
      <w:r w:rsidR="00125521" w:rsidRPr="00FD7D7C">
        <w:t xml:space="preserve"> high conversio</w:t>
      </w:r>
      <w:r w:rsidR="008A657D" w:rsidRPr="00FD7D7C">
        <w:t>n,</w:t>
      </w:r>
      <w:r w:rsidR="00125521" w:rsidRPr="00FD7D7C">
        <w:t xml:space="preserve"> high </w:t>
      </w:r>
      <w:r w:rsidR="008A657D" w:rsidRPr="00FD7D7C">
        <w:t>molecular weight</w:t>
      </w:r>
      <w:r w:rsidR="00125521" w:rsidRPr="00FD7D7C">
        <w:t xml:space="preserve"> and low dispersit</w:t>
      </w:r>
      <w:r w:rsidR="008A657D" w:rsidRPr="00FD7D7C">
        <w:t>y by this</w:t>
      </w:r>
      <w:r w:rsidR="00D26F9D" w:rsidRPr="00FD7D7C">
        <w:t xml:space="preserve"> method</w:t>
      </w:r>
      <w:r w:rsidR="00125521" w:rsidRPr="00FD7D7C">
        <w:t>.</w:t>
      </w:r>
      <w:r w:rsidR="008A657D" w:rsidRPr="00FD7D7C">
        <w:rPr>
          <w:vertAlign w:val="superscript"/>
        </w:rPr>
        <w:t>21-23</w:t>
      </w:r>
      <w:r w:rsidR="00125521" w:rsidRPr="00FD7D7C">
        <w:t xml:space="preserve"> Therefore</w:t>
      </w:r>
      <w:r w:rsidR="003804A3" w:rsidRPr="00FD7D7C">
        <w:t>, there is an opportunity to develop a method for the</w:t>
      </w:r>
      <w:r w:rsidR="006A1759" w:rsidRPr="00FD7D7C">
        <w:t xml:space="preserve"> </w:t>
      </w:r>
      <w:r w:rsidR="003804A3" w:rsidRPr="00FD7D7C">
        <w:t>MADIX polymerization that combines the benefits of high molecular weight, near complete conversion, simple experimental setup with the use of a green solvent such as ethyl acetate.</w:t>
      </w:r>
    </w:p>
    <w:p w14:paraId="4214F489" w14:textId="72DC71A8" w:rsidR="00D56810" w:rsidRPr="00FD7D7C" w:rsidRDefault="0000408D" w:rsidP="00ED62A0">
      <w:pPr>
        <w:spacing w:line="240" w:lineRule="auto"/>
        <w:ind w:firstLine="720"/>
        <w:jc w:val="both"/>
      </w:pPr>
      <w:r w:rsidRPr="00FD7D7C">
        <w:t>In the pr</w:t>
      </w:r>
      <w:r w:rsidR="00275D4B" w:rsidRPr="00FD7D7C">
        <w:t>esent report the MADIX polymeriz</w:t>
      </w:r>
      <w:r w:rsidRPr="00FD7D7C">
        <w:t xml:space="preserve">ation of vinyl acetate </w:t>
      </w:r>
      <w:r w:rsidR="00800E79" w:rsidRPr="00FD7D7C">
        <w:t>in bulk</w:t>
      </w:r>
      <w:r w:rsidRPr="00FD7D7C">
        <w:t>,</w:t>
      </w:r>
      <w:r w:rsidR="00E77423" w:rsidRPr="00FD7D7C">
        <w:t xml:space="preserve"> or solution polymerization</w:t>
      </w:r>
      <w:r w:rsidRPr="00FD7D7C">
        <w:t xml:space="preserve"> </w:t>
      </w:r>
      <w:r w:rsidR="00E77423" w:rsidRPr="00FD7D7C">
        <w:t>(</w:t>
      </w:r>
      <w:r w:rsidRPr="00FD7D7C">
        <w:t xml:space="preserve">dichloromethane (DCM) </w:t>
      </w:r>
      <w:r w:rsidR="00E77423" w:rsidRPr="00FD7D7C">
        <w:t>or</w:t>
      </w:r>
      <w:r w:rsidR="00CF6DAA" w:rsidRPr="00FD7D7C">
        <w:t xml:space="preserve"> ethyl acetate</w:t>
      </w:r>
      <w:r w:rsidR="00E77423" w:rsidRPr="00FD7D7C">
        <w:t>)</w:t>
      </w:r>
      <w:r w:rsidR="00CF6DAA" w:rsidRPr="00FD7D7C">
        <w:t xml:space="preserve"> </w:t>
      </w:r>
      <w:r w:rsidR="00762595" w:rsidRPr="00FD7D7C">
        <w:t xml:space="preserve">was </w:t>
      </w:r>
      <w:r w:rsidR="00CF6DAA" w:rsidRPr="00FD7D7C">
        <w:t>investigated</w:t>
      </w:r>
      <w:r w:rsidRPr="00FD7D7C">
        <w:t xml:space="preserve"> in</w:t>
      </w:r>
      <w:r w:rsidR="00CF6DAA" w:rsidRPr="00FD7D7C">
        <w:t xml:space="preserve"> </w:t>
      </w:r>
      <w:r w:rsidRPr="00FD7D7C">
        <w:t>order to optimi</w:t>
      </w:r>
      <w:r w:rsidR="00275D4B" w:rsidRPr="00FD7D7C">
        <w:t>z</w:t>
      </w:r>
      <w:r w:rsidRPr="00FD7D7C">
        <w:t>e monomer conversion and achieve molecular weight control.</w:t>
      </w:r>
      <w:r w:rsidR="00604702" w:rsidRPr="00FD7D7C">
        <w:t xml:space="preserve"> All </w:t>
      </w:r>
      <w:r w:rsidR="00275D4B" w:rsidRPr="00FD7D7C">
        <w:t>polymeriz</w:t>
      </w:r>
      <w:r w:rsidR="00604702" w:rsidRPr="00FD7D7C">
        <w:t>ation reactions were performed</w:t>
      </w:r>
      <w:r w:rsidR="003804A3" w:rsidRPr="00FD7D7C">
        <w:t xml:space="preserve"> using </w:t>
      </w:r>
      <w:r w:rsidR="003804A3" w:rsidRPr="00FD7D7C">
        <w:lastRenderedPageBreak/>
        <w:t>a facile approach using</w:t>
      </w:r>
      <w:r w:rsidR="00604702" w:rsidRPr="00FD7D7C">
        <w:t xml:space="preserve"> 15 mL</w:t>
      </w:r>
      <w:r w:rsidR="003804A3" w:rsidRPr="00FD7D7C">
        <w:t xml:space="preserve"> g</w:t>
      </w:r>
      <w:r w:rsidR="00604702" w:rsidRPr="00FD7D7C">
        <w:t xml:space="preserve">lass pressure </w:t>
      </w:r>
      <w:r w:rsidR="003804A3" w:rsidRPr="00FD7D7C">
        <w:t>tubes with</w:t>
      </w:r>
      <w:r w:rsidR="00604702" w:rsidRPr="00FD7D7C">
        <w:t xml:space="preserve"> Teflon screw cap</w:t>
      </w:r>
      <w:r w:rsidR="00DB5F01" w:rsidRPr="00FD7D7C">
        <w:t>.</w:t>
      </w:r>
      <w:r w:rsidR="00604702" w:rsidRPr="00FD7D7C">
        <w:t xml:space="preserve"> </w:t>
      </w:r>
      <w:r w:rsidR="00DB5F01" w:rsidRPr="00FD7D7C">
        <w:t>S</w:t>
      </w:r>
      <w:r w:rsidR="003804A3" w:rsidRPr="00FD7D7C">
        <w:t>uch</w:t>
      </w:r>
      <w:r w:rsidR="00604702" w:rsidRPr="00FD7D7C">
        <w:t xml:space="preserve"> reactors have been demonstrated to be capable of retaining reactants such as isoprene and chloroprene and at high pressure</w:t>
      </w:r>
      <w:r w:rsidR="00587869" w:rsidRPr="00FD7D7C">
        <w:t>.</w:t>
      </w:r>
      <w:r w:rsidR="001A129C" w:rsidRPr="00FD7D7C">
        <w:rPr>
          <w:vertAlign w:val="superscript"/>
        </w:rPr>
        <w:t>2</w:t>
      </w:r>
      <w:r w:rsidR="00884EA8" w:rsidRPr="00FD7D7C">
        <w:rPr>
          <w:vertAlign w:val="superscript"/>
        </w:rPr>
        <w:t>4</w:t>
      </w:r>
      <w:r w:rsidR="001A129C" w:rsidRPr="00FD7D7C">
        <w:rPr>
          <w:vertAlign w:val="superscript"/>
        </w:rPr>
        <w:t>-2</w:t>
      </w:r>
      <w:r w:rsidR="00884EA8" w:rsidRPr="00FD7D7C">
        <w:rPr>
          <w:vertAlign w:val="superscript"/>
        </w:rPr>
        <w:t>6</w:t>
      </w:r>
      <w:r w:rsidR="00604702" w:rsidRPr="00FD7D7C">
        <w:t xml:space="preserve"> </w:t>
      </w:r>
      <w:r w:rsidR="00587869" w:rsidRPr="00FD7D7C">
        <w:t>Ethyl acetate is an attractive solvent for solution polymerization, it has been listed as a preferred green solvent while DCM and 1</w:t>
      </w:r>
      <w:proofErr w:type="gramStart"/>
      <w:r w:rsidR="00587869" w:rsidRPr="00FD7D7C">
        <w:t>,4</w:t>
      </w:r>
      <w:proofErr w:type="gramEnd"/>
      <w:r w:rsidR="00587869" w:rsidRPr="00FD7D7C">
        <w:t xml:space="preserve">- </w:t>
      </w:r>
      <w:proofErr w:type="spellStart"/>
      <w:r w:rsidR="00587869" w:rsidRPr="00FD7D7C">
        <w:t>dioxane</w:t>
      </w:r>
      <w:proofErr w:type="spellEnd"/>
      <w:r w:rsidR="00587869" w:rsidRPr="00FD7D7C">
        <w:t xml:space="preserve"> </w:t>
      </w:r>
      <w:r w:rsidR="00DB5F01" w:rsidRPr="00FD7D7C">
        <w:t>have been rated as undesirable.</w:t>
      </w:r>
      <w:r w:rsidR="00884EA8" w:rsidRPr="00FD7D7C">
        <w:rPr>
          <w:vertAlign w:val="superscript"/>
        </w:rPr>
        <w:t>27</w:t>
      </w:r>
      <w:r w:rsidR="00587869" w:rsidRPr="00FD7D7C">
        <w:t xml:space="preserve"> </w:t>
      </w:r>
      <w:r w:rsidR="00F94B46" w:rsidRPr="00FD7D7C">
        <w:t xml:space="preserve">In </w:t>
      </w:r>
      <w:r w:rsidR="00ED62A0" w:rsidRPr="00FD7D7C">
        <w:t>all polymerizations</w:t>
      </w:r>
      <w:r w:rsidR="00F94B46" w:rsidRPr="00FD7D7C">
        <w:t xml:space="preserve"> t</w:t>
      </w:r>
      <w:r w:rsidR="00604702" w:rsidRPr="00FD7D7C">
        <w:t>he ratio of [CTA]</w:t>
      </w:r>
      <w:r w:rsidR="00604702" w:rsidRPr="00FD7D7C">
        <w:rPr>
          <w:vertAlign w:val="subscript"/>
        </w:rPr>
        <w:t>0</w:t>
      </w:r>
      <w:r w:rsidR="00604702" w:rsidRPr="00FD7D7C">
        <w:t>/[AIBN]</w:t>
      </w:r>
      <w:r w:rsidR="00604702" w:rsidRPr="00FD7D7C">
        <w:rPr>
          <w:vertAlign w:val="subscript"/>
        </w:rPr>
        <w:t>0</w:t>
      </w:r>
      <w:r w:rsidR="00604702" w:rsidRPr="00FD7D7C">
        <w:t xml:space="preserve"> was fixed at 1/0.2, the temperature was fixed at 70</w:t>
      </w:r>
      <w:r w:rsidR="003E3F39" w:rsidRPr="00FD7D7C">
        <w:t xml:space="preserve"> </w:t>
      </w:r>
      <w:r w:rsidR="00B507B4" w:rsidRPr="00FD7D7C">
        <w:t>°</w:t>
      </w:r>
      <w:r w:rsidR="00604702" w:rsidRPr="00FD7D7C">
        <w:t>C and the reaction time was fixed at 48</w:t>
      </w:r>
      <w:r w:rsidR="003E3F39" w:rsidRPr="00FD7D7C">
        <w:t xml:space="preserve"> </w:t>
      </w:r>
      <w:r w:rsidR="00604702" w:rsidRPr="00FD7D7C">
        <w:t>h</w:t>
      </w:r>
      <w:r w:rsidR="003E3F39" w:rsidRPr="00FD7D7C">
        <w:t>ours</w:t>
      </w:r>
      <w:r w:rsidR="00604702" w:rsidRPr="00FD7D7C">
        <w:t>. The ratio of monomer to MADIX chain transfer agent was varied, starting with 2.0 g of monomer</w:t>
      </w:r>
      <w:r w:rsidR="003D35F9" w:rsidRPr="00FD7D7C">
        <w:t xml:space="preserve"> i</w:t>
      </w:r>
      <w:r w:rsidR="00443B0A" w:rsidRPr="00FD7D7C">
        <w:t>n all polymerizations.</w:t>
      </w:r>
      <w:r w:rsidR="00071318" w:rsidRPr="00FD7D7C">
        <w:t xml:space="preserve"> Consequently, a process has been developed to make </w:t>
      </w:r>
      <w:proofErr w:type="spellStart"/>
      <w:r w:rsidR="00F9073A" w:rsidRPr="00FD7D7C">
        <w:t>PVAc</w:t>
      </w:r>
      <w:proofErr w:type="spellEnd"/>
      <w:r w:rsidR="00071318" w:rsidRPr="00FD7D7C">
        <w:t xml:space="preserve"> with molecular weight control </w:t>
      </w:r>
      <w:r w:rsidR="000653D8" w:rsidRPr="00FD7D7C">
        <w:t xml:space="preserve">that is simple, robust, </w:t>
      </w:r>
      <w:r w:rsidR="00071318" w:rsidRPr="00FD7D7C">
        <w:t xml:space="preserve">uses </w:t>
      </w:r>
      <w:r w:rsidR="0007799F" w:rsidRPr="00FD7D7C">
        <w:t xml:space="preserve">a </w:t>
      </w:r>
      <w:r w:rsidR="00071318" w:rsidRPr="00FD7D7C">
        <w:t>non-toxic solvent and is</w:t>
      </w:r>
      <w:r w:rsidR="00D2572F" w:rsidRPr="00FD7D7C">
        <w:t xml:space="preserve"> potentially</w:t>
      </w:r>
      <w:r w:rsidR="00071318" w:rsidRPr="00FD7D7C">
        <w:t xml:space="preserve"> scalable</w:t>
      </w:r>
      <w:r w:rsidR="00D2572F" w:rsidRPr="00FD7D7C">
        <w:t>.</w:t>
      </w:r>
      <w:r w:rsidR="00071318" w:rsidRPr="00FD7D7C">
        <w:t xml:space="preserve"> </w:t>
      </w:r>
    </w:p>
    <w:p w14:paraId="38F5F247" w14:textId="77777777" w:rsidR="00CF6DAA" w:rsidRPr="00FD7D7C" w:rsidRDefault="00ED62A0" w:rsidP="00DC62F6">
      <w:pPr>
        <w:spacing w:line="240" w:lineRule="auto"/>
        <w:ind w:firstLine="720"/>
        <w:jc w:val="both"/>
        <w:rPr>
          <w:color w:val="FF0000"/>
        </w:rPr>
      </w:pPr>
      <w:r w:rsidRPr="00FD7D7C">
        <w:t>Firstly t</w:t>
      </w:r>
      <w:r w:rsidR="00EB6A33" w:rsidRPr="00FD7D7C">
        <w:t>he MADIX agent</w:t>
      </w:r>
      <w:r w:rsidR="007B54B7" w:rsidRPr="00FD7D7C">
        <w:t xml:space="preserve"> </w:t>
      </w:r>
      <w:r w:rsidR="00EB6A33" w:rsidRPr="00FD7D7C">
        <w:t xml:space="preserve">S-benzyl-O-ethyl </w:t>
      </w:r>
      <w:proofErr w:type="spellStart"/>
      <w:r w:rsidR="00EB6A33" w:rsidRPr="00FD7D7C">
        <w:t>dithiocarbonate</w:t>
      </w:r>
      <w:proofErr w:type="spellEnd"/>
      <w:r w:rsidR="00EB6A33" w:rsidRPr="00FD7D7C">
        <w:t xml:space="preserve"> was prepared in a single step in 58% yield as described in Supporting Information</w:t>
      </w:r>
      <w:r w:rsidR="005F4850" w:rsidRPr="00FD7D7C">
        <w:t xml:space="preserve"> Section 2.1</w:t>
      </w:r>
      <w:r w:rsidR="00392199" w:rsidRPr="00FD7D7C">
        <w:t xml:space="preserve"> (</w:t>
      </w:r>
      <w:r w:rsidR="00392199" w:rsidRPr="00FD7D7C">
        <w:rPr>
          <w:vertAlign w:val="superscript"/>
        </w:rPr>
        <w:t>1</w:t>
      </w:r>
      <w:r w:rsidR="00392199" w:rsidRPr="00FD7D7C">
        <w:t>H NMR</w:t>
      </w:r>
      <w:r w:rsidR="003B7592" w:rsidRPr="00FD7D7C">
        <w:t xml:space="preserve"> spectrum is shown in figure S1)</w:t>
      </w:r>
      <w:r w:rsidR="00EB6A33" w:rsidRPr="00FD7D7C">
        <w:t xml:space="preserve"> and us</w:t>
      </w:r>
      <w:r w:rsidR="00275D4B" w:rsidRPr="00FD7D7C">
        <w:t>ed in a range of MADIX polymeriz</w:t>
      </w:r>
      <w:r w:rsidR="00EB6A33" w:rsidRPr="00FD7D7C">
        <w:t>ations, Scheme 1.</w:t>
      </w:r>
      <w:r w:rsidR="003F673B" w:rsidRPr="00FD7D7C">
        <w:t xml:space="preserve"> </w:t>
      </w:r>
    </w:p>
    <w:p w14:paraId="4E5C64B6" w14:textId="77777777" w:rsidR="00CF6DAA" w:rsidRPr="00FD7D7C" w:rsidRDefault="00F300C3" w:rsidP="00320D16">
      <w:pPr>
        <w:spacing w:line="240" w:lineRule="auto"/>
        <w:jc w:val="both"/>
      </w:pPr>
      <w:r w:rsidRPr="00FD7D7C">
        <w:rPr>
          <w:noProof/>
          <w:lang w:val="en-GB" w:eastAsia="en-GB"/>
        </w:rPr>
        <w:drawing>
          <wp:inline distT="0" distB="0" distL="0" distR="0" wp14:anchorId="52F4A4A0" wp14:editId="0E5C7860">
            <wp:extent cx="2743200" cy="6400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FT polymerisation2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06891" w14:textId="77777777" w:rsidR="00CF6DAA" w:rsidRPr="00FD7D7C" w:rsidRDefault="00CF6DAA" w:rsidP="00CF6DAA">
      <w:pPr>
        <w:pStyle w:val="ListParagraph"/>
        <w:spacing w:line="240" w:lineRule="auto"/>
        <w:ind w:left="0"/>
        <w:jc w:val="both"/>
      </w:pPr>
      <w:proofErr w:type="gramStart"/>
      <w:r w:rsidRPr="00FD7D7C">
        <w:t>SCHEME 1</w:t>
      </w:r>
      <w:r w:rsidR="009C79FD" w:rsidRPr="00FD7D7C">
        <w:t>.</w:t>
      </w:r>
      <w:proofErr w:type="gramEnd"/>
      <w:r w:rsidRPr="00FD7D7C">
        <w:t xml:space="preserve"> </w:t>
      </w:r>
      <w:proofErr w:type="gramStart"/>
      <w:r w:rsidRPr="00FD7D7C">
        <w:t xml:space="preserve">MADIX agent S-benzyl-O-ethyl </w:t>
      </w:r>
      <w:proofErr w:type="spellStart"/>
      <w:r w:rsidRPr="00FD7D7C">
        <w:t>dithiocarbonate</w:t>
      </w:r>
      <w:proofErr w:type="spellEnd"/>
      <w:r w:rsidR="003B7592" w:rsidRPr="00FD7D7C">
        <w:t xml:space="preserve"> in the </w:t>
      </w:r>
      <w:r w:rsidRPr="00FD7D7C">
        <w:t>polymerization of vinyl acetate</w:t>
      </w:r>
      <w:r w:rsidR="003B7592" w:rsidRPr="00FD7D7C">
        <w:t>.</w:t>
      </w:r>
      <w:proofErr w:type="gramEnd"/>
    </w:p>
    <w:p w14:paraId="44086355" w14:textId="29F0A48F" w:rsidR="00DC62F6" w:rsidRPr="00FD7D7C" w:rsidRDefault="006F70ED" w:rsidP="0042596D">
      <w:pPr>
        <w:spacing w:line="240" w:lineRule="auto"/>
        <w:ind w:firstLine="720"/>
        <w:jc w:val="both"/>
        <w:rPr>
          <w:lang w:val="en-GB"/>
        </w:rPr>
      </w:pPr>
      <w:r w:rsidRPr="00FD7D7C">
        <w:t xml:space="preserve"> </w:t>
      </w:r>
      <w:r w:rsidR="00ED62A0" w:rsidRPr="00FD7D7C">
        <w:t>Initially</w:t>
      </w:r>
      <w:r w:rsidR="00392199" w:rsidRPr="00FD7D7C">
        <w:t>,</w:t>
      </w:r>
      <w:r w:rsidR="00ED62A0" w:rsidRPr="00FD7D7C">
        <w:t xml:space="preserve"> bulk</w:t>
      </w:r>
      <w:r w:rsidR="00DB5F01" w:rsidRPr="00FD7D7C">
        <w:t xml:space="preserve"> MADIX</w:t>
      </w:r>
      <w:r w:rsidR="00ED62A0" w:rsidRPr="00FD7D7C">
        <w:t xml:space="preserve"> polymerizations were carried out</w:t>
      </w:r>
      <w:r w:rsidR="00DB5F01" w:rsidRPr="00FD7D7C">
        <w:t>.</w:t>
      </w:r>
      <w:r w:rsidR="0061120B" w:rsidRPr="00FD7D7C">
        <w:t xml:space="preserve"> </w:t>
      </w:r>
      <w:r w:rsidR="0061120B" w:rsidRPr="00FD7D7C">
        <w:t>We decided to carry out our experiments with similar temperature conditions</w:t>
      </w:r>
      <w:r w:rsidR="006D6CF7" w:rsidRPr="00FD7D7C">
        <w:t xml:space="preserve"> </w:t>
      </w:r>
      <w:r w:rsidR="0061120B" w:rsidRPr="00FD7D7C">
        <w:t>to</w:t>
      </w:r>
      <w:r w:rsidR="006D6CF7" w:rsidRPr="00FD7D7C">
        <w:t xml:space="preserve"> </w:t>
      </w:r>
      <w:r w:rsidR="003031E2" w:rsidRPr="00FD7D7C">
        <w:t>those</w:t>
      </w:r>
      <w:r w:rsidR="0061120B" w:rsidRPr="00FD7D7C">
        <w:t xml:space="preserve"> used by </w:t>
      </w:r>
      <w:proofErr w:type="spellStart"/>
      <w:r w:rsidR="0061120B" w:rsidRPr="00FD7D7C">
        <w:t>Congdon</w:t>
      </w:r>
      <w:proofErr w:type="spellEnd"/>
      <w:r w:rsidR="0061120B" w:rsidRPr="00FD7D7C">
        <w:t xml:space="preserve"> et al.</w:t>
      </w:r>
      <w:r w:rsidR="006D6CF7" w:rsidRPr="00FD7D7C">
        <w:t xml:space="preserve"> who used the same CTA</w:t>
      </w:r>
      <w:r w:rsidR="003031E2" w:rsidRPr="00FD7D7C">
        <w:t xml:space="preserve"> as in our work</w:t>
      </w:r>
      <w:r w:rsidR="0061120B" w:rsidRPr="00FD7D7C">
        <w:t>.</w:t>
      </w:r>
      <w:r w:rsidR="0042596D" w:rsidRPr="00FD7D7C">
        <w:rPr>
          <w:vertAlign w:val="superscript"/>
        </w:rPr>
        <w:t>19</w:t>
      </w:r>
      <w:r w:rsidR="00DB5F01" w:rsidRPr="00FD7D7C">
        <w:t xml:space="preserve"> </w:t>
      </w:r>
      <w:proofErr w:type="gramStart"/>
      <w:r w:rsidR="0042596D" w:rsidRPr="00FD7D7C">
        <w:rPr>
          <w:lang w:val="en-GB"/>
        </w:rPr>
        <w:t>We</w:t>
      </w:r>
      <w:proofErr w:type="gramEnd"/>
      <w:r w:rsidR="0042596D" w:rsidRPr="00FD7D7C">
        <w:rPr>
          <w:lang w:val="en-GB"/>
        </w:rPr>
        <w:t xml:space="preserve"> chose 48 hours as the reaction time for all reactions as it allows sufficient time</w:t>
      </w:r>
      <w:r w:rsidR="003031E2" w:rsidRPr="00FD7D7C">
        <w:rPr>
          <w:lang w:val="en-GB"/>
        </w:rPr>
        <w:t xml:space="preserve"> to obtain</w:t>
      </w:r>
      <w:r w:rsidR="0042596D" w:rsidRPr="00FD7D7C">
        <w:rPr>
          <w:lang w:val="en-GB"/>
        </w:rPr>
        <w:t xml:space="preserve"> high conversion of high DP polymers. </w:t>
      </w:r>
      <w:r w:rsidR="00DB5F01" w:rsidRPr="00FD7D7C">
        <w:t>A</w:t>
      </w:r>
      <w:r w:rsidR="00DC62F6" w:rsidRPr="00FD7D7C">
        <w:t>fter polymerization the</w:t>
      </w:r>
      <w:r w:rsidR="00ED62A0" w:rsidRPr="00FD7D7C">
        <w:t xml:space="preserve"> </w:t>
      </w:r>
      <w:r w:rsidR="00443B0A" w:rsidRPr="00FD7D7C">
        <w:t>product was dissolve</w:t>
      </w:r>
      <w:r w:rsidR="00DC62F6" w:rsidRPr="00FD7D7C">
        <w:t>d</w:t>
      </w:r>
      <w:r w:rsidR="00443B0A" w:rsidRPr="00FD7D7C">
        <w:t xml:space="preserve"> in CDCl</w:t>
      </w:r>
      <w:r w:rsidR="00443B0A" w:rsidRPr="00FD7D7C">
        <w:rPr>
          <w:vertAlign w:val="subscript"/>
        </w:rPr>
        <w:t>3</w:t>
      </w:r>
      <w:r w:rsidR="00443B0A" w:rsidRPr="00FD7D7C">
        <w:t xml:space="preserve"> and monomer conversion was determined by </w:t>
      </w:r>
      <w:r w:rsidR="00443B0A" w:rsidRPr="00FD7D7C">
        <w:rPr>
          <w:vertAlign w:val="superscript"/>
        </w:rPr>
        <w:t>1</w:t>
      </w:r>
      <w:r w:rsidR="00443B0A" w:rsidRPr="00FD7D7C">
        <w:t>H NMR at five differe</w:t>
      </w:r>
      <w:r w:rsidR="00275D4B" w:rsidRPr="00FD7D7C">
        <w:t xml:space="preserve">nt </w:t>
      </w:r>
      <w:r w:rsidR="00275D4B" w:rsidRPr="00FD7D7C">
        <w:lastRenderedPageBreak/>
        <w:t xml:space="preserve">targeted </w:t>
      </w:r>
      <w:r w:rsidR="005C0D08" w:rsidRPr="00FD7D7C">
        <w:t xml:space="preserve">number average </w:t>
      </w:r>
      <w:r w:rsidR="00275D4B" w:rsidRPr="00FD7D7C">
        <w:t>degrees of polymeriz</w:t>
      </w:r>
      <w:r w:rsidR="00443B0A" w:rsidRPr="00FD7D7C">
        <w:t>ation</w:t>
      </w:r>
      <w:r w:rsidR="005C0D08" w:rsidRPr="00FD7D7C">
        <w:t xml:space="preserve"> (</w:t>
      </w:r>
      <w:proofErr w:type="spellStart"/>
      <w:r w:rsidR="005C0D08" w:rsidRPr="00FD7D7C">
        <w:t>DP</w:t>
      </w:r>
      <w:r w:rsidR="005C0D08" w:rsidRPr="00FD7D7C">
        <w:rPr>
          <w:vertAlign w:val="subscript"/>
        </w:rPr>
        <w:t>n</w:t>
      </w:r>
      <w:proofErr w:type="spellEnd"/>
      <w:r w:rsidR="005C0D08" w:rsidRPr="00FD7D7C">
        <w:t>)</w:t>
      </w:r>
      <w:r w:rsidR="009C79FD" w:rsidRPr="00FD7D7C">
        <w:t xml:space="preserve"> from 25-220</w:t>
      </w:r>
      <w:r w:rsidR="00443B0A" w:rsidRPr="00FD7D7C">
        <w:t>. In all five polymeri</w:t>
      </w:r>
      <w:r w:rsidR="00275D4B" w:rsidRPr="00FD7D7C">
        <w:t>z</w:t>
      </w:r>
      <w:r w:rsidR="00443B0A" w:rsidRPr="00FD7D7C">
        <w:t>ations tested in bulk the monomer conversion reached a plateau of 81% to 85% with high reproducibility</w:t>
      </w:r>
      <w:r w:rsidR="00B126C1" w:rsidRPr="00FD7D7C">
        <w:t xml:space="preserve"> (</w:t>
      </w:r>
      <w:r w:rsidR="00AD7B99" w:rsidRPr="00FD7D7C">
        <w:t>Ta</w:t>
      </w:r>
      <w:r w:rsidR="00CA5E4B" w:rsidRPr="00FD7D7C">
        <w:t>ble 1 e</w:t>
      </w:r>
      <w:r w:rsidR="00AD7B99" w:rsidRPr="00FD7D7C">
        <w:t>ntries 1-5</w:t>
      </w:r>
      <w:r w:rsidR="00B126C1" w:rsidRPr="00FD7D7C">
        <w:t>)</w:t>
      </w:r>
      <w:r w:rsidR="00DC62F6" w:rsidRPr="00FD7D7C">
        <w:t xml:space="preserve">. </w:t>
      </w:r>
      <w:r w:rsidR="00443B0A" w:rsidRPr="00FD7D7C">
        <w:t xml:space="preserve">This </w:t>
      </w:r>
      <w:r w:rsidR="009C79FD" w:rsidRPr="00FD7D7C">
        <w:t xml:space="preserve">finding </w:t>
      </w:r>
      <w:r w:rsidR="00DC62F6" w:rsidRPr="00FD7D7C">
        <w:t>was</w:t>
      </w:r>
      <w:r w:rsidR="00443B0A" w:rsidRPr="00FD7D7C">
        <w:t xml:space="preserve"> in agreement with the </w:t>
      </w:r>
      <w:r w:rsidR="009C79FD" w:rsidRPr="00FD7D7C">
        <w:t>conversion values in the literature for</w:t>
      </w:r>
      <w:r w:rsidR="00275D4B" w:rsidRPr="00FD7D7C">
        <w:t xml:space="preserve"> the polymeriz</w:t>
      </w:r>
      <w:r w:rsidR="00443B0A" w:rsidRPr="00FD7D7C">
        <w:t>ation performed in bulk.</w:t>
      </w:r>
      <w:r w:rsidR="00884EA8" w:rsidRPr="00FD7D7C">
        <w:rPr>
          <w:vertAlign w:val="superscript"/>
        </w:rPr>
        <w:t>19</w:t>
      </w:r>
      <w:r w:rsidR="0051304D" w:rsidRPr="00FD7D7C">
        <w:rPr>
          <w:vertAlign w:val="superscript"/>
        </w:rPr>
        <w:t xml:space="preserve"> </w:t>
      </w:r>
      <w:proofErr w:type="gramStart"/>
      <w:r w:rsidR="00443B0A" w:rsidRPr="00FD7D7C">
        <w:t>The</w:t>
      </w:r>
      <w:proofErr w:type="gramEnd"/>
      <w:r w:rsidR="00443B0A" w:rsidRPr="00FD7D7C">
        <w:t xml:space="preserve"> visual observation of residual monomer on the surface of the reaction med</w:t>
      </w:r>
      <w:r w:rsidR="00275D4B" w:rsidRPr="00FD7D7C">
        <w:t>ium indicated that</w:t>
      </w:r>
      <w:r w:rsidR="00ED62A0" w:rsidRPr="00FD7D7C">
        <w:t xml:space="preserve"> the bulk</w:t>
      </w:r>
      <w:r w:rsidR="00275D4B" w:rsidRPr="00FD7D7C">
        <w:t xml:space="preserve"> polymeriz</w:t>
      </w:r>
      <w:r w:rsidR="00443B0A" w:rsidRPr="00FD7D7C">
        <w:t xml:space="preserve">ation was </w:t>
      </w:r>
      <w:r w:rsidR="007A63D2" w:rsidRPr="00FD7D7C">
        <w:t>as potentially limited by polymerization-induced phase separation</w:t>
      </w:r>
      <w:r w:rsidR="00443B0A" w:rsidRPr="00FD7D7C">
        <w:t>, leading to incomplete monomer conversion.</w:t>
      </w:r>
      <w:r w:rsidR="00DC62F6" w:rsidRPr="00FD7D7C">
        <w:t xml:space="preserve"> When [M]</w:t>
      </w:r>
      <w:r w:rsidR="00DC62F6" w:rsidRPr="00FD7D7C">
        <w:rPr>
          <w:vertAlign w:val="subscript"/>
        </w:rPr>
        <w:t>0</w:t>
      </w:r>
      <w:r w:rsidR="00D73CED" w:rsidRPr="00FD7D7C">
        <w:t>/</w:t>
      </w:r>
      <w:r w:rsidR="00DC62F6" w:rsidRPr="00FD7D7C">
        <w:t>[CTA]</w:t>
      </w:r>
      <w:r w:rsidR="00DC62F6" w:rsidRPr="00FD7D7C">
        <w:rPr>
          <w:vertAlign w:val="subscript"/>
        </w:rPr>
        <w:t>0</w:t>
      </w:r>
      <w:r w:rsidR="00DC62F6" w:rsidRPr="00FD7D7C">
        <w:t xml:space="preserve"> ratios of 25, 50 and 100 were targeted in bulk</w:t>
      </w:r>
      <w:r w:rsidR="003B7592" w:rsidRPr="00FD7D7C">
        <w:t>,</w:t>
      </w:r>
      <w:r w:rsidR="00DC62F6" w:rsidRPr="00FD7D7C">
        <w:t xml:space="preserve"> the experimentally determined number average molecular weight </w:t>
      </w:r>
      <w:r w:rsidR="00DC62F6" w:rsidRPr="00FD7D7C">
        <w:rPr>
          <w:i/>
        </w:rPr>
        <w:t>M</w:t>
      </w:r>
      <w:r w:rsidR="00DC62F6" w:rsidRPr="00FD7D7C">
        <w:rPr>
          <w:i/>
          <w:vertAlign w:val="subscript"/>
        </w:rPr>
        <w:t>n</w:t>
      </w:r>
      <w:r w:rsidR="00DC62F6" w:rsidRPr="00FD7D7C">
        <w:t xml:space="preserve"> of the polymer</w:t>
      </w:r>
      <w:r w:rsidR="0040236F" w:rsidRPr="00FD7D7C">
        <w:t xml:space="preserve"> was</w:t>
      </w:r>
      <w:r w:rsidR="00DC62F6" w:rsidRPr="00FD7D7C">
        <w:t xml:space="preserve"> </w:t>
      </w:r>
      <w:r w:rsidR="007A63D2" w:rsidRPr="00FD7D7C">
        <w:t xml:space="preserve">in close agreement with the theoretical </w:t>
      </w:r>
      <w:r w:rsidR="007A63D2" w:rsidRPr="00FD7D7C">
        <w:rPr>
          <w:i/>
        </w:rPr>
        <w:t>M</w:t>
      </w:r>
      <w:r w:rsidR="007A63D2" w:rsidRPr="00FD7D7C">
        <w:rPr>
          <w:i/>
          <w:vertAlign w:val="subscript"/>
        </w:rPr>
        <w:t>n</w:t>
      </w:r>
      <w:r w:rsidR="00DC62F6" w:rsidRPr="00FD7D7C">
        <w:t xml:space="preserve">, summarized in Figure 1A. The SEC chromatograms are narrow and symmetrical </w:t>
      </w:r>
      <w:r w:rsidR="00635796" w:rsidRPr="00FD7D7C">
        <w:t>(</w:t>
      </w:r>
      <w:r w:rsidR="00DC62F6" w:rsidRPr="00FD7D7C">
        <w:t>Figu</w:t>
      </w:r>
      <w:r w:rsidR="00DB5F01" w:rsidRPr="00FD7D7C">
        <w:t>re S</w:t>
      </w:r>
      <w:r w:rsidR="003B7592" w:rsidRPr="00FD7D7C">
        <w:t>2</w:t>
      </w:r>
      <w:r w:rsidR="005E278C" w:rsidRPr="00FD7D7C">
        <w:t>B&amp;D</w:t>
      </w:r>
      <w:r w:rsidR="00635796" w:rsidRPr="00FD7D7C">
        <w:t>)</w:t>
      </w:r>
      <w:r w:rsidR="00D2572F" w:rsidRPr="00FD7D7C">
        <w:t xml:space="preserve"> and the </w:t>
      </w:r>
      <w:r w:rsidR="00DB5F01" w:rsidRPr="00FD7D7C">
        <w:t>dispersit</w:t>
      </w:r>
      <w:r w:rsidR="003E091B" w:rsidRPr="00FD7D7C">
        <w:t xml:space="preserve">ies were </w:t>
      </w:r>
      <w:r w:rsidR="00DC62F6" w:rsidRPr="00FD7D7C">
        <w:t xml:space="preserve">below 1.20 </w:t>
      </w:r>
      <w:r w:rsidR="00DB5F01" w:rsidRPr="00FD7D7C">
        <w:t>indicating a well-controlled polymerization</w:t>
      </w:r>
      <w:r w:rsidR="00DC62F6" w:rsidRPr="00FD7D7C">
        <w:t>. At higher ratios of [M]</w:t>
      </w:r>
      <w:r w:rsidR="00DC62F6" w:rsidRPr="00FD7D7C">
        <w:rPr>
          <w:vertAlign w:val="subscript"/>
        </w:rPr>
        <w:t>0</w:t>
      </w:r>
      <w:r w:rsidR="00DC62F6" w:rsidRPr="00FD7D7C">
        <w:t>/[CTA]</w:t>
      </w:r>
      <w:r w:rsidR="00DC62F6" w:rsidRPr="00FD7D7C">
        <w:rPr>
          <w:vertAlign w:val="subscript"/>
        </w:rPr>
        <w:t>0</w:t>
      </w:r>
      <w:r w:rsidR="00DC62F6" w:rsidRPr="00FD7D7C">
        <w:t xml:space="preserve"> = 150 and 220 </w:t>
      </w:r>
      <w:r w:rsidR="009C79FD" w:rsidRPr="00FD7D7C">
        <w:t xml:space="preserve">targeting of </w:t>
      </w:r>
      <w:r w:rsidR="009C79FD" w:rsidRPr="00FD7D7C">
        <w:rPr>
          <w:i/>
        </w:rPr>
        <w:t>M</w:t>
      </w:r>
      <w:r w:rsidR="009C79FD" w:rsidRPr="00FD7D7C">
        <w:rPr>
          <w:i/>
          <w:vertAlign w:val="subscript"/>
        </w:rPr>
        <w:t>n</w:t>
      </w:r>
      <w:r w:rsidR="009C79FD" w:rsidRPr="00FD7D7C">
        <w:rPr>
          <w:i/>
        </w:rPr>
        <w:t xml:space="preserve"> </w:t>
      </w:r>
      <w:r w:rsidR="009C79FD" w:rsidRPr="00FD7D7C">
        <w:t xml:space="preserve">was less precise, </w:t>
      </w:r>
      <w:r w:rsidR="00DC62F6" w:rsidRPr="00FD7D7C">
        <w:t>the dispersit</w:t>
      </w:r>
      <w:r w:rsidR="003E091B" w:rsidRPr="00FD7D7C">
        <w:t>ies</w:t>
      </w:r>
      <w:r w:rsidR="00DC62F6" w:rsidRPr="00FD7D7C">
        <w:t xml:space="preserve"> </w:t>
      </w:r>
      <w:r w:rsidR="008477FC" w:rsidRPr="00FD7D7C">
        <w:t>were</w:t>
      </w:r>
      <w:r w:rsidR="00DC62F6" w:rsidRPr="00FD7D7C">
        <w:t xml:space="preserve"> </w:t>
      </w:r>
      <w:r w:rsidR="00306244" w:rsidRPr="00FD7D7C">
        <w:t>≥</w:t>
      </w:r>
      <w:r w:rsidR="00DC62F6" w:rsidRPr="00FD7D7C">
        <w:t>1.44 and the SEC chromatogram</w:t>
      </w:r>
      <w:r w:rsidR="007A63D2" w:rsidRPr="00FD7D7C">
        <w:t>s</w:t>
      </w:r>
      <w:r w:rsidR="00DC62F6" w:rsidRPr="00FD7D7C">
        <w:t xml:space="preserve"> </w:t>
      </w:r>
      <w:r w:rsidR="008477FC" w:rsidRPr="00FD7D7C">
        <w:t>were</w:t>
      </w:r>
      <w:r w:rsidR="00DC62F6" w:rsidRPr="00FD7D7C">
        <w:t xml:space="preserve"> broader</w:t>
      </w:r>
      <w:r w:rsidR="005E278C" w:rsidRPr="00FD7D7C">
        <w:t xml:space="preserve"> </w:t>
      </w:r>
      <w:r w:rsidR="00DC62F6" w:rsidRPr="00FD7D7C">
        <w:t>indicating a loss of control of the polymerization at these higher [M]</w:t>
      </w:r>
      <w:r w:rsidR="00DC62F6" w:rsidRPr="00FD7D7C">
        <w:rPr>
          <w:vertAlign w:val="subscript"/>
        </w:rPr>
        <w:t>0</w:t>
      </w:r>
      <w:r w:rsidR="00DC62F6" w:rsidRPr="00FD7D7C">
        <w:t>/[CTA]</w:t>
      </w:r>
      <w:r w:rsidR="00DC62F6" w:rsidRPr="00FD7D7C">
        <w:rPr>
          <w:vertAlign w:val="subscript"/>
        </w:rPr>
        <w:t>0</w:t>
      </w:r>
      <w:r w:rsidR="00DC62F6" w:rsidRPr="00FD7D7C">
        <w:t xml:space="preserve"> ratios, which is in agreement with previous reports.</w:t>
      </w:r>
      <w:r w:rsidR="00A43214" w:rsidRPr="00FD7D7C">
        <w:rPr>
          <w:vertAlign w:val="superscript"/>
        </w:rPr>
        <w:t>19</w:t>
      </w:r>
      <w:r w:rsidR="00DC62F6" w:rsidRPr="00FD7D7C">
        <w:t xml:space="preserve"> This loss of control of the polymerization was attributed to</w:t>
      </w:r>
      <w:r w:rsidR="00647D3A" w:rsidRPr="00FD7D7C">
        <w:t xml:space="preserve"> the less activated nature of the monomer resulting in </w:t>
      </w:r>
      <w:r w:rsidR="0040236F" w:rsidRPr="00FD7D7C">
        <w:t xml:space="preserve">“head-to-head” monomer addition, as opposed to “head-to-tail” addition, which would lead to </w:t>
      </w:r>
      <w:r w:rsidR="003B7592" w:rsidRPr="00FD7D7C">
        <w:t>the formation of a non-reversible chain end (and therefore a loss of control/activation)</w:t>
      </w:r>
      <w:r w:rsidR="00DC62F6" w:rsidRPr="00FD7D7C">
        <w:t>.</w:t>
      </w:r>
      <w:r w:rsidR="00A43214" w:rsidRPr="00FD7D7C">
        <w:rPr>
          <w:vertAlign w:val="superscript"/>
        </w:rPr>
        <w:t>28</w:t>
      </w:r>
      <w:r w:rsidR="00DC62F6" w:rsidRPr="00FD7D7C">
        <w:t xml:space="preserve"> The</w:t>
      </w:r>
      <w:r w:rsidR="000653D8" w:rsidRPr="00FD7D7C">
        <w:t xml:space="preserve"> SEC chromatograms (</w:t>
      </w:r>
      <w:r w:rsidR="00635796" w:rsidRPr="00FD7D7C">
        <w:t xml:space="preserve">Figure 1B and </w:t>
      </w:r>
      <w:r w:rsidR="000653D8" w:rsidRPr="00FD7D7C">
        <w:t>Figure S</w:t>
      </w:r>
      <w:r w:rsidR="00216DB3" w:rsidRPr="00FD7D7C">
        <w:t>3</w:t>
      </w:r>
      <w:r w:rsidR="005E278C" w:rsidRPr="00FD7D7C">
        <w:t>E</w:t>
      </w:r>
      <w:r w:rsidR="000653D8" w:rsidRPr="00FD7D7C">
        <w:t>&amp;</w:t>
      </w:r>
      <w:r w:rsidR="005E278C" w:rsidRPr="00FD7D7C">
        <w:t>F</w:t>
      </w:r>
      <w:r w:rsidR="00DC62F6" w:rsidRPr="00FD7D7C">
        <w:t>) show a tail</w:t>
      </w:r>
      <w:r w:rsidR="00F300C3" w:rsidRPr="00FD7D7C">
        <w:t>ing</w:t>
      </w:r>
      <w:r w:rsidR="00DC62F6" w:rsidRPr="00FD7D7C">
        <w:t xml:space="preserve"> toward lower molecular weights, indicating loss </w:t>
      </w:r>
      <w:r w:rsidR="007A63D2" w:rsidRPr="00FD7D7C">
        <w:t>of chain transfer agent functionality or termination that is limiting controlled chain growth under</w:t>
      </w:r>
      <w:r w:rsidR="007A63D2" w:rsidRPr="00FD7D7C" w:rsidDel="007A63D2">
        <w:t xml:space="preserve"> </w:t>
      </w:r>
      <w:r w:rsidR="00DC62F6" w:rsidRPr="00FD7D7C">
        <w:t>these reaction conditions. In the absence of chain transfer agent an insoluble product forms with no molecular weight control.</w:t>
      </w:r>
      <w:r w:rsidR="00B126C1" w:rsidRPr="00FD7D7C">
        <w:t xml:space="preserve"> </w:t>
      </w:r>
    </w:p>
    <w:p w14:paraId="3A364891" w14:textId="77777777" w:rsidR="008477FC" w:rsidRPr="00FD7D7C" w:rsidRDefault="008477FC" w:rsidP="00217AD3">
      <w:pPr>
        <w:spacing w:line="240" w:lineRule="auto"/>
        <w:jc w:val="both"/>
      </w:pPr>
    </w:p>
    <w:p w14:paraId="4F8AACA1" w14:textId="77777777" w:rsidR="008477FC" w:rsidRPr="00FD7D7C" w:rsidRDefault="008477FC" w:rsidP="00217AD3">
      <w:pPr>
        <w:spacing w:line="240" w:lineRule="auto"/>
        <w:jc w:val="both"/>
        <w:sectPr w:rsidR="008477FC" w:rsidRPr="00FD7D7C" w:rsidSect="00997C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60D810C" w14:textId="77777777" w:rsidR="000653D8" w:rsidRPr="00FD7D7C" w:rsidRDefault="000653D8" w:rsidP="00217AD3">
      <w:pPr>
        <w:spacing w:line="240" w:lineRule="auto"/>
        <w:jc w:val="both"/>
      </w:pPr>
    </w:p>
    <w:p w14:paraId="1F1C53B2" w14:textId="77777777" w:rsidR="000653D8" w:rsidRPr="00FD7D7C" w:rsidRDefault="000653D8" w:rsidP="00217AD3">
      <w:pPr>
        <w:spacing w:line="240" w:lineRule="auto"/>
        <w:jc w:val="both"/>
      </w:pPr>
    </w:p>
    <w:p w14:paraId="1CC39F32" w14:textId="77777777" w:rsidR="003B7592" w:rsidRPr="00FD7D7C" w:rsidRDefault="003B7592" w:rsidP="00217AD3">
      <w:pPr>
        <w:spacing w:line="240" w:lineRule="auto"/>
        <w:jc w:val="both"/>
      </w:pPr>
    </w:p>
    <w:p w14:paraId="1446030C" w14:textId="77777777" w:rsidR="00217AD3" w:rsidRPr="00FD7D7C" w:rsidRDefault="00217AD3" w:rsidP="00217AD3">
      <w:pPr>
        <w:spacing w:line="240" w:lineRule="auto"/>
        <w:jc w:val="both"/>
      </w:pPr>
      <w:r w:rsidRPr="00FD7D7C">
        <w:t xml:space="preserve">TABLE 1 Summary of </w:t>
      </w:r>
      <w:proofErr w:type="spellStart"/>
      <w:r w:rsidR="000653D8" w:rsidRPr="00FD7D7C">
        <w:t>PVAc</w:t>
      </w:r>
      <w:proofErr w:type="spellEnd"/>
      <w:r w:rsidR="000653D8" w:rsidRPr="00FD7D7C">
        <w:t xml:space="preserve"> </w:t>
      </w:r>
      <w:r w:rsidRPr="00FD7D7C">
        <w:t xml:space="preserve">products prepared by MADIX polymerization. Reaction Conditions: </w:t>
      </w:r>
      <w:proofErr w:type="spellStart"/>
      <w:r w:rsidRPr="00FD7D7C">
        <w:t>VAc</w:t>
      </w:r>
      <w:proofErr w:type="spellEnd"/>
      <w:r w:rsidRPr="00FD7D7C">
        <w:t xml:space="preserve"> = 2 mL, Solvent =2 mL (0 mL in bulk) Ratio [M</w:t>
      </w:r>
      <w:proofErr w:type="gramStart"/>
      <w:r w:rsidRPr="00FD7D7C">
        <w:t>]</w:t>
      </w:r>
      <w:r w:rsidRPr="00FD7D7C">
        <w:rPr>
          <w:vertAlign w:val="subscript"/>
        </w:rPr>
        <w:t>0</w:t>
      </w:r>
      <w:proofErr w:type="gramEnd"/>
      <w:r w:rsidRPr="00FD7D7C">
        <w:t>/[CTA]</w:t>
      </w:r>
      <w:r w:rsidRPr="00FD7D7C">
        <w:rPr>
          <w:vertAlign w:val="subscript"/>
        </w:rPr>
        <w:t>0</w:t>
      </w:r>
      <w:r w:rsidRPr="00FD7D7C">
        <w:t xml:space="preserve"> = 1/0.2  Polymerization Temperature = 70 °C</w:t>
      </w:r>
    </w:p>
    <w:tbl>
      <w:tblPr>
        <w:tblStyle w:val="LightShading1"/>
        <w:tblW w:w="9352" w:type="dxa"/>
        <w:tblLook w:val="07A0" w:firstRow="1" w:lastRow="0" w:firstColumn="1" w:lastColumn="1" w:noHBand="1" w:noVBand="1"/>
      </w:tblPr>
      <w:tblGrid>
        <w:gridCol w:w="744"/>
        <w:gridCol w:w="923"/>
        <w:gridCol w:w="1170"/>
        <w:gridCol w:w="681"/>
        <w:gridCol w:w="1182"/>
        <w:gridCol w:w="1195"/>
        <w:gridCol w:w="1302"/>
        <w:gridCol w:w="1302"/>
        <w:gridCol w:w="853"/>
      </w:tblGrid>
      <w:tr w:rsidR="00217AD3" w:rsidRPr="00FD7D7C" w14:paraId="23DFB57A" w14:textId="77777777" w:rsidTr="00320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5CEF9064" w14:textId="77777777" w:rsidR="00217AD3" w:rsidRPr="00FD7D7C" w:rsidRDefault="00217AD3" w:rsidP="00392035">
            <w:pPr>
              <w:pStyle w:val="TableHead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Entry</w:t>
            </w:r>
          </w:p>
        </w:tc>
        <w:tc>
          <w:tcPr>
            <w:tcW w:w="923" w:type="dxa"/>
          </w:tcPr>
          <w:p w14:paraId="6D832C89" w14:textId="77777777" w:rsidR="00217AD3" w:rsidRPr="00FD7D7C" w:rsidRDefault="00217AD3" w:rsidP="00392035">
            <w:pPr>
              <w:pStyle w:val="TableHead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vertAlign w:val="superscript"/>
                <w:lang w:val="en-US"/>
              </w:rPr>
            </w:pPr>
            <w:r w:rsidRPr="00FD7D7C">
              <w:rPr>
                <w:lang w:val="en-US"/>
              </w:rPr>
              <w:t>[M]</w:t>
            </w:r>
            <w:r w:rsidRPr="00FD7D7C">
              <w:rPr>
                <w:vertAlign w:val="subscript"/>
                <w:lang w:val="en-US"/>
              </w:rPr>
              <w:t>0</w:t>
            </w:r>
            <w:r w:rsidRPr="00FD7D7C">
              <w:rPr>
                <w:lang w:val="en-US"/>
              </w:rPr>
              <w:t>/ [CTA]</w:t>
            </w:r>
            <w:r w:rsidRPr="00FD7D7C">
              <w:rPr>
                <w:vertAlign w:val="subscript"/>
                <w:lang w:val="en-US"/>
              </w:rPr>
              <w:t>0</w:t>
            </w:r>
            <w:r w:rsidRPr="00FD7D7C">
              <w:rPr>
                <w:i/>
                <w:vertAlign w:val="superscript"/>
                <w:lang w:val="en-US"/>
              </w:rPr>
              <w:t>a</w:t>
            </w:r>
          </w:p>
        </w:tc>
        <w:tc>
          <w:tcPr>
            <w:tcW w:w="1170" w:type="dxa"/>
          </w:tcPr>
          <w:p w14:paraId="5C50664D" w14:textId="77777777" w:rsidR="00217AD3" w:rsidRPr="00FD7D7C" w:rsidRDefault="00217AD3" w:rsidP="00392035">
            <w:pPr>
              <w:pStyle w:val="TableHead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Conditions</w:t>
            </w:r>
          </w:p>
        </w:tc>
        <w:tc>
          <w:tcPr>
            <w:tcW w:w="681" w:type="dxa"/>
          </w:tcPr>
          <w:p w14:paraId="13716C6B" w14:textId="77777777" w:rsidR="00217AD3" w:rsidRPr="00FD7D7C" w:rsidRDefault="00217AD3" w:rsidP="00392035">
            <w:pPr>
              <w:pStyle w:val="TableHead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Time / h</w:t>
            </w:r>
          </w:p>
        </w:tc>
        <w:tc>
          <w:tcPr>
            <w:tcW w:w="1182" w:type="dxa"/>
          </w:tcPr>
          <w:p w14:paraId="0159138D" w14:textId="77777777" w:rsidR="00217AD3" w:rsidRPr="00FD7D7C" w:rsidRDefault="00217AD3" w:rsidP="00392035">
            <w:pPr>
              <w:pStyle w:val="TableHead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 xml:space="preserve">% </w:t>
            </w:r>
            <w:proofErr w:type="spellStart"/>
            <w:r w:rsidRPr="00FD7D7C">
              <w:rPr>
                <w:lang w:val="en-US"/>
              </w:rPr>
              <w:t>Conversion</w:t>
            </w:r>
            <w:r w:rsidRPr="00FD7D7C">
              <w:rPr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195" w:type="dxa"/>
          </w:tcPr>
          <w:p w14:paraId="514FB10F" w14:textId="77777777" w:rsidR="00217AD3" w:rsidRPr="00FD7D7C" w:rsidRDefault="00217AD3" w:rsidP="00392035">
            <w:pPr>
              <w:pStyle w:val="TableHead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i/>
                <w:lang w:val="en-US"/>
              </w:rPr>
              <w:t>M</w:t>
            </w:r>
            <w:r w:rsidRPr="00FD7D7C">
              <w:rPr>
                <w:i/>
                <w:vertAlign w:val="subscript"/>
                <w:lang w:val="en-US"/>
              </w:rPr>
              <w:t>n</w:t>
            </w:r>
            <w:r w:rsidRPr="00FD7D7C">
              <w:rPr>
                <w:lang w:val="en-US"/>
              </w:rPr>
              <w:t xml:space="preserve"> (</w:t>
            </w:r>
            <w:proofErr w:type="spellStart"/>
            <w:r w:rsidRPr="00FD7D7C">
              <w:rPr>
                <w:lang w:val="en-US"/>
              </w:rPr>
              <w:t>theo.</w:t>
            </w:r>
            <w:proofErr w:type="spellEnd"/>
            <w:r w:rsidRPr="00FD7D7C">
              <w:rPr>
                <w:lang w:val="en-US"/>
              </w:rPr>
              <w:t xml:space="preserve">) </w:t>
            </w:r>
          </w:p>
          <w:p w14:paraId="79486610" w14:textId="77777777" w:rsidR="00217AD3" w:rsidRPr="00FD7D7C" w:rsidRDefault="00217AD3" w:rsidP="00392035">
            <w:pPr>
              <w:pStyle w:val="TableHead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FD7D7C">
              <w:rPr>
                <w:lang w:val="en-US"/>
              </w:rPr>
              <w:t xml:space="preserve"> (g mol</w:t>
            </w:r>
            <w:r w:rsidRPr="00FD7D7C">
              <w:rPr>
                <w:vertAlign w:val="superscript"/>
                <w:lang w:val="en-US"/>
              </w:rPr>
              <w:t>-1</w:t>
            </w:r>
            <w:r w:rsidRPr="00FD7D7C">
              <w:rPr>
                <w:lang w:val="en-US"/>
              </w:rPr>
              <w:t>)</w:t>
            </w:r>
            <w:r w:rsidRPr="00FD7D7C">
              <w:rPr>
                <w:vertAlign w:val="superscript"/>
                <w:lang w:val="en-US"/>
              </w:rPr>
              <w:t>c</w:t>
            </w:r>
          </w:p>
        </w:tc>
        <w:tc>
          <w:tcPr>
            <w:tcW w:w="1302" w:type="dxa"/>
          </w:tcPr>
          <w:p w14:paraId="69806268" w14:textId="77777777" w:rsidR="00217AD3" w:rsidRPr="00FD7D7C" w:rsidRDefault="00217AD3" w:rsidP="00392035">
            <w:pPr>
              <w:pStyle w:val="TableHead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i/>
                <w:lang w:val="en-US"/>
              </w:rPr>
              <w:t>M</w:t>
            </w:r>
            <w:r w:rsidRPr="00FD7D7C">
              <w:rPr>
                <w:i/>
                <w:vertAlign w:val="subscript"/>
                <w:lang w:val="en-US"/>
              </w:rPr>
              <w:t>n</w:t>
            </w:r>
            <w:r w:rsidRPr="00FD7D7C">
              <w:rPr>
                <w:lang w:val="en-US"/>
              </w:rPr>
              <w:t xml:space="preserve"> (exp.) </w:t>
            </w:r>
          </w:p>
          <w:p w14:paraId="7D4C0D83" w14:textId="77777777" w:rsidR="00217AD3" w:rsidRPr="00FD7D7C" w:rsidRDefault="00217AD3" w:rsidP="00392035">
            <w:pPr>
              <w:pStyle w:val="TableHead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FD7D7C">
              <w:rPr>
                <w:lang w:val="en-US"/>
              </w:rPr>
              <w:t>(g mol</w:t>
            </w:r>
            <w:r w:rsidRPr="00FD7D7C">
              <w:rPr>
                <w:vertAlign w:val="superscript"/>
                <w:lang w:val="en-US"/>
              </w:rPr>
              <w:t>-1</w:t>
            </w:r>
            <w:r w:rsidRPr="00FD7D7C">
              <w:rPr>
                <w:lang w:val="en-US"/>
              </w:rPr>
              <w:t>)</w:t>
            </w:r>
            <w:r w:rsidRPr="00FD7D7C">
              <w:rPr>
                <w:vertAlign w:val="superscript"/>
                <w:lang w:val="en-US"/>
              </w:rPr>
              <w:t>d</w:t>
            </w:r>
          </w:p>
        </w:tc>
        <w:tc>
          <w:tcPr>
            <w:tcW w:w="1302" w:type="dxa"/>
          </w:tcPr>
          <w:p w14:paraId="69AF63B5" w14:textId="77777777" w:rsidR="00217AD3" w:rsidRPr="00FD7D7C" w:rsidRDefault="00217AD3" w:rsidP="00392035">
            <w:pPr>
              <w:pStyle w:val="TableHead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i/>
                <w:lang w:val="en-US"/>
              </w:rPr>
              <w:t>M</w:t>
            </w:r>
            <w:r w:rsidRPr="00FD7D7C">
              <w:rPr>
                <w:i/>
                <w:vertAlign w:val="subscript"/>
                <w:lang w:val="en-US"/>
              </w:rPr>
              <w:t>w</w:t>
            </w:r>
            <w:r w:rsidRPr="00FD7D7C">
              <w:rPr>
                <w:vertAlign w:val="subscript"/>
                <w:lang w:val="en-US"/>
              </w:rPr>
              <w:t xml:space="preserve"> </w:t>
            </w:r>
            <w:r w:rsidRPr="00FD7D7C">
              <w:rPr>
                <w:lang w:val="en-US"/>
              </w:rPr>
              <w:t xml:space="preserve">(exp.) </w:t>
            </w:r>
          </w:p>
          <w:p w14:paraId="0891002F" w14:textId="77777777" w:rsidR="00217AD3" w:rsidRPr="00FD7D7C" w:rsidRDefault="00217AD3" w:rsidP="00392035">
            <w:pPr>
              <w:pStyle w:val="TableHead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FD7D7C">
              <w:rPr>
                <w:lang w:val="en-US"/>
              </w:rPr>
              <w:t>(g mol</w:t>
            </w:r>
            <w:r w:rsidRPr="00FD7D7C">
              <w:rPr>
                <w:vertAlign w:val="superscript"/>
                <w:lang w:val="en-US"/>
              </w:rPr>
              <w:t>-1</w:t>
            </w:r>
            <w:r w:rsidRPr="00FD7D7C">
              <w:rPr>
                <w:lang w:val="en-US"/>
              </w:rPr>
              <w:t>)</w:t>
            </w:r>
            <w:r w:rsidRPr="00FD7D7C">
              <w:rPr>
                <w:vertAlign w:val="superscript"/>
                <w:lang w:val="en-US"/>
              </w:rPr>
              <w:t>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" w:type="dxa"/>
          </w:tcPr>
          <w:p w14:paraId="3DC0ADFE" w14:textId="77777777" w:rsidR="00217AD3" w:rsidRPr="00FD7D7C" w:rsidRDefault="00217AD3" w:rsidP="00392035">
            <w:pPr>
              <w:pStyle w:val="TableHead"/>
              <w:spacing w:line="240" w:lineRule="auto"/>
              <w:rPr>
                <w:vertAlign w:val="superscript"/>
                <w:lang w:val="en-US"/>
              </w:rPr>
            </w:pPr>
            <w:r w:rsidRPr="00FD7D7C">
              <w:rPr>
                <w:i/>
                <w:lang w:val="en-US"/>
              </w:rPr>
              <w:t>M</w:t>
            </w:r>
            <w:r w:rsidRPr="00FD7D7C">
              <w:rPr>
                <w:i/>
                <w:vertAlign w:val="subscript"/>
                <w:lang w:val="en-US"/>
              </w:rPr>
              <w:t>w</w:t>
            </w:r>
            <w:r w:rsidRPr="00FD7D7C">
              <w:rPr>
                <w:i/>
                <w:lang w:val="en-US"/>
              </w:rPr>
              <w:t xml:space="preserve"> / </w:t>
            </w:r>
            <w:proofErr w:type="spellStart"/>
            <w:r w:rsidRPr="00FD7D7C">
              <w:rPr>
                <w:i/>
                <w:lang w:val="en-US"/>
              </w:rPr>
              <w:t>M</w:t>
            </w:r>
            <w:r w:rsidRPr="00FD7D7C">
              <w:rPr>
                <w:i/>
                <w:vertAlign w:val="subscript"/>
                <w:lang w:val="en-US"/>
              </w:rPr>
              <w:t>n</w:t>
            </w:r>
            <w:r w:rsidRPr="00FD7D7C">
              <w:rPr>
                <w:vertAlign w:val="superscript"/>
                <w:lang w:val="en-US"/>
              </w:rPr>
              <w:t>d</w:t>
            </w:r>
            <w:proofErr w:type="spellEnd"/>
          </w:p>
        </w:tc>
      </w:tr>
      <w:tr w:rsidR="00A32B18" w:rsidRPr="00FD7D7C" w14:paraId="257F11ED" w14:textId="77777777" w:rsidTr="00A32B18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5841D8BE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1</w:t>
            </w:r>
          </w:p>
        </w:tc>
        <w:tc>
          <w:tcPr>
            <w:tcW w:w="923" w:type="dxa"/>
          </w:tcPr>
          <w:p w14:paraId="7124DF8A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No CTA</w:t>
            </w:r>
          </w:p>
        </w:tc>
        <w:tc>
          <w:tcPr>
            <w:tcW w:w="1170" w:type="dxa"/>
          </w:tcPr>
          <w:p w14:paraId="2EA0AE44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Bulk</w:t>
            </w:r>
          </w:p>
        </w:tc>
        <w:tc>
          <w:tcPr>
            <w:tcW w:w="681" w:type="dxa"/>
          </w:tcPr>
          <w:p w14:paraId="654A275D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48</w:t>
            </w:r>
          </w:p>
        </w:tc>
        <w:tc>
          <w:tcPr>
            <w:tcW w:w="1182" w:type="dxa"/>
          </w:tcPr>
          <w:p w14:paraId="68D5119F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-</w:t>
            </w:r>
          </w:p>
        </w:tc>
        <w:tc>
          <w:tcPr>
            <w:tcW w:w="1195" w:type="dxa"/>
          </w:tcPr>
          <w:p w14:paraId="5111DDBF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N/A</w:t>
            </w:r>
          </w:p>
        </w:tc>
        <w:tc>
          <w:tcPr>
            <w:tcW w:w="1302" w:type="dxa"/>
          </w:tcPr>
          <w:p w14:paraId="3574D230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Insoluble</w:t>
            </w:r>
          </w:p>
        </w:tc>
        <w:tc>
          <w:tcPr>
            <w:tcW w:w="1302" w:type="dxa"/>
          </w:tcPr>
          <w:p w14:paraId="5DB04132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Insoluble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" w:type="dxa"/>
          </w:tcPr>
          <w:p w14:paraId="4DC1F920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N/A</w:t>
            </w:r>
          </w:p>
        </w:tc>
      </w:tr>
      <w:tr w:rsidR="00A32B18" w:rsidRPr="00FD7D7C" w14:paraId="36AE77F2" w14:textId="77777777" w:rsidTr="00320D1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16DF67A6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2</w:t>
            </w:r>
          </w:p>
        </w:tc>
        <w:tc>
          <w:tcPr>
            <w:tcW w:w="923" w:type="dxa"/>
          </w:tcPr>
          <w:p w14:paraId="139807C6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25</w:t>
            </w:r>
          </w:p>
        </w:tc>
        <w:tc>
          <w:tcPr>
            <w:tcW w:w="1170" w:type="dxa"/>
          </w:tcPr>
          <w:p w14:paraId="4A6F00CF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Bulk</w:t>
            </w:r>
          </w:p>
        </w:tc>
        <w:tc>
          <w:tcPr>
            <w:tcW w:w="681" w:type="dxa"/>
          </w:tcPr>
          <w:p w14:paraId="1F7EE2C9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48</w:t>
            </w:r>
          </w:p>
        </w:tc>
        <w:tc>
          <w:tcPr>
            <w:tcW w:w="1182" w:type="dxa"/>
          </w:tcPr>
          <w:p w14:paraId="61CF0DD6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81</w:t>
            </w:r>
          </w:p>
        </w:tc>
        <w:tc>
          <w:tcPr>
            <w:tcW w:w="1195" w:type="dxa"/>
          </w:tcPr>
          <w:p w14:paraId="5F52BC42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1744</w:t>
            </w:r>
          </w:p>
        </w:tc>
        <w:tc>
          <w:tcPr>
            <w:tcW w:w="1302" w:type="dxa"/>
          </w:tcPr>
          <w:p w14:paraId="040D10F0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2100</w:t>
            </w:r>
          </w:p>
        </w:tc>
        <w:tc>
          <w:tcPr>
            <w:tcW w:w="1302" w:type="dxa"/>
          </w:tcPr>
          <w:p w14:paraId="044F7C51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2370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" w:type="dxa"/>
          </w:tcPr>
          <w:p w14:paraId="7860DA95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1.13</w:t>
            </w:r>
          </w:p>
        </w:tc>
      </w:tr>
      <w:tr w:rsidR="00A32B18" w:rsidRPr="00FD7D7C" w14:paraId="3D2CF55E" w14:textId="77777777" w:rsidTr="00320D1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5E3C5574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3</w:t>
            </w:r>
          </w:p>
        </w:tc>
        <w:tc>
          <w:tcPr>
            <w:tcW w:w="923" w:type="dxa"/>
          </w:tcPr>
          <w:p w14:paraId="4BA73B7A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50</w:t>
            </w:r>
          </w:p>
        </w:tc>
        <w:tc>
          <w:tcPr>
            <w:tcW w:w="1170" w:type="dxa"/>
          </w:tcPr>
          <w:p w14:paraId="69A18638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Bulk</w:t>
            </w:r>
          </w:p>
        </w:tc>
        <w:tc>
          <w:tcPr>
            <w:tcW w:w="681" w:type="dxa"/>
          </w:tcPr>
          <w:p w14:paraId="74A6F672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48</w:t>
            </w:r>
          </w:p>
        </w:tc>
        <w:tc>
          <w:tcPr>
            <w:tcW w:w="1182" w:type="dxa"/>
          </w:tcPr>
          <w:p w14:paraId="44496707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82</w:t>
            </w:r>
          </w:p>
        </w:tc>
        <w:tc>
          <w:tcPr>
            <w:tcW w:w="1195" w:type="dxa"/>
          </w:tcPr>
          <w:p w14:paraId="4F025BDF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3616</w:t>
            </w:r>
          </w:p>
        </w:tc>
        <w:tc>
          <w:tcPr>
            <w:tcW w:w="1302" w:type="dxa"/>
          </w:tcPr>
          <w:p w14:paraId="288B5C2B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4250</w:t>
            </w:r>
          </w:p>
        </w:tc>
        <w:tc>
          <w:tcPr>
            <w:tcW w:w="1302" w:type="dxa"/>
          </w:tcPr>
          <w:p w14:paraId="055BB584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4900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" w:type="dxa"/>
          </w:tcPr>
          <w:p w14:paraId="2A4F3EE7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1.15</w:t>
            </w:r>
          </w:p>
        </w:tc>
      </w:tr>
      <w:tr w:rsidR="00A32B18" w:rsidRPr="00FD7D7C" w14:paraId="2E916F7D" w14:textId="77777777" w:rsidTr="00320D1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00CDDBA3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4</w:t>
            </w:r>
          </w:p>
        </w:tc>
        <w:tc>
          <w:tcPr>
            <w:tcW w:w="923" w:type="dxa"/>
          </w:tcPr>
          <w:p w14:paraId="746FB070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100</w:t>
            </w:r>
          </w:p>
        </w:tc>
        <w:tc>
          <w:tcPr>
            <w:tcW w:w="1170" w:type="dxa"/>
          </w:tcPr>
          <w:p w14:paraId="7BD0A9AD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Bulk</w:t>
            </w:r>
          </w:p>
        </w:tc>
        <w:tc>
          <w:tcPr>
            <w:tcW w:w="681" w:type="dxa"/>
          </w:tcPr>
          <w:p w14:paraId="0F0A5A4C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48</w:t>
            </w:r>
          </w:p>
        </w:tc>
        <w:tc>
          <w:tcPr>
            <w:tcW w:w="1182" w:type="dxa"/>
          </w:tcPr>
          <w:p w14:paraId="1B36C03F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84</w:t>
            </w:r>
          </w:p>
        </w:tc>
        <w:tc>
          <w:tcPr>
            <w:tcW w:w="1195" w:type="dxa"/>
          </w:tcPr>
          <w:p w14:paraId="1E79F1ED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7232</w:t>
            </w:r>
          </w:p>
        </w:tc>
        <w:tc>
          <w:tcPr>
            <w:tcW w:w="1302" w:type="dxa"/>
          </w:tcPr>
          <w:p w14:paraId="4742DE0D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6800</w:t>
            </w:r>
          </w:p>
        </w:tc>
        <w:tc>
          <w:tcPr>
            <w:tcW w:w="1302" w:type="dxa"/>
          </w:tcPr>
          <w:p w14:paraId="6B4D611A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7700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" w:type="dxa"/>
          </w:tcPr>
          <w:p w14:paraId="12930E1F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1.13</w:t>
            </w:r>
          </w:p>
        </w:tc>
      </w:tr>
      <w:tr w:rsidR="00A32B18" w:rsidRPr="00FD7D7C" w14:paraId="65A0976A" w14:textId="77777777" w:rsidTr="00320D1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1C6ED90B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5</w:t>
            </w:r>
          </w:p>
        </w:tc>
        <w:tc>
          <w:tcPr>
            <w:tcW w:w="923" w:type="dxa"/>
          </w:tcPr>
          <w:p w14:paraId="63892B2C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150</w:t>
            </w:r>
          </w:p>
        </w:tc>
        <w:tc>
          <w:tcPr>
            <w:tcW w:w="1170" w:type="dxa"/>
          </w:tcPr>
          <w:p w14:paraId="204A2F52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Bulk</w:t>
            </w:r>
          </w:p>
        </w:tc>
        <w:tc>
          <w:tcPr>
            <w:tcW w:w="681" w:type="dxa"/>
          </w:tcPr>
          <w:p w14:paraId="59062BB0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48</w:t>
            </w:r>
          </w:p>
        </w:tc>
        <w:tc>
          <w:tcPr>
            <w:tcW w:w="1182" w:type="dxa"/>
          </w:tcPr>
          <w:p w14:paraId="5CC6E30A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83</w:t>
            </w:r>
          </w:p>
        </w:tc>
        <w:tc>
          <w:tcPr>
            <w:tcW w:w="1195" w:type="dxa"/>
          </w:tcPr>
          <w:p w14:paraId="5500EA3F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10849</w:t>
            </w:r>
          </w:p>
        </w:tc>
        <w:tc>
          <w:tcPr>
            <w:tcW w:w="1302" w:type="dxa"/>
          </w:tcPr>
          <w:p w14:paraId="1F275725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9350</w:t>
            </w:r>
          </w:p>
        </w:tc>
        <w:tc>
          <w:tcPr>
            <w:tcW w:w="1302" w:type="dxa"/>
          </w:tcPr>
          <w:p w14:paraId="4346DB44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13500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" w:type="dxa"/>
          </w:tcPr>
          <w:p w14:paraId="10569BB8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1.44</w:t>
            </w:r>
          </w:p>
        </w:tc>
      </w:tr>
      <w:tr w:rsidR="00A32B18" w:rsidRPr="00FD7D7C" w14:paraId="73599E28" w14:textId="77777777" w:rsidTr="00320D1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5CDDB8D7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6</w:t>
            </w:r>
          </w:p>
        </w:tc>
        <w:tc>
          <w:tcPr>
            <w:tcW w:w="923" w:type="dxa"/>
          </w:tcPr>
          <w:p w14:paraId="4108E932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220</w:t>
            </w:r>
          </w:p>
        </w:tc>
        <w:tc>
          <w:tcPr>
            <w:tcW w:w="1170" w:type="dxa"/>
          </w:tcPr>
          <w:p w14:paraId="0DE6FBE2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Bulk</w:t>
            </w:r>
          </w:p>
        </w:tc>
        <w:tc>
          <w:tcPr>
            <w:tcW w:w="681" w:type="dxa"/>
          </w:tcPr>
          <w:p w14:paraId="7159C2F9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48</w:t>
            </w:r>
          </w:p>
        </w:tc>
        <w:tc>
          <w:tcPr>
            <w:tcW w:w="1182" w:type="dxa"/>
          </w:tcPr>
          <w:p w14:paraId="1B99BB4D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85</w:t>
            </w:r>
          </w:p>
        </w:tc>
        <w:tc>
          <w:tcPr>
            <w:tcW w:w="1195" w:type="dxa"/>
          </w:tcPr>
          <w:p w14:paraId="73B341BA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16101</w:t>
            </w:r>
          </w:p>
        </w:tc>
        <w:tc>
          <w:tcPr>
            <w:tcW w:w="1302" w:type="dxa"/>
          </w:tcPr>
          <w:p w14:paraId="3EED64B9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14100</w:t>
            </w:r>
          </w:p>
        </w:tc>
        <w:tc>
          <w:tcPr>
            <w:tcW w:w="1302" w:type="dxa"/>
          </w:tcPr>
          <w:p w14:paraId="343DD344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22200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" w:type="dxa"/>
          </w:tcPr>
          <w:p w14:paraId="42DEAB2C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1.58</w:t>
            </w:r>
          </w:p>
        </w:tc>
      </w:tr>
      <w:tr w:rsidR="00A32B18" w:rsidRPr="00FD7D7C" w14:paraId="44D3DD79" w14:textId="77777777" w:rsidTr="00320D1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5015694E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7</w:t>
            </w:r>
          </w:p>
        </w:tc>
        <w:tc>
          <w:tcPr>
            <w:tcW w:w="923" w:type="dxa"/>
          </w:tcPr>
          <w:p w14:paraId="6075AA14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No CTA</w:t>
            </w:r>
          </w:p>
        </w:tc>
        <w:tc>
          <w:tcPr>
            <w:tcW w:w="1170" w:type="dxa"/>
          </w:tcPr>
          <w:p w14:paraId="1D0AABD1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DCM</w:t>
            </w:r>
          </w:p>
        </w:tc>
        <w:tc>
          <w:tcPr>
            <w:tcW w:w="681" w:type="dxa"/>
          </w:tcPr>
          <w:p w14:paraId="3D6E2FA4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48</w:t>
            </w:r>
          </w:p>
        </w:tc>
        <w:tc>
          <w:tcPr>
            <w:tcW w:w="1182" w:type="dxa"/>
          </w:tcPr>
          <w:p w14:paraId="472681B1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-</w:t>
            </w:r>
          </w:p>
        </w:tc>
        <w:tc>
          <w:tcPr>
            <w:tcW w:w="1195" w:type="dxa"/>
          </w:tcPr>
          <w:p w14:paraId="2B4A3859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N/A</w:t>
            </w:r>
          </w:p>
        </w:tc>
        <w:tc>
          <w:tcPr>
            <w:tcW w:w="1302" w:type="dxa"/>
          </w:tcPr>
          <w:p w14:paraId="59606807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18000</w:t>
            </w:r>
          </w:p>
        </w:tc>
        <w:tc>
          <w:tcPr>
            <w:tcW w:w="1302" w:type="dxa"/>
          </w:tcPr>
          <w:p w14:paraId="6283A923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54300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" w:type="dxa"/>
          </w:tcPr>
          <w:p w14:paraId="6FFC8053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3.01</w:t>
            </w:r>
          </w:p>
        </w:tc>
      </w:tr>
      <w:tr w:rsidR="00A32B18" w:rsidRPr="00FD7D7C" w14:paraId="1BA81092" w14:textId="77777777" w:rsidTr="00A32B1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0EE44566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8</w:t>
            </w:r>
          </w:p>
        </w:tc>
        <w:tc>
          <w:tcPr>
            <w:tcW w:w="923" w:type="dxa"/>
          </w:tcPr>
          <w:p w14:paraId="664716BF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25</w:t>
            </w:r>
          </w:p>
        </w:tc>
        <w:tc>
          <w:tcPr>
            <w:tcW w:w="1170" w:type="dxa"/>
          </w:tcPr>
          <w:p w14:paraId="50407C2C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DCM</w:t>
            </w:r>
          </w:p>
        </w:tc>
        <w:tc>
          <w:tcPr>
            <w:tcW w:w="681" w:type="dxa"/>
          </w:tcPr>
          <w:p w14:paraId="54E87535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48</w:t>
            </w:r>
          </w:p>
        </w:tc>
        <w:tc>
          <w:tcPr>
            <w:tcW w:w="1182" w:type="dxa"/>
          </w:tcPr>
          <w:p w14:paraId="74E54832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92</w:t>
            </w:r>
          </w:p>
        </w:tc>
        <w:tc>
          <w:tcPr>
            <w:tcW w:w="1195" w:type="dxa"/>
          </w:tcPr>
          <w:p w14:paraId="1B0F8D1E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1959</w:t>
            </w:r>
          </w:p>
        </w:tc>
        <w:tc>
          <w:tcPr>
            <w:tcW w:w="1302" w:type="dxa"/>
          </w:tcPr>
          <w:p w14:paraId="3EA5818E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3060</w:t>
            </w:r>
          </w:p>
        </w:tc>
        <w:tc>
          <w:tcPr>
            <w:tcW w:w="1302" w:type="dxa"/>
          </w:tcPr>
          <w:p w14:paraId="6E67ED44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3700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" w:type="dxa"/>
          </w:tcPr>
          <w:p w14:paraId="24062AE3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1.21</w:t>
            </w:r>
          </w:p>
        </w:tc>
      </w:tr>
      <w:tr w:rsidR="00A32B18" w:rsidRPr="00FD7D7C" w14:paraId="70006551" w14:textId="77777777" w:rsidTr="00A32B1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19907D2B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9</w:t>
            </w:r>
          </w:p>
        </w:tc>
        <w:tc>
          <w:tcPr>
            <w:tcW w:w="923" w:type="dxa"/>
          </w:tcPr>
          <w:p w14:paraId="571EA313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50</w:t>
            </w:r>
          </w:p>
        </w:tc>
        <w:tc>
          <w:tcPr>
            <w:tcW w:w="1170" w:type="dxa"/>
          </w:tcPr>
          <w:p w14:paraId="4D63028B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DCM</w:t>
            </w:r>
          </w:p>
        </w:tc>
        <w:tc>
          <w:tcPr>
            <w:tcW w:w="681" w:type="dxa"/>
          </w:tcPr>
          <w:p w14:paraId="6A6564E3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48</w:t>
            </w:r>
          </w:p>
        </w:tc>
        <w:tc>
          <w:tcPr>
            <w:tcW w:w="1182" w:type="dxa"/>
          </w:tcPr>
          <w:p w14:paraId="4EDC42DD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91</w:t>
            </w:r>
          </w:p>
        </w:tc>
        <w:tc>
          <w:tcPr>
            <w:tcW w:w="1195" w:type="dxa"/>
          </w:tcPr>
          <w:p w14:paraId="72FDEF6D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3917</w:t>
            </w:r>
          </w:p>
        </w:tc>
        <w:tc>
          <w:tcPr>
            <w:tcW w:w="1302" w:type="dxa"/>
          </w:tcPr>
          <w:p w14:paraId="12D70BF5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3760</w:t>
            </w:r>
          </w:p>
        </w:tc>
        <w:tc>
          <w:tcPr>
            <w:tcW w:w="1302" w:type="dxa"/>
          </w:tcPr>
          <w:p w14:paraId="5EF26415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4420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" w:type="dxa"/>
          </w:tcPr>
          <w:p w14:paraId="13F66EAB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1.18</w:t>
            </w:r>
          </w:p>
        </w:tc>
      </w:tr>
      <w:tr w:rsidR="00A32B18" w:rsidRPr="00FD7D7C" w14:paraId="4CAF39CF" w14:textId="77777777" w:rsidTr="00A32B1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5A3BD467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10</w:t>
            </w:r>
          </w:p>
        </w:tc>
        <w:tc>
          <w:tcPr>
            <w:tcW w:w="923" w:type="dxa"/>
          </w:tcPr>
          <w:p w14:paraId="4450568C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100</w:t>
            </w:r>
          </w:p>
        </w:tc>
        <w:tc>
          <w:tcPr>
            <w:tcW w:w="1170" w:type="dxa"/>
          </w:tcPr>
          <w:p w14:paraId="59151E9C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DCM</w:t>
            </w:r>
          </w:p>
        </w:tc>
        <w:tc>
          <w:tcPr>
            <w:tcW w:w="681" w:type="dxa"/>
          </w:tcPr>
          <w:p w14:paraId="1A443A24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48</w:t>
            </w:r>
          </w:p>
        </w:tc>
        <w:tc>
          <w:tcPr>
            <w:tcW w:w="1182" w:type="dxa"/>
          </w:tcPr>
          <w:p w14:paraId="46772708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91</w:t>
            </w:r>
          </w:p>
        </w:tc>
        <w:tc>
          <w:tcPr>
            <w:tcW w:w="1195" w:type="dxa"/>
          </w:tcPr>
          <w:p w14:paraId="64214156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7834</w:t>
            </w:r>
          </w:p>
        </w:tc>
        <w:tc>
          <w:tcPr>
            <w:tcW w:w="1302" w:type="dxa"/>
          </w:tcPr>
          <w:p w14:paraId="6AD45B81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7380</w:t>
            </w:r>
          </w:p>
        </w:tc>
        <w:tc>
          <w:tcPr>
            <w:tcW w:w="1302" w:type="dxa"/>
          </w:tcPr>
          <w:p w14:paraId="6FC746D7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10400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" w:type="dxa"/>
          </w:tcPr>
          <w:p w14:paraId="4AF5A45C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1.41</w:t>
            </w:r>
          </w:p>
        </w:tc>
      </w:tr>
      <w:tr w:rsidR="00A32B18" w:rsidRPr="00FD7D7C" w14:paraId="5D3FE4D1" w14:textId="77777777" w:rsidTr="00A32B1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7949929D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11</w:t>
            </w:r>
          </w:p>
        </w:tc>
        <w:tc>
          <w:tcPr>
            <w:tcW w:w="923" w:type="dxa"/>
          </w:tcPr>
          <w:p w14:paraId="168A77C4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150</w:t>
            </w:r>
          </w:p>
        </w:tc>
        <w:tc>
          <w:tcPr>
            <w:tcW w:w="1170" w:type="dxa"/>
          </w:tcPr>
          <w:p w14:paraId="59214EE0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DCM</w:t>
            </w:r>
          </w:p>
        </w:tc>
        <w:tc>
          <w:tcPr>
            <w:tcW w:w="681" w:type="dxa"/>
          </w:tcPr>
          <w:p w14:paraId="6DDBDBD0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48</w:t>
            </w:r>
          </w:p>
        </w:tc>
        <w:tc>
          <w:tcPr>
            <w:tcW w:w="1182" w:type="dxa"/>
          </w:tcPr>
          <w:p w14:paraId="268C9EBE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95</w:t>
            </w:r>
          </w:p>
        </w:tc>
        <w:tc>
          <w:tcPr>
            <w:tcW w:w="1195" w:type="dxa"/>
          </w:tcPr>
          <w:p w14:paraId="7BB2B350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12268</w:t>
            </w:r>
          </w:p>
        </w:tc>
        <w:tc>
          <w:tcPr>
            <w:tcW w:w="1302" w:type="dxa"/>
          </w:tcPr>
          <w:p w14:paraId="11961188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9920</w:t>
            </w:r>
          </w:p>
        </w:tc>
        <w:tc>
          <w:tcPr>
            <w:tcW w:w="1302" w:type="dxa"/>
          </w:tcPr>
          <w:p w14:paraId="452B3F7C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14600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" w:type="dxa"/>
          </w:tcPr>
          <w:p w14:paraId="272F50EA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1.47</w:t>
            </w:r>
          </w:p>
        </w:tc>
      </w:tr>
      <w:tr w:rsidR="00A32B18" w:rsidRPr="00FD7D7C" w14:paraId="2170CC36" w14:textId="77777777" w:rsidTr="00A32B1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773A0E86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12</w:t>
            </w:r>
          </w:p>
        </w:tc>
        <w:tc>
          <w:tcPr>
            <w:tcW w:w="923" w:type="dxa"/>
          </w:tcPr>
          <w:p w14:paraId="094C1A67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220</w:t>
            </w:r>
          </w:p>
        </w:tc>
        <w:tc>
          <w:tcPr>
            <w:tcW w:w="1170" w:type="dxa"/>
          </w:tcPr>
          <w:p w14:paraId="479D8E4D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DCM</w:t>
            </w:r>
          </w:p>
        </w:tc>
        <w:tc>
          <w:tcPr>
            <w:tcW w:w="681" w:type="dxa"/>
          </w:tcPr>
          <w:p w14:paraId="0268F23F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48</w:t>
            </w:r>
          </w:p>
        </w:tc>
        <w:tc>
          <w:tcPr>
            <w:tcW w:w="1182" w:type="dxa"/>
          </w:tcPr>
          <w:p w14:paraId="0F221F4D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97</w:t>
            </w:r>
          </w:p>
        </w:tc>
        <w:tc>
          <w:tcPr>
            <w:tcW w:w="1195" w:type="dxa"/>
          </w:tcPr>
          <w:p w14:paraId="2B177A3C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18372</w:t>
            </w:r>
          </w:p>
        </w:tc>
        <w:tc>
          <w:tcPr>
            <w:tcW w:w="1302" w:type="dxa"/>
          </w:tcPr>
          <w:p w14:paraId="3EB90F30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13500</w:t>
            </w:r>
          </w:p>
        </w:tc>
        <w:tc>
          <w:tcPr>
            <w:tcW w:w="1302" w:type="dxa"/>
          </w:tcPr>
          <w:p w14:paraId="5C88718A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19800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" w:type="dxa"/>
          </w:tcPr>
          <w:p w14:paraId="79789172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1.47</w:t>
            </w:r>
          </w:p>
        </w:tc>
      </w:tr>
      <w:tr w:rsidR="00A32B18" w:rsidRPr="00FD7D7C" w14:paraId="6F2C8E65" w14:textId="77777777" w:rsidTr="00A32B1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7F56E897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13</w:t>
            </w:r>
          </w:p>
        </w:tc>
        <w:tc>
          <w:tcPr>
            <w:tcW w:w="923" w:type="dxa"/>
          </w:tcPr>
          <w:p w14:paraId="4425D2CE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360</w:t>
            </w:r>
          </w:p>
        </w:tc>
        <w:tc>
          <w:tcPr>
            <w:tcW w:w="1170" w:type="dxa"/>
          </w:tcPr>
          <w:p w14:paraId="7A14FCAD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DCM</w:t>
            </w:r>
          </w:p>
        </w:tc>
        <w:tc>
          <w:tcPr>
            <w:tcW w:w="681" w:type="dxa"/>
          </w:tcPr>
          <w:p w14:paraId="122E82DE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48</w:t>
            </w:r>
          </w:p>
        </w:tc>
        <w:tc>
          <w:tcPr>
            <w:tcW w:w="1182" w:type="dxa"/>
          </w:tcPr>
          <w:p w14:paraId="1D5F489B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90</w:t>
            </w:r>
          </w:p>
        </w:tc>
        <w:tc>
          <w:tcPr>
            <w:tcW w:w="1195" w:type="dxa"/>
          </w:tcPr>
          <w:p w14:paraId="6B71207F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27864</w:t>
            </w:r>
          </w:p>
        </w:tc>
        <w:tc>
          <w:tcPr>
            <w:tcW w:w="1302" w:type="dxa"/>
          </w:tcPr>
          <w:p w14:paraId="6DF89F32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16700</w:t>
            </w:r>
          </w:p>
        </w:tc>
        <w:tc>
          <w:tcPr>
            <w:tcW w:w="1302" w:type="dxa"/>
          </w:tcPr>
          <w:p w14:paraId="76003321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27300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" w:type="dxa"/>
          </w:tcPr>
          <w:p w14:paraId="00B65D79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1.63</w:t>
            </w:r>
          </w:p>
        </w:tc>
      </w:tr>
      <w:tr w:rsidR="00A32B18" w:rsidRPr="00FD7D7C" w14:paraId="1E3178EB" w14:textId="77777777" w:rsidTr="00A32B1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1B5FB5AD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14</w:t>
            </w:r>
          </w:p>
        </w:tc>
        <w:tc>
          <w:tcPr>
            <w:tcW w:w="923" w:type="dxa"/>
          </w:tcPr>
          <w:p w14:paraId="41C96BF7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No CTA</w:t>
            </w:r>
          </w:p>
        </w:tc>
        <w:tc>
          <w:tcPr>
            <w:tcW w:w="1170" w:type="dxa"/>
          </w:tcPr>
          <w:p w14:paraId="673FAC75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Ethyl Acetate</w:t>
            </w:r>
          </w:p>
        </w:tc>
        <w:tc>
          <w:tcPr>
            <w:tcW w:w="681" w:type="dxa"/>
          </w:tcPr>
          <w:p w14:paraId="10C7FA85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48</w:t>
            </w:r>
          </w:p>
        </w:tc>
        <w:tc>
          <w:tcPr>
            <w:tcW w:w="1182" w:type="dxa"/>
          </w:tcPr>
          <w:p w14:paraId="62E27703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-</w:t>
            </w:r>
          </w:p>
        </w:tc>
        <w:tc>
          <w:tcPr>
            <w:tcW w:w="1195" w:type="dxa"/>
          </w:tcPr>
          <w:p w14:paraId="24FC9EDC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N/A</w:t>
            </w:r>
          </w:p>
        </w:tc>
        <w:tc>
          <w:tcPr>
            <w:tcW w:w="1302" w:type="dxa"/>
          </w:tcPr>
          <w:p w14:paraId="0A671F90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80700</w:t>
            </w:r>
          </w:p>
        </w:tc>
        <w:tc>
          <w:tcPr>
            <w:tcW w:w="1302" w:type="dxa"/>
          </w:tcPr>
          <w:p w14:paraId="31328F49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337000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" w:type="dxa"/>
          </w:tcPr>
          <w:p w14:paraId="7BAFB14B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4.18</w:t>
            </w:r>
          </w:p>
        </w:tc>
      </w:tr>
      <w:tr w:rsidR="00A32B18" w:rsidRPr="00FD7D7C" w14:paraId="0435856A" w14:textId="77777777" w:rsidTr="00320D1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6AF88DC9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15</w:t>
            </w:r>
          </w:p>
        </w:tc>
        <w:tc>
          <w:tcPr>
            <w:tcW w:w="923" w:type="dxa"/>
          </w:tcPr>
          <w:p w14:paraId="5C643D9F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100</w:t>
            </w:r>
          </w:p>
        </w:tc>
        <w:tc>
          <w:tcPr>
            <w:tcW w:w="1170" w:type="dxa"/>
          </w:tcPr>
          <w:p w14:paraId="0C9CE24B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Ethyl Acetate</w:t>
            </w:r>
          </w:p>
        </w:tc>
        <w:tc>
          <w:tcPr>
            <w:tcW w:w="681" w:type="dxa"/>
          </w:tcPr>
          <w:p w14:paraId="79A20F70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48</w:t>
            </w:r>
          </w:p>
        </w:tc>
        <w:tc>
          <w:tcPr>
            <w:tcW w:w="1182" w:type="dxa"/>
          </w:tcPr>
          <w:p w14:paraId="593744BB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92</w:t>
            </w:r>
          </w:p>
        </w:tc>
        <w:tc>
          <w:tcPr>
            <w:tcW w:w="1195" w:type="dxa"/>
          </w:tcPr>
          <w:p w14:paraId="38549C51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7920</w:t>
            </w:r>
          </w:p>
        </w:tc>
        <w:tc>
          <w:tcPr>
            <w:tcW w:w="1302" w:type="dxa"/>
          </w:tcPr>
          <w:p w14:paraId="20FD95DC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7660</w:t>
            </w:r>
          </w:p>
        </w:tc>
        <w:tc>
          <w:tcPr>
            <w:tcW w:w="1302" w:type="dxa"/>
          </w:tcPr>
          <w:p w14:paraId="3B6AE8DF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10600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" w:type="dxa"/>
          </w:tcPr>
          <w:p w14:paraId="0F748596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1.38</w:t>
            </w:r>
          </w:p>
        </w:tc>
      </w:tr>
      <w:tr w:rsidR="00A32B18" w:rsidRPr="00FD7D7C" w14:paraId="112680DE" w14:textId="77777777" w:rsidTr="00320D1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144BF6A6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16</w:t>
            </w:r>
          </w:p>
        </w:tc>
        <w:tc>
          <w:tcPr>
            <w:tcW w:w="923" w:type="dxa"/>
          </w:tcPr>
          <w:p w14:paraId="4141E831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150</w:t>
            </w:r>
          </w:p>
        </w:tc>
        <w:tc>
          <w:tcPr>
            <w:tcW w:w="1170" w:type="dxa"/>
          </w:tcPr>
          <w:p w14:paraId="187567E2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Ethyl Acetate</w:t>
            </w:r>
          </w:p>
        </w:tc>
        <w:tc>
          <w:tcPr>
            <w:tcW w:w="681" w:type="dxa"/>
          </w:tcPr>
          <w:p w14:paraId="6B1F18E6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48</w:t>
            </w:r>
          </w:p>
        </w:tc>
        <w:tc>
          <w:tcPr>
            <w:tcW w:w="1182" w:type="dxa"/>
          </w:tcPr>
          <w:p w14:paraId="230B1A8E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96</w:t>
            </w:r>
          </w:p>
        </w:tc>
        <w:tc>
          <w:tcPr>
            <w:tcW w:w="1195" w:type="dxa"/>
          </w:tcPr>
          <w:p w14:paraId="7C067BBF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12397</w:t>
            </w:r>
          </w:p>
        </w:tc>
        <w:tc>
          <w:tcPr>
            <w:tcW w:w="1302" w:type="dxa"/>
          </w:tcPr>
          <w:p w14:paraId="1FC63724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12800</w:t>
            </w:r>
          </w:p>
        </w:tc>
        <w:tc>
          <w:tcPr>
            <w:tcW w:w="1302" w:type="dxa"/>
          </w:tcPr>
          <w:p w14:paraId="123E1129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18600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" w:type="dxa"/>
          </w:tcPr>
          <w:p w14:paraId="72250465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1.46</w:t>
            </w:r>
          </w:p>
        </w:tc>
      </w:tr>
      <w:tr w:rsidR="00A32B18" w:rsidRPr="00FD7D7C" w14:paraId="74009ABA" w14:textId="77777777" w:rsidTr="00320D1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0D2A86F7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17</w:t>
            </w:r>
          </w:p>
        </w:tc>
        <w:tc>
          <w:tcPr>
            <w:tcW w:w="923" w:type="dxa"/>
          </w:tcPr>
          <w:p w14:paraId="33885BB1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200</w:t>
            </w:r>
          </w:p>
        </w:tc>
        <w:tc>
          <w:tcPr>
            <w:tcW w:w="1170" w:type="dxa"/>
          </w:tcPr>
          <w:p w14:paraId="1132645A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Ethyl Acetate</w:t>
            </w:r>
          </w:p>
        </w:tc>
        <w:tc>
          <w:tcPr>
            <w:tcW w:w="681" w:type="dxa"/>
          </w:tcPr>
          <w:p w14:paraId="55409C5F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48</w:t>
            </w:r>
          </w:p>
        </w:tc>
        <w:tc>
          <w:tcPr>
            <w:tcW w:w="1182" w:type="dxa"/>
          </w:tcPr>
          <w:p w14:paraId="2ABBD3E3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98</w:t>
            </w:r>
          </w:p>
        </w:tc>
        <w:tc>
          <w:tcPr>
            <w:tcW w:w="1195" w:type="dxa"/>
          </w:tcPr>
          <w:p w14:paraId="02BC6A1C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16700</w:t>
            </w:r>
          </w:p>
        </w:tc>
        <w:tc>
          <w:tcPr>
            <w:tcW w:w="1302" w:type="dxa"/>
          </w:tcPr>
          <w:p w14:paraId="113F61F5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18200</w:t>
            </w:r>
          </w:p>
        </w:tc>
        <w:tc>
          <w:tcPr>
            <w:tcW w:w="1302" w:type="dxa"/>
          </w:tcPr>
          <w:p w14:paraId="479DA6CF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23900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" w:type="dxa"/>
          </w:tcPr>
          <w:p w14:paraId="06152387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1.32</w:t>
            </w:r>
          </w:p>
        </w:tc>
      </w:tr>
      <w:tr w:rsidR="00A32B18" w:rsidRPr="00FD7D7C" w14:paraId="02008848" w14:textId="77777777" w:rsidTr="00320D1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563CC39C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18</w:t>
            </w:r>
          </w:p>
        </w:tc>
        <w:tc>
          <w:tcPr>
            <w:tcW w:w="923" w:type="dxa"/>
          </w:tcPr>
          <w:p w14:paraId="74292331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220</w:t>
            </w:r>
          </w:p>
        </w:tc>
        <w:tc>
          <w:tcPr>
            <w:tcW w:w="1170" w:type="dxa"/>
          </w:tcPr>
          <w:p w14:paraId="693801BD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Ethyl Acetate</w:t>
            </w:r>
          </w:p>
        </w:tc>
        <w:tc>
          <w:tcPr>
            <w:tcW w:w="681" w:type="dxa"/>
          </w:tcPr>
          <w:p w14:paraId="24A7A214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48</w:t>
            </w:r>
          </w:p>
        </w:tc>
        <w:tc>
          <w:tcPr>
            <w:tcW w:w="1182" w:type="dxa"/>
          </w:tcPr>
          <w:p w14:paraId="4E019AC1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97</w:t>
            </w:r>
          </w:p>
        </w:tc>
        <w:tc>
          <w:tcPr>
            <w:tcW w:w="1195" w:type="dxa"/>
          </w:tcPr>
          <w:p w14:paraId="2E9AAE83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18561</w:t>
            </w:r>
          </w:p>
        </w:tc>
        <w:tc>
          <w:tcPr>
            <w:tcW w:w="1302" w:type="dxa"/>
          </w:tcPr>
          <w:p w14:paraId="7F25AD9B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20300</w:t>
            </w:r>
          </w:p>
        </w:tc>
        <w:tc>
          <w:tcPr>
            <w:tcW w:w="1302" w:type="dxa"/>
          </w:tcPr>
          <w:p w14:paraId="6382013A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27300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" w:type="dxa"/>
          </w:tcPr>
          <w:p w14:paraId="0D75F9E5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1.35</w:t>
            </w:r>
          </w:p>
        </w:tc>
      </w:tr>
      <w:tr w:rsidR="00A32B18" w:rsidRPr="00FD7D7C" w14:paraId="5950996C" w14:textId="77777777" w:rsidTr="00320D1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6978ED92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19</w:t>
            </w:r>
          </w:p>
        </w:tc>
        <w:tc>
          <w:tcPr>
            <w:tcW w:w="923" w:type="dxa"/>
          </w:tcPr>
          <w:p w14:paraId="5F3EFBD1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300</w:t>
            </w:r>
          </w:p>
        </w:tc>
        <w:tc>
          <w:tcPr>
            <w:tcW w:w="1170" w:type="dxa"/>
          </w:tcPr>
          <w:p w14:paraId="0E4F627C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Ethyl Acetate</w:t>
            </w:r>
          </w:p>
        </w:tc>
        <w:tc>
          <w:tcPr>
            <w:tcW w:w="681" w:type="dxa"/>
          </w:tcPr>
          <w:p w14:paraId="1681F58F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48</w:t>
            </w:r>
          </w:p>
        </w:tc>
        <w:tc>
          <w:tcPr>
            <w:tcW w:w="1182" w:type="dxa"/>
          </w:tcPr>
          <w:p w14:paraId="12B61F81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97</w:t>
            </w:r>
          </w:p>
        </w:tc>
        <w:tc>
          <w:tcPr>
            <w:tcW w:w="1195" w:type="dxa"/>
          </w:tcPr>
          <w:p w14:paraId="6FE36650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25052</w:t>
            </w:r>
          </w:p>
        </w:tc>
        <w:tc>
          <w:tcPr>
            <w:tcW w:w="1302" w:type="dxa"/>
          </w:tcPr>
          <w:p w14:paraId="01D8EBB9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25200</w:t>
            </w:r>
          </w:p>
        </w:tc>
        <w:tc>
          <w:tcPr>
            <w:tcW w:w="1302" w:type="dxa"/>
          </w:tcPr>
          <w:p w14:paraId="79D7D7F8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33100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" w:type="dxa"/>
          </w:tcPr>
          <w:p w14:paraId="68853509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1.31</w:t>
            </w:r>
          </w:p>
        </w:tc>
      </w:tr>
      <w:tr w:rsidR="00A32B18" w:rsidRPr="00FD7D7C" w14:paraId="48BC498C" w14:textId="77777777" w:rsidTr="00320D1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041AA772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20</w:t>
            </w:r>
          </w:p>
        </w:tc>
        <w:tc>
          <w:tcPr>
            <w:tcW w:w="923" w:type="dxa"/>
          </w:tcPr>
          <w:p w14:paraId="0D966069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400</w:t>
            </w:r>
          </w:p>
        </w:tc>
        <w:tc>
          <w:tcPr>
            <w:tcW w:w="1170" w:type="dxa"/>
          </w:tcPr>
          <w:p w14:paraId="5CFD6520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Ethyl Acetate</w:t>
            </w:r>
          </w:p>
        </w:tc>
        <w:tc>
          <w:tcPr>
            <w:tcW w:w="681" w:type="dxa"/>
          </w:tcPr>
          <w:p w14:paraId="001D5352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48</w:t>
            </w:r>
          </w:p>
        </w:tc>
        <w:tc>
          <w:tcPr>
            <w:tcW w:w="1182" w:type="dxa"/>
          </w:tcPr>
          <w:p w14:paraId="00122A57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94</w:t>
            </w:r>
          </w:p>
        </w:tc>
        <w:tc>
          <w:tcPr>
            <w:tcW w:w="1195" w:type="dxa"/>
          </w:tcPr>
          <w:p w14:paraId="53EEEBE6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32370</w:t>
            </w:r>
          </w:p>
        </w:tc>
        <w:tc>
          <w:tcPr>
            <w:tcW w:w="1302" w:type="dxa"/>
          </w:tcPr>
          <w:p w14:paraId="0FDCC9C9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30100</w:t>
            </w:r>
          </w:p>
        </w:tc>
        <w:tc>
          <w:tcPr>
            <w:tcW w:w="1302" w:type="dxa"/>
          </w:tcPr>
          <w:p w14:paraId="2435DF11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46900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" w:type="dxa"/>
          </w:tcPr>
          <w:p w14:paraId="41BB47BF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1.56</w:t>
            </w:r>
          </w:p>
        </w:tc>
      </w:tr>
      <w:tr w:rsidR="00A32B18" w:rsidRPr="00FD7D7C" w14:paraId="3E4C0410" w14:textId="77777777" w:rsidTr="00320D1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7A5E4D8F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21</w:t>
            </w:r>
          </w:p>
        </w:tc>
        <w:tc>
          <w:tcPr>
            <w:tcW w:w="923" w:type="dxa"/>
          </w:tcPr>
          <w:p w14:paraId="0ED24EA7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500</w:t>
            </w:r>
          </w:p>
        </w:tc>
        <w:tc>
          <w:tcPr>
            <w:tcW w:w="1170" w:type="dxa"/>
          </w:tcPr>
          <w:p w14:paraId="35201F21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Ethyl Acetate</w:t>
            </w:r>
          </w:p>
        </w:tc>
        <w:tc>
          <w:tcPr>
            <w:tcW w:w="681" w:type="dxa"/>
          </w:tcPr>
          <w:p w14:paraId="2C571340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48</w:t>
            </w:r>
          </w:p>
        </w:tc>
        <w:tc>
          <w:tcPr>
            <w:tcW w:w="1182" w:type="dxa"/>
          </w:tcPr>
          <w:p w14:paraId="238A450F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96</w:t>
            </w:r>
          </w:p>
        </w:tc>
        <w:tc>
          <w:tcPr>
            <w:tcW w:w="1195" w:type="dxa"/>
          </w:tcPr>
          <w:p w14:paraId="0A881CE1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41323</w:t>
            </w:r>
          </w:p>
        </w:tc>
        <w:tc>
          <w:tcPr>
            <w:tcW w:w="1302" w:type="dxa"/>
          </w:tcPr>
          <w:p w14:paraId="22C8A1B5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37000</w:t>
            </w:r>
          </w:p>
        </w:tc>
        <w:tc>
          <w:tcPr>
            <w:tcW w:w="1302" w:type="dxa"/>
          </w:tcPr>
          <w:p w14:paraId="05F0588D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56700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" w:type="dxa"/>
          </w:tcPr>
          <w:p w14:paraId="7081CABF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1.53</w:t>
            </w:r>
          </w:p>
        </w:tc>
      </w:tr>
      <w:tr w:rsidR="00A32B18" w:rsidRPr="00FD7D7C" w14:paraId="7F98BFF8" w14:textId="77777777" w:rsidTr="00320D1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0544AB43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22</w:t>
            </w:r>
          </w:p>
        </w:tc>
        <w:tc>
          <w:tcPr>
            <w:tcW w:w="923" w:type="dxa"/>
          </w:tcPr>
          <w:p w14:paraId="366AEDD3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1000</w:t>
            </w:r>
          </w:p>
        </w:tc>
        <w:tc>
          <w:tcPr>
            <w:tcW w:w="1170" w:type="dxa"/>
          </w:tcPr>
          <w:p w14:paraId="3F32923E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Ethyl Acetate</w:t>
            </w:r>
          </w:p>
        </w:tc>
        <w:tc>
          <w:tcPr>
            <w:tcW w:w="681" w:type="dxa"/>
          </w:tcPr>
          <w:p w14:paraId="12211F28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48</w:t>
            </w:r>
          </w:p>
        </w:tc>
        <w:tc>
          <w:tcPr>
            <w:tcW w:w="1182" w:type="dxa"/>
          </w:tcPr>
          <w:p w14:paraId="1BB4F1B6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94</w:t>
            </w:r>
          </w:p>
        </w:tc>
        <w:tc>
          <w:tcPr>
            <w:tcW w:w="1195" w:type="dxa"/>
          </w:tcPr>
          <w:p w14:paraId="07A9A518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80925</w:t>
            </w:r>
          </w:p>
        </w:tc>
        <w:tc>
          <w:tcPr>
            <w:tcW w:w="1302" w:type="dxa"/>
          </w:tcPr>
          <w:p w14:paraId="122F3242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52600</w:t>
            </w:r>
          </w:p>
        </w:tc>
        <w:tc>
          <w:tcPr>
            <w:tcW w:w="1302" w:type="dxa"/>
          </w:tcPr>
          <w:p w14:paraId="37A7CBB8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91000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" w:type="dxa"/>
          </w:tcPr>
          <w:p w14:paraId="3B3F1F18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1.73</w:t>
            </w:r>
          </w:p>
        </w:tc>
      </w:tr>
      <w:tr w:rsidR="00A32B18" w:rsidRPr="00FD7D7C" w14:paraId="0DC2B925" w14:textId="77777777" w:rsidTr="00320D1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22098EA6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23</w:t>
            </w:r>
          </w:p>
        </w:tc>
        <w:tc>
          <w:tcPr>
            <w:tcW w:w="923" w:type="dxa"/>
          </w:tcPr>
          <w:p w14:paraId="63B22C07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1500</w:t>
            </w:r>
          </w:p>
        </w:tc>
        <w:tc>
          <w:tcPr>
            <w:tcW w:w="1170" w:type="dxa"/>
          </w:tcPr>
          <w:p w14:paraId="454FEB73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Ethyl Acetate</w:t>
            </w:r>
          </w:p>
        </w:tc>
        <w:tc>
          <w:tcPr>
            <w:tcW w:w="681" w:type="dxa"/>
          </w:tcPr>
          <w:p w14:paraId="26086BA0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48</w:t>
            </w:r>
          </w:p>
        </w:tc>
        <w:tc>
          <w:tcPr>
            <w:tcW w:w="1182" w:type="dxa"/>
          </w:tcPr>
          <w:p w14:paraId="2C15B297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95</w:t>
            </w:r>
          </w:p>
        </w:tc>
        <w:tc>
          <w:tcPr>
            <w:tcW w:w="1195" w:type="dxa"/>
          </w:tcPr>
          <w:p w14:paraId="5771200C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122678</w:t>
            </w:r>
          </w:p>
        </w:tc>
        <w:tc>
          <w:tcPr>
            <w:tcW w:w="1302" w:type="dxa"/>
          </w:tcPr>
          <w:p w14:paraId="29E75A5B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65400</w:t>
            </w:r>
          </w:p>
        </w:tc>
        <w:tc>
          <w:tcPr>
            <w:tcW w:w="1302" w:type="dxa"/>
          </w:tcPr>
          <w:p w14:paraId="2B822169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137000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" w:type="dxa"/>
          </w:tcPr>
          <w:p w14:paraId="3A489681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2.10</w:t>
            </w:r>
          </w:p>
        </w:tc>
      </w:tr>
      <w:tr w:rsidR="00A32B18" w:rsidRPr="00FD7D7C" w14:paraId="0779232E" w14:textId="77777777" w:rsidTr="00320D1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02457199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24</w:t>
            </w:r>
          </w:p>
        </w:tc>
        <w:tc>
          <w:tcPr>
            <w:tcW w:w="923" w:type="dxa"/>
          </w:tcPr>
          <w:p w14:paraId="3D23B40D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2000</w:t>
            </w:r>
          </w:p>
        </w:tc>
        <w:tc>
          <w:tcPr>
            <w:tcW w:w="1170" w:type="dxa"/>
          </w:tcPr>
          <w:p w14:paraId="1DBF3CC8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Ethyl Acetate</w:t>
            </w:r>
          </w:p>
        </w:tc>
        <w:tc>
          <w:tcPr>
            <w:tcW w:w="681" w:type="dxa"/>
          </w:tcPr>
          <w:p w14:paraId="4C8B77E8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48</w:t>
            </w:r>
          </w:p>
        </w:tc>
        <w:tc>
          <w:tcPr>
            <w:tcW w:w="1182" w:type="dxa"/>
          </w:tcPr>
          <w:p w14:paraId="1D83E26A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97</w:t>
            </w:r>
          </w:p>
        </w:tc>
        <w:tc>
          <w:tcPr>
            <w:tcW w:w="1195" w:type="dxa"/>
          </w:tcPr>
          <w:p w14:paraId="6791BBE5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167015</w:t>
            </w:r>
          </w:p>
        </w:tc>
        <w:tc>
          <w:tcPr>
            <w:tcW w:w="1302" w:type="dxa"/>
          </w:tcPr>
          <w:p w14:paraId="5CE233A8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87600</w:t>
            </w:r>
          </w:p>
        </w:tc>
        <w:tc>
          <w:tcPr>
            <w:tcW w:w="1302" w:type="dxa"/>
          </w:tcPr>
          <w:p w14:paraId="6CE48A59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154000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" w:type="dxa"/>
          </w:tcPr>
          <w:p w14:paraId="169C5BC4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1.76</w:t>
            </w:r>
          </w:p>
        </w:tc>
      </w:tr>
      <w:tr w:rsidR="00A32B18" w:rsidRPr="00FD7D7C" w14:paraId="5CE98987" w14:textId="77777777" w:rsidTr="00320D1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4D475F4C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25</w:t>
            </w:r>
          </w:p>
        </w:tc>
        <w:tc>
          <w:tcPr>
            <w:tcW w:w="923" w:type="dxa"/>
          </w:tcPr>
          <w:p w14:paraId="461FBA4E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3000</w:t>
            </w:r>
          </w:p>
        </w:tc>
        <w:tc>
          <w:tcPr>
            <w:tcW w:w="1170" w:type="dxa"/>
          </w:tcPr>
          <w:p w14:paraId="4A3B180E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Ethyl Acetate</w:t>
            </w:r>
          </w:p>
        </w:tc>
        <w:tc>
          <w:tcPr>
            <w:tcW w:w="681" w:type="dxa"/>
          </w:tcPr>
          <w:p w14:paraId="5816A322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48</w:t>
            </w:r>
          </w:p>
        </w:tc>
        <w:tc>
          <w:tcPr>
            <w:tcW w:w="1182" w:type="dxa"/>
          </w:tcPr>
          <w:p w14:paraId="777D2537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97</w:t>
            </w:r>
          </w:p>
        </w:tc>
        <w:tc>
          <w:tcPr>
            <w:tcW w:w="1195" w:type="dxa"/>
          </w:tcPr>
          <w:p w14:paraId="1709B554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250522</w:t>
            </w:r>
          </w:p>
        </w:tc>
        <w:tc>
          <w:tcPr>
            <w:tcW w:w="1302" w:type="dxa"/>
          </w:tcPr>
          <w:p w14:paraId="6A7E2537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104000</w:t>
            </w:r>
          </w:p>
        </w:tc>
        <w:tc>
          <w:tcPr>
            <w:tcW w:w="1302" w:type="dxa"/>
          </w:tcPr>
          <w:p w14:paraId="046696AF" w14:textId="77777777" w:rsidR="00A32B18" w:rsidRPr="00FD7D7C" w:rsidRDefault="00A32B18" w:rsidP="00392035">
            <w:pPr>
              <w:pStyle w:val="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D7D7C">
              <w:rPr>
                <w:lang w:val="en-US"/>
              </w:rPr>
              <w:t>190000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" w:type="dxa"/>
          </w:tcPr>
          <w:p w14:paraId="6EAF7A08" w14:textId="77777777" w:rsidR="00A32B18" w:rsidRPr="00FD7D7C" w:rsidRDefault="00A32B18" w:rsidP="00392035">
            <w:pPr>
              <w:pStyle w:val="TableBody"/>
              <w:spacing w:line="240" w:lineRule="auto"/>
              <w:rPr>
                <w:lang w:val="en-US"/>
              </w:rPr>
            </w:pPr>
            <w:r w:rsidRPr="00FD7D7C">
              <w:rPr>
                <w:lang w:val="en-US"/>
              </w:rPr>
              <w:t>1.83</w:t>
            </w:r>
          </w:p>
        </w:tc>
      </w:tr>
    </w:tbl>
    <w:p w14:paraId="064DED5E" w14:textId="77777777" w:rsidR="00217AD3" w:rsidRPr="00FD7D7C" w:rsidRDefault="00217AD3" w:rsidP="00217AD3">
      <w:pPr>
        <w:pStyle w:val="Legend"/>
        <w:rPr>
          <w:rFonts w:ascii="Arial" w:hAnsi="Arial"/>
          <w:sz w:val="16"/>
          <w:szCs w:val="16"/>
        </w:rPr>
      </w:pPr>
      <w:proofErr w:type="gramStart"/>
      <w:r w:rsidRPr="00FD7D7C">
        <w:rPr>
          <w:rFonts w:ascii="Arial" w:hAnsi="Arial"/>
          <w:sz w:val="16"/>
          <w:szCs w:val="16"/>
          <w:vertAlign w:val="superscript"/>
        </w:rPr>
        <w:t>a</w:t>
      </w:r>
      <w:proofErr w:type="gramEnd"/>
      <w:r w:rsidRPr="00FD7D7C">
        <w:rPr>
          <w:rFonts w:ascii="Arial" w:hAnsi="Arial"/>
          <w:sz w:val="16"/>
          <w:szCs w:val="16"/>
        </w:rPr>
        <w:t xml:space="preserve"> Ratio [CTA]</w:t>
      </w:r>
      <w:r w:rsidRPr="00FD7D7C">
        <w:rPr>
          <w:rFonts w:ascii="Arial" w:hAnsi="Arial"/>
          <w:sz w:val="16"/>
          <w:szCs w:val="16"/>
          <w:vertAlign w:val="subscript"/>
        </w:rPr>
        <w:t>0</w:t>
      </w:r>
      <w:r w:rsidRPr="00FD7D7C">
        <w:rPr>
          <w:rFonts w:ascii="Arial" w:hAnsi="Arial"/>
          <w:sz w:val="16"/>
          <w:szCs w:val="16"/>
        </w:rPr>
        <w:t>/[AIBN]</w:t>
      </w:r>
      <w:r w:rsidRPr="00FD7D7C">
        <w:rPr>
          <w:rFonts w:ascii="Arial" w:hAnsi="Arial"/>
          <w:sz w:val="16"/>
          <w:szCs w:val="16"/>
          <w:vertAlign w:val="subscript"/>
        </w:rPr>
        <w:t>0</w:t>
      </w:r>
      <w:r w:rsidRPr="00FD7D7C">
        <w:rPr>
          <w:rFonts w:ascii="Arial" w:hAnsi="Arial"/>
          <w:sz w:val="16"/>
          <w:szCs w:val="16"/>
        </w:rPr>
        <w:t xml:space="preserve"> =1/0.2 for all polymerizations. </w:t>
      </w:r>
      <w:proofErr w:type="gramStart"/>
      <w:r w:rsidRPr="00FD7D7C">
        <w:rPr>
          <w:rFonts w:ascii="Arial" w:hAnsi="Arial"/>
          <w:sz w:val="16"/>
          <w:szCs w:val="16"/>
          <w:vertAlign w:val="superscript"/>
        </w:rPr>
        <w:t>b</w:t>
      </w:r>
      <w:proofErr w:type="gramEnd"/>
      <w:r w:rsidRPr="00FD7D7C">
        <w:rPr>
          <w:rFonts w:ascii="Arial" w:hAnsi="Arial"/>
          <w:sz w:val="16"/>
          <w:szCs w:val="16"/>
        </w:rPr>
        <w:t xml:space="preserve"> Determined by </w:t>
      </w:r>
      <w:r w:rsidRPr="00FD7D7C">
        <w:rPr>
          <w:rFonts w:ascii="Arial" w:hAnsi="Arial"/>
          <w:sz w:val="16"/>
          <w:szCs w:val="16"/>
          <w:vertAlign w:val="superscript"/>
        </w:rPr>
        <w:t>1</w:t>
      </w:r>
      <w:r w:rsidRPr="00FD7D7C">
        <w:rPr>
          <w:rFonts w:ascii="Arial" w:hAnsi="Arial"/>
          <w:sz w:val="16"/>
          <w:szCs w:val="16"/>
        </w:rPr>
        <w:t xml:space="preserve">H NMR . </w:t>
      </w:r>
      <w:proofErr w:type="gramStart"/>
      <w:r w:rsidRPr="00FD7D7C">
        <w:rPr>
          <w:rFonts w:ascii="Arial" w:hAnsi="Arial"/>
          <w:sz w:val="16"/>
          <w:szCs w:val="16"/>
          <w:vertAlign w:val="superscript"/>
        </w:rPr>
        <w:t>c</w:t>
      </w:r>
      <w:proofErr w:type="gramEnd"/>
      <w:r w:rsidRPr="00FD7D7C">
        <w:rPr>
          <w:rFonts w:ascii="Arial" w:hAnsi="Arial"/>
          <w:sz w:val="16"/>
          <w:szCs w:val="16"/>
        </w:rPr>
        <w:t xml:space="preserve"> </w:t>
      </w:r>
      <w:r w:rsidRPr="00FD7D7C">
        <w:rPr>
          <w:rFonts w:ascii="Arial" w:hAnsi="Arial"/>
          <w:i/>
          <w:sz w:val="16"/>
          <w:szCs w:val="16"/>
        </w:rPr>
        <w:t>M</w:t>
      </w:r>
      <w:r w:rsidRPr="00FD7D7C">
        <w:rPr>
          <w:rFonts w:ascii="Arial" w:hAnsi="Arial"/>
          <w:i/>
          <w:sz w:val="16"/>
          <w:szCs w:val="16"/>
          <w:vertAlign w:val="subscript"/>
        </w:rPr>
        <w:t>n</w:t>
      </w:r>
      <w:r w:rsidRPr="00FD7D7C">
        <w:rPr>
          <w:rFonts w:ascii="Arial" w:hAnsi="Arial"/>
          <w:sz w:val="16"/>
          <w:szCs w:val="16"/>
        </w:rPr>
        <w:t xml:space="preserve"> (theory) = (([M]</w:t>
      </w:r>
      <w:r w:rsidRPr="00FD7D7C">
        <w:rPr>
          <w:rFonts w:ascii="Arial" w:hAnsi="Arial"/>
          <w:sz w:val="16"/>
          <w:szCs w:val="16"/>
          <w:vertAlign w:val="subscript"/>
        </w:rPr>
        <w:t>0</w:t>
      </w:r>
      <w:r w:rsidRPr="00FD7D7C">
        <w:rPr>
          <w:rFonts w:ascii="Arial" w:hAnsi="Arial"/>
          <w:sz w:val="16"/>
          <w:szCs w:val="16"/>
        </w:rPr>
        <w:t>/[CTA]</w:t>
      </w:r>
      <w:r w:rsidRPr="00FD7D7C">
        <w:rPr>
          <w:rFonts w:ascii="Arial" w:hAnsi="Arial"/>
          <w:sz w:val="16"/>
          <w:szCs w:val="16"/>
          <w:vertAlign w:val="subscript"/>
        </w:rPr>
        <w:t>0</w:t>
      </w:r>
      <w:r w:rsidRPr="00FD7D7C">
        <w:rPr>
          <w:rFonts w:ascii="Arial" w:hAnsi="Arial"/>
          <w:sz w:val="16"/>
          <w:szCs w:val="16"/>
        </w:rPr>
        <w:t xml:space="preserve">) x (conversion/100) x 86.09).   </w:t>
      </w:r>
      <w:r w:rsidRPr="00FD7D7C">
        <w:rPr>
          <w:rFonts w:ascii="Arial" w:hAnsi="Arial"/>
          <w:sz w:val="16"/>
          <w:szCs w:val="16"/>
          <w:vertAlign w:val="superscript"/>
        </w:rPr>
        <w:t>d</w:t>
      </w:r>
      <w:r w:rsidRPr="00FD7D7C">
        <w:rPr>
          <w:rFonts w:ascii="Arial" w:hAnsi="Arial"/>
          <w:sz w:val="16"/>
          <w:szCs w:val="16"/>
        </w:rPr>
        <w:t xml:space="preserve"> determined by triple detection light scattering SEC in THF + 2% </w:t>
      </w:r>
      <w:proofErr w:type="spellStart"/>
      <w:r w:rsidRPr="00FD7D7C">
        <w:rPr>
          <w:rFonts w:ascii="Arial" w:hAnsi="Arial"/>
          <w:sz w:val="16"/>
          <w:szCs w:val="16"/>
        </w:rPr>
        <w:t>triethylamine</w:t>
      </w:r>
      <w:proofErr w:type="spellEnd"/>
      <w:r w:rsidRPr="00FD7D7C">
        <w:rPr>
          <w:rFonts w:ascii="Arial" w:hAnsi="Arial"/>
          <w:sz w:val="16"/>
          <w:szCs w:val="16"/>
        </w:rPr>
        <w:t xml:space="preserve"> eluent, using narrow poly(styrene) standard </w:t>
      </w:r>
      <w:r w:rsidRPr="00FD7D7C">
        <w:rPr>
          <w:rFonts w:ascii="Arial" w:hAnsi="Arial"/>
          <w:i/>
          <w:sz w:val="16"/>
          <w:szCs w:val="16"/>
        </w:rPr>
        <w:t>M</w:t>
      </w:r>
      <w:r w:rsidRPr="00FD7D7C">
        <w:rPr>
          <w:rFonts w:ascii="Arial" w:hAnsi="Arial"/>
          <w:i/>
          <w:sz w:val="16"/>
          <w:szCs w:val="16"/>
          <w:vertAlign w:val="subscript"/>
        </w:rPr>
        <w:t>w</w:t>
      </w:r>
      <w:r w:rsidRPr="00FD7D7C">
        <w:rPr>
          <w:rFonts w:ascii="Arial" w:hAnsi="Arial"/>
          <w:sz w:val="16"/>
          <w:szCs w:val="16"/>
        </w:rPr>
        <w:t xml:space="preserve"> = 105k as </w:t>
      </w:r>
      <w:proofErr w:type="spellStart"/>
      <w:r w:rsidRPr="00FD7D7C">
        <w:rPr>
          <w:rFonts w:ascii="Arial" w:hAnsi="Arial"/>
          <w:sz w:val="16"/>
          <w:szCs w:val="16"/>
        </w:rPr>
        <w:t>calibrant</w:t>
      </w:r>
      <w:proofErr w:type="spellEnd"/>
    </w:p>
    <w:p w14:paraId="7697E325" w14:textId="77777777" w:rsidR="00217AD3" w:rsidRPr="00FD7D7C" w:rsidRDefault="00217AD3" w:rsidP="00217AD3">
      <w:pPr>
        <w:pStyle w:val="Legend"/>
        <w:rPr>
          <w:rFonts w:ascii="Arial" w:hAnsi="Arial"/>
          <w:sz w:val="16"/>
          <w:szCs w:val="16"/>
        </w:rPr>
      </w:pPr>
    </w:p>
    <w:p w14:paraId="3BF204E4" w14:textId="77777777" w:rsidR="00217AD3" w:rsidRPr="00FD7D7C" w:rsidRDefault="00217AD3" w:rsidP="00217AD3">
      <w:pPr>
        <w:pStyle w:val="Legend"/>
        <w:rPr>
          <w:rFonts w:ascii="Arial" w:hAnsi="Arial"/>
          <w:sz w:val="16"/>
          <w:szCs w:val="16"/>
        </w:rPr>
        <w:sectPr w:rsidR="00217AD3" w:rsidRPr="00FD7D7C" w:rsidSect="004D5D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B281CF" w14:textId="04C532D2" w:rsidR="00A32B18" w:rsidRPr="00FD7D7C" w:rsidRDefault="00A32B18" w:rsidP="00A32B18">
      <w:pPr>
        <w:spacing w:line="240" w:lineRule="auto"/>
        <w:ind w:firstLine="720"/>
        <w:jc w:val="both"/>
      </w:pPr>
      <w:r w:rsidRPr="00FD7D7C">
        <w:lastRenderedPageBreak/>
        <w:t>When DCM was used as a solvent for the reaction near complete monomer conversion was obtained for all [M</w:t>
      </w:r>
      <w:proofErr w:type="gramStart"/>
      <w:r w:rsidRPr="00FD7D7C">
        <w:t>]</w:t>
      </w:r>
      <w:r w:rsidRPr="00FD7D7C">
        <w:rPr>
          <w:vertAlign w:val="subscript"/>
        </w:rPr>
        <w:t>0</w:t>
      </w:r>
      <w:proofErr w:type="gramEnd"/>
      <w:r w:rsidRPr="00FD7D7C">
        <w:t>/[CTA]</w:t>
      </w:r>
      <w:r w:rsidRPr="00FD7D7C">
        <w:rPr>
          <w:vertAlign w:val="subscript"/>
        </w:rPr>
        <w:t xml:space="preserve">0 </w:t>
      </w:r>
      <w:r w:rsidRPr="00FD7D7C">
        <w:t xml:space="preserve">ratios tested (0-360). The molecular weight and </w:t>
      </w:r>
      <w:r w:rsidRPr="00FD7D7C">
        <w:lastRenderedPageBreak/>
        <w:t xml:space="preserve">distribution data for the polymerizations in DCM are summarized in Table 1, Entries 7-13 </w:t>
      </w:r>
      <w:r w:rsidR="0075706E" w:rsidRPr="00FD7D7C">
        <w:t xml:space="preserve">and illustrated in </w:t>
      </w:r>
      <w:r w:rsidR="00F300C3" w:rsidRPr="00FD7D7C">
        <w:t>Figure 1C</w:t>
      </w:r>
      <w:r w:rsidR="0075706E" w:rsidRPr="00FD7D7C">
        <w:t>&amp;D</w:t>
      </w:r>
      <w:r w:rsidR="00E40EB7" w:rsidRPr="00FD7D7C">
        <w:t xml:space="preserve">. </w:t>
      </w:r>
      <w:r w:rsidRPr="00FD7D7C">
        <w:t xml:space="preserve">These findings show that the use of the pressure tubes allows </w:t>
      </w:r>
      <w:r w:rsidRPr="00FD7D7C">
        <w:lastRenderedPageBreak/>
        <w:t>the facile solution polymerization using a low boiling point solvent like DCM (</w:t>
      </w:r>
      <w:r w:rsidR="00AA5598" w:rsidRPr="00FD7D7C">
        <w:t>39.6</w:t>
      </w:r>
      <w:r w:rsidRPr="00FD7D7C">
        <w:t xml:space="preserve"> °C). When [M</w:t>
      </w:r>
      <w:proofErr w:type="gramStart"/>
      <w:r w:rsidRPr="00FD7D7C">
        <w:t>]</w:t>
      </w:r>
      <w:r w:rsidRPr="00FD7D7C">
        <w:rPr>
          <w:vertAlign w:val="subscript"/>
        </w:rPr>
        <w:t>0</w:t>
      </w:r>
      <w:proofErr w:type="gramEnd"/>
      <w:r w:rsidR="009C79FD" w:rsidRPr="00FD7D7C">
        <w:t>/</w:t>
      </w:r>
      <w:r w:rsidRPr="00FD7D7C">
        <w:t>[CTA]</w:t>
      </w:r>
      <w:r w:rsidRPr="00FD7D7C">
        <w:rPr>
          <w:vertAlign w:val="subscript"/>
        </w:rPr>
        <w:t>0</w:t>
      </w:r>
      <w:r w:rsidR="00D2572F" w:rsidRPr="00FD7D7C">
        <w:t xml:space="preserve"> ratios of 25, 50 </w:t>
      </w:r>
      <w:r w:rsidRPr="00FD7D7C">
        <w:t xml:space="preserve">and 100 were targeted </w:t>
      </w:r>
      <w:r w:rsidR="009C79FD" w:rsidRPr="00FD7D7C">
        <w:t xml:space="preserve">there was good agreement between </w:t>
      </w:r>
      <w:r w:rsidRPr="00FD7D7C">
        <w:t xml:space="preserve">the experimentally determined molecular weight </w:t>
      </w:r>
      <w:r w:rsidR="009C79FD" w:rsidRPr="00FD7D7C">
        <w:t>and</w:t>
      </w:r>
      <w:r w:rsidRPr="00FD7D7C">
        <w:t xml:space="preserve"> the theoretical molecular weight</w:t>
      </w:r>
      <w:r w:rsidR="005E278C" w:rsidRPr="00FD7D7C">
        <w:t xml:space="preserve">. </w:t>
      </w:r>
      <w:r w:rsidRPr="00FD7D7C">
        <w:t>The SEC chromatogram</w:t>
      </w:r>
      <w:r w:rsidR="009C79FD" w:rsidRPr="00FD7D7C">
        <w:t>s were</w:t>
      </w:r>
      <w:r w:rsidRPr="00FD7D7C">
        <w:t xml:space="preserve"> n</w:t>
      </w:r>
      <w:r w:rsidR="005E278C" w:rsidRPr="00FD7D7C">
        <w:t>arrow and symmetrical, Figure S4B&amp;C</w:t>
      </w:r>
      <w:r w:rsidRPr="00FD7D7C">
        <w:t xml:space="preserve">, and the dispersities </w:t>
      </w:r>
      <w:r w:rsidR="00306244" w:rsidRPr="00FD7D7C">
        <w:t>were &lt;</w:t>
      </w:r>
      <w:r w:rsidRPr="00FD7D7C">
        <w:t>1.21 indicating a well-controlled polymerization at these monomer to chain transfer agent ratios.</w:t>
      </w:r>
      <w:r w:rsidR="00D2572F" w:rsidRPr="00FD7D7C">
        <w:t xml:space="preserve"> However, a</w:t>
      </w:r>
      <w:r w:rsidRPr="00FD7D7C">
        <w:t>t higher ratios of [M]</w:t>
      </w:r>
      <w:r w:rsidRPr="00FD7D7C">
        <w:rPr>
          <w:vertAlign w:val="subscript"/>
        </w:rPr>
        <w:t>0</w:t>
      </w:r>
      <w:r w:rsidRPr="00FD7D7C">
        <w:t>/[CTA]</w:t>
      </w:r>
      <w:r w:rsidRPr="00FD7D7C">
        <w:rPr>
          <w:vertAlign w:val="subscript"/>
        </w:rPr>
        <w:t>0</w:t>
      </w:r>
      <w:r w:rsidRPr="00FD7D7C">
        <w:t xml:space="preserve"> = 150, 220 and 360 the experimental </w:t>
      </w:r>
      <w:r w:rsidRPr="00FD7D7C">
        <w:rPr>
          <w:i/>
        </w:rPr>
        <w:t>M</w:t>
      </w:r>
      <w:r w:rsidRPr="00FD7D7C">
        <w:rPr>
          <w:i/>
          <w:vertAlign w:val="subscript"/>
        </w:rPr>
        <w:t>n</w:t>
      </w:r>
      <w:r w:rsidRPr="00FD7D7C">
        <w:t xml:space="preserve"> were considerably below the theoretical </w:t>
      </w:r>
      <w:r w:rsidR="00853FDB" w:rsidRPr="00FD7D7C">
        <w:rPr>
          <w:i/>
        </w:rPr>
        <w:t>M</w:t>
      </w:r>
      <w:r w:rsidR="00853FDB" w:rsidRPr="00FD7D7C">
        <w:rPr>
          <w:i/>
          <w:vertAlign w:val="subscript"/>
        </w:rPr>
        <w:t>n</w:t>
      </w:r>
      <w:r w:rsidRPr="00FD7D7C">
        <w:t xml:space="preserve">, the dispersities were greater than 1.40 (as shown in Figure 1C) and the SEC chromatograms were broader </w:t>
      </w:r>
      <w:r w:rsidR="005E278C" w:rsidRPr="00FD7D7C">
        <w:t>(see Figure 1D and Figure S4E&amp;F)</w:t>
      </w:r>
      <w:r w:rsidRPr="00FD7D7C">
        <w:t>. The ratio of [M</w:t>
      </w:r>
      <w:proofErr w:type="gramStart"/>
      <w:r w:rsidRPr="00FD7D7C">
        <w:t>]</w:t>
      </w:r>
      <w:r w:rsidRPr="00FD7D7C">
        <w:rPr>
          <w:vertAlign w:val="subscript"/>
        </w:rPr>
        <w:t>0</w:t>
      </w:r>
      <w:proofErr w:type="gramEnd"/>
      <w:r w:rsidRPr="00FD7D7C">
        <w:t>/[CTA]</w:t>
      </w:r>
      <w:r w:rsidRPr="00FD7D7C">
        <w:rPr>
          <w:vertAlign w:val="subscript"/>
        </w:rPr>
        <w:t>0</w:t>
      </w:r>
      <w:r w:rsidR="00D2163D" w:rsidRPr="00FD7D7C">
        <w:t xml:space="preserve"> seems to be </w:t>
      </w:r>
      <w:r w:rsidRPr="00FD7D7C">
        <w:t xml:space="preserve">a reliable indicator of the </w:t>
      </w:r>
      <w:r w:rsidRPr="00FD7D7C">
        <w:rPr>
          <w:i/>
        </w:rPr>
        <w:t>M</w:t>
      </w:r>
      <w:r w:rsidRPr="00FD7D7C">
        <w:rPr>
          <w:i/>
          <w:vertAlign w:val="subscript"/>
        </w:rPr>
        <w:t>w</w:t>
      </w:r>
      <w:r w:rsidRPr="00FD7D7C">
        <w:t xml:space="preserve"> under these conditions. These results indicate a loss of control of the polymerization at these higher [M</w:t>
      </w:r>
      <w:proofErr w:type="gramStart"/>
      <w:r w:rsidRPr="00FD7D7C">
        <w:t>]</w:t>
      </w:r>
      <w:r w:rsidRPr="00FD7D7C">
        <w:rPr>
          <w:vertAlign w:val="subscript"/>
        </w:rPr>
        <w:t>0</w:t>
      </w:r>
      <w:proofErr w:type="gramEnd"/>
      <w:r w:rsidRPr="00FD7D7C">
        <w:t>/[CTA]</w:t>
      </w:r>
      <w:r w:rsidRPr="00FD7D7C">
        <w:rPr>
          <w:vertAlign w:val="subscript"/>
        </w:rPr>
        <w:t>0</w:t>
      </w:r>
      <w:r w:rsidRPr="00FD7D7C">
        <w:t xml:space="preserve"> ratios, although near complete monomer conversion was achieved. These findings suggest that DCM may be considered a good solvent for synthesizing </w:t>
      </w:r>
      <w:proofErr w:type="gramStart"/>
      <w:r w:rsidRPr="00FD7D7C">
        <w:t>poly(</w:t>
      </w:r>
      <w:proofErr w:type="gramEnd"/>
      <w:r w:rsidRPr="00FD7D7C">
        <w:t>vinyl acetate) with low [M]</w:t>
      </w:r>
      <w:r w:rsidRPr="00FD7D7C">
        <w:rPr>
          <w:vertAlign w:val="subscript"/>
        </w:rPr>
        <w:t>0</w:t>
      </w:r>
      <w:r w:rsidRPr="00FD7D7C">
        <w:t>/[CTA]</w:t>
      </w:r>
      <w:r w:rsidRPr="00FD7D7C">
        <w:rPr>
          <w:vertAlign w:val="subscript"/>
        </w:rPr>
        <w:t>0</w:t>
      </w:r>
      <w:r w:rsidRPr="00FD7D7C">
        <w:t xml:space="preserve"> ratios. One can suggest that an increased number of secondary reactions such as head-to-head addition, loss of chain end functionality and/or transfer to the solvent</w:t>
      </w:r>
      <w:r w:rsidR="005E278C" w:rsidRPr="00FD7D7C">
        <w:t xml:space="preserve"> may have</w:t>
      </w:r>
      <w:r w:rsidRPr="00FD7D7C">
        <w:t xml:space="preserve"> occurred</w:t>
      </w:r>
      <w:r w:rsidR="00306244" w:rsidRPr="00FD7D7C">
        <w:t xml:space="preserve"> limiting the targeting of DP at high [M]</w:t>
      </w:r>
      <w:r w:rsidR="00306244" w:rsidRPr="00FD7D7C">
        <w:rPr>
          <w:vertAlign w:val="subscript"/>
        </w:rPr>
        <w:t>0</w:t>
      </w:r>
      <w:r w:rsidR="00306244" w:rsidRPr="00FD7D7C">
        <w:t>/[CTA]</w:t>
      </w:r>
      <w:r w:rsidR="00306244" w:rsidRPr="00FD7D7C">
        <w:rPr>
          <w:vertAlign w:val="subscript"/>
        </w:rPr>
        <w:t>0</w:t>
      </w:r>
      <w:r w:rsidR="00306244" w:rsidRPr="00FD7D7C">
        <w:t xml:space="preserve"> ratios</w:t>
      </w:r>
      <w:r w:rsidR="005E278C" w:rsidRPr="00FD7D7C">
        <w:t>.</w:t>
      </w:r>
    </w:p>
    <w:p w14:paraId="312ABA04" w14:textId="0CE286F2" w:rsidR="00217AD3" w:rsidRPr="00FD7D7C" w:rsidRDefault="00A32B18" w:rsidP="00320D16">
      <w:pPr>
        <w:spacing w:line="240" w:lineRule="auto"/>
        <w:ind w:firstLine="720"/>
        <w:jc w:val="both"/>
      </w:pPr>
      <w:r w:rsidRPr="00FD7D7C">
        <w:t>The suitability of the green solvent ethyl acetate was also evaluated</w:t>
      </w:r>
      <w:r w:rsidR="00635796" w:rsidRPr="00FD7D7C">
        <w:t xml:space="preserve"> </w:t>
      </w:r>
      <w:r w:rsidR="00942966" w:rsidRPr="00FD7D7C">
        <w:t>for the MADIX solution polymerization of vinyl acetate at [M</w:t>
      </w:r>
      <w:proofErr w:type="gramStart"/>
      <w:r w:rsidR="00942966" w:rsidRPr="00FD7D7C">
        <w:t>]</w:t>
      </w:r>
      <w:r w:rsidR="00942966" w:rsidRPr="00FD7D7C">
        <w:rPr>
          <w:vertAlign w:val="subscript"/>
        </w:rPr>
        <w:t>0</w:t>
      </w:r>
      <w:proofErr w:type="gramEnd"/>
      <w:r w:rsidR="00942966" w:rsidRPr="00FD7D7C">
        <w:t>/[CTA]</w:t>
      </w:r>
      <w:r w:rsidR="00942966" w:rsidRPr="00FD7D7C">
        <w:rPr>
          <w:vertAlign w:val="subscript"/>
        </w:rPr>
        <w:t>0</w:t>
      </w:r>
      <w:r w:rsidR="00942966" w:rsidRPr="00FD7D7C">
        <w:t xml:space="preserve"> ratios from </w:t>
      </w:r>
      <w:r w:rsidR="00B82EBD" w:rsidRPr="00FD7D7C">
        <w:t>0-4</w:t>
      </w:r>
      <w:r w:rsidR="00942966" w:rsidRPr="00FD7D7C">
        <w:t xml:space="preserve">00, see Table 1, Entries </w:t>
      </w:r>
      <w:r w:rsidRPr="00FD7D7C">
        <w:t>14</w:t>
      </w:r>
      <w:r w:rsidR="00942966" w:rsidRPr="00FD7D7C">
        <w:t>-</w:t>
      </w:r>
      <w:r w:rsidRPr="00FD7D7C">
        <w:t>20</w:t>
      </w:r>
      <w:r w:rsidR="00942966" w:rsidRPr="00FD7D7C">
        <w:t>. Near complete monomer conversion is obtained for all these polymerizations. At [M]</w:t>
      </w:r>
      <w:r w:rsidR="00942966" w:rsidRPr="00FD7D7C">
        <w:rPr>
          <w:vertAlign w:val="subscript"/>
        </w:rPr>
        <w:t>0</w:t>
      </w:r>
      <w:r w:rsidR="00942966" w:rsidRPr="00FD7D7C">
        <w:t>/[CTA]</w:t>
      </w:r>
      <w:r w:rsidR="00942966" w:rsidRPr="00FD7D7C">
        <w:rPr>
          <w:vertAlign w:val="subscript"/>
        </w:rPr>
        <w:t>0</w:t>
      </w:r>
      <w:r w:rsidR="00942966" w:rsidRPr="00FD7D7C">
        <w:t xml:space="preserve"> ratios ranging from 100 to </w:t>
      </w:r>
      <w:r w:rsidR="00635796" w:rsidRPr="00FD7D7C">
        <w:t>150</w:t>
      </w:r>
      <w:r w:rsidR="00853FDB" w:rsidRPr="00FD7D7C">
        <w:t xml:space="preserve"> an</w:t>
      </w:r>
      <w:r w:rsidR="00942966" w:rsidRPr="00FD7D7C">
        <w:t xml:space="preserve"> </w:t>
      </w:r>
      <w:r w:rsidR="00853FDB" w:rsidRPr="00FD7D7C">
        <w:t xml:space="preserve">excellent agreement was seen for the theoretical and observed </w:t>
      </w:r>
      <w:r w:rsidR="00853FDB" w:rsidRPr="00FD7D7C">
        <w:rPr>
          <w:i/>
        </w:rPr>
        <w:t>M</w:t>
      </w:r>
      <w:r w:rsidR="00853FDB" w:rsidRPr="00FD7D7C">
        <w:rPr>
          <w:i/>
          <w:vertAlign w:val="subscript"/>
        </w:rPr>
        <w:t>n</w:t>
      </w:r>
      <w:r w:rsidR="00942966" w:rsidRPr="00FD7D7C">
        <w:t>, summarized in</w:t>
      </w:r>
      <w:r w:rsidR="00635796" w:rsidRPr="00FD7D7C">
        <w:t xml:space="preserve"> Figure 1E.</w:t>
      </w:r>
      <w:r w:rsidR="00942966" w:rsidRPr="00FD7D7C">
        <w:t xml:space="preserve"> </w:t>
      </w:r>
      <w:r w:rsidR="00635796" w:rsidRPr="00FD7D7C">
        <w:t>T</w:t>
      </w:r>
      <w:r w:rsidR="00942966" w:rsidRPr="00FD7D7C">
        <w:t xml:space="preserve">he dispersities </w:t>
      </w:r>
      <w:r w:rsidR="002F1C8F" w:rsidRPr="00FD7D7C">
        <w:t xml:space="preserve">were </w:t>
      </w:r>
      <w:r w:rsidR="00942966" w:rsidRPr="00FD7D7C">
        <w:t>below 1.40. At higher ratios of [M</w:t>
      </w:r>
      <w:proofErr w:type="gramStart"/>
      <w:r w:rsidR="00942966" w:rsidRPr="00FD7D7C">
        <w:t>]</w:t>
      </w:r>
      <w:r w:rsidR="00942966" w:rsidRPr="00FD7D7C">
        <w:rPr>
          <w:vertAlign w:val="subscript"/>
        </w:rPr>
        <w:t>0</w:t>
      </w:r>
      <w:proofErr w:type="gramEnd"/>
      <w:r w:rsidR="00942966" w:rsidRPr="00FD7D7C">
        <w:t>/[CTA]</w:t>
      </w:r>
      <w:r w:rsidR="00942966" w:rsidRPr="00FD7D7C">
        <w:rPr>
          <w:vertAlign w:val="subscript"/>
        </w:rPr>
        <w:t>0</w:t>
      </w:r>
      <w:r w:rsidR="00942966" w:rsidRPr="00FD7D7C">
        <w:t xml:space="preserve"> = 200, 220, and 300 the dispersit</w:t>
      </w:r>
      <w:r w:rsidR="00D923DD" w:rsidRPr="00FD7D7C">
        <w:t>ies</w:t>
      </w:r>
      <w:r w:rsidR="00942966" w:rsidRPr="00FD7D7C">
        <w:t xml:space="preserve"> </w:t>
      </w:r>
      <w:r w:rsidR="00DA498E" w:rsidRPr="00FD7D7C">
        <w:t xml:space="preserve">were slightly lower than </w:t>
      </w:r>
      <w:r w:rsidR="00853FDB" w:rsidRPr="00FD7D7C">
        <w:t>1.35</w:t>
      </w:r>
      <w:r w:rsidR="00942966" w:rsidRPr="00FD7D7C">
        <w:t xml:space="preserve">, indicating </w:t>
      </w:r>
      <w:r w:rsidR="00D923DD" w:rsidRPr="00FD7D7C">
        <w:t xml:space="preserve">similar </w:t>
      </w:r>
      <w:r w:rsidR="00942966" w:rsidRPr="00FD7D7C">
        <w:t xml:space="preserve">control over molecular weight </w:t>
      </w:r>
      <w:r w:rsidR="002F1C8F" w:rsidRPr="00FD7D7C">
        <w:t>with high conversion</w:t>
      </w:r>
      <w:r w:rsidR="00942966" w:rsidRPr="00FD7D7C">
        <w:t xml:space="preserve">. </w:t>
      </w:r>
      <w:r w:rsidR="00635796" w:rsidRPr="00FD7D7C">
        <w:t>The SEC chromatograms for all the samples were narrow and symmetrical, Figure 1F and Figure S</w:t>
      </w:r>
      <w:r w:rsidR="005E278C" w:rsidRPr="00FD7D7C">
        <w:t>5B</w:t>
      </w:r>
      <w:r w:rsidR="00E77BFE" w:rsidRPr="00FD7D7C">
        <w:t>-</w:t>
      </w:r>
      <w:r w:rsidR="005E278C" w:rsidRPr="00FD7D7C">
        <w:t>F</w:t>
      </w:r>
      <w:r w:rsidR="00635796" w:rsidRPr="00FD7D7C">
        <w:t xml:space="preserve">. </w:t>
      </w:r>
      <w:r w:rsidR="00942966" w:rsidRPr="00FD7D7C">
        <w:t xml:space="preserve">The </w:t>
      </w:r>
      <w:r w:rsidR="005C0D08" w:rsidRPr="00FD7D7C">
        <w:t>number average degree of polymerization</w:t>
      </w:r>
      <w:r w:rsidR="00942966" w:rsidRPr="00FD7D7C">
        <w:t xml:space="preserve"> </w:t>
      </w:r>
      <w:r w:rsidR="00942966" w:rsidRPr="00FD7D7C">
        <w:lastRenderedPageBreak/>
        <w:t xml:space="preserve">determined by </w:t>
      </w:r>
      <w:r w:rsidR="00942966" w:rsidRPr="00FD7D7C">
        <w:rPr>
          <w:vertAlign w:val="superscript"/>
        </w:rPr>
        <w:t>1</w:t>
      </w:r>
      <w:r w:rsidR="00942966" w:rsidRPr="00FD7D7C">
        <w:t>H NMR</w:t>
      </w:r>
      <w:r w:rsidR="002B5312" w:rsidRPr="00FD7D7C">
        <w:t xml:space="preserve"> </w:t>
      </w:r>
      <w:r w:rsidR="005C0D08" w:rsidRPr="00FD7D7C">
        <w:t xml:space="preserve">analysis </w:t>
      </w:r>
      <w:r w:rsidR="002B5312" w:rsidRPr="00FD7D7C">
        <w:t>of the purified samples</w:t>
      </w:r>
      <w:r w:rsidR="005C0D08" w:rsidRPr="00FD7D7C">
        <w:t xml:space="preserve"> </w:t>
      </w:r>
      <w:r w:rsidR="00942966" w:rsidRPr="00FD7D7C">
        <w:t xml:space="preserve">was in agreement with the </w:t>
      </w:r>
      <w:r w:rsidR="002B5312" w:rsidRPr="00FD7D7C">
        <w:t>targeted</w:t>
      </w:r>
      <w:r w:rsidR="00942966" w:rsidRPr="00FD7D7C">
        <w:t xml:space="preserve"> </w:t>
      </w:r>
      <w:proofErr w:type="spellStart"/>
      <w:r w:rsidR="005C0D08" w:rsidRPr="00FD7D7C">
        <w:rPr>
          <w:i/>
        </w:rPr>
        <w:t>DP</w:t>
      </w:r>
      <w:r w:rsidR="005C0D08" w:rsidRPr="00FD7D7C">
        <w:rPr>
          <w:i/>
          <w:vertAlign w:val="subscript"/>
        </w:rPr>
        <w:t>n</w:t>
      </w:r>
      <w:proofErr w:type="spellEnd"/>
      <w:r w:rsidR="002B5312" w:rsidRPr="00FD7D7C">
        <w:t xml:space="preserve"> and the </w:t>
      </w:r>
      <w:r w:rsidR="00306244" w:rsidRPr="00FD7D7C">
        <w:t xml:space="preserve">SEC </w:t>
      </w:r>
      <w:r w:rsidR="002B5312" w:rsidRPr="00FD7D7C">
        <w:t>data</w:t>
      </w:r>
      <w:r w:rsidR="00942966" w:rsidRPr="00FD7D7C">
        <w:t xml:space="preserve"> up to chain lengths of </w:t>
      </w:r>
      <w:proofErr w:type="spellStart"/>
      <w:r w:rsidR="002B5312" w:rsidRPr="00FD7D7C">
        <w:rPr>
          <w:i/>
        </w:rPr>
        <w:t>DP</w:t>
      </w:r>
      <w:r w:rsidR="002B5312" w:rsidRPr="00FD7D7C">
        <w:rPr>
          <w:i/>
          <w:vertAlign w:val="subscript"/>
        </w:rPr>
        <w:t>n</w:t>
      </w:r>
      <w:proofErr w:type="spellEnd"/>
      <w:r w:rsidR="002B5312" w:rsidRPr="00FD7D7C">
        <w:t xml:space="preserve"> = </w:t>
      </w:r>
      <w:r w:rsidR="00942966" w:rsidRPr="00FD7D7C">
        <w:t xml:space="preserve">300. The higher monomer conversions for </w:t>
      </w:r>
      <w:r w:rsidR="00306244" w:rsidRPr="00FD7D7C">
        <w:t>these polymers prepared by ethyl acetate</w:t>
      </w:r>
      <w:r w:rsidR="00942966" w:rsidRPr="00FD7D7C">
        <w:t xml:space="preserve"> solution polymerization </w:t>
      </w:r>
      <w:r w:rsidR="00306244" w:rsidRPr="00FD7D7C">
        <w:t xml:space="preserve">were </w:t>
      </w:r>
      <w:r w:rsidR="00942966" w:rsidRPr="00FD7D7C">
        <w:t xml:space="preserve">attributed to improved diffusion of the monomer and polymer chains through the reaction medium and are in agreement with the independent data obtained in </w:t>
      </w:r>
      <w:proofErr w:type="spellStart"/>
      <w:r w:rsidR="00942966" w:rsidRPr="00FD7D7C">
        <w:t>dioxane</w:t>
      </w:r>
      <w:proofErr w:type="spellEnd"/>
      <w:r w:rsidR="00942966" w:rsidRPr="00FD7D7C">
        <w:t xml:space="preserve"> solvent.</w:t>
      </w:r>
      <w:r w:rsidR="00A43214" w:rsidRPr="00FD7D7C">
        <w:rPr>
          <w:vertAlign w:val="superscript"/>
        </w:rPr>
        <w:t>20</w:t>
      </w:r>
      <w:r w:rsidR="00942966" w:rsidRPr="00FD7D7C">
        <w:t xml:space="preserve"> These results, coupled with the ease of handling</w:t>
      </w:r>
      <w:r w:rsidR="00853FDB" w:rsidRPr="00FD7D7C">
        <w:t xml:space="preserve"> of</w:t>
      </w:r>
      <w:r w:rsidR="00942966" w:rsidRPr="00FD7D7C">
        <w:t xml:space="preserve"> the product, indicate that ethyl acetate may be considered an excellent and </w:t>
      </w:r>
      <w:r w:rsidR="00853FDB" w:rsidRPr="00FD7D7C">
        <w:t xml:space="preserve">very </w:t>
      </w:r>
      <w:r w:rsidR="00942966" w:rsidRPr="00FD7D7C">
        <w:t>efficient solvent for synthesizing</w:t>
      </w:r>
      <w:r w:rsidR="00942966" w:rsidRPr="00FD7D7C">
        <w:rPr>
          <w:noProof/>
          <w:lang w:val="en-GB" w:eastAsia="en-GB"/>
        </w:rPr>
        <w:t xml:space="preserve"> </w:t>
      </w:r>
      <w:r w:rsidR="00942966" w:rsidRPr="00FD7D7C">
        <w:t xml:space="preserve">poly(vinyl acetate) with </w:t>
      </w:r>
      <w:r w:rsidR="00853FDB" w:rsidRPr="00FD7D7C">
        <w:t xml:space="preserve">very high </w:t>
      </w:r>
      <w:r w:rsidR="00942966" w:rsidRPr="00FD7D7C">
        <w:t>monomer conversion with highly predictable molecular weight up to 30,000 g mol</w:t>
      </w:r>
      <w:r w:rsidR="00942966" w:rsidRPr="00FD7D7C">
        <w:rPr>
          <w:vertAlign w:val="superscript"/>
        </w:rPr>
        <w:t>-1</w:t>
      </w:r>
      <w:r w:rsidR="005F2A48" w:rsidRPr="00FD7D7C">
        <w:t xml:space="preserve"> and reasonably narrow dispersities</w:t>
      </w:r>
      <w:r w:rsidR="0023287D" w:rsidRPr="00FD7D7C">
        <w:t>.</w:t>
      </w:r>
      <w:r w:rsidR="00217AD3" w:rsidRPr="00FD7D7C">
        <w:rPr>
          <w:noProof/>
          <w:lang w:val="en-GB" w:eastAsia="en-GB"/>
        </w:rPr>
        <w:drawing>
          <wp:inline distT="0" distB="0" distL="0" distR="0" wp14:anchorId="0C82C415" wp14:editId="0FA91EDE">
            <wp:extent cx="2743200" cy="3797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mplete MWts Final Final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F00CC" w14:textId="77777777" w:rsidR="00217AD3" w:rsidRPr="00FD7D7C" w:rsidRDefault="00217AD3" w:rsidP="00217AD3">
      <w:pPr>
        <w:spacing w:line="240" w:lineRule="auto"/>
        <w:jc w:val="both"/>
      </w:pPr>
      <w:r w:rsidRPr="00FD7D7C">
        <w:t xml:space="preserve">FIGURE 1: Plots of experimental </w:t>
      </w:r>
      <w:r w:rsidRPr="00FD7D7C">
        <w:rPr>
          <w:i/>
        </w:rPr>
        <w:t>M</w:t>
      </w:r>
      <w:r w:rsidRPr="00FD7D7C">
        <w:rPr>
          <w:i/>
          <w:vertAlign w:val="subscript"/>
        </w:rPr>
        <w:t>n</w:t>
      </w:r>
      <w:r w:rsidRPr="00FD7D7C">
        <w:t xml:space="preserve"> and </w:t>
      </w:r>
      <w:r w:rsidRPr="00FD7D7C">
        <w:rPr>
          <w:i/>
        </w:rPr>
        <w:t>M</w:t>
      </w:r>
      <w:r w:rsidRPr="00FD7D7C">
        <w:rPr>
          <w:i/>
          <w:vertAlign w:val="subscript"/>
        </w:rPr>
        <w:t>w</w:t>
      </w:r>
      <w:r w:rsidR="00635796" w:rsidRPr="00FD7D7C">
        <w:rPr>
          <w:i/>
        </w:rPr>
        <w:t>/</w:t>
      </w:r>
      <w:r w:rsidRPr="00FD7D7C">
        <w:rPr>
          <w:i/>
        </w:rPr>
        <w:t>M</w:t>
      </w:r>
      <w:r w:rsidRPr="00FD7D7C">
        <w:rPr>
          <w:i/>
          <w:vertAlign w:val="subscript"/>
        </w:rPr>
        <w:t>n</w:t>
      </w:r>
      <w:r w:rsidRPr="00FD7D7C">
        <w:t xml:space="preserve"> versus theoretical </w:t>
      </w:r>
      <w:r w:rsidRPr="00FD7D7C">
        <w:rPr>
          <w:i/>
        </w:rPr>
        <w:t>M</w:t>
      </w:r>
      <w:r w:rsidRPr="00FD7D7C">
        <w:rPr>
          <w:i/>
          <w:vertAlign w:val="subscript"/>
        </w:rPr>
        <w:t>n</w:t>
      </w:r>
      <w:r w:rsidRPr="00FD7D7C">
        <w:t xml:space="preserve"> and raw GPC chromatograms at [M]</w:t>
      </w:r>
      <w:r w:rsidRPr="00FD7D7C">
        <w:rPr>
          <w:vertAlign w:val="subscript"/>
        </w:rPr>
        <w:t>0</w:t>
      </w:r>
      <w:r w:rsidRPr="00FD7D7C">
        <w:t>/[CTA]</w:t>
      </w:r>
      <w:r w:rsidRPr="00FD7D7C">
        <w:rPr>
          <w:vertAlign w:val="subscript"/>
        </w:rPr>
        <w:t>0</w:t>
      </w:r>
      <w:r w:rsidRPr="00FD7D7C">
        <w:t xml:space="preserve"> = 150 for the MADIX polymerization of vinyl acetate at 70</w:t>
      </w:r>
      <w:r w:rsidR="00635796" w:rsidRPr="00FD7D7C">
        <w:t>°</w:t>
      </w:r>
      <w:r w:rsidRPr="00FD7D7C">
        <w:t xml:space="preserve">C  in bulk (A,B) in DCM (C,D) and in ethyl acetate (E,F) Conditions: </w:t>
      </w:r>
      <w:proofErr w:type="spellStart"/>
      <w:r w:rsidRPr="00FD7D7C">
        <w:t>VAc</w:t>
      </w:r>
      <w:proofErr w:type="spellEnd"/>
      <w:r w:rsidRPr="00FD7D7C">
        <w:t xml:space="preserve"> = 2 mL Ratio [CTA]</w:t>
      </w:r>
      <w:r w:rsidRPr="00FD7D7C">
        <w:rPr>
          <w:vertAlign w:val="subscript"/>
        </w:rPr>
        <w:t>0</w:t>
      </w:r>
      <w:r w:rsidRPr="00FD7D7C">
        <w:t xml:space="preserve"> / [AIBN]</w:t>
      </w:r>
      <w:r w:rsidRPr="00FD7D7C">
        <w:rPr>
          <w:vertAlign w:val="subscript"/>
        </w:rPr>
        <w:t>0</w:t>
      </w:r>
      <w:r w:rsidRPr="00FD7D7C">
        <w:t xml:space="preserve"> = 1/0.2</w:t>
      </w:r>
      <w:r w:rsidR="00F300C3" w:rsidRPr="00FD7D7C">
        <w:t>.</w:t>
      </w:r>
      <w:r w:rsidR="00A903BC" w:rsidRPr="00FD7D7C">
        <w:t xml:space="preserve"> The lines of graphs A</w:t>
      </w:r>
      <w:proofErr w:type="gramStart"/>
      <w:r w:rsidR="00A903BC" w:rsidRPr="00FD7D7C">
        <w:t>,C</w:t>
      </w:r>
      <w:proofErr w:type="gramEnd"/>
      <w:r w:rsidR="00A903BC" w:rsidRPr="00FD7D7C">
        <w:t xml:space="preserve"> and E represents the theoretical value.</w:t>
      </w:r>
    </w:p>
    <w:p w14:paraId="593E67AD" w14:textId="20A7C564" w:rsidR="00217AD3" w:rsidRPr="00FD7D7C" w:rsidRDefault="00853FDB" w:rsidP="00CB736E">
      <w:pPr>
        <w:spacing w:line="240" w:lineRule="auto"/>
        <w:ind w:firstLine="720"/>
        <w:jc w:val="both"/>
      </w:pPr>
      <w:r w:rsidRPr="00FD7D7C">
        <w:lastRenderedPageBreak/>
        <w:t xml:space="preserve">The formation of very high </w:t>
      </w:r>
      <w:proofErr w:type="spellStart"/>
      <w:r w:rsidRPr="00FD7D7C">
        <w:t>DP</w:t>
      </w:r>
      <w:r w:rsidRPr="00FD7D7C">
        <w:rPr>
          <w:vertAlign w:val="subscript"/>
        </w:rPr>
        <w:t>n</w:t>
      </w:r>
      <w:proofErr w:type="spellEnd"/>
      <w:r w:rsidRPr="00FD7D7C">
        <w:t xml:space="preserve"> </w:t>
      </w:r>
      <w:proofErr w:type="spellStart"/>
      <w:r w:rsidRPr="00FD7D7C">
        <w:t>PVAc</w:t>
      </w:r>
      <w:proofErr w:type="spellEnd"/>
      <w:r w:rsidRPr="00FD7D7C">
        <w:t xml:space="preserve"> </w:t>
      </w:r>
      <w:r w:rsidR="002B7AD6" w:rsidRPr="00FD7D7C">
        <w:t xml:space="preserve">in ethyl acetate </w:t>
      </w:r>
      <w:r w:rsidRPr="00FD7D7C">
        <w:t>was</w:t>
      </w:r>
      <w:r w:rsidR="00306244" w:rsidRPr="00FD7D7C">
        <w:t xml:space="preserve"> then</w:t>
      </w:r>
      <w:r w:rsidRPr="00FD7D7C">
        <w:t xml:space="preserve"> investigated by sequentially increasing the [M]</w:t>
      </w:r>
      <w:proofErr w:type="gramStart"/>
      <w:r w:rsidRPr="00FD7D7C">
        <w:t>/[</w:t>
      </w:r>
      <w:proofErr w:type="gramEnd"/>
      <w:r w:rsidRPr="00FD7D7C">
        <w:t>CTA] ratio to 3</w:t>
      </w:r>
      <w:r w:rsidR="00D2572F" w:rsidRPr="00FD7D7C">
        <w:t>,</w:t>
      </w:r>
      <w:r w:rsidRPr="00FD7D7C">
        <w:t>000</w:t>
      </w:r>
      <w:r w:rsidR="00CB736E" w:rsidRPr="00FD7D7C">
        <w:t>.</w:t>
      </w:r>
      <w:r w:rsidR="00E86E05" w:rsidRPr="00FD7D7C">
        <w:t xml:space="preserve"> Al</w:t>
      </w:r>
      <w:r w:rsidR="00B82EBD" w:rsidRPr="00FD7D7C">
        <w:t>l these p</w:t>
      </w:r>
      <w:r w:rsidR="00CB736E" w:rsidRPr="00FD7D7C">
        <w:t>olymerizations obtained near complete conversion</w:t>
      </w:r>
      <w:r w:rsidR="008C313F" w:rsidRPr="00FD7D7C">
        <w:t>.</w:t>
      </w:r>
      <w:r w:rsidR="00CB736E" w:rsidRPr="00FD7D7C">
        <w:t xml:space="preserve"> The largest </w:t>
      </w:r>
      <w:r w:rsidR="0040236F" w:rsidRPr="00FD7D7C">
        <w:rPr>
          <w:i/>
        </w:rPr>
        <w:t>M</w:t>
      </w:r>
      <w:r w:rsidR="0040236F" w:rsidRPr="00FD7D7C">
        <w:rPr>
          <w:i/>
          <w:vertAlign w:val="subscript"/>
        </w:rPr>
        <w:t>n</w:t>
      </w:r>
      <w:r w:rsidR="00CB736E" w:rsidRPr="00FD7D7C">
        <w:t xml:space="preserve"> obtained was 104,000 g mol</w:t>
      </w:r>
      <w:r w:rsidR="00CB736E" w:rsidRPr="00FD7D7C">
        <w:rPr>
          <w:vertAlign w:val="superscript"/>
        </w:rPr>
        <w:t xml:space="preserve">-1 </w:t>
      </w:r>
      <w:r w:rsidR="00CB736E" w:rsidRPr="00FD7D7C">
        <w:t>at a ratio of [M</w:t>
      </w:r>
      <w:proofErr w:type="gramStart"/>
      <w:r w:rsidR="00CB736E" w:rsidRPr="00FD7D7C">
        <w:t>]</w:t>
      </w:r>
      <w:r w:rsidR="00CB736E" w:rsidRPr="00FD7D7C">
        <w:rPr>
          <w:vertAlign w:val="subscript"/>
        </w:rPr>
        <w:t>0</w:t>
      </w:r>
      <w:proofErr w:type="gramEnd"/>
      <w:r w:rsidR="00CB736E" w:rsidRPr="00FD7D7C">
        <w:t>/[CTA]</w:t>
      </w:r>
      <w:r w:rsidR="00CB736E" w:rsidRPr="00FD7D7C">
        <w:rPr>
          <w:vertAlign w:val="subscript"/>
        </w:rPr>
        <w:t>0</w:t>
      </w:r>
      <w:r w:rsidR="00CB736E" w:rsidRPr="00FD7D7C">
        <w:t xml:space="preserve"> = 3</w:t>
      </w:r>
      <w:r w:rsidR="00D2572F" w:rsidRPr="00FD7D7C">
        <w:t>,</w:t>
      </w:r>
      <w:r w:rsidR="00CB736E" w:rsidRPr="00FD7D7C">
        <w:t>000/1. This</w:t>
      </w:r>
      <w:r w:rsidR="00B82EBD" w:rsidRPr="00FD7D7C">
        <w:t xml:space="preserve"> result</w:t>
      </w:r>
      <w:r w:rsidR="00CB736E" w:rsidRPr="00FD7D7C">
        <w:t xml:space="preserve"> </w:t>
      </w:r>
      <w:r w:rsidR="00B82EBD" w:rsidRPr="00FD7D7C">
        <w:t>compares very favorably with literature data where a pressurized reactor and a ratio [M</w:t>
      </w:r>
      <w:proofErr w:type="gramStart"/>
      <w:r w:rsidR="00B82EBD" w:rsidRPr="00FD7D7C">
        <w:t>]</w:t>
      </w:r>
      <w:r w:rsidR="00B82EBD" w:rsidRPr="00FD7D7C">
        <w:rPr>
          <w:vertAlign w:val="subscript"/>
        </w:rPr>
        <w:t>0</w:t>
      </w:r>
      <w:proofErr w:type="gramEnd"/>
      <w:r w:rsidR="00B82EBD" w:rsidRPr="00FD7D7C">
        <w:t>/[CTA]</w:t>
      </w:r>
      <w:r w:rsidR="00B82EBD" w:rsidRPr="00FD7D7C">
        <w:rPr>
          <w:vertAlign w:val="subscript"/>
        </w:rPr>
        <w:t>0</w:t>
      </w:r>
      <w:r w:rsidR="00F87E60" w:rsidRPr="00FD7D7C">
        <w:t xml:space="preserve"> = 1</w:t>
      </w:r>
      <w:r w:rsidR="00B82EBD" w:rsidRPr="00FD7D7C">
        <w:t>0</w:t>
      </w:r>
      <w:r w:rsidR="00F5048B" w:rsidRPr="00FD7D7C">
        <w:t>,</w:t>
      </w:r>
      <w:r w:rsidR="00B82EBD" w:rsidRPr="00FD7D7C">
        <w:t>000/1 was used yielding a</w:t>
      </w:r>
      <w:r w:rsidR="00CB736E" w:rsidRPr="00FD7D7C">
        <w:t xml:space="preserve"> </w:t>
      </w:r>
      <w:r w:rsidR="00F87E60" w:rsidRPr="00FD7D7C">
        <w:rPr>
          <w:i/>
        </w:rPr>
        <w:t>M</w:t>
      </w:r>
      <w:r w:rsidR="00F87E60" w:rsidRPr="00FD7D7C">
        <w:rPr>
          <w:i/>
          <w:vertAlign w:val="subscript"/>
        </w:rPr>
        <w:t>n</w:t>
      </w:r>
      <w:r w:rsidR="00F87E60" w:rsidRPr="00FD7D7C">
        <w:t xml:space="preserve"> of 123</w:t>
      </w:r>
      <w:r w:rsidR="00CB736E" w:rsidRPr="00FD7D7C">
        <w:t>,000 g mol</w:t>
      </w:r>
      <w:r w:rsidR="00CB736E" w:rsidRPr="00FD7D7C">
        <w:rPr>
          <w:vertAlign w:val="superscript"/>
        </w:rPr>
        <w:t>-1</w:t>
      </w:r>
      <w:r w:rsidR="00F87E60" w:rsidRPr="00FD7D7C">
        <w:t>, a dispersity of 1.28</w:t>
      </w:r>
      <w:r w:rsidR="00B82EBD" w:rsidRPr="00FD7D7C">
        <w:t xml:space="preserve"> </w:t>
      </w:r>
      <w:r w:rsidR="00635796" w:rsidRPr="00FD7D7C">
        <w:t xml:space="preserve">with a </w:t>
      </w:r>
      <w:r w:rsidR="00F87E60" w:rsidRPr="00FD7D7C">
        <w:t>37</w:t>
      </w:r>
      <w:r w:rsidR="008D3DEB" w:rsidRPr="00FD7D7C">
        <w:t>% conversion,</w:t>
      </w:r>
      <w:r w:rsidR="00F5048B" w:rsidRPr="00FD7D7C">
        <w:rPr>
          <w:vertAlign w:val="superscript"/>
        </w:rPr>
        <w:t>18</w:t>
      </w:r>
      <w:r w:rsidR="00CB736E" w:rsidRPr="00FD7D7C">
        <w:t xml:space="preserve"> </w:t>
      </w:r>
      <w:r w:rsidR="008D3DEB" w:rsidRPr="00FD7D7C">
        <w:t>while using our approach we obtained a</w:t>
      </w:r>
      <w:r w:rsidR="00B03EFC" w:rsidRPr="00FD7D7C">
        <w:t xml:space="preserve"> much higher</w:t>
      </w:r>
      <w:r w:rsidR="008D3DEB" w:rsidRPr="00FD7D7C">
        <w:t xml:space="preserve"> conversion of 97% for a polymer with a similar </w:t>
      </w:r>
      <w:r w:rsidR="008D3DEB" w:rsidRPr="00FD7D7C">
        <w:rPr>
          <w:i/>
        </w:rPr>
        <w:t>M</w:t>
      </w:r>
      <w:r w:rsidR="00F87E60" w:rsidRPr="00FD7D7C">
        <w:rPr>
          <w:i/>
          <w:vertAlign w:val="subscript"/>
        </w:rPr>
        <w:t>n</w:t>
      </w:r>
      <w:r w:rsidR="00B03EFC" w:rsidRPr="00FD7D7C">
        <w:rPr>
          <w:i/>
        </w:rPr>
        <w:t>,</w:t>
      </w:r>
      <w:r w:rsidR="00F87E60" w:rsidRPr="00FD7D7C">
        <w:t xml:space="preserve"> albeit with a higher dispersity of 1.83.  </w:t>
      </w:r>
    </w:p>
    <w:p w14:paraId="4A1C4252" w14:textId="77777777" w:rsidR="00217AD3" w:rsidRPr="00FD7D7C" w:rsidRDefault="00217AD3" w:rsidP="00217AD3">
      <w:pPr>
        <w:spacing w:line="240" w:lineRule="auto"/>
        <w:jc w:val="both"/>
      </w:pPr>
      <w:r w:rsidRPr="00FD7D7C">
        <w:rPr>
          <w:noProof/>
          <w:lang w:val="en-GB" w:eastAsia="en-GB"/>
        </w:rPr>
        <w:drawing>
          <wp:inline distT="0" distB="0" distL="0" distR="0" wp14:anchorId="6611D7D4" wp14:editId="5591CE29">
            <wp:extent cx="2743200" cy="18535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igh MWts in EtAc Final Final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921E6" w14:textId="77777777" w:rsidR="00217AD3" w:rsidRPr="00FD7D7C" w:rsidRDefault="00217AD3" w:rsidP="00217AD3">
      <w:pPr>
        <w:spacing w:line="240" w:lineRule="auto"/>
        <w:jc w:val="both"/>
      </w:pPr>
      <w:r w:rsidRPr="00FD7D7C">
        <w:t xml:space="preserve">FIGURE 2: Plot of experimental </w:t>
      </w:r>
      <w:r w:rsidRPr="00FD7D7C">
        <w:rPr>
          <w:i/>
        </w:rPr>
        <w:t>M</w:t>
      </w:r>
      <w:r w:rsidRPr="00FD7D7C">
        <w:rPr>
          <w:i/>
          <w:vertAlign w:val="subscript"/>
        </w:rPr>
        <w:t>n</w:t>
      </w:r>
      <w:r w:rsidRPr="00FD7D7C">
        <w:rPr>
          <w:vertAlign w:val="subscript"/>
        </w:rPr>
        <w:t xml:space="preserve"> </w:t>
      </w:r>
      <w:r w:rsidRPr="00FD7D7C">
        <w:t xml:space="preserve">and </w:t>
      </w:r>
      <w:r w:rsidRPr="00FD7D7C">
        <w:rPr>
          <w:i/>
        </w:rPr>
        <w:t>M</w:t>
      </w:r>
      <w:r w:rsidRPr="00FD7D7C">
        <w:rPr>
          <w:i/>
          <w:vertAlign w:val="subscript"/>
        </w:rPr>
        <w:t>w</w:t>
      </w:r>
      <w:r w:rsidRPr="00FD7D7C">
        <w:rPr>
          <w:i/>
        </w:rPr>
        <w:t>/M</w:t>
      </w:r>
      <w:r w:rsidRPr="00FD7D7C">
        <w:rPr>
          <w:i/>
          <w:vertAlign w:val="subscript"/>
        </w:rPr>
        <w:t>n</w:t>
      </w:r>
      <w:r w:rsidRPr="00FD7D7C">
        <w:t xml:space="preserve"> versus theoretical </w:t>
      </w:r>
      <w:r w:rsidRPr="00FD7D7C">
        <w:rPr>
          <w:i/>
        </w:rPr>
        <w:t>M</w:t>
      </w:r>
      <w:r w:rsidRPr="00FD7D7C">
        <w:rPr>
          <w:i/>
          <w:vertAlign w:val="subscript"/>
        </w:rPr>
        <w:t>n</w:t>
      </w:r>
      <w:r w:rsidRPr="00FD7D7C">
        <w:t xml:space="preserve"> for the MADIX polymerization of vinyl acetate in ethyl acetate performed at 70 °C up to [M]</w:t>
      </w:r>
      <w:r w:rsidRPr="00FD7D7C">
        <w:rPr>
          <w:vertAlign w:val="subscript"/>
        </w:rPr>
        <w:t>0</w:t>
      </w:r>
      <w:r w:rsidRPr="00FD7D7C">
        <w:t xml:space="preserve"> / [CTA]</w:t>
      </w:r>
      <w:r w:rsidRPr="00FD7D7C">
        <w:rPr>
          <w:vertAlign w:val="subscript"/>
        </w:rPr>
        <w:t>0</w:t>
      </w:r>
      <w:r w:rsidRPr="00FD7D7C">
        <w:t xml:space="preserve"> = 3000 Conditions </w:t>
      </w:r>
      <w:proofErr w:type="spellStart"/>
      <w:r w:rsidRPr="00FD7D7C">
        <w:t>VAc</w:t>
      </w:r>
      <w:proofErr w:type="spellEnd"/>
      <w:r w:rsidRPr="00FD7D7C">
        <w:t xml:space="preserve"> = 2 mL, Solvent = 2 mL, Ratio [CTA]</w:t>
      </w:r>
      <w:r w:rsidRPr="00FD7D7C">
        <w:rPr>
          <w:vertAlign w:val="subscript"/>
        </w:rPr>
        <w:t>0</w:t>
      </w:r>
      <w:r w:rsidRPr="00FD7D7C">
        <w:t>/[AIBN]</w:t>
      </w:r>
      <w:r w:rsidRPr="00FD7D7C">
        <w:rPr>
          <w:vertAlign w:val="subscript"/>
        </w:rPr>
        <w:t>0</w:t>
      </w:r>
      <w:r w:rsidRPr="00FD7D7C">
        <w:t xml:space="preserve"> = 1/0.2</w:t>
      </w:r>
    </w:p>
    <w:p w14:paraId="7A0653C9" w14:textId="7E291489" w:rsidR="00CB736E" w:rsidRPr="00FD7D7C" w:rsidRDefault="00CB736E" w:rsidP="00CB736E">
      <w:pPr>
        <w:spacing w:line="240" w:lineRule="auto"/>
        <w:ind w:firstLine="720"/>
        <w:jc w:val="both"/>
      </w:pPr>
      <w:r w:rsidRPr="00FD7D7C">
        <w:t>At very high targeted degrees of polymerization</w:t>
      </w:r>
      <w:r w:rsidR="002B7AD6" w:rsidRPr="00FD7D7C">
        <w:t xml:space="preserve"> (&gt;1</w:t>
      </w:r>
      <w:r w:rsidR="00D2572F" w:rsidRPr="00FD7D7C">
        <w:t>,</w:t>
      </w:r>
      <w:r w:rsidR="002B7AD6" w:rsidRPr="00FD7D7C">
        <w:t>000)</w:t>
      </w:r>
      <w:r w:rsidRPr="00FD7D7C">
        <w:t xml:space="preserve"> </w:t>
      </w:r>
      <w:r w:rsidR="00306244" w:rsidRPr="00FD7D7C">
        <w:t xml:space="preserve">the ability to effectively target </w:t>
      </w:r>
      <w:proofErr w:type="spellStart"/>
      <w:r w:rsidR="00306244" w:rsidRPr="00FD7D7C">
        <w:rPr>
          <w:i/>
        </w:rPr>
        <w:t>DP</w:t>
      </w:r>
      <w:r w:rsidR="0049768F" w:rsidRPr="00FD7D7C">
        <w:rPr>
          <w:i/>
          <w:vertAlign w:val="subscript"/>
        </w:rPr>
        <w:t>n</w:t>
      </w:r>
      <w:proofErr w:type="spellEnd"/>
      <w:r w:rsidR="00306244" w:rsidRPr="00FD7D7C">
        <w:t xml:space="preserve"> was somewhat lost</w:t>
      </w:r>
      <w:r w:rsidRPr="00FD7D7C">
        <w:t xml:space="preserve">, see Figure 2. </w:t>
      </w:r>
      <w:r w:rsidR="005C04A9" w:rsidRPr="00FD7D7C">
        <w:t>Presumably</w:t>
      </w:r>
      <w:r w:rsidR="002B7AD6" w:rsidRPr="00FD7D7C">
        <w:t>,</w:t>
      </w:r>
      <w:r w:rsidR="005C04A9" w:rsidRPr="00FD7D7C">
        <w:t xml:space="preserve"> t</w:t>
      </w:r>
      <w:r w:rsidRPr="00FD7D7C">
        <w:t>his was because the increased chain length affect</w:t>
      </w:r>
      <w:r w:rsidR="00306244" w:rsidRPr="00FD7D7C">
        <w:t>ed</w:t>
      </w:r>
      <w:r w:rsidRPr="00FD7D7C">
        <w:t xml:space="preserve"> the ability of the polymer chains to diffuse through the reaction medium, causing loss of chain end functionality which limit</w:t>
      </w:r>
      <w:r w:rsidR="00306244" w:rsidRPr="00FD7D7C">
        <w:t>ed</w:t>
      </w:r>
      <w:r w:rsidRPr="00FD7D7C">
        <w:t xml:space="preserve"> the polymer chains ability to grow. This also resulted in a </w:t>
      </w:r>
      <w:r w:rsidR="00DB477A" w:rsidRPr="00FD7D7C">
        <w:t xml:space="preserve">higher </w:t>
      </w:r>
      <w:r w:rsidR="00074797" w:rsidRPr="00FD7D7C">
        <w:t>disp</w:t>
      </w:r>
      <w:r w:rsidR="00992BDD" w:rsidRPr="00FD7D7C">
        <w:t>e</w:t>
      </w:r>
      <w:r w:rsidR="00074797" w:rsidRPr="00FD7D7C">
        <w:t>r</w:t>
      </w:r>
      <w:r w:rsidR="00992BDD" w:rsidRPr="00FD7D7C">
        <w:t>s</w:t>
      </w:r>
      <w:r w:rsidR="00074797" w:rsidRPr="00FD7D7C">
        <w:t xml:space="preserve">ity </w:t>
      </w:r>
      <w:r w:rsidRPr="00FD7D7C">
        <w:t>value as a greater distribution. However,</w:t>
      </w:r>
      <w:r w:rsidR="00633A36" w:rsidRPr="00FD7D7C">
        <w:t xml:space="preserve"> when compared to a free radical polymerization </w:t>
      </w:r>
      <w:r w:rsidR="00306244" w:rsidRPr="00FD7D7C">
        <w:t xml:space="preserve">(i.e. </w:t>
      </w:r>
      <w:r w:rsidR="00633A36" w:rsidRPr="00FD7D7C">
        <w:t>in the absence of CTA</w:t>
      </w:r>
      <w:r w:rsidR="00306244" w:rsidRPr="00FD7D7C">
        <w:t xml:space="preserve">) </w:t>
      </w:r>
      <w:r w:rsidR="00D2572F" w:rsidRPr="00FD7D7C">
        <w:t>which produced a</w:t>
      </w:r>
      <w:r w:rsidR="00306244" w:rsidRPr="00FD7D7C">
        <w:t xml:space="preserve"> polymer with</w:t>
      </w:r>
      <w:r w:rsidR="006F6716" w:rsidRPr="00FD7D7C">
        <w:t xml:space="preserve"> a </w:t>
      </w:r>
      <w:r w:rsidR="00306244" w:rsidRPr="00FD7D7C">
        <w:t>d</w:t>
      </w:r>
      <w:r w:rsidR="006F6716" w:rsidRPr="00FD7D7C">
        <w:t>ispersity of 4.18</w:t>
      </w:r>
      <w:r w:rsidR="00633A36" w:rsidRPr="00FD7D7C">
        <w:t xml:space="preserve"> (Table 1 entry 25)</w:t>
      </w:r>
      <w:proofErr w:type="gramStart"/>
      <w:r w:rsidR="00306244" w:rsidRPr="00FD7D7C">
        <w:t>,</w:t>
      </w:r>
      <w:proofErr w:type="gramEnd"/>
      <w:r w:rsidRPr="00FD7D7C">
        <w:t xml:space="preserve"> </w:t>
      </w:r>
      <w:r w:rsidR="00633A36" w:rsidRPr="00FD7D7C">
        <w:t xml:space="preserve">the </w:t>
      </w:r>
      <w:r w:rsidR="006F6716" w:rsidRPr="00FD7D7C">
        <w:t xml:space="preserve">use of very low amounts of CTA offers </w:t>
      </w:r>
      <w:r w:rsidRPr="00FD7D7C">
        <w:t xml:space="preserve">narrower </w:t>
      </w:r>
      <w:r w:rsidRPr="00FD7D7C">
        <w:lastRenderedPageBreak/>
        <w:t>distribution</w:t>
      </w:r>
      <w:r w:rsidR="006F6716" w:rsidRPr="00FD7D7C">
        <w:t>s</w:t>
      </w:r>
      <w:r w:rsidRPr="00FD7D7C">
        <w:t xml:space="preserve"> </w:t>
      </w:r>
      <w:r w:rsidR="006F6716" w:rsidRPr="00FD7D7C">
        <w:t>and some control of MW (</w:t>
      </w:r>
      <w:r w:rsidRPr="00FD7D7C">
        <w:t>Figure S</w:t>
      </w:r>
      <w:r w:rsidR="002B7AD6" w:rsidRPr="00FD7D7C">
        <w:t>6</w:t>
      </w:r>
      <w:r w:rsidR="006F6716" w:rsidRPr="00FD7D7C">
        <w:t>)</w:t>
      </w:r>
      <w:r w:rsidR="005C04A9" w:rsidRPr="00FD7D7C">
        <w:t>.</w:t>
      </w:r>
    </w:p>
    <w:p w14:paraId="5FC9410D" w14:textId="1B8D763F" w:rsidR="00217AD3" w:rsidRPr="00FD7D7C" w:rsidRDefault="00CB736E" w:rsidP="00997C2C">
      <w:pPr>
        <w:spacing w:line="240" w:lineRule="auto"/>
        <w:ind w:firstLine="720"/>
        <w:jc w:val="both"/>
      </w:pPr>
      <w:r w:rsidRPr="00FD7D7C">
        <w:t xml:space="preserve">In order to demonstrate the retention of </w:t>
      </w:r>
      <w:r w:rsidR="007429D0" w:rsidRPr="00FD7D7C">
        <w:t xml:space="preserve">xanthate </w:t>
      </w:r>
      <w:r w:rsidRPr="00FD7D7C">
        <w:t xml:space="preserve">chain end functionality during the MADIX polymerizations in ethyl acetate, </w:t>
      </w:r>
      <w:proofErr w:type="spellStart"/>
      <w:r w:rsidR="0028763A" w:rsidRPr="00FD7D7C">
        <w:t>PVAc</w:t>
      </w:r>
      <w:proofErr w:type="spellEnd"/>
      <w:r w:rsidR="0028763A" w:rsidRPr="00FD7D7C">
        <w:t xml:space="preserve"> </w:t>
      </w:r>
      <w:r w:rsidR="007429D0" w:rsidRPr="00FD7D7C">
        <w:t xml:space="preserve">macromonomers </w:t>
      </w:r>
      <w:r w:rsidRPr="00FD7D7C">
        <w:t>prepared with [M]</w:t>
      </w:r>
      <w:r w:rsidRPr="00FD7D7C">
        <w:rPr>
          <w:vertAlign w:val="subscript"/>
        </w:rPr>
        <w:t>0</w:t>
      </w:r>
      <w:r w:rsidRPr="00FD7D7C">
        <w:t>/[CTA]</w:t>
      </w:r>
      <w:r w:rsidRPr="00FD7D7C">
        <w:rPr>
          <w:vertAlign w:val="subscript"/>
        </w:rPr>
        <w:t>0</w:t>
      </w:r>
      <w:r w:rsidRPr="00FD7D7C">
        <w:t xml:space="preserve"> = 100 in ethyl acetate were chain extended with vinyl acetate monomer under reaction conditions [M]</w:t>
      </w:r>
      <w:r w:rsidRPr="00FD7D7C">
        <w:rPr>
          <w:vertAlign w:val="subscript"/>
        </w:rPr>
        <w:t>0</w:t>
      </w:r>
      <w:r w:rsidRPr="00FD7D7C">
        <w:t>/[</w:t>
      </w:r>
      <w:proofErr w:type="spellStart"/>
      <w:r w:rsidRPr="00FD7D7C">
        <w:t>MacroCTA</w:t>
      </w:r>
      <w:proofErr w:type="spellEnd"/>
      <w:r w:rsidRPr="00FD7D7C">
        <w:t>]</w:t>
      </w:r>
      <w:r w:rsidRPr="00FD7D7C">
        <w:rPr>
          <w:vertAlign w:val="subscript"/>
        </w:rPr>
        <w:t>0</w:t>
      </w:r>
      <w:r w:rsidRPr="00FD7D7C">
        <w:t>/[AIBN]</w:t>
      </w:r>
      <w:r w:rsidRPr="00FD7D7C">
        <w:rPr>
          <w:vertAlign w:val="subscript"/>
        </w:rPr>
        <w:t>0</w:t>
      </w:r>
      <w:r w:rsidR="00306244" w:rsidRPr="00FD7D7C">
        <w:t xml:space="preserve"> </w:t>
      </w:r>
      <w:r w:rsidRPr="00FD7D7C">
        <w:t xml:space="preserve">= 300/1/0.2 or 1200/1/0.2. The SEC chromatograms from the </w:t>
      </w:r>
      <w:r w:rsidR="00012B41" w:rsidRPr="00FD7D7C">
        <w:t xml:space="preserve">RI detector </w:t>
      </w:r>
      <w:r w:rsidRPr="00FD7D7C">
        <w:t xml:space="preserve">corresponding to the macro-CTA and chain extended </w:t>
      </w:r>
      <w:r w:rsidR="0028763A" w:rsidRPr="00FD7D7C">
        <w:t>polymers are shown in Figure S</w:t>
      </w:r>
      <w:r w:rsidR="002B7AD6" w:rsidRPr="00FD7D7C">
        <w:t>7</w:t>
      </w:r>
      <w:r w:rsidRPr="00FD7D7C">
        <w:t>. The peak of the chain extended polymers shift</w:t>
      </w:r>
      <w:r w:rsidR="0028763A" w:rsidRPr="00FD7D7C">
        <w:t>ed</w:t>
      </w:r>
      <w:r w:rsidRPr="00FD7D7C">
        <w:t xml:space="preserve"> to earlier retention time corresponding to longer polymer chains, indicating that som</w:t>
      </w:r>
      <w:r w:rsidR="0028763A" w:rsidRPr="00FD7D7C">
        <w:t xml:space="preserve">e </w:t>
      </w:r>
      <w:proofErr w:type="spellStart"/>
      <w:r w:rsidR="0028763A" w:rsidRPr="00FD7D7C">
        <w:t>dithiocarbonate</w:t>
      </w:r>
      <w:proofErr w:type="spellEnd"/>
      <w:r w:rsidR="0028763A" w:rsidRPr="00FD7D7C">
        <w:t xml:space="preserve"> moiety remained</w:t>
      </w:r>
      <w:r w:rsidRPr="00FD7D7C">
        <w:t xml:space="preserve"> at the polymer chain end and c</w:t>
      </w:r>
      <w:r w:rsidR="0028763A" w:rsidRPr="00FD7D7C">
        <w:t>ould</w:t>
      </w:r>
      <w:r w:rsidRPr="00FD7D7C">
        <w:t xml:space="preserve"> further mediate the MADIX polymerizations</w:t>
      </w:r>
      <w:r w:rsidR="0028763A" w:rsidRPr="00FD7D7C">
        <w:t>.</w:t>
      </w:r>
      <w:r w:rsidRPr="00FD7D7C">
        <w:t xml:space="preserve"> It is important to note that the dispersity of chain extended products </w:t>
      </w:r>
      <w:r w:rsidR="00DB477A" w:rsidRPr="00FD7D7C">
        <w:t>increases</w:t>
      </w:r>
      <w:r w:rsidRPr="00FD7D7C">
        <w:t xml:space="preserve"> and some residual macro-CTA remains present in the chain extended product, indicating that there was </w:t>
      </w:r>
      <w:r w:rsidR="008439DF" w:rsidRPr="00FD7D7C">
        <w:t>incomplete</w:t>
      </w:r>
      <w:r w:rsidRPr="00FD7D7C">
        <w:t xml:space="preserve"> functionalization of the </w:t>
      </w:r>
      <w:proofErr w:type="gramStart"/>
      <w:r w:rsidRPr="00FD7D7C">
        <w:t>poly(</w:t>
      </w:r>
      <w:proofErr w:type="gramEnd"/>
      <w:r w:rsidRPr="00FD7D7C">
        <w:t xml:space="preserve">vinyl acetate) chains by the MADIX agent. </w:t>
      </w:r>
    </w:p>
    <w:p w14:paraId="46D17374" w14:textId="77777777" w:rsidR="009F3AFF" w:rsidRPr="00FD7D7C" w:rsidRDefault="008E074B" w:rsidP="00217AD3">
      <w:pPr>
        <w:spacing w:line="240" w:lineRule="auto"/>
        <w:ind w:firstLine="720"/>
        <w:jc w:val="both"/>
      </w:pPr>
      <w:r w:rsidRPr="00FD7D7C">
        <w:t>In conclusion, the MADIX polymerization of vinyl acetate</w:t>
      </w:r>
      <w:r w:rsidR="00306244" w:rsidRPr="00FD7D7C">
        <w:t xml:space="preserve"> in the green solvent ethyl acetate produced polymers with</w:t>
      </w:r>
      <w:r w:rsidRPr="00FD7D7C">
        <w:t xml:space="preserve"> </w:t>
      </w:r>
      <w:r w:rsidR="00306244" w:rsidRPr="00FD7D7C">
        <w:t xml:space="preserve">near </w:t>
      </w:r>
      <w:r w:rsidRPr="00FD7D7C">
        <w:t>complete monomer conversion</w:t>
      </w:r>
      <w:r w:rsidR="00306244" w:rsidRPr="00FD7D7C">
        <w:t>, high molecular weights and allowed targeting of molecular weight</w:t>
      </w:r>
      <w:r w:rsidRPr="00FD7D7C">
        <w:t>. The</w:t>
      </w:r>
      <w:r w:rsidR="009A6D5B" w:rsidRPr="00FD7D7C">
        <w:t xml:space="preserve"> facile</w:t>
      </w:r>
      <w:r w:rsidRPr="00FD7D7C">
        <w:t xml:space="preserve"> polymerization system allows for ideal control of molecular weight and distribution up to 30,000 g mol</w:t>
      </w:r>
      <w:r w:rsidRPr="00FD7D7C">
        <w:rPr>
          <w:vertAlign w:val="superscript"/>
        </w:rPr>
        <w:t>-1</w:t>
      </w:r>
      <w:r w:rsidRPr="00FD7D7C">
        <w:t xml:space="preserve"> and can be adapted to make </w:t>
      </w:r>
      <w:proofErr w:type="spellStart"/>
      <w:r w:rsidRPr="00FD7D7C">
        <w:t>PVAc</w:t>
      </w:r>
      <w:proofErr w:type="spellEnd"/>
      <w:r w:rsidRPr="00FD7D7C">
        <w:t xml:space="preserve"> up to 100,000 g mol</w:t>
      </w:r>
      <w:r w:rsidRPr="00FD7D7C">
        <w:rPr>
          <w:vertAlign w:val="superscript"/>
        </w:rPr>
        <w:t>-1</w:t>
      </w:r>
      <w:r w:rsidR="00D2572F" w:rsidRPr="00FD7D7C">
        <w:t>.</w:t>
      </w:r>
    </w:p>
    <w:p w14:paraId="6C46F9E9" w14:textId="77777777" w:rsidR="007C6D9E" w:rsidRPr="00FD7D7C" w:rsidRDefault="00A355DB" w:rsidP="002109C3">
      <w:pPr>
        <w:spacing w:line="240" w:lineRule="auto"/>
        <w:jc w:val="both"/>
        <w:rPr>
          <w:b/>
          <w:bCs/>
        </w:rPr>
      </w:pPr>
      <w:r w:rsidRPr="00FD7D7C">
        <w:rPr>
          <w:b/>
          <w:bCs/>
        </w:rPr>
        <w:t xml:space="preserve">EXPERIMENTAL </w:t>
      </w:r>
    </w:p>
    <w:p w14:paraId="79EE5880" w14:textId="77777777" w:rsidR="00A355DB" w:rsidRPr="00FD7D7C" w:rsidRDefault="00D65712" w:rsidP="002109C3">
      <w:pPr>
        <w:spacing w:line="240" w:lineRule="auto"/>
        <w:jc w:val="both"/>
      </w:pPr>
      <w:r w:rsidRPr="00FD7D7C">
        <w:t>For detailed procedural descriptions of the synthesis of the MADIX agent, MADIX polymerizations and characterization of products see the Supplementary Information.</w:t>
      </w:r>
    </w:p>
    <w:p w14:paraId="47C62641" w14:textId="77777777" w:rsidR="00631531" w:rsidRPr="00FD7D7C" w:rsidRDefault="00631531" w:rsidP="002109C3">
      <w:pPr>
        <w:spacing w:line="240" w:lineRule="auto"/>
        <w:jc w:val="both"/>
        <w:rPr>
          <w:b/>
          <w:bCs/>
        </w:rPr>
      </w:pPr>
      <w:r w:rsidRPr="00FD7D7C">
        <w:rPr>
          <w:b/>
          <w:bCs/>
        </w:rPr>
        <w:t>ACKNOWLEDGEMENTS</w:t>
      </w:r>
    </w:p>
    <w:p w14:paraId="17B659EB" w14:textId="77777777" w:rsidR="004D6806" w:rsidRPr="00FD7D7C" w:rsidRDefault="004D6806" w:rsidP="002109C3">
      <w:pPr>
        <w:spacing w:line="240" w:lineRule="auto"/>
        <w:jc w:val="both"/>
        <w:rPr>
          <w:bCs/>
        </w:rPr>
      </w:pPr>
      <w:r w:rsidRPr="00FD7D7C">
        <w:rPr>
          <w:rFonts w:asciiTheme="minorHAnsi" w:hAnsiTheme="minorHAnsi"/>
          <w:bCs/>
          <w:lang w:val="en-GB"/>
        </w:rPr>
        <w:t xml:space="preserve">We gratefully acknowledge financial support from the EPSRC (Grant Number </w:t>
      </w:r>
      <w:r w:rsidRPr="00FD7D7C">
        <w:rPr>
          <w:rFonts w:asciiTheme="minorHAnsi" w:hAnsiTheme="minorHAnsi"/>
          <w:bCs/>
        </w:rPr>
        <w:t>EP/L02635X/1</w:t>
      </w:r>
      <w:r w:rsidRPr="00FD7D7C">
        <w:rPr>
          <w:rFonts w:asciiTheme="minorHAnsi" w:hAnsiTheme="minorHAnsi"/>
          <w:bCs/>
          <w:lang w:val="en-GB"/>
        </w:rPr>
        <w:t xml:space="preserve"> </w:t>
      </w:r>
      <w:r w:rsidRPr="00FD7D7C">
        <w:rPr>
          <w:rFonts w:asciiTheme="minorHAnsi" w:hAnsiTheme="minorHAnsi"/>
          <w:bCs/>
          <w:lang w:val="en-GB"/>
        </w:rPr>
        <w:lastRenderedPageBreak/>
        <w:t>and EP/M01973X/1) and the Royal Society (RG140213).</w:t>
      </w:r>
      <w:r w:rsidR="002B232F" w:rsidRPr="00FD7D7C">
        <w:rPr>
          <w:bCs/>
        </w:rPr>
        <w:t xml:space="preserve"> </w:t>
      </w:r>
    </w:p>
    <w:p w14:paraId="49A438BA" w14:textId="77777777" w:rsidR="00631531" w:rsidRPr="00FD7D7C" w:rsidRDefault="00631531" w:rsidP="002109C3">
      <w:pPr>
        <w:spacing w:line="240" w:lineRule="auto"/>
        <w:jc w:val="both"/>
        <w:rPr>
          <w:b/>
          <w:bCs/>
        </w:rPr>
      </w:pPr>
      <w:r w:rsidRPr="00FD7D7C">
        <w:rPr>
          <w:b/>
          <w:bCs/>
        </w:rPr>
        <w:t>REFERENCES AND NOTES</w:t>
      </w:r>
    </w:p>
    <w:p w14:paraId="3C2125CA" w14:textId="77777777" w:rsidR="00A00280" w:rsidRPr="00FD7D7C" w:rsidRDefault="00A00280" w:rsidP="00A00280">
      <w:pPr>
        <w:pStyle w:val="ListParagraph"/>
        <w:numPr>
          <w:ilvl w:val="0"/>
          <w:numId w:val="3"/>
        </w:numPr>
        <w:spacing w:line="240" w:lineRule="auto"/>
        <w:jc w:val="both"/>
      </w:pPr>
      <w:r w:rsidRPr="00FD7D7C">
        <w:rPr>
          <w:lang w:val="fr-FR"/>
        </w:rPr>
        <w:t xml:space="preserve">J. Nicolas, Y. </w:t>
      </w:r>
      <w:proofErr w:type="spellStart"/>
      <w:r w:rsidRPr="00FD7D7C">
        <w:rPr>
          <w:lang w:val="fr-FR"/>
        </w:rPr>
        <w:t>Guillaneuf</w:t>
      </w:r>
      <w:proofErr w:type="spellEnd"/>
      <w:r w:rsidRPr="00FD7D7C">
        <w:rPr>
          <w:lang w:val="fr-FR"/>
        </w:rPr>
        <w:t xml:space="preserve">, C. </w:t>
      </w:r>
      <w:proofErr w:type="spellStart"/>
      <w:r w:rsidRPr="00FD7D7C">
        <w:rPr>
          <w:lang w:val="fr-FR"/>
        </w:rPr>
        <w:t>Lefay</w:t>
      </w:r>
      <w:proofErr w:type="spellEnd"/>
      <w:r w:rsidRPr="00FD7D7C">
        <w:rPr>
          <w:lang w:val="fr-FR"/>
        </w:rPr>
        <w:t xml:space="preserve">, D. Bertin, D. </w:t>
      </w:r>
      <w:proofErr w:type="spellStart"/>
      <w:r w:rsidRPr="00FD7D7C">
        <w:rPr>
          <w:lang w:val="fr-FR"/>
        </w:rPr>
        <w:t>Gigmes</w:t>
      </w:r>
      <w:proofErr w:type="spellEnd"/>
      <w:r w:rsidRPr="00FD7D7C">
        <w:rPr>
          <w:lang w:val="fr-FR"/>
        </w:rPr>
        <w:t xml:space="preserve">, B. </w:t>
      </w:r>
      <w:proofErr w:type="spellStart"/>
      <w:r w:rsidRPr="00FD7D7C">
        <w:rPr>
          <w:lang w:val="fr-FR"/>
        </w:rPr>
        <w:t>Charleux</w:t>
      </w:r>
      <w:proofErr w:type="spellEnd"/>
      <w:r w:rsidRPr="00FD7D7C">
        <w:rPr>
          <w:lang w:val="fr-FR"/>
        </w:rPr>
        <w:t xml:space="preserve">, </w:t>
      </w:r>
      <w:proofErr w:type="spellStart"/>
      <w:r w:rsidRPr="00FD7D7C">
        <w:rPr>
          <w:i/>
          <w:lang w:val="fr-FR"/>
        </w:rPr>
        <w:t>Progr</w:t>
      </w:r>
      <w:proofErr w:type="spellEnd"/>
      <w:r w:rsidRPr="00FD7D7C">
        <w:rPr>
          <w:i/>
          <w:lang w:val="fr-FR"/>
        </w:rPr>
        <w:t xml:space="preserve">. </w:t>
      </w:r>
      <w:proofErr w:type="spellStart"/>
      <w:r w:rsidRPr="00FD7D7C">
        <w:rPr>
          <w:i/>
        </w:rPr>
        <w:t>Polym</w:t>
      </w:r>
      <w:proofErr w:type="spellEnd"/>
      <w:r w:rsidRPr="00FD7D7C">
        <w:rPr>
          <w:i/>
        </w:rPr>
        <w:t xml:space="preserve">. Sci. </w:t>
      </w:r>
      <w:r w:rsidRPr="00FD7D7C">
        <w:rPr>
          <w:b/>
        </w:rPr>
        <w:t>2013</w:t>
      </w:r>
      <w:r w:rsidRPr="00FD7D7C">
        <w:t xml:space="preserve">, </w:t>
      </w:r>
      <w:r w:rsidRPr="00FD7D7C">
        <w:rPr>
          <w:i/>
        </w:rPr>
        <w:t>38</w:t>
      </w:r>
      <w:r w:rsidRPr="00FD7D7C">
        <w:t>, 63-235</w:t>
      </w:r>
    </w:p>
    <w:p w14:paraId="5EB397A3" w14:textId="77777777" w:rsidR="00A00280" w:rsidRPr="00FD7D7C" w:rsidRDefault="00A00280" w:rsidP="00A00280">
      <w:pPr>
        <w:pStyle w:val="ListParagraph"/>
        <w:numPr>
          <w:ilvl w:val="0"/>
          <w:numId w:val="3"/>
        </w:numPr>
        <w:spacing w:line="240" w:lineRule="auto"/>
        <w:jc w:val="both"/>
      </w:pPr>
      <w:r w:rsidRPr="00FD7D7C">
        <w:t xml:space="preserve">K. </w:t>
      </w:r>
      <w:proofErr w:type="spellStart"/>
      <w:r w:rsidRPr="00FD7D7C">
        <w:t>Matyjaszewski</w:t>
      </w:r>
      <w:proofErr w:type="spellEnd"/>
      <w:r w:rsidRPr="00FD7D7C">
        <w:t xml:space="preserve">, N.V. </w:t>
      </w:r>
      <w:proofErr w:type="spellStart"/>
      <w:r w:rsidRPr="00FD7D7C">
        <w:t>Tsarevsky</w:t>
      </w:r>
      <w:proofErr w:type="spellEnd"/>
      <w:r w:rsidRPr="00FD7D7C">
        <w:t xml:space="preserve">, </w:t>
      </w:r>
      <w:r w:rsidRPr="00FD7D7C">
        <w:rPr>
          <w:i/>
        </w:rPr>
        <w:t>J. Am. Chem. Soc.</w:t>
      </w:r>
      <w:r w:rsidRPr="00FD7D7C">
        <w:t xml:space="preserve"> </w:t>
      </w:r>
      <w:r w:rsidRPr="00FD7D7C">
        <w:rPr>
          <w:b/>
        </w:rPr>
        <w:t>2014</w:t>
      </w:r>
      <w:r w:rsidRPr="00FD7D7C">
        <w:t xml:space="preserve">, </w:t>
      </w:r>
      <w:r w:rsidRPr="00FD7D7C">
        <w:rPr>
          <w:i/>
        </w:rPr>
        <w:t>136</w:t>
      </w:r>
      <w:r w:rsidRPr="00FD7D7C">
        <w:t>, 6513-6533</w:t>
      </w:r>
    </w:p>
    <w:p w14:paraId="2ACD3F94" w14:textId="77777777" w:rsidR="00A00280" w:rsidRPr="00FD7D7C" w:rsidRDefault="00A00280" w:rsidP="00A00280">
      <w:pPr>
        <w:pStyle w:val="ListParagraph"/>
        <w:numPr>
          <w:ilvl w:val="0"/>
          <w:numId w:val="3"/>
        </w:numPr>
        <w:spacing w:line="240" w:lineRule="auto"/>
        <w:jc w:val="both"/>
      </w:pPr>
      <w:proofErr w:type="spellStart"/>
      <w:r w:rsidRPr="00FD7D7C">
        <w:t>W.Xu</w:t>
      </w:r>
      <w:proofErr w:type="spellEnd"/>
      <w:r w:rsidRPr="00FD7D7C">
        <w:t>, W. Zhang, W. Li, J. Yan, G. Shen, J. Li</w:t>
      </w:r>
      <w:r w:rsidRPr="00FD7D7C">
        <w:rPr>
          <w:i/>
        </w:rPr>
        <w:t xml:space="preserve">, J. Appl. </w:t>
      </w:r>
      <w:proofErr w:type="spellStart"/>
      <w:r w:rsidRPr="00FD7D7C">
        <w:rPr>
          <w:i/>
        </w:rPr>
        <w:t>Polym</w:t>
      </w:r>
      <w:proofErr w:type="spellEnd"/>
      <w:r w:rsidRPr="00FD7D7C">
        <w:rPr>
          <w:i/>
        </w:rPr>
        <w:t>. Sci.</w:t>
      </w:r>
      <w:r w:rsidRPr="00FD7D7C">
        <w:t xml:space="preserve"> </w:t>
      </w:r>
      <w:r w:rsidRPr="00FD7D7C">
        <w:rPr>
          <w:b/>
        </w:rPr>
        <w:t>2012</w:t>
      </w:r>
      <w:r w:rsidRPr="00FD7D7C">
        <w:t xml:space="preserve">, </w:t>
      </w:r>
      <w:r w:rsidRPr="00FD7D7C">
        <w:rPr>
          <w:i/>
        </w:rPr>
        <w:t>126</w:t>
      </w:r>
      <w:r w:rsidRPr="00FD7D7C">
        <w:t>, 104-109</w:t>
      </w:r>
    </w:p>
    <w:p w14:paraId="1F0CD1CE" w14:textId="77777777" w:rsidR="00A00280" w:rsidRPr="00FD7D7C" w:rsidRDefault="00A00280" w:rsidP="00A00280">
      <w:pPr>
        <w:pStyle w:val="ListParagraph"/>
        <w:numPr>
          <w:ilvl w:val="0"/>
          <w:numId w:val="3"/>
        </w:numPr>
        <w:spacing w:line="240" w:lineRule="auto"/>
        <w:jc w:val="both"/>
        <w:rPr>
          <w:lang w:val="fr-FR"/>
        </w:rPr>
      </w:pPr>
      <w:r w:rsidRPr="00FD7D7C">
        <w:t xml:space="preserve">S. Perrier, P. </w:t>
      </w:r>
      <w:proofErr w:type="spellStart"/>
      <w:r w:rsidRPr="00FD7D7C">
        <w:t>Tackolpuckdee</w:t>
      </w:r>
      <w:proofErr w:type="spellEnd"/>
      <w:r w:rsidRPr="00FD7D7C">
        <w:t xml:space="preserve">, </w:t>
      </w:r>
      <w:r w:rsidRPr="00FD7D7C">
        <w:rPr>
          <w:i/>
        </w:rPr>
        <w:t xml:space="preserve">J. </w:t>
      </w:r>
      <w:proofErr w:type="spellStart"/>
      <w:r w:rsidRPr="00FD7D7C">
        <w:rPr>
          <w:i/>
        </w:rPr>
        <w:t>Polym</w:t>
      </w:r>
      <w:proofErr w:type="spellEnd"/>
      <w:r w:rsidRPr="00FD7D7C">
        <w:rPr>
          <w:i/>
        </w:rPr>
        <w:t xml:space="preserve">. </w:t>
      </w:r>
      <w:proofErr w:type="spellStart"/>
      <w:r w:rsidRPr="00FD7D7C">
        <w:rPr>
          <w:i/>
          <w:lang w:val="fr-FR"/>
        </w:rPr>
        <w:t>Sci</w:t>
      </w:r>
      <w:proofErr w:type="spellEnd"/>
      <w:r w:rsidRPr="00FD7D7C">
        <w:rPr>
          <w:i/>
          <w:lang w:val="fr-FR"/>
        </w:rPr>
        <w:t xml:space="preserve">. Part A. </w:t>
      </w:r>
      <w:proofErr w:type="spellStart"/>
      <w:r w:rsidRPr="00FD7D7C">
        <w:rPr>
          <w:i/>
          <w:lang w:val="fr-FR"/>
        </w:rPr>
        <w:t>Polym</w:t>
      </w:r>
      <w:proofErr w:type="spellEnd"/>
      <w:r w:rsidRPr="00FD7D7C">
        <w:rPr>
          <w:i/>
          <w:lang w:val="fr-FR"/>
        </w:rPr>
        <w:t xml:space="preserve">. </w:t>
      </w:r>
      <w:proofErr w:type="spellStart"/>
      <w:r w:rsidRPr="00FD7D7C">
        <w:rPr>
          <w:i/>
          <w:lang w:val="fr-FR"/>
        </w:rPr>
        <w:t>Chem</w:t>
      </w:r>
      <w:proofErr w:type="spellEnd"/>
      <w:r w:rsidRPr="00FD7D7C">
        <w:rPr>
          <w:i/>
          <w:lang w:val="fr-FR"/>
        </w:rPr>
        <w:t xml:space="preserve">. </w:t>
      </w:r>
      <w:r w:rsidRPr="00FD7D7C">
        <w:rPr>
          <w:b/>
          <w:lang w:val="fr-FR"/>
        </w:rPr>
        <w:t>2005</w:t>
      </w:r>
      <w:r w:rsidRPr="00FD7D7C">
        <w:rPr>
          <w:lang w:val="fr-FR"/>
        </w:rPr>
        <w:t xml:space="preserve">, </w:t>
      </w:r>
      <w:r w:rsidRPr="00FD7D7C">
        <w:rPr>
          <w:i/>
          <w:lang w:val="fr-FR"/>
        </w:rPr>
        <w:t>43</w:t>
      </w:r>
      <w:r w:rsidRPr="00FD7D7C">
        <w:rPr>
          <w:lang w:val="fr-FR"/>
        </w:rPr>
        <w:t>, 5347-5393</w:t>
      </w:r>
    </w:p>
    <w:p w14:paraId="49D998C9" w14:textId="77777777" w:rsidR="00A00280" w:rsidRPr="00FD7D7C" w:rsidRDefault="00A00280" w:rsidP="00A00280">
      <w:pPr>
        <w:pStyle w:val="ListParagraph"/>
        <w:numPr>
          <w:ilvl w:val="0"/>
          <w:numId w:val="3"/>
        </w:numPr>
        <w:spacing w:line="240" w:lineRule="auto"/>
        <w:jc w:val="both"/>
      </w:pPr>
      <w:r w:rsidRPr="00FD7D7C">
        <w:t xml:space="preserve">G. </w:t>
      </w:r>
      <w:proofErr w:type="spellStart"/>
      <w:r w:rsidRPr="00FD7D7C">
        <w:t>Moad</w:t>
      </w:r>
      <w:proofErr w:type="spellEnd"/>
      <w:r w:rsidRPr="00FD7D7C">
        <w:t xml:space="preserve">, E. </w:t>
      </w:r>
      <w:proofErr w:type="spellStart"/>
      <w:r w:rsidRPr="00FD7D7C">
        <w:t>Rizzardo</w:t>
      </w:r>
      <w:proofErr w:type="spellEnd"/>
      <w:r w:rsidRPr="00FD7D7C">
        <w:t xml:space="preserve">. S.H. </w:t>
      </w:r>
      <w:proofErr w:type="spellStart"/>
      <w:r w:rsidRPr="00FD7D7C">
        <w:t>Thang</w:t>
      </w:r>
      <w:proofErr w:type="spellEnd"/>
      <w:r w:rsidRPr="00FD7D7C">
        <w:t xml:space="preserve">, </w:t>
      </w:r>
      <w:r w:rsidRPr="00FD7D7C">
        <w:rPr>
          <w:i/>
        </w:rPr>
        <w:t>Aust. J. Chem</w:t>
      </w:r>
      <w:r w:rsidRPr="00FD7D7C">
        <w:t xml:space="preserve">. </w:t>
      </w:r>
      <w:r w:rsidRPr="00FD7D7C">
        <w:rPr>
          <w:b/>
        </w:rPr>
        <w:t>2005</w:t>
      </w:r>
      <w:r w:rsidRPr="00FD7D7C">
        <w:t xml:space="preserve">, </w:t>
      </w:r>
      <w:r w:rsidRPr="00FD7D7C">
        <w:rPr>
          <w:i/>
        </w:rPr>
        <w:t>58</w:t>
      </w:r>
      <w:r w:rsidRPr="00FD7D7C">
        <w:t>, 379-410</w:t>
      </w:r>
    </w:p>
    <w:p w14:paraId="3BC745C4" w14:textId="77777777" w:rsidR="00A00280" w:rsidRPr="00FD7D7C" w:rsidRDefault="00A00280" w:rsidP="00A00280">
      <w:pPr>
        <w:pStyle w:val="ListParagraph"/>
        <w:numPr>
          <w:ilvl w:val="0"/>
          <w:numId w:val="3"/>
        </w:numPr>
        <w:spacing w:line="240" w:lineRule="auto"/>
        <w:jc w:val="both"/>
      </w:pPr>
      <w:r w:rsidRPr="00FD7D7C">
        <w:t xml:space="preserve">G. </w:t>
      </w:r>
      <w:proofErr w:type="spellStart"/>
      <w:r w:rsidRPr="00FD7D7C">
        <w:t>Moad</w:t>
      </w:r>
      <w:proofErr w:type="spellEnd"/>
      <w:r w:rsidRPr="00FD7D7C">
        <w:t xml:space="preserve">, E. </w:t>
      </w:r>
      <w:proofErr w:type="spellStart"/>
      <w:r w:rsidRPr="00FD7D7C">
        <w:t>Rizzardo</w:t>
      </w:r>
      <w:proofErr w:type="spellEnd"/>
      <w:r w:rsidRPr="00FD7D7C">
        <w:t xml:space="preserve">. S.H. </w:t>
      </w:r>
      <w:proofErr w:type="spellStart"/>
      <w:r w:rsidRPr="00FD7D7C">
        <w:t>Thang</w:t>
      </w:r>
      <w:proofErr w:type="spellEnd"/>
      <w:r w:rsidRPr="00FD7D7C">
        <w:t xml:space="preserve">, </w:t>
      </w:r>
      <w:r w:rsidRPr="00FD7D7C">
        <w:rPr>
          <w:i/>
        </w:rPr>
        <w:t>Aust. J. Chem</w:t>
      </w:r>
      <w:r w:rsidRPr="00FD7D7C">
        <w:t xml:space="preserve">. </w:t>
      </w:r>
      <w:r w:rsidRPr="00FD7D7C">
        <w:rPr>
          <w:b/>
        </w:rPr>
        <w:t>2006</w:t>
      </w:r>
      <w:r w:rsidRPr="00FD7D7C">
        <w:t xml:space="preserve">, </w:t>
      </w:r>
      <w:r w:rsidRPr="00FD7D7C">
        <w:rPr>
          <w:i/>
        </w:rPr>
        <w:t>59</w:t>
      </w:r>
      <w:r w:rsidRPr="00FD7D7C">
        <w:t>, 669-692</w:t>
      </w:r>
    </w:p>
    <w:p w14:paraId="66CC3582" w14:textId="77777777" w:rsidR="00A00280" w:rsidRPr="00FD7D7C" w:rsidRDefault="00A00280" w:rsidP="00A00280">
      <w:pPr>
        <w:pStyle w:val="ListParagraph"/>
        <w:numPr>
          <w:ilvl w:val="0"/>
          <w:numId w:val="3"/>
        </w:numPr>
        <w:spacing w:line="240" w:lineRule="auto"/>
        <w:jc w:val="both"/>
      </w:pPr>
      <w:r w:rsidRPr="00FD7D7C">
        <w:t xml:space="preserve">G. </w:t>
      </w:r>
      <w:proofErr w:type="spellStart"/>
      <w:r w:rsidRPr="00FD7D7C">
        <w:t>Moad</w:t>
      </w:r>
      <w:proofErr w:type="spellEnd"/>
      <w:r w:rsidRPr="00FD7D7C">
        <w:t xml:space="preserve">, E. </w:t>
      </w:r>
      <w:proofErr w:type="spellStart"/>
      <w:r w:rsidRPr="00FD7D7C">
        <w:t>Rizzardo</w:t>
      </w:r>
      <w:proofErr w:type="spellEnd"/>
      <w:r w:rsidRPr="00FD7D7C">
        <w:t xml:space="preserve">. S.H. </w:t>
      </w:r>
      <w:proofErr w:type="spellStart"/>
      <w:r w:rsidRPr="00FD7D7C">
        <w:t>Thang</w:t>
      </w:r>
      <w:proofErr w:type="spellEnd"/>
      <w:r w:rsidRPr="00FD7D7C">
        <w:rPr>
          <w:i/>
        </w:rPr>
        <w:t>, Aust. J. Chem</w:t>
      </w:r>
      <w:r w:rsidRPr="00FD7D7C">
        <w:t xml:space="preserve">. </w:t>
      </w:r>
      <w:r w:rsidRPr="00FD7D7C">
        <w:rPr>
          <w:b/>
        </w:rPr>
        <w:t>2009</w:t>
      </w:r>
      <w:r w:rsidRPr="00FD7D7C">
        <w:t xml:space="preserve">, </w:t>
      </w:r>
      <w:r w:rsidRPr="00FD7D7C">
        <w:rPr>
          <w:i/>
        </w:rPr>
        <w:t>62</w:t>
      </w:r>
      <w:r w:rsidRPr="00FD7D7C">
        <w:t>, 1402-1472</w:t>
      </w:r>
    </w:p>
    <w:p w14:paraId="432DBD1A" w14:textId="77777777" w:rsidR="00A00280" w:rsidRPr="00FD7D7C" w:rsidRDefault="00A00280" w:rsidP="00A00280">
      <w:pPr>
        <w:pStyle w:val="ListParagraph"/>
        <w:numPr>
          <w:ilvl w:val="0"/>
          <w:numId w:val="3"/>
        </w:numPr>
        <w:spacing w:line="240" w:lineRule="auto"/>
        <w:jc w:val="both"/>
      </w:pPr>
      <w:r w:rsidRPr="00FD7D7C">
        <w:t xml:space="preserve">G. </w:t>
      </w:r>
      <w:proofErr w:type="spellStart"/>
      <w:r w:rsidRPr="00FD7D7C">
        <w:t>Moad</w:t>
      </w:r>
      <w:proofErr w:type="spellEnd"/>
      <w:r w:rsidRPr="00FD7D7C">
        <w:t xml:space="preserve">, E. </w:t>
      </w:r>
      <w:proofErr w:type="spellStart"/>
      <w:r w:rsidRPr="00FD7D7C">
        <w:t>Rizzardo</w:t>
      </w:r>
      <w:proofErr w:type="spellEnd"/>
      <w:r w:rsidRPr="00FD7D7C">
        <w:t xml:space="preserve">. S.H. </w:t>
      </w:r>
      <w:proofErr w:type="spellStart"/>
      <w:r w:rsidRPr="00FD7D7C">
        <w:t>Thang</w:t>
      </w:r>
      <w:proofErr w:type="spellEnd"/>
      <w:r w:rsidRPr="00FD7D7C">
        <w:t xml:space="preserve">, </w:t>
      </w:r>
      <w:r w:rsidRPr="00FD7D7C">
        <w:rPr>
          <w:i/>
        </w:rPr>
        <w:t>Aust. J. Chem</w:t>
      </w:r>
      <w:r w:rsidRPr="00FD7D7C">
        <w:t xml:space="preserve">. </w:t>
      </w:r>
      <w:r w:rsidRPr="00FD7D7C">
        <w:rPr>
          <w:b/>
        </w:rPr>
        <w:t>2012</w:t>
      </w:r>
      <w:r w:rsidRPr="00FD7D7C">
        <w:t xml:space="preserve">, </w:t>
      </w:r>
      <w:r w:rsidRPr="00FD7D7C">
        <w:rPr>
          <w:i/>
        </w:rPr>
        <w:t>65</w:t>
      </w:r>
      <w:r w:rsidRPr="00FD7D7C">
        <w:t>, 985-1076</w:t>
      </w:r>
    </w:p>
    <w:p w14:paraId="4CBC7878" w14:textId="77777777" w:rsidR="00A00280" w:rsidRPr="00FD7D7C" w:rsidRDefault="00A00280" w:rsidP="00A0028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Cs w:val="22"/>
        </w:rPr>
      </w:pPr>
      <w:r w:rsidRPr="00FD7D7C">
        <w:rPr>
          <w:rFonts w:asciiTheme="minorHAnsi" w:hAnsiTheme="minorHAnsi" w:cs="Arial"/>
          <w:color w:val="000000"/>
          <w:szCs w:val="22"/>
          <w:shd w:val="clear" w:color="auto" w:fill="FFFFFF"/>
        </w:rPr>
        <w:t xml:space="preserve">C.F </w:t>
      </w:r>
      <w:proofErr w:type="spellStart"/>
      <w:r w:rsidRPr="00FD7D7C">
        <w:rPr>
          <w:rFonts w:asciiTheme="minorHAnsi" w:hAnsiTheme="minorHAnsi" w:cs="Arial"/>
          <w:color w:val="000000"/>
          <w:szCs w:val="22"/>
          <w:shd w:val="clear" w:color="auto" w:fill="FFFFFF"/>
        </w:rPr>
        <w:t>Cordeiro</w:t>
      </w:r>
      <w:proofErr w:type="spellEnd"/>
      <w:r w:rsidRPr="00FD7D7C">
        <w:rPr>
          <w:rFonts w:asciiTheme="minorHAnsi" w:hAnsiTheme="minorHAnsi" w:cs="Arial"/>
          <w:color w:val="000000"/>
          <w:szCs w:val="22"/>
          <w:shd w:val="clear" w:color="auto" w:fill="FFFFFF"/>
        </w:rPr>
        <w:t xml:space="preserve">, F.P </w:t>
      </w:r>
      <w:proofErr w:type="spellStart"/>
      <w:r w:rsidRPr="00FD7D7C">
        <w:rPr>
          <w:rFonts w:asciiTheme="minorHAnsi" w:hAnsiTheme="minorHAnsi" w:cs="Arial"/>
          <w:color w:val="000000"/>
          <w:szCs w:val="22"/>
          <w:shd w:val="clear" w:color="auto" w:fill="FFFFFF"/>
        </w:rPr>
        <w:t>Petrocelli</w:t>
      </w:r>
      <w:proofErr w:type="spellEnd"/>
      <w:r w:rsidRPr="00FD7D7C">
        <w:rPr>
          <w:rFonts w:asciiTheme="minorHAnsi" w:hAnsiTheme="minorHAnsi" w:cs="Arial"/>
          <w:color w:val="000000"/>
          <w:szCs w:val="22"/>
          <w:shd w:val="clear" w:color="auto" w:fill="FFFFFF"/>
        </w:rPr>
        <w:t xml:space="preserve">, </w:t>
      </w:r>
      <w:r w:rsidRPr="00FD7D7C"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2004</w:t>
      </w:r>
      <w:r w:rsidRPr="00FD7D7C">
        <w:rPr>
          <w:rFonts w:asciiTheme="minorHAnsi" w:hAnsiTheme="minorHAnsi" w:cs="Arial"/>
          <w:color w:val="000000"/>
          <w:szCs w:val="22"/>
          <w:shd w:val="clear" w:color="auto" w:fill="FFFFFF"/>
        </w:rPr>
        <w:t>. Vinyl Acetate Polymers. Encyclopedia of Polymer Science and Technology.</w:t>
      </w:r>
    </w:p>
    <w:p w14:paraId="75666E41" w14:textId="77777777" w:rsidR="00A00280" w:rsidRPr="00FD7D7C" w:rsidRDefault="00A00280" w:rsidP="00A0028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Cs w:val="22"/>
        </w:rPr>
      </w:pPr>
      <w:r w:rsidRPr="00FD7D7C">
        <w:rPr>
          <w:rStyle w:val="apple-converted-space"/>
          <w:rFonts w:asciiTheme="minorHAnsi" w:hAnsiTheme="minorHAnsi" w:cs="Arial"/>
          <w:color w:val="000000"/>
          <w:szCs w:val="22"/>
          <w:shd w:val="clear" w:color="auto" w:fill="FFFFFF"/>
        </w:rPr>
        <w:t xml:space="preserve">Y. Guan, J. Li, L. Shao, F .Wang, D. Dong, Y. Wang, </w:t>
      </w:r>
      <w:proofErr w:type="spellStart"/>
      <w:r w:rsidRPr="00FD7D7C">
        <w:rPr>
          <w:rStyle w:val="apple-converted-space"/>
          <w:rFonts w:asciiTheme="minorHAnsi" w:hAnsiTheme="minorHAnsi" w:cs="Arial"/>
          <w:i/>
          <w:color w:val="000000"/>
          <w:szCs w:val="22"/>
          <w:shd w:val="clear" w:color="auto" w:fill="FFFFFF"/>
        </w:rPr>
        <w:t>Polym</w:t>
      </w:r>
      <w:proofErr w:type="spellEnd"/>
      <w:r w:rsidRPr="00FD7D7C">
        <w:rPr>
          <w:rStyle w:val="apple-converted-space"/>
          <w:rFonts w:asciiTheme="minorHAnsi" w:hAnsiTheme="minorHAnsi" w:cs="Arial"/>
          <w:i/>
          <w:color w:val="000000"/>
          <w:szCs w:val="22"/>
          <w:shd w:val="clear" w:color="auto" w:fill="FFFFFF"/>
        </w:rPr>
        <w:t>. Int.</w:t>
      </w:r>
      <w:r w:rsidRPr="00FD7D7C">
        <w:rPr>
          <w:rStyle w:val="apple-converted-space"/>
          <w:rFonts w:asciiTheme="minorHAnsi" w:hAnsiTheme="minorHAnsi" w:cs="Arial"/>
          <w:color w:val="000000"/>
          <w:szCs w:val="22"/>
          <w:shd w:val="clear" w:color="auto" w:fill="FFFFFF"/>
        </w:rPr>
        <w:t xml:space="preserve"> </w:t>
      </w:r>
      <w:r w:rsidRPr="00FD7D7C">
        <w:rPr>
          <w:rStyle w:val="apple-converted-space"/>
          <w:rFonts w:asciiTheme="minorHAnsi" w:hAnsiTheme="minorHAnsi" w:cs="Arial"/>
          <w:b/>
          <w:color w:val="000000"/>
          <w:szCs w:val="22"/>
          <w:shd w:val="clear" w:color="auto" w:fill="FFFFFF"/>
        </w:rPr>
        <w:t>2016,</w:t>
      </w:r>
      <w:r w:rsidRPr="00FD7D7C">
        <w:rPr>
          <w:rStyle w:val="apple-converted-space"/>
          <w:rFonts w:asciiTheme="minorHAnsi" w:hAnsiTheme="minorHAnsi" w:cs="Arial"/>
          <w:color w:val="000000"/>
          <w:szCs w:val="22"/>
          <w:shd w:val="clear" w:color="auto" w:fill="FFFFFF"/>
        </w:rPr>
        <w:t xml:space="preserve"> </w:t>
      </w:r>
      <w:r w:rsidRPr="00FD7D7C">
        <w:t>65, 12, 1382-1386</w:t>
      </w:r>
    </w:p>
    <w:p w14:paraId="75A0AB92" w14:textId="77777777" w:rsidR="00A00280" w:rsidRPr="00FD7D7C" w:rsidRDefault="00A00280" w:rsidP="00A00280">
      <w:pPr>
        <w:pStyle w:val="ListParagraph"/>
        <w:numPr>
          <w:ilvl w:val="0"/>
          <w:numId w:val="3"/>
        </w:numPr>
        <w:spacing w:line="240" w:lineRule="auto"/>
        <w:jc w:val="both"/>
        <w:rPr>
          <w:rStyle w:val="apple-converted-space"/>
          <w:rFonts w:asciiTheme="minorHAnsi" w:hAnsiTheme="minorHAnsi"/>
          <w:szCs w:val="22"/>
        </w:rPr>
      </w:pPr>
      <w:r w:rsidRPr="00FD7D7C">
        <w:rPr>
          <w:rFonts w:cs="Times New Roman"/>
          <w:noProof/>
          <w:szCs w:val="24"/>
        </w:rPr>
        <w:t xml:space="preserve">M. H. Alves, B. E. B. Jensen, A. A. A. Smith and A. N. Zelikin, </w:t>
      </w:r>
      <w:r w:rsidRPr="00FD7D7C">
        <w:rPr>
          <w:rFonts w:cs="Times New Roman"/>
          <w:i/>
          <w:iCs/>
          <w:noProof/>
          <w:szCs w:val="24"/>
        </w:rPr>
        <w:t>Macromol. Biosci.</w:t>
      </w:r>
      <w:r w:rsidRPr="00FD7D7C">
        <w:rPr>
          <w:rFonts w:cs="Times New Roman"/>
          <w:noProof/>
          <w:szCs w:val="24"/>
        </w:rPr>
        <w:t xml:space="preserve">, 2011, </w:t>
      </w:r>
      <w:r w:rsidRPr="00FD7D7C">
        <w:rPr>
          <w:rFonts w:cs="Times New Roman"/>
          <w:b/>
          <w:bCs/>
          <w:noProof/>
          <w:szCs w:val="24"/>
        </w:rPr>
        <w:t>11</w:t>
      </w:r>
      <w:r w:rsidRPr="00FD7D7C">
        <w:rPr>
          <w:rFonts w:cs="Times New Roman"/>
          <w:noProof/>
          <w:szCs w:val="24"/>
        </w:rPr>
        <w:t>, 1293–1313.</w:t>
      </w:r>
    </w:p>
    <w:p w14:paraId="2FE2F8E6" w14:textId="77777777" w:rsidR="00A00280" w:rsidRPr="00FD7D7C" w:rsidRDefault="00A00280" w:rsidP="00A00280">
      <w:pPr>
        <w:pStyle w:val="ListParagraph"/>
        <w:numPr>
          <w:ilvl w:val="0"/>
          <w:numId w:val="3"/>
        </w:numPr>
        <w:spacing w:line="240" w:lineRule="auto"/>
        <w:jc w:val="both"/>
        <w:rPr>
          <w:rStyle w:val="apple-converted-space"/>
          <w:rFonts w:asciiTheme="minorHAnsi" w:hAnsiTheme="minorHAnsi"/>
          <w:szCs w:val="22"/>
        </w:rPr>
      </w:pPr>
      <w:r w:rsidRPr="00FD7D7C">
        <w:rPr>
          <w:rStyle w:val="apple-converted-space"/>
          <w:rFonts w:asciiTheme="minorHAnsi" w:hAnsiTheme="minorHAnsi" w:cs="Arial"/>
          <w:color w:val="000000"/>
          <w:szCs w:val="22"/>
          <w:shd w:val="clear" w:color="auto" w:fill="FFFFFF"/>
        </w:rPr>
        <w:t xml:space="preserve">N. Ben Halima, </w:t>
      </w:r>
      <w:r w:rsidRPr="00FD7D7C">
        <w:rPr>
          <w:rStyle w:val="apple-converted-space"/>
          <w:rFonts w:asciiTheme="minorHAnsi" w:hAnsiTheme="minorHAnsi" w:cs="Arial"/>
          <w:i/>
          <w:color w:val="000000"/>
          <w:szCs w:val="22"/>
          <w:shd w:val="clear" w:color="auto" w:fill="FFFFFF"/>
        </w:rPr>
        <w:t xml:space="preserve">RSC Adv. </w:t>
      </w:r>
      <w:r w:rsidRPr="00FD7D7C">
        <w:rPr>
          <w:rStyle w:val="apple-converted-space"/>
          <w:rFonts w:asciiTheme="minorHAnsi" w:hAnsiTheme="minorHAnsi" w:cs="Arial"/>
          <w:b/>
          <w:color w:val="000000"/>
          <w:szCs w:val="22"/>
          <w:shd w:val="clear" w:color="auto" w:fill="FFFFFF"/>
        </w:rPr>
        <w:t xml:space="preserve">2016, </w:t>
      </w:r>
      <w:r w:rsidRPr="00FD7D7C">
        <w:rPr>
          <w:rStyle w:val="apple-converted-space"/>
          <w:rFonts w:asciiTheme="minorHAnsi" w:hAnsiTheme="minorHAnsi" w:cs="Arial"/>
          <w:i/>
          <w:color w:val="000000"/>
          <w:szCs w:val="22"/>
          <w:shd w:val="clear" w:color="auto" w:fill="FFFFFF"/>
        </w:rPr>
        <w:t xml:space="preserve">6, </w:t>
      </w:r>
      <w:r w:rsidRPr="00FD7D7C">
        <w:rPr>
          <w:rStyle w:val="apple-converted-space"/>
          <w:rFonts w:asciiTheme="minorHAnsi" w:hAnsiTheme="minorHAnsi" w:cs="Arial"/>
          <w:color w:val="000000"/>
          <w:szCs w:val="22"/>
          <w:shd w:val="clear" w:color="auto" w:fill="FFFFFF"/>
        </w:rPr>
        <w:t>39823-39832</w:t>
      </w:r>
    </w:p>
    <w:p w14:paraId="317368F2" w14:textId="77777777" w:rsidR="00A00280" w:rsidRPr="00FD7D7C" w:rsidRDefault="00A00280" w:rsidP="00A00280">
      <w:pPr>
        <w:pStyle w:val="ListParagraph"/>
        <w:numPr>
          <w:ilvl w:val="0"/>
          <w:numId w:val="3"/>
        </w:numPr>
        <w:spacing w:line="240" w:lineRule="auto"/>
        <w:jc w:val="both"/>
        <w:rPr>
          <w:rStyle w:val="apple-converted-space"/>
          <w:rFonts w:asciiTheme="minorHAnsi" w:hAnsiTheme="minorHAnsi"/>
          <w:szCs w:val="22"/>
        </w:rPr>
      </w:pPr>
      <w:r w:rsidRPr="00FD7D7C">
        <w:rPr>
          <w:rStyle w:val="apple-converted-space"/>
          <w:rFonts w:asciiTheme="minorHAnsi" w:hAnsiTheme="minorHAnsi" w:cs="Arial"/>
          <w:color w:val="000000"/>
          <w:szCs w:val="22"/>
          <w:shd w:val="clear" w:color="auto" w:fill="FFFFFF"/>
        </w:rPr>
        <w:t xml:space="preserve">C.C. </w:t>
      </w:r>
      <w:proofErr w:type="spellStart"/>
      <w:r w:rsidRPr="00FD7D7C">
        <w:rPr>
          <w:rStyle w:val="apple-converted-space"/>
          <w:rFonts w:asciiTheme="minorHAnsi" w:hAnsiTheme="minorHAnsi" w:cs="Arial"/>
          <w:color w:val="000000"/>
          <w:szCs w:val="22"/>
          <w:shd w:val="clear" w:color="auto" w:fill="FFFFFF"/>
        </w:rPr>
        <w:t>DeMerlis</w:t>
      </w:r>
      <w:proofErr w:type="spellEnd"/>
      <w:r w:rsidRPr="00FD7D7C">
        <w:rPr>
          <w:rStyle w:val="apple-converted-space"/>
          <w:rFonts w:asciiTheme="minorHAnsi" w:hAnsiTheme="minorHAnsi" w:cs="Arial"/>
          <w:color w:val="000000"/>
          <w:szCs w:val="22"/>
          <w:shd w:val="clear" w:color="auto" w:fill="FFFFFF"/>
        </w:rPr>
        <w:t xml:space="preserve">, D.R. </w:t>
      </w:r>
      <w:proofErr w:type="spellStart"/>
      <w:r w:rsidRPr="00FD7D7C">
        <w:rPr>
          <w:rStyle w:val="apple-converted-space"/>
          <w:rFonts w:asciiTheme="minorHAnsi" w:hAnsiTheme="minorHAnsi" w:cs="Arial"/>
          <w:color w:val="000000"/>
          <w:szCs w:val="22"/>
          <w:shd w:val="clear" w:color="auto" w:fill="FFFFFF"/>
        </w:rPr>
        <w:t>Schonemaker</w:t>
      </w:r>
      <w:proofErr w:type="spellEnd"/>
      <w:r w:rsidRPr="00FD7D7C">
        <w:rPr>
          <w:rStyle w:val="apple-converted-space"/>
          <w:rFonts w:asciiTheme="minorHAnsi" w:hAnsiTheme="minorHAnsi" w:cs="Arial"/>
          <w:color w:val="000000"/>
          <w:szCs w:val="22"/>
          <w:shd w:val="clear" w:color="auto" w:fill="FFFFFF"/>
        </w:rPr>
        <w:t xml:space="preserve">, </w:t>
      </w:r>
      <w:r w:rsidRPr="00FD7D7C">
        <w:rPr>
          <w:rStyle w:val="apple-converted-space"/>
          <w:rFonts w:asciiTheme="minorHAnsi" w:hAnsiTheme="minorHAnsi" w:cs="Arial"/>
          <w:i/>
          <w:color w:val="000000"/>
          <w:szCs w:val="22"/>
          <w:shd w:val="clear" w:color="auto" w:fill="FFFFFF"/>
        </w:rPr>
        <w:t xml:space="preserve">Food Chem. </w:t>
      </w:r>
      <w:proofErr w:type="spellStart"/>
      <w:r w:rsidRPr="00FD7D7C">
        <w:rPr>
          <w:rStyle w:val="apple-converted-space"/>
          <w:rFonts w:asciiTheme="minorHAnsi" w:hAnsiTheme="minorHAnsi" w:cs="Arial"/>
          <w:i/>
          <w:color w:val="000000"/>
          <w:szCs w:val="22"/>
          <w:shd w:val="clear" w:color="auto" w:fill="FFFFFF"/>
        </w:rPr>
        <w:t>Toxicol</w:t>
      </w:r>
      <w:proofErr w:type="spellEnd"/>
      <w:r w:rsidRPr="00FD7D7C">
        <w:rPr>
          <w:rStyle w:val="apple-converted-space"/>
          <w:rFonts w:asciiTheme="minorHAnsi" w:hAnsiTheme="minorHAnsi" w:cs="Arial"/>
          <w:i/>
          <w:color w:val="000000"/>
          <w:szCs w:val="22"/>
          <w:shd w:val="clear" w:color="auto" w:fill="FFFFFF"/>
        </w:rPr>
        <w:t>.</w:t>
      </w:r>
      <w:r w:rsidRPr="00FD7D7C">
        <w:rPr>
          <w:rStyle w:val="apple-converted-space"/>
          <w:rFonts w:asciiTheme="minorHAnsi" w:hAnsiTheme="minorHAnsi" w:cs="Arial"/>
          <w:color w:val="000000"/>
          <w:szCs w:val="22"/>
          <w:shd w:val="clear" w:color="auto" w:fill="FFFFFF"/>
        </w:rPr>
        <w:t xml:space="preserve"> </w:t>
      </w:r>
      <w:r w:rsidRPr="00FD7D7C">
        <w:rPr>
          <w:rStyle w:val="apple-converted-space"/>
          <w:rFonts w:asciiTheme="minorHAnsi" w:hAnsiTheme="minorHAnsi" w:cs="Arial"/>
          <w:b/>
          <w:color w:val="000000"/>
          <w:szCs w:val="22"/>
          <w:shd w:val="clear" w:color="auto" w:fill="FFFFFF"/>
        </w:rPr>
        <w:t>2003,</w:t>
      </w:r>
      <w:r w:rsidRPr="00FD7D7C">
        <w:rPr>
          <w:rStyle w:val="apple-converted-space"/>
          <w:rFonts w:asciiTheme="minorHAnsi" w:hAnsiTheme="minorHAnsi" w:cs="Arial"/>
          <w:color w:val="000000"/>
          <w:szCs w:val="22"/>
          <w:shd w:val="clear" w:color="auto" w:fill="FFFFFF"/>
        </w:rPr>
        <w:t xml:space="preserve"> </w:t>
      </w:r>
      <w:r w:rsidRPr="00FD7D7C">
        <w:rPr>
          <w:rStyle w:val="apple-converted-space"/>
          <w:rFonts w:asciiTheme="minorHAnsi" w:hAnsiTheme="minorHAnsi" w:cs="Arial"/>
          <w:i/>
          <w:color w:val="000000"/>
          <w:szCs w:val="22"/>
          <w:shd w:val="clear" w:color="auto" w:fill="FFFFFF"/>
        </w:rPr>
        <w:t>41,</w:t>
      </w:r>
      <w:r w:rsidRPr="00FD7D7C">
        <w:rPr>
          <w:rStyle w:val="apple-converted-space"/>
          <w:rFonts w:asciiTheme="minorHAnsi" w:hAnsiTheme="minorHAnsi" w:cs="Arial"/>
          <w:color w:val="000000"/>
          <w:szCs w:val="22"/>
          <w:shd w:val="clear" w:color="auto" w:fill="FFFFFF"/>
        </w:rPr>
        <w:t xml:space="preserve"> 319-326</w:t>
      </w:r>
    </w:p>
    <w:p w14:paraId="338DDA24" w14:textId="77777777" w:rsidR="00A00280" w:rsidRPr="00FD7D7C" w:rsidRDefault="00A00280" w:rsidP="00A00280">
      <w:pPr>
        <w:pStyle w:val="ListParagraph"/>
        <w:numPr>
          <w:ilvl w:val="0"/>
          <w:numId w:val="3"/>
        </w:numPr>
        <w:spacing w:line="240" w:lineRule="auto"/>
        <w:jc w:val="both"/>
      </w:pPr>
      <w:r w:rsidRPr="00FD7D7C">
        <w:t xml:space="preserve">M.H. </w:t>
      </w:r>
      <w:proofErr w:type="spellStart"/>
      <w:r w:rsidRPr="00FD7D7C">
        <w:t>Stenzel</w:t>
      </w:r>
      <w:proofErr w:type="spellEnd"/>
      <w:r w:rsidRPr="00FD7D7C">
        <w:t xml:space="preserve">, L. Cummins, G.E. Roberts, </w:t>
      </w:r>
      <w:proofErr w:type="spellStart"/>
      <w:r w:rsidRPr="00FD7D7C">
        <w:t>T.P.Davis</w:t>
      </w:r>
      <w:proofErr w:type="spellEnd"/>
      <w:r w:rsidRPr="00FD7D7C">
        <w:t xml:space="preserve">, P. </w:t>
      </w:r>
      <w:proofErr w:type="spellStart"/>
      <w:r w:rsidRPr="00FD7D7C">
        <w:t>Vana</w:t>
      </w:r>
      <w:proofErr w:type="spellEnd"/>
      <w:r w:rsidRPr="00FD7D7C">
        <w:t xml:space="preserve">, C. </w:t>
      </w:r>
      <w:proofErr w:type="spellStart"/>
      <w:r w:rsidRPr="00FD7D7C">
        <w:t>Barner-Kowollik</w:t>
      </w:r>
      <w:proofErr w:type="spellEnd"/>
      <w:r w:rsidRPr="00FD7D7C">
        <w:t xml:space="preserve">, </w:t>
      </w:r>
      <w:proofErr w:type="spellStart"/>
      <w:r w:rsidRPr="00FD7D7C">
        <w:rPr>
          <w:i/>
        </w:rPr>
        <w:t>Macromol</w:t>
      </w:r>
      <w:proofErr w:type="spellEnd"/>
      <w:r w:rsidRPr="00FD7D7C">
        <w:rPr>
          <w:i/>
        </w:rPr>
        <w:t>. Chem. Phys.</w:t>
      </w:r>
      <w:r w:rsidRPr="00FD7D7C">
        <w:t xml:space="preserve"> </w:t>
      </w:r>
      <w:r w:rsidRPr="00FD7D7C">
        <w:rPr>
          <w:b/>
        </w:rPr>
        <w:t>2003</w:t>
      </w:r>
      <w:r w:rsidRPr="00FD7D7C">
        <w:t xml:space="preserve">, </w:t>
      </w:r>
      <w:r w:rsidRPr="00FD7D7C">
        <w:rPr>
          <w:i/>
        </w:rPr>
        <w:t>204</w:t>
      </w:r>
      <w:r w:rsidRPr="00FD7D7C">
        <w:t>, 1160-1168</w:t>
      </w:r>
    </w:p>
    <w:p w14:paraId="63F662D4" w14:textId="77777777" w:rsidR="00A00280" w:rsidRPr="00FD7D7C" w:rsidRDefault="00A00280" w:rsidP="00A00280">
      <w:pPr>
        <w:pStyle w:val="ListParagraph"/>
        <w:numPr>
          <w:ilvl w:val="0"/>
          <w:numId w:val="3"/>
        </w:numPr>
        <w:spacing w:line="240" w:lineRule="auto"/>
        <w:jc w:val="both"/>
      </w:pPr>
      <w:r w:rsidRPr="00FD7D7C">
        <w:t xml:space="preserve">A. </w:t>
      </w:r>
      <w:proofErr w:type="spellStart"/>
      <w:r w:rsidRPr="00FD7D7C">
        <w:t>Favier</w:t>
      </w:r>
      <w:proofErr w:type="spellEnd"/>
      <w:r w:rsidRPr="00FD7D7C">
        <w:t xml:space="preserve">, C. </w:t>
      </w:r>
      <w:proofErr w:type="spellStart"/>
      <w:r w:rsidRPr="00FD7D7C">
        <w:t>Barner-Kowollik</w:t>
      </w:r>
      <w:proofErr w:type="spellEnd"/>
      <w:r w:rsidRPr="00FD7D7C">
        <w:t xml:space="preserve">, T.P. Davis, M.H. </w:t>
      </w:r>
      <w:proofErr w:type="spellStart"/>
      <w:r w:rsidRPr="00FD7D7C">
        <w:t>Stenzel</w:t>
      </w:r>
      <w:proofErr w:type="spellEnd"/>
      <w:r w:rsidRPr="00FD7D7C">
        <w:t xml:space="preserve">, </w:t>
      </w:r>
      <w:proofErr w:type="spellStart"/>
      <w:r w:rsidRPr="00FD7D7C">
        <w:rPr>
          <w:i/>
        </w:rPr>
        <w:t>Macromol</w:t>
      </w:r>
      <w:proofErr w:type="spellEnd"/>
      <w:r w:rsidRPr="00FD7D7C">
        <w:rPr>
          <w:i/>
        </w:rPr>
        <w:t>. Chem. Phys.</w:t>
      </w:r>
      <w:r w:rsidRPr="00FD7D7C">
        <w:t xml:space="preserve"> </w:t>
      </w:r>
      <w:r w:rsidRPr="00FD7D7C">
        <w:rPr>
          <w:b/>
        </w:rPr>
        <w:t>2004</w:t>
      </w:r>
      <w:r w:rsidRPr="00FD7D7C">
        <w:t xml:space="preserve">, </w:t>
      </w:r>
      <w:r w:rsidRPr="00FD7D7C">
        <w:rPr>
          <w:i/>
        </w:rPr>
        <w:t>205</w:t>
      </w:r>
      <w:r w:rsidRPr="00FD7D7C">
        <w:t>, 925-936</w:t>
      </w:r>
    </w:p>
    <w:p w14:paraId="7E3A515A" w14:textId="77777777" w:rsidR="00A00280" w:rsidRPr="00FD7D7C" w:rsidRDefault="00A00280" w:rsidP="00A00280">
      <w:pPr>
        <w:pStyle w:val="ListParagraph"/>
        <w:numPr>
          <w:ilvl w:val="0"/>
          <w:numId w:val="3"/>
        </w:numPr>
        <w:spacing w:line="240" w:lineRule="auto"/>
        <w:jc w:val="both"/>
      </w:pPr>
      <w:r w:rsidRPr="00FD7D7C">
        <w:lastRenderedPageBreak/>
        <w:t xml:space="preserve">M.H. </w:t>
      </w:r>
      <w:proofErr w:type="spellStart"/>
      <w:r w:rsidRPr="00FD7D7C">
        <w:t>Stenzel</w:t>
      </w:r>
      <w:proofErr w:type="spellEnd"/>
      <w:r w:rsidRPr="00FD7D7C">
        <w:t xml:space="preserve">, T.P. Davis, C. </w:t>
      </w:r>
      <w:proofErr w:type="spellStart"/>
      <w:r w:rsidRPr="00FD7D7C">
        <w:t>Barner-Kowollik</w:t>
      </w:r>
      <w:proofErr w:type="spellEnd"/>
      <w:r w:rsidRPr="00FD7D7C">
        <w:t xml:space="preserve">, </w:t>
      </w:r>
      <w:r w:rsidRPr="00FD7D7C">
        <w:rPr>
          <w:i/>
        </w:rPr>
        <w:t xml:space="preserve">Chem. </w:t>
      </w:r>
      <w:proofErr w:type="spellStart"/>
      <w:r w:rsidRPr="00FD7D7C">
        <w:rPr>
          <w:i/>
        </w:rPr>
        <w:t>Commun</w:t>
      </w:r>
      <w:proofErr w:type="spellEnd"/>
      <w:r w:rsidRPr="00FD7D7C">
        <w:rPr>
          <w:i/>
        </w:rPr>
        <w:t xml:space="preserve">. </w:t>
      </w:r>
      <w:r w:rsidRPr="00FD7D7C">
        <w:rPr>
          <w:b/>
        </w:rPr>
        <w:t>2004</w:t>
      </w:r>
      <w:r w:rsidRPr="00FD7D7C">
        <w:t>, 1546-1547</w:t>
      </w:r>
    </w:p>
    <w:p w14:paraId="1E4FF0F1" w14:textId="77777777" w:rsidR="00A00280" w:rsidRPr="00FD7D7C" w:rsidRDefault="00A00280" w:rsidP="00A00280">
      <w:pPr>
        <w:pStyle w:val="ListParagraph"/>
        <w:numPr>
          <w:ilvl w:val="0"/>
          <w:numId w:val="3"/>
        </w:numPr>
        <w:spacing w:line="240" w:lineRule="auto"/>
        <w:jc w:val="both"/>
      </w:pPr>
      <w:r w:rsidRPr="00FD7D7C">
        <w:t xml:space="preserve">A.A.A. Smith, T. </w:t>
      </w:r>
      <w:proofErr w:type="spellStart"/>
      <w:r w:rsidRPr="00FD7D7C">
        <w:t>Hussman</w:t>
      </w:r>
      <w:proofErr w:type="spellEnd"/>
      <w:r w:rsidRPr="00FD7D7C">
        <w:t xml:space="preserve">, J. </w:t>
      </w:r>
      <w:proofErr w:type="spellStart"/>
      <w:r w:rsidRPr="00FD7D7C">
        <w:t>Elich</w:t>
      </w:r>
      <w:proofErr w:type="spellEnd"/>
      <w:r w:rsidRPr="00FD7D7C">
        <w:t xml:space="preserve">, A. </w:t>
      </w:r>
      <w:proofErr w:type="spellStart"/>
      <w:r w:rsidRPr="00FD7D7C">
        <w:t>Postma</w:t>
      </w:r>
      <w:proofErr w:type="spellEnd"/>
      <w:r w:rsidRPr="00FD7D7C">
        <w:t xml:space="preserve">, M. Alves, A.N. </w:t>
      </w:r>
      <w:proofErr w:type="spellStart"/>
      <w:r w:rsidRPr="00FD7D7C">
        <w:t>Zelikin</w:t>
      </w:r>
      <w:proofErr w:type="spellEnd"/>
      <w:r w:rsidRPr="00FD7D7C">
        <w:t xml:space="preserve">, </w:t>
      </w:r>
      <w:proofErr w:type="spellStart"/>
      <w:r w:rsidRPr="00FD7D7C">
        <w:rPr>
          <w:i/>
        </w:rPr>
        <w:t>Polym</w:t>
      </w:r>
      <w:proofErr w:type="spellEnd"/>
      <w:r w:rsidRPr="00FD7D7C">
        <w:rPr>
          <w:i/>
        </w:rPr>
        <w:t xml:space="preserve">. </w:t>
      </w:r>
      <w:proofErr w:type="spellStart"/>
      <w:r w:rsidRPr="00FD7D7C">
        <w:rPr>
          <w:i/>
        </w:rPr>
        <w:t>Chem</w:t>
      </w:r>
      <w:proofErr w:type="spellEnd"/>
      <w:r w:rsidRPr="00FD7D7C">
        <w:rPr>
          <w:i/>
        </w:rPr>
        <w:t xml:space="preserve">, </w:t>
      </w:r>
      <w:r w:rsidRPr="00FD7D7C">
        <w:rPr>
          <w:b/>
        </w:rPr>
        <w:t>2012,</w:t>
      </w:r>
      <w:r w:rsidRPr="00FD7D7C">
        <w:t xml:space="preserve"> </w:t>
      </w:r>
      <w:r w:rsidRPr="00FD7D7C">
        <w:rPr>
          <w:i/>
        </w:rPr>
        <w:t>3</w:t>
      </w:r>
      <w:r w:rsidRPr="00FD7D7C">
        <w:t xml:space="preserve">, 85-88 </w:t>
      </w:r>
    </w:p>
    <w:p w14:paraId="7BDB2224" w14:textId="77777777" w:rsidR="00A00280" w:rsidRPr="00FD7D7C" w:rsidRDefault="00A00280" w:rsidP="00A00280">
      <w:pPr>
        <w:pStyle w:val="ListParagraph"/>
        <w:numPr>
          <w:ilvl w:val="0"/>
          <w:numId w:val="3"/>
        </w:numPr>
        <w:spacing w:line="240" w:lineRule="auto"/>
        <w:jc w:val="both"/>
        <w:rPr>
          <w:lang w:val="fr-FR"/>
        </w:rPr>
      </w:pPr>
      <w:r w:rsidRPr="00FD7D7C">
        <w:t xml:space="preserve">J. Chen, X. Zhao, L. Zhang, Z. Cheng, X. Zhu, </w:t>
      </w:r>
      <w:r w:rsidRPr="00FD7D7C">
        <w:rPr>
          <w:i/>
        </w:rPr>
        <w:t xml:space="preserve">J. </w:t>
      </w:r>
      <w:proofErr w:type="spellStart"/>
      <w:r w:rsidRPr="00FD7D7C">
        <w:rPr>
          <w:i/>
        </w:rPr>
        <w:t>Polym</w:t>
      </w:r>
      <w:proofErr w:type="spellEnd"/>
      <w:r w:rsidRPr="00FD7D7C">
        <w:rPr>
          <w:i/>
        </w:rPr>
        <w:t xml:space="preserve">. </w:t>
      </w:r>
      <w:proofErr w:type="spellStart"/>
      <w:r w:rsidRPr="00FD7D7C">
        <w:rPr>
          <w:i/>
          <w:lang w:val="fr-FR"/>
        </w:rPr>
        <w:t>Sci</w:t>
      </w:r>
      <w:proofErr w:type="spellEnd"/>
      <w:r w:rsidRPr="00FD7D7C">
        <w:rPr>
          <w:i/>
          <w:lang w:val="fr-FR"/>
        </w:rPr>
        <w:t xml:space="preserve">. Part A. </w:t>
      </w:r>
      <w:proofErr w:type="spellStart"/>
      <w:r w:rsidRPr="00FD7D7C">
        <w:rPr>
          <w:i/>
          <w:lang w:val="fr-FR"/>
        </w:rPr>
        <w:t>Polym</w:t>
      </w:r>
      <w:proofErr w:type="spellEnd"/>
      <w:r w:rsidRPr="00FD7D7C">
        <w:rPr>
          <w:i/>
          <w:lang w:val="fr-FR"/>
        </w:rPr>
        <w:t xml:space="preserve">. </w:t>
      </w:r>
      <w:proofErr w:type="spellStart"/>
      <w:r w:rsidRPr="00FD7D7C">
        <w:rPr>
          <w:i/>
          <w:lang w:val="fr-FR"/>
        </w:rPr>
        <w:t>Chem</w:t>
      </w:r>
      <w:proofErr w:type="spellEnd"/>
      <w:r w:rsidRPr="00FD7D7C">
        <w:rPr>
          <w:i/>
          <w:lang w:val="fr-FR"/>
        </w:rPr>
        <w:t>.</w:t>
      </w:r>
      <w:r w:rsidRPr="00FD7D7C">
        <w:rPr>
          <w:b/>
          <w:lang w:val="fr-FR"/>
        </w:rPr>
        <w:t xml:space="preserve"> 2015</w:t>
      </w:r>
      <w:r w:rsidRPr="00FD7D7C">
        <w:rPr>
          <w:lang w:val="fr-FR"/>
        </w:rPr>
        <w:t>,</w:t>
      </w:r>
      <w:r w:rsidRPr="00FD7D7C">
        <w:rPr>
          <w:b/>
          <w:lang w:val="fr-FR"/>
        </w:rPr>
        <w:t xml:space="preserve"> </w:t>
      </w:r>
      <w:r w:rsidRPr="00FD7D7C">
        <w:rPr>
          <w:i/>
          <w:lang w:val="fr-FR"/>
        </w:rPr>
        <w:t>53</w:t>
      </w:r>
      <w:r w:rsidRPr="00FD7D7C">
        <w:rPr>
          <w:lang w:val="fr-FR"/>
        </w:rPr>
        <w:t>,</w:t>
      </w:r>
      <w:r w:rsidRPr="00FD7D7C">
        <w:rPr>
          <w:i/>
          <w:lang w:val="fr-FR"/>
        </w:rPr>
        <w:t xml:space="preserve"> </w:t>
      </w:r>
      <w:r w:rsidRPr="00FD7D7C">
        <w:rPr>
          <w:lang w:val="fr-FR"/>
        </w:rPr>
        <w:t>1430-1436</w:t>
      </w:r>
    </w:p>
    <w:p w14:paraId="20B9C20E" w14:textId="77777777" w:rsidR="00A00280" w:rsidRPr="00FD7D7C" w:rsidRDefault="00A00280" w:rsidP="00A00280">
      <w:pPr>
        <w:pStyle w:val="ListParagraph"/>
        <w:numPr>
          <w:ilvl w:val="0"/>
          <w:numId w:val="3"/>
        </w:numPr>
        <w:spacing w:line="240" w:lineRule="auto"/>
        <w:jc w:val="both"/>
      </w:pPr>
      <w:r w:rsidRPr="00FD7D7C">
        <w:t xml:space="preserve">T. </w:t>
      </w:r>
      <w:proofErr w:type="spellStart"/>
      <w:r w:rsidRPr="00FD7D7C">
        <w:t>Congdon</w:t>
      </w:r>
      <w:proofErr w:type="spellEnd"/>
      <w:r w:rsidRPr="00FD7D7C">
        <w:t xml:space="preserve">, P. Shaw, M.I. Gibson, </w:t>
      </w:r>
      <w:proofErr w:type="spellStart"/>
      <w:r w:rsidRPr="00FD7D7C">
        <w:rPr>
          <w:i/>
        </w:rPr>
        <w:t>Polym</w:t>
      </w:r>
      <w:proofErr w:type="spellEnd"/>
      <w:r w:rsidRPr="00FD7D7C">
        <w:rPr>
          <w:i/>
        </w:rPr>
        <w:t>. Chem.</w:t>
      </w:r>
      <w:r w:rsidRPr="00FD7D7C">
        <w:t xml:space="preserve"> </w:t>
      </w:r>
      <w:r w:rsidRPr="00FD7D7C">
        <w:rPr>
          <w:b/>
        </w:rPr>
        <w:t>2015</w:t>
      </w:r>
      <w:r w:rsidRPr="00FD7D7C">
        <w:t xml:space="preserve">, </w:t>
      </w:r>
      <w:r w:rsidRPr="00FD7D7C">
        <w:rPr>
          <w:i/>
        </w:rPr>
        <w:t>6</w:t>
      </w:r>
      <w:r w:rsidRPr="00FD7D7C">
        <w:t>, 4749-4757</w:t>
      </w:r>
    </w:p>
    <w:p w14:paraId="11565A0C" w14:textId="77777777" w:rsidR="00A00280" w:rsidRPr="00FD7D7C" w:rsidRDefault="00A00280" w:rsidP="00A00280">
      <w:pPr>
        <w:pStyle w:val="ListParagraph"/>
        <w:numPr>
          <w:ilvl w:val="0"/>
          <w:numId w:val="3"/>
        </w:numPr>
        <w:spacing w:line="240" w:lineRule="auto"/>
        <w:jc w:val="both"/>
      </w:pPr>
      <w:r w:rsidRPr="00FD7D7C">
        <w:t xml:space="preserve">J.R. </w:t>
      </w:r>
      <w:proofErr w:type="spellStart"/>
      <w:r w:rsidRPr="00FD7D7C">
        <w:t>Gois</w:t>
      </w:r>
      <w:proofErr w:type="spellEnd"/>
      <w:r w:rsidRPr="00FD7D7C">
        <w:t xml:space="preserve">, A.V. Popov, T. </w:t>
      </w:r>
      <w:proofErr w:type="spellStart"/>
      <w:r w:rsidRPr="00FD7D7C">
        <w:t>Gulliashvili</w:t>
      </w:r>
      <w:proofErr w:type="spellEnd"/>
      <w:r w:rsidRPr="00FD7D7C">
        <w:t xml:space="preserve">, A.C. Serra, J.F.J. Coelho, </w:t>
      </w:r>
      <w:r w:rsidRPr="00FD7D7C">
        <w:rPr>
          <w:i/>
        </w:rPr>
        <w:t>RSC Adv.</w:t>
      </w:r>
      <w:r w:rsidRPr="00FD7D7C">
        <w:t xml:space="preserve"> </w:t>
      </w:r>
      <w:r w:rsidRPr="00FD7D7C">
        <w:rPr>
          <w:b/>
        </w:rPr>
        <w:t>2015</w:t>
      </w:r>
      <w:r w:rsidRPr="00FD7D7C">
        <w:t xml:space="preserve">, </w:t>
      </w:r>
      <w:r w:rsidRPr="00FD7D7C">
        <w:rPr>
          <w:i/>
        </w:rPr>
        <w:t>5</w:t>
      </w:r>
      <w:r w:rsidRPr="00FD7D7C">
        <w:t>, 91225-91234</w:t>
      </w:r>
    </w:p>
    <w:p w14:paraId="2A4AED62" w14:textId="61E5CA5F" w:rsidR="008A657D" w:rsidRPr="00FD7D7C" w:rsidRDefault="008A657D" w:rsidP="00A00280">
      <w:pPr>
        <w:pStyle w:val="ListParagraph"/>
        <w:numPr>
          <w:ilvl w:val="0"/>
          <w:numId w:val="3"/>
        </w:numPr>
        <w:spacing w:line="240" w:lineRule="auto"/>
        <w:jc w:val="both"/>
      </w:pPr>
      <w:r w:rsidRPr="00FD7D7C">
        <w:rPr>
          <w:rFonts w:cs="Times New Roman"/>
          <w:noProof/>
          <w:szCs w:val="24"/>
        </w:rPr>
        <w:t xml:space="preserve">Y. Guan, J. Li, L. Shao, F. Wang, D. Dong and Y. Wang, </w:t>
      </w:r>
      <w:r w:rsidRPr="00FD7D7C">
        <w:rPr>
          <w:rFonts w:cs="Times New Roman"/>
          <w:i/>
          <w:iCs/>
          <w:noProof/>
          <w:szCs w:val="24"/>
        </w:rPr>
        <w:t>Polym. Int.</w:t>
      </w:r>
      <w:r w:rsidRPr="00FD7D7C">
        <w:rPr>
          <w:rFonts w:cs="Times New Roman"/>
          <w:noProof/>
          <w:szCs w:val="24"/>
        </w:rPr>
        <w:t xml:space="preserve">, 2016, </w:t>
      </w:r>
      <w:r w:rsidRPr="00FD7D7C">
        <w:rPr>
          <w:rFonts w:cs="Times New Roman"/>
          <w:b/>
          <w:bCs/>
          <w:noProof/>
          <w:szCs w:val="24"/>
        </w:rPr>
        <w:t>65</w:t>
      </w:r>
      <w:r w:rsidRPr="00FD7D7C">
        <w:rPr>
          <w:rFonts w:cs="Times New Roman"/>
          <w:noProof/>
          <w:szCs w:val="24"/>
        </w:rPr>
        <w:t>, 1382–1386.</w:t>
      </w:r>
    </w:p>
    <w:p w14:paraId="479177D3" w14:textId="3522B3F1" w:rsidR="008A657D" w:rsidRPr="00FD7D7C" w:rsidRDefault="008A657D" w:rsidP="00A00280">
      <w:pPr>
        <w:pStyle w:val="ListParagraph"/>
        <w:numPr>
          <w:ilvl w:val="0"/>
          <w:numId w:val="3"/>
        </w:numPr>
        <w:spacing w:line="240" w:lineRule="auto"/>
        <w:jc w:val="both"/>
      </w:pPr>
      <w:r w:rsidRPr="00FD7D7C">
        <w:rPr>
          <w:rFonts w:cs="Times New Roman"/>
          <w:noProof/>
          <w:szCs w:val="24"/>
        </w:rPr>
        <w:t xml:space="preserve">F. Zhao, A. R. Mahdavian, M. B. Teimouri, E. S. Daniels, A. Klein and M. S. El-Aasser, </w:t>
      </w:r>
      <w:r w:rsidRPr="00FD7D7C">
        <w:rPr>
          <w:rFonts w:cs="Times New Roman"/>
          <w:i/>
          <w:iCs/>
          <w:noProof/>
          <w:szCs w:val="24"/>
        </w:rPr>
        <w:t>Colloid Polym. Sci.</w:t>
      </w:r>
      <w:r w:rsidRPr="00FD7D7C">
        <w:rPr>
          <w:rFonts w:cs="Times New Roman"/>
          <w:noProof/>
          <w:szCs w:val="24"/>
        </w:rPr>
        <w:t xml:space="preserve">, 2012, </w:t>
      </w:r>
      <w:r w:rsidRPr="00FD7D7C">
        <w:rPr>
          <w:rFonts w:cs="Times New Roman"/>
          <w:b/>
          <w:bCs/>
          <w:noProof/>
          <w:szCs w:val="24"/>
        </w:rPr>
        <w:t>290</w:t>
      </w:r>
      <w:r w:rsidRPr="00FD7D7C">
        <w:rPr>
          <w:rFonts w:cs="Times New Roman"/>
          <w:noProof/>
          <w:szCs w:val="24"/>
        </w:rPr>
        <w:t>, 1247–1255.</w:t>
      </w:r>
    </w:p>
    <w:p w14:paraId="0F5DE2AB" w14:textId="29E16888" w:rsidR="008A657D" w:rsidRPr="00FD7D7C" w:rsidRDefault="008A657D" w:rsidP="00A00280">
      <w:pPr>
        <w:pStyle w:val="ListParagraph"/>
        <w:numPr>
          <w:ilvl w:val="0"/>
          <w:numId w:val="3"/>
        </w:numPr>
        <w:spacing w:line="240" w:lineRule="auto"/>
        <w:jc w:val="both"/>
      </w:pPr>
      <w:r w:rsidRPr="00FD7D7C">
        <w:rPr>
          <w:rFonts w:cs="Times New Roman"/>
          <w:noProof/>
          <w:szCs w:val="24"/>
        </w:rPr>
        <w:t xml:space="preserve">N. Nomura, K. Shinoda, A. Takasu, K. Nagata and K. Inomata, </w:t>
      </w:r>
      <w:r w:rsidRPr="00FD7D7C">
        <w:rPr>
          <w:rFonts w:cs="Times New Roman"/>
          <w:i/>
          <w:iCs/>
          <w:noProof/>
          <w:szCs w:val="24"/>
        </w:rPr>
        <w:t>J. Polym. Sci. Part A Polym. Chem.</w:t>
      </w:r>
      <w:r w:rsidRPr="00FD7D7C">
        <w:rPr>
          <w:rFonts w:cs="Times New Roman"/>
          <w:noProof/>
          <w:szCs w:val="24"/>
        </w:rPr>
        <w:t xml:space="preserve">, 2013, </w:t>
      </w:r>
      <w:r w:rsidRPr="00FD7D7C">
        <w:rPr>
          <w:rFonts w:cs="Times New Roman"/>
          <w:b/>
          <w:bCs/>
          <w:noProof/>
          <w:szCs w:val="24"/>
        </w:rPr>
        <w:t>51</w:t>
      </w:r>
      <w:r w:rsidRPr="00FD7D7C">
        <w:rPr>
          <w:rFonts w:cs="Times New Roman"/>
          <w:noProof/>
          <w:szCs w:val="24"/>
        </w:rPr>
        <w:t>, 534–545.</w:t>
      </w:r>
    </w:p>
    <w:p w14:paraId="38C9325C" w14:textId="77777777" w:rsidR="00A00280" w:rsidRPr="00FD7D7C" w:rsidRDefault="00A00280" w:rsidP="00A00280">
      <w:pPr>
        <w:pStyle w:val="ListParagraph"/>
        <w:numPr>
          <w:ilvl w:val="0"/>
          <w:numId w:val="3"/>
        </w:numPr>
        <w:spacing w:line="240" w:lineRule="auto"/>
        <w:jc w:val="both"/>
      </w:pPr>
      <w:r w:rsidRPr="00FD7D7C">
        <w:t xml:space="preserve">A.D. </w:t>
      </w:r>
      <w:proofErr w:type="spellStart"/>
      <w:r w:rsidRPr="00FD7D7C">
        <w:t>Asandei</w:t>
      </w:r>
      <w:proofErr w:type="spellEnd"/>
      <w:r w:rsidRPr="00FD7D7C">
        <w:t xml:space="preserve">, O.I </w:t>
      </w:r>
      <w:proofErr w:type="spellStart"/>
      <w:r w:rsidRPr="00FD7D7C">
        <w:t>Adebolu</w:t>
      </w:r>
      <w:proofErr w:type="spellEnd"/>
      <w:r w:rsidRPr="00FD7D7C">
        <w:t xml:space="preserve">, C.P. Simpson, </w:t>
      </w:r>
      <w:r w:rsidRPr="00FD7D7C">
        <w:rPr>
          <w:i/>
        </w:rPr>
        <w:t>J. Am. Chem. Soc.</w:t>
      </w:r>
      <w:r w:rsidRPr="00FD7D7C">
        <w:t xml:space="preserve"> </w:t>
      </w:r>
      <w:r w:rsidRPr="00FD7D7C">
        <w:rPr>
          <w:b/>
        </w:rPr>
        <w:t>2012</w:t>
      </w:r>
      <w:r w:rsidRPr="00FD7D7C">
        <w:t xml:space="preserve">, </w:t>
      </w:r>
      <w:r w:rsidRPr="00FD7D7C">
        <w:rPr>
          <w:i/>
        </w:rPr>
        <w:t>134</w:t>
      </w:r>
      <w:r w:rsidRPr="00FD7D7C">
        <w:t>, 6080-6083</w:t>
      </w:r>
    </w:p>
    <w:p w14:paraId="199DCF83" w14:textId="77777777" w:rsidR="00A00280" w:rsidRPr="00FD7D7C" w:rsidRDefault="00A00280" w:rsidP="00A00280">
      <w:pPr>
        <w:pStyle w:val="ListParagraph"/>
        <w:numPr>
          <w:ilvl w:val="0"/>
          <w:numId w:val="3"/>
        </w:numPr>
        <w:spacing w:line="240" w:lineRule="auto"/>
        <w:jc w:val="both"/>
      </w:pPr>
      <w:r w:rsidRPr="00FD7D7C">
        <w:t xml:space="preserve">J. Nicolas, S. </w:t>
      </w:r>
      <w:proofErr w:type="spellStart"/>
      <w:r w:rsidRPr="00FD7D7C">
        <w:t>Harrisson</w:t>
      </w:r>
      <w:proofErr w:type="spellEnd"/>
      <w:r w:rsidRPr="00FD7D7C">
        <w:t xml:space="preserve">, </w:t>
      </w:r>
      <w:proofErr w:type="spellStart"/>
      <w:r w:rsidRPr="00FD7D7C">
        <w:rPr>
          <w:i/>
        </w:rPr>
        <w:t>Macromol</w:t>
      </w:r>
      <w:proofErr w:type="spellEnd"/>
      <w:r w:rsidRPr="00FD7D7C">
        <w:rPr>
          <w:i/>
        </w:rPr>
        <w:t xml:space="preserve">. Rapid. </w:t>
      </w:r>
      <w:proofErr w:type="spellStart"/>
      <w:r w:rsidRPr="00FD7D7C">
        <w:rPr>
          <w:i/>
        </w:rPr>
        <w:t>Commun</w:t>
      </w:r>
      <w:proofErr w:type="spellEnd"/>
      <w:r w:rsidRPr="00FD7D7C">
        <w:rPr>
          <w:i/>
        </w:rPr>
        <w:t>.</w:t>
      </w:r>
      <w:r w:rsidRPr="00FD7D7C">
        <w:t xml:space="preserve"> </w:t>
      </w:r>
      <w:r w:rsidRPr="00FD7D7C">
        <w:rPr>
          <w:b/>
        </w:rPr>
        <w:t>2012</w:t>
      </w:r>
      <w:r w:rsidRPr="00FD7D7C">
        <w:t xml:space="preserve">, </w:t>
      </w:r>
      <w:r w:rsidRPr="00FD7D7C">
        <w:rPr>
          <w:i/>
        </w:rPr>
        <w:t>33</w:t>
      </w:r>
      <w:r w:rsidRPr="00FD7D7C">
        <w:t>, 805-810</w:t>
      </w:r>
    </w:p>
    <w:p w14:paraId="562E9122" w14:textId="77777777" w:rsidR="00A00280" w:rsidRPr="00FD7D7C" w:rsidRDefault="00A00280" w:rsidP="00A00280">
      <w:pPr>
        <w:pStyle w:val="ListParagraph"/>
        <w:numPr>
          <w:ilvl w:val="0"/>
          <w:numId w:val="3"/>
        </w:numPr>
        <w:spacing w:line="240" w:lineRule="auto"/>
        <w:jc w:val="both"/>
      </w:pPr>
      <w:r w:rsidRPr="00FD7D7C">
        <w:t xml:space="preserve">N. </w:t>
      </w:r>
      <w:proofErr w:type="spellStart"/>
      <w:r w:rsidRPr="00FD7D7C">
        <w:t>Pullan</w:t>
      </w:r>
      <w:proofErr w:type="spellEnd"/>
      <w:r w:rsidRPr="00FD7D7C">
        <w:t xml:space="preserve">, M. Liu, P.D. </w:t>
      </w:r>
      <w:proofErr w:type="spellStart"/>
      <w:r w:rsidRPr="00FD7D7C">
        <w:t>Topham</w:t>
      </w:r>
      <w:proofErr w:type="spellEnd"/>
      <w:r w:rsidRPr="00FD7D7C">
        <w:t xml:space="preserve">, </w:t>
      </w:r>
      <w:proofErr w:type="spellStart"/>
      <w:r w:rsidRPr="00FD7D7C">
        <w:rPr>
          <w:i/>
        </w:rPr>
        <w:t>Polym</w:t>
      </w:r>
      <w:proofErr w:type="spellEnd"/>
      <w:r w:rsidRPr="00FD7D7C">
        <w:rPr>
          <w:i/>
        </w:rPr>
        <w:t xml:space="preserve">. Chem. </w:t>
      </w:r>
      <w:r w:rsidRPr="00FD7D7C">
        <w:rPr>
          <w:b/>
        </w:rPr>
        <w:t>2013</w:t>
      </w:r>
      <w:r w:rsidRPr="00FD7D7C">
        <w:t xml:space="preserve">, </w:t>
      </w:r>
      <w:r w:rsidRPr="00FD7D7C">
        <w:rPr>
          <w:i/>
        </w:rPr>
        <w:t>4</w:t>
      </w:r>
      <w:r w:rsidRPr="00FD7D7C">
        <w:t>, 2272-2277</w:t>
      </w:r>
    </w:p>
    <w:p w14:paraId="53829633" w14:textId="77777777" w:rsidR="00A00280" w:rsidRPr="00FD7D7C" w:rsidRDefault="00A00280" w:rsidP="00A00280">
      <w:pPr>
        <w:pStyle w:val="ListParagraph"/>
        <w:numPr>
          <w:ilvl w:val="0"/>
          <w:numId w:val="3"/>
        </w:numPr>
        <w:spacing w:line="240" w:lineRule="auto"/>
        <w:jc w:val="both"/>
      </w:pPr>
      <w:r w:rsidRPr="00FD7D7C">
        <w:rPr>
          <w:rFonts w:cs="Times New Roman"/>
          <w:noProof/>
          <w:szCs w:val="24"/>
        </w:rPr>
        <w:t xml:space="preserve">F. P. Byrne, S. Jin, G. Paggiola, T. H. M. Petchey, J. H. Clark, T. J. Farmer, A. J. Hunt, C. Robert McElroy and J. Sherwood, </w:t>
      </w:r>
      <w:r w:rsidRPr="00FD7D7C">
        <w:rPr>
          <w:rFonts w:cs="Times New Roman"/>
          <w:i/>
          <w:iCs/>
          <w:noProof/>
          <w:szCs w:val="24"/>
        </w:rPr>
        <w:t>Sustain. Chem. Process.</w:t>
      </w:r>
      <w:r w:rsidRPr="00FD7D7C">
        <w:rPr>
          <w:rFonts w:cs="Times New Roman"/>
          <w:noProof/>
          <w:szCs w:val="24"/>
        </w:rPr>
        <w:t xml:space="preserve">, 2016, </w:t>
      </w:r>
      <w:r w:rsidRPr="00FD7D7C">
        <w:rPr>
          <w:rFonts w:cs="Times New Roman"/>
          <w:b/>
          <w:bCs/>
          <w:noProof/>
          <w:szCs w:val="24"/>
        </w:rPr>
        <w:t>4</w:t>
      </w:r>
      <w:r w:rsidRPr="00FD7D7C">
        <w:rPr>
          <w:rFonts w:cs="Times New Roman"/>
          <w:noProof/>
          <w:szCs w:val="24"/>
        </w:rPr>
        <w:t>, 1–24.</w:t>
      </w:r>
    </w:p>
    <w:p w14:paraId="53C8FBFE" w14:textId="77777777" w:rsidR="00A00280" w:rsidRPr="00FD7D7C" w:rsidRDefault="00A00280" w:rsidP="00A00280">
      <w:pPr>
        <w:pStyle w:val="ListParagraph"/>
        <w:numPr>
          <w:ilvl w:val="0"/>
          <w:numId w:val="3"/>
        </w:numPr>
        <w:spacing w:line="240" w:lineRule="auto"/>
        <w:jc w:val="both"/>
      </w:pPr>
      <w:r w:rsidRPr="00FD7D7C">
        <w:rPr>
          <w:bCs/>
          <w:szCs w:val="22"/>
        </w:rPr>
        <w:t xml:space="preserve">S. Harrison, X. Lin, J. </w:t>
      </w:r>
      <w:proofErr w:type="spellStart"/>
      <w:r w:rsidRPr="00FD7D7C">
        <w:rPr>
          <w:bCs/>
          <w:szCs w:val="22"/>
        </w:rPr>
        <w:t>Ollagnier</w:t>
      </w:r>
      <w:proofErr w:type="spellEnd"/>
      <w:r w:rsidRPr="00FD7D7C">
        <w:rPr>
          <w:bCs/>
          <w:szCs w:val="22"/>
        </w:rPr>
        <w:t xml:space="preserve">, O. </w:t>
      </w:r>
      <w:proofErr w:type="spellStart"/>
      <w:r w:rsidRPr="00FD7D7C">
        <w:rPr>
          <w:bCs/>
          <w:szCs w:val="22"/>
        </w:rPr>
        <w:t>Coutelier</w:t>
      </w:r>
      <w:proofErr w:type="spellEnd"/>
      <w:r w:rsidRPr="00FD7D7C">
        <w:rPr>
          <w:bCs/>
          <w:szCs w:val="22"/>
        </w:rPr>
        <w:t xml:space="preserve">, J. Marty, M. </w:t>
      </w:r>
      <w:proofErr w:type="spellStart"/>
      <w:r w:rsidRPr="00FD7D7C">
        <w:rPr>
          <w:bCs/>
          <w:szCs w:val="22"/>
        </w:rPr>
        <w:t>Destarac</w:t>
      </w:r>
      <w:proofErr w:type="spellEnd"/>
      <w:r w:rsidRPr="00FD7D7C">
        <w:rPr>
          <w:bCs/>
          <w:szCs w:val="22"/>
        </w:rPr>
        <w:t xml:space="preserve"> </w:t>
      </w:r>
      <w:r w:rsidRPr="00FD7D7C">
        <w:rPr>
          <w:bCs/>
          <w:i/>
          <w:szCs w:val="22"/>
        </w:rPr>
        <w:t xml:space="preserve">Polymers. </w:t>
      </w:r>
      <w:r w:rsidRPr="00FD7D7C">
        <w:rPr>
          <w:b/>
          <w:bCs/>
          <w:szCs w:val="22"/>
        </w:rPr>
        <w:t>2014</w:t>
      </w:r>
      <w:r w:rsidRPr="00FD7D7C">
        <w:rPr>
          <w:szCs w:val="22"/>
        </w:rPr>
        <w:t xml:space="preserve">, </w:t>
      </w:r>
      <w:r w:rsidRPr="00FD7D7C">
        <w:rPr>
          <w:i/>
          <w:szCs w:val="22"/>
        </w:rPr>
        <w:t>6</w:t>
      </w:r>
      <w:r w:rsidRPr="00FD7D7C">
        <w:rPr>
          <w:szCs w:val="22"/>
        </w:rPr>
        <w:t>, 1437-1488</w:t>
      </w:r>
    </w:p>
    <w:p w14:paraId="60781477" w14:textId="77777777" w:rsidR="003E229D" w:rsidRDefault="003E229D" w:rsidP="002109C3">
      <w:pPr>
        <w:spacing w:line="240" w:lineRule="auto"/>
      </w:pPr>
    </w:p>
    <w:p w14:paraId="79B60739" w14:textId="77777777" w:rsidR="00631531" w:rsidRDefault="00631531" w:rsidP="002109C3">
      <w:pPr>
        <w:spacing w:line="240" w:lineRule="auto"/>
        <w:sectPr w:rsidR="00631531" w:rsidSect="004D5D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740086C" w14:textId="77777777" w:rsidR="00631531" w:rsidRDefault="00631531" w:rsidP="002109C3">
      <w:pPr>
        <w:spacing w:line="240" w:lineRule="auto"/>
      </w:pPr>
    </w:p>
    <w:p w14:paraId="4E8FF4AB" w14:textId="77777777" w:rsidR="000D551F" w:rsidRDefault="000D551F" w:rsidP="002109C3">
      <w:pPr>
        <w:spacing w:line="240" w:lineRule="auto"/>
      </w:pPr>
    </w:p>
    <w:p w14:paraId="77F32B92" w14:textId="77777777" w:rsidR="0049768F" w:rsidRDefault="0049768F" w:rsidP="002109C3">
      <w:pPr>
        <w:spacing w:line="240" w:lineRule="auto"/>
      </w:pPr>
    </w:p>
    <w:sectPr w:rsidR="0049768F" w:rsidSect="003E22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38247D" w15:done="0"/>
  <w15:commentEx w15:paraId="2BDCAC66" w15:done="0"/>
  <w15:commentEx w15:paraId="4BCE887D" w15:done="0"/>
  <w15:commentEx w15:paraId="4D570F88" w15:done="0"/>
  <w15:commentEx w15:paraId="1FFBB25E" w15:done="0"/>
  <w15:commentEx w15:paraId="15F69173" w15:done="0"/>
  <w15:commentEx w15:paraId="2F369F54" w15:done="0"/>
  <w15:commentEx w15:paraId="5D8B15FB" w15:done="0"/>
  <w15:commentEx w15:paraId="3BD72E6D" w15:done="0"/>
  <w15:commentEx w15:paraId="491CE9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B4B87" w14:textId="77777777" w:rsidR="000A3EB2" w:rsidRDefault="000A3EB2" w:rsidP="003E229D">
      <w:pPr>
        <w:spacing w:after="0" w:line="240" w:lineRule="auto"/>
      </w:pPr>
      <w:r>
        <w:separator/>
      </w:r>
    </w:p>
  </w:endnote>
  <w:endnote w:type="continuationSeparator" w:id="0">
    <w:p w14:paraId="71B532F7" w14:textId="77777777" w:rsidR="000A3EB2" w:rsidRDefault="000A3EB2" w:rsidP="003E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392E3" w14:textId="31145EF3" w:rsidR="00A32B18" w:rsidRPr="00116F2B" w:rsidRDefault="00A32B18">
    <w:pPr>
      <w:pStyle w:val="Footer"/>
      <w:rPr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1A586782" wp14:editId="4C8796A1">
          <wp:simplePos x="0" y="0"/>
          <wp:positionH relativeFrom="column">
            <wp:posOffset>93980</wp:posOffset>
          </wp:positionH>
          <wp:positionV relativeFrom="paragraph">
            <wp:posOffset>-104775</wp:posOffset>
          </wp:positionV>
          <wp:extent cx="2914015" cy="327660"/>
          <wp:effectExtent l="0" t="0" r="635" b="0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08AA855E" wp14:editId="10CB29B0">
          <wp:simplePos x="0" y="0"/>
          <wp:positionH relativeFrom="column">
            <wp:posOffset>4331970</wp:posOffset>
          </wp:positionH>
          <wp:positionV relativeFrom="paragraph">
            <wp:posOffset>-81280</wp:posOffset>
          </wp:positionV>
          <wp:extent cx="1664970" cy="340995"/>
          <wp:effectExtent l="0" t="0" r="0" b="1905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16F2B">
      <w:rPr>
        <w:sz w:val="18"/>
        <w:szCs w:val="18"/>
      </w:rPr>
      <w:fldChar w:fldCharType="begin"/>
    </w:r>
    <w:r w:rsidRPr="00116F2B">
      <w:rPr>
        <w:sz w:val="18"/>
        <w:szCs w:val="18"/>
      </w:rPr>
      <w:instrText xml:space="preserve"> PAGE   \* MERGEFORMAT </w:instrText>
    </w:r>
    <w:r w:rsidRPr="00116F2B">
      <w:rPr>
        <w:sz w:val="18"/>
        <w:szCs w:val="18"/>
      </w:rPr>
      <w:fldChar w:fldCharType="separate"/>
    </w:r>
    <w:r w:rsidR="00314761">
      <w:rPr>
        <w:noProof/>
        <w:sz w:val="18"/>
        <w:szCs w:val="18"/>
      </w:rPr>
      <w:t>2</w:t>
    </w:r>
    <w:r w:rsidRPr="00116F2B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592F3" w14:textId="001F7653" w:rsidR="00A32B18" w:rsidRPr="00116F2B" w:rsidRDefault="00A32B18" w:rsidP="00116F2B">
    <w:pPr>
      <w:pStyle w:val="Footer"/>
      <w:jc w:val="right"/>
      <w:rPr>
        <w:sz w:val="24"/>
        <w:szCs w:val="24"/>
        <w:vertAlign w:val="subscript"/>
      </w:rPr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5D0B03CD" wp14:editId="0A9DB887">
          <wp:simplePos x="0" y="0"/>
          <wp:positionH relativeFrom="column">
            <wp:posOffset>-27305</wp:posOffset>
          </wp:positionH>
          <wp:positionV relativeFrom="paragraph">
            <wp:posOffset>-72390</wp:posOffset>
          </wp:positionV>
          <wp:extent cx="5943600" cy="405130"/>
          <wp:effectExtent l="0" t="0" r="0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16F2B">
      <w:rPr>
        <w:sz w:val="24"/>
        <w:szCs w:val="24"/>
        <w:vertAlign w:val="subscript"/>
      </w:rPr>
      <w:fldChar w:fldCharType="begin"/>
    </w:r>
    <w:r w:rsidRPr="00116F2B">
      <w:rPr>
        <w:sz w:val="24"/>
        <w:szCs w:val="24"/>
        <w:vertAlign w:val="subscript"/>
      </w:rPr>
      <w:instrText xml:space="preserve"> PAGE   \* MERGEFORMAT </w:instrText>
    </w:r>
    <w:r w:rsidRPr="00116F2B">
      <w:rPr>
        <w:sz w:val="24"/>
        <w:szCs w:val="24"/>
        <w:vertAlign w:val="subscript"/>
      </w:rPr>
      <w:fldChar w:fldCharType="separate"/>
    </w:r>
    <w:r w:rsidR="00314761">
      <w:rPr>
        <w:noProof/>
        <w:sz w:val="24"/>
        <w:szCs w:val="24"/>
        <w:vertAlign w:val="subscript"/>
      </w:rPr>
      <w:t>1</w:t>
    </w:r>
    <w:r w:rsidRPr="00116F2B">
      <w:rPr>
        <w:noProof/>
        <w:sz w:val="24"/>
        <w:szCs w:val="24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0C1D8" w14:textId="77777777" w:rsidR="000A3EB2" w:rsidRDefault="000A3EB2" w:rsidP="003E229D">
      <w:pPr>
        <w:spacing w:after="0" w:line="240" w:lineRule="auto"/>
      </w:pPr>
      <w:r>
        <w:separator/>
      </w:r>
    </w:p>
  </w:footnote>
  <w:footnote w:type="continuationSeparator" w:id="0">
    <w:p w14:paraId="3DD840D6" w14:textId="77777777" w:rsidR="000A3EB2" w:rsidRDefault="000A3EB2" w:rsidP="003E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28528" w14:textId="77777777" w:rsidR="00A32B18" w:rsidRDefault="00A32B18">
    <w:pPr>
      <w:pStyle w:val="Header"/>
    </w:pPr>
    <w:r w:rsidRPr="00436DED">
      <w:rPr>
        <w:noProof/>
        <w:lang w:val="en-GB" w:eastAsia="en-GB"/>
      </w:rPr>
      <w:drawing>
        <wp:inline distT="0" distB="0" distL="0" distR="0" wp14:anchorId="4754DC44" wp14:editId="1D92E5FC">
          <wp:extent cx="5943600" cy="333375"/>
          <wp:effectExtent l="0" t="0" r="0" b="9525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E2A2F" w14:textId="77777777" w:rsidR="00A32B18" w:rsidRDefault="00A32B18">
    <w:pPr>
      <w:pStyle w:val="Header"/>
    </w:pPr>
    <w:r w:rsidRPr="00436DED">
      <w:rPr>
        <w:noProof/>
        <w:lang w:val="en-GB" w:eastAsia="en-GB"/>
      </w:rPr>
      <w:drawing>
        <wp:inline distT="0" distB="0" distL="0" distR="0" wp14:anchorId="278DC0C0" wp14:editId="0428552E">
          <wp:extent cx="5876925" cy="314325"/>
          <wp:effectExtent l="0" t="0" r="9525" b="9525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798"/>
    <w:multiLevelType w:val="hybridMultilevel"/>
    <w:tmpl w:val="0AF01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274672"/>
    <w:multiLevelType w:val="hybridMultilevel"/>
    <w:tmpl w:val="A9FA4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2356F"/>
    <w:multiLevelType w:val="hybridMultilevel"/>
    <w:tmpl w:val="A9FA4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ve Rannard">
    <w15:presenceInfo w15:providerId="Windows Live" w15:userId="468addc6710985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0A2"/>
    <w:rsid w:val="0000408D"/>
    <w:rsid w:val="00007F46"/>
    <w:rsid w:val="00012B41"/>
    <w:rsid w:val="00016C47"/>
    <w:rsid w:val="000424A9"/>
    <w:rsid w:val="00042AC6"/>
    <w:rsid w:val="000469C5"/>
    <w:rsid w:val="000653D8"/>
    <w:rsid w:val="00071318"/>
    <w:rsid w:val="000743AC"/>
    <w:rsid w:val="00074797"/>
    <w:rsid w:val="0007598D"/>
    <w:rsid w:val="0007799F"/>
    <w:rsid w:val="00090D7C"/>
    <w:rsid w:val="000A05D2"/>
    <w:rsid w:val="000A3EB2"/>
    <w:rsid w:val="000A46C6"/>
    <w:rsid w:val="000B252E"/>
    <w:rsid w:val="000B4D23"/>
    <w:rsid w:val="000C168C"/>
    <w:rsid w:val="000C4C92"/>
    <w:rsid w:val="000C57C6"/>
    <w:rsid w:val="000D0083"/>
    <w:rsid w:val="000D551F"/>
    <w:rsid w:val="000D6297"/>
    <w:rsid w:val="000D7676"/>
    <w:rsid w:val="000E538D"/>
    <w:rsid w:val="000E6D70"/>
    <w:rsid w:val="00112CEC"/>
    <w:rsid w:val="00116F2B"/>
    <w:rsid w:val="001179B9"/>
    <w:rsid w:val="00123C0A"/>
    <w:rsid w:val="00125521"/>
    <w:rsid w:val="00130946"/>
    <w:rsid w:val="00131CD7"/>
    <w:rsid w:val="00132BC7"/>
    <w:rsid w:val="00133F72"/>
    <w:rsid w:val="00145D36"/>
    <w:rsid w:val="001464AE"/>
    <w:rsid w:val="001533D5"/>
    <w:rsid w:val="00153B9A"/>
    <w:rsid w:val="0015463A"/>
    <w:rsid w:val="001733F9"/>
    <w:rsid w:val="00174624"/>
    <w:rsid w:val="00184906"/>
    <w:rsid w:val="0019359C"/>
    <w:rsid w:val="001A129C"/>
    <w:rsid w:val="001A5E16"/>
    <w:rsid w:val="001B2853"/>
    <w:rsid w:val="001B36D2"/>
    <w:rsid w:val="001B4169"/>
    <w:rsid w:val="001F1916"/>
    <w:rsid w:val="00204562"/>
    <w:rsid w:val="002109C3"/>
    <w:rsid w:val="00213576"/>
    <w:rsid w:val="00214870"/>
    <w:rsid w:val="00216DB3"/>
    <w:rsid w:val="00217AD3"/>
    <w:rsid w:val="0022442A"/>
    <w:rsid w:val="002303F8"/>
    <w:rsid w:val="0023287D"/>
    <w:rsid w:val="00236F6B"/>
    <w:rsid w:val="00237232"/>
    <w:rsid w:val="00247DA7"/>
    <w:rsid w:val="00250506"/>
    <w:rsid w:val="00251481"/>
    <w:rsid w:val="0025497F"/>
    <w:rsid w:val="00260150"/>
    <w:rsid w:val="00275D4B"/>
    <w:rsid w:val="0028763A"/>
    <w:rsid w:val="00291A77"/>
    <w:rsid w:val="002A43C1"/>
    <w:rsid w:val="002A4E4C"/>
    <w:rsid w:val="002B232F"/>
    <w:rsid w:val="002B5312"/>
    <w:rsid w:val="002B5380"/>
    <w:rsid w:val="002B7AD6"/>
    <w:rsid w:val="002C1131"/>
    <w:rsid w:val="002C2B76"/>
    <w:rsid w:val="002C4D84"/>
    <w:rsid w:val="002D1D56"/>
    <w:rsid w:val="002E0F01"/>
    <w:rsid w:val="002E3F6F"/>
    <w:rsid w:val="002E6999"/>
    <w:rsid w:val="002F1C8F"/>
    <w:rsid w:val="002F34E6"/>
    <w:rsid w:val="003031E2"/>
    <w:rsid w:val="00303917"/>
    <w:rsid w:val="00306244"/>
    <w:rsid w:val="00311D50"/>
    <w:rsid w:val="003129A4"/>
    <w:rsid w:val="00314761"/>
    <w:rsid w:val="00316E62"/>
    <w:rsid w:val="00320D16"/>
    <w:rsid w:val="00323607"/>
    <w:rsid w:val="00330867"/>
    <w:rsid w:val="00343478"/>
    <w:rsid w:val="00364B82"/>
    <w:rsid w:val="003703E7"/>
    <w:rsid w:val="00371B11"/>
    <w:rsid w:val="0037208B"/>
    <w:rsid w:val="00373521"/>
    <w:rsid w:val="003804A3"/>
    <w:rsid w:val="00392035"/>
    <w:rsid w:val="00392199"/>
    <w:rsid w:val="003B7592"/>
    <w:rsid w:val="003C5087"/>
    <w:rsid w:val="003C76B4"/>
    <w:rsid w:val="003D1230"/>
    <w:rsid w:val="003D1888"/>
    <w:rsid w:val="003D35F9"/>
    <w:rsid w:val="003E091B"/>
    <w:rsid w:val="003E0C0B"/>
    <w:rsid w:val="003E229D"/>
    <w:rsid w:val="003E3F39"/>
    <w:rsid w:val="003F673B"/>
    <w:rsid w:val="0040236F"/>
    <w:rsid w:val="00410AAB"/>
    <w:rsid w:val="00416027"/>
    <w:rsid w:val="00416D6F"/>
    <w:rsid w:val="0042267A"/>
    <w:rsid w:val="0042596D"/>
    <w:rsid w:val="00430DDA"/>
    <w:rsid w:val="00442F6B"/>
    <w:rsid w:val="00443B0A"/>
    <w:rsid w:val="00445795"/>
    <w:rsid w:val="00446ACB"/>
    <w:rsid w:val="00491CDE"/>
    <w:rsid w:val="0049401B"/>
    <w:rsid w:val="0049749A"/>
    <w:rsid w:val="0049768F"/>
    <w:rsid w:val="004A437B"/>
    <w:rsid w:val="004B159E"/>
    <w:rsid w:val="004B50A3"/>
    <w:rsid w:val="004C7F88"/>
    <w:rsid w:val="004D3895"/>
    <w:rsid w:val="004D5D3C"/>
    <w:rsid w:val="004D6806"/>
    <w:rsid w:val="004E23FF"/>
    <w:rsid w:val="004E337A"/>
    <w:rsid w:val="004F08E9"/>
    <w:rsid w:val="004F3180"/>
    <w:rsid w:val="00500AF0"/>
    <w:rsid w:val="00507372"/>
    <w:rsid w:val="005073E7"/>
    <w:rsid w:val="0051304D"/>
    <w:rsid w:val="00535F1C"/>
    <w:rsid w:val="00542200"/>
    <w:rsid w:val="005628DE"/>
    <w:rsid w:val="0056341A"/>
    <w:rsid w:val="00564364"/>
    <w:rsid w:val="005659AB"/>
    <w:rsid w:val="00587869"/>
    <w:rsid w:val="005A3044"/>
    <w:rsid w:val="005A3C15"/>
    <w:rsid w:val="005C04A9"/>
    <w:rsid w:val="005C0D08"/>
    <w:rsid w:val="005C2B50"/>
    <w:rsid w:val="005E044D"/>
    <w:rsid w:val="005E2094"/>
    <w:rsid w:val="005E278C"/>
    <w:rsid w:val="005E3A70"/>
    <w:rsid w:val="005E3B0E"/>
    <w:rsid w:val="005F2A48"/>
    <w:rsid w:val="005F4850"/>
    <w:rsid w:val="00601731"/>
    <w:rsid w:val="006021F4"/>
    <w:rsid w:val="00604702"/>
    <w:rsid w:val="0061120B"/>
    <w:rsid w:val="0063073F"/>
    <w:rsid w:val="00630D0F"/>
    <w:rsid w:val="00631531"/>
    <w:rsid w:val="00631806"/>
    <w:rsid w:val="00633A36"/>
    <w:rsid w:val="0063559D"/>
    <w:rsid w:val="00635796"/>
    <w:rsid w:val="006465DB"/>
    <w:rsid w:val="00647D3A"/>
    <w:rsid w:val="006622C0"/>
    <w:rsid w:val="0066530F"/>
    <w:rsid w:val="0066714F"/>
    <w:rsid w:val="00682FB3"/>
    <w:rsid w:val="00683318"/>
    <w:rsid w:val="006875DD"/>
    <w:rsid w:val="00690897"/>
    <w:rsid w:val="006A1759"/>
    <w:rsid w:val="006B48A8"/>
    <w:rsid w:val="006C52AE"/>
    <w:rsid w:val="006D3C66"/>
    <w:rsid w:val="006D4CC6"/>
    <w:rsid w:val="006D6C91"/>
    <w:rsid w:val="006D6CF7"/>
    <w:rsid w:val="006E7C2B"/>
    <w:rsid w:val="006F255D"/>
    <w:rsid w:val="006F6716"/>
    <w:rsid w:val="006F6D5D"/>
    <w:rsid w:val="006F7015"/>
    <w:rsid w:val="006F70ED"/>
    <w:rsid w:val="0070021D"/>
    <w:rsid w:val="00702F24"/>
    <w:rsid w:val="007103E4"/>
    <w:rsid w:val="0072040C"/>
    <w:rsid w:val="007275F6"/>
    <w:rsid w:val="00730E34"/>
    <w:rsid w:val="007429D0"/>
    <w:rsid w:val="007537E8"/>
    <w:rsid w:val="0075706E"/>
    <w:rsid w:val="00762595"/>
    <w:rsid w:val="007710C6"/>
    <w:rsid w:val="00771991"/>
    <w:rsid w:val="00771A83"/>
    <w:rsid w:val="00783962"/>
    <w:rsid w:val="00792B7E"/>
    <w:rsid w:val="00795AE8"/>
    <w:rsid w:val="007A0780"/>
    <w:rsid w:val="007A0DBA"/>
    <w:rsid w:val="007A63D2"/>
    <w:rsid w:val="007A6CCF"/>
    <w:rsid w:val="007B54B7"/>
    <w:rsid w:val="007C5FF6"/>
    <w:rsid w:val="007C6D9E"/>
    <w:rsid w:val="007E000D"/>
    <w:rsid w:val="007E61D6"/>
    <w:rsid w:val="00800E79"/>
    <w:rsid w:val="0081125C"/>
    <w:rsid w:val="0081717A"/>
    <w:rsid w:val="00824A1F"/>
    <w:rsid w:val="00834C7B"/>
    <w:rsid w:val="00840D35"/>
    <w:rsid w:val="008439DF"/>
    <w:rsid w:val="008477FC"/>
    <w:rsid w:val="00853FDB"/>
    <w:rsid w:val="00855385"/>
    <w:rsid w:val="00875DA1"/>
    <w:rsid w:val="00883F37"/>
    <w:rsid w:val="00884EA8"/>
    <w:rsid w:val="00887936"/>
    <w:rsid w:val="00892B5E"/>
    <w:rsid w:val="008A11A5"/>
    <w:rsid w:val="008A657D"/>
    <w:rsid w:val="008B7C45"/>
    <w:rsid w:val="008C153E"/>
    <w:rsid w:val="008C313F"/>
    <w:rsid w:val="008C4ED2"/>
    <w:rsid w:val="008C5BF3"/>
    <w:rsid w:val="008C671D"/>
    <w:rsid w:val="008D3DEB"/>
    <w:rsid w:val="008D59D7"/>
    <w:rsid w:val="008E074B"/>
    <w:rsid w:val="008E285D"/>
    <w:rsid w:val="008E7E20"/>
    <w:rsid w:val="008F1F2E"/>
    <w:rsid w:val="008F75AA"/>
    <w:rsid w:val="00900FEB"/>
    <w:rsid w:val="009162AA"/>
    <w:rsid w:val="009215EF"/>
    <w:rsid w:val="009241E2"/>
    <w:rsid w:val="00926880"/>
    <w:rsid w:val="009270CE"/>
    <w:rsid w:val="009278C6"/>
    <w:rsid w:val="0093562E"/>
    <w:rsid w:val="0093765A"/>
    <w:rsid w:val="00941D64"/>
    <w:rsid w:val="00942966"/>
    <w:rsid w:val="00955A8E"/>
    <w:rsid w:val="009575A7"/>
    <w:rsid w:val="009639AC"/>
    <w:rsid w:val="00970C59"/>
    <w:rsid w:val="0098462A"/>
    <w:rsid w:val="00986AE0"/>
    <w:rsid w:val="00986D98"/>
    <w:rsid w:val="00992BDD"/>
    <w:rsid w:val="00994C9A"/>
    <w:rsid w:val="009976F0"/>
    <w:rsid w:val="00997C2C"/>
    <w:rsid w:val="009A0F16"/>
    <w:rsid w:val="009A5ADD"/>
    <w:rsid w:val="009A6D5B"/>
    <w:rsid w:val="009C6A54"/>
    <w:rsid w:val="009C79FD"/>
    <w:rsid w:val="009D6B15"/>
    <w:rsid w:val="009D7FB8"/>
    <w:rsid w:val="009E0822"/>
    <w:rsid w:val="009F03AC"/>
    <w:rsid w:val="009F07A3"/>
    <w:rsid w:val="009F3AFF"/>
    <w:rsid w:val="009F3D01"/>
    <w:rsid w:val="00A00280"/>
    <w:rsid w:val="00A04115"/>
    <w:rsid w:val="00A05060"/>
    <w:rsid w:val="00A11046"/>
    <w:rsid w:val="00A16239"/>
    <w:rsid w:val="00A2326B"/>
    <w:rsid w:val="00A258F4"/>
    <w:rsid w:val="00A32B18"/>
    <w:rsid w:val="00A33342"/>
    <w:rsid w:val="00A355DB"/>
    <w:rsid w:val="00A43214"/>
    <w:rsid w:val="00A4669B"/>
    <w:rsid w:val="00A4715B"/>
    <w:rsid w:val="00A74AE2"/>
    <w:rsid w:val="00A80A2E"/>
    <w:rsid w:val="00A80A70"/>
    <w:rsid w:val="00A903BC"/>
    <w:rsid w:val="00AA28E0"/>
    <w:rsid w:val="00AA5598"/>
    <w:rsid w:val="00AB5FBD"/>
    <w:rsid w:val="00AB6FFA"/>
    <w:rsid w:val="00AC3EE0"/>
    <w:rsid w:val="00AD7B99"/>
    <w:rsid w:val="00AF1783"/>
    <w:rsid w:val="00AF661B"/>
    <w:rsid w:val="00AF7CB4"/>
    <w:rsid w:val="00B03EFC"/>
    <w:rsid w:val="00B12583"/>
    <w:rsid w:val="00B126C1"/>
    <w:rsid w:val="00B36B26"/>
    <w:rsid w:val="00B4347C"/>
    <w:rsid w:val="00B50212"/>
    <w:rsid w:val="00B507B4"/>
    <w:rsid w:val="00B531C0"/>
    <w:rsid w:val="00B82EBD"/>
    <w:rsid w:val="00B86F6C"/>
    <w:rsid w:val="00BA7337"/>
    <w:rsid w:val="00BB0FB0"/>
    <w:rsid w:val="00BC0F10"/>
    <w:rsid w:val="00BD6356"/>
    <w:rsid w:val="00BE06B2"/>
    <w:rsid w:val="00BE1823"/>
    <w:rsid w:val="00BF443A"/>
    <w:rsid w:val="00BF7E36"/>
    <w:rsid w:val="00C124A0"/>
    <w:rsid w:val="00C12C59"/>
    <w:rsid w:val="00C22216"/>
    <w:rsid w:val="00C249AF"/>
    <w:rsid w:val="00C35C22"/>
    <w:rsid w:val="00C41B87"/>
    <w:rsid w:val="00C47AE1"/>
    <w:rsid w:val="00C52892"/>
    <w:rsid w:val="00C7489A"/>
    <w:rsid w:val="00C84ABE"/>
    <w:rsid w:val="00CA070F"/>
    <w:rsid w:val="00CA1849"/>
    <w:rsid w:val="00CA5E4B"/>
    <w:rsid w:val="00CB694F"/>
    <w:rsid w:val="00CB736E"/>
    <w:rsid w:val="00CC0088"/>
    <w:rsid w:val="00CC1575"/>
    <w:rsid w:val="00CC1915"/>
    <w:rsid w:val="00CC461A"/>
    <w:rsid w:val="00CE42A7"/>
    <w:rsid w:val="00CF3E43"/>
    <w:rsid w:val="00CF6DAA"/>
    <w:rsid w:val="00D173EB"/>
    <w:rsid w:val="00D203E0"/>
    <w:rsid w:val="00D2163D"/>
    <w:rsid w:val="00D222BF"/>
    <w:rsid w:val="00D2572F"/>
    <w:rsid w:val="00D26F24"/>
    <w:rsid w:val="00D26F9D"/>
    <w:rsid w:val="00D32897"/>
    <w:rsid w:val="00D46B64"/>
    <w:rsid w:val="00D53CB6"/>
    <w:rsid w:val="00D54879"/>
    <w:rsid w:val="00D55383"/>
    <w:rsid w:val="00D56810"/>
    <w:rsid w:val="00D57480"/>
    <w:rsid w:val="00D6092E"/>
    <w:rsid w:val="00D60CF1"/>
    <w:rsid w:val="00D610C7"/>
    <w:rsid w:val="00D65712"/>
    <w:rsid w:val="00D70CB0"/>
    <w:rsid w:val="00D73CED"/>
    <w:rsid w:val="00D923DD"/>
    <w:rsid w:val="00D92681"/>
    <w:rsid w:val="00D92F5D"/>
    <w:rsid w:val="00DA1013"/>
    <w:rsid w:val="00DA1E98"/>
    <w:rsid w:val="00DA3A0E"/>
    <w:rsid w:val="00DA498E"/>
    <w:rsid w:val="00DA5D20"/>
    <w:rsid w:val="00DA6C4B"/>
    <w:rsid w:val="00DB477A"/>
    <w:rsid w:val="00DB5F01"/>
    <w:rsid w:val="00DC18C2"/>
    <w:rsid w:val="00DC40A2"/>
    <w:rsid w:val="00DC62F6"/>
    <w:rsid w:val="00DD23D8"/>
    <w:rsid w:val="00DD5E9C"/>
    <w:rsid w:val="00DD7DB1"/>
    <w:rsid w:val="00DE29BE"/>
    <w:rsid w:val="00DF178F"/>
    <w:rsid w:val="00DF3DC9"/>
    <w:rsid w:val="00DF423F"/>
    <w:rsid w:val="00E00C54"/>
    <w:rsid w:val="00E03D0B"/>
    <w:rsid w:val="00E25D4B"/>
    <w:rsid w:val="00E33628"/>
    <w:rsid w:val="00E40EB7"/>
    <w:rsid w:val="00E56B11"/>
    <w:rsid w:val="00E617B2"/>
    <w:rsid w:val="00E64B6C"/>
    <w:rsid w:val="00E736C2"/>
    <w:rsid w:val="00E77423"/>
    <w:rsid w:val="00E77BFE"/>
    <w:rsid w:val="00E842F1"/>
    <w:rsid w:val="00E867AB"/>
    <w:rsid w:val="00E86E05"/>
    <w:rsid w:val="00E90AD0"/>
    <w:rsid w:val="00E90CFA"/>
    <w:rsid w:val="00EA2AFE"/>
    <w:rsid w:val="00EA7EDF"/>
    <w:rsid w:val="00EB2C5B"/>
    <w:rsid w:val="00EB5304"/>
    <w:rsid w:val="00EB6A33"/>
    <w:rsid w:val="00ED5CAF"/>
    <w:rsid w:val="00ED62A0"/>
    <w:rsid w:val="00EE28F9"/>
    <w:rsid w:val="00EF53CE"/>
    <w:rsid w:val="00EF57F3"/>
    <w:rsid w:val="00F00AAD"/>
    <w:rsid w:val="00F05600"/>
    <w:rsid w:val="00F20A58"/>
    <w:rsid w:val="00F22050"/>
    <w:rsid w:val="00F300C3"/>
    <w:rsid w:val="00F3517A"/>
    <w:rsid w:val="00F404A0"/>
    <w:rsid w:val="00F40755"/>
    <w:rsid w:val="00F44F21"/>
    <w:rsid w:val="00F47F1E"/>
    <w:rsid w:val="00F5048B"/>
    <w:rsid w:val="00F50678"/>
    <w:rsid w:val="00F80524"/>
    <w:rsid w:val="00F80DED"/>
    <w:rsid w:val="00F87E60"/>
    <w:rsid w:val="00F9073A"/>
    <w:rsid w:val="00F94B46"/>
    <w:rsid w:val="00F96AA4"/>
    <w:rsid w:val="00FA11B8"/>
    <w:rsid w:val="00FA1D59"/>
    <w:rsid w:val="00FC5159"/>
    <w:rsid w:val="00FC6B65"/>
    <w:rsid w:val="00FD7D7C"/>
    <w:rsid w:val="00FE523B"/>
    <w:rsid w:val="00FF0686"/>
    <w:rsid w:val="00FF142E"/>
    <w:rsid w:val="00FF3867"/>
    <w:rsid w:val="00FF389E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F8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A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29D"/>
  </w:style>
  <w:style w:type="paragraph" w:styleId="Footer">
    <w:name w:val="footer"/>
    <w:basedOn w:val="Normal"/>
    <w:link w:val="FooterChar"/>
    <w:uiPriority w:val="99"/>
    <w:unhideWhenUsed/>
    <w:rsid w:val="003E2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29D"/>
  </w:style>
  <w:style w:type="paragraph" w:styleId="BalloonText">
    <w:name w:val="Balloon Text"/>
    <w:basedOn w:val="Normal"/>
    <w:link w:val="BalloonTextChar"/>
    <w:uiPriority w:val="99"/>
    <w:semiHidden/>
    <w:unhideWhenUsed/>
    <w:rsid w:val="003E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229D"/>
    <w:rPr>
      <w:rFonts w:ascii="Tahoma" w:hAnsi="Tahoma" w:cs="Tahoma"/>
      <w:sz w:val="16"/>
      <w:szCs w:val="16"/>
    </w:rPr>
  </w:style>
  <w:style w:type="paragraph" w:customStyle="1" w:styleId="ExperimentalText">
    <w:name w:val="Experimental Text"/>
    <w:basedOn w:val="Normal"/>
    <w:link w:val="ExperimentalTextChar"/>
    <w:rsid w:val="00116F2B"/>
    <w:pPr>
      <w:spacing w:after="0" w:line="48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ExperimentalTextChar">
    <w:name w:val="Experimental Text Char"/>
    <w:link w:val="ExperimentalText"/>
    <w:rsid w:val="00116F2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31531"/>
    <w:pPr>
      <w:ind w:left="720"/>
      <w:contextualSpacing/>
    </w:pPr>
    <w:rPr>
      <w:rFonts w:eastAsia="SimSun" w:cs="Cordia New"/>
      <w:szCs w:val="28"/>
      <w:lang w:eastAsia="zh-CN" w:bidi="th-TH"/>
    </w:rPr>
  </w:style>
  <w:style w:type="paragraph" w:customStyle="1" w:styleId="TableHead">
    <w:name w:val="TableHead"/>
    <w:basedOn w:val="Normal"/>
    <w:rsid w:val="00631531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after="0" w:line="190" w:lineRule="exact"/>
      <w:jc w:val="both"/>
    </w:pPr>
    <w:rPr>
      <w:rFonts w:ascii="Arial" w:eastAsia="MS Mincho" w:hAnsi="Arial"/>
      <w:sz w:val="16"/>
      <w:szCs w:val="14"/>
      <w:lang w:val="en-GB" w:eastAsia="ja-JP"/>
    </w:rPr>
  </w:style>
  <w:style w:type="paragraph" w:customStyle="1" w:styleId="TableBody">
    <w:name w:val="TableBody"/>
    <w:basedOn w:val="TableHead"/>
    <w:rsid w:val="00631531"/>
  </w:style>
  <w:style w:type="paragraph" w:customStyle="1" w:styleId="Legend">
    <w:name w:val="Legend"/>
    <w:basedOn w:val="Normal"/>
    <w:rsid w:val="00631531"/>
    <w:pPr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408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08D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0408D"/>
    <w:rPr>
      <w:vertAlign w:val="superscript"/>
    </w:rPr>
  </w:style>
  <w:style w:type="table" w:customStyle="1" w:styleId="LightShading1">
    <w:name w:val="Light Shading1"/>
    <w:basedOn w:val="TableNormal"/>
    <w:uiPriority w:val="60"/>
    <w:rsid w:val="0051304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4E337A"/>
  </w:style>
  <w:style w:type="character" w:styleId="CommentReference">
    <w:name w:val="annotation reference"/>
    <w:basedOn w:val="DefaultParagraphFont"/>
    <w:uiPriority w:val="99"/>
    <w:semiHidden/>
    <w:unhideWhenUsed/>
    <w:rsid w:val="00682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F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FB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FB3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8.tiff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7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Desktop\University%20of%20Liverpool\RAFT%20and%20MADIX%20of%20Vinyl%20Acetate\Drafts\Rapid_Communication%20i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EFB3-0C44-41E7-B6F2-F8540620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Rapid_Communication in Template.dot</Template>
  <TotalTime>3</TotalTime>
  <Pages>6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McDonald, Tom</cp:lastModifiedBy>
  <cp:revision>4</cp:revision>
  <dcterms:created xsi:type="dcterms:W3CDTF">2017-04-21T12:46:00Z</dcterms:created>
  <dcterms:modified xsi:type="dcterms:W3CDTF">2017-04-21T12:49:00Z</dcterms:modified>
</cp:coreProperties>
</file>