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68C" w:rsidRDefault="0040268C" w:rsidP="0040268C">
      <w:pPr>
        <w:spacing w:line="240" w:lineRule="auto"/>
        <w:rPr>
          <w:b/>
          <w:sz w:val="28"/>
          <w:szCs w:val="28"/>
        </w:rPr>
      </w:pPr>
      <w:r>
        <w:rPr>
          <w:b/>
          <w:sz w:val="28"/>
          <w:szCs w:val="28"/>
        </w:rPr>
        <w:t xml:space="preserve">MADIX Polymerization of Vinyl Acetate </w:t>
      </w:r>
      <w:r w:rsidRPr="0040268C">
        <w:rPr>
          <w:b/>
          <w:sz w:val="28"/>
          <w:szCs w:val="28"/>
        </w:rPr>
        <w:t>using Ethyl Acetate as a</w:t>
      </w:r>
      <w:r>
        <w:rPr>
          <w:b/>
          <w:sz w:val="28"/>
          <w:szCs w:val="28"/>
        </w:rPr>
        <w:t xml:space="preserve"> Green Solvent</w:t>
      </w:r>
      <w:r w:rsidRPr="0040268C">
        <w:rPr>
          <w:b/>
          <w:sz w:val="28"/>
          <w:szCs w:val="28"/>
        </w:rPr>
        <w:t>;</w:t>
      </w:r>
      <w:r>
        <w:rPr>
          <w:b/>
          <w:sz w:val="28"/>
          <w:szCs w:val="28"/>
        </w:rPr>
        <w:t xml:space="preserve"> Near Complete Monomer Conversion with Molecular Weight Control</w:t>
      </w:r>
    </w:p>
    <w:p w:rsidR="00817286" w:rsidRDefault="00817286">
      <w:pPr>
        <w:rPr>
          <w:b/>
          <w:sz w:val="28"/>
          <w:szCs w:val="28"/>
        </w:rPr>
      </w:pPr>
    </w:p>
    <w:p w:rsidR="007677BA" w:rsidRDefault="007677BA">
      <w:r>
        <w:rPr>
          <w:b/>
          <w:sz w:val="28"/>
          <w:szCs w:val="28"/>
        </w:rPr>
        <w:t>Supplementary Information</w:t>
      </w:r>
    </w:p>
    <w:p w:rsidR="00C67C38" w:rsidRPr="00C67C38" w:rsidRDefault="00C67C38">
      <w:r w:rsidRPr="00C67C38">
        <w:rPr>
          <w:lang w:val="en-US"/>
        </w:rPr>
        <w:t>Martin E. Levere, Pierre Chambon, Steve P. Rannard and Tom O. McDonald</w:t>
      </w:r>
      <w:r w:rsidRPr="00C67C38">
        <w:t xml:space="preserve"> </w:t>
      </w:r>
    </w:p>
    <w:p w:rsidR="00C67C38" w:rsidRDefault="00C67C38">
      <w:r w:rsidRPr="00CF0E57">
        <w:t>Department of Chemistry, University of Liverpool, Crown Street, L69 7ZD</w:t>
      </w:r>
      <w:r>
        <w:t>, United Kingdom</w:t>
      </w:r>
    </w:p>
    <w:p w:rsidR="00BE7297" w:rsidRDefault="00C67C38" w:rsidP="00C5795F">
      <w:pPr>
        <w:spacing w:line="240" w:lineRule="auto"/>
      </w:pPr>
      <w:r>
        <w:t xml:space="preserve">Correspondence to: Tom McDonald (E-mail: </w:t>
      </w:r>
      <w:hyperlink r:id="rId9" w:history="1">
        <w:r w:rsidR="00C5795F" w:rsidRPr="00D03066">
          <w:rPr>
            <w:rStyle w:val="Hyperlink"/>
            <w:i/>
            <w:iCs/>
          </w:rPr>
          <w:t>Thomas.mcdonald@liverpool.ac.uk</w:t>
        </w:r>
      </w:hyperlink>
      <w:r w:rsidR="00C5795F">
        <w:t>)</w:t>
      </w:r>
    </w:p>
    <w:p w:rsidR="00C5795F" w:rsidRPr="00C5795F" w:rsidRDefault="00C5795F" w:rsidP="00C5795F">
      <w:pPr>
        <w:spacing w:line="240" w:lineRule="auto"/>
      </w:pPr>
    </w:p>
    <w:p w:rsidR="006904C9" w:rsidRDefault="006904C9" w:rsidP="00862DFB">
      <w:pPr>
        <w:rPr>
          <w:b/>
          <w:sz w:val="28"/>
          <w:szCs w:val="28"/>
        </w:rPr>
      </w:pPr>
      <w:r>
        <w:rPr>
          <w:b/>
          <w:sz w:val="28"/>
          <w:szCs w:val="28"/>
        </w:rPr>
        <w:t>1.  Materials and Characterisation</w:t>
      </w:r>
    </w:p>
    <w:p w:rsidR="00862DFB" w:rsidRPr="00B5141A" w:rsidRDefault="006904C9" w:rsidP="00862DFB">
      <w:pPr>
        <w:rPr>
          <w:b/>
          <w:sz w:val="28"/>
          <w:szCs w:val="28"/>
        </w:rPr>
      </w:pPr>
      <w:r>
        <w:rPr>
          <w:b/>
          <w:sz w:val="28"/>
          <w:szCs w:val="28"/>
        </w:rPr>
        <w:t xml:space="preserve">1.1   </w:t>
      </w:r>
      <w:r w:rsidR="00862DFB" w:rsidRPr="00B5141A">
        <w:rPr>
          <w:b/>
          <w:sz w:val="28"/>
          <w:szCs w:val="28"/>
        </w:rPr>
        <w:t>Instrumentation</w:t>
      </w:r>
    </w:p>
    <w:p w:rsidR="003012F6" w:rsidRPr="00D15C1F" w:rsidRDefault="003012F6" w:rsidP="003012F6">
      <w:pPr>
        <w:ind w:firstLine="720"/>
        <w:jc w:val="both"/>
      </w:pPr>
      <w:r w:rsidRPr="00B5141A">
        <w:rPr>
          <w:vertAlign w:val="superscript"/>
        </w:rPr>
        <w:t>1</w:t>
      </w:r>
      <w:r>
        <w:t xml:space="preserve">H nuclear magnetic resonance (NMR) spectra were recorded in Chloroform-d3 (conversion analysis) or Methanol-d3 (for product analysis) using a Bruker </w:t>
      </w:r>
      <w:proofErr w:type="spellStart"/>
      <w:r>
        <w:t>Avance</w:t>
      </w:r>
      <w:proofErr w:type="spellEnd"/>
      <w:r>
        <w:t xml:space="preserve"> spectrometer operating at 400 MHz and calibrated against </w:t>
      </w:r>
      <w:proofErr w:type="spellStart"/>
      <w:r>
        <w:t>tetramethylsilane</w:t>
      </w:r>
      <w:proofErr w:type="spellEnd"/>
      <w:r>
        <w:t xml:space="preserve"> as an internal standard. Triple detection gel permeation chromatography </w:t>
      </w:r>
      <w:r w:rsidR="00FB5B78">
        <w:t xml:space="preserve">size exclusion chromatography </w:t>
      </w:r>
      <w:r>
        <w:t xml:space="preserve">was performed using a Malvern </w:t>
      </w:r>
      <w:proofErr w:type="spellStart"/>
      <w:r>
        <w:t>Viscotek</w:t>
      </w:r>
      <w:proofErr w:type="spellEnd"/>
      <w:r>
        <w:t xml:space="preserve"> instrument equipped with a </w:t>
      </w:r>
      <w:proofErr w:type="spellStart"/>
      <w:r>
        <w:t>GPCmax</w:t>
      </w:r>
      <w:proofErr w:type="spellEnd"/>
      <w:r>
        <w:t xml:space="preserve"> VE2001 auto-sampler, two </w:t>
      </w:r>
      <w:proofErr w:type="spellStart"/>
      <w:r>
        <w:t>Viscotek</w:t>
      </w:r>
      <w:proofErr w:type="spellEnd"/>
      <w:r>
        <w:t xml:space="preserve"> T6000 columns (and a guard column), a refractive index (RI) detector VE3580 and a 270 Dual Detector (light scattering and viscometer) with a mobile phase of THF containing 2 v/v% of </w:t>
      </w:r>
      <w:proofErr w:type="spellStart"/>
      <w:r>
        <w:t>triethylamine</w:t>
      </w:r>
      <w:proofErr w:type="spellEnd"/>
      <w:r>
        <w:t xml:space="preserve"> and a flow-rate of 1 mL min</w:t>
      </w:r>
      <w:r w:rsidRPr="00B5141A">
        <w:rPr>
          <w:vertAlign w:val="superscript"/>
        </w:rPr>
        <w:t>-1</w:t>
      </w:r>
      <w:r>
        <w:t xml:space="preserve">. </w:t>
      </w:r>
      <w:r w:rsidRPr="00D15C1F">
        <w:t xml:space="preserve">All polymerization reactions were performed in 15 mL ACE Glass pressure tubes (Manufacturer Number 8648-164) with Teflon screw cap and fitted with a plunger valve and </w:t>
      </w:r>
      <w:proofErr w:type="spellStart"/>
      <w:r w:rsidRPr="00D15C1F">
        <w:t>thermowell</w:t>
      </w:r>
      <w:proofErr w:type="spellEnd"/>
      <w:r w:rsidRPr="00D15C1F">
        <w:t xml:space="preserve"> and with an internal O-ring seal.</w:t>
      </w:r>
    </w:p>
    <w:p w:rsidR="00862DFB" w:rsidRPr="00B5141A" w:rsidRDefault="006904C9" w:rsidP="00862DFB">
      <w:pPr>
        <w:jc w:val="both"/>
        <w:rPr>
          <w:b/>
          <w:sz w:val="28"/>
          <w:szCs w:val="28"/>
        </w:rPr>
      </w:pPr>
      <w:r>
        <w:rPr>
          <w:b/>
          <w:sz w:val="28"/>
          <w:szCs w:val="28"/>
        </w:rPr>
        <w:t xml:space="preserve">1.2   </w:t>
      </w:r>
      <w:r w:rsidR="00862DFB" w:rsidRPr="00B5141A">
        <w:rPr>
          <w:b/>
          <w:sz w:val="28"/>
          <w:szCs w:val="28"/>
        </w:rPr>
        <w:t>Materials</w:t>
      </w:r>
    </w:p>
    <w:p w:rsidR="003012F6" w:rsidRDefault="003012F6" w:rsidP="003012F6">
      <w:pPr>
        <w:ind w:firstLine="720"/>
        <w:jc w:val="both"/>
      </w:pPr>
      <w:r>
        <w:t xml:space="preserve">Vinyl acetate (99%) was purchased from Aldrich passed through a column of basic alumina before use to remove the inhibitor. </w:t>
      </w:r>
      <w:proofErr w:type="spellStart"/>
      <w:r>
        <w:t>Azobisisobutyronitrile</w:t>
      </w:r>
      <w:proofErr w:type="spellEnd"/>
      <w:r>
        <w:t xml:space="preserve"> (AIBN) (97%) and </w:t>
      </w:r>
      <w:proofErr w:type="spellStart"/>
      <w:r w:rsidRPr="00D15C1F">
        <w:t>Azobis</w:t>
      </w:r>
      <w:proofErr w:type="spellEnd"/>
      <w:r w:rsidRPr="00D15C1F">
        <w:t>(4-cyanovaleric acid) (ACVA) we</w:t>
      </w:r>
      <w:r>
        <w:t>re purchased from Aldrich</w:t>
      </w:r>
      <w:r w:rsidR="001B05E8">
        <w:t xml:space="preserve"> were stored at 4°C</w:t>
      </w:r>
      <w:r>
        <w:t xml:space="preserve"> and used as received</w:t>
      </w:r>
      <w:r w:rsidR="004623E3">
        <w:t xml:space="preserve"> within 3</w:t>
      </w:r>
      <w:r w:rsidR="00AB052E">
        <w:t xml:space="preserve"> months of receipt</w:t>
      </w:r>
      <w:r>
        <w:t>.  Dichloromethane (DCM) (Laboratory Reagent Grade) and ethyl acetate (</w:t>
      </w:r>
      <w:proofErr w:type="spellStart"/>
      <w:r>
        <w:t>EtAc</w:t>
      </w:r>
      <w:proofErr w:type="spellEnd"/>
      <w:r>
        <w:t xml:space="preserve">) (Analytical Reagent Grade) were purchased from Fisher and used as received. Potassium Ethyl Xanthate (98%) was purchased from Alfa </w:t>
      </w:r>
      <w:proofErr w:type="spellStart"/>
      <w:r>
        <w:t>Aesar</w:t>
      </w:r>
      <w:proofErr w:type="spellEnd"/>
      <w:r>
        <w:t xml:space="preserve"> and used as received. Benzyl bromide (98%) was purchased from </w:t>
      </w:r>
      <w:proofErr w:type="spellStart"/>
      <w:r>
        <w:t>Fluka</w:t>
      </w:r>
      <w:proofErr w:type="spellEnd"/>
      <w:r>
        <w:t xml:space="preserve"> and used as received. Acetone (Analytical Reagent Grade) was obtained from Fisher and used as received.</w:t>
      </w:r>
    </w:p>
    <w:p w:rsidR="006904C9" w:rsidRDefault="006904C9" w:rsidP="00F3558B">
      <w:pPr>
        <w:jc w:val="both"/>
        <w:rPr>
          <w:b/>
          <w:sz w:val="28"/>
          <w:szCs w:val="28"/>
        </w:rPr>
      </w:pPr>
      <w:r>
        <w:rPr>
          <w:b/>
          <w:sz w:val="28"/>
          <w:szCs w:val="28"/>
        </w:rPr>
        <w:t>2.   Experimental Procedures</w:t>
      </w:r>
    </w:p>
    <w:p w:rsidR="00862DFB" w:rsidRPr="00862DFB" w:rsidRDefault="006904C9" w:rsidP="0092205C">
      <w:pPr>
        <w:jc w:val="both"/>
      </w:pPr>
      <w:r>
        <w:rPr>
          <w:b/>
          <w:sz w:val="28"/>
          <w:szCs w:val="28"/>
        </w:rPr>
        <w:t xml:space="preserve">2.1   </w:t>
      </w:r>
      <w:r w:rsidR="00F3558B" w:rsidRPr="00F3558B">
        <w:rPr>
          <w:b/>
          <w:sz w:val="28"/>
          <w:szCs w:val="28"/>
        </w:rPr>
        <w:t>Synthesis of MA</w:t>
      </w:r>
      <w:r w:rsidR="00F3558B">
        <w:rPr>
          <w:b/>
          <w:sz w:val="28"/>
          <w:szCs w:val="28"/>
        </w:rPr>
        <w:t>DIX Agent S</w:t>
      </w:r>
      <w:r w:rsidR="00F3558B" w:rsidRPr="00F3558B">
        <w:rPr>
          <w:b/>
          <w:sz w:val="28"/>
          <w:szCs w:val="28"/>
        </w:rPr>
        <w:t>-benzy</w:t>
      </w:r>
      <w:r w:rsidR="00266057">
        <w:rPr>
          <w:b/>
          <w:sz w:val="28"/>
          <w:szCs w:val="28"/>
        </w:rPr>
        <w:t>l</w:t>
      </w:r>
      <w:r w:rsidR="00F3558B" w:rsidRPr="00F3558B">
        <w:rPr>
          <w:b/>
          <w:sz w:val="28"/>
          <w:szCs w:val="28"/>
        </w:rPr>
        <w:t xml:space="preserve">-O-ethyl </w:t>
      </w:r>
      <w:proofErr w:type="spellStart"/>
      <w:r w:rsidR="00F3558B" w:rsidRPr="00F3558B">
        <w:rPr>
          <w:b/>
          <w:sz w:val="28"/>
          <w:szCs w:val="28"/>
        </w:rPr>
        <w:t>dithiocarbonate</w:t>
      </w:r>
      <w:proofErr w:type="spellEnd"/>
    </w:p>
    <w:p w:rsidR="00862DFB" w:rsidRDefault="00862DFB" w:rsidP="00862DFB">
      <w:pPr>
        <w:pStyle w:val="ListParagraph"/>
        <w:ind w:left="0" w:firstLine="720"/>
        <w:jc w:val="both"/>
      </w:pPr>
      <w:r w:rsidRPr="00862DFB">
        <w:t xml:space="preserve">Potassium ethyl xanthate (2.80g, 0.021 mol.) was charged to a round bottomed flask along with a Teflon coated magnetic stirring bar and dissolved in approximately 20 mL acetone. Separately, benzyl bromide (3.10 g, 0.0175 mol.) was dissolved in 20 mL of acetone and added </w:t>
      </w:r>
      <w:proofErr w:type="spellStart"/>
      <w:r w:rsidRPr="00862DFB">
        <w:t>dropwise</w:t>
      </w:r>
      <w:proofErr w:type="spellEnd"/>
      <w:r w:rsidRPr="00862DFB">
        <w:t xml:space="preserve"> to the potassium ethyl xanthate</w:t>
      </w:r>
      <w:r w:rsidR="00F20857">
        <w:t xml:space="preserve"> (see scheme 1)</w:t>
      </w:r>
      <w:r w:rsidRPr="00862DFB">
        <w:t xml:space="preserve">. The reaction mixture changed colour from yellow to white. After 2h stirring the mixture was filtered to remove the white salt and the product extracted using a DCM / brine separating funnel. The organic layer was collected, re-filtered and dried under vacuum to give </w:t>
      </w:r>
      <w:proofErr w:type="gramStart"/>
      <w:r w:rsidRPr="00862DFB">
        <w:t>a yellow</w:t>
      </w:r>
      <w:proofErr w:type="gramEnd"/>
      <w:r w:rsidRPr="00862DFB">
        <w:t xml:space="preserve"> oil. Typical Yield = 2.97 g, Purity &gt; 97% (NMR)</w:t>
      </w:r>
      <w:r w:rsidR="00817286">
        <w:t>.</w:t>
      </w:r>
      <w:r w:rsidRPr="00862DFB">
        <w:t xml:space="preserve"> </w:t>
      </w:r>
    </w:p>
    <w:p w:rsidR="00F20857" w:rsidRPr="00F3558B" w:rsidRDefault="00F20857" w:rsidP="00F20857">
      <w:pPr>
        <w:jc w:val="both"/>
        <w:rPr>
          <w:b/>
          <w:sz w:val="28"/>
          <w:szCs w:val="28"/>
        </w:rPr>
      </w:pPr>
    </w:p>
    <w:p w:rsidR="00F20857" w:rsidRPr="00862DFB" w:rsidRDefault="00F20857" w:rsidP="00F20857">
      <w:r>
        <w:rPr>
          <w:noProof/>
          <w:lang w:eastAsia="en-GB"/>
        </w:rPr>
        <w:drawing>
          <wp:anchor distT="0" distB="0" distL="114300" distR="114300" simplePos="0" relativeHeight="251659264" behindDoc="0" locked="0" layoutInCell="1" allowOverlap="1" wp14:anchorId="4A09D60E" wp14:editId="7665A7A1">
            <wp:simplePos x="914400" y="1381125"/>
            <wp:positionH relativeFrom="column">
              <wp:align>left</wp:align>
            </wp:positionH>
            <wp:positionV relativeFrom="paragraph">
              <wp:align>top</wp:align>
            </wp:positionV>
            <wp:extent cx="4212336" cy="655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IX Agent Synthesi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2336" cy="655320"/>
                    </a:xfrm>
                    <a:prstGeom prst="rect">
                      <a:avLst/>
                    </a:prstGeom>
                  </pic:spPr>
                </pic:pic>
              </a:graphicData>
            </a:graphic>
          </wp:anchor>
        </w:drawing>
      </w:r>
      <w:r>
        <w:br w:type="textWrapping" w:clear="all"/>
      </w:r>
      <w:r w:rsidRPr="00862DFB">
        <w:rPr>
          <w:b/>
        </w:rPr>
        <w:t>Scheme S1:</w:t>
      </w:r>
      <w:r w:rsidRPr="00862DFB">
        <w:t xml:space="preserve"> Synthesis of MADIX Agent S-benzyl-O-ethyl </w:t>
      </w:r>
      <w:proofErr w:type="spellStart"/>
      <w:r w:rsidRPr="00862DFB">
        <w:t>dithiocarbonate</w:t>
      </w:r>
      <w:proofErr w:type="spellEnd"/>
      <w:r w:rsidR="00817286">
        <w:t>.</w:t>
      </w:r>
    </w:p>
    <w:p w:rsidR="00F20857" w:rsidRDefault="00F20857" w:rsidP="00862DFB">
      <w:pPr>
        <w:pStyle w:val="ListParagraph"/>
        <w:ind w:left="0" w:firstLine="720"/>
        <w:jc w:val="both"/>
      </w:pPr>
    </w:p>
    <w:p w:rsidR="00CC58AA" w:rsidRPr="00F20857" w:rsidRDefault="00CC58AA" w:rsidP="00CC58AA">
      <w:pPr>
        <w:jc w:val="both"/>
        <w:rPr>
          <w:b/>
        </w:rPr>
      </w:pPr>
      <w:r w:rsidRPr="00F20857">
        <w:rPr>
          <w:b/>
        </w:rPr>
        <w:t>Analysis</w:t>
      </w:r>
    </w:p>
    <w:p w:rsidR="00CC58AA" w:rsidRDefault="00CC58AA" w:rsidP="00CC58AA">
      <w:pPr>
        <w:jc w:val="both"/>
      </w:pPr>
      <w:r w:rsidRPr="00954C4E">
        <w:rPr>
          <w:rFonts w:ascii="Calibri" w:hAnsi="Calibri" w:cs="Calibri"/>
          <w:vertAlign w:val="superscript"/>
        </w:rPr>
        <w:t>1</w:t>
      </w:r>
      <w:r w:rsidRPr="00954C4E">
        <w:rPr>
          <w:rFonts w:ascii="Calibri" w:hAnsi="Calibri" w:cs="Calibri"/>
        </w:rPr>
        <w:t xml:space="preserve">H NMR (400 MHz, </w:t>
      </w:r>
      <w:r>
        <w:rPr>
          <w:rFonts w:ascii="Calibri" w:hAnsi="Calibri" w:cs="Calibri"/>
        </w:rPr>
        <w:t>CDCl</w:t>
      </w:r>
      <w:r w:rsidRPr="00CC58AA">
        <w:rPr>
          <w:rFonts w:ascii="Calibri" w:hAnsi="Calibri" w:cs="Calibri"/>
          <w:vertAlign w:val="subscript"/>
        </w:rPr>
        <w:t>3</w:t>
      </w:r>
      <w:r w:rsidRPr="00954C4E">
        <w:rPr>
          <w:rFonts w:ascii="Calibri" w:hAnsi="Calibri" w:cs="Calibri"/>
        </w:rPr>
        <w:t xml:space="preserve">, </w:t>
      </w:r>
      <w:r w:rsidRPr="00954C4E">
        <w:rPr>
          <w:rFonts w:ascii="Calibri" w:hAnsi="Calibri" w:cs="Calibri"/>
          <w:iCs/>
        </w:rPr>
        <w:t>δ</w:t>
      </w:r>
      <w:r w:rsidRPr="00954C4E">
        <w:rPr>
          <w:rFonts w:ascii="Calibri" w:hAnsi="Calibri" w:cs="Calibri"/>
        </w:rPr>
        <w:t xml:space="preserve">): </w:t>
      </w:r>
      <w:r>
        <w:rPr>
          <w:rFonts w:ascii="Calibri" w:hAnsi="Calibri" w:cs="Calibri"/>
        </w:rPr>
        <w:t>7.49 (m, 5</w:t>
      </w:r>
      <w:r w:rsidRPr="00954C4E">
        <w:rPr>
          <w:rFonts w:ascii="Calibri" w:hAnsi="Calibri" w:cs="Calibri"/>
        </w:rPr>
        <w:t xml:space="preserve">H, </w:t>
      </w:r>
      <w:proofErr w:type="spellStart"/>
      <w:r w:rsidRPr="00954C4E">
        <w:rPr>
          <w:rFonts w:ascii="Calibri" w:hAnsi="Calibri" w:cs="Calibri"/>
        </w:rPr>
        <w:t>Ar</w:t>
      </w:r>
      <w:proofErr w:type="spellEnd"/>
      <w:r w:rsidRPr="00954C4E">
        <w:rPr>
          <w:rFonts w:ascii="Calibri" w:hAnsi="Calibri" w:cs="Calibri"/>
        </w:rPr>
        <w:t xml:space="preserve"> H), </w:t>
      </w:r>
      <w:r>
        <w:rPr>
          <w:rFonts w:ascii="Calibri" w:hAnsi="Calibri" w:cs="Calibri"/>
        </w:rPr>
        <w:t>4.64 (q</w:t>
      </w:r>
      <w:r w:rsidRPr="00954C4E">
        <w:rPr>
          <w:rFonts w:ascii="Calibri" w:hAnsi="Calibri" w:cs="Calibri"/>
        </w:rPr>
        <w:t>, 2H; CH</w:t>
      </w:r>
      <w:r w:rsidRPr="00954C4E">
        <w:rPr>
          <w:rFonts w:ascii="Calibri" w:hAnsi="Calibri" w:cs="Calibri"/>
          <w:vertAlign w:val="subscript"/>
        </w:rPr>
        <w:t>2</w:t>
      </w:r>
      <w:r>
        <w:rPr>
          <w:rFonts w:ascii="Calibri" w:hAnsi="Calibri" w:cs="Calibri"/>
        </w:rPr>
        <w:t>-O</w:t>
      </w:r>
      <w:r w:rsidRPr="00954C4E">
        <w:rPr>
          <w:rFonts w:ascii="Calibri" w:hAnsi="Calibri" w:cs="Calibri"/>
        </w:rPr>
        <w:t xml:space="preserve">), </w:t>
      </w:r>
      <w:r>
        <w:rPr>
          <w:rFonts w:ascii="Calibri" w:hAnsi="Calibri" w:cs="Calibri"/>
        </w:rPr>
        <w:t>4.30 (s</w:t>
      </w:r>
      <w:r w:rsidRPr="00954C4E">
        <w:rPr>
          <w:rFonts w:ascii="Calibri" w:hAnsi="Calibri" w:cs="Calibri"/>
        </w:rPr>
        <w:t xml:space="preserve">, 2H; </w:t>
      </w:r>
      <w:r>
        <w:rPr>
          <w:rFonts w:ascii="Calibri" w:hAnsi="Calibri" w:cs="Calibri"/>
        </w:rPr>
        <w:t>S-</w:t>
      </w:r>
      <w:r w:rsidRPr="00954C4E">
        <w:rPr>
          <w:rFonts w:ascii="Calibri" w:hAnsi="Calibri" w:cs="Calibri"/>
        </w:rPr>
        <w:t>CH</w:t>
      </w:r>
      <w:r w:rsidRPr="00954C4E">
        <w:rPr>
          <w:rFonts w:ascii="Calibri" w:hAnsi="Calibri" w:cs="Calibri"/>
          <w:vertAlign w:val="subscript"/>
        </w:rPr>
        <w:t>2</w:t>
      </w:r>
      <w:r w:rsidRPr="00954C4E">
        <w:rPr>
          <w:rFonts w:ascii="Calibri" w:hAnsi="Calibri" w:cs="Calibri"/>
        </w:rPr>
        <w:t>)</w:t>
      </w:r>
      <w:r>
        <w:rPr>
          <w:rFonts w:ascii="Calibri" w:hAnsi="Calibri" w:cs="Calibri"/>
        </w:rPr>
        <w:t xml:space="preserve"> 1.41</w:t>
      </w:r>
      <w:r w:rsidR="00B153C7">
        <w:rPr>
          <w:rFonts w:ascii="Calibri" w:hAnsi="Calibri" w:cs="Calibri"/>
        </w:rPr>
        <w:t xml:space="preserve"> (t, </w:t>
      </w:r>
      <w:r w:rsidRPr="00954C4E">
        <w:rPr>
          <w:rFonts w:ascii="Calibri" w:hAnsi="Calibri" w:cs="Calibri"/>
        </w:rPr>
        <w:t>3H; CH</w:t>
      </w:r>
      <w:r w:rsidRPr="00954C4E">
        <w:rPr>
          <w:rFonts w:ascii="Calibri" w:hAnsi="Calibri" w:cs="Calibri"/>
          <w:vertAlign w:val="subscript"/>
        </w:rPr>
        <w:t>3</w:t>
      </w:r>
      <w:r w:rsidR="00F20857">
        <w:rPr>
          <w:rFonts w:ascii="Calibri" w:hAnsi="Calibri" w:cs="Calibri"/>
        </w:rPr>
        <w:t>). Spectrum is shown in figure S1.</w:t>
      </w:r>
    </w:p>
    <w:p w:rsidR="0092205C" w:rsidRDefault="0092205C" w:rsidP="00862DFB">
      <w:pPr>
        <w:pStyle w:val="ListParagraph"/>
        <w:ind w:left="0" w:firstLine="720"/>
        <w:jc w:val="both"/>
      </w:pPr>
    </w:p>
    <w:p w:rsidR="00374B35" w:rsidRDefault="004C5519">
      <w:bookmarkStart w:id="0" w:name="_GoBack"/>
      <w:r>
        <w:rPr>
          <w:noProof/>
          <w:lang w:eastAsia="en-GB"/>
        </w:rPr>
        <w:drawing>
          <wp:inline distT="0" distB="0" distL="0" distR="0" wp14:anchorId="34DCD5CF" wp14:editId="170325AB">
            <wp:extent cx="5731510" cy="35204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DIX Agent NMR Spectrum labell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20440"/>
                    </a:xfrm>
                    <a:prstGeom prst="rect">
                      <a:avLst/>
                    </a:prstGeom>
                  </pic:spPr>
                </pic:pic>
              </a:graphicData>
            </a:graphic>
          </wp:inline>
        </w:drawing>
      </w:r>
      <w:bookmarkEnd w:id="0"/>
    </w:p>
    <w:p w:rsidR="00BD4069" w:rsidRDefault="00374B35">
      <w:r w:rsidRPr="00862DFB">
        <w:rPr>
          <w:b/>
        </w:rPr>
        <w:t xml:space="preserve">Figure </w:t>
      </w:r>
      <w:r w:rsidR="00862DFB" w:rsidRPr="00862DFB">
        <w:rPr>
          <w:b/>
        </w:rPr>
        <w:t>S</w:t>
      </w:r>
      <w:r w:rsidRPr="00862DFB">
        <w:rPr>
          <w:b/>
        </w:rPr>
        <w:t>1:</w:t>
      </w:r>
      <w:r w:rsidRPr="00862DFB">
        <w:t xml:space="preserve"> </w:t>
      </w:r>
      <w:r w:rsidRPr="00862DFB">
        <w:rPr>
          <w:vertAlign w:val="superscript"/>
        </w:rPr>
        <w:t>1</w:t>
      </w:r>
      <w:r w:rsidRPr="00862DFB">
        <w:t xml:space="preserve">H NMR Spectrum of MADIX Agent S-benzyl-O-ethyl </w:t>
      </w:r>
      <w:proofErr w:type="spellStart"/>
      <w:r w:rsidRPr="00862DFB">
        <w:t>dithiocarbonate</w:t>
      </w:r>
      <w:proofErr w:type="spellEnd"/>
    </w:p>
    <w:p w:rsidR="003310A3" w:rsidRPr="00862DFB" w:rsidRDefault="003310A3"/>
    <w:p w:rsidR="0033500D" w:rsidRPr="003310A3" w:rsidRDefault="006904C9" w:rsidP="0052295A">
      <w:pPr>
        <w:rPr>
          <w:sz w:val="28"/>
          <w:szCs w:val="28"/>
        </w:rPr>
      </w:pPr>
      <w:r w:rsidRPr="006904C9">
        <w:rPr>
          <w:b/>
          <w:sz w:val="28"/>
          <w:szCs w:val="28"/>
        </w:rPr>
        <w:t xml:space="preserve">2.2   </w:t>
      </w:r>
      <w:r w:rsidR="00862DFB" w:rsidRPr="006904C9">
        <w:rPr>
          <w:b/>
          <w:sz w:val="28"/>
          <w:szCs w:val="28"/>
        </w:rPr>
        <w:t>Polymerisations</w:t>
      </w:r>
      <w:r>
        <w:rPr>
          <w:b/>
          <w:sz w:val="28"/>
          <w:szCs w:val="28"/>
        </w:rPr>
        <w:t xml:space="preserve"> of Vinyl Acetate</w:t>
      </w:r>
    </w:p>
    <w:p w:rsidR="003310A3" w:rsidRPr="00862DFB" w:rsidRDefault="003310A3" w:rsidP="003310A3">
      <w:pPr>
        <w:pStyle w:val="ListParagraph"/>
        <w:ind w:left="0"/>
        <w:rPr>
          <w:b/>
        </w:rPr>
      </w:pPr>
      <w:r w:rsidRPr="00862DFB">
        <w:rPr>
          <w:b/>
        </w:rPr>
        <w:t>Typical Procedure for polymerisation of Vinyl Acetate</w:t>
      </w:r>
    </w:p>
    <w:p w:rsidR="0082526B" w:rsidRDefault="003310A3" w:rsidP="0064534F">
      <w:pPr>
        <w:jc w:val="both"/>
      </w:pPr>
      <w:r w:rsidRPr="00862DFB">
        <w:tab/>
        <w:t>Polymerisation of vinyl acetate was performed in ACE Glass pressure tubes at ratio ranging from [M</w:t>
      </w:r>
      <w:proofErr w:type="gramStart"/>
      <w:r w:rsidRPr="00862DFB">
        <w:t>]</w:t>
      </w:r>
      <w:r w:rsidRPr="00862DFB">
        <w:rPr>
          <w:vertAlign w:val="subscript"/>
        </w:rPr>
        <w:t>0</w:t>
      </w:r>
      <w:proofErr w:type="gramEnd"/>
      <w:r w:rsidRPr="00862DFB">
        <w:t>/[CTA]</w:t>
      </w:r>
      <w:r w:rsidRPr="00862DFB">
        <w:rPr>
          <w:vertAlign w:val="subscript"/>
        </w:rPr>
        <w:t>0</w:t>
      </w:r>
      <w:r w:rsidRPr="00862DFB">
        <w:t>/[AIBN]</w:t>
      </w:r>
      <w:r w:rsidRPr="00862DFB">
        <w:rPr>
          <w:vertAlign w:val="subscript"/>
        </w:rPr>
        <w:t>0</w:t>
      </w:r>
      <w:r w:rsidRPr="00862DFB">
        <w:t xml:space="preserve"> = 25/1/0.2 to 3000/1/0.2. Vinyl acetate (2.0 g, 0.232 mol.) was charged to an ACE Glass pressure tube fitted with plunger valve, </w:t>
      </w:r>
      <w:proofErr w:type="spellStart"/>
      <w:r w:rsidRPr="00862DFB">
        <w:t>thermowell</w:t>
      </w:r>
      <w:proofErr w:type="spellEnd"/>
      <w:r w:rsidRPr="00862DFB">
        <w:t xml:space="preserve"> and back seal along with a Teflon coated stirring bar, MADIX agent S-benzyl-O-ethyl </w:t>
      </w:r>
      <w:proofErr w:type="spellStart"/>
      <w:r w:rsidRPr="00862DFB">
        <w:t>dithiocarbonate</w:t>
      </w:r>
      <w:proofErr w:type="spellEnd"/>
      <w:r w:rsidRPr="00862DFB">
        <w:t xml:space="preserve"> and initiator AIBN and solvent (2.0 mL, or 0 mL in bulk) and the mixture deoxygenated by a series of freeze pump thaw cycles from liquid nitrogen using standard </w:t>
      </w:r>
      <w:proofErr w:type="spellStart"/>
      <w:r w:rsidRPr="00862DFB">
        <w:t>Schlenk</w:t>
      </w:r>
      <w:proofErr w:type="spellEnd"/>
      <w:r w:rsidRPr="00862DFB">
        <w:t xml:space="preserve"> techniques. Polymerisations were typically performed under </w:t>
      </w:r>
      <w:proofErr w:type="gramStart"/>
      <w:r w:rsidRPr="00862DFB">
        <w:t>vacuum,</w:t>
      </w:r>
      <w:proofErr w:type="gramEnd"/>
      <w:r w:rsidRPr="00862DFB">
        <w:t xml:space="preserve"> however some were performed under nitrogen.</w:t>
      </w:r>
      <w:r>
        <w:t xml:space="preserve"> It was found that removing the </w:t>
      </w:r>
      <w:proofErr w:type="spellStart"/>
      <w:r>
        <w:t>thermowell</w:t>
      </w:r>
      <w:proofErr w:type="spellEnd"/>
      <w:r>
        <w:t xml:space="preserve"> </w:t>
      </w:r>
      <w:r>
        <w:lastRenderedPageBreak/>
        <w:t>from the plunger valve facilitated freeze-pump thawing.</w:t>
      </w:r>
      <w:r w:rsidRPr="00862DFB">
        <w:t xml:space="preserve"> The reaction mixture was placed in a </w:t>
      </w:r>
      <w:proofErr w:type="spellStart"/>
      <w:r w:rsidRPr="00862DFB">
        <w:t>thermostatted</w:t>
      </w:r>
      <w:proofErr w:type="spellEnd"/>
      <w:r w:rsidRPr="00862DFB">
        <w:t xml:space="preserve"> oil bath operating at 70</w:t>
      </w:r>
      <w:r w:rsidR="00EF09F4" w:rsidRPr="00EF09F4">
        <w:t>°</w:t>
      </w:r>
      <w:r w:rsidRPr="00862DFB">
        <w:t xml:space="preserve">C to react for a fixed time of 48h. No increase in viscosity was observed for periods up to </w:t>
      </w:r>
      <w:proofErr w:type="gramStart"/>
      <w:r w:rsidRPr="00862DFB">
        <w:t>24h,</w:t>
      </w:r>
      <w:proofErr w:type="gramEnd"/>
      <w:r w:rsidRPr="00862DFB">
        <w:t xml:space="preserve"> howev</w:t>
      </w:r>
      <w:r w:rsidR="00817286">
        <w:t>er polymer had formed after 48h</w:t>
      </w:r>
      <w:r w:rsidRPr="00862DFB">
        <w:t xml:space="preserve"> in accordance with a previously obs</w:t>
      </w:r>
      <w:r w:rsidR="00817286">
        <w:t>erved induction period. After 48h</w:t>
      </w:r>
      <w:r w:rsidRPr="00862DFB">
        <w:t xml:space="preserve"> a sample was taken to measure conversion by </w:t>
      </w:r>
      <w:r w:rsidRPr="00862DFB">
        <w:rPr>
          <w:vertAlign w:val="superscript"/>
        </w:rPr>
        <w:t>1</w:t>
      </w:r>
      <w:r w:rsidRPr="00862DFB">
        <w:t>H NMR analysis and the polymer product precipitated into cold petroleum ether, collected and dried for 24h under vacuum.</w:t>
      </w:r>
    </w:p>
    <w:p w:rsidR="0074719D" w:rsidRDefault="0074719D" w:rsidP="0074719D">
      <w:r>
        <w:t>O</w:t>
      </w:r>
      <w:r>
        <w:t xml:space="preserve">n a practical point of view, 70 °C is about 3 °C below the boiling point of </w:t>
      </w:r>
      <w:r>
        <w:t>vinyl acetate</w:t>
      </w:r>
      <w:r>
        <w:t xml:space="preserve"> and 7 °C below the boiling point of ethyl acetate and</w:t>
      </w:r>
      <w:r>
        <w:t xml:space="preserve"> was selected to</w:t>
      </w:r>
      <w:r>
        <w:t xml:space="preserve"> limit the possible pressure build up in the reactor. However, in order to minimise the risks, pressure reactor were used throughout the series of experiments.</w:t>
      </w:r>
      <w:r>
        <w:t xml:space="preserve"> Note that</w:t>
      </w:r>
      <w:r>
        <w:t xml:space="preserve"> for the synthesis carried out in DCM, the person carrying out the experiment MUST use a pressure tube as the boiling point of DCM is about 39 °C.</w:t>
      </w:r>
    </w:p>
    <w:p w:rsidR="00A76801" w:rsidRPr="00266801" w:rsidRDefault="00817EEE" w:rsidP="00862DFB">
      <w:pPr>
        <w:jc w:val="both"/>
      </w:pPr>
      <w:r>
        <w:t xml:space="preserve">Representative characterisation data for </w:t>
      </w:r>
      <w:proofErr w:type="spellStart"/>
      <w:r>
        <w:t>PVAc</w:t>
      </w:r>
      <w:proofErr w:type="spellEnd"/>
      <w:r w:rsidR="00574432">
        <w:t xml:space="preserve"> with [M</w:t>
      </w:r>
      <w:proofErr w:type="gramStart"/>
      <w:r w:rsidR="00574432">
        <w:t>]</w:t>
      </w:r>
      <w:r w:rsidR="00574432" w:rsidRPr="00A76801">
        <w:rPr>
          <w:vertAlign w:val="subscript"/>
        </w:rPr>
        <w:t>0</w:t>
      </w:r>
      <w:proofErr w:type="gramEnd"/>
      <w:r w:rsidR="00574432">
        <w:t>/[CTA]</w:t>
      </w:r>
      <w:r w:rsidR="00574432" w:rsidRPr="00A76801">
        <w:rPr>
          <w:vertAlign w:val="subscript"/>
        </w:rPr>
        <w:t>0</w:t>
      </w:r>
      <w:r w:rsidR="00574432">
        <w:t xml:space="preserve"> = 100</w:t>
      </w:r>
      <w:r>
        <w:t xml:space="preserve">: </w:t>
      </w:r>
      <w:r w:rsidRPr="00817EEE">
        <w:rPr>
          <w:vertAlign w:val="superscript"/>
        </w:rPr>
        <w:t>1</w:t>
      </w:r>
      <w:r>
        <w:t>H NMR (400 MHz, CDCl</w:t>
      </w:r>
      <w:r w:rsidRPr="00817EEE">
        <w:rPr>
          <w:vertAlign w:val="subscript"/>
        </w:rPr>
        <w:t>3</w:t>
      </w:r>
      <w:r w:rsidR="00266801">
        <w:t>): δ = 4.89</w:t>
      </w:r>
      <w:r>
        <w:t xml:space="preserve"> (</w:t>
      </w:r>
      <w:proofErr w:type="spellStart"/>
      <w:r w:rsidR="00266801">
        <w:t>br</w:t>
      </w:r>
      <w:proofErr w:type="spellEnd"/>
      <w:r w:rsidR="00266801">
        <w:t>, 1H</w:t>
      </w:r>
      <w:r w:rsidR="00E6002F">
        <w:t>;</w:t>
      </w:r>
      <w:r w:rsidR="00266801">
        <w:t xml:space="preserve"> </w:t>
      </w:r>
      <w:r>
        <w:t>–CHO–CH</w:t>
      </w:r>
      <w:r w:rsidRPr="00266801">
        <w:rPr>
          <w:vertAlign w:val="subscript"/>
        </w:rPr>
        <w:t>2</w:t>
      </w:r>
      <w:r w:rsidR="00266801">
        <w:t>), δ = 2.01</w:t>
      </w:r>
      <w:r>
        <w:t xml:space="preserve"> (</w:t>
      </w:r>
      <w:proofErr w:type="spellStart"/>
      <w:r w:rsidR="00266801">
        <w:t>br</w:t>
      </w:r>
      <w:proofErr w:type="spellEnd"/>
      <w:r w:rsidR="00266801">
        <w:t>, 3H</w:t>
      </w:r>
      <w:r w:rsidR="00E6002F">
        <w:t>;</w:t>
      </w:r>
      <w:r w:rsidR="00266801">
        <w:t xml:space="preserve"> </w:t>
      </w:r>
      <w:r>
        <w:t>–CO–CH</w:t>
      </w:r>
      <w:r w:rsidRPr="00266801">
        <w:rPr>
          <w:vertAlign w:val="subscript"/>
        </w:rPr>
        <w:t>3</w:t>
      </w:r>
      <w:r w:rsidR="00266801">
        <w:t>), δ = 1.85</w:t>
      </w:r>
      <w:r>
        <w:t xml:space="preserve"> (</w:t>
      </w:r>
      <w:proofErr w:type="spellStart"/>
      <w:r w:rsidR="00266801">
        <w:t>br</w:t>
      </w:r>
      <w:proofErr w:type="spellEnd"/>
      <w:r w:rsidR="00266801">
        <w:t>, 2H</w:t>
      </w:r>
      <w:r w:rsidR="00E6002F">
        <w:t>;</w:t>
      </w:r>
      <w:r w:rsidR="00266801">
        <w:t xml:space="preserve"> –CH</w:t>
      </w:r>
      <w:r w:rsidR="00266801" w:rsidRPr="00266801">
        <w:rPr>
          <w:vertAlign w:val="subscript"/>
        </w:rPr>
        <w:t>2</w:t>
      </w:r>
      <w:r>
        <w:t>–).</w:t>
      </w:r>
      <w:r w:rsidR="00266801">
        <w:rPr>
          <w:rFonts w:ascii="Calibri" w:hAnsi="Calibri" w:cs="Calibri"/>
          <w:iCs/>
        </w:rPr>
        <w:t xml:space="preserve"> </w:t>
      </w:r>
      <w:r>
        <w:t xml:space="preserve">Representative spectrum for </w:t>
      </w:r>
      <w:proofErr w:type="spellStart"/>
      <w:r>
        <w:t>PVAc</w:t>
      </w:r>
      <w:proofErr w:type="spellEnd"/>
      <w:r>
        <w:t xml:space="preserve"> polymerized</w:t>
      </w:r>
      <w:r w:rsidR="00266801">
        <w:t xml:space="preserve"> in DCM</w:t>
      </w:r>
      <w:r>
        <w:t xml:space="preserve"> is shown in figure S2.</w:t>
      </w:r>
    </w:p>
    <w:p w:rsidR="002E198C" w:rsidRDefault="002E198C" w:rsidP="00862DFB">
      <w:pPr>
        <w:jc w:val="both"/>
        <w:rPr>
          <w:b/>
          <w:sz w:val="28"/>
          <w:szCs w:val="28"/>
        </w:rPr>
      </w:pPr>
      <w:r>
        <w:rPr>
          <w:b/>
          <w:noProof/>
          <w:sz w:val="28"/>
          <w:szCs w:val="28"/>
          <w:lang w:eastAsia="en-GB"/>
        </w:rPr>
        <w:drawing>
          <wp:inline distT="0" distB="0" distL="0" distR="0" wp14:anchorId="6EC8BED3" wp14:editId="264D9D37">
            <wp:extent cx="5613400" cy="417997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 PVAc in DCM.tif"/>
                    <pic:cNvPicPr/>
                  </pic:nvPicPr>
                  <pic:blipFill rotWithShape="1">
                    <a:blip r:embed="rId12" cstate="print">
                      <a:extLst>
                        <a:ext uri="{28A0092B-C50C-407E-A947-70E740481C1C}">
                          <a14:useLocalDpi xmlns:a14="http://schemas.microsoft.com/office/drawing/2010/main" val="0"/>
                        </a:ext>
                      </a:extLst>
                    </a:blip>
                    <a:srcRect l="4429" r="3701" b="3248"/>
                    <a:stretch/>
                  </pic:blipFill>
                  <pic:spPr bwMode="auto">
                    <a:xfrm>
                      <a:off x="0" y="0"/>
                      <a:ext cx="5621350" cy="4185899"/>
                    </a:xfrm>
                    <a:prstGeom prst="rect">
                      <a:avLst/>
                    </a:prstGeom>
                    <a:ln>
                      <a:noFill/>
                    </a:ln>
                    <a:extLst>
                      <a:ext uri="{53640926-AAD7-44D8-BBD7-CCE9431645EC}">
                        <a14:shadowObscured xmlns:a14="http://schemas.microsoft.com/office/drawing/2010/main"/>
                      </a:ext>
                    </a:extLst>
                  </pic:spPr>
                </pic:pic>
              </a:graphicData>
            </a:graphic>
          </wp:inline>
        </w:drawing>
      </w:r>
    </w:p>
    <w:p w:rsidR="00A76801" w:rsidRPr="00266801" w:rsidRDefault="00817EEE" w:rsidP="00862DFB">
      <w:pPr>
        <w:jc w:val="both"/>
      </w:pPr>
      <w:r>
        <w:rPr>
          <w:b/>
        </w:rPr>
        <w:t>Figure S2</w:t>
      </w:r>
      <w:r w:rsidR="00A76801">
        <w:rPr>
          <w:b/>
        </w:rPr>
        <w:t>:</w:t>
      </w:r>
      <w:r w:rsidR="00A76801">
        <w:t xml:space="preserve"> </w:t>
      </w:r>
      <w:r w:rsidR="00A76801" w:rsidRPr="00A76801">
        <w:rPr>
          <w:vertAlign w:val="superscript"/>
        </w:rPr>
        <w:t>1</w:t>
      </w:r>
      <w:r w:rsidR="00A76801">
        <w:t xml:space="preserve">H NMR spectrum </w:t>
      </w:r>
      <w:r>
        <w:t>(400 MHz, CDCl</w:t>
      </w:r>
      <w:r w:rsidRPr="00817EEE">
        <w:rPr>
          <w:vertAlign w:val="subscript"/>
        </w:rPr>
        <w:t>3</w:t>
      </w:r>
      <w:r>
        <w:t xml:space="preserve">) </w:t>
      </w:r>
      <w:r w:rsidR="00A76801">
        <w:t xml:space="preserve">of </w:t>
      </w:r>
      <w:proofErr w:type="gramStart"/>
      <w:r w:rsidR="00A76801">
        <w:t>poly(</w:t>
      </w:r>
      <w:proofErr w:type="gramEnd"/>
      <w:r w:rsidR="00A76801">
        <w:t xml:space="preserve">vinyl acetate) prepared in dichloromethane mediated by S-benzyl-O-ethyl </w:t>
      </w:r>
      <w:proofErr w:type="spellStart"/>
      <w:r w:rsidR="00A76801">
        <w:t>dithiocarbonate</w:t>
      </w:r>
      <w:proofErr w:type="spellEnd"/>
      <w:r w:rsidR="00A76801">
        <w:t xml:space="preserve"> using ratio [M]</w:t>
      </w:r>
      <w:r w:rsidR="00A76801" w:rsidRPr="00A76801">
        <w:rPr>
          <w:vertAlign w:val="subscript"/>
        </w:rPr>
        <w:t>0</w:t>
      </w:r>
      <w:r w:rsidR="00A76801">
        <w:t>/[CTA]</w:t>
      </w:r>
      <w:r w:rsidR="00A76801" w:rsidRPr="00A76801">
        <w:rPr>
          <w:vertAlign w:val="subscript"/>
        </w:rPr>
        <w:t>0</w:t>
      </w:r>
      <w:r w:rsidR="00A76801">
        <w:t xml:space="preserve"> = 100</w:t>
      </w:r>
    </w:p>
    <w:p w:rsidR="00266801" w:rsidRDefault="00266801" w:rsidP="00266801"/>
    <w:p w:rsidR="00266801" w:rsidRDefault="00266801" w:rsidP="00266801">
      <w:r>
        <w:rPr>
          <w:noProof/>
          <w:lang w:eastAsia="en-GB"/>
        </w:rPr>
        <w:lastRenderedPageBreak/>
        <w:drawing>
          <wp:inline distT="0" distB="0" distL="0" distR="0" wp14:anchorId="0A950480" wp14:editId="11DA5AD9">
            <wp:extent cx="4944533" cy="661754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nyl Acetate in Bulk final.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4595" cy="6644398"/>
                    </a:xfrm>
                    <a:prstGeom prst="rect">
                      <a:avLst/>
                    </a:prstGeom>
                  </pic:spPr>
                </pic:pic>
              </a:graphicData>
            </a:graphic>
          </wp:inline>
        </w:drawing>
      </w:r>
    </w:p>
    <w:p w:rsidR="00266801" w:rsidRDefault="00266801" w:rsidP="00266801">
      <w:pPr>
        <w:jc w:val="both"/>
      </w:pPr>
      <w:r>
        <w:rPr>
          <w:b/>
        </w:rPr>
        <w:t>Figure S3</w:t>
      </w:r>
      <w:r w:rsidRPr="002C7A0D">
        <w:rPr>
          <w:b/>
        </w:rPr>
        <w:t>:</w:t>
      </w:r>
      <w:r>
        <w:t xml:space="preserve"> </w:t>
      </w:r>
      <w:r w:rsidR="00817286">
        <w:t xml:space="preserve">MADIX polymerisation of vinyl acetate mediated by S-benzyl-O-ethyl </w:t>
      </w:r>
      <w:proofErr w:type="spellStart"/>
      <w:r w:rsidR="00817286">
        <w:t>dithiocarbonate</w:t>
      </w:r>
      <w:proofErr w:type="spellEnd"/>
      <w:r w:rsidR="00817286">
        <w:t xml:space="preserve"> in ACE Glass pressure tubes at 70</w:t>
      </w:r>
      <w:r w:rsidR="00817286" w:rsidRPr="002C7A0D">
        <w:rPr>
          <w:vertAlign w:val="superscript"/>
        </w:rPr>
        <w:t>o</w:t>
      </w:r>
      <w:r w:rsidR="00817286">
        <w:t xml:space="preserve">C in bulk. (A) </w:t>
      </w:r>
      <w:r>
        <w:t>Plot of experimentally measured (GPC with Triple Detection) number average molecular weight (</w:t>
      </w:r>
      <w:r w:rsidRPr="00B320DA">
        <w:rPr>
          <w:i/>
        </w:rPr>
        <w:t>M</w:t>
      </w:r>
      <w:r w:rsidRPr="00B320DA">
        <w:rPr>
          <w:i/>
          <w:vertAlign w:val="subscript"/>
        </w:rPr>
        <w:t>n</w:t>
      </w:r>
      <w:r>
        <w:t xml:space="preserve">) and </w:t>
      </w:r>
      <w:r w:rsidRPr="00B320DA">
        <w:rPr>
          <w:i/>
        </w:rPr>
        <w:t>M</w:t>
      </w:r>
      <w:r w:rsidRPr="00B320DA">
        <w:rPr>
          <w:i/>
          <w:vertAlign w:val="subscript"/>
        </w:rPr>
        <w:t>w</w:t>
      </w:r>
      <w:r w:rsidRPr="00B320DA">
        <w:rPr>
          <w:i/>
        </w:rPr>
        <w:t>/M</w:t>
      </w:r>
      <w:r w:rsidRPr="00B320DA">
        <w:rPr>
          <w:i/>
          <w:vertAlign w:val="subscript"/>
        </w:rPr>
        <w:t>n</w:t>
      </w:r>
      <w:r>
        <w:t xml:space="preserve"> versus theoretical molecular weight (</w:t>
      </w:r>
      <w:r w:rsidRPr="00B320DA">
        <w:rPr>
          <w:i/>
        </w:rPr>
        <w:t>M</w:t>
      </w:r>
      <w:r w:rsidRPr="00B320DA">
        <w:rPr>
          <w:i/>
          <w:vertAlign w:val="subscript"/>
        </w:rPr>
        <w:t>n</w:t>
      </w:r>
      <w:r>
        <w:rPr>
          <w:i/>
        </w:rPr>
        <w:t>)</w:t>
      </w:r>
      <w:r>
        <w:t xml:space="preserve">. The line represents the theoretical value.  Conditions: Vinyl acetate = 2.0 g, Solvent = 0 </w:t>
      </w:r>
      <w:proofErr w:type="spellStart"/>
      <w:r>
        <w:t>mL.</w:t>
      </w:r>
      <w:proofErr w:type="spellEnd"/>
      <w:r>
        <w:t xml:space="preserve"> Fixed Ratio [CTA</w:t>
      </w:r>
      <w:proofErr w:type="gramStart"/>
      <w:r>
        <w:t>]</w:t>
      </w:r>
      <w:r w:rsidRPr="002C7A0D">
        <w:rPr>
          <w:vertAlign w:val="subscript"/>
        </w:rPr>
        <w:t>0</w:t>
      </w:r>
      <w:proofErr w:type="gramEnd"/>
      <w:r w:rsidRPr="002C7A0D">
        <w:rPr>
          <w:vertAlign w:val="subscript"/>
        </w:rPr>
        <w:t xml:space="preserve"> </w:t>
      </w:r>
      <w:r>
        <w:t>/ [AIBN]</w:t>
      </w:r>
      <w:r w:rsidRPr="002C7A0D">
        <w:rPr>
          <w:vertAlign w:val="subscript"/>
        </w:rPr>
        <w:t>0</w:t>
      </w:r>
      <w:r>
        <w:t xml:space="preserve"> = 1/0.2.</w:t>
      </w:r>
      <w:r w:rsidR="00817286">
        <w:t xml:space="preserve"> (B-F)</w:t>
      </w:r>
      <w:r>
        <w:t xml:space="preserve"> Raw SEC chromatogra</w:t>
      </w:r>
      <w:r w:rsidR="00817286">
        <w:t>ms in THF from the RI detector</w:t>
      </w:r>
      <w:r>
        <w:t xml:space="preserve"> are shown, corresponding to </w:t>
      </w:r>
      <w:r w:rsidR="00817286">
        <w:t>a different [M</w:t>
      </w:r>
      <w:proofErr w:type="gramStart"/>
      <w:r w:rsidR="00817286">
        <w:t>]</w:t>
      </w:r>
      <w:r w:rsidR="00817286" w:rsidRPr="00E33628">
        <w:rPr>
          <w:vertAlign w:val="subscript"/>
        </w:rPr>
        <w:t>0</w:t>
      </w:r>
      <w:proofErr w:type="gramEnd"/>
      <w:r w:rsidR="00817286">
        <w:t>/[CTA]</w:t>
      </w:r>
      <w:r w:rsidR="00817286" w:rsidRPr="00E33628">
        <w:rPr>
          <w:vertAlign w:val="subscript"/>
        </w:rPr>
        <w:t>0</w:t>
      </w:r>
      <w:r>
        <w:t>.</w:t>
      </w:r>
    </w:p>
    <w:p w:rsidR="00266801" w:rsidRDefault="00266801" w:rsidP="00266801">
      <w:pPr>
        <w:jc w:val="both"/>
        <w:rPr>
          <w:b/>
          <w:sz w:val="28"/>
          <w:szCs w:val="28"/>
        </w:rPr>
      </w:pPr>
    </w:p>
    <w:p w:rsidR="00266801" w:rsidRDefault="00266801" w:rsidP="00266801">
      <w:r>
        <w:rPr>
          <w:noProof/>
          <w:lang w:eastAsia="en-GB"/>
        </w:rPr>
        <w:lastRenderedPageBreak/>
        <w:drawing>
          <wp:inline distT="0" distB="0" distL="0" distR="0" wp14:anchorId="00DC0117" wp14:editId="1322830F">
            <wp:extent cx="4902200" cy="652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yl Acetate in DCM Fina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6791" cy="6530610"/>
                    </a:xfrm>
                    <a:prstGeom prst="rect">
                      <a:avLst/>
                    </a:prstGeom>
                  </pic:spPr>
                </pic:pic>
              </a:graphicData>
            </a:graphic>
          </wp:inline>
        </w:drawing>
      </w:r>
    </w:p>
    <w:p w:rsidR="00266801" w:rsidRPr="00165E3B" w:rsidRDefault="00266801" w:rsidP="00266801">
      <w:pPr>
        <w:jc w:val="both"/>
      </w:pPr>
      <w:r>
        <w:rPr>
          <w:b/>
        </w:rPr>
        <w:t>Figure S4</w:t>
      </w:r>
      <w:r w:rsidRPr="002C7A0D">
        <w:rPr>
          <w:b/>
        </w:rPr>
        <w:t>:</w:t>
      </w:r>
      <w:r>
        <w:t xml:space="preserve"> </w:t>
      </w:r>
      <w:r w:rsidR="00817286">
        <w:t xml:space="preserve">MADIX polymerisation of vinyl acetate mediated by S-benzyl-O-ethyl </w:t>
      </w:r>
      <w:proofErr w:type="spellStart"/>
      <w:r w:rsidR="00817286">
        <w:t>dithiocarbonate</w:t>
      </w:r>
      <w:proofErr w:type="spellEnd"/>
      <w:r w:rsidR="00817286">
        <w:t xml:space="preserve"> in ACE Glass pressure tubes at 70</w:t>
      </w:r>
      <w:r w:rsidR="00817286" w:rsidRPr="002C7A0D">
        <w:rPr>
          <w:vertAlign w:val="superscript"/>
        </w:rPr>
        <w:t>o</w:t>
      </w:r>
      <w:r w:rsidR="00817286">
        <w:t>C in DCM. (A) Plot of experimentally measured (GPC with Triple Detection) number average molecular weight (</w:t>
      </w:r>
      <w:r w:rsidR="00817286" w:rsidRPr="00B320DA">
        <w:rPr>
          <w:i/>
        </w:rPr>
        <w:t>M</w:t>
      </w:r>
      <w:r w:rsidR="00817286" w:rsidRPr="00B320DA">
        <w:rPr>
          <w:i/>
          <w:vertAlign w:val="subscript"/>
        </w:rPr>
        <w:t>n</w:t>
      </w:r>
      <w:r w:rsidR="00817286">
        <w:t xml:space="preserve">) and </w:t>
      </w:r>
      <w:r w:rsidR="00817286" w:rsidRPr="00B320DA">
        <w:rPr>
          <w:i/>
        </w:rPr>
        <w:t>M</w:t>
      </w:r>
      <w:r w:rsidR="00817286" w:rsidRPr="00B320DA">
        <w:rPr>
          <w:i/>
          <w:vertAlign w:val="subscript"/>
        </w:rPr>
        <w:t>w</w:t>
      </w:r>
      <w:r w:rsidR="00817286" w:rsidRPr="00B320DA">
        <w:rPr>
          <w:i/>
        </w:rPr>
        <w:t>/M</w:t>
      </w:r>
      <w:r w:rsidR="00817286" w:rsidRPr="00B320DA">
        <w:rPr>
          <w:i/>
          <w:vertAlign w:val="subscript"/>
        </w:rPr>
        <w:t>n</w:t>
      </w:r>
      <w:r w:rsidR="00817286">
        <w:t xml:space="preserve"> versus theoretical molecular weight (</w:t>
      </w:r>
      <w:r w:rsidR="00817286" w:rsidRPr="00B320DA">
        <w:rPr>
          <w:i/>
        </w:rPr>
        <w:t>M</w:t>
      </w:r>
      <w:r w:rsidR="00817286" w:rsidRPr="00B320DA">
        <w:rPr>
          <w:i/>
          <w:vertAlign w:val="subscript"/>
        </w:rPr>
        <w:t>n</w:t>
      </w:r>
      <w:r w:rsidR="00817286">
        <w:rPr>
          <w:i/>
        </w:rPr>
        <w:t>)</w:t>
      </w:r>
      <w:r w:rsidR="00817286">
        <w:t xml:space="preserve">. The line represents the theoretical value.  Conditions: Vinyl acetate = 2.0 g, Solvent = 2 </w:t>
      </w:r>
      <w:proofErr w:type="spellStart"/>
      <w:r w:rsidR="00817286">
        <w:t>mL.</w:t>
      </w:r>
      <w:proofErr w:type="spellEnd"/>
      <w:r w:rsidR="00817286">
        <w:t xml:space="preserve"> Fixed Ratio [CTA</w:t>
      </w:r>
      <w:proofErr w:type="gramStart"/>
      <w:r w:rsidR="00817286">
        <w:t>]</w:t>
      </w:r>
      <w:r w:rsidR="00817286" w:rsidRPr="002C7A0D">
        <w:rPr>
          <w:vertAlign w:val="subscript"/>
        </w:rPr>
        <w:t>0</w:t>
      </w:r>
      <w:proofErr w:type="gramEnd"/>
      <w:r w:rsidR="00817286" w:rsidRPr="002C7A0D">
        <w:rPr>
          <w:vertAlign w:val="subscript"/>
        </w:rPr>
        <w:t xml:space="preserve"> </w:t>
      </w:r>
      <w:r w:rsidR="00817286">
        <w:t>/ [AIBN]</w:t>
      </w:r>
      <w:r w:rsidR="00817286" w:rsidRPr="002C7A0D">
        <w:rPr>
          <w:vertAlign w:val="subscript"/>
        </w:rPr>
        <w:t>0</w:t>
      </w:r>
      <w:r w:rsidR="00817286">
        <w:t xml:space="preserve"> = 1/0.2. (B-F) Raw SEC chromatograms in THF from the RI detector are shown, corresponding to a different [M</w:t>
      </w:r>
      <w:proofErr w:type="gramStart"/>
      <w:r w:rsidR="00817286">
        <w:t>]</w:t>
      </w:r>
      <w:r w:rsidR="00817286" w:rsidRPr="00E33628">
        <w:rPr>
          <w:vertAlign w:val="subscript"/>
        </w:rPr>
        <w:t>0</w:t>
      </w:r>
      <w:proofErr w:type="gramEnd"/>
      <w:r w:rsidR="00817286">
        <w:t>/[CTA]</w:t>
      </w:r>
      <w:r w:rsidR="00817286" w:rsidRPr="00E33628">
        <w:rPr>
          <w:vertAlign w:val="subscript"/>
        </w:rPr>
        <w:t>0</w:t>
      </w:r>
      <w:r w:rsidR="00817286">
        <w:t>.</w:t>
      </w:r>
    </w:p>
    <w:p w:rsidR="00266801" w:rsidRDefault="00266801" w:rsidP="00266801">
      <w:pPr>
        <w:jc w:val="both"/>
        <w:rPr>
          <w:b/>
          <w:sz w:val="28"/>
          <w:szCs w:val="28"/>
        </w:rPr>
      </w:pPr>
    </w:p>
    <w:p w:rsidR="00266801" w:rsidRDefault="00266801" w:rsidP="00266801">
      <w:pPr>
        <w:jc w:val="both"/>
        <w:rPr>
          <w:b/>
          <w:sz w:val="28"/>
          <w:szCs w:val="28"/>
        </w:rPr>
      </w:pPr>
    </w:p>
    <w:p w:rsidR="00266801" w:rsidRDefault="00266801" w:rsidP="00266801">
      <w:r>
        <w:rPr>
          <w:noProof/>
          <w:lang w:eastAsia="en-GB"/>
        </w:rPr>
        <w:lastRenderedPageBreak/>
        <w:drawing>
          <wp:inline distT="0" distB="0" distL="0" distR="0" wp14:anchorId="2E0A96AA" wp14:editId="6742D049">
            <wp:extent cx="4936067" cy="6614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nyl Acetate in Ethyl Acetate Final.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0103" cy="6633777"/>
                    </a:xfrm>
                    <a:prstGeom prst="rect">
                      <a:avLst/>
                    </a:prstGeom>
                  </pic:spPr>
                </pic:pic>
              </a:graphicData>
            </a:graphic>
          </wp:inline>
        </w:drawing>
      </w:r>
    </w:p>
    <w:p w:rsidR="00817286" w:rsidRPr="00D5452B" w:rsidRDefault="00266801" w:rsidP="00266801">
      <w:pPr>
        <w:jc w:val="both"/>
        <w:rPr>
          <w:b/>
        </w:rPr>
      </w:pPr>
      <w:r>
        <w:rPr>
          <w:b/>
        </w:rPr>
        <w:t>Figure S5</w:t>
      </w:r>
      <w:r w:rsidRPr="002C7A0D">
        <w:rPr>
          <w:b/>
        </w:rPr>
        <w:t>:</w:t>
      </w:r>
      <w:r>
        <w:t xml:space="preserve"> </w:t>
      </w:r>
      <w:r w:rsidR="00817286">
        <w:t xml:space="preserve">MADIX polymerisation of vinyl acetate mediated by S-benzyl-O-ethyl </w:t>
      </w:r>
      <w:proofErr w:type="spellStart"/>
      <w:r w:rsidR="00817286">
        <w:t>dithiocarbonate</w:t>
      </w:r>
      <w:proofErr w:type="spellEnd"/>
      <w:r w:rsidR="00817286">
        <w:t xml:space="preserve"> in ACE Glass pressure tubes at 70</w:t>
      </w:r>
      <w:r w:rsidR="00817286" w:rsidRPr="002C7A0D">
        <w:rPr>
          <w:vertAlign w:val="superscript"/>
        </w:rPr>
        <w:t>o</w:t>
      </w:r>
      <w:r w:rsidR="00817286">
        <w:t>C in ethyl acetate. (A) Plot of experimentally measured (GPC with Triple Detection) number average molecular weight (</w:t>
      </w:r>
      <w:r w:rsidR="00817286" w:rsidRPr="00B320DA">
        <w:rPr>
          <w:i/>
        </w:rPr>
        <w:t>M</w:t>
      </w:r>
      <w:r w:rsidR="00817286" w:rsidRPr="00B320DA">
        <w:rPr>
          <w:i/>
          <w:vertAlign w:val="subscript"/>
        </w:rPr>
        <w:t>n</w:t>
      </w:r>
      <w:r w:rsidR="00817286">
        <w:t xml:space="preserve">) and </w:t>
      </w:r>
      <w:r w:rsidR="00817286" w:rsidRPr="00B320DA">
        <w:rPr>
          <w:i/>
        </w:rPr>
        <w:t>M</w:t>
      </w:r>
      <w:r w:rsidR="00817286" w:rsidRPr="00B320DA">
        <w:rPr>
          <w:i/>
          <w:vertAlign w:val="subscript"/>
        </w:rPr>
        <w:t>w</w:t>
      </w:r>
      <w:r w:rsidR="00817286" w:rsidRPr="00B320DA">
        <w:rPr>
          <w:i/>
        </w:rPr>
        <w:t>/M</w:t>
      </w:r>
      <w:r w:rsidR="00817286" w:rsidRPr="00B320DA">
        <w:rPr>
          <w:i/>
          <w:vertAlign w:val="subscript"/>
        </w:rPr>
        <w:t>n</w:t>
      </w:r>
      <w:r w:rsidR="00817286">
        <w:t xml:space="preserve"> versus theoretical molecular weight (</w:t>
      </w:r>
      <w:r w:rsidR="00817286" w:rsidRPr="00B320DA">
        <w:rPr>
          <w:i/>
        </w:rPr>
        <w:t>M</w:t>
      </w:r>
      <w:r w:rsidR="00817286" w:rsidRPr="00B320DA">
        <w:rPr>
          <w:i/>
          <w:vertAlign w:val="subscript"/>
        </w:rPr>
        <w:t>n</w:t>
      </w:r>
      <w:r w:rsidR="00817286">
        <w:rPr>
          <w:i/>
        </w:rPr>
        <w:t>)</w:t>
      </w:r>
      <w:r w:rsidR="00817286">
        <w:t xml:space="preserve">. The line represents the theoretical value.  Conditions: Vinyl acetate = 2.0 g, Solvent = 2 </w:t>
      </w:r>
      <w:proofErr w:type="spellStart"/>
      <w:r w:rsidR="00817286">
        <w:t>mL.</w:t>
      </w:r>
      <w:proofErr w:type="spellEnd"/>
      <w:r w:rsidR="00817286">
        <w:t xml:space="preserve"> Fixed Ratio [CTA</w:t>
      </w:r>
      <w:proofErr w:type="gramStart"/>
      <w:r w:rsidR="00817286">
        <w:t>]</w:t>
      </w:r>
      <w:r w:rsidR="00817286" w:rsidRPr="002C7A0D">
        <w:rPr>
          <w:vertAlign w:val="subscript"/>
        </w:rPr>
        <w:t>0</w:t>
      </w:r>
      <w:proofErr w:type="gramEnd"/>
      <w:r w:rsidR="00817286" w:rsidRPr="002C7A0D">
        <w:rPr>
          <w:vertAlign w:val="subscript"/>
        </w:rPr>
        <w:t xml:space="preserve"> </w:t>
      </w:r>
      <w:r w:rsidR="00817286">
        <w:t>/ [AIBN]</w:t>
      </w:r>
      <w:r w:rsidR="00817286" w:rsidRPr="002C7A0D">
        <w:rPr>
          <w:vertAlign w:val="subscript"/>
        </w:rPr>
        <w:t>0</w:t>
      </w:r>
      <w:r w:rsidR="00817286">
        <w:t xml:space="preserve"> = 1/0.2. (B-F) Raw SEC chromatograms in THF from the RI detector are shown, corresponding to a different [M</w:t>
      </w:r>
      <w:proofErr w:type="gramStart"/>
      <w:r w:rsidR="00817286">
        <w:t>]</w:t>
      </w:r>
      <w:r w:rsidR="00817286" w:rsidRPr="00E33628">
        <w:rPr>
          <w:vertAlign w:val="subscript"/>
        </w:rPr>
        <w:t>0</w:t>
      </w:r>
      <w:proofErr w:type="gramEnd"/>
      <w:r w:rsidR="00817286">
        <w:t>/[CTA]</w:t>
      </w:r>
      <w:r w:rsidR="00817286" w:rsidRPr="00E33628">
        <w:rPr>
          <w:vertAlign w:val="subscript"/>
        </w:rPr>
        <w:t>0</w:t>
      </w:r>
      <w:r w:rsidR="00817286">
        <w:t>.</w:t>
      </w:r>
    </w:p>
    <w:p w:rsidR="00266801" w:rsidRDefault="00B536CE" w:rsidP="00B536CE">
      <w:pPr>
        <w:jc w:val="center"/>
      </w:pPr>
      <w:r>
        <w:rPr>
          <w:noProof/>
          <w:lang w:eastAsia="en-GB"/>
        </w:rPr>
        <w:lastRenderedPageBreak/>
        <w:drawing>
          <wp:inline distT="0" distB="0" distL="0" distR="0" wp14:anchorId="093D5E85" wp14:editId="125FD5F5">
            <wp:extent cx="3547533" cy="28673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gh MWt and No CTA.tif"/>
                    <pic:cNvPicPr/>
                  </pic:nvPicPr>
                  <pic:blipFill rotWithShape="1">
                    <a:blip r:embed="rId16" cstate="print">
                      <a:extLst>
                        <a:ext uri="{28A0092B-C50C-407E-A947-70E740481C1C}">
                          <a14:useLocalDpi xmlns:a14="http://schemas.microsoft.com/office/drawing/2010/main" val="0"/>
                        </a:ext>
                      </a:extLst>
                    </a:blip>
                    <a:srcRect l="55122"/>
                    <a:stretch/>
                  </pic:blipFill>
                  <pic:spPr bwMode="auto">
                    <a:xfrm>
                      <a:off x="0" y="0"/>
                      <a:ext cx="3556803" cy="2874795"/>
                    </a:xfrm>
                    <a:prstGeom prst="rect">
                      <a:avLst/>
                    </a:prstGeom>
                    <a:ln>
                      <a:noFill/>
                    </a:ln>
                    <a:extLst>
                      <a:ext uri="{53640926-AAD7-44D8-BBD7-CCE9431645EC}">
                        <a14:shadowObscured xmlns:a14="http://schemas.microsoft.com/office/drawing/2010/main"/>
                      </a:ext>
                    </a:extLst>
                  </pic:spPr>
                </pic:pic>
              </a:graphicData>
            </a:graphic>
          </wp:inline>
        </w:drawing>
      </w:r>
    </w:p>
    <w:p w:rsidR="005B06AE" w:rsidRPr="00266801" w:rsidRDefault="00266801" w:rsidP="00862DFB">
      <w:pPr>
        <w:jc w:val="both"/>
      </w:pPr>
      <w:r>
        <w:rPr>
          <w:b/>
        </w:rPr>
        <w:t>Figure S6</w:t>
      </w:r>
      <w:r w:rsidRPr="008567C1">
        <w:rPr>
          <w:b/>
        </w:rPr>
        <w:t>:</w:t>
      </w:r>
      <w:r w:rsidR="00DB1950">
        <w:rPr>
          <w:b/>
        </w:rPr>
        <w:t xml:space="preserve"> </w:t>
      </w:r>
      <w:r w:rsidR="00B536CE">
        <w:t xml:space="preserve">Overlaid GPC traces from the </w:t>
      </w:r>
      <w:r w:rsidR="00817286">
        <w:t>RI detector</w:t>
      </w:r>
      <w:r w:rsidR="00B536CE">
        <w:t xml:space="preserve"> for polymerization of vinyl acetate in the presence </w:t>
      </w:r>
      <w:r w:rsidR="00817286">
        <w:t>or</w:t>
      </w:r>
      <w:r w:rsidR="00B536CE">
        <w:t xml:space="preserve"> absence</w:t>
      </w:r>
      <w:r w:rsidR="00817286">
        <w:t xml:space="preserve"> of chain transfer agent.</w:t>
      </w:r>
      <w:r w:rsidR="00B536CE">
        <w:t xml:space="preserve"> </w:t>
      </w:r>
      <w:r w:rsidR="00817286">
        <w:t>The samples were prepared by</w:t>
      </w:r>
      <w:r w:rsidR="00B536CE">
        <w:t xml:space="preserve"> MADIX polymerization of vinyl acetate in ethyl acetate mediated by S-benzyl-O-ethyl </w:t>
      </w:r>
      <w:proofErr w:type="spellStart"/>
      <w:r w:rsidR="00B536CE">
        <w:t>dithiocarbonate</w:t>
      </w:r>
      <w:proofErr w:type="spellEnd"/>
      <w:r w:rsidR="00B536CE">
        <w:t xml:space="preserve"> in ACE Glass pressure tubes at 70 °C for 48h and initiated by AIBN. </w:t>
      </w:r>
      <w:r w:rsidR="00B536CE" w:rsidRPr="004E6AE3">
        <w:rPr>
          <w:lang w:val="fr-FR"/>
        </w:rPr>
        <w:t xml:space="preserve">Conditions </w:t>
      </w:r>
      <w:proofErr w:type="spellStart"/>
      <w:r w:rsidR="00B536CE" w:rsidRPr="004E6AE3">
        <w:rPr>
          <w:lang w:val="fr-FR"/>
        </w:rPr>
        <w:t>Vinyl</w:t>
      </w:r>
      <w:proofErr w:type="spellEnd"/>
      <w:r w:rsidR="00B536CE" w:rsidRPr="004E6AE3">
        <w:rPr>
          <w:lang w:val="fr-FR"/>
        </w:rPr>
        <w:t xml:space="preserve"> </w:t>
      </w:r>
      <w:proofErr w:type="spellStart"/>
      <w:r w:rsidR="00B536CE" w:rsidRPr="004E6AE3">
        <w:rPr>
          <w:lang w:val="fr-FR"/>
        </w:rPr>
        <w:t>Acetate</w:t>
      </w:r>
      <w:proofErr w:type="spellEnd"/>
      <w:r w:rsidR="00B536CE" w:rsidRPr="004E6AE3">
        <w:rPr>
          <w:lang w:val="fr-FR"/>
        </w:rPr>
        <w:t xml:space="preserve"> = 2.0 g, </w:t>
      </w:r>
      <w:proofErr w:type="spellStart"/>
      <w:r w:rsidR="00B536CE" w:rsidRPr="004E6AE3">
        <w:rPr>
          <w:lang w:val="fr-FR"/>
        </w:rPr>
        <w:t>ethyl</w:t>
      </w:r>
      <w:proofErr w:type="spellEnd"/>
      <w:r w:rsidR="00B536CE" w:rsidRPr="004E6AE3">
        <w:rPr>
          <w:lang w:val="fr-FR"/>
        </w:rPr>
        <w:t xml:space="preserve"> </w:t>
      </w:r>
      <w:proofErr w:type="spellStart"/>
      <w:r w:rsidR="00B536CE" w:rsidRPr="004E6AE3">
        <w:rPr>
          <w:lang w:val="fr-FR"/>
        </w:rPr>
        <w:t>acetate</w:t>
      </w:r>
      <w:proofErr w:type="spellEnd"/>
      <w:r w:rsidR="00B536CE" w:rsidRPr="004E6AE3">
        <w:rPr>
          <w:lang w:val="fr-FR"/>
        </w:rPr>
        <w:t xml:space="preserve"> = 2 </w:t>
      </w:r>
      <w:proofErr w:type="spellStart"/>
      <w:r w:rsidR="00B536CE" w:rsidRPr="004E6AE3">
        <w:rPr>
          <w:lang w:val="fr-FR"/>
        </w:rPr>
        <w:t>mL</w:t>
      </w:r>
      <w:proofErr w:type="spellEnd"/>
      <w:r w:rsidR="00B536CE" w:rsidRPr="004E6AE3">
        <w:rPr>
          <w:lang w:val="fr-FR"/>
        </w:rPr>
        <w:t>, [CTA</w:t>
      </w:r>
      <w:proofErr w:type="gramStart"/>
      <w:r w:rsidR="00B536CE" w:rsidRPr="004E6AE3">
        <w:rPr>
          <w:lang w:val="fr-FR"/>
        </w:rPr>
        <w:t>]</w:t>
      </w:r>
      <w:r w:rsidR="00B536CE" w:rsidRPr="004E6AE3">
        <w:rPr>
          <w:vertAlign w:val="subscript"/>
          <w:lang w:val="fr-FR"/>
        </w:rPr>
        <w:t>0</w:t>
      </w:r>
      <w:proofErr w:type="gramEnd"/>
      <w:r w:rsidR="00B536CE" w:rsidRPr="004E6AE3">
        <w:rPr>
          <w:lang w:val="fr-FR"/>
        </w:rPr>
        <w:t>/[AIBN]</w:t>
      </w:r>
      <w:r w:rsidR="00B536CE" w:rsidRPr="004E6AE3">
        <w:rPr>
          <w:vertAlign w:val="subscript"/>
          <w:lang w:val="fr-FR"/>
        </w:rPr>
        <w:t>0</w:t>
      </w:r>
      <w:r w:rsidR="00B536CE" w:rsidRPr="004E6AE3">
        <w:rPr>
          <w:lang w:val="fr-FR"/>
        </w:rPr>
        <w:t xml:space="preserve"> = 1/0.2</w:t>
      </w:r>
      <w:r w:rsidR="00817286">
        <w:rPr>
          <w:lang w:val="fr-FR"/>
        </w:rPr>
        <w:t>.</w:t>
      </w:r>
    </w:p>
    <w:p w:rsidR="00266801" w:rsidRPr="007524BB" w:rsidRDefault="00266801" w:rsidP="00862DFB">
      <w:pPr>
        <w:jc w:val="both"/>
        <w:rPr>
          <w:b/>
        </w:rPr>
      </w:pPr>
    </w:p>
    <w:p w:rsidR="00862DFB" w:rsidRPr="006904C9" w:rsidRDefault="006904C9" w:rsidP="00862DFB">
      <w:pPr>
        <w:jc w:val="both"/>
        <w:rPr>
          <w:b/>
          <w:sz w:val="28"/>
          <w:szCs w:val="28"/>
        </w:rPr>
      </w:pPr>
      <w:r w:rsidRPr="006904C9">
        <w:rPr>
          <w:b/>
          <w:sz w:val="28"/>
          <w:szCs w:val="28"/>
        </w:rPr>
        <w:t xml:space="preserve">2.3    </w:t>
      </w:r>
      <w:r w:rsidR="00862DFB" w:rsidRPr="006904C9">
        <w:rPr>
          <w:b/>
          <w:sz w:val="28"/>
          <w:szCs w:val="28"/>
        </w:rPr>
        <w:t>Chain Extension Procedure</w:t>
      </w:r>
      <w:r>
        <w:rPr>
          <w:b/>
          <w:sz w:val="28"/>
          <w:szCs w:val="28"/>
        </w:rPr>
        <w:t>s</w:t>
      </w:r>
    </w:p>
    <w:p w:rsidR="00B67732" w:rsidRDefault="00862DFB" w:rsidP="00862DFB">
      <w:pPr>
        <w:jc w:val="both"/>
      </w:pPr>
      <w:r w:rsidRPr="00862DFB">
        <w:tab/>
        <w:t>The molecular weight of the starting macro chain transfer agents is approx. 7680 g mol</w:t>
      </w:r>
      <w:r w:rsidRPr="00862DFB">
        <w:rPr>
          <w:vertAlign w:val="superscript"/>
        </w:rPr>
        <w:t>-1</w:t>
      </w:r>
      <w:r w:rsidRPr="00862DFB">
        <w:t xml:space="preserve"> from ethyl acetate </w:t>
      </w:r>
      <w:r w:rsidR="00F20857">
        <w:t>as</w:t>
      </w:r>
      <w:r w:rsidRPr="00862DFB">
        <w:t xml:space="preserve"> the products of the MADIX polymerisations at ratio [M]</w:t>
      </w:r>
      <w:r w:rsidRPr="00862DFB">
        <w:rPr>
          <w:vertAlign w:val="subscript"/>
        </w:rPr>
        <w:t>0</w:t>
      </w:r>
      <w:r w:rsidR="00817286">
        <w:t>/</w:t>
      </w:r>
      <w:r w:rsidRPr="00862DFB">
        <w:t>[CTA]</w:t>
      </w:r>
      <w:r w:rsidRPr="00862DFB">
        <w:rPr>
          <w:vertAlign w:val="subscript"/>
        </w:rPr>
        <w:t>0</w:t>
      </w:r>
      <w:r w:rsidR="00817286">
        <w:t>/</w:t>
      </w:r>
      <w:r w:rsidRPr="00862DFB">
        <w:t>[AIBN]</w:t>
      </w:r>
      <w:r w:rsidRPr="00862DFB">
        <w:rPr>
          <w:vertAlign w:val="subscript"/>
        </w:rPr>
        <w:t>0</w:t>
      </w:r>
      <w:r w:rsidRPr="00862DFB">
        <w:t xml:space="preserve"> = 100/1. Vinyl acetate (1</w:t>
      </w:r>
      <w:r w:rsidR="00F20857">
        <w:t xml:space="preserve"> </w:t>
      </w:r>
      <w:r w:rsidRPr="00862DFB">
        <w:t xml:space="preserve">mL) was charged to an ACE Glass pressure tube with a stirring bar along with </w:t>
      </w:r>
      <w:proofErr w:type="spellStart"/>
      <w:r w:rsidRPr="00862DFB">
        <w:t>macroCTA</w:t>
      </w:r>
      <w:proofErr w:type="spellEnd"/>
      <w:r w:rsidRPr="00862DFB">
        <w:t xml:space="preserve"> (0.25 g) and AIBN (0.0015 g) and solvent ethyl acetate (1 mL, used for both chain extensions). The tube was deoxygenated through the plunger valve by a series of freeze pump thaw cycles from liquid nitrogen and sealed under an atmosphere of nitrogen. The pressure tube was placed in a </w:t>
      </w:r>
      <w:proofErr w:type="spellStart"/>
      <w:r w:rsidRPr="00862DFB">
        <w:t>thermostatted</w:t>
      </w:r>
      <w:proofErr w:type="spellEnd"/>
      <w:r w:rsidRPr="00862DFB">
        <w:t xml:space="preserve"> oil bath operating at 70</w:t>
      </w:r>
      <w:r w:rsidR="00817286">
        <w:t>°</w:t>
      </w:r>
      <w:r w:rsidR="00661F7E">
        <w:t>C for 24</w:t>
      </w:r>
      <w:r w:rsidRPr="00862DFB">
        <w:t>h. After this time had elapsed the mixture in the tube had become viscous. The product was precipitated into cold petroleum ether and analysed by SEC in THF with respect to the macro chain transfer agent starting material.</w:t>
      </w:r>
      <w:r w:rsidR="00B67732">
        <w:tab/>
      </w:r>
      <w:r w:rsidR="00817286">
        <w:t xml:space="preserve"> </w:t>
      </w:r>
      <w:r w:rsidR="00B67732">
        <w:t>To achieve a greater separation</w:t>
      </w:r>
      <w:r w:rsidR="00817286">
        <w:t xml:space="preserve"> by SEC for the</w:t>
      </w:r>
      <w:r w:rsidR="00B67732">
        <w:t xml:space="preserve"> </w:t>
      </w:r>
      <w:proofErr w:type="spellStart"/>
      <w:r w:rsidR="00B67732">
        <w:t>macroCTA</w:t>
      </w:r>
      <w:proofErr w:type="spellEnd"/>
      <w:r w:rsidR="00B67732">
        <w:t xml:space="preserve"> and chain extended block copolymer, 4 mL of vinyl acetate and 4 mL of ethyl acetate were used in the reaction mixture, along with 0.25g </w:t>
      </w:r>
      <w:proofErr w:type="spellStart"/>
      <w:r w:rsidR="00B67732">
        <w:t>macroCTA</w:t>
      </w:r>
      <w:proofErr w:type="spellEnd"/>
      <w:r w:rsidR="00B67732">
        <w:t xml:space="preserve"> and 0.0010 g of AIBN.</w:t>
      </w:r>
    </w:p>
    <w:p w:rsidR="00F50E2B" w:rsidRDefault="00F50E2B" w:rsidP="00D5452B">
      <w:pPr>
        <w:jc w:val="both"/>
      </w:pPr>
    </w:p>
    <w:p w:rsidR="002F6424" w:rsidRDefault="00F50E2B" w:rsidP="00D5452B">
      <w:pPr>
        <w:jc w:val="both"/>
      </w:pPr>
      <w:r>
        <w:rPr>
          <w:noProof/>
          <w:lang w:eastAsia="en-GB"/>
        </w:rPr>
        <w:lastRenderedPageBreak/>
        <w:drawing>
          <wp:inline distT="0" distB="0" distL="0" distR="0">
            <wp:extent cx="5978068" cy="2150533"/>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extension chromatographs.tif"/>
                    <pic:cNvPicPr/>
                  </pic:nvPicPr>
                  <pic:blipFill rotWithShape="1">
                    <a:blip r:embed="rId17">
                      <a:extLst>
                        <a:ext uri="{28A0092B-C50C-407E-A947-70E740481C1C}">
                          <a14:useLocalDpi xmlns:a14="http://schemas.microsoft.com/office/drawing/2010/main" val="0"/>
                        </a:ext>
                      </a:extLst>
                    </a:blip>
                    <a:srcRect l="1565"/>
                    <a:stretch/>
                  </pic:blipFill>
                  <pic:spPr bwMode="auto">
                    <a:xfrm>
                      <a:off x="0" y="0"/>
                      <a:ext cx="5983000" cy="2152307"/>
                    </a:xfrm>
                    <a:prstGeom prst="rect">
                      <a:avLst/>
                    </a:prstGeom>
                    <a:ln>
                      <a:noFill/>
                    </a:ln>
                    <a:extLst>
                      <a:ext uri="{53640926-AAD7-44D8-BBD7-CCE9431645EC}">
                        <a14:shadowObscured xmlns:a14="http://schemas.microsoft.com/office/drawing/2010/main"/>
                      </a:ext>
                    </a:extLst>
                  </pic:spPr>
                </pic:pic>
              </a:graphicData>
            </a:graphic>
          </wp:inline>
        </w:drawing>
      </w:r>
    </w:p>
    <w:p w:rsidR="00F50E2B" w:rsidRDefault="00266801" w:rsidP="00F50E2B">
      <w:pPr>
        <w:jc w:val="both"/>
      </w:pPr>
      <w:r>
        <w:rPr>
          <w:b/>
        </w:rPr>
        <w:t>Figure S7</w:t>
      </w:r>
      <w:r w:rsidR="00F50E2B" w:rsidRPr="002C7A0D">
        <w:rPr>
          <w:b/>
        </w:rPr>
        <w:t>:</w:t>
      </w:r>
      <w:r w:rsidR="00F50E2B">
        <w:t xml:space="preserve"> Overlaid SEC Chromatograms for the chain extension of </w:t>
      </w:r>
      <w:proofErr w:type="gramStart"/>
      <w:r w:rsidR="00F50E2B">
        <w:t>poly(</w:t>
      </w:r>
      <w:proofErr w:type="gramEnd"/>
      <w:r w:rsidR="00F50E2B">
        <w:t>vinyl acetate) macro chain transfer agent (</w:t>
      </w:r>
      <w:proofErr w:type="spellStart"/>
      <w:r w:rsidR="00F50E2B">
        <w:t>MacroCTA</w:t>
      </w:r>
      <w:proofErr w:type="spellEnd"/>
      <w:r w:rsidR="00F50E2B">
        <w:t>) prepared ethyl acetate  with vinyl acetate in ACE Glass pressure tubes at 70</w:t>
      </w:r>
      <w:r w:rsidR="00F50E2B" w:rsidRPr="00DE7761">
        <w:t>°</w:t>
      </w:r>
      <w:r w:rsidR="00F50E2B">
        <w:t>C in ethyl acetate (</w:t>
      </w:r>
      <w:proofErr w:type="spellStart"/>
      <w:r w:rsidR="00F50E2B">
        <w:t>EtAc</w:t>
      </w:r>
      <w:proofErr w:type="spellEnd"/>
      <w:r w:rsidR="00F50E2B">
        <w:t xml:space="preserve">) solvent. </w:t>
      </w:r>
      <w:r w:rsidR="009A15E7">
        <w:t xml:space="preserve">(A) </w:t>
      </w:r>
      <w:r w:rsidR="00F50E2B">
        <w:t xml:space="preserve">Vinyl acetate = 1 mL, </w:t>
      </w:r>
      <w:proofErr w:type="spellStart"/>
      <w:r w:rsidR="00F50E2B">
        <w:t>MacroCTA</w:t>
      </w:r>
      <w:proofErr w:type="spellEnd"/>
      <w:r w:rsidR="00F50E2B">
        <w:t xml:space="preserve"> = 0.5 g, Solvent = 1 mL</w:t>
      </w:r>
      <w:r w:rsidR="009A15E7">
        <w:t xml:space="preserve"> (B</w:t>
      </w:r>
      <w:r w:rsidR="00F50E2B">
        <w:t xml:space="preserve">) Vinyl acetate = 4 mL, </w:t>
      </w:r>
      <w:proofErr w:type="spellStart"/>
      <w:r w:rsidR="00F50E2B">
        <w:t>MacroCTA</w:t>
      </w:r>
      <w:proofErr w:type="spellEnd"/>
      <w:r w:rsidR="00F50E2B">
        <w:t xml:space="preserve"> = 0.25 g, Solvent = 4 mL (</w:t>
      </w:r>
      <w:proofErr w:type="spellStart"/>
      <w:r w:rsidR="00F50E2B">
        <w:t>b</w:t>
      </w:r>
      <w:proofErr w:type="gramStart"/>
      <w:r w:rsidR="00F50E2B">
        <w:t>,d</w:t>
      </w:r>
      <w:proofErr w:type="spellEnd"/>
      <w:proofErr w:type="gramEnd"/>
      <w:r w:rsidR="00F50E2B">
        <w:t>).  Fixed Ratio [</w:t>
      </w:r>
      <w:proofErr w:type="spellStart"/>
      <w:r w:rsidR="00F50E2B">
        <w:t>MacroCTA</w:t>
      </w:r>
      <w:proofErr w:type="spellEnd"/>
      <w:proofErr w:type="gramStart"/>
      <w:r w:rsidR="00F50E2B">
        <w:t>]</w:t>
      </w:r>
      <w:r w:rsidR="00F50E2B" w:rsidRPr="002C7A0D">
        <w:rPr>
          <w:vertAlign w:val="subscript"/>
        </w:rPr>
        <w:t>0</w:t>
      </w:r>
      <w:proofErr w:type="gramEnd"/>
      <w:r w:rsidR="00F50E2B" w:rsidRPr="002C7A0D">
        <w:rPr>
          <w:vertAlign w:val="subscript"/>
        </w:rPr>
        <w:t xml:space="preserve"> </w:t>
      </w:r>
      <w:r w:rsidR="00F50E2B">
        <w:t>/ [AIBN]</w:t>
      </w:r>
      <w:r w:rsidR="00F50E2B" w:rsidRPr="002C7A0D">
        <w:rPr>
          <w:vertAlign w:val="subscript"/>
        </w:rPr>
        <w:t>0</w:t>
      </w:r>
      <w:r w:rsidR="00F50E2B">
        <w:t xml:space="preserve"> = 1/0.2 in all polymerizations. Raw SEC chromatograms in THF from the refractometer are shown, corresponding to each data point.</w:t>
      </w:r>
    </w:p>
    <w:p w:rsidR="00F50E2B" w:rsidRDefault="00F50E2B" w:rsidP="00862DFB">
      <w:pPr>
        <w:jc w:val="both"/>
        <w:rPr>
          <w:b/>
          <w:sz w:val="28"/>
          <w:szCs w:val="28"/>
        </w:rPr>
      </w:pPr>
    </w:p>
    <w:p w:rsidR="00165E3B" w:rsidRDefault="00165E3B" w:rsidP="00165E3B"/>
    <w:p w:rsidR="008B23F5" w:rsidRDefault="008B23F5" w:rsidP="00165E3B"/>
    <w:sectPr w:rsidR="008B23F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E4A" w:rsidRDefault="002B7E4A" w:rsidP="00552CB4">
      <w:pPr>
        <w:spacing w:after="0" w:line="240" w:lineRule="auto"/>
      </w:pPr>
      <w:r>
        <w:separator/>
      </w:r>
    </w:p>
  </w:endnote>
  <w:endnote w:type="continuationSeparator" w:id="0">
    <w:p w:rsidR="002B7E4A" w:rsidRDefault="002B7E4A" w:rsidP="00552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E4A" w:rsidRDefault="002B7E4A" w:rsidP="00552CB4">
      <w:pPr>
        <w:spacing w:after="0" w:line="240" w:lineRule="auto"/>
      </w:pPr>
      <w:r>
        <w:separator/>
      </w:r>
    </w:p>
  </w:footnote>
  <w:footnote w:type="continuationSeparator" w:id="0">
    <w:p w:rsidR="002B7E4A" w:rsidRDefault="002B7E4A" w:rsidP="00552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23BC2"/>
    <w:multiLevelType w:val="hybridMultilevel"/>
    <w:tmpl w:val="74F083F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3269B9"/>
    <w:multiLevelType w:val="hybridMultilevel"/>
    <w:tmpl w:val="4E849C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EF95430"/>
    <w:multiLevelType w:val="multilevel"/>
    <w:tmpl w:val="E796114E"/>
    <w:lvl w:ilvl="0">
      <w:start w:val="1"/>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
    <w:nsid w:val="706D6337"/>
    <w:multiLevelType w:val="hybridMultilevel"/>
    <w:tmpl w:val="2D1E3AF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3CD62DD"/>
    <w:multiLevelType w:val="hybridMultilevel"/>
    <w:tmpl w:val="26029A5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B35"/>
    <w:rsid w:val="00002001"/>
    <w:rsid w:val="00004896"/>
    <w:rsid w:val="00004B95"/>
    <w:rsid w:val="0002469D"/>
    <w:rsid w:val="00024B22"/>
    <w:rsid w:val="000354F0"/>
    <w:rsid w:val="00036320"/>
    <w:rsid w:val="0005316F"/>
    <w:rsid w:val="00057C24"/>
    <w:rsid w:val="000614BD"/>
    <w:rsid w:val="00081D40"/>
    <w:rsid w:val="00090D4C"/>
    <w:rsid w:val="00091337"/>
    <w:rsid w:val="000934F3"/>
    <w:rsid w:val="000B3B43"/>
    <w:rsid w:val="000C15C2"/>
    <w:rsid w:val="000D5D14"/>
    <w:rsid w:val="000E53CE"/>
    <w:rsid w:val="000E6609"/>
    <w:rsid w:val="00125452"/>
    <w:rsid w:val="00126BEB"/>
    <w:rsid w:val="00136051"/>
    <w:rsid w:val="00150392"/>
    <w:rsid w:val="00165E3B"/>
    <w:rsid w:val="00172584"/>
    <w:rsid w:val="001824C7"/>
    <w:rsid w:val="001A0FE1"/>
    <w:rsid w:val="001A37F8"/>
    <w:rsid w:val="001B05E8"/>
    <w:rsid w:val="001B1318"/>
    <w:rsid w:val="001B4265"/>
    <w:rsid w:val="001C080D"/>
    <w:rsid w:val="001C55EF"/>
    <w:rsid w:val="001E0F9D"/>
    <w:rsid w:val="001E1CFF"/>
    <w:rsid w:val="00204885"/>
    <w:rsid w:val="0020662B"/>
    <w:rsid w:val="0021124A"/>
    <w:rsid w:val="002127D0"/>
    <w:rsid w:val="0022733D"/>
    <w:rsid w:val="0023493C"/>
    <w:rsid w:val="00235CED"/>
    <w:rsid w:val="00250CCC"/>
    <w:rsid w:val="002571EA"/>
    <w:rsid w:val="0026245D"/>
    <w:rsid w:val="00266057"/>
    <w:rsid w:val="00266801"/>
    <w:rsid w:val="00280D87"/>
    <w:rsid w:val="00291FF3"/>
    <w:rsid w:val="00297086"/>
    <w:rsid w:val="002A3872"/>
    <w:rsid w:val="002B50CD"/>
    <w:rsid w:val="002B7E4A"/>
    <w:rsid w:val="002C080F"/>
    <w:rsid w:val="002C7A0D"/>
    <w:rsid w:val="002E198C"/>
    <w:rsid w:val="002E2CE2"/>
    <w:rsid w:val="002E441E"/>
    <w:rsid w:val="002F1AA6"/>
    <w:rsid w:val="002F6424"/>
    <w:rsid w:val="003012F6"/>
    <w:rsid w:val="00307AA5"/>
    <w:rsid w:val="0031411B"/>
    <w:rsid w:val="003310A3"/>
    <w:rsid w:val="00333239"/>
    <w:rsid w:val="0033500D"/>
    <w:rsid w:val="0035391E"/>
    <w:rsid w:val="00357766"/>
    <w:rsid w:val="00374B35"/>
    <w:rsid w:val="00375F48"/>
    <w:rsid w:val="00394B61"/>
    <w:rsid w:val="0039572D"/>
    <w:rsid w:val="003A18E7"/>
    <w:rsid w:val="003A563D"/>
    <w:rsid w:val="003B21F8"/>
    <w:rsid w:val="003C508F"/>
    <w:rsid w:val="003C6A51"/>
    <w:rsid w:val="003D3D80"/>
    <w:rsid w:val="003E3C0F"/>
    <w:rsid w:val="003F6B51"/>
    <w:rsid w:val="003F6B77"/>
    <w:rsid w:val="00401CEE"/>
    <w:rsid w:val="0040268C"/>
    <w:rsid w:val="00411878"/>
    <w:rsid w:val="00411A59"/>
    <w:rsid w:val="00420A21"/>
    <w:rsid w:val="00450FEE"/>
    <w:rsid w:val="00454C9A"/>
    <w:rsid w:val="004623E3"/>
    <w:rsid w:val="00462BBA"/>
    <w:rsid w:val="00471A47"/>
    <w:rsid w:val="00475B77"/>
    <w:rsid w:val="004850E9"/>
    <w:rsid w:val="00486AD1"/>
    <w:rsid w:val="004A2EC1"/>
    <w:rsid w:val="004C5519"/>
    <w:rsid w:val="004D19B9"/>
    <w:rsid w:val="004D4FB4"/>
    <w:rsid w:val="004F35D2"/>
    <w:rsid w:val="004F38C7"/>
    <w:rsid w:val="0052295A"/>
    <w:rsid w:val="00541B6D"/>
    <w:rsid w:val="005426D0"/>
    <w:rsid w:val="00546244"/>
    <w:rsid w:val="00547DF0"/>
    <w:rsid w:val="00552CB4"/>
    <w:rsid w:val="00574432"/>
    <w:rsid w:val="00597AF6"/>
    <w:rsid w:val="005A4989"/>
    <w:rsid w:val="005B06AE"/>
    <w:rsid w:val="005B2A66"/>
    <w:rsid w:val="005D0A51"/>
    <w:rsid w:val="005E2ACF"/>
    <w:rsid w:val="005E63D1"/>
    <w:rsid w:val="00610B85"/>
    <w:rsid w:val="00612A24"/>
    <w:rsid w:val="006255DC"/>
    <w:rsid w:val="00631CDD"/>
    <w:rsid w:val="00634AE5"/>
    <w:rsid w:val="00640633"/>
    <w:rsid w:val="00641488"/>
    <w:rsid w:val="0064534F"/>
    <w:rsid w:val="00647AFE"/>
    <w:rsid w:val="00650099"/>
    <w:rsid w:val="00660DA3"/>
    <w:rsid w:val="00661F7E"/>
    <w:rsid w:val="00667D8D"/>
    <w:rsid w:val="0067501B"/>
    <w:rsid w:val="006904C9"/>
    <w:rsid w:val="00696842"/>
    <w:rsid w:val="006A28E0"/>
    <w:rsid w:val="006D31C6"/>
    <w:rsid w:val="006E120F"/>
    <w:rsid w:val="00734D9C"/>
    <w:rsid w:val="00741002"/>
    <w:rsid w:val="0074719D"/>
    <w:rsid w:val="00750090"/>
    <w:rsid w:val="007524BB"/>
    <w:rsid w:val="007677BA"/>
    <w:rsid w:val="007749DA"/>
    <w:rsid w:val="00782D21"/>
    <w:rsid w:val="00783331"/>
    <w:rsid w:val="0079221A"/>
    <w:rsid w:val="00794E27"/>
    <w:rsid w:val="007B2567"/>
    <w:rsid w:val="007C3FFA"/>
    <w:rsid w:val="007C736B"/>
    <w:rsid w:val="007D523A"/>
    <w:rsid w:val="007F3812"/>
    <w:rsid w:val="00801A7D"/>
    <w:rsid w:val="00804315"/>
    <w:rsid w:val="00817286"/>
    <w:rsid w:val="00817731"/>
    <w:rsid w:val="00817EEE"/>
    <w:rsid w:val="0082088D"/>
    <w:rsid w:val="0082526B"/>
    <w:rsid w:val="00834F00"/>
    <w:rsid w:val="0084119E"/>
    <w:rsid w:val="008505E3"/>
    <w:rsid w:val="008545CA"/>
    <w:rsid w:val="008567C1"/>
    <w:rsid w:val="00862DFB"/>
    <w:rsid w:val="00871309"/>
    <w:rsid w:val="0087195C"/>
    <w:rsid w:val="00890F35"/>
    <w:rsid w:val="00896995"/>
    <w:rsid w:val="008A441D"/>
    <w:rsid w:val="008B23F5"/>
    <w:rsid w:val="008C415C"/>
    <w:rsid w:val="008F26A8"/>
    <w:rsid w:val="00905341"/>
    <w:rsid w:val="0091404E"/>
    <w:rsid w:val="0092205C"/>
    <w:rsid w:val="00923705"/>
    <w:rsid w:val="009416A9"/>
    <w:rsid w:val="00943206"/>
    <w:rsid w:val="009511C2"/>
    <w:rsid w:val="00952E6B"/>
    <w:rsid w:val="009628B7"/>
    <w:rsid w:val="0097277F"/>
    <w:rsid w:val="00976B4B"/>
    <w:rsid w:val="00980B48"/>
    <w:rsid w:val="00985B3F"/>
    <w:rsid w:val="009A15E7"/>
    <w:rsid w:val="009B6950"/>
    <w:rsid w:val="009D132D"/>
    <w:rsid w:val="009E19E2"/>
    <w:rsid w:val="009E77DC"/>
    <w:rsid w:val="00A378B9"/>
    <w:rsid w:val="00A42333"/>
    <w:rsid w:val="00A544F4"/>
    <w:rsid w:val="00A5746F"/>
    <w:rsid w:val="00A63208"/>
    <w:rsid w:val="00A638C1"/>
    <w:rsid w:val="00A657C0"/>
    <w:rsid w:val="00A704E8"/>
    <w:rsid w:val="00A76801"/>
    <w:rsid w:val="00A858DA"/>
    <w:rsid w:val="00A873F1"/>
    <w:rsid w:val="00A93533"/>
    <w:rsid w:val="00A97295"/>
    <w:rsid w:val="00AA33AE"/>
    <w:rsid w:val="00AA5341"/>
    <w:rsid w:val="00AB0498"/>
    <w:rsid w:val="00AB052E"/>
    <w:rsid w:val="00AC7B52"/>
    <w:rsid w:val="00AD05F6"/>
    <w:rsid w:val="00AD481B"/>
    <w:rsid w:val="00AE3EE7"/>
    <w:rsid w:val="00AE687C"/>
    <w:rsid w:val="00AF51B9"/>
    <w:rsid w:val="00AF71DC"/>
    <w:rsid w:val="00B04C4E"/>
    <w:rsid w:val="00B153C7"/>
    <w:rsid w:val="00B320DA"/>
    <w:rsid w:val="00B403D0"/>
    <w:rsid w:val="00B47440"/>
    <w:rsid w:val="00B5141A"/>
    <w:rsid w:val="00B51856"/>
    <w:rsid w:val="00B52DD9"/>
    <w:rsid w:val="00B536CE"/>
    <w:rsid w:val="00B67732"/>
    <w:rsid w:val="00B87B6C"/>
    <w:rsid w:val="00B9356B"/>
    <w:rsid w:val="00B95181"/>
    <w:rsid w:val="00B9787B"/>
    <w:rsid w:val="00BA1B43"/>
    <w:rsid w:val="00BB3C25"/>
    <w:rsid w:val="00BC6DE2"/>
    <w:rsid w:val="00BD4069"/>
    <w:rsid w:val="00BD58CB"/>
    <w:rsid w:val="00BE421B"/>
    <w:rsid w:val="00BE7297"/>
    <w:rsid w:val="00BF2052"/>
    <w:rsid w:val="00C5795F"/>
    <w:rsid w:val="00C62469"/>
    <w:rsid w:val="00C67B95"/>
    <w:rsid w:val="00C67C38"/>
    <w:rsid w:val="00C7733E"/>
    <w:rsid w:val="00CB25F6"/>
    <w:rsid w:val="00CB27C9"/>
    <w:rsid w:val="00CC58AA"/>
    <w:rsid w:val="00CF0E57"/>
    <w:rsid w:val="00CF76E0"/>
    <w:rsid w:val="00D05153"/>
    <w:rsid w:val="00D135EF"/>
    <w:rsid w:val="00D143C5"/>
    <w:rsid w:val="00D24D74"/>
    <w:rsid w:val="00D448BC"/>
    <w:rsid w:val="00D5452B"/>
    <w:rsid w:val="00D768D3"/>
    <w:rsid w:val="00DB0BB3"/>
    <w:rsid w:val="00DB1950"/>
    <w:rsid w:val="00DB4F6E"/>
    <w:rsid w:val="00DC64DB"/>
    <w:rsid w:val="00DC69D2"/>
    <w:rsid w:val="00DD3C5C"/>
    <w:rsid w:val="00DE1104"/>
    <w:rsid w:val="00DE7DF3"/>
    <w:rsid w:val="00DF262E"/>
    <w:rsid w:val="00DF6C1A"/>
    <w:rsid w:val="00E01362"/>
    <w:rsid w:val="00E310F9"/>
    <w:rsid w:val="00E441D4"/>
    <w:rsid w:val="00E6002F"/>
    <w:rsid w:val="00E84BD0"/>
    <w:rsid w:val="00E854E8"/>
    <w:rsid w:val="00E86E5E"/>
    <w:rsid w:val="00E9532F"/>
    <w:rsid w:val="00EA5EF1"/>
    <w:rsid w:val="00ED02BF"/>
    <w:rsid w:val="00EE3415"/>
    <w:rsid w:val="00EF04B4"/>
    <w:rsid w:val="00EF09F4"/>
    <w:rsid w:val="00F13B57"/>
    <w:rsid w:val="00F1486F"/>
    <w:rsid w:val="00F20857"/>
    <w:rsid w:val="00F241C9"/>
    <w:rsid w:val="00F24221"/>
    <w:rsid w:val="00F27042"/>
    <w:rsid w:val="00F30791"/>
    <w:rsid w:val="00F3558B"/>
    <w:rsid w:val="00F35AA3"/>
    <w:rsid w:val="00F36945"/>
    <w:rsid w:val="00F50E2B"/>
    <w:rsid w:val="00F52524"/>
    <w:rsid w:val="00FB06A5"/>
    <w:rsid w:val="00FB5B78"/>
    <w:rsid w:val="00FC434C"/>
    <w:rsid w:val="00FC6FFB"/>
    <w:rsid w:val="00FD71F1"/>
    <w:rsid w:val="00FE3023"/>
    <w:rsid w:val="00FE7E00"/>
    <w:rsid w:val="00FF7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337"/>
    <w:pPr>
      <w:ind w:left="720"/>
      <w:contextualSpacing/>
    </w:pPr>
  </w:style>
  <w:style w:type="paragraph" w:styleId="EndnoteText">
    <w:name w:val="endnote text"/>
    <w:basedOn w:val="Normal"/>
    <w:link w:val="EndnoteTextChar"/>
    <w:uiPriority w:val="99"/>
    <w:semiHidden/>
    <w:unhideWhenUsed/>
    <w:rsid w:val="00552C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2CB4"/>
    <w:rPr>
      <w:sz w:val="20"/>
      <w:szCs w:val="20"/>
    </w:rPr>
  </w:style>
  <w:style w:type="character" w:styleId="EndnoteReference">
    <w:name w:val="endnote reference"/>
    <w:basedOn w:val="DefaultParagraphFont"/>
    <w:uiPriority w:val="99"/>
    <w:semiHidden/>
    <w:unhideWhenUsed/>
    <w:rsid w:val="00552CB4"/>
    <w:rPr>
      <w:vertAlign w:val="superscript"/>
    </w:rPr>
  </w:style>
  <w:style w:type="character" w:styleId="Hyperlink">
    <w:name w:val="Hyperlink"/>
    <w:basedOn w:val="DefaultParagraphFont"/>
    <w:uiPriority w:val="99"/>
    <w:unhideWhenUsed/>
    <w:rsid w:val="00411A59"/>
    <w:rPr>
      <w:color w:val="0563C1" w:themeColor="hyperlink"/>
      <w:u w:val="single"/>
    </w:rPr>
  </w:style>
  <w:style w:type="paragraph" w:styleId="BalloonText">
    <w:name w:val="Balloon Text"/>
    <w:basedOn w:val="Normal"/>
    <w:link w:val="BalloonTextChar"/>
    <w:uiPriority w:val="99"/>
    <w:semiHidden/>
    <w:unhideWhenUsed/>
    <w:rsid w:val="00ED0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BF"/>
    <w:rPr>
      <w:rFonts w:ascii="Tahoma" w:hAnsi="Tahoma" w:cs="Tahoma"/>
      <w:sz w:val="16"/>
      <w:szCs w:val="16"/>
    </w:rPr>
  </w:style>
  <w:style w:type="character" w:styleId="CommentReference">
    <w:name w:val="annotation reference"/>
    <w:basedOn w:val="DefaultParagraphFont"/>
    <w:uiPriority w:val="99"/>
    <w:semiHidden/>
    <w:unhideWhenUsed/>
    <w:rsid w:val="00F50E2B"/>
    <w:rPr>
      <w:sz w:val="16"/>
      <w:szCs w:val="16"/>
    </w:rPr>
  </w:style>
  <w:style w:type="paragraph" w:styleId="CommentText">
    <w:name w:val="annotation text"/>
    <w:basedOn w:val="Normal"/>
    <w:link w:val="CommentTextChar"/>
    <w:uiPriority w:val="99"/>
    <w:semiHidden/>
    <w:unhideWhenUsed/>
    <w:rsid w:val="00F50E2B"/>
    <w:pPr>
      <w:spacing w:line="240" w:lineRule="auto"/>
    </w:pPr>
    <w:rPr>
      <w:sz w:val="20"/>
      <w:szCs w:val="20"/>
    </w:rPr>
  </w:style>
  <w:style w:type="character" w:customStyle="1" w:styleId="CommentTextChar">
    <w:name w:val="Comment Text Char"/>
    <w:basedOn w:val="DefaultParagraphFont"/>
    <w:link w:val="CommentText"/>
    <w:uiPriority w:val="99"/>
    <w:semiHidden/>
    <w:rsid w:val="00F50E2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337"/>
    <w:pPr>
      <w:ind w:left="720"/>
      <w:contextualSpacing/>
    </w:pPr>
  </w:style>
  <w:style w:type="paragraph" w:styleId="EndnoteText">
    <w:name w:val="endnote text"/>
    <w:basedOn w:val="Normal"/>
    <w:link w:val="EndnoteTextChar"/>
    <w:uiPriority w:val="99"/>
    <w:semiHidden/>
    <w:unhideWhenUsed/>
    <w:rsid w:val="00552C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2CB4"/>
    <w:rPr>
      <w:sz w:val="20"/>
      <w:szCs w:val="20"/>
    </w:rPr>
  </w:style>
  <w:style w:type="character" w:styleId="EndnoteReference">
    <w:name w:val="endnote reference"/>
    <w:basedOn w:val="DefaultParagraphFont"/>
    <w:uiPriority w:val="99"/>
    <w:semiHidden/>
    <w:unhideWhenUsed/>
    <w:rsid w:val="00552CB4"/>
    <w:rPr>
      <w:vertAlign w:val="superscript"/>
    </w:rPr>
  </w:style>
  <w:style w:type="character" w:styleId="Hyperlink">
    <w:name w:val="Hyperlink"/>
    <w:basedOn w:val="DefaultParagraphFont"/>
    <w:uiPriority w:val="99"/>
    <w:unhideWhenUsed/>
    <w:rsid w:val="00411A59"/>
    <w:rPr>
      <w:color w:val="0563C1" w:themeColor="hyperlink"/>
      <w:u w:val="single"/>
    </w:rPr>
  </w:style>
  <w:style w:type="paragraph" w:styleId="BalloonText">
    <w:name w:val="Balloon Text"/>
    <w:basedOn w:val="Normal"/>
    <w:link w:val="BalloonTextChar"/>
    <w:uiPriority w:val="99"/>
    <w:semiHidden/>
    <w:unhideWhenUsed/>
    <w:rsid w:val="00ED0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BF"/>
    <w:rPr>
      <w:rFonts w:ascii="Tahoma" w:hAnsi="Tahoma" w:cs="Tahoma"/>
      <w:sz w:val="16"/>
      <w:szCs w:val="16"/>
    </w:rPr>
  </w:style>
  <w:style w:type="character" w:styleId="CommentReference">
    <w:name w:val="annotation reference"/>
    <w:basedOn w:val="DefaultParagraphFont"/>
    <w:uiPriority w:val="99"/>
    <w:semiHidden/>
    <w:unhideWhenUsed/>
    <w:rsid w:val="00F50E2B"/>
    <w:rPr>
      <w:sz w:val="16"/>
      <w:szCs w:val="16"/>
    </w:rPr>
  </w:style>
  <w:style w:type="paragraph" w:styleId="CommentText">
    <w:name w:val="annotation text"/>
    <w:basedOn w:val="Normal"/>
    <w:link w:val="CommentTextChar"/>
    <w:uiPriority w:val="99"/>
    <w:semiHidden/>
    <w:unhideWhenUsed/>
    <w:rsid w:val="00F50E2B"/>
    <w:pPr>
      <w:spacing w:line="240" w:lineRule="auto"/>
    </w:pPr>
    <w:rPr>
      <w:sz w:val="20"/>
      <w:szCs w:val="20"/>
    </w:rPr>
  </w:style>
  <w:style w:type="character" w:customStyle="1" w:styleId="CommentTextChar">
    <w:name w:val="Comment Text Char"/>
    <w:basedOn w:val="DefaultParagraphFont"/>
    <w:link w:val="CommentText"/>
    <w:uiPriority w:val="99"/>
    <w:semiHidden/>
    <w:rsid w:val="00F50E2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15815">
      <w:bodyDiv w:val="1"/>
      <w:marLeft w:val="0"/>
      <w:marRight w:val="0"/>
      <w:marTop w:val="0"/>
      <w:marBottom w:val="0"/>
      <w:divBdr>
        <w:top w:val="none" w:sz="0" w:space="0" w:color="auto"/>
        <w:left w:val="none" w:sz="0" w:space="0" w:color="auto"/>
        <w:bottom w:val="none" w:sz="0" w:space="0" w:color="auto"/>
        <w:right w:val="none" w:sz="0" w:space="0" w:color="auto"/>
      </w:divBdr>
    </w:div>
    <w:div w:id="1179662323">
      <w:bodyDiv w:val="1"/>
      <w:marLeft w:val="0"/>
      <w:marRight w:val="0"/>
      <w:marTop w:val="0"/>
      <w:marBottom w:val="0"/>
      <w:divBdr>
        <w:top w:val="none" w:sz="0" w:space="0" w:color="auto"/>
        <w:left w:val="none" w:sz="0" w:space="0" w:color="auto"/>
        <w:bottom w:val="none" w:sz="0" w:space="0" w:color="auto"/>
        <w:right w:val="none" w:sz="0" w:space="0" w:color="auto"/>
      </w:divBdr>
    </w:div>
    <w:div w:id="118451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Thomas.mcdonald@liverpool.ac.uk"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C32B3-FF51-43C5-A2E0-131978E74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1342</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Levere</dc:creator>
  <cp:lastModifiedBy>McDonald, Tom</cp:lastModifiedBy>
  <cp:revision>5</cp:revision>
  <dcterms:created xsi:type="dcterms:W3CDTF">2017-04-20T12:23:00Z</dcterms:created>
  <dcterms:modified xsi:type="dcterms:W3CDTF">2017-04-21T12:29:00Z</dcterms:modified>
</cp:coreProperties>
</file>