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ED" w:rsidRPr="00960843" w:rsidRDefault="000002ED" w:rsidP="000002ED">
      <w:pPr>
        <w:spacing w:line="240" w:lineRule="auto"/>
        <w:rPr>
          <w:rFonts w:ascii="Times New Roman" w:hAnsi="Times New Roman" w:cs="Times New Roman"/>
          <w:sz w:val="20"/>
          <w:szCs w:val="20"/>
        </w:rPr>
      </w:pPr>
      <w:bookmarkStart w:id="0" w:name="_GoBack"/>
      <w:bookmarkEnd w:id="0"/>
      <w:r w:rsidRPr="00960843">
        <w:rPr>
          <w:rFonts w:ascii="Times New Roman" w:hAnsi="Times New Roman" w:cs="Times New Roman"/>
          <w:i/>
          <w:sz w:val="20"/>
          <w:szCs w:val="20"/>
        </w:rPr>
        <w:t xml:space="preserve">Supplementary Table </w:t>
      </w:r>
      <w:r w:rsidR="00C813BB" w:rsidRPr="00960843">
        <w:rPr>
          <w:rFonts w:ascii="Times New Roman" w:hAnsi="Times New Roman" w:cs="Times New Roman"/>
          <w:i/>
          <w:sz w:val="20"/>
          <w:szCs w:val="20"/>
        </w:rPr>
        <w:t>S</w:t>
      </w:r>
      <w:r w:rsidRPr="00960843">
        <w:rPr>
          <w:rFonts w:ascii="Times New Roman" w:hAnsi="Times New Roman" w:cs="Times New Roman"/>
          <w:i/>
          <w:sz w:val="20"/>
          <w:szCs w:val="20"/>
        </w:rPr>
        <w:t xml:space="preserve">1. </w:t>
      </w:r>
      <w:r w:rsidRPr="00960843">
        <w:rPr>
          <w:rFonts w:ascii="Times New Roman" w:hAnsi="Times New Roman" w:cs="Times New Roman"/>
          <w:sz w:val="20"/>
          <w:szCs w:val="20"/>
        </w:rPr>
        <w:t>Definitions of organ involvement</w:t>
      </w:r>
      <w:r w:rsidRPr="00960843">
        <w:rPr>
          <w:rFonts w:ascii="Times New Roman" w:hAnsi="Times New Roman" w:cs="Times New Roman"/>
          <w:i/>
          <w:sz w:val="20"/>
          <w:szCs w:val="20"/>
        </w:rPr>
        <w:t>.</w:t>
      </w:r>
    </w:p>
    <w:tbl>
      <w:tblPr>
        <w:tblStyle w:val="LightList-Accent2"/>
        <w:tblW w:w="0" w:type="auto"/>
        <w:tblLook w:val="04A0" w:firstRow="1" w:lastRow="0" w:firstColumn="1" w:lastColumn="0" w:noHBand="0" w:noVBand="1"/>
      </w:tblPr>
      <w:tblGrid>
        <w:gridCol w:w="2376"/>
        <w:gridCol w:w="6866"/>
      </w:tblGrid>
      <w:tr w:rsidR="000002ED" w:rsidRPr="00960843" w:rsidTr="00000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p>
        </w:tc>
        <w:tc>
          <w:tcPr>
            <w:tcW w:w="6866" w:type="dxa"/>
          </w:tcPr>
          <w:p w:rsidR="000002ED" w:rsidRPr="00960843" w:rsidRDefault="000002ED" w:rsidP="001E1C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Criteria for diagnosis</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Pulmonary fibrosis</w:t>
            </w:r>
          </w:p>
        </w:tc>
        <w:tc>
          <w:tcPr>
            <w:tcW w:w="6866" w:type="dxa"/>
          </w:tcPr>
          <w:p w:rsidR="000002ED" w:rsidRPr="00960843" w:rsidRDefault="000002ED" w:rsidP="00B179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xml:space="preserve">Basal fibrosis on high resolution computed tomography (HRCT) scan with a forced vital capacity </w:t>
            </w:r>
            <w:r w:rsidR="00C813BB" w:rsidRPr="00960843">
              <w:rPr>
                <w:rFonts w:ascii="Times New Roman" w:hAnsi="Times New Roman" w:cs="Times New Roman"/>
                <w:sz w:val="16"/>
                <w:szCs w:val="16"/>
              </w:rPr>
              <w:t xml:space="preserve">(FVC) </w:t>
            </w:r>
            <w:r w:rsidRPr="00960843">
              <w:rPr>
                <w:rFonts w:ascii="Times New Roman" w:hAnsi="Times New Roman" w:cs="Times New Roman"/>
                <w:sz w:val="16"/>
                <w:szCs w:val="16"/>
              </w:rPr>
              <w:t xml:space="preserve">of less than 70% predicted. If an HRCT scan was not performed, </w:t>
            </w:r>
            <w:r w:rsidR="00B17994">
              <w:rPr>
                <w:rFonts w:ascii="Times New Roman" w:hAnsi="Times New Roman" w:cs="Times New Roman"/>
                <w:sz w:val="16"/>
                <w:szCs w:val="16"/>
              </w:rPr>
              <w:t>which was the case for 88 (27%)  patients at baseline</w:t>
            </w:r>
            <w:r w:rsidR="00AD09EE">
              <w:rPr>
                <w:rFonts w:ascii="Times New Roman" w:hAnsi="Times New Roman" w:cs="Times New Roman"/>
                <w:sz w:val="16"/>
                <w:szCs w:val="16"/>
              </w:rPr>
              <w:t xml:space="preserve">, </w:t>
            </w:r>
            <w:r w:rsidRPr="00960843">
              <w:rPr>
                <w:rFonts w:ascii="Times New Roman" w:hAnsi="Times New Roman" w:cs="Times New Roman"/>
                <w:sz w:val="16"/>
                <w:szCs w:val="16"/>
              </w:rPr>
              <w:t>one of the following criteria was sufficient to diagnose pulmonary fibrosis: chest X-ray confirmed bibasal shadowing, FVC&lt;55% predicted or DLCO</w:t>
            </w:r>
            <w:r w:rsidR="00C813BB" w:rsidRPr="00960843">
              <w:rPr>
                <w:rFonts w:ascii="Times New Roman" w:hAnsi="Times New Roman" w:cs="Times New Roman"/>
                <w:sz w:val="16"/>
                <w:szCs w:val="16"/>
              </w:rPr>
              <w:t xml:space="preserve"> (carbon monoxide diffusing capacity) </w:t>
            </w:r>
            <w:r w:rsidRPr="00960843">
              <w:rPr>
                <w:rFonts w:ascii="Times New Roman" w:hAnsi="Times New Roman" w:cs="Times New Roman"/>
                <w:sz w:val="16"/>
                <w:szCs w:val="16"/>
              </w:rPr>
              <w:t>&lt;55% predicted.</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Pulmonary hypertension</w:t>
            </w:r>
          </w:p>
        </w:tc>
        <w:tc>
          <w:tcPr>
            <w:tcW w:w="6866" w:type="dxa"/>
          </w:tcPr>
          <w:p w:rsidR="000002ED" w:rsidRPr="00960843" w:rsidRDefault="000002ED" w:rsidP="00C813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xml:space="preserve">Raised mean pulmonary artery pressure at right heart catheterisation (greater than 25mmHg) or an estimated </w:t>
            </w:r>
            <w:r w:rsidR="00C813BB" w:rsidRPr="00960843">
              <w:rPr>
                <w:rFonts w:ascii="Times New Roman" w:hAnsi="Times New Roman" w:cs="Times New Roman"/>
                <w:sz w:val="16"/>
                <w:szCs w:val="16"/>
              </w:rPr>
              <w:t xml:space="preserve">systolic </w:t>
            </w:r>
            <w:r w:rsidRPr="00960843">
              <w:rPr>
                <w:rFonts w:ascii="Times New Roman" w:hAnsi="Times New Roman" w:cs="Times New Roman"/>
                <w:sz w:val="16"/>
                <w:szCs w:val="16"/>
              </w:rPr>
              <w:t xml:space="preserve">pulmonary artery </w:t>
            </w:r>
            <w:r w:rsidR="00C813BB" w:rsidRPr="00960843">
              <w:rPr>
                <w:rFonts w:ascii="Times New Roman" w:hAnsi="Times New Roman" w:cs="Times New Roman"/>
                <w:sz w:val="16"/>
                <w:szCs w:val="16"/>
              </w:rPr>
              <w:t xml:space="preserve"> </w:t>
            </w:r>
            <w:r w:rsidRPr="00960843">
              <w:rPr>
                <w:rFonts w:ascii="Times New Roman" w:hAnsi="Times New Roman" w:cs="Times New Roman"/>
                <w:sz w:val="16"/>
                <w:szCs w:val="16"/>
              </w:rPr>
              <w:t>pressure (</w:t>
            </w:r>
            <w:r w:rsidR="00C813BB" w:rsidRPr="00960843">
              <w:rPr>
                <w:rFonts w:ascii="Times New Roman" w:hAnsi="Times New Roman" w:cs="Times New Roman"/>
                <w:sz w:val="16"/>
                <w:szCs w:val="16"/>
              </w:rPr>
              <w:t>sPAP</w:t>
            </w:r>
            <w:r w:rsidRPr="00960843">
              <w:rPr>
                <w:rFonts w:ascii="Times New Roman" w:hAnsi="Times New Roman" w:cs="Times New Roman"/>
                <w:sz w:val="16"/>
                <w:szCs w:val="16"/>
              </w:rPr>
              <w:t>)/right ventricular systolic pressure (RVSP) of &gt; 40mmg Hg on echocardiography (or &gt; 45 mmHg including right atrial pressure [RAP] if the measure included RAP, but the value of this was not stated)</w:t>
            </w:r>
            <w:r w:rsidR="00C813BB" w:rsidRPr="00960843">
              <w:rPr>
                <w:rFonts w:ascii="Times New Roman" w:hAnsi="Times New Roman" w:cs="Times New Roman"/>
                <w:sz w:val="16"/>
                <w:szCs w:val="16"/>
              </w:rPr>
              <w:t>.</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Cardiac involvement</w:t>
            </w:r>
          </w:p>
        </w:tc>
        <w:tc>
          <w:tcPr>
            <w:tcW w:w="6866" w:type="dxa"/>
          </w:tcPr>
          <w:p w:rsidR="000002ED" w:rsidRPr="00960843" w:rsidRDefault="000002ED" w:rsidP="001E1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Haemodynamically significant cardiac arrhythmia, pericardial effusion or congestive cardiac failure requiring hospitalisation or specific drug treatment, diastolic dysfunction (diagnosed usually on echocardiogram), ejection fraction less than 50%, or other cardiac manifestation felt to be clinically significant as judged by the investigators</w:t>
            </w:r>
            <w:r w:rsidR="00C813BB" w:rsidRPr="00960843">
              <w:rPr>
                <w:rFonts w:ascii="Times New Roman" w:hAnsi="Times New Roman" w:cs="Times New Roman"/>
                <w:sz w:val="16"/>
                <w:szCs w:val="16"/>
              </w:rPr>
              <w:t>.</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Renal crisis</w:t>
            </w:r>
          </w:p>
        </w:tc>
        <w:tc>
          <w:tcPr>
            <w:tcW w:w="6866" w:type="dxa"/>
          </w:tcPr>
          <w:p w:rsidR="000002ED" w:rsidRPr="00960843" w:rsidRDefault="000002ED" w:rsidP="001E1C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Defined on the basis of clinician opinion and at least one of: decrease in estimated glomerular filtration rate (eGFR) by 30%, new onset blood pressure &gt; 150/90 mmHg, microangiopathic haemolytic anaemia, retinopathy or renal biopsy findings</w:t>
            </w:r>
            <w:r w:rsidR="00C813BB" w:rsidRPr="00960843">
              <w:rPr>
                <w:rFonts w:ascii="Times New Roman" w:hAnsi="Times New Roman" w:cs="Times New Roman"/>
                <w:sz w:val="16"/>
                <w:szCs w:val="16"/>
              </w:rPr>
              <w:t>.</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Renal impairment</w:t>
            </w:r>
          </w:p>
        </w:tc>
        <w:tc>
          <w:tcPr>
            <w:tcW w:w="6866" w:type="dxa"/>
          </w:tcPr>
          <w:p w:rsidR="000002ED" w:rsidRPr="00960843" w:rsidRDefault="000002ED" w:rsidP="001E1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Defined as mild (eGFR 60-89 ml/min), moderate (30-59ml/min) and severe (&lt; 29ml/min). Furthermore, a separate classification labelled “Renal involvement” was categorized as the presence of renal crisis and/or moderate-to-severe renal impairment.</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Gastrointestinal involvement</w:t>
            </w:r>
          </w:p>
        </w:tc>
        <w:tc>
          <w:tcPr>
            <w:tcW w:w="6866" w:type="dxa"/>
          </w:tcPr>
          <w:p w:rsidR="000002ED" w:rsidRPr="00960843" w:rsidRDefault="000002ED" w:rsidP="001E1C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Present if any of the following: weight loss more than 10% in the preceding 6 months, oesophageal dysmotility (on barium swallow or manometry), malabsorption, severe constipation, faecal incontinence, or rectal prolapse. If a patient had had more than 3 episodes of intestinal pseudo-obstruction, or more than 6 weeks’ nutritional support, then a diagnosis of ‘advanced gastrointestinal involvement’ was made. A category labelled “Any gastrointestinal involvement” included patients with any kind of gastrointestinal involvement cited above.</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002ED" w:rsidRPr="00960843" w:rsidRDefault="000002ED" w:rsidP="001E1C94">
            <w:pPr>
              <w:rPr>
                <w:rFonts w:ascii="Times New Roman" w:hAnsi="Times New Roman" w:cs="Times New Roman"/>
                <w:sz w:val="16"/>
                <w:szCs w:val="16"/>
              </w:rPr>
            </w:pPr>
            <w:r w:rsidRPr="00960843">
              <w:rPr>
                <w:rFonts w:ascii="Times New Roman" w:hAnsi="Times New Roman" w:cs="Times New Roman"/>
                <w:sz w:val="16"/>
                <w:szCs w:val="16"/>
              </w:rPr>
              <w:t>Muscle involvement</w:t>
            </w:r>
          </w:p>
        </w:tc>
        <w:tc>
          <w:tcPr>
            <w:tcW w:w="6866" w:type="dxa"/>
          </w:tcPr>
          <w:p w:rsidR="000002ED" w:rsidRPr="00960843" w:rsidRDefault="000002ED" w:rsidP="001E1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One or more of the following: creatine kinase (CK) more than 4 times normal, abnormal muscle biopsy, abnormal electromyography, or proximal muscle weakness combined with investigator opinion.</w:t>
            </w:r>
          </w:p>
        </w:tc>
      </w:tr>
    </w:tbl>
    <w:p w:rsidR="000002ED" w:rsidRPr="00960843" w:rsidRDefault="00A75B53" w:rsidP="000002ED">
      <w:pPr>
        <w:rPr>
          <w:rFonts w:ascii="Times New Roman" w:hAnsi="Times New Roman" w:cs="Times New Roman"/>
          <w:sz w:val="20"/>
          <w:szCs w:val="20"/>
        </w:rPr>
      </w:pPr>
      <w:r>
        <w:rPr>
          <w:rFonts w:ascii="Times New Roman" w:hAnsi="Times New Roman" w:cs="Times New Roman"/>
          <w:sz w:val="20"/>
          <w:szCs w:val="20"/>
        </w:rPr>
        <w:br/>
      </w:r>
      <w:r w:rsidR="000002ED" w:rsidRPr="00A75B53">
        <w:rPr>
          <w:rFonts w:ascii="Times New Roman" w:hAnsi="Times New Roman" w:cs="Times New Roman"/>
          <w:sz w:val="16"/>
          <w:szCs w:val="20"/>
        </w:rPr>
        <w:t>For each patient, the presence of organ involvement of any type was carried forward from the time of diagnosis until the time of study exit. That is, organ involvement (such as pulmonary fibrosis) was not assumed to be reversed once it was detected using the criteria outlined above. Conversely, for each category above, if the outlined criteria ruled out organ involvement and previous investigations during past visits were inconclusive, it was assumed that the patient never had this type of manifestation (the absence of organ involvement was carried backwards).</w:t>
      </w:r>
    </w:p>
    <w:p w:rsidR="000002ED" w:rsidRPr="00960843" w:rsidRDefault="000002ED">
      <w:pPr>
        <w:rPr>
          <w:rFonts w:ascii="Times New Roman" w:hAnsi="Times New Roman" w:cs="Times New Roman"/>
          <w:sz w:val="20"/>
          <w:szCs w:val="20"/>
        </w:rPr>
      </w:pPr>
      <w:r w:rsidRPr="00960843">
        <w:rPr>
          <w:rFonts w:ascii="Times New Roman" w:hAnsi="Times New Roman" w:cs="Times New Roman"/>
          <w:sz w:val="20"/>
          <w:szCs w:val="20"/>
        </w:rPr>
        <w:br w:type="page"/>
      </w:r>
    </w:p>
    <w:p w:rsidR="000002ED" w:rsidRPr="00960843" w:rsidRDefault="000002ED" w:rsidP="000002ED">
      <w:pPr>
        <w:rPr>
          <w:rFonts w:ascii="Times New Roman" w:hAnsi="Times New Roman" w:cs="Times New Roman"/>
          <w:sz w:val="20"/>
        </w:rPr>
      </w:pPr>
      <w:r w:rsidRPr="00960843">
        <w:rPr>
          <w:rFonts w:ascii="Times New Roman" w:hAnsi="Times New Roman" w:cs="Times New Roman"/>
          <w:i/>
          <w:sz w:val="20"/>
        </w:rPr>
        <w:lastRenderedPageBreak/>
        <w:t xml:space="preserve">Supplementary Table </w:t>
      </w:r>
      <w:r w:rsidR="00C813BB" w:rsidRPr="00960843">
        <w:rPr>
          <w:rFonts w:ascii="Times New Roman" w:hAnsi="Times New Roman" w:cs="Times New Roman"/>
          <w:i/>
          <w:sz w:val="20"/>
        </w:rPr>
        <w:t>S</w:t>
      </w:r>
      <w:r w:rsidRPr="00960843">
        <w:rPr>
          <w:rFonts w:ascii="Times New Roman" w:hAnsi="Times New Roman" w:cs="Times New Roman"/>
          <w:i/>
          <w:sz w:val="20"/>
        </w:rPr>
        <w:t>2. Primary and secondary outcome measures.</w:t>
      </w:r>
    </w:p>
    <w:tbl>
      <w:tblPr>
        <w:tblStyle w:val="LightList-Accent2"/>
        <w:tblW w:w="0" w:type="auto"/>
        <w:tblLook w:val="04A0" w:firstRow="1" w:lastRow="0" w:firstColumn="1" w:lastColumn="0" w:noHBand="0" w:noVBand="1"/>
      </w:tblPr>
      <w:tblGrid>
        <w:gridCol w:w="4219"/>
        <w:gridCol w:w="2260"/>
        <w:gridCol w:w="2763"/>
      </w:tblGrid>
      <w:tr w:rsidR="000002ED" w:rsidRPr="00960843" w:rsidTr="00000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center"/>
              <w:rPr>
                <w:rFonts w:ascii="Times New Roman" w:hAnsi="Times New Roman" w:cs="Times New Roman"/>
                <w:sz w:val="16"/>
                <w:szCs w:val="16"/>
              </w:rPr>
            </w:pPr>
            <w:r w:rsidRPr="00960843">
              <w:rPr>
                <w:rFonts w:ascii="Times New Roman" w:hAnsi="Times New Roman" w:cs="Times New Roman"/>
                <w:sz w:val="16"/>
                <w:szCs w:val="16"/>
              </w:rPr>
              <w:t>Clinical variables</w:t>
            </w:r>
          </w:p>
        </w:tc>
        <w:tc>
          <w:tcPr>
            <w:tcW w:w="2260" w:type="dxa"/>
          </w:tcPr>
          <w:p w:rsidR="000002ED" w:rsidRPr="00960843" w:rsidRDefault="00C813BB" w:rsidP="00C813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Frequency of recording</w:t>
            </w:r>
          </w:p>
        </w:tc>
        <w:tc>
          <w:tcPr>
            <w:tcW w:w="2763" w:type="dxa"/>
          </w:tcPr>
          <w:p w:rsidR="000002ED" w:rsidRPr="00960843" w:rsidRDefault="000002ED" w:rsidP="001E1C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Outcome variable</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C813BB">
            <w:pPr>
              <w:jc w:val="both"/>
              <w:rPr>
                <w:rFonts w:ascii="Times New Roman" w:hAnsi="Times New Roman" w:cs="Times New Roman"/>
                <w:b w:val="0"/>
                <w:sz w:val="16"/>
                <w:szCs w:val="16"/>
              </w:rPr>
            </w:pPr>
            <w:r w:rsidRPr="00960843">
              <w:rPr>
                <w:rFonts w:ascii="Times New Roman" w:hAnsi="Times New Roman" w:cs="Times New Roman"/>
                <w:b w:val="0"/>
                <w:sz w:val="16"/>
                <w:szCs w:val="16"/>
              </w:rPr>
              <w:t>Modified Rodnan skin score (mRSS)</w:t>
            </w:r>
          </w:p>
        </w:tc>
        <w:tc>
          <w:tcPr>
            <w:tcW w:w="2260" w:type="dxa"/>
          </w:tcPr>
          <w:p w:rsidR="000002ED" w:rsidRPr="00960843" w:rsidRDefault="000002ED" w:rsidP="00C81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3 month</w:t>
            </w:r>
            <w:r w:rsidR="00C813BB" w:rsidRPr="00960843">
              <w:rPr>
                <w:rFonts w:ascii="Times New Roman" w:hAnsi="Times New Roman" w:cs="Times New Roman"/>
                <w:sz w:val="16"/>
                <w:szCs w:val="16"/>
              </w:rPr>
              <w:t>ly</w:t>
            </w:r>
          </w:p>
        </w:tc>
        <w:tc>
          <w:tcPr>
            <w:tcW w:w="2763" w:type="dxa"/>
          </w:tcPr>
          <w:p w:rsidR="000002ED" w:rsidRPr="00960843" w:rsidRDefault="000002ED" w:rsidP="001E1C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mRSS (primary)</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Haemoglobin</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Erythrocyte sedimentation rate (ESR)</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Plasma creatinine</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Estimated glomerular filtration rate (eGFR)</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C-Reactive protein (CRP)</w:t>
            </w:r>
          </w:p>
        </w:tc>
        <w:tc>
          <w:tcPr>
            <w:tcW w:w="2260" w:type="dxa"/>
          </w:tcPr>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3 month</w:t>
            </w:r>
            <w:r w:rsidR="00C813BB" w:rsidRPr="00960843">
              <w:rPr>
                <w:rFonts w:ascii="Times New Roman" w:hAnsi="Times New Roman" w:cs="Times New Roman"/>
                <w:sz w:val="16"/>
                <w:szCs w:val="16"/>
              </w:rPr>
              <w:t>ly</w:t>
            </w:r>
          </w:p>
        </w:tc>
        <w:tc>
          <w:tcPr>
            <w:tcW w:w="2763" w:type="dxa"/>
          </w:tcPr>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Outcomes assessed in a preliminary analysis but not included as secondary outcomes.</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both"/>
              <w:rPr>
                <w:rFonts w:ascii="Times New Roman" w:hAnsi="Times New Roman" w:cs="Times New Roman"/>
                <w:b w:val="0"/>
                <w:color w:val="222222"/>
                <w:sz w:val="16"/>
                <w:szCs w:val="16"/>
                <w:shd w:val="clear" w:color="auto" w:fill="FFFFFF"/>
              </w:rPr>
            </w:pPr>
            <w:r w:rsidRPr="00960843">
              <w:rPr>
                <w:rFonts w:ascii="Times New Roman" w:hAnsi="Times New Roman" w:cs="Times New Roman"/>
                <w:b w:val="0"/>
                <w:color w:val="222222"/>
                <w:sz w:val="16"/>
                <w:szCs w:val="16"/>
                <w:shd w:val="clear" w:color="auto" w:fill="FFFFFF"/>
              </w:rPr>
              <w:t>High-resolution computed tomography (HRCT) findings</w:t>
            </w:r>
          </w:p>
          <w:p w:rsidR="00C813BB"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color w:val="222222"/>
                <w:sz w:val="16"/>
                <w:szCs w:val="16"/>
                <w:shd w:val="clear" w:color="auto" w:fill="FFFFFF"/>
              </w:rPr>
              <w:t>F</w:t>
            </w:r>
            <w:r w:rsidRPr="00960843">
              <w:rPr>
                <w:rFonts w:ascii="Times New Roman" w:hAnsi="Times New Roman" w:cs="Times New Roman"/>
                <w:b w:val="0"/>
                <w:sz w:val="16"/>
                <w:szCs w:val="16"/>
              </w:rPr>
              <w:t xml:space="preserve">orced vital capacity (FVC - % predicted) </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Carbon monoxide diffusing capacity (DLCO - % predicted)</w:t>
            </w:r>
          </w:p>
          <w:p w:rsidR="000002ED" w:rsidRPr="00960843" w:rsidRDefault="000002ED" w:rsidP="00C813BB">
            <w:pPr>
              <w:jc w:val="both"/>
              <w:rPr>
                <w:rFonts w:ascii="Times New Roman" w:hAnsi="Times New Roman" w:cs="Times New Roman"/>
                <w:b w:val="0"/>
                <w:sz w:val="16"/>
                <w:szCs w:val="16"/>
              </w:rPr>
            </w:pPr>
            <w:r w:rsidRPr="00960843">
              <w:rPr>
                <w:rFonts w:ascii="Times New Roman" w:hAnsi="Times New Roman" w:cs="Times New Roman"/>
                <w:b w:val="0"/>
                <w:sz w:val="16"/>
                <w:szCs w:val="16"/>
              </w:rPr>
              <w:t xml:space="preserve">Estimated </w:t>
            </w:r>
            <w:r w:rsidR="00C813BB" w:rsidRPr="00960843">
              <w:rPr>
                <w:rFonts w:ascii="Times New Roman" w:hAnsi="Times New Roman" w:cs="Times New Roman"/>
                <w:b w:val="0"/>
                <w:sz w:val="16"/>
                <w:szCs w:val="16"/>
              </w:rPr>
              <w:t xml:space="preserve">systolic </w:t>
            </w:r>
            <w:r w:rsidRPr="00960843">
              <w:rPr>
                <w:rFonts w:ascii="Times New Roman" w:hAnsi="Times New Roman" w:cs="Times New Roman"/>
                <w:b w:val="0"/>
                <w:sz w:val="16"/>
                <w:szCs w:val="16"/>
              </w:rPr>
              <w:t>pulmonary arterial  pressure (</w:t>
            </w:r>
            <w:r w:rsidR="00C813BB" w:rsidRPr="00960843">
              <w:rPr>
                <w:rFonts w:ascii="Times New Roman" w:hAnsi="Times New Roman" w:cs="Times New Roman"/>
                <w:b w:val="0"/>
                <w:sz w:val="16"/>
                <w:szCs w:val="16"/>
              </w:rPr>
              <w:t>sPAP</w:t>
            </w:r>
            <w:r w:rsidRPr="00960843">
              <w:rPr>
                <w:rFonts w:ascii="Times New Roman" w:hAnsi="Times New Roman" w:cs="Times New Roman"/>
                <w:b w:val="0"/>
                <w:sz w:val="16"/>
                <w:szCs w:val="16"/>
              </w:rPr>
              <w:t>) / right ventricular systolic pressure (RVSP)</w:t>
            </w:r>
          </w:p>
        </w:tc>
        <w:tc>
          <w:tcPr>
            <w:tcW w:w="2260" w:type="dxa"/>
          </w:tcPr>
          <w:p w:rsidR="000002ED" w:rsidRPr="00960843" w:rsidRDefault="000002ED" w:rsidP="00C81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12 month</w:t>
            </w:r>
            <w:r w:rsidR="00C813BB" w:rsidRPr="00960843">
              <w:rPr>
                <w:rFonts w:ascii="Times New Roman" w:hAnsi="Times New Roman" w:cs="Times New Roman"/>
                <w:sz w:val="16"/>
                <w:szCs w:val="16"/>
              </w:rPr>
              <w:t>ly</w:t>
            </w:r>
            <w:r w:rsidR="00A858D4">
              <w:rPr>
                <w:rFonts w:ascii="Times New Roman" w:hAnsi="Times New Roman" w:cs="Times New Roman"/>
                <w:sz w:val="16"/>
                <w:szCs w:val="16"/>
              </w:rPr>
              <w:t xml:space="preserve"> (except HRCT)</w:t>
            </w:r>
          </w:p>
        </w:tc>
        <w:tc>
          <w:tcPr>
            <w:tcW w:w="2763" w:type="dxa"/>
          </w:tcPr>
          <w:p w:rsidR="000002ED" w:rsidRPr="00960843" w:rsidRDefault="000002ED" w:rsidP="001E1C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FVC (secondary)</w:t>
            </w:r>
          </w:p>
          <w:p w:rsidR="000002ED" w:rsidRPr="00960843" w:rsidRDefault="000002ED" w:rsidP="001E1C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DLCO (secondary)</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Scleroderma Specific Health Assessment Questionnaire [</w:t>
            </w:r>
            <w:r w:rsidR="00C813BB" w:rsidRPr="00960843">
              <w:rPr>
                <w:rFonts w:ascii="Times New Roman" w:hAnsi="Times New Roman" w:cs="Times New Roman"/>
                <w:b w:val="0"/>
                <w:sz w:val="16"/>
                <w:szCs w:val="16"/>
              </w:rPr>
              <w:t>s</w:t>
            </w:r>
            <w:r w:rsidRPr="00960843">
              <w:rPr>
                <w:rFonts w:ascii="Times New Roman" w:hAnsi="Times New Roman" w:cs="Times New Roman"/>
                <w:b w:val="0"/>
                <w:sz w:val="16"/>
                <w:szCs w:val="16"/>
              </w:rPr>
              <w:t>HAQ], including HAQ-DI disability index</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 xml:space="preserve">FACIT fatigue score </w:t>
            </w:r>
          </w:p>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 xml:space="preserve">Short Form 36 Health Survey (SF36) </w:t>
            </w:r>
          </w:p>
          <w:p w:rsidR="000002ED" w:rsidRPr="00960843" w:rsidRDefault="000002ED" w:rsidP="00C813BB">
            <w:pPr>
              <w:jc w:val="both"/>
              <w:rPr>
                <w:rFonts w:ascii="Times New Roman" w:hAnsi="Times New Roman" w:cs="Times New Roman"/>
                <w:b w:val="0"/>
                <w:sz w:val="16"/>
                <w:szCs w:val="16"/>
              </w:rPr>
            </w:pPr>
            <w:r w:rsidRPr="00960843">
              <w:rPr>
                <w:rFonts w:ascii="Times New Roman" w:hAnsi="Times New Roman" w:cs="Times New Roman"/>
                <w:b w:val="0"/>
                <w:sz w:val="16"/>
                <w:szCs w:val="16"/>
              </w:rPr>
              <w:t xml:space="preserve">Cochin Hand Function Scale </w:t>
            </w:r>
          </w:p>
        </w:tc>
        <w:tc>
          <w:tcPr>
            <w:tcW w:w="2260" w:type="dxa"/>
          </w:tcPr>
          <w:p w:rsidR="000002ED" w:rsidRPr="00960843" w:rsidRDefault="000002ED" w:rsidP="00C813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12 month</w:t>
            </w:r>
            <w:r w:rsidR="00C813BB" w:rsidRPr="00960843">
              <w:rPr>
                <w:rFonts w:ascii="Times New Roman" w:hAnsi="Times New Roman" w:cs="Times New Roman"/>
                <w:sz w:val="16"/>
                <w:szCs w:val="16"/>
              </w:rPr>
              <w:t>ly</w:t>
            </w:r>
          </w:p>
        </w:tc>
        <w:tc>
          <w:tcPr>
            <w:tcW w:w="2763" w:type="dxa"/>
          </w:tcPr>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HAQ-DI (secondary)</w:t>
            </w:r>
          </w:p>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Cochin Hand Function Scale (secondary)</w:t>
            </w:r>
          </w:p>
        </w:tc>
      </w:tr>
      <w:tr w:rsidR="000002ED" w:rsidRPr="00960843" w:rsidTr="0000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Side effects from primary disease-modifying treatment</w:t>
            </w:r>
          </w:p>
        </w:tc>
        <w:tc>
          <w:tcPr>
            <w:tcW w:w="2260" w:type="dxa"/>
          </w:tcPr>
          <w:p w:rsidR="000002ED" w:rsidRPr="00960843" w:rsidRDefault="000002ED" w:rsidP="00C81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3 month</w:t>
            </w:r>
            <w:r w:rsidR="00C813BB" w:rsidRPr="00960843">
              <w:rPr>
                <w:rFonts w:ascii="Times New Roman" w:hAnsi="Times New Roman" w:cs="Times New Roman"/>
                <w:sz w:val="16"/>
                <w:szCs w:val="16"/>
              </w:rPr>
              <w:t>ly</w:t>
            </w:r>
          </w:p>
        </w:tc>
        <w:tc>
          <w:tcPr>
            <w:tcW w:w="2763" w:type="dxa"/>
          </w:tcPr>
          <w:p w:rsidR="000002ED" w:rsidRPr="00960843" w:rsidRDefault="000002ED" w:rsidP="001E1C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Side effects (secondary)</w:t>
            </w:r>
          </w:p>
        </w:tc>
      </w:tr>
      <w:tr w:rsidR="000002ED" w:rsidRPr="00960843" w:rsidTr="000002ED">
        <w:tc>
          <w:tcPr>
            <w:cnfStyle w:val="001000000000" w:firstRow="0" w:lastRow="0" w:firstColumn="1" w:lastColumn="0" w:oddVBand="0" w:evenVBand="0" w:oddHBand="0" w:evenHBand="0" w:firstRowFirstColumn="0" w:firstRowLastColumn="0" w:lastRowFirstColumn="0" w:lastRowLastColumn="0"/>
            <w:tcW w:w="4219" w:type="dxa"/>
          </w:tcPr>
          <w:p w:rsidR="000002ED" w:rsidRPr="00960843" w:rsidRDefault="000002ED" w:rsidP="001E1C94">
            <w:pPr>
              <w:jc w:val="both"/>
              <w:rPr>
                <w:rFonts w:ascii="Times New Roman" w:hAnsi="Times New Roman" w:cs="Times New Roman"/>
                <w:b w:val="0"/>
                <w:sz w:val="16"/>
                <w:szCs w:val="16"/>
              </w:rPr>
            </w:pPr>
            <w:r w:rsidRPr="00960843">
              <w:rPr>
                <w:rFonts w:ascii="Times New Roman" w:hAnsi="Times New Roman" w:cs="Times New Roman"/>
                <w:b w:val="0"/>
                <w:sz w:val="16"/>
                <w:szCs w:val="16"/>
              </w:rPr>
              <w:t>Survival</w:t>
            </w:r>
          </w:p>
        </w:tc>
        <w:tc>
          <w:tcPr>
            <w:tcW w:w="2260" w:type="dxa"/>
          </w:tcPr>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Date and cause of death recorded</w:t>
            </w:r>
          </w:p>
        </w:tc>
        <w:tc>
          <w:tcPr>
            <w:tcW w:w="2763" w:type="dxa"/>
          </w:tcPr>
          <w:p w:rsidR="000002ED" w:rsidRPr="00960843" w:rsidRDefault="000002ED" w:rsidP="001E1C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Survival (secondary)</w:t>
            </w:r>
          </w:p>
        </w:tc>
      </w:tr>
    </w:tbl>
    <w:p w:rsidR="000002ED" w:rsidRPr="00960843" w:rsidRDefault="000002ED" w:rsidP="000002ED">
      <w:pPr>
        <w:rPr>
          <w:rFonts w:ascii="Times New Roman" w:hAnsi="Times New Roman" w:cs="Times New Roman"/>
        </w:rPr>
      </w:pPr>
    </w:p>
    <w:p w:rsidR="000002ED" w:rsidRPr="00960843" w:rsidRDefault="000002ED">
      <w:pPr>
        <w:rPr>
          <w:rFonts w:ascii="Times New Roman" w:hAnsi="Times New Roman" w:cs="Times New Roman"/>
        </w:rPr>
      </w:pPr>
      <w:r w:rsidRPr="00960843">
        <w:rPr>
          <w:rFonts w:ascii="Times New Roman" w:hAnsi="Times New Roman" w:cs="Times New Roman"/>
        </w:rPr>
        <w:br w:type="page"/>
      </w:r>
    </w:p>
    <w:p w:rsidR="00486680" w:rsidRDefault="00486680" w:rsidP="00486680">
      <w:pPr>
        <w:spacing w:line="240" w:lineRule="auto"/>
        <w:rPr>
          <w:rFonts w:ascii="Times New Roman" w:hAnsi="Times New Roman" w:cs="Times New Roman"/>
          <w:i/>
        </w:rPr>
      </w:pPr>
      <w:r w:rsidRPr="00960843">
        <w:rPr>
          <w:rFonts w:ascii="Times New Roman" w:hAnsi="Times New Roman" w:cs="Times New Roman"/>
          <w:i/>
        </w:rPr>
        <w:lastRenderedPageBreak/>
        <w:t xml:space="preserve">Supplementary Table </w:t>
      </w:r>
      <w:r w:rsidR="006E1261" w:rsidRPr="00960843">
        <w:rPr>
          <w:rFonts w:ascii="Times New Roman" w:hAnsi="Times New Roman" w:cs="Times New Roman"/>
          <w:i/>
        </w:rPr>
        <w:t>S3</w:t>
      </w:r>
      <w:r w:rsidRPr="00960843">
        <w:rPr>
          <w:rFonts w:ascii="Times New Roman" w:hAnsi="Times New Roman" w:cs="Times New Roman"/>
          <w:i/>
        </w:rPr>
        <w:t>. Doses by protocol.</w:t>
      </w:r>
    </w:p>
    <w:tbl>
      <w:tblPr>
        <w:tblStyle w:val="LightList-Accent2"/>
        <w:tblW w:w="0" w:type="auto"/>
        <w:tblLook w:val="04A0" w:firstRow="1" w:lastRow="0" w:firstColumn="1" w:lastColumn="0" w:noHBand="0" w:noVBand="1"/>
      </w:tblPr>
      <w:tblGrid>
        <w:gridCol w:w="1581"/>
        <w:gridCol w:w="235"/>
        <w:gridCol w:w="892"/>
        <w:gridCol w:w="456"/>
        <w:gridCol w:w="1714"/>
        <w:gridCol w:w="376"/>
        <w:gridCol w:w="1729"/>
        <w:gridCol w:w="376"/>
        <w:gridCol w:w="1883"/>
      </w:tblGrid>
      <w:tr w:rsidR="000002ED" w:rsidRPr="00960843" w:rsidTr="00BA4F6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pPr>
              <w:rPr>
                <w:rFonts w:ascii="Times New Roman" w:hAnsi="Times New Roman" w:cs="Times New Roman"/>
                <w:sz w:val="16"/>
                <w:szCs w:val="16"/>
              </w:rPr>
            </w:pPr>
          </w:p>
        </w:tc>
        <w:tc>
          <w:tcPr>
            <w:tcW w:w="235" w:type="dxa"/>
            <w:tcBorders>
              <w:right w:val="single" w:sz="2" w:space="0" w:color="C0504D" w:themeColor="accent2"/>
            </w:tcBorders>
            <w:noWrap/>
            <w:hideMark/>
          </w:tcPr>
          <w:p w:rsidR="000002ED" w:rsidRPr="00960843" w:rsidRDefault="000002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p>
        </w:tc>
        <w:tc>
          <w:tcPr>
            <w:tcW w:w="2076" w:type="dxa"/>
            <w:gridSpan w:val="2"/>
            <w:tcBorders>
              <w:left w:val="single" w:sz="2" w:space="0" w:color="C0504D" w:themeColor="accent2"/>
              <w:right w:val="single" w:sz="2" w:space="0" w:color="C0504D" w:themeColor="accent2"/>
            </w:tcBorders>
            <w:noWrap/>
            <w:hideMark/>
          </w:tcPr>
          <w:p w:rsidR="000002ED" w:rsidRPr="00960843" w:rsidRDefault="000002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Baseline</w:t>
            </w:r>
          </w:p>
        </w:tc>
        <w:tc>
          <w:tcPr>
            <w:tcW w:w="2105" w:type="dxa"/>
            <w:gridSpan w:val="2"/>
            <w:tcBorders>
              <w:left w:val="single" w:sz="2" w:space="0" w:color="C0504D" w:themeColor="accent2"/>
              <w:right w:val="single" w:sz="2" w:space="0" w:color="C0504D" w:themeColor="accent2"/>
            </w:tcBorders>
            <w:noWrap/>
            <w:hideMark/>
          </w:tcPr>
          <w:p w:rsidR="000002ED" w:rsidRPr="00960843" w:rsidRDefault="000002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12 months</w:t>
            </w:r>
          </w:p>
        </w:tc>
        <w:tc>
          <w:tcPr>
            <w:tcW w:w="2259" w:type="dxa"/>
            <w:gridSpan w:val="2"/>
            <w:tcBorders>
              <w:left w:val="single" w:sz="2" w:space="0" w:color="C0504D" w:themeColor="accent2"/>
            </w:tcBorders>
            <w:noWrap/>
            <w:hideMark/>
          </w:tcPr>
          <w:p w:rsidR="000002ED" w:rsidRPr="00960843" w:rsidRDefault="000002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24 months</w:t>
            </w:r>
          </w:p>
        </w:tc>
      </w:tr>
      <w:tr w:rsidR="00BA4F68" w:rsidRPr="00960843" w:rsidTr="00BA4F6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82" w:type="dxa"/>
            <w:noWrap/>
          </w:tcPr>
          <w:p w:rsidR="000002ED" w:rsidRPr="00960843" w:rsidRDefault="000002ED" w:rsidP="000002ED">
            <w:pPr>
              <w:rPr>
                <w:rFonts w:ascii="Times New Roman" w:hAnsi="Times New Roman" w:cs="Times New Roman"/>
                <w:sz w:val="16"/>
                <w:szCs w:val="16"/>
              </w:rPr>
            </w:pPr>
          </w:p>
        </w:tc>
        <w:tc>
          <w:tcPr>
            <w:tcW w:w="235" w:type="dxa"/>
            <w:tcBorders>
              <w:right w:val="single" w:sz="2" w:space="0" w:color="C0504D" w:themeColor="accent2"/>
            </w:tcBorders>
            <w:noWrap/>
            <w:hideMark/>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Frequency</w:t>
            </w:r>
          </w:p>
        </w:tc>
        <w:tc>
          <w:tcPr>
            <w:tcW w:w="362"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n</w:t>
            </w:r>
          </w:p>
        </w:tc>
        <w:tc>
          <w:tcPr>
            <w:tcW w:w="1714" w:type="dxa"/>
            <w:tcBorders>
              <w:right w:val="single" w:sz="2" w:space="0" w:color="C0504D" w:themeColor="accent2"/>
            </w:tcBorders>
            <w:noWrap/>
            <w:hideMark/>
          </w:tcPr>
          <w:p w:rsidR="000002ED" w:rsidRPr="00960843" w:rsidRDefault="002E6D2A" w:rsidP="002E6D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M</w:t>
            </w:r>
            <w:r w:rsidR="000002ED" w:rsidRPr="00960843">
              <w:rPr>
                <w:rFonts w:ascii="Times New Roman" w:hAnsi="Times New Roman" w:cs="Times New Roman"/>
                <w:sz w:val="16"/>
                <w:szCs w:val="16"/>
              </w:rPr>
              <w:t>edian dose in mg (IQR)</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n</w:t>
            </w:r>
          </w:p>
        </w:tc>
        <w:tc>
          <w:tcPr>
            <w:tcW w:w="1729" w:type="dxa"/>
            <w:tcBorders>
              <w:right w:val="single" w:sz="2" w:space="0" w:color="C0504D" w:themeColor="accent2"/>
            </w:tcBorders>
            <w:noWrap/>
            <w:hideMark/>
          </w:tcPr>
          <w:p w:rsidR="000002ED" w:rsidRPr="00960843" w:rsidRDefault="002E6D2A" w:rsidP="002E6D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M</w:t>
            </w:r>
            <w:r w:rsidR="000002ED" w:rsidRPr="00960843">
              <w:rPr>
                <w:rFonts w:ascii="Times New Roman" w:hAnsi="Times New Roman" w:cs="Times New Roman"/>
                <w:sz w:val="16"/>
                <w:szCs w:val="16"/>
              </w:rPr>
              <w:t>edian dose in mg (IQR)</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n</w:t>
            </w:r>
          </w:p>
        </w:tc>
        <w:tc>
          <w:tcPr>
            <w:tcW w:w="1883" w:type="dxa"/>
            <w:noWrap/>
            <w:hideMark/>
          </w:tcPr>
          <w:p w:rsidR="000002ED" w:rsidRPr="00960843" w:rsidRDefault="002E6D2A" w:rsidP="002E6D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M</w:t>
            </w:r>
            <w:r w:rsidR="000002ED" w:rsidRPr="00960843">
              <w:rPr>
                <w:rFonts w:ascii="Times New Roman" w:hAnsi="Times New Roman" w:cs="Times New Roman"/>
                <w:sz w:val="16"/>
                <w:szCs w:val="16"/>
              </w:rPr>
              <w:t>edian dose in mg (IQR)</w:t>
            </w:r>
          </w:p>
        </w:tc>
      </w:tr>
      <w:tr w:rsidR="00BA4F68" w:rsidRPr="00960843" w:rsidTr="00BA4F68">
        <w:trPr>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pPr>
              <w:rPr>
                <w:rFonts w:ascii="Times New Roman" w:hAnsi="Times New Roman" w:cs="Times New Roman"/>
                <w:sz w:val="16"/>
                <w:szCs w:val="16"/>
              </w:rPr>
            </w:pPr>
            <w:r w:rsidRPr="00960843">
              <w:rPr>
                <w:rFonts w:ascii="Times New Roman" w:hAnsi="Times New Roman" w:cs="Times New Roman"/>
                <w:sz w:val="16"/>
                <w:szCs w:val="16"/>
              </w:rPr>
              <w:t>Methotrexate</w:t>
            </w:r>
          </w:p>
        </w:tc>
        <w:tc>
          <w:tcPr>
            <w:tcW w:w="235" w:type="dxa"/>
            <w:tcBorders>
              <w:right w:val="single" w:sz="2" w:space="0" w:color="C0504D" w:themeColor="accent2"/>
            </w:tcBorders>
            <w:noWrap/>
            <w:hideMark/>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w:t>
            </w:r>
          </w:p>
        </w:tc>
        <w:tc>
          <w:tcPr>
            <w:tcW w:w="362"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14"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29"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83" w:type="dxa"/>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A4F68" w:rsidRPr="00960843" w:rsidTr="00BA4F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Oral</w:t>
            </w:r>
          </w:p>
        </w:tc>
        <w:tc>
          <w:tcPr>
            <w:tcW w:w="235" w:type="dxa"/>
            <w:tcBorders>
              <w:right w:val="single" w:sz="2" w:space="0" w:color="C0504D" w:themeColor="accent2"/>
            </w:tcBorders>
            <w:noWrap/>
            <w:hideMark/>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Weekly</w:t>
            </w:r>
          </w:p>
        </w:tc>
        <w:tc>
          <w:tcPr>
            <w:tcW w:w="362"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44</w:t>
            </w:r>
          </w:p>
        </w:tc>
        <w:tc>
          <w:tcPr>
            <w:tcW w:w="1714"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15 (10-20)</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20</w:t>
            </w:r>
          </w:p>
        </w:tc>
        <w:tc>
          <w:tcPr>
            <w:tcW w:w="1729" w:type="dxa"/>
            <w:tcBorders>
              <w:right w:val="single" w:sz="2" w:space="0" w:color="C0504D" w:themeColor="accent2"/>
            </w:tcBorders>
            <w:noWrap/>
            <w:hideMark/>
          </w:tcPr>
          <w:p w:rsidR="000002ED" w:rsidRPr="00960843" w:rsidRDefault="009D34C1" w:rsidP="001C49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001C49CC">
              <w:rPr>
                <w:rFonts w:ascii="Times New Roman" w:hAnsi="Times New Roman" w:cs="Times New Roman"/>
                <w:sz w:val="16"/>
                <w:szCs w:val="16"/>
              </w:rPr>
              <w:t>7</w:t>
            </w:r>
            <w:r w:rsidR="000002ED" w:rsidRPr="00960843">
              <w:rPr>
                <w:rFonts w:ascii="Times New Roman" w:hAnsi="Times New Roman" w:cs="Times New Roman"/>
                <w:sz w:val="16"/>
                <w:szCs w:val="16"/>
              </w:rPr>
              <w:t xml:space="preserve"> (15-20)</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15</w:t>
            </w:r>
          </w:p>
        </w:tc>
        <w:tc>
          <w:tcPr>
            <w:tcW w:w="1883" w:type="dxa"/>
            <w:noWrap/>
            <w:hideMark/>
          </w:tcPr>
          <w:p w:rsidR="000002ED" w:rsidRPr="00960843" w:rsidRDefault="000002ED" w:rsidP="001F52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15 (</w:t>
            </w:r>
            <w:r w:rsidR="009D34C1">
              <w:rPr>
                <w:rFonts w:ascii="Times New Roman" w:hAnsi="Times New Roman" w:cs="Times New Roman"/>
                <w:sz w:val="16"/>
                <w:szCs w:val="16"/>
              </w:rPr>
              <w:t>13-2</w:t>
            </w:r>
            <w:r w:rsidR="001F5259">
              <w:rPr>
                <w:rFonts w:ascii="Times New Roman" w:hAnsi="Times New Roman" w:cs="Times New Roman"/>
                <w:sz w:val="16"/>
                <w:szCs w:val="16"/>
              </w:rPr>
              <w:t>0</w:t>
            </w:r>
            <w:r w:rsidRPr="00960843">
              <w:rPr>
                <w:rFonts w:ascii="Times New Roman" w:hAnsi="Times New Roman" w:cs="Times New Roman"/>
                <w:sz w:val="16"/>
                <w:szCs w:val="16"/>
              </w:rPr>
              <w:t>)</w:t>
            </w:r>
          </w:p>
        </w:tc>
      </w:tr>
      <w:tr w:rsidR="00BA4F68" w:rsidRPr="00960843" w:rsidTr="00BA4F68">
        <w:trPr>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Subcutaneous</w:t>
            </w:r>
          </w:p>
        </w:tc>
        <w:tc>
          <w:tcPr>
            <w:tcW w:w="235" w:type="dxa"/>
            <w:tcBorders>
              <w:right w:val="single" w:sz="2" w:space="0" w:color="C0504D" w:themeColor="accent2"/>
            </w:tcBorders>
            <w:noWrap/>
            <w:hideMark/>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Weekly</w:t>
            </w:r>
          </w:p>
        </w:tc>
        <w:tc>
          <w:tcPr>
            <w:tcW w:w="362"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13</w:t>
            </w:r>
          </w:p>
        </w:tc>
        <w:tc>
          <w:tcPr>
            <w:tcW w:w="1714"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15 (15-20)</w:t>
            </w:r>
          </w:p>
        </w:tc>
        <w:tc>
          <w:tcPr>
            <w:tcW w:w="376" w:type="dxa"/>
            <w:tcBorders>
              <w:left w:val="single" w:sz="2" w:space="0" w:color="C0504D" w:themeColor="accent2"/>
            </w:tcBorders>
            <w:noWrap/>
            <w:hideMark/>
          </w:tcPr>
          <w:p w:rsidR="000002ED" w:rsidRPr="00960843" w:rsidRDefault="009D34C1"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c>
          <w:tcPr>
            <w:tcW w:w="1729" w:type="dxa"/>
            <w:tcBorders>
              <w:right w:val="single" w:sz="2" w:space="0" w:color="C0504D" w:themeColor="accent2"/>
            </w:tcBorders>
            <w:noWrap/>
            <w:hideMark/>
          </w:tcPr>
          <w:p w:rsidR="000002ED" w:rsidRPr="00960843" w:rsidRDefault="009D34C1" w:rsidP="009D34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0002ED" w:rsidRPr="00960843">
              <w:rPr>
                <w:rFonts w:ascii="Times New Roman" w:hAnsi="Times New Roman" w:cs="Times New Roman"/>
                <w:sz w:val="16"/>
                <w:szCs w:val="16"/>
              </w:rPr>
              <w:t xml:space="preserve"> (1</w:t>
            </w:r>
            <w:r>
              <w:rPr>
                <w:rFonts w:ascii="Times New Roman" w:hAnsi="Times New Roman" w:cs="Times New Roman"/>
                <w:sz w:val="16"/>
                <w:szCs w:val="16"/>
              </w:rPr>
              <w:t>0</w:t>
            </w:r>
            <w:r w:rsidR="000002ED" w:rsidRPr="00960843">
              <w:rPr>
                <w:rFonts w:ascii="Times New Roman" w:hAnsi="Times New Roman" w:cs="Times New Roman"/>
                <w:sz w:val="16"/>
                <w:szCs w:val="16"/>
              </w:rPr>
              <w:t>-20)</w:t>
            </w: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6</w:t>
            </w:r>
          </w:p>
        </w:tc>
        <w:tc>
          <w:tcPr>
            <w:tcW w:w="1883" w:type="dxa"/>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15 (10-15)</w:t>
            </w:r>
          </w:p>
        </w:tc>
      </w:tr>
      <w:tr w:rsidR="00BA4F68" w:rsidRPr="00960843" w:rsidTr="00BA4F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Intramuscular</w:t>
            </w:r>
          </w:p>
        </w:tc>
        <w:tc>
          <w:tcPr>
            <w:tcW w:w="235" w:type="dxa"/>
            <w:tcBorders>
              <w:right w:val="single" w:sz="2" w:space="0" w:color="C0504D" w:themeColor="accent2"/>
            </w:tcBorders>
            <w:noWrap/>
            <w:hideMark/>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Weekly</w:t>
            </w:r>
          </w:p>
        </w:tc>
        <w:tc>
          <w:tcPr>
            <w:tcW w:w="362"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8</w:t>
            </w:r>
          </w:p>
        </w:tc>
        <w:tc>
          <w:tcPr>
            <w:tcW w:w="1714"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 (10-15)</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7</w:t>
            </w:r>
          </w:p>
        </w:tc>
        <w:tc>
          <w:tcPr>
            <w:tcW w:w="1729"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 (10-15)</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7</w:t>
            </w:r>
          </w:p>
        </w:tc>
        <w:tc>
          <w:tcPr>
            <w:tcW w:w="1883" w:type="dxa"/>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 (10-15)</w:t>
            </w:r>
          </w:p>
        </w:tc>
      </w:tr>
      <w:tr w:rsidR="00BA4F68" w:rsidRPr="00960843" w:rsidTr="00BA4F68">
        <w:trPr>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pPr>
              <w:rPr>
                <w:rFonts w:ascii="Times New Roman" w:hAnsi="Times New Roman" w:cs="Times New Roman"/>
                <w:sz w:val="16"/>
                <w:szCs w:val="16"/>
              </w:rPr>
            </w:pPr>
            <w:r w:rsidRPr="00960843">
              <w:rPr>
                <w:rFonts w:ascii="Times New Roman" w:hAnsi="Times New Roman" w:cs="Times New Roman"/>
                <w:sz w:val="16"/>
                <w:szCs w:val="16"/>
              </w:rPr>
              <w:t>Mycophenolate mofetil</w:t>
            </w:r>
          </w:p>
        </w:tc>
        <w:tc>
          <w:tcPr>
            <w:tcW w:w="235" w:type="dxa"/>
            <w:tcBorders>
              <w:right w:val="single" w:sz="2" w:space="0" w:color="C0504D" w:themeColor="accent2"/>
            </w:tcBorders>
            <w:noWrap/>
            <w:hideMark/>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w:t>
            </w:r>
          </w:p>
        </w:tc>
        <w:tc>
          <w:tcPr>
            <w:tcW w:w="362"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14"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29"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83" w:type="dxa"/>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A4F68" w:rsidRPr="00960843" w:rsidTr="00BA4F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Oral</w:t>
            </w:r>
          </w:p>
        </w:tc>
        <w:tc>
          <w:tcPr>
            <w:tcW w:w="235" w:type="dxa"/>
            <w:tcBorders>
              <w:right w:val="single" w:sz="2" w:space="0" w:color="C0504D" w:themeColor="accent2"/>
            </w:tcBorders>
            <w:noWrap/>
            <w:hideMark/>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Daily</w:t>
            </w:r>
          </w:p>
        </w:tc>
        <w:tc>
          <w:tcPr>
            <w:tcW w:w="362"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118</w:t>
            </w:r>
          </w:p>
        </w:tc>
        <w:tc>
          <w:tcPr>
            <w:tcW w:w="1714"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1000 (1000-2000)</w:t>
            </w:r>
          </w:p>
        </w:tc>
        <w:tc>
          <w:tcPr>
            <w:tcW w:w="376" w:type="dxa"/>
            <w:tcBorders>
              <w:left w:val="single" w:sz="2" w:space="0" w:color="C0504D" w:themeColor="accent2"/>
            </w:tcBorders>
            <w:noWrap/>
            <w:hideMark/>
          </w:tcPr>
          <w:p w:rsidR="000002ED" w:rsidRPr="00960843" w:rsidRDefault="009D34C1"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4AD0">
              <w:rPr>
                <w:rFonts w:ascii="Times New Roman" w:hAnsi="Times New Roman" w:cs="Times New Roman"/>
                <w:sz w:val="16"/>
                <w:szCs w:val="16"/>
              </w:rPr>
              <w:t>92</w:t>
            </w:r>
          </w:p>
        </w:tc>
        <w:tc>
          <w:tcPr>
            <w:tcW w:w="1729"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2000 (1000-2000)</w:t>
            </w:r>
          </w:p>
        </w:tc>
        <w:tc>
          <w:tcPr>
            <w:tcW w:w="376" w:type="dxa"/>
            <w:tcBorders>
              <w:left w:val="single" w:sz="2" w:space="0" w:color="C0504D" w:themeColor="accent2"/>
            </w:tcBorders>
            <w:noWrap/>
            <w:hideMark/>
          </w:tcPr>
          <w:p w:rsidR="000002ED" w:rsidRPr="00960843" w:rsidRDefault="000002ED" w:rsidP="009D34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5</w:t>
            </w:r>
            <w:r w:rsidR="009D34C1">
              <w:rPr>
                <w:rFonts w:ascii="Times New Roman" w:hAnsi="Times New Roman" w:cs="Times New Roman"/>
                <w:sz w:val="16"/>
                <w:szCs w:val="16"/>
              </w:rPr>
              <w:t>5</w:t>
            </w:r>
          </w:p>
        </w:tc>
        <w:tc>
          <w:tcPr>
            <w:tcW w:w="1883" w:type="dxa"/>
            <w:noWrap/>
            <w:hideMark/>
          </w:tcPr>
          <w:p w:rsidR="000002ED" w:rsidRPr="00960843" w:rsidRDefault="000002ED" w:rsidP="009D34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2000 (1</w:t>
            </w:r>
            <w:r w:rsidR="009D34C1">
              <w:rPr>
                <w:rFonts w:ascii="Times New Roman" w:hAnsi="Times New Roman" w:cs="Times New Roman"/>
                <w:sz w:val="16"/>
                <w:szCs w:val="16"/>
              </w:rPr>
              <w:t>000</w:t>
            </w:r>
            <w:r w:rsidRPr="00960843">
              <w:rPr>
                <w:rFonts w:ascii="Times New Roman" w:hAnsi="Times New Roman" w:cs="Times New Roman"/>
                <w:sz w:val="16"/>
                <w:szCs w:val="16"/>
              </w:rPr>
              <w:t>-2000)</w:t>
            </w:r>
          </w:p>
        </w:tc>
      </w:tr>
      <w:tr w:rsidR="00BA4F68" w:rsidRPr="00960843" w:rsidTr="00BA4F68">
        <w:trPr>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pPr>
              <w:rPr>
                <w:rFonts w:ascii="Times New Roman" w:hAnsi="Times New Roman" w:cs="Times New Roman"/>
                <w:sz w:val="16"/>
                <w:szCs w:val="16"/>
              </w:rPr>
            </w:pPr>
            <w:r w:rsidRPr="00960843">
              <w:rPr>
                <w:rFonts w:ascii="Times New Roman" w:hAnsi="Times New Roman" w:cs="Times New Roman"/>
                <w:sz w:val="16"/>
                <w:szCs w:val="16"/>
              </w:rPr>
              <w:t>Cyclophosphamide</w:t>
            </w:r>
          </w:p>
        </w:tc>
        <w:tc>
          <w:tcPr>
            <w:tcW w:w="235" w:type="dxa"/>
            <w:tcBorders>
              <w:right w:val="single" w:sz="2" w:space="0" w:color="C0504D" w:themeColor="accent2"/>
            </w:tcBorders>
            <w:noWrap/>
            <w:hideMark/>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w:t>
            </w:r>
          </w:p>
        </w:tc>
        <w:tc>
          <w:tcPr>
            <w:tcW w:w="362"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14"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29" w:type="dxa"/>
            <w:tcBorders>
              <w:righ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6" w:type="dxa"/>
            <w:tcBorders>
              <w:left w:val="single" w:sz="2" w:space="0" w:color="C0504D" w:themeColor="accent2"/>
            </w:tcBorders>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83" w:type="dxa"/>
            <w:noWrap/>
            <w:hideMark/>
          </w:tcPr>
          <w:p w:rsidR="000002ED" w:rsidRPr="00960843" w:rsidRDefault="000002ED"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A4F68" w:rsidRPr="00960843" w:rsidTr="00BA4F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Oral</w:t>
            </w:r>
          </w:p>
        </w:tc>
        <w:tc>
          <w:tcPr>
            <w:tcW w:w="235" w:type="dxa"/>
            <w:tcBorders>
              <w:right w:val="single" w:sz="2" w:space="0" w:color="C0504D" w:themeColor="accent2"/>
            </w:tcBorders>
            <w:noWrap/>
            <w:hideMark/>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rsidP="000002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Daily</w:t>
            </w:r>
          </w:p>
        </w:tc>
        <w:tc>
          <w:tcPr>
            <w:tcW w:w="362"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4</w:t>
            </w:r>
          </w:p>
        </w:tc>
        <w:tc>
          <w:tcPr>
            <w:tcW w:w="1714"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100 (100-10</w:t>
            </w:r>
            <w:r w:rsidR="009D34C1">
              <w:rPr>
                <w:rFonts w:ascii="Times New Roman" w:hAnsi="Times New Roman" w:cs="Times New Roman"/>
                <w:sz w:val="16"/>
                <w:szCs w:val="16"/>
              </w:rPr>
              <w:t>5</w:t>
            </w:r>
            <w:r w:rsidRPr="00960843">
              <w:rPr>
                <w:rFonts w:ascii="Times New Roman" w:hAnsi="Times New Roman" w:cs="Times New Roman"/>
                <w:sz w:val="16"/>
                <w:szCs w:val="16"/>
              </w:rPr>
              <w:t>0)</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w:t>
            </w:r>
          </w:p>
        </w:tc>
        <w:tc>
          <w:tcPr>
            <w:tcW w:w="1729" w:type="dxa"/>
            <w:tcBorders>
              <w:righ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100 (100-100)</w:t>
            </w:r>
          </w:p>
        </w:tc>
        <w:tc>
          <w:tcPr>
            <w:tcW w:w="376" w:type="dxa"/>
            <w:tcBorders>
              <w:left w:val="single" w:sz="2" w:space="0" w:color="C0504D" w:themeColor="accent2"/>
            </w:tcBorders>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w:t>
            </w:r>
          </w:p>
        </w:tc>
        <w:tc>
          <w:tcPr>
            <w:tcW w:w="1883" w:type="dxa"/>
            <w:noWrap/>
            <w:hideMark/>
          </w:tcPr>
          <w:p w:rsidR="000002ED" w:rsidRPr="00960843" w:rsidRDefault="000002ED" w:rsidP="002E7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100 (100-100)</w:t>
            </w:r>
          </w:p>
        </w:tc>
      </w:tr>
      <w:tr w:rsidR="00BA4F68" w:rsidRPr="00960843" w:rsidTr="00BA4F68">
        <w:trPr>
          <w:trHeight w:val="270"/>
        </w:trPr>
        <w:tc>
          <w:tcPr>
            <w:cnfStyle w:val="001000000000" w:firstRow="0" w:lastRow="0" w:firstColumn="1" w:lastColumn="0" w:oddVBand="0" w:evenVBand="0" w:oddHBand="0" w:evenHBand="0" w:firstRowFirstColumn="0" w:firstRowLastColumn="0" w:lastRowFirstColumn="0" w:lastRowLastColumn="0"/>
            <w:tcW w:w="1582" w:type="dxa"/>
            <w:noWrap/>
            <w:hideMark/>
          </w:tcPr>
          <w:p w:rsidR="000002ED" w:rsidRPr="00960843" w:rsidRDefault="000002ED" w:rsidP="000002ED">
            <w:pPr>
              <w:jc w:val="right"/>
              <w:rPr>
                <w:rFonts w:ascii="Times New Roman" w:hAnsi="Times New Roman" w:cs="Times New Roman"/>
                <w:b w:val="0"/>
                <w:sz w:val="16"/>
                <w:szCs w:val="16"/>
              </w:rPr>
            </w:pPr>
            <w:r w:rsidRPr="00960843">
              <w:rPr>
                <w:rFonts w:ascii="Times New Roman" w:hAnsi="Times New Roman" w:cs="Times New Roman"/>
                <w:b w:val="0"/>
                <w:sz w:val="16"/>
                <w:szCs w:val="16"/>
              </w:rPr>
              <w:t>Intravenous</w:t>
            </w:r>
          </w:p>
        </w:tc>
        <w:tc>
          <w:tcPr>
            <w:tcW w:w="235" w:type="dxa"/>
            <w:tcBorders>
              <w:right w:val="single" w:sz="2" w:space="0" w:color="C0504D" w:themeColor="accent2"/>
            </w:tcBorders>
            <w:noWrap/>
            <w:hideMark/>
          </w:tcPr>
          <w:p w:rsidR="000002ED" w:rsidRPr="00960843" w:rsidRDefault="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5" w:type="dxa"/>
            <w:tcBorders>
              <w:left w:val="single" w:sz="2" w:space="0" w:color="C0504D" w:themeColor="accent2"/>
              <w:right w:val="single" w:sz="2" w:space="0" w:color="C0504D" w:themeColor="accent2"/>
            </w:tcBorders>
          </w:tcPr>
          <w:p w:rsidR="000002ED" w:rsidRPr="00960843" w:rsidRDefault="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xml:space="preserve">Approx. </w:t>
            </w:r>
          </w:p>
          <w:p w:rsidR="000002ED" w:rsidRPr="00960843" w:rsidRDefault="000002ED" w:rsidP="00000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monthly</w:t>
            </w:r>
          </w:p>
        </w:tc>
        <w:tc>
          <w:tcPr>
            <w:tcW w:w="362" w:type="dxa"/>
            <w:tcBorders>
              <w:left w:val="single" w:sz="2" w:space="0" w:color="C0504D" w:themeColor="accent2"/>
            </w:tcBorders>
            <w:noWrap/>
            <w:hideMark/>
          </w:tcPr>
          <w:p w:rsidR="000002ED" w:rsidRPr="00960843" w:rsidRDefault="000002ED" w:rsidP="001F52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8</w:t>
            </w:r>
            <w:r w:rsidR="001F5259">
              <w:rPr>
                <w:rFonts w:ascii="Times New Roman" w:hAnsi="Times New Roman" w:cs="Times New Roman"/>
                <w:sz w:val="16"/>
                <w:szCs w:val="16"/>
              </w:rPr>
              <w:t>2</w:t>
            </w:r>
          </w:p>
        </w:tc>
        <w:tc>
          <w:tcPr>
            <w:tcW w:w="1714" w:type="dxa"/>
            <w:tcBorders>
              <w:right w:val="single" w:sz="2" w:space="0" w:color="C0504D" w:themeColor="accent2"/>
            </w:tcBorders>
            <w:noWrap/>
            <w:hideMark/>
          </w:tcPr>
          <w:p w:rsidR="000002ED" w:rsidRPr="00960843" w:rsidRDefault="009D34C1" w:rsidP="00BE6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1000 (750-1221</w:t>
            </w:r>
            <w:r w:rsidR="000002ED" w:rsidRPr="00960843">
              <w:rPr>
                <w:rFonts w:ascii="Times New Roman" w:hAnsi="Times New Roman" w:cs="Times New Roman"/>
                <w:sz w:val="16"/>
                <w:szCs w:val="16"/>
              </w:rPr>
              <w:t>)</w:t>
            </w:r>
          </w:p>
        </w:tc>
        <w:tc>
          <w:tcPr>
            <w:tcW w:w="376" w:type="dxa"/>
            <w:tcBorders>
              <w:left w:val="single" w:sz="2" w:space="0" w:color="C0504D" w:themeColor="accent2"/>
            </w:tcBorders>
            <w:noWrap/>
            <w:hideMark/>
          </w:tcPr>
          <w:p w:rsidR="000002ED" w:rsidRPr="00960843" w:rsidRDefault="000002ED" w:rsidP="009D34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2</w:t>
            </w:r>
            <w:r w:rsidR="009D34C1">
              <w:rPr>
                <w:rFonts w:ascii="Times New Roman" w:hAnsi="Times New Roman" w:cs="Times New Roman"/>
                <w:sz w:val="16"/>
                <w:szCs w:val="16"/>
              </w:rPr>
              <w:t>3</w:t>
            </w:r>
          </w:p>
        </w:tc>
        <w:tc>
          <w:tcPr>
            <w:tcW w:w="1729" w:type="dxa"/>
            <w:tcBorders>
              <w:right w:val="single" w:sz="2" w:space="0" w:color="C0504D" w:themeColor="accent2"/>
            </w:tcBorders>
            <w:noWrap/>
            <w:hideMark/>
          </w:tcPr>
          <w:p w:rsidR="000002ED" w:rsidRPr="00960843" w:rsidRDefault="000002ED" w:rsidP="009D34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1</w:t>
            </w:r>
            <w:r w:rsidR="009D34C1">
              <w:rPr>
                <w:rFonts w:ascii="Times New Roman" w:hAnsi="Times New Roman" w:cs="Times New Roman"/>
                <w:sz w:val="16"/>
                <w:szCs w:val="16"/>
              </w:rPr>
              <w:t>2</w:t>
            </w:r>
            <w:r w:rsidRPr="00960843">
              <w:rPr>
                <w:rFonts w:ascii="Times New Roman" w:hAnsi="Times New Roman" w:cs="Times New Roman"/>
                <w:sz w:val="16"/>
                <w:szCs w:val="16"/>
              </w:rPr>
              <w:t>00 (</w:t>
            </w:r>
            <w:r w:rsidR="009D34C1">
              <w:rPr>
                <w:rFonts w:ascii="Times New Roman" w:hAnsi="Times New Roman" w:cs="Times New Roman"/>
                <w:sz w:val="16"/>
                <w:szCs w:val="16"/>
              </w:rPr>
              <w:t>1000-1353</w:t>
            </w:r>
            <w:r w:rsidRPr="00960843">
              <w:rPr>
                <w:rFonts w:ascii="Times New Roman" w:hAnsi="Times New Roman" w:cs="Times New Roman"/>
                <w:sz w:val="16"/>
                <w:szCs w:val="16"/>
              </w:rPr>
              <w:t>)</w:t>
            </w:r>
          </w:p>
        </w:tc>
        <w:tc>
          <w:tcPr>
            <w:tcW w:w="376" w:type="dxa"/>
            <w:tcBorders>
              <w:left w:val="single" w:sz="2" w:space="0" w:color="C0504D" w:themeColor="accent2"/>
            </w:tcBorders>
            <w:noWrap/>
            <w:hideMark/>
          </w:tcPr>
          <w:p w:rsidR="000002ED" w:rsidRPr="00960843" w:rsidRDefault="009D34C1"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p>
        </w:tc>
        <w:tc>
          <w:tcPr>
            <w:tcW w:w="1883" w:type="dxa"/>
            <w:noWrap/>
            <w:hideMark/>
          </w:tcPr>
          <w:p w:rsidR="000002ED" w:rsidRPr="00960843" w:rsidRDefault="00BE663C" w:rsidP="002E7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60843">
              <w:rPr>
                <w:rFonts w:ascii="Times New Roman" w:hAnsi="Times New Roman" w:cs="Times New Roman"/>
                <w:sz w:val="16"/>
                <w:szCs w:val="16"/>
              </w:rPr>
              <w:t xml:space="preserve">400 </w:t>
            </w:r>
            <w:r w:rsidR="000002ED" w:rsidRPr="00960843">
              <w:rPr>
                <w:rFonts w:ascii="Times New Roman" w:hAnsi="Times New Roman" w:cs="Times New Roman"/>
                <w:sz w:val="16"/>
                <w:szCs w:val="16"/>
              </w:rPr>
              <w:t>(</w:t>
            </w:r>
            <w:r w:rsidRPr="00960843">
              <w:rPr>
                <w:rFonts w:ascii="Times New Roman" w:hAnsi="Times New Roman" w:cs="Times New Roman"/>
                <w:sz w:val="16"/>
                <w:szCs w:val="16"/>
              </w:rPr>
              <w:t>267</w:t>
            </w:r>
            <w:r w:rsidR="000002ED" w:rsidRPr="00960843">
              <w:rPr>
                <w:rFonts w:ascii="Times New Roman" w:hAnsi="Times New Roman" w:cs="Times New Roman"/>
                <w:sz w:val="16"/>
                <w:szCs w:val="16"/>
              </w:rPr>
              <w:t>-1000)</w:t>
            </w:r>
          </w:p>
        </w:tc>
      </w:tr>
    </w:tbl>
    <w:p w:rsidR="00070CAB" w:rsidRPr="00A75B53" w:rsidRDefault="00470034">
      <w:pPr>
        <w:rPr>
          <w:rFonts w:ascii="Times New Roman" w:hAnsi="Times New Roman" w:cs="Times New Roman"/>
          <w:sz w:val="16"/>
        </w:rPr>
      </w:pPr>
      <w:r w:rsidRPr="00A75B53">
        <w:rPr>
          <w:rFonts w:ascii="Times New Roman" w:hAnsi="Times New Roman" w:cs="Times New Roman"/>
          <w:sz w:val="16"/>
        </w:rPr>
        <w:br/>
      </w:r>
      <w:r w:rsidR="000002ED" w:rsidRPr="00A75B53">
        <w:rPr>
          <w:rFonts w:ascii="Times New Roman" w:hAnsi="Times New Roman" w:cs="Times New Roman"/>
          <w:sz w:val="16"/>
        </w:rPr>
        <w:t xml:space="preserve">At 12 and 24 months, doses are shown for patients </w:t>
      </w:r>
      <w:r w:rsidR="00AD09EE">
        <w:rPr>
          <w:rFonts w:ascii="Times New Roman" w:hAnsi="Times New Roman" w:cs="Times New Roman"/>
          <w:sz w:val="16"/>
        </w:rPr>
        <w:t>who remain</w:t>
      </w:r>
      <w:r w:rsidR="00995679">
        <w:rPr>
          <w:rFonts w:ascii="Times New Roman" w:hAnsi="Times New Roman" w:cs="Times New Roman"/>
          <w:sz w:val="16"/>
        </w:rPr>
        <w:t>ed</w:t>
      </w:r>
      <w:r w:rsidR="00AD09EE">
        <w:rPr>
          <w:rFonts w:ascii="Times New Roman" w:hAnsi="Times New Roman" w:cs="Times New Roman"/>
          <w:sz w:val="16"/>
        </w:rPr>
        <w:t xml:space="preserve"> on the same drug and </w:t>
      </w:r>
      <w:r w:rsidR="001C49CC">
        <w:rPr>
          <w:rFonts w:ascii="Times New Roman" w:hAnsi="Times New Roman" w:cs="Times New Roman"/>
          <w:sz w:val="16"/>
        </w:rPr>
        <w:t xml:space="preserve"> </w:t>
      </w:r>
      <w:r w:rsidR="00AD09EE">
        <w:rPr>
          <w:rFonts w:ascii="Times New Roman" w:hAnsi="Times New Roman" w:cs="Times New Roman"/>
          <w:sz w:val="16"/>
        </w:rPr>
        <w:t>route combination</w:t>
      </w:r>
      <w:r w:rsidR="009D34C1" w:rsidRPr="00A75B53">
        <w:rPr>
          <w:rFonts w:ascii="Times New Roman" w:hAnsi="Times New Roman" w:cs="Times New Roman"/>
          <w:sz w:val="16"/>
        </w:rPr>
        <w:t xml:space="preserve"> as baseline</w:t>
      </w:r>
    </w:p>
    <w:p w:rsidR="00070CAB" w:rsidRPr="00960843" w:rsidRDefault="00070CAB">
      <w:pPr>
        <w:rPr>
          <w:rFonts w:ascii="Times New Roman" w:hAnsi="Times New Roman" w:cs="Times New Roman"/>
          <w:sz w:val="20"/>
        </w:rPr>
      </w:pPr>
      <w:r w:rsidRPr="00960843">
        <w:rPr>
          <w:rFonts w:ascii="Times New Roman" w:hAnsi="Times New Roman" w:cs="Times New Roman"/>
          <w:sz w:val="20"/>
        </w:rPr>
        <w:br w:type="page"/>
      </w:r>
    </w:p>
    <w:p w:rsidR="00070CAB" w:rsidRDefault="00070CAB" w:rsidP="0003372C">
      <w:pPr>
        <w:rPr>
          <w:rFonts w:ascii="Times New Roman" w:hAnsi="Times New Roman" w:cs="Times New Roman"/>
          <w:i/>
          <w:sz w:val="20"/>
        </w:rPr>
      </w:pPr>
      <w:r w:rsidRPr="00960843">
        <w:rPr>
          <w:rFonts w:ascii="Times New Roman" w:hAnsi="Times New Roman" w:cs="Times New Roman"/>
          <w:i/>
          <w:sz w:val="20"/>
        </w:rPr>
        <w:lastRenderedPageBreak/>
        <w:t xml:space="preserve">Supplementary Table </w:t>
      </w:r>
      <w:r w:rsidR="002E6D2A" w:rsidRPr="00960843">
        <w:rPr>
          <w:rFonts w:ascii="Times New Roman" w:hAnsi="Times New Roman" w:cs="Times New Roman"/>
          <w:i/>
          <w:sz w:val="20"/>
        </w:rPr>
        <w:t>S</w:t>
      </w:r>
      <w:r w:rsidRPr="00960843">
        <w:rPr>
          <w:rFonts w:ascii="Times New Roman" w:hAnsi="Times New Roman" w:cs="Times New Roman"/>
          <w:i/>
          <w:sz w:val="20"/>
        </w:rPr>
        <w:t>4. Use of concomitant medications, no. (% of drug family)</w:t>
      </w:r>
    </w:p>
    <w:tbl>
      <w:tblPr>
        <w:tblStyle w:val="LightList-Accent2"/>
        <w:tblW w:w="0" w:type="auto"/>
        <w:tblLook w:val="04A0" w:firstRow="1" w:lastRow="0" w:firstColumn="1" w:lastColumn="0" w:noHBand="0" w:noVBand="1"/>
      </w:tblPr>
      <w:tblGrid>
        <w:gridCol w:w="4983"/>
        <w:gridCol w:w="1660"/>
        <w:gridCol w:w="500"/>
        <w:gridCol w:w="2020"/>
      </w:tblGrid>
      <w:tr w:rsidR="0003372C" w:rsidRPr="00B31245" w:rsidTr="000337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At baseline</w:t>
            </w:r>
          </w:p>
        </w:tc>
        <w:tc>
          <w:tcPr>
            <w:tcW w:w="500" w:type="dxa"/>
            <w:noWrap/>
            <w:hideMark/>
          </w:tcPr>
          <w:p w:rsidR="0003372C" w:rsidRPr="00B31245" w:rsidRDefault="00033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During study</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Endothelin receptor antagonists</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12 (3.7*)</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35 (10.7*)</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Bosentan</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11 (91.7)</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32 (91.4)</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Other</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 (8.3)</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 (14.2)</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Calcium channel blockers</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128 (39.5*)</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185 (56.8*)</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E26D6"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pPr>
              <w:rPr>
                <w:rFonts w:ascii="Times New Roman" w:hAnsi="Times New Roman" w:cs="Times New Roman"/>
                <w:sz w:val="16"/>
                <w:szCs w:val="16"/>
              </w:rPr>
            </w:pPr>
            <w:r w:rsidRPr="00B31245">
              <w:rPr>
                <w:rFonts w:ascii="Times New Roman" w:hAnsi="Times New Roman" w:cs="Times New Roman"/>
                <w:sz w:val="16"/>
                <w:szCs w:val="16"/>
              </w:rPr>
              <w:t>Musculoskeletal</w:t>
            </w:r>
          </w:p>
        </w:tc>
        <w:tc>
          <w:tcPr>
            <w:tcW w:w="1660" w:type="dxa"/>
            <w:noWrap/>
            <w:vAlign w:val="bottom"/>
            <w:hideMark/>
          </w:tcPr>
          <w:p w:rsidR="006E26D6" w:rsidRPr="00B31245" w:rsidRDefault="006E26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73 (22.5*)</w:t>
            </w:r>
          </w:p>
        </w:tc>
        <w:tc>
          <w:tcPr>
            <w:tcW w:w="500" w:type="dxa"/>
            <w:noWrap/>
            <w:vAlign w:val="bottom"/>
            <w:hideMark/>
          </w:tcPr>
          <w:p w:rsidR="006E26D6" w:rsidRPr="00B31245" w:rsidRDefault="006E26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6E26D6" w:rsidRPr="006E26D6" w:rsidRDefault="006E26D6" w:rsidP="006E26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130 (39.9*)</w:t>
            </w:r>
          </w:p>
        </w:tc>
      </w:tr>
      <w:tr w:rsidR="006E26D6"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rsidP="0003372C">
            <w:pPr>
              <w:jc w:val="right"/>
              <w:rPr>
                <w:rFonts w:ascii="Times New Roman" w:hAnsi="Times New Roman" w:cs="Times New Roman"/>
                <w:sz w:val="16"/>
                <w:szCs w:val="16"/>
              </w:rPr>
            </w:pPr>
            <w:r w:rsidRPr="00B31245">
              <w:rPr>
                <w:rFonts w:ascii="Times New Roman" w:hAnsi="Times New Roman" w:cs="Times New Roman"/>
                <w:sz w:val="16"/>
                <w:szCs w:val="16"/>
              </w:rPr>
              <w:t>NSAIDs</w:t>
            </w:r>
          </w:p>
        </w:tc>
        <w:tc>
          <w:tcPr>
            <w:tcW w:w="1660" w:type="dxa"/>
            <w:noWrap/>
            <w:vAlign w:val="bottom"/>
            <w:hideMark/>
          </w:tcPr>
          <w:p w:rsidR="006E26D6" w:rsidRPr="00B31245" w:rsidRDefault="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42 (57.5)</w:t>
            </w:r>
          </w:p>
        </w:tc>
        <w:tc>
          <w:tcPr>
            <w:tcW w:w="500" w:type="dxa"/>
            <w:noWrap/>
            <w:vAlign w:val="bottom"/>
            <w:hideMark/>
          </w:tcPr>
          <w:p w:rsidR="006E26D6" w:rsidRPr="00B31245" w:rsidRDefault="006E2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6E26D6" w:rsidRPr="006E26D6" w:rsidRDefault="006E26D6" w:rsidP="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69 (53.1)</w:t>
            </w:r>
          </w:p>
        </w:tc>
      </w:tr>
      <w:tr w:rsidR="006E26D6"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rsidP="0003372C">
            <w:pPr>
              <w:jc w:val="right"/>
              <w:rPr>
                <w:rFonts w:ascii="Times New Roman" w:hAnsi="Times New Roman" w:cs="Times New Roman"/>
                <w:sz w:val="16"/>
                <w:szCs w:val="16"/>
              </w:rPr>
            </w:pPr>
            <w:r w:rsidRPr="00B31245">
              <w:rPr>
                <w:rFonts w:ascii="Times New Roman" w:hAnsi="Times New Roman" w:cs="Times New Roman"/>
                <w:sz w:val="16"/>
                <w:szCs w:val="16"/>
              </w:rPr>
              <w:t>Analgesics</w:t>
            </w:r>
          </w:p>
        </w:tc>
        <w:tc>
          <w:tcPr>
            <w:tcW w:w="1660" w:type="dxa"/>
            <w:noWrap/>
            <w:vAlign w:val="bottom"/>
            <w:hideMark/>
          </w:tcPr>
          <w:p w:rsidR="006E26D6" w:rsidRPr="00B31245" w:rsidRDefault="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 (5.5)</w:t>
            </w:r>
          </w:p>
        </w:tc>
        <w:tc>
          <w:tcPr>
            <w:tcW w:w="500" w:type="dxa"/>
            <w:noWrap/>
            <w:vAlign w:val="bottom"/>
            <w:hideMark/>
          </w:tcPr>
          <w:p w:rsidR="006E26D6" w:rsidRPr="00B31245" w:rsidRDefault="006E26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2020" w:type="dxa"/>
            <w:noWrap/>
            <w:vAlign w:val="bottom"/>
            <w:hideMark/>
          </w:tcPr>
          <w:p w:rsidR="006E26D6" w:rsidRPr="006E26D6" w:rsidRDefault="006E26D6" w:rsidP="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7 (5.4)</w:t>
            </w:r>
          </w:p>
        </w:tc>
      </w:tr>
      <w:tr w:rsidR="006E26D6"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C76185" w:rsidP="0003372C">
            <w:pPr>
              <w:jc w:val="right"/>
              <w:rPr>
                <w:rFonts w:ascii="Times New Roman" w:hAnsi="Times New Roman" w:cs="Times New Roman"/>
                <w:sz w:val="16"/>
                <w:szCs w:val="16"/>
              </w:rPr>
            </w:pPr>
            <w:r w:rsidRPr="00B31245">
              <w:rPr>
                <w:rFonts w:ascii="Times New Roman" w:hAnsi="Times New Roman" w:cs="Times New Roman"/>
                <w:sz w:val="16"/>
                <w:szCs w:val="16"/>
              </w:rPr>
              <w:t>Hydroxychloroquine</w:t>
            </w:r>
          </w:p>
        </w:tc>
        <w:tc>
          <w:tcPr>
            <w:tcW w:w="1660" w:type="dxa"/>
            <w:noWrap/>
            <w:vAlign w:val="bottom"/>
            <w:hideMark/>
          </w:tcPr>
          <w:p w:rsidR="006E26D6" w:rsidRPr="00B31245" w:rsidRDefault="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25 (34.2)</w:t>
            </w:r>
          </w:p>
        </w:tc>
        <w:tc>
          <w:tcPr>
            <w:tcW w:w="500" w:type="dxa"/>
            <w:noWrap/>
            <w:vAlign w:val="bottom"/>
            <w:hideMark/>
          </w:tcPr>
          <w:p w:rsidR="006E26D6" w:rsidRPr="00B31245" w:rsidRDefault="006E2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6E26D6" w:rsidRPr="006E26D6" w:rsidRDefault="006E26D6" w:rsidP="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49 (37.7)</w:t>
            </w:r>
          </w:p>
        </w:tc>
      </w:tr>
      <w:tr w:rsidR="006E26D6"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rsidP="0003372C">
            <w:pPr>
              <w:jc w:val="right"/>
              <w:rPr>
                <w:rFonts w:ascii="Times New Roman" w:hAnsi="Times New Roman" w:cs="Times New Roman"/>
                <w:sz w:val="16"/>
                <w:szCs w:val="16"/>
              </w:rPr>
            </w:pPr>
            <w:r w:rsidRPr="00B31245">
              <w:rPr>
                <w:rFonts w:ascii="Times New Roman" w:hAnsi="Times New Roman" w:cs="Times New Roman"/>
                <w:sz w:val="16"/>
                <w:szCs w:val="16"/>
              </w:rPr>
              <w:t>Methotrexate (not as main treatment protocol)</w:t>
            </w:r>
          </w:p>
        </w:tc>
        <w:tc>
          <w:tcPr>
            <w:tcW w:w="1660" w:type="dxa"/>
            <w:noWrap/>
            <w:vAlign w:val="bottom"/>
            <w:hideMark/>
          </w:tcPr>
          <w:p w:rsidR="006E26D6" w:rsidRPr="00B31245" w:rsidRDefault="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0 (0)</w:t>
            </w:r>
          </w:p>
        </w:tc>
        <w:tc>
          <w:tcPr>
            <w:tcW w:w="500" w:type="dxa"/>
            <w:noWrap/>
            <w:vAlign w:val="bottom"/>
            <w:hideMark/>
          </w:tcPr>
          <w:p w:rsidR="006E26D6" w:rsidRPr="00B31245" w:rsidRDefault="006E26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2020" w:type="dxa"/>
            <w:noWrap/>
            <w:vAlign w:val="bottom"/>
            <w:hideMark/>
          </w:tcPr>
          <w:p w:rsidR="006E26D6" w:rsidRPr="006E26D6" w:rsidRDefault="006E26D6" w:rsidP="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2 (1.5)</w:t>
            </w:r>
          </w:p>
        </w:tc>
      </w:tr>
      <w:tr w:rsidR="006E26D6"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rsidP="0003372C">
            <w:pPr>
              <w:jc w:val="right"/>
              <w:rPr>
                <w:rFonts w:ascii="Times New Roman" w:hAnsi="Times New Roman" w:cs="Times New Roman"/>
                <w:sz w:val="16"/>
                <w:szCs w:val="16"/>
              </w:rPr>
            </w:pPr>
            <w:r w:rsidRPr="00B31245">
              <w:rPr>
                <w:rFonts w:ascii="Times New Roman" w:hAnsi="Times New Roman" w:cs="Times New Roman"/>
                <w:sz w:val="16"/>
                <w:szCs w:val="16"/>
              </w:rPr>
              <w:t>Tocilizumab for inflammatory arthritis</w:t>
            </w:r>
          </w:p>
        </w:tc>
        <w:tc>
          <w:tcPr>
            <w:tcW w:w="1660" w:type="dxa"/>
            <w:noWrap/>
            <w:vAlign w:val="bottom"/>
            <w:hideMark/>
          </w:tcPr>
          <w:p w:rsidR="006E26D6" w:rsidRPr="00B31245" w:rsidRDefault="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0 (0)</w:t>
            </w:r>
          </w:p>
        </w:tc>
        <w:tc>
          <w:tcPr>
            <w:tcW w:w="500" w:type="dxa"/>
            <w:noWrap/>
            <w:vAlign w:val="bottom"/>
            <w:hideMark/>
          </w:tcPr>
          <w:p w:rsidR="006E26D6" w:rsidRPr="00B31245" w:rsidRDefault="006E2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6E26D6" w:rsidRPr="006E26D6" w:rsidRDefault="006E26D6" w:rsidP="006E26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1 (0.8)</w:t>
            </w:r>
          </w:p>
        </w:tc>
      </w:tr>
      <w:tr w:rsidR="006E26D6"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6E26D6" w:rsidRPr="00B31245" w:rsidRDefault="006E26D6" w:rsidP="0003372C">
            <w:pPr>
              <w:jc w:val="right"/>
              <w:rPr>
                <w:rFonts w:ascii="Times New Roman" w:hAnsi="Times New Roman" w:cs="Times New Roman"/>
                <w:sz w:val="16"/>
                <w:szCs w:val="16"/>
              </w:rPr>
            </w:pPr>
            <w:r w:rsidRPr="00B31245">
              <w:rPr>
                <w:rFonts w:ascii="Times New Roman" w:hAnsi="Times New Roman" w:cs="Times New Roman"/>
                <w:sz w:val="16"/>
                <w:szCs w:val="16"/>
              </w:rPr>
              <w:t>Other</w:t>
            </w:r>
          </w:p>
        </w:tc>
        <w:tc>
          <w:tcPr>
            <w:tcW w:w="1660" w:type="dxa"/>
            <w:noWrap/>
            <w:vAlign w:val="bottom"/>
            <w:hideMark/>
          </w:tcPr>
          <w:p w:rsidR="006E26D6" w:rsidRPr="00B31245" w:rsidRDefault="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3 (4.1)</w:t>
            </w:r>
          </w:p>
        </w:tc>
        <w:tc>
          <w:tcPr>
            <w:tcW w:w="500" w:type="dxa"/>
            <w:noWrap/>
            <w:vAlign w:val="bottom"/>
            <w:hideMark/>
          </w:tcPr>
          <w:p w:rsidR="006E26D6" w:rsidRPr="00B31245" w:rsidRDefault="006E26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6E26D6" w:rsidRPr="006E26D6" w:rsidRDefault="006E26D6" w:rsidP="006E2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E26D6">
              <w:rPr>
                <w:rFonts w:ascii="Times New Roman" w:hAnsi="Times New Roman" w:cs="Times New Roman"/>
                <w:color w:val="000000"/>
                <w:sz w:val="16"/>
                <w:szCs w:val="16"/>
              </w:rPr>
              <w:t>28 (21.5)</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Renal</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51 (15.9*)</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88 (27.1*)</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ACE  inhibitors</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46 (90.2)</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79 (89.8)</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Other</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12 (23.5)</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28 (31.8)</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Gastrointestinal</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224 (70*)</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289 (88.7*)</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Proton pump inhibitors</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216 (96.4)</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285 (98.6)</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H2 blockers</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10 (4.5)</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40 (13.8)</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Antacid</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12 (5.4)</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41 (14.2)</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Broad spectrum antibiotics for bacterial overgrowth</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4 (1.8)</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14 (4.8)</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Prokinetic drugs</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21 (9.4)</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69 (23.9)</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Other</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10 (4.5)</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34 (11.8)</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Anti-platelet agents</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58 (18.2*)</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98 (30.1*)</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Aspirin</w:t>
            </w:r>
          </w:p>
        </w:tc>
        <w:tc>
          <w:tcPr>
            <w:tcW w:w="166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55 (94.8)</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84 (85.7)</w:t>
            </w: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rsidP="0003372C">
            <w:pPr>
              <w:jc w:val="right"/>
              <w:rPr>
                <w:rFonts w:ascii="Times New Roman" w:hAnsi="Times New Roman" w:cs="Times New Roman"/>
                <w:sz w:val="16"/>
                <w:szCs w:val="16"/>
              </w:rPr>
            </w:pPr>
            <w:r w:rsidRPr="00B31245">
              <w:rPr>
                <w:rFonts w:ascii="Times New Roman" w:hAnsi="Times New Roman" w:cs="Times New Roman"/>
                <w:sz w:val="16"/>
                <w:szCs w:val="16"/>
              </w:rPr>
              <w:t>Other</w:t>
            </w:r>
          </w:p>
        </w:tc>
        <w:tc>
          <w:tcPr>
            <w:tcW w:w="166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 (8.6)</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18 (18.4)</w:t>
            </w:r>
          </w:p>
        </w:tc>
      </w:tr>
      <w:tr w:rsidR="0003372C" w:rsidRPr="00B31245" w:rsidTr="0003372C">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03372C" w:rsidRPr="00B31245" w:rsidRDefault="0003372C">
            <w:pPr>
              <w:rPr>
                <w:rFonts w:ascii="Times New Roman" w:hAnsi="Times New Roman" w:cs="Times New Roman"/>
                <w:sz w:val="16"/>
                <w:szCs w:val="16"/>
              </w:rPr>
            </w:pPr>
          </w:p>
        </w:tc>
        <w:tc>
          <w:tcPr>
            <w:tcW w:w="166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0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20" w:type="dxa"/>
            <w:noWrap/>
            <w:hideMark/>
          </w:tcPr>
          <w:p w:rsidR="0003372C" w:rsidRPr="00B31245" w:rsidRDefault="000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31245" w:rsidRPr="00B31245" w:rsidTr="0083007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Angiotensin II receptor antagonists</w:t>
            </w:r>
          </w:p>
        </w:tc>
        <w:tc>
          <w:tcPr>
            <w:tcW w:w="166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27 (8.3*)</w:t>
            </w:r>
          </w:p>
        </w:tc>
        <w:tc>
          <w:tcPr>
            <w:tcW w:w="500" w:type="dxa"/>
            <w:noWrap/>
            <w:vAlign w:val="bottom"/>
            <w:hideMark/>
          </w:tcPr>
          <w:p w:rsidR="00B31245" w:rsidRPr="00B31245" w:rsidRDefault="00B31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20" w:type="dxa"/>
            <w:noWrap/>
            <w:vAlign w:val="bottom"/>
            <w:hideMark/>
          </w:tcPr>
          <w:p w:rsidR="00B31245" w:rsidRPr="00B31245" w:rsidRDefault="00B31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52 (16*)</w:t>
            </w:r>
          </w:p>
        </w:tc>
      </w:tr>
      <w:tr w:rsidR="00B31245" w:rsidRPr="00B31245" w:rsidTr="00830073">
        <w:trPr>
          <w:trHeight w:val="285"/>
        </w:trPr>
        <w:tc>
          <w:tcPr>
            <w:cnfStyle w:val="001000000000" w:firstRow="0" w:lastRow="0" w:firstColumn="1" w:lastColumn="0" w:oddVBand="0" w:evenVBand="0" w:oddHBand="0" w:evenHBand="0" w:firstRowFirstColumn="0" w:firstRowLastColumn="0" w:lastRowFirstColumn="0" w:lastRowLastColumn="0"/>
            <w:tcW w:w="4983" w:type="dxa"/>
            <w:noWrap/>
            <w:hideMark/>
          </w:tcPr>
          <w:p w:rsidR="00B31245" w:rsidRPr="00B31245" w:rsidRDefault="00B31245">
            <w:pPr>
              <w:rPr>
                <w:rFonts w:ascii="Times New Roman" w:hAnsi="Times New Roman" w:cs="Times New Roman"/>
                <w:sz w:val="16"/>
                <w:szCs w:val="16"/>
              </w:rPr>
            </w:pPr>
            <w:r w:rsidRPr="00B31245">
              <w:rPr>
                <w:rFonts w:ascii="Times New Roman" w:hAnsi="Times New Roman" w:cs="Times New Roman"/>
                <w:sz w:val="16"/>
                <w:szCs w:val="16"/>
              </w:rPr>
              <w:t xml:space="preserve">IV-prostanoids </w:t>
            </w:r>
            <w:r w:rsidRPr="00B31245">
              <w:rPr>
                <w:rFonts w:ascii="Times New Roman" w:hAnsi="Times New Roman" w:cs="Times New Roman"/>
                <w:sz w:val="16"/>
                <w:szCs w:val="16"/>
                <w:vertAlign w:val="superscript"/>
              </w:rPr>
              <w:t>(a)</w:t>
            </w:r>
          </w:p>
        </w:tc>
        <w:tc>
          <w:tcPr>
            <w:tcW w:w="1660" w:type="dxa"/>
            <w:noWrap/>
            <w:vAlign w:val="bottom"/>
            <w:hideMark/>
          </w:tcPr>
          <w:p w:rsidR="00B31245" w:rsidRPr="00B31245" w:rsidRDefault="00B31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53 (17.2*)</w:t>
            </w:r>
          </w:p>
        </w:tc>
        <w:tc>
          <w:tcPr>
            <w:tcW w:w="500" w:type="dxa"/>
            <w:noWrap/>
            <w:vAlign w:val="bottom"/>
            <w:hideMark/>
          </w:tcPr>
          <w:p w:rsidR="00B31245" w:rsidRPr="00B31245" w:rsidRDefault="00B31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 </w:t>
            </w:r>
          </w:p>
        </w:tc>
        <w:tc>
          <w:tcPr>
            <w:tcW w:w="2020" w:type="dxa"/>
            <w:noWrap/>
            <w:vAlign w:val="bottom"/>
            <w:hideMark/>
          </w:tcPr>
          <w:p w:rsidR="00B31245" w:rsidRPr="00B31245" w:rsidRDefault="00B31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31245">
              <w:rPr>
                <w:rFonts w:ascii="Times New Roman" w:hAnsi="Times New Roman" w:cs="Times New Roman"/>
                <w:sz w:val="16"/>
                <w:szCs w:val="16"/>
              </w:rPr>
              <w:t>108 (33.1*)</w:t>
            </w:r>
          </w:p>
        </w:tc>
      </w:tr>
    </w:tbl>
    <w:p w:rsidR="0003372C" w:rsidRPr="00A75B53" w:rsidRDefault="00554D21" w:rsidP="0003372C">
      <w:pPr>
        <w:rPr>
          <w:rFonts w:ascii="Times New Roman" w:hAnsi="Times New Roman" w:cs="Times New Roman"/>
          <w:sz w:val="16"/>
        </w:rPr>
      </w:pPr>
      <w:r>
        <w:rPr>
          <w:rFonts w:ascii="Times New Roman" w:hAnsi="Times New Roman" w:cs="Times New Roman"/>
          <w:sz w:val="16"/>
        </w:rPr>
        <w:br/>
      </w:r>
      <w:r w:rsidR="0003372C" w:rsidRPr="00A75B53">
        <w:rPr>
          <w:rFonts w:ascii="Times New Roman" w:hAnsi="Times New Roman" w:cs="Times New Roman"/>
          <w:sz w:val="16"/>
        </w:rPr>
        <w:t>* As a % of entire cohort (326 patients)</w:t>
      </w:r>
    </w:p>
    <w:p w:rsidR="00361CE3" w:rsidRPr="00960843" w:rsidRDefault="00E47727">
      <w:pPr>
        <w:rPr>
          <w:rFonts w:ascii="Times New Roman" w:hAnsi="Times New Roman" w:cs="Times New Roman"/>
          <w:sz w:val="20"/>
        </w:rPr>
      </w:pPr>
      <w:r w:rsidRPr="00A75B53">
        <w:rPr>
          <w:rFonts w:ascii="Times New Roman" w:hAnsi="Times New Roman" w:cs="Times New Roman"/>
          <w:sz w:val="16"/>
        </w:rPr>
        <w:t>(a) IV prostanoids prior to study entry</w:t>
      </w:r>
      <w:r w:rsidR="00361CE3" w:rsidRPr="00960843">
        <w:rPr>
          <w:rFonts w:ascii="Times New Roman" w:hAnsi="Times New Roman" w:cs="Times New Roman"/>
          <w:sz w:val="20"/>
        </w:rPr>
        <w:br w:type="page"/>
      </w:r>
    </w:p>
    <w:p w:rsidR="000002ED" w:rsidRPr="00960843" w:rsidRDefault="000002ED" w:rsidP="000002ED">
      <w:pPr>
        <w:spacing w:line="240" w:lineRule="auto"/>
        <w:jc w:val="both"/>
        <w:rPr>
          <w:rFonts w:ascii="Times New Roman" w:hAnsi="Times New Roman" w:cs="Times New Roman"/>
          <w:i/>
          <w:sz w:val="20"/>
        </w:rPr>
      </w:pPr>
      <w:r w:rsidRPr="00960843">
        <w:rPr>
          <w:rFonts w:ascii="Times New Roman" w:hAnsi="Times New Roman" w:cs="Times New Roman"/>
          <w:i/>
          <w:sz w:val="20"/>
        </w:rPr>
        <w:lastRenderedPageBreak/>
        <w:t xml:space="preserve">Supplementary Table </w:t>
      </w:r>
      <w:r w:rsidR="00270D86" w:rsidRPr="00960843">
        <w:rPr>
          <w:rFonts w:ascii="Times New Roman" w:hAnsi="Times New Roman" w:cs="Times New Roman"/>
          <w:i/>
          <w:sz w:val="20"/>
        </w:rPr>
        <w:t>S</w:t>
      </w:r>
      <w:r w:rsidRPr="00960843">
        <w:rPr>
          <w:rFonts w:ascii="Times New Roman" w:hAnsi="Times New Roman" w:cs="Times New Roman"/>
          <w:i/>
          <w:sz w:val="20"/>
        </w:rPr>
        <w:t>5. Confounders included in each analysis.</w:t>
      </w:r>
    </w:p>
    <w:tbl>
      <w:tblPr>
        <w:tblStyle w:val="LightList-Accent2"/>
        <w:tblW w:w="0" w:type="auto"/>
        <w:tblLook w:val="04A0" w:firstRow="1" w:lastRow="0" w:firstColumn="1" w:lastColumn="0" w:noHBand="0" w:noVBand="1"/>
      </w:tblPr>
      <w:tblGrid>
        <w:gridCol w:w="1553"/>
        <w:gridCol w:w="7689"/>
      </w:tblGrid>
      <w:tr w:rsidR="00516F15" w:rsidRPr="00960843" w:rsidTr="00423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center"/>
              <w:rPr>
                <w:rFonts w:ascii="Times New Roman" w:hAnsi="Times New Roman" w:cs="Times New Roman"/>
                <w:b w:val="0"/>
                <w:sz w:val="16"/>
                <w:szCs w:val="16"/>
              </w:rPr>
            </w:pPr>
            <w:r w:rsidRPr="00960843">
              <w:rPr>
                <w:rFonts w:ascii="Times New Roman" w:hAnsi="Times New Roman" w:cs="Times New Roman"/>
                <w:sz w:val="16"/>
                <w:szCs w:val="16"/>
              </w:rPr>
              <w:t>Outcome</w:t>
            </w:r>
          </w:p>
        </w:tc>
        <w:tc>
          <w:tcPr>
            <w:tcW w:w="7689" w:type="dxa"/>
          </w:tcPr>
          <w:p w:rsidR="00516F15" w:rsidRPr="00960843" w:rsidRDefault="00516F15" w:rsidP="00423B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60843">
              <w:rPr>
                <w:rFonts w:ascii="Times New Roman" w:hAnsi="Times New Roman" w:cs="Times New Roman"/>
                <w:sz w:val="16"/>
                <w:szCs w:val="16"/>
              </w:rPr>
              <w:t>Potential confounders (for treatment allocation and censoring)</w:t>
            </w:r>
          </w:p>
        </w:tc>
      </w:tr>
      <w:tr w:rsidR="00516F15" w:rsidRPr="00960843" w:rsidTr="0042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mRSS</w:t>
            </w:r>
          </w:p>
        </w:tc>
        <w:tc>
          <w:tcPr>
            <w:tcW w:w="7689" w:type="dxa"/>
          </w:tcPr>
          <w:p w:rsidR="00516F15" w:rsidRPr="00960843" w:rsidRDefault="00516F15" w:rsidP="00F618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Age, </w:t>
            </w:r>
            <w:r w:rsidRPr="00446C74">
              <w:rPr>
                <w:rFonts w:ascii="Times New Roman" w:eastAsia="Times New Roman" w:hAnsi="Times New Roman" w:cs="Times New Roman"/>
                <w:color w:val="000000"/>
                <w:sz w:val="16"/>
                <w:szCs w:val="16"/>
                <w:lang w:eastAsia="en-GB"/>
              </w:rPr>
              <w:t>Months since onset of skin thickening</w:t>
            </w:r>
            <w:r>
              <w:rPr>
                <w:rFonts w:ascii="Times New Roman" w:eastAsia="Times New Roman" w:hAnsi="Times New Roman" w:cs="Times New Roman"/>
                <w:color w:val="000000"/>
                <w:sz w:val="16"/>
                <w:szCs w:val="16"/>
                <w:lang w:eastAsia="en-GB"/>
              </w:rPr>
              <w:t xml:space="preserve">, </w:t>
            </w:r>
            <w:r w:rsidR="00AD6197">
              <w:rPr>
                <w:rFonts w:ascii="Times New Roman" w:eastAsia="Times New Roman" w:hAnsi="Times New Roman" w:cs="Times New Roman"/>
                <w:color w:val="000000"/>
                <w:sz w:val="16"/>
                <w:szCs w:val="16"/>
                <w:lang w:eastAsia="en-GB"/>
              </w:rPr>
              <w:t>c</w:t>
            </w: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Anti-topoisomerase (anti-Scl70)</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Anti-RNA polymerase III</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Muscle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HAQ-DI</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FACIT fatigue score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 xml:space="preserve">Cochin </w:t>
            </w:r>
            <w:r w:rsidR="009E1569">
              <w:rPr>
                <w:rFonts w:ascii="Times New Roman" w:eastAsia="Times New Roman" w:hAnsi="Times New Roman" w:cs="Times New Roman"/>
                <w:color w:val="000000"/>
                <w:sz w:val="16"/>
                <w:szCs w:val="16"/>
                <w:lang w:eastAsia="en-GB"/>
              </w:rPr>
              <w:t>H</w:t>
            </w:r>
            <w:r w:rsidRPr="00446C74">
              <w:rPr>
                <w:rFonts w:ascii="Times New Roman" w:eastAsia="Times New Roman" w:hAnsi="Times New Roman" w:cs="Times New Roman"/>
                <w:color w:val="000000"/>
                <w:sz w:val="16"/>
                <w:szCs w:val="16"/>
                <w:lang w:eastAsia="en-GB"/>
              </w:rPr>
              <w:t xml:space="preserve">and </w:t>
            </w:r>
            <w:r w:rsidR="009E1569">
              <w:rPr>
                <w:rFonts w:ascii="Times New Roman" w:eastAsia="Times New Roman" w:hAnsi="Times New Roman" w:cs="Times New Roman"/>
                <w:color w:val="000000"/>
                <w:sz w:val="16"/>
                <w:szCs w:val="16"/>
                <w:lang w:eastAsia="en-GB"/>
              </w:rPr>
              <w:t>F</w:t>
            </w:r>
            <w:r w:rsidRPr="00446C74">
              <w:rPr>
                <w:rFonts w:ascii="Times New Roman" w:eastAsia="Times New Roman" w:hAnsi="Times New Roman" w:cs="Times New Roman"/>
                <w:color w:val="000000"/>
                <w:sz w:val="16"/>
                <w:szCs w:val="16"/>
                <w:lang w:eastAsia="en-GB"/>
              </w:rPr>
              <w:t xml:space="preserve">unction </w:t>
            </w:r>
            <w:r w:rsidR="009E1569">
              <w:rPr>
                <w:rFonts w:ascii="Times New Roman" w:eastAsia="Times New Roman" w:hAnsi="Times New Roman" w:cs="Times New Roman"/>
                <w:color w:val="000000"/>
                <w:sz w:val="16"/>
                <w:szCs w:val="16"/>
                <w:lang w:eastAsia="en-GB"/>
              </w:rPr>
              <w:t>S</w:t>
            </w:r>
            <w:r w:rsidR="00AD6197">
              <w:rPr>
                <w:rFonts w:ascii="Times New Roman" w:eastAsia="Times New Roman" w:hAnsi="Times New Roman" w:cs="Times New Roman"/>
                <w:color w:val="000000"/>
                <w:sz w:val="16"/>
                <w:szCs w:val="16"/>
                <w:lang w:eastAsia="en-GB"/>
              </w:rPr>
              <w:t>c</w:t>
            </w:r>
            <w:r w:rsidR="00F61869">
              <w:rPr>
                <w:rFonts w:ascii="Times New Roman" w:eastAsia="Times New Roman" w:hAnsi="Times New Roman" w:cs="Times New Roman"/>
                <w:color w:val="000000"/>
                <w:sz w:val="16"/>
                <w:szCs w:val="16"/>
                <w:lang w:eastAsia="en-GB"/>
              </w:rPr>
              <w:t>ore</w:t>
            </w:r>
          </w:p>
        </w:tc>
      </w:tr>
      <w:tr w:rsidR="00516F15" w:rsidRPr="00960843" w:rsidTr="00423B7A">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FVC</w:t>
            </w:r>
          </w:p>
        </w:tc>
        <w:tc>
          <w:tcPr>
            <w:tcW w:w="7689" w:type="dxa"/>
          </w:tcPr>
          <w:p w:rsidR="00516F15" w:rsidRPr="00960843" w:rsidRDefault="00516F15" w:rsidP="00F618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6C74">
              <w:rPr>
                <w:rFonts w:ascii="Times New Roman" w:eastAsia="Times New Roman" w:hAnsi="Times New Roman" w:cs="Times New Roman"/>
                <w:color w:val="000000"/>
                <w:sz w:val="16"/>
                <w:szCs w:val="16"/>
                <w:lang w:eastAsia="en-GB"/>
              </w:rPr>
              <w:t>Age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Female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Previous immunosuppressant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mRSS, </w:t>
            </w:r>
            <w:r w:rsidRPr="00446C74">
              <w:rPr>
                <w:rFonts w:ascii="Times New Roman" w:eastAsia="Times New Roman" w:hAnsi="Times New Roman" w:cs="Times New Roman"/>
                <w:color w:val="000000"/>
                <w:sz w:val="16"/>
                <w:szCs w:val="16"/>
                <w:lang w:eastAsia="en-GB"/>
              </w:rPr>
              <w:t>Anti-topoisomerase (anti-Scl70)</w:t>
            </w:r>
            <w:r>
              <w:rPr>
                <w:rFonts w:ascii="Times New Roman" w:eastAsia="Times New Roman" w:hAnsi="Times New Roman" w:cs="Times New Roman"/>
                <w:color w:val="000000"/>
                <w:sz w:val="16"/>
                <w:szCs w:val="16"/>
                <w:lang w:eastAsia="en-GB"/>
              </w:rPr>
              <w:t xml:space="preserve">, </w:t>
            </w:r>
            <w:r w:rsidR="008017C1" w:rsidRPr="00446C74">
              <w:rPr>
                <w:rFonts w:ascii="Times New Roman" w:eastAsia="Times New Roman" w:hAnsi="Times New Roman" w:cs="Times New Roman"/>
                <w:color w:val="000000"/>
                <w:sz w:val="16"/>
                <w:szCs w:val="16"/>
                <w:lang w:eastAsia="en-GB"/>
              </w:rPr>
              <w:t>Anti-RNA polymerase III</w:t>
            </w:r>
            <w:r w:rsidR="008017C1">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Anticentromere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sidR="00B15F0F">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Muscle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HAQ-DI</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FACIT fatigue score</w:t>
            </w:r>
            <w:r>
              <w:rPr>
                <w:rFonts w:ascii="Times New Roman" w:eastAsia="Times New Roman" w:hAnsi="Times New Roman" w:cs="Times New Roman"/>
                <w:color w:val="000000"/>
                <w:sz w:val="16"/>
                <w:szCs w:val="16"/>
                <w:lang w:eastAsia="en-GB"/>
              </w:rPr>
              <w:t xml:space="preserve">, </w:t>
            </w:r>
            <w:r w:rsidR="000D5236">
              <w:rPr>
                <w:rFonts w:ascii="Times New Roman" w:eastAsia="Times New Roman" w:hAnsi="Times New Roman" w:cs="Times New Roman"/>
                <w:color w:val="000000"/>
                <w:sz w:val="16"/>
                <w:szCs w:val="16"/>
                <w:lang w:eastAsia="en-GB"/>
              </w:rPr>
              <w:t>Cochin Hand Function Sc</w:t>
            </w:r>
            <w:r w:rsidR="00F61869">
              <w:rPr>
                <w:rFonts w:ascii="Times New Roman" w:eastAsia="Times New Roman" w:hAnsi="Times New Roman" w:cs="Times New Roman"/>
                <w:color w:val="000000"/>
                <w:sz w:val="16"/>
                <w:szCs w:val="16"/>
                <w:lang w:eastAsia="en-GB"/>
              </w:rPr>
              <w:t>ore</w:t>
            </w:r>
          </w:p>
        </w:tc>
      </w:tr>
      <w:tr w:rsidR="00516F15" w:rsidRPr="00960843" w:rsidTr="0042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FVC (subset with pulmonary fibrosis on HRCT scan at baseline)</w:t>
            </w:r>
          </w:p>
        </w:tc>
        <w:tc>
          <w:tcPr>
            <w:tcW w:w="7689" w:type="dxa"/>
          </w:tcPr>
          <w:p w:rsidR="00516F15" w:rsidRPr="00960843" w:rsidRDefault="00516F15" w:rsidP="00423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Age, </w:t>
            </w:r>
            <w:r w:rsidRPr="00446C74">
              <w:rPr>
                <w:rFonts w:ascii="Times New Roman" w:eastAsia="Times New Roman" w:hAnsi="Times New Roman" w:cs="Times New Roman"/>
                <w:color w:val="000000"/>
                <w:sz w:val="16"/>
                <w:szCs w:val="16"/>
                <w:lang w:eastAsia="en-GB"/>
              </w:rPr>
              <w:t>Female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mRSS,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HAQ-DI</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FACIT fatigue score</w:t>
            </w:r>
          </w:p>
        </w:tc>
      </w:tr>
      <w:tr w:rsidR="00516F15" w:rsidRPr="00960843" w:rsidTr="00423B7A">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 xml:space="preserve">DLCO </w:t>
            </w:r>
          </w:p>
        </w:tc>
        <w:tc>
          <w:tcPr>
            <w:tcW w:w="7689" w:type="dxa"/>
          </w:tcPr>
          <w:p w:rsidR="00516F15" w:rsidRPr="00960843" w:rsidRDefault="00516F15" w:rsidP="00F618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Age, Female, </w:t>
            </w: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Anti-topoisomerase (anti-Scl70)</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Anti-RNA polymerase III</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Anticentromere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Pr>
                <w:rFonts w:ascii="Times New Roman" w:eastAsia="Times New Roman" w:hAnsi="Times New Roman" w:cs="Times New Roman"/>
                <w:color w:val="000000"/>
                <w:sz w:val="16"/>
                <w:szCs w:val="16"/>
                <w:lang w:eastAsia="en-GB"/>
              </w:rPr>
              <w:t xml:space="preserve">, HAQ-DI, </w:t>
            </w:r>
            <w:r w:rsidRPr="00446C74">
              <w:rPr>
                <w:rFonts w:ascii="Times New Roman" w:eastAsia="Times New Roman" w:hAnsi="Times New Roman" w:cs="Times New Roman"/>
                <w:color w:val="000000"/>
                <w:sz w:val="16"/>
                <w:szCs w:val="16"/>
                <w:lang w:eastAsia="en-GB"/>
              </w:rPr>
              <w:t>FACIT fatigue score</w:t>
            </w:r>
            <w:r>
              <w:rPr>
                <w:rFonts w:ascii="Times New Roman" w:eastAsia="Times New Roman" w:hAnsi="Times New Roman" w:cs="Times New Roman"/>
                <w:color w:val="000000"/>
                <w:sz w:val="16"/>
                <w:szCs w:val="16"/>
                <w:lang w:eastAsia="en-GB"/>
              </w:rPr>
              <w:t xml:space="preserve">, </w:t>
            </w:r>
            <w:r w:rsidR="000D5236">
              <w:rPr>
                <w:rFonts w:ascii="Times New Roman" w:eastAsia="Times New Roman" w:hAnsi="Times New Roman" w:cs="Times New Roman"/>
                <w:color w:val="000000"/>
                <w:sz w:val="16"/>
                <w:szCs w:val="16"/>
                <w:lang w:eastAsia="en-GB"/>
              </w:rPr>
              <w:t>Cochin Hand Function Sc</w:t>
            </w:r>
            <w:r w:rsidR="00F61869">
              <w:rPr>
                <w:rFonts w:ascii="Times New Roman" w:eastAsia="Times New Roman" w:hAnsi="Times New Roman" w:cs="Times New Roman"/>
                <w:color w:val="000000"/>
                <w:sz w:val="16"/>
                <w:szCs w:val="16"/>
                <w:lang w:eastAsia="en-GB"/>
              </w:rPr>
              <w:t>ore</w:t>
            </w:r>
          </w:p>
        </w:tc>
      </w:tr>
      <w:tr w:rsidR="00516F15" w:rsidRPr="00960843" w:rsidTr="0042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DLCO (subset with pulmonary fibrosis on HRCT scan at baseline)</w:t>
            </w:r>
          </w:p>
        </w:tc>
        <w:tc>
          <w:tcPr>
            <w:tcW w:w="7689" w:type="dxa"/>
          </w:tcPr>
          <w:p w:rsidR="00516F15" w:rsidRPr="00960843" w:rsidRDefault="00516F15" w:rsidP="00423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Pr>
                <w:rFonts w:ascii="Times New Roman" w:eastAsia="Times New Roman" w:hAnsi="Times New Roman" w:cs="Times New Roman"/>
                <w:color w:val="000000"/>
                <w:sz w:val="16"/>
                <w:szCs w:val="16"/>
                <w:lang w:eastAsia="en-GB"/>
              </w:rPr>
              <w:t xml:space="preserve">, HAQ-DI, </w:t>
            </w:r>
            <w:r w:rsidRPr="00446C74">
              <w:rPr>
                <w:rFonts w:ascii="Times New Roman" w:eastAsia="Times New Roman" w:hAnsi="Times New Roman" w:cs="Times New Roman"/>
                <w:color w:val="000000"/>
                <w:sz w:val="16"/>
                <w:szCs w:val="16"/>
                <w:lang w:eastAsia="en-GB"/>
              </w:rPr>
              <w:t>FACIT fatigue score</w:t>
            </w:r>
          </w:p>
        </w:tc>
      </w:tr>
      <w:tr w:rsidR="00516F15" w:rsidRPr="00960843" w:rsidTr="00423B7A">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HAQ-DI</w:t>
            </w:r>
          </w:p>
        </w:tc>
        <w:tc>
          <w:tcPr>
            <w:tcW w:w="7689" w:type="dxa"/>
          </w:tcPr>
          <w:p w:rsidR="00516F15" w:rsidRPr="00960843" w:rsidRDefault="00516F15" w:rsidP="00F618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46C74">
              <w:rPr>
                <w:rFonts w:ascii="Times New Roman" w:eastAsia="Times New Roman" w:hAnsi="Times New Roman" w:cs="Times New Roman"/>
                <w:color w:val="000000"/>
                <w:sz w:val="16"/>
                <w:szCs w:val="16"/>
                <w:lang w:eastAsia="en-GB"/>
              </w:rPr>
              <w:t>Previous immunosuppressant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mRSS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Anticentromere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sidR="00B15F0F">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Muscle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FACIT fatigue score</w:t>
            </w:r>
            <w:r>
              <w:rPr>
                <w:rFonts w:ascii="Times New Roman" w:eastAsia="Times New Roman" w:hAnsi="Times New Roman" w:cs="Times New Roman"/>
                <w:color w:val="000000"/>
                <w:sz w:val="16"/>
                <w:szCs w:val="16"/>
                <w:lang w:eastAsia="en-GB"/>
              </w:rPr>
              <w:t xml:space="preserve">, </w:t>
            </w:r>
            <w:r w:rsidR="000D5236">
              <w:rPr>
                <w:rFonts w:ascii="Times New Roman" w:eastAsia="Times New Roman" w:hAnsi="Times New Roman" w:cs="Times New Roman"/>
                <w:color w:val="000000"/>
                <w:sz w:val="16"/>
                <w:szCs w:val="16"/>
                <w:lang w:eastAsia="en-GB"/>
              </w:rPr>
              <w:t>Cochin Hand Function Sc</w:t>
            </w:r>
            <w:r w:rsidR="00F61869">
              <w:rPr>
                <w:rFonts w:ascii="Times New Roman" w:eastAsia="Times New Roman" w:hAnsi="Times New Roman" w:cs="Times New Roman"/>
                <w:color w:val="000000"/>
                <w:sz w:val="16"/>
                <w:szCs w:val="16"/>
                <w:lang w:eastAsia="en-GB"/>
              </w:rPr>
              <w:t>ore</w:t>
            </w:r>
          </w:p>
        </w:tc>
      </w:tr>
      <w:tr w:rsidR="00516F15" w:rsidRPr="00960843" w:rsidTr="0042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F86CEE">
            <w:pPr>
              <w:jc w:val="both"/>
              <w:rPr>
                <w:rFonts w:ascii="Times New Roman" w:hAnsi="Times New Roman" w:cs="Times New Roman"/>
                <w:sz w:val="16"/>
                <w:szCs w:val="16"/>
              </w:rPr>
            </w:pPr>
            <w:r w:rsidRPr="00960843">
              <w:rPr>
                <w:rFonts w:ascii="Times New Roman" w:hAnsi="Times New Roman" w:cs="Times New Roman"/>
                <w:sz w:val="16"/>
                <w:szCs w:val="16"/>
              </w:rPr>
              <w:t xml:space="preserve">Cochin </w:t>
            </w:r>
            <w:r w:rsidR="00F86CEE">
              <w:rPr>
                <w:rFonts w:ascii="Times New Roman" w:hAnsi="Times New Roman" w:cs="Times New Roman"/>
                <w:sz w:val="16"/>
                <w:szCs w:val="16"/>
              </w:rPr>
              <w:t>H</w:t>
            </w:r>
            <w:r w:rsidRPr="00960843">
              <w:rPr>
                <w:rFonts w:ascii="Times New Roman" w:hAnsi="Times New Roman" w:cs="Times New Roman"/>
                <w:sz w:val="16"/>
                <w:szCs w:val="16"/>
              </w:rPr>
              <w:t xml:space="preserve">and </w:t>
            </w:r>
            <w:r w:rsidR="00F86CEE">
              <w:rPr>
                <w:rFonts w:ascii="Times New Roman" w:hAnsi="Times New Roman" w:cs="Times New Roman"/>
                <w:sz w:val="16"/>
                <w:szCs w:val="16"/>
              </w:rPr>
              <w:t>F</w:t>
            </w:r>
            <w:r w:rsidRPr="00960843">
              <w:rPr>
                <w:rFonts w:ascii="Times New Roman" w:hAnsi="Times New Roman" w:cs="Times New Roman"/>
                <w:sz w:val="16"/>
                <w:szCs w:val="16"/>
              </w:rPr>
              <w:t xml:space="preserve">unction </w:t>
            </w:r>
            <w:r w:rsidR="00F86CEE">
              <w:rPr>
                <w:rFonts w:ascii="Times New Roman" w:hAnsi="Times New Roman" w:cs="Times New Roman"/>
                <w:sz w:val="16"/>
                <w:szCs w:val="16"/>
              </w:rPr>
              <w:t>Scale</w:t>
            </w:r>
          </w:p>
        </w:tc>
        <w:tc>
          <w:tcPr>
            <w:tcW w:w="7689" w:type="dxa"/>
          </w:tcPr>
          <w:p w:rsidR="00516F15" w:rsidRPr="00960843" w:rsidRDefault="00516F15" w:rsidP="00423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6C74">
              <w:rPr>
                <w:rFonts w:ascii="Times New Roman" w:eastAsia="Times New Roman" w:hAnsi="Times New Roman" w:cs="Times New Roman"/>
                <w:color w:val="000000"/>
                <w:sz w:val="16"/>
                <w:szCs w:val="16"/>
                <w:lang w:eastAsia="en-GB"/>
              </w:rPr>
              <w:t>Current or previous steroid use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mRSS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Muscle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HAQ-</w:t>
            </w:r>
            <w:r>
              <w:rPr>
                <w:rFonts w:ascii="Times New Roman" w:eastAsia="Times New Roman" w:hAnsi="Times New Roman" w:cs="Times New Roman"/>
                <w:color w:val="000000"/>
                <w:sz w:val="16"/>
                <w:szCs w:val="16"/>
                <w:lang w:eastAsia="en-GB"/>
              </w:rPr>
              <w:t xml:space="preserve">DI, </w:t>
            </w:r>
            <w:r w:rsidRPr="00446C74">
              <w:rPr>
                <w:rFonts w:ascii="Times New Roman" w:eastAsia="Times New Roman" w:hAnsi="Times New Roman" w:cs="Times New Roman"/>
                <w:color w:val="000000"/>
                <w:sz w:val="16"/>
                <w:szCs w:val="16"/>
                <w:lang w:eastAsia="en-GB"/>
              </w:rPr>
              <w:t>FACIT fatigue score</w:t>
            </w:r>
          </w:p>
        </w:tc>
      </w:tr>
      <w:tr w:rsidR="00516F15" w:rsidRPr="00960843" w:rsidTr="00423B7A">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Pr>
                <w:rFonts w:ascii="Times New Roman" w:hAnsi="Times New Roman" w:cs="Times New Roman"/>
                <w:sz w:val="16"/>
                <w:szCs w:val="16"/>
              </w:rPr>
              <w:t>Survival</w:t>
            </w:r>
          </w:p>
        </w:tc>
        <w:tc>
          <w:tcPr>
            <w:tcW w:w="7689" w:type="dxa"/>
          </w:tcPr>
          <w:p w:rsidR="00516F15" w:rsidRPr="0014153A" w:rsidRDefault="00516F15" w:rsidP="00F61869">
            <w:pPr>
              <w:jc w:val="both"/>
              <w:cnfStyle w:val="000000000000" w:firstRow="0" w:lastRow="0" w:firstColumn="0" w:lastColumn="0" w:oddVBand="0" w:evenVBand="0" w:oddHBand="0" w:evenHBand="0" w:firstRowFirstColumn="0" w:firstRowLastColumn="0" w:lastRowFirstColumn="0" w:lastRowLastColumn="0"/>
            </w:pPr>
            <w:r w:rsidRPr="00446C74">
              <w:rPr>
                <w:rFonts w:ascii="Times New Roman" w:eastAsia="Times New Roman" w:hAnsi="Times New Roman" w:cs="Times New Roman"/>
                <w:color w:val="000000"/>
                <w:sz w:val="16"/>
                <w:szCs w:val="16"/>
                <w:lang w:eastAsia="en-GB"/>
              </w:rPr>
              <w:t>Age</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mRSS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fibrosis</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Pulmonary hypertension</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Cardiac involvement</w:t>
            </w:r>
            <w:r>
              <w:rPr>
                <w:rFonts w:ascii="Times New Roman" w:eastAsia="Times New Roman" w:hAnsi="Times New Roman" w:cs="Times New Roman"/>
                <w:color w:val="000000"/>
                <w:sz w:val="16"/>
                <w:szCs w:val="16"/>
                <w:lang w:eastAsia="en-GB"/>
              </w:rPr>
              <w:t xml:space="preserve">, </w:t>
            </w:r>
            <w:r w:rsidRPr="00446C74">
              <w:rPr>
                <w:rFonts w:ascii="Times New Roman" w:eastAsia="Times New Roman" w:hAnsi="Times New Roman" w:cs="Times New Roman"/>
                <w:color w:val="000000"/>
                <w:sz w:val="16"/>
                <w:szCs w:val="16"/>
                <w:lang w:eastAsia="en-GB"/>
              </w:rPr>
              <w:t>Renal involvement</w:t>
            </w:r>
            <w:r>
              <w:rPr>
                <w:rFonts w:ascii="Times New Roman" w:eastAsia="Times New Roman" w:hAnsi="Times New Roman" w:cs="Times New Roman"/>
                <w:color w:val="000000"/>
                <w:sz w:val="16"/>
                <w:szCs w:val="16"/>
                <w:lang w:eastAsia="en-GB"/>
              </w:rPr>
              <w:t xml:space="preserve">, HAQ-DI, </w:t>
            </w:r>
            <w:r w:rsidRPr="00446C74">
              <w:rPr>
                <w:rFonts w:ascii="Times New Roman" w:eastAsia="Times New Roman" w:hAnsi="Times New Roman" w:cs="Times New Roman"/>
                <w:color w:val="000000"/>
                <w:sz w:val="16"/>
                <w:szCs w:val="16"/>
                <w:lang w:eastAsia="en-GB"/>
              </w:rPr>
              <w:t>FACIT fatigue score</w:t>
            </w:r>
            <w:r>
              <w:rPr>
                <w:rFonts w:ascii="Times New Roman" w:eastAsia="Times New Roman" w:hAnsi="Times New Roman" w:cs="Times New Roman"/>
                <w:color w:val="000000"/>
                <w:sz w:val="16"/>
                <w:szCs w:val="16"/>
                <w:lang w:eastAsia="en-GB"/>
              </w:rPr>
              <w:t>,</w:t>
            </w:r>
            <w:r w:rsidRPr="00446C74">
              <w:rPr>
                <w:rFonts w:ascii="Times New Roman" w:eastAsia="Times New Roman" w:hAnsi="Times New Roman" w:cs="Times New Roman"/>
                <w:color w:val="000000"/>
                <w:sz w:val="16"/>
                <w:szCs w:val="16"/>
                <w:lang w:eastAsia="en-GB"/>
              </w:rPr>
              <w:t xml:space="preserve"> </w:t>
            </w:r>
            <w:r w:rsidR="000D5236">
              <w:rPr>
                <w:rFonts w:ascii="Times New Roman" w:eastAsia="Times New Roman" w:hAnsi="Times New Roman" w:cs="Times New Roman"/>
                <w:color w:val="000000"/>
                <w:sz w:val="16"/>
                <w:szCs w:val="16"/>
                <w:lang w:eastAsia="en-GB"/>
              </w:rPr>
              <w:t>Cochin Hand Function Sc</w:t>
            </w:r>
            <w:r w:rsidR="00F61869">
              <w:rPr>
                <w:rFonts w:ascii="Times New Roman" w:eastAsia="Times New Roman" w:hAnsi="Times New Roman" w:cs="Times New Roman"/>
                <w:color w:val="000000"/>
                <w:sz w:val="16"/>
                <w:szCs w:val="16"/>
                <w:lang w:eastAsia="en-GB"/>
              </w:rPr>
              <w:t>ore</w:t>
            </w:r>
          </w:p>
        </w:tc>
      </w:tr>
      <w:tr w:rsidR="00516F15" w:rsidRPr="00960843" w:rsidTr="0042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rsidR="00516F15" w:rsidRPr="00960843" w:rsidRDefault="00516F15" w:rsidP="00423B7A">
            <w:pPr>
              <w:jc w:val="both"/>
              <w:rPr>
                <w:rFonts w:ascii="Times New Roman" w:hAnsi="Times New Roman" w:cs="Times New Roman"/>
                <w:sz w:val="16"/>
                <w:szCs w:val="16"/>
              </w:rPr>
            </w:pPr>
            <w:r w:rsidRPr="00960843">
              <w:rPr>
                <w:rFonts w:ascii="Times New Roman" w:hAnsi="Times New Roman" w:cs="Times New Roman"/>
                <w:sz w:val="16"/>
                <w:szCs w:val="16"/>
              </w:rPr>
              <w:t>Event-free survival (protocol change due to adverse effects)</w:t>
            </w:r>
          </w:p>
        </w:tc>
        <w:tc>
          <w:tcPr>
            <w:tcW w:w="7689" w:type="dxa"/>
          </w:tcPr>
          <w:p w:rsidR="00516F15" w:rsidRPr="00960843" w:rsidRDefault="003E2D86" w:rsidP="00423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None</w:t>
            </w:r>
          </w:p>
        </w:tc>
      </w:tr>
    </w:tbl>
    <w:p w:rsidR="000002ED" w:rsidRPr="00554D21" w:rsidRDefault="000002ED" w:rsidP="000002ED">
      <w:pPr>
        <w:spacing w:line="240" w:lineRule="auto"/>
        <w:rPr>
          <w:rFonts w:ascii="Times New Roman" w:eastAsia="Calibri" w:hAnsi="Times New Roman" w:cs="Times New Roman"/>
          <w:sz w:val="16"/>
        </w:rPr>
      </w:pPr>
      <w:r w:rsidRPr="00960843">
        <w:rPr>
          <w:rFonts w:ascii="Times New Roman" w:eastAsia="Calibri" w:hAnsi="Times New Roman" w:cs="Times New Roman"/>
          <w:sz w:val="20"/>
        </w:rPr>
        <w:br/>
      </w:r>
      <w:r w:rsidRPr="00554D21">
        <w:rPr>
          <w:rFonts w:ascii="Times New Roman" w:eastAsia="Calibri" w:hAnsi="Times New Roman" w:cs="Times New Roman"/>
          <w:sz w:val="16"/>
        </w:rPr>
        <w:t>The criterion for inclusion as a potential confounder was association with the outcome variable</w:t>
      </w:r>
      <w:r w:rsidR="00A302E9">
        <w:rPr>
          <w:rFonts w:ascii="Times New Roman" w:eastAsia="Calibri" w:hAnsi="Times New Roman" w:cs="Times New Roman"/>
          <w:sz w:val="16"/>
        </w:rPr>
        <w:t>, as detailed in Supplementary Tables 6 to 13 for the different models.</w:t>
      </w:r>
    </w:p>
    <w:p w:rsidR="0010069A" w:rsidRDefault="00B31245">
      <w:pPr>
        <w:rPr>
          <w:rFonts w:ascii="Times New Roman" w:eastAsia="Times New Roman" w:hAnsi="Times New Roman" w:cs="Times New Roman"/>
          <w:color w:val="000000"/>
          <w:sz w:val="16"/>
          <w:szCs w:val="16"/>
          <w:lang w:eastAsia="en-GB"/>
        </w:rPr>
      </w:pPr>
      <w:r w:rsidRPr="00554D21">
        <w:rPr>
          <w:rFonts w:ascii="Times New Roman" w:eastAsia="Times New Roman" w:hAnsi="Times New Roman" w:cs="Times New Roman"/>
          <w:color w:val="000000"/>
          <w:sz w:val="16"/>
          <w:szCs w:val="20"/>
          <w:lang w:eastAsia="en-GB"/>
        </w:rPr>
        <w:t>DLCO: Carbon monoxide diffusing capacity</w:t>
      </w:r>
      <w:r w:rsidRPr="00554D21">
        <w:rPr>
          <w:rFonts w:ascii="Times New Roman" w:eastAsia="Times New Roman" w:hAnsi="Times New Roman" w:cs="Times New Roman"/>
          <w:color w:val="000000"/>
          <w:sz w:val="16"/>
          <w:szCs w:val="20"/>
          <w:lang w:eastAsia="en-GB"/>
        </w:rPr>
        <w:br/>
        <w:t>FVC: Forced vital capacity</w:t>
      </w:r>
      <w:r w:rsidRPr="00554D21">
        <w:rPr>
          <w:rFonts w:ascii="Times New Roman" w:eastAsia="Times New Roman" w:hAnsi="Times New Roman" w:cs="Times New Roman"/>
          <w:color w:val="000000"/>
          <w:sz w:val="16"/>
          <w:szCs w:val="20"/>
          <w:lang w:eastAsia="en-GB"/>
        </w:rPr>
        <w:br/>
      </w:r>
      <w:r w:rsidRPr="00554D21">
        <w:rPr>
          <w:rFonts w:ascii="Times New Roman" w:eastAsia="Times New Roman" w:hAnsi="Times New Roman" w:cs="Times New Roman"/>
          <w:sz w:val="16"/>
          <w:szCs w:val="20"/>
          <w:lang w:eastAsia="en-GB"/>
        </w:rPr>
        <w:t>HAQ-DI: Health Assessment Questionnaire - Disability Index</w:t>
      </w:r>
      <w:r w:rsidRPr="00554D21">
        <w:rPr>
          <w:rFonts w:ascii="Times New Roman" w:eastAsia="Times New Roman" w:hAnsi="Times New Roman" w:cs="Times New Roman"/>
          <w:sz w:val="16"/>
          <w:szCs w:val="20"/>
          <w:lang w:eastAsia="en-GB"/>
        </w:rPr>
        <w:br/>
        <w:t>HRCT: High resolution computed tomography</w:t>
      </w:r>
      <w:r w:rsidRPr="00554D21">
        <w:rPr>
          <w:rFonts w:ascii="Times New Roman" w:eastAsia="Times New Roman" w:hAnsi="Times New Roman" w:cs="Times New Roman"/>
          <w:sz w:val="16"/>
          <w:szCs w:val="20"/>
          <w:lang w:eastAsia="en-GB"/>
        </w:rPr>
        <w:br/>
      </w:r>
      <w:r w:rsidRPr="00554D21">
        <w:rPr>
          <w:rFonts w:ascii="Times New Roman" w:eastAsia="Times New Roman" w:hAnsi="Times New Roman" w:cs="Times New Roman"/>
          <w:color w:val="000000"/>
          <w:sz w:val="16"/>
          <w:szCs w:val="20"/>
          <w:lang w:eastAsia="en-GB"/>
        </w:rPr>
        <w:t>mRSS: modified Rodnan skin score (17 sites)</w:t>
      </w:r>
      <w:r w:rsidRPr="00554D21">
        <w:rPr>
          <w:rFonts w:ascii="Times New Roman" w:eastAsia="Times New Roman" w:hAnsi="Times New Roman" w:cs="Times New Roman"/>
          <w:color w:val="000000"/>
          <w:sz w:val="16"/>
          <w:szCs w:val="20"/>
          <w:lang w:eastAsia="en-GB"/>
        </w:rPr>
        <w:br/>
        <w:t xml:space="preserve">RVSP: Right ventricular systolic pressure </w:t>
      </w:r>
      <w:r w:rsidRPr="00554D21">
        <w:rPr>
          <w:rFonts w:ascii="Times New Roman" w:eastAsia="Times New Roman" w:hAnsi="Times New Roman" w:cs="Times New Roman"/>
          <w:color w:val="000000"/>
          <w:sz w:val="16"/>
          <w:szCs w:val="20"/>
          <w:lang w:eastAsia="en-GB"/>
        </w:rPr>
        <w:br/>
        <w:t>sPAP: Systolic pulmonary artery pressure</w:t>
      </w:r>
      <w:r w:rsidR="0010069A" w:rsidRPr="00446C74">
        <w:rPr>
          <w:rFonts w:ascii="Times New Roman" w:eastAsia="Times New Roman" w:hAnsi="Times New Roman" w:cs="Times New Roman"/>
          <w:color w:val="000000"/>
          <w:sz w:val="16"/>
          <w:szCs w:val="16"/>
          <w:lang w:eastAsia="en-GB"/>
        </w:rPr>
        <w:br w:type="page"/>
      </w:r>
    </w:p>
    <w:p w:rsidR="001C3AB6" w:rsidRPr="001C3AB6" w:rsidRDefault="001C3AB6" w:rsidP="001C3AB6">
      <w:pPr>
        <w:spacing w:line="240" w:lineRule="auto"/>
        <w:jc w:val="both"/>
        <w:rPr>
          <w:rFonts w:ascii="Times New Roman" w:hAnsi="Times New Roman" w:cs="Times New Roman"/>
          <w:i/>
          <w:sz w:val="20"/>
        </w:rPr>
      </w:pPr>
      <w:r w:rsidRPr="00960843">
        <w:rPr>
          <w:rFonts w:ascii="Times New Roman" w:hAnsi="Times New Roman" w:cs="Times New Roman"/>
          <w:i/>
          <w:sz w:val="20"/>
        </w:rPr>
        <w:lastRenderedPageBreak/>
        <w:t>Supplementary Table S</w:t>
      </w:r>
      <w:r>
        <w:rPr>
          <w:rFonts w:ascii="Times New Roman" w:hAnsi="Times New Roman" w:cs="Times New Roman"/>
          <w:i/>
          <w:sz w:val="20"/>
        </w:rPr>
        <w:t>6. Confounder selection for skin score</w:t>
      </w:r>
      <w:r w:rsidR="00AD6197">
        <w:rPr>
          <w:rFonts w:ascii="Times New Roman" w:hAnsi="Times New Roman" w:cs="Times New Roman"/>
          <w:i/>
          <w:sz w:val="20"/>
        </w:rPr>
        <w:t>(mRSS)</w:t>
      </w:r>
      <w:r>
        <w:rPr>
          <w:rFonts w:ascii="Times New Roman" w:hAnsi="Times New Roman" w:cs="Times New Roman"/>
          <w:i/>
          <w:sz w:val="20"/>
        </w:rPr>
        <w:t>.</w:t>
      </w:r>
    </w:p>
    <w:tbl>
      <w:tblPr>
        <w:tblStyle w:val="LightList-Accent2"/>
        <w:tblW w:w="9860" w:type="dxa"/>
        <w:tblLayout w:type="fixed"/>
        <w:tblLook w:val="04A0" w:firstRow="1" w:lastRow="0" w:firstColumn="1" w:lastColumn="0" w:noHBand="0" w:noVBand="1"/>
      </w:tblPr>
      <w:tblGrid>
        <w:gridCol w:w="1809"/>
        <w:gridCol w:w="1168"/>
        <w:gridCol w:w="817"/>
        <w:gridCol w:w="884"/>
        <w:gridCol w:w="1417"/>
        <w:gridCol w:w="817"/>
        <w:gridCol w:w="902"/>
        <w:gridCol w:w="1083"/>
        <w:gridCol w:w="963"/>
      </w:tblGrid>
      <w:tr w:rsidR="0010069A" w:rsidRPr="00446C74" w:rsidTr="00C83F57">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C0504D" w:themeColor="accent2"/>
              <w:right w:val="single" w:sz="4" w:space="0" w:color="C0504D" w:themeColor="accent2"/>
            </w:tcBorders>
            <w:noWrap/>
            <w:vAlign w:val="center"/>
          </w:tcPr>
          <w:p w:rsidR="0010069A" w:rsidRPr="00446C74" w:rsidRDefault="00DC122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985" w:type="dxa"/>
            <w:gridSpan w:val="2"/>
            <w:tcBorders>
              <w:left w:val="single" w:sz="4" w:space="0" w:color="C0504D" w:themeColor="accent2"/>
              <w:right w:val="single" w:sz="4" w:space="0" w:color="C0504D" w:themeColor="accent2"/>
            </w:tcBorders>
            <w:vAlign w:val="center"/>
          </w:tcPr>
          <w:p w:rsidR="0010069A" w:rsidRPr="00446C74" w:rsidRDefault="0010069A" w:rsidP="00BA4F68">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3118" w:type="dxa"/>
            <w:gridSpan w:val="3"/>
            <w:tcBorders>
              <w:left w:val="single" w:sz="4" w:space="0" w:color="C0504D" w:themeColor="accent2"/>
              <w:right w:val="single" w:sz="4" w:space="0" w:color="C0504D" w:themeColor="accent2"/>
            </w:tcBorders>
            <w:vAlign w:val="center"/>
          </w:tcPr>
          <w:p w:rsidR="0010069A" w:rsidRPr="00446C74" w:rsidRDefault="0010069A" w:rsidP="00DC122A">
            <w:pPr>
              <w:pStyle w:val="ListParagraph"/>
              <w:numPr>
                <w:ilvl w:val="0"/>
                <w:numId w:val="1"/>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10069A" w:rsidRPr="00446C74" w:rsidRDefault="0010069A" w:rsidP="00DC12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10069A" w:rsidRPr="00446C74" w:rsidRDefault="0010069A" w:rsidP="00DC12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10069A" w:rsidRPr="00446C74" w:rsidRDefault="0010069A" w:rsidP="00DC12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p>
        </w:tc>
        <w:tc>
          <w:tcPr>
            <w:tcW w:w="1168" w:type="dxa"/>
            <w:tcBorders>
              <w:left w:val="single" w:sz="4" w:space="0" w:color="C0504D" w:themeColor="accent2"/>
            </w:tcBorders>
            <w:vAlign w:val="center"/>
            <w:hideMark/>
          </w:tcPr>
          <w:p w:rsidR="00DC122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884" w:type="dxa"/>
            <w:tcBorders>
              <w:left w:val="single" w:sz="4" w:space="0" w:color="C0504D" w:themeColor="accent2"/>
            </w:tcBorders>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DC122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Between </w:t>
            </w:r>
            <w:r w:rsidR="00DC122A" w:rsidRPr="00446C74">
              <w:rPr>
                <w:rFonts w:ascii="Times New Roman" w:eastAsia="Times New Roman" w:hAnsi="Times New Roman" w:cs="Times New Roman"/>
                <w:color w:val="000000"/>
                <w:sz w:val="16"/>
                <w:szCs w:val="16"/>
                <w:lang w:eastAsia="en-GB"/>
              </w:rPr>
              <w:t>group difference</w:t>
            </w:r>
            <w:r w:rsidRPr="00446C74">
              <w:rPr>
                <w:rFonts w:ascii="Times New Roman" w:eastAsia="Times New Roman" w:hAnsi="Times New Roman" w:cs="Times New Roman"/>
                <w:color w:val="000000"/>
                <w:sz w:val="16"/>
                <w:szCs w:val="16"/>
                <w:lang w:eastAsia="en-GB"/>
              </w:rPr>
              <w:t>,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1006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0.004</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-1.8</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(-0.1</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0.007</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0.324</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591563"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-1.8 (-3.7</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0.072</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(-0.5</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0.8)</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0.680</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0.003</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(-0.2</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0.156</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-4.3</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0.1)</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0.002</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0.001</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591563"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-2.1 (-5.3</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1.2)</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0.205</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(-1</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1.3)</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0.808</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0.007</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1.2 (-0.6</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3)</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0.191</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-2.9</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-1.2 (-1.8</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-0.6)</w:t>
            </w:r>
          </w:p>
        </w:tc>
        <w:tc>
          <w:tcPr>
            <w:tcW w:w="817" w:type="dxa"/>
            <w:tcBorders>
              <w:right w:val="single" w:sz="4" w:space="0" w:color="C0504D" w:themeColor="accent2"/>
            </w:tcBorders>
            <w:noWrap/>
            <w:vAlign w:val="center"/>
            <w:hideMark/>
          </w:tcPr>
          <w:p w:rsidR="0010069A" w:rsidRPr="00446C74" w:rsidRDefault="00EF061D"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&lt;0.0005</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0.001</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591563"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0.9</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-0.2 (-0.2</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10069A" w:rsidRPr="00446C74" w:rsidRDefault="00EF061D"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0.306</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(-0.1</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0.003</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-5.8</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0.074</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0.721</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0.5 (0.2</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0.8)</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0.002</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-2.2</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(-0.3</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0.014</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0.029</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trHeight w:val="36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0.001</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-3.1</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0.546</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0.459</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0.1)</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0.003</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-4</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0.079</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0.341</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0.003</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-4.4</w:t>
            </w:r>
          </w:p>
        </w:tc>
        <w:tc>
          <w:tcPr>
            <w:tcW w:w="1417" w:type="dxa"/>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0.1)</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0.001</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0.026</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1006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1006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10069A" w:rsidRPr="00446C74" w:rsidRDefault="001006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168"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-2.6 (-4.4</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-0.8)</w:t>
            </w:r>
          </w:p>
        </w:tc>
        <w:tc>
          <w:tcPr>
            <w:tcW w:w="817" w:type="dxa"/>
            <w:tcBorders>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0.005</w:t>
            </w:r>
          </w:p>
        </w:tc>
        <w:tc>
          <w:tcPr>
            <w:tcW w:w="884" w:type="dxa"/>
            <w:tcBorders>
              <w:lef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-4.3</w:t>
            </w:r>
          </w:p>
        </w:tc>
        <w:tc>
          <w:tcPr>
            <w:tcW w:w="1417" w:type="dxa"/>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2.2 (1.6</w:t>
            </w:r>
            <w:r w:rsidR="00131357">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2.8)</w:t>
            </w:r>
          </w:p>
        </w:tc>
        <w:tc>
          <w:tcPr>
            <w:tcW w:w="817" w:type="dxa"/>
            <w:tcBorders>
              <w:right w:val="single" w:sz="4" w:space="0" w:color="C0504D" w:themeColor="accent2"/>
            </w:tcBorders>
            <w:noWrap/>
            <w:vAlign w:val="center"/>
            <w:hideMark/>
          </w:tcPr>
          <w:p w:rsidR="0010069A" w:rsidRPr="00446C74" w:rsidRDefault="00EF061D"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0.228</w:t>
            </w:r>
          </w:p>
        </w:tc>
        <w:tc>
          <w:tcPr>
            <w:tcW w:w="1083" w:type="dxa"/>
            <w:tcBorders>
              <w:left w:val="single" w:sz="4" w:space="0" w:color="C0504D" w:themeColor="accent2"/>
              <w:right w:val="single" w:sz="4" w:space="0" w:color="C0504D" w:themeColor="accent2"/>
            </w:tcBorders>
            <w:noWrap/>
            <w:vAlign w:val="center"/>
            <w:hideMark/>
          </w:tcPr>
          <w:p w:rsidR="0010069A" w:rsidRPr="00446C74" w:rsidRDefault="001006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10069A" w:rsidRPr="00446C74" w:rsidRDefault="00591563"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4.5 (2.1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6.9)</w:t>
            </w:r>
          </w:p>
        </w:tc>
        <w:tc>
          <w:tcPr>
            <w:tcW w:w="817" w:type="dxa"/>
            <w:tcBorders>
              <w:right w:val="single" w:sz="4" w:space="0" w:color="C0504D" w:themeColor="accent2"/>
            </w:tcBorders>
            <w:noWrap/>
            <w:vAlign w:val="center"/>
            <w:hideMark/>
          </w:tcPr>
          <w:p w:rsidR="00AF279A" w:rsidRPr="00446C74" w:rsidRDefault="00AF279A" w:rsidP="00C435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-2.1 (-2.9</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-1.2)</w:t>
            </w:r>
          </w:p>
        </w:tc>
        <w:tc>
          <w:tcPr>
            <w:tcW w:w="817" w:type="dxa"/>
            <w:tcBorders>
              <w:right w:val="single" w:sz="4" w:space="0" w:color="C0504D" w:themeColor="accent2"/>
            </w:tcBorders>
            <w:noWrap/>
            <w:vAlign w:val="center"/>
            <w:hideMark/>
          </w:tcPr>
          <w:p w:rsidR="00AF279A" w:rsidRPr="00446C74" w:rsidRDefault="00EF061D"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0.433</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 (-3.9</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3.1)</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0.816</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-3.4</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0.5 (-0.8</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1.9)</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0.456</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0.147</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2.9 (0.4</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5.4)</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0.021</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 (-0.6</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0.534</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0.036</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0.013</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-5.5</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0.005</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0.026</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0.105</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-3.2</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0.689</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F17FF5"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2.5 (-0.7</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5.8)</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0.128</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-3.3</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-2.1 (-3.3</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-0.8)</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0.001</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0.488</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0.151</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-2.2</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0.018</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0.472</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2.5 (-0.2</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5.2)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0.075</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0.9)</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0.929</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0.009</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2.2 (-0.7</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5.2)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0.140</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-3.3</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-1.6 (-2.6</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-0.5)</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0.004</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0.039</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0.383</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-5.4</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0.007</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0.339</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0.5 (-3.6</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4.6)</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0.799</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-3.4</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-1.5 (-3.1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0.1)</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0.062</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0.110</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0.882</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0.687</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0.422</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2.2 (0.3</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4)</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0.021</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-3.4</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(-0.8</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0.5)</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0.664</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0.078</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1.2 (-1.8</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4.2)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0.425</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-3.2</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 (-2.9</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-1)</w:t>
            </w:r>
          </w:p>
        </w:tc>
        <w:tc>
          <w:tcPr>
            <w:tcW w:w="817" w:type="dxa"/>
            <w:tcBorders>
              <w:right w:val="single" w:sz="4" w:space="0" w:color="C0504D" w:themeColor="accent2"/>
            </w:tcBorders>
            <w:noWrap/>
            <w:vAlign w:val="center"/>
            <w:hideMark/>
          </w:tcPr>
          <w:p w:rsidR="00AF279A" w:rsidRPr="00446C74" w:rsidRDefault="00EF061D"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&lt;0.0005</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0.002</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CE67A3" w:rsidRDefault="00AF279A" w:rsidP="00CE67A3">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Current </w:t>
            </w:r>
          </w:p>
          <w:p w:rsidR="00AF279A" w:rsidRPr="00446C74" w:rsidRDefault="00AF279A" w:rsidP="00CE67A3">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digita</w:t>
            </w:r>
            <w:r w:rsidR="00CE67A3">
              <w:rPr>
                <w:rFonts w:ascii="Times New Roman" w:eastAsia="Times New Roman" w:hAnsi="Times New Roman" w:cs="Times New Roman"/>
                <w:color w:val="000000"/>
                <w:sz w:val="16"/>
                <w:szCs w:val="16"/>
                <w:lang w:eastAsia="en-GB"/>
              </w:rPr>
              <w:t xml:space="preserve">l </w:t>
            </w:r>
            <w:r w:rsidRPr="00446C74">
              <w:rPr>
                <w:rFonts w:ascii="Times New Roman" w:eastAsia="Times New Roman" w:hAnsi="Times New Roman" w:cs="Times New Roman"/>
                <w:color w:val="000000"/>
                <w:sz w:val="16"/>
                <w:szCs w:val="16"/>
                <w:lang w:eastAsia="en-GB"/>
              </w:rPr>
              <w:t>ulcers *</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2.5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4.8)</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0.038</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-3.3</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-0.9 (-1.8</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0.047</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0.705</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3.5 (2.5</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4.6)</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&lt;0.0001</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 (-0.8</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0.039</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0.400</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AF279A" w:rsidP="00DC122A">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(-0.2</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-0.1)</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&lt;0.0005</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-3.1</w:t>
            </w:r>
          </w:p>
        </w:tc>
        <w:tc>
          <w:tcPr>
            <w:tcW w:w="1417" w:type="dxa"/>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0.484</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0.165</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r w:rsidR="00AF279A" w:rsidRPr="00446C74" w:rsidTr="00C83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504D" w:themeColor="accent2"/>
            </w:tcBorders>
            <w:noWrap/>
            <w:vAlign w:val="center"/>
            <w:hideMark/>
          </w:tcPr>
          <w:p w:rsidR="00AF279A" w:rsidRPr="00446C74" w:rsidRDefault="000D5236" w:rsidP="00DC122A">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AF279A" w:rsidRPr="00446C74">
              <w:rPr>
                <w:rFonts w:ascii="Times New Roman" w:eastAsia="Times New Roman" w:hAnsi="Times New Roman" w:cs="Times New Roman"/>
                <w:color w:val="000000"/>
                <w:sz w:val="16"/>
                <w:szCs w:val="16"/>
                <w:lang w:eastAsia="en-GB"/>
              </w:rPr>
              <w:t xml:space="preserve"> (0-90)</w:t>
            </w:r>
          </w:p>
        </w:tc>
        <w:tc>
          <w:tcPr>
            <w:tcW w:w="1168"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0.1 (0.1</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0.2)</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&lt;0.0001</w:t>
            </w:r>
          </w:p>
        </w:tc>
        <w:tc>
          <w:tcPr>
            <w:tcW w:w="884"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-3.7</w:t>
            </w:r>
          </w:p>
        </w:tc>
        <w:tc>
          <w:tcPr>
            <w:tcW w:w="1417" w:type="dxa"/>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 (0</w:t>
            </w:r>
            <w:r>
              <w:rPr>
                <w:rFonts w:ascii="Times New Roman" w:eastAsia="Times New Roman" w:hAnsi="Times New Roman" w:cs="Times New Roman"/>
                <w:color w:val="000000"/>
                <w:sz w:val="16"/>
                <w:szCs w:val="16"/>
                <w:lang w:eastAsia="en-GB"/>
              </w:rPr>
              <w:t xml:space="preserve"> to</w:t>
            </w:r>
            <w:r w:rsidRPr="00446C74">
              <w:rPr>
                <w:rFonts w:ascii="Times New Roman" w:eastAsia="Times New Roman" w:hAnsi="Times New Roman" w:cs="Times New Roman"/>
                <w:color w:val="000000"/>
                <w:sz w:val="16"/>
                <w:szCs w:val="16"/>
                <w:lang w:eastAsia="en-GB"/>
              </w:rPr>
              <w:t xml:space="preserve"> 0)</w:t>
            </w:r>
          </w:p>
        </w:tc>
        <w:tc>
          <w:tcPr>
            <w:tcW w:w="817" w:type="dxa"/>
            <w:tcBorders>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0.979</w:t>
            </w:r>
          </w:p>
        </w:tc>
        <w:tc>
          <w:tcPr>
            <w:tcW w:w="902"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0.025</w:t>
            </w:r>
          </w:p>
        </w:tc>
        <w:tc>
          <w:tcPr>
            <w:tcW w:w="1083" w:type="dxa"/>
            <w:tcBorders>
              <w:left w:val="single" w:sz="4" w:space="0" w:color="C0504D" w:themeColor="accent2"/>
              <w:righ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Y</w:t>
            </w:r>
          </w:p>
        </w:tc>
        <w:tc>
          <w:tcPr>
            <w:tcW w:w="963" w:type="dxa"/>
            <w:tcBorders>
              <w:left w:val="single" w:sz="4" w:space="0" w:color="C0504D" w:themeColor="accent2"/>
            </w:tcBorders>
            <w:noWrap/>
            <w:vAlign w:val="center"/>
            <w:hideMark/>
          </w:tcPr>
          <w:p w:rsidR="00AF279A" w:rsidRPr="00446C74" w:rsidRDefault="00AF279A" w:rsidP="00DC12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r>
    </w:tbl>
    <w:p w:rsidR="00BA4F68" w:rsidRPr="00B5340C" w:rsidRDefault="00CE67A3" w:rsidP="00BA4F68">
      <w:pPr>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lastRenderedPageBreak/>
        <w:br/>
      </w:r>
      <w:r w:rsidR="00BA4F68" w:rsidRPr="00C83F57">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83F57">
        <w:rPr>
          <w:rFonts w:ascii="Times New Roman" w:eastAsia="Times New Roman" w:hAnsi="Times New Roman" w:cs="Times New Roman"/>
          <w:sz w:val="16"/>
          <w:szCs w:val="16"/>
          <w:lang w:eastAsia="en-GB"/>
        </w:rPr>
        <w:t>completeness</w:t>
      </w:r>
      <w:r w:rsidR="00BA4F68" w:rsidRPr="00C83F57">
        <w:rPr>
          <w:rFonts w:ascii="Times New Roman" w:eastAsia="Times New Roman" w:hAnsi="Times New Roman" w:cs="Times New Roman"/>
          <w:sz w:val="16"/>
          <w:szCs w:val="16"/>
          <w:lang w:eastAsia="en-GB"/>
        </w:rPr>
        <w:t>.</w:t>
      </w:r>
      <w:r w:rsidR="00BA4F68" w:rsidRPr="00B5340C">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00BA4F68" w:rsidRPr="00B5340C">
        <w:rPr>
          <w:rFonts w:ascii="Times New Roman" w:eastAsia="Times New Roman" w:hAnsi="Times New Roman" w:cs="Times New Roman"/>
          <w:sz w:val="16"/>
          <w:szCs w:val="16"/>
          <w:lang w:eastAsia="en-GB"/>
        </w:rPr>
        <w:t xml:space="preserve"> already an input in another aggregate variable (e.g. FVC in pulmonary fibrosis)</w:t>
      </w:r>
    </w:p>
    <w:p w:rsidR="00BA4F68" w:rsidRPr="00B5340C" w:rsidRDefault="00BA4F68" w:rsidP="00BA4F68">
      <w:pPr>
        <w:rPr>
          <w:rFonts w:ascii="Times New Roman" w:eastAsia="Times New Roman" w:hAnsi="Times New Roman" w:cs="Times New Roman"/>
          <w:sz w:val="16"/>
          <w:szCs w:val="16"/>
          <w:lang w:eastAsia="en-GB"/>
        </w:rPr>
      </w:pPr>
      <w:r w:rsidRPr="00B5340C">
        <w:rPr>
          <w:rFonts w:ascii="Times New Roman" w:eastAsia="Times New Roman" w:hAnsi="Times New Roman" w:cs="Times New Roman"/>
          <w:sz w:val="16"/>
          <w:szCs w:val="16"/>
          <w:lang w:eastAsia="en-GB"/>
        </w:rPr>
        <w:t>CRP: C-reactive protein</w:t>
      </w:r>
      <w:r w:rsidRPr="00B5340C">
        <w:rPr>
          <w:rFonts w:ascii="Times New Roman" w:eastAsia="Times New Roman" w:hAnsi="Times New Roman" w:cs="Times New Roman"/>
          <w:sz w:val="16"/>
          <w:szCs w:val="16"/>
          <w:lang w:eastAsia="en-GB"/>
        </w:rPr>
        <w:br/>
        <w:t>DLCO: Carbon monoxide diffusing capacity</w:t>
      </w:r>
      <w:r w:rsidRPr="00B5340C">
        <w:rPr>
          <w:rFonts w:ascii="Times New Roman" w:eastAsia="Times New Roman" w:hAnsi="Times New Roman" w:cs="Times New Roman"/>
          <w:sz w:val="16"/>
          <w:szCs w:val="16"/>
          <w:lang w:eastAsia="en-GB"/>
        </w:rPr>
        <w:br/>
        <w:t>ESR: Erythrocyte sedimentation rate</w:t>
      </w:r>
      <w:r w:rsidRPr="00B5340C">
        <w:rPr>
          <w:rFonts w:ascii="Times New Roman" w:eastAsia="Times New Roman" w:hAnsi="Times New Roman" w:cs="Times New Roman"/>
          <w:sz w:val="16"/>
          <w:szCs w:val="16"/>
          <w:lang w:eastAsia="en-GB"/>
        </w:rPr>
        <w:br/>
        <w:t>FVC: Forced vital capacity</w:t>
      </w:r>
      <w:r w:rsidRPr="00B5340C">
        <w:rPr>
          <w:rFonts w:ascii="Times New Roman" w:eastAsia="Times New Roman" w:hAnsi="Times New Roman" w:cs="Times New Roman"/>
          <w:sz w:val="16"/>
          <w:szCs w:val="16"/>
          <w:lang w:eastAsia="en-GB"/>
        </w:rPr>
        <w:br/>
        <w:t>GI: Gastrointestinal</w:t>
      </w:r>
      <w:r w:rsidRPr="00B5340C">
        <w:rPr>
          <w:rFonts w:ascii="Times New Roman" w:eastAsia="Times New Roman" w:hAnsi="Times New Roman" w:cs="Times New Roman"/>
          <w:sz w:val="16"/>
          <w:szCs w:val="16"/>
          <w:lang w:eastAsia="en-GB"/>
        </w:rPr>
        <w:br/>
        <w:t>HAQ-DI: Health Assessment Questionnaire - Disability Index</w:t>
      </w:r>
      <w:r w:rsidRPr="00B5340C">
        <w:rPr>
          <w:rFonts w:ascii="Times New Roman" w:eastAsia="Times New Roman" w:hAnsi="Times New Roman" w:cs="Times New Roman"/>
          <w:sz w:val="16"/>
          <w:szCs w:val="16"/>
          <w:lang w:eastAsia="en-GB"/>
        </w:rPr>
        <w:br/>
        <w:t>mRSS: modified Rodnan skin score (17 sites)</w:t>
      </w:r>
    </w:p>
    <w:p w:rsidR="005F1E2A" w:rsidRDefault="00BA4F68" w:rsidP="00BA4F68">
      <w:pPr>
        <w:rPr>
          <w:rFonts w:ascii="Times New Roman" w:eastAsia="Times New Roman" w:hAnsi="Times New Roman" w:cs="Times New Roman"/>
          <w:sz w:val="16"/>
          <w:szCs w:val="16"/>
          <w:lang w:eastAsia="en-GB"/>
        </w:rPr>
      </w:pPr>
      <w:r w:rsidRPr="00B5340C">
        <w:rPr>
          <w:rFonts w:ascii="Times New Roman" w:eastAsia="Times New Roman" w:hAnsi="Times New Roman" w:cs="Times New Roman"/>
          <w:sz w:val="16"/>
          <w:szCs w:val="16"/>
          <w:lang w:eastAsia="en-GB"/>
        </w:rPr>
        <w:t>p</w:t>
      </w:r>
      <w:r w:rsidRPr="00B5340C">
        <w:rPr>
          <w:rFonts w:ascii="Times New Roman" w:eastAsia="Times New Roman" w:hAnsi="Times New Roman" w:cs="Times New Roman"/>
          <w:sz w:val="16"/>
          <w:szCs w:val="16"/>
          <w:vertAlign w:val="superscript"/>
          <w:lang w:eastAsia="en-GB"/>
        </w:rPr>
        <w:t>(1)</w:t>
      </w:r>
      <w:r w:rsidRPr="00B5340C">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B5340C">
        <w:rPr>
          <w:rFonts w:ascii="Times New Roman" w:eastAsia="Times New Roman" w:hAnsi="Times New Roman" w:cs="Times New Roman"/>
          <w:sz w:val="16"/>
          <w:szCs w:val="16"/>
          <w:lang w:eastAsia="en-GB"/>
        </w:rPr>
        <w:br/>
        <w:t>p</w:t>
      </w:r>
      <w:r w:rsidRPr="00B5340C">
        <w:rPr>
          <w:rFonts w:ascii="Times New Roman" w:eastAsia="Times New Roman" w:hAnsi="Times New Roman" w:cs="Times New Roman"/>
          <w:sz w:val="16"/>
          <w:szCs w:val="16"/>
          <w:vertAlign w:val="superscript"/>
          <w:lang w:eastAsia="en-GB"/>
        </w:rPr>
        <w:t>(2)</w:t>
      </w:r>
      <w:r w:rsidRPr="00B5340C">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B5340C">
        <w:rPr>
          <w:rFonts w:ascii="Times New Roman" w:eastAsia="Times New Roman" w:hAnsi="Times New Roman" w:cs="Times New Roman"/>
          <w:sz w:val="16"/>
          <w:szCs w:val="16"/>
          <w:lang w:eastAsia="en-GB"/>
        </w:rPr>
        <w:br/>
        <w:t>p</w:t>
      </w:r>
      <w:r w:rsidRPr="00B5340C">
        <w:rPr>
          <w:rFonts w:ascii="Times New Roman" w:eastAsia="Times New Roman" w:hAnsi="Times New Roman" w:cs="Times New Roman"/>
          <w:sz w:val="16"/>
          <w:szCs w:val="16"/>
          <w:vertAlign w:val="superscript"/>
          <w:lang w:eastAsia="en-GB"/>
        </w:rPr>
        <w:t>(3)</w:t>
      </w:r>
      <w:r w:rsidRPr="00B5340C">
        <w:rPr>
          <w:rFonts w:ascii="Times New Roman" w:eastAsia="Times New Roman" w:hAnsi="Times New Roman" w:cs="Times New Roman"/>
          <w:sz w:val="16"/>
          <w:szCs w:val="16"/>
          <w:lang w:eastAsia="en-GB"/>
        </w:rPr>
        <w:t>: p-value from Fisher’s or Kruskal-Wallis test</w:t>
      </w:r>
      <w:r w:rsidRPr="00B5340C">
        <w:rPr>
          <w:rFonts w:ascii="Times New Roman" w:eastAsia="Times New Roman" w:hAnsi="Times New Roman" w:cs="Times New Roman"/>
          <w:sz w:val="16"/>
          <w:szCs w:val="16"/>
          <w:lang w:eastAsia="en-GB"/>
        </w:rPr>
        <w:br/>
      </w:r>
    </w:p>
    <w:p w:rsidR="001C3AB6" w:rsidRDefault="001C3AB6" w:rsidP="00BA4F68">
      <w:pPr>
        <w:rPr>
          <w:rFonts w:ascii="Times New Roman" w:hAnsi="Times New Roman" w:cs="Times New Roman"/>
          <w:i/>
          <w:sz w:val="20"/>
        </w:rPr>
      </w:pPr>
      <w:r w:rsidRPr="00960843">
        <w:rPr>
          <w:rFonts w:ascii="Times New Roman" w:hAnsi="Times New Roman" w:cs="Times New Roman"/>
          <w:i/>
          <w:sz w:val="20"/>
        </w:rPr>
        <w:t>Supplementary Table S</w:t>
      </w:r>
      <w:r>
        <w:rPr>
          <w:rFonts w:ascii="Times New Roman" w:hAnsi="Times New Roman" w:cs="Times New Roman"/>
          <w:i/>
          <w:sz w:val="20"/>
        </w:rPr>
        <w:t>7. Confounder selection for FVC.</w:t>
      </w:r>
    </w:p>
    <w:tbl>
      <w:tblPr>
        <w:tblStyle w:val="LightList-Accent21"/>
        <w:tblW w:w="9860" w:type="dxa"/>
        <w:tblLayout w:type="fixed"/>
        <w:tblLook w:val="04A0" w:firstRow="1" w:lastRow="0" w:firstColumn="1" w:lastColumn="0" w:noHBand="0" w:noVBand="1"/>
      </w:tblPr>
      <w:tblGrid>
        <w:gridCol w:w="1951"/>
        <w:gridCol w:w="1134"/>
        <w:gridCol w:w="851"/>
        <w:gridCol w:w="742"/>
        <w:gridCol w:w="1417"/>
        <w:gridCol w:w="817"/>
        <w:gridCol w:w="902"/>
        <w:gridCol w:w="1083"/>
        <w:gridCol w:w="963"/>
      </w:tblGrid>
      <w:tr w:rsidR="00BA4F68" w:rsidRPr="00446C74" w:rsidTr="0040359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C0504D" w:themeColor="accent2"/>
              <w:right w:val="single" w:sz="4" w:space="0" w:color="C0504D" w:themeColor="accent2"/>
            </w:tcBorders>
            <w:noWrap/>
            <w:vAlign w:val="center"/>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FVC</w:t>
            </w:r>
          </w:p>
        </w:tc>
        <w:tc>
          <w:tcPr>
            <w:tcW w:w="1985" w:type="dxa"/>
            <w:gridSpan w:val="2"/>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976" w:type="dxa"/>
            <w:gridSpan w:val="3"/>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0"/>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p>
        </w:tc>
        <w:tc>
          <w:tcPr>
            <w:tcW w:w="1134"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1"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742"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0.509</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-4.8</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566280" w:rsidRPr="00446C74" w:rsidRDefault="00566280" w:rsidP="00C435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10.9)</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0.017</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1.9</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0.077</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0.067</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0.824</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0.462</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0.024</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2.4)</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0.299</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0.013</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0.712</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0.231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8.1</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-2.2</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0.008</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0.593</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0.239</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0.005</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0.352</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0.160</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0.043</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1.6</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0.042</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9.4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15.7)</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0.615</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22.1)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0.006</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0.152</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-31.2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-36.4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-26)</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6.8)</w:t>
            </w:r>
          </w:p>
        </w:tc>
        <w:tc>
          <w:tcPr>
            <w:tcW w:w="817" w:type="dxa"/>
            <w:tcBorders>
              <w:right w:val="single" w:sz="4" w:space="0" w:color="C0504D" w:themeColor="accent2"/>
            </w:tcBorders>
            <w:noWrap/>
            <w:vAlign w:val="center"/>
            <w:hideMark/>
          </w:tcPr>
          <w:p w:rsidR="00566280" w:rsidRPr="00446C74" w:rsidRDefault="00566280" w:rsidP="00C435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6.4</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C435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-24.8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-8.7)</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6.8)</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0.014</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-2.1</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0.005</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-18.5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-4.8)</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4.6)</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0.059</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5.5)</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0.572</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8.1)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eGFR ml/min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0.609</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7.3</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11.7)</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0.940</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0.300</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0.010</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-8.8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0.094</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-8.2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0.034</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3.9)</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0.204</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2.6)</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0.255</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1.1</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-4.4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0.041</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-8.7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-3.2)</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0.897</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566280"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0.638</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566280"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566280" w:rsidRPr="00446C74" w:rsidRDefault="000D5236"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566280" w:rsidRPr="00446C74">
              <w:rPr>
                <w:rFonts w:ascii="Times New Roman" w:eastAsia="Times New Roman" w:hAnsi="Times New Roman" w:cs="Times New Roman"/>
                <w:color w:val="000000"/>
                <w:sz w:val="16"/>
                <w:szCs w:val="16"/>
                <w:lang w:eastAsia="en-GB"/>
              </w:rPr>
              <w:t xml:space="preserve"> (0-90)</w:t>
            </w:r>
          </w:p>
        </w:tc>
        <w:tc>
          <w:tcPr>
            <w:tcW w:w="1134"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742"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w:t>
            </w:r>
          </w:p>
        </w:tc>
        <w:tc>
          <w:tcPr>
            <w:tcW w:w="1417" w:type="dxa"/>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0.724</w:t>
            </w:r>
          </w:p>
        </w:tc>
        <w:tc>
          <w:tcPr>
            <w:tcW w:w="902"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1083" w:type="dxa"/>
            <w:tcBorders>
              <w:left w:val="single" w:sz="4" w:space="0" w:color="C0504D" w:themeColor="accent2"/>
              <w:righ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566280" w:rsidRPr="00446C74" w:rsidRDefault="0056628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bl>
    <w:p w:rsidR="005F1E2A" w:rsidRPr="005F1E2A" w:rsidRDefault="0054389A" w:rsidP="005F1E2A">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br/>
      </w:r>
      <w:r w:rsidR="005F1E2A"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005F1E2A" w:rsidRPr="005F1E2A">
        <w:rPr>
          <w:rFonts w:ascii="Times New Roman" w:eastAsia="Times New Roman" w:hAnsi="Times New Roman" w:cs="Times New Roman"/>
          <w:sz w:val="16"/>
          <w:szCs w:val="16"/>
          <w:lang w:eastAsia="en-GB"/>
        </w:rPr>
        <w:t>.</w:t>
      </w:r>
      <w:r w:rsidR="005F1E2A"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005F1E2A"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5F1E2A" w:rsidRDefault="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p>
    <w:p w:rsidR="00BA4F68" w:rsidRDefault="001C3AB6">
      <w:pPr>
        <w:rPr>
          <w:rFonts w:ascii="Times New Roman" w:eastAsia="Times New Roman" w:hAnsi="Times New Roman" w:cs="Times New Roman"/>
          <w:color w:val="000000"/>
          <w:sz w:val="16"/>
          <w:szCs w:val="16"/>
          <w:lang w:eastAsia="en-GB"/>
        </w:rPr>
      </w:pPr>
      <w:r w:rsidRPr="00960843">
        <w:rPr>
          <w:rFonts w:ascii="Times New Roman" w:hAnsi="Times New Roman" w:cs="Times New Roman"/>
          <w:i/>
          <w:sz w:val="20"/>
        </w:rPr>
        <w:t>Supplementary Table S</w:t>
      </w:r>
      <w:r>
        <w:rPr>
          <w:rFonts w:ascii="Times New Roman" w:hAnsi="Times New Roman" w:cs="Times New Roman"/>
          <w:i/>
          <w:sz w:val="20"/>
        </w:rPr>
        <w:t>8. Confounder selection for FVC, subset.</w:t>
      </w:r>
    </w:p>
    <w:tbl>
      <w:tblPr>
        <w:tblStyle w:val="LightList-Accent21"/>
        <w:tblW w:w="9860" w:type="dxa"/>
        <w:tblLayout w:type="fixed"/>
        <w:tblLook w:val="04A0" w:firstRow="1" w:lastRow="0" w:firstColumn="1" w:lastColumn="0" w:noHBand="0" w:noVBand="1"/>
      </w:tblPr>
      <w:tblGrid>
        <w:gridCol w:w="1951"/>
        <w:gridCol w:w="1134"/>
        <w:gridCol w:w="851"/>
        <w:gridCol w:w="742"/>
        <w:gridCol w:w="1417"/>
        <w:gridCol w:w="817"/>
        <w:gridCol w:w="902"/>
        <w:gridCol w:w="1083"/>
        <w:gridCol w:w="963"/>
      </w:tblGrid>
      <w:tr w:rsidR="00BA4F68" w:rsidRPr="00446C74" w:rsidTr="0040359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C0504D" w:themeColor="accent2"/>
              <w:right w:val="single" w:sz="4" w:space="0" w:color="C0504D" w:themeColor="accent2"/>
            </w:tcBorders>
            <w:noWrap/>
            <w:vAlign w:val="center"/>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subset with pulmonary fibrosis on HRCT scan</w:t>
            </w:r>
          </w:p>
        </w:tc>
        <w:tc>
          <w:tcPr>
            <w:tcW w:w="1985" w:type="dxa"/>
            <w:gridSpan w:val="2"/>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976" w:type="dxa"/>
            <w:gridSpan w:val="3"/>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1"/>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p>
        </w:tc>
        <w:tc>
          <w:tcPr>
            <w:tcW w:w="1134"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1"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742"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0.587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-5.3</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0.287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3.8</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-6.1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0.839</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2.4</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0.444</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8.5)</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0.633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-6.7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3.6)</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0.513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4.5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0.529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-6.2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w:t>
            </w:r>
          </w:p>
        </w:tc>
        <w:tc>
          <w:tcPr>
            <w:tcW w:w="817" w:type="dxa"/>
            <w:tcBorders>
              <w:right w:val="single" w:sz="4" w:space="0" w:color="C0504D" w:themeColor="accent2"/>
            </w:tcBorders>
            <w:noWrap/>
            <w:vAlign w:val="center"/>
            <w:hideMark/>
          </w:tcPr>
          <w:p w:rsidR="00BA4F68" w:rsidRPr="00446C74" w:rsidRDefault="00BB32D5"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0.250</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2.4</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0.602</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Anti-topoisomerase (anti-Scl70)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-7.9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0.792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0.224</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25.1)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0.109</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0.651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22.4)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0.334</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-27.8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-32.8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-22.7)</w:t>
            </w:r>
          </w:p>
        </w:tc>
        <w:tc>
          <w:tcPr>
            <w:tcW w:w="851" w:type="dxa"/>
            <w:tcBorders>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7.7)</w:t>
            </w:r>
          </w:p>
        </w:tc>
        <w:tc>
          <w:tcPr>
            <w:tcW w:w="817" w:type="dxa"/>
            <w:tcBorders>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12.9</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B32D5"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5.2</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-22.1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1.1</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0.297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0.089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0.176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10.5)</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10.7)</w:t>
            </w:r>
          </w:p>
        </w:tc>
        <w:tc>
          <w:tcPr>
            <w:tcW w:w="817" w:type="dxa"/>
            <w:tcBorders>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0.650</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8.4</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0.771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19.5)</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0.271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0.462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6.9)</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0.514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6.3)</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0.102</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-16.1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0.357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0.521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BA4F68" w:rsidRPr="00446C74" w:rsidRDefault="00BB32D5"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0.740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eastAsia="Times New Roman" w:hAnsi="Times New Roman" w:cs="Times New Roman"/>
                <w:color w:val="000000"/>
                <w:sz w:val="16"/>
                <w:szCs w:val="16"/>
                <w:lang w:eastAsia="en-GB"/>
              </w:rPr>
              <w:t>Y</w:t>
            </w:r>
          </w:p>
        </w:tc>
      </w:tr>
      <w:tr w:rsidR="00BA4F68" w:rsidRPr="00446C74" w:rsidTr="004035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0D5236"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BA4F68" w:rsidRPr="00446C74">
              <w:rPr>
                <w:rFonts w:ascii="Times New Roman" w:eastAsia="Times New Roman" w:hAnsi="Times New Roman" w:cs="Times New Roman"/>
                <w:color w:val="000000"/>
                <w:sz w:val="16"/>
                <w:szCs w:val="16"/>
                <w:lang w:eastAsia="en-GB"/>
              </w:rPr>
              <w:t xml:space="preserve"> (0-90)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0.623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hAnsi="Times New Roman" w:cs="Times New Roman"/>
          <w:i/>
          <w:sz w:val="20"/>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5F1E2A" w:rsidRDefault="005F1E2A" w:rsidP="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p>
    <w:p w:rsidR="003E6311" w:rsidRDefault="001C3AB6">
      <w:pPr>
        <w:rPr>
          <w:rFonts w:ascii="Times New Roman" w:hAnsi="Times New Roman" w:cs="Times New Roman"/>
          <w:i/>
          <w:sz w:val="20"/>
        </w:rPr>
      </w:pPr>
      <w:r w:rsidRPr="00960843">
        <w:rPr>
          <w:rFonts w:ascii="Times New Roman" w:hAnsi="Times New Roman" w:cs="Times New Roman"/>
          <w:i/>
          <w:sz w:val="20"/>
        </w:rPr>
        <w:t>Supplementary Table S</w:t>
      </w:r>
      <w:r>
        <w:rPr>
          <w:rFonts w:ascii="Times New Roman" w:hAnsi="Times New Roman" w:cs="Times New Roman"/>
          <w:i/>
          <w:sz w:val="20"/>
        </w:rPr>
        <w:t>9. Confounder selection for DLCO.</w:t>
      </w:r>
    </w:p>
    <w:tbl>
      <w:tblPr>
        <w:tblStyle w:val="LightList-Accent21"/>
        <w:tblW w:w="9860" w:type="dxa"/>
        <w:tblLayout w:type="fixed"/>
        <w:tblLook w:val="04A0" w:firstRow="1" w:lastRow="0" w:firstColumn="1" w:lastColumn="0" w:noHBand="0" w:noVBand="1"/>
      </w:tblPr>
      <w:tblGrid>
        <w:gridCol w:w="1951"/>
        <w:gridCol w:w="1134"/>
        <w:gridCol w:w="851"/>
        <w:gridCol w:w="742"/>
        <w:gridCol w:w="1417"/>
        <w:gridCol w:w="817"/>
        <w:gridCol w:w="902"/>
        <w:gridCol w:w="1083"/>
        <w:gridCol w:w="963"/>
      </w:tblGrid>
      <w:tr w:rsidR="00BA4F68" w:rsidRPr="00446C74" w:rsidTr="00376DD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C0504D" w:themeColor="accent2"/>
              <w:right w:val="single" w:sz="4" w:space="0" w:color="C0504D" w:themeColor="accent2"/>
            </w:tcBorders>
            <w:noWrap/>
            <w:vAlign w:val="center"/>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w:t>
            </w:r>
          </w:p>
        </w:tc>
        <w:tc>
          <w:tcPr>
            <w:tcW w:w="1985" w:type="dxa"/>
            <w:gridSpan w:val="2"/>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976" w:type="dxa"/>
            <w:gridSpan w:val="3"/>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2"/>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p>
        </w:tc>
        <w:tc>
          <w:tcPr>
            <w:tcW w:w="1134"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1"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742"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Age, years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-3.3</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0.068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0.068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0.389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1.8)</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0.133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0.748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3.5)</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0.863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7</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-1.4</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0.418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0.887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6.5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2.9)</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0.520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8.6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17.3)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0.054</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2.8)</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0.582</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-27.2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-14.8)</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4.8)</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5.4</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9.6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-24.9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-7.1)</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6.9)</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-2.9</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-8.2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-7.4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-14.8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0.049</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2.8</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0.044</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-22.1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8.2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12.7)</w:t>
            </w:r>
          </w:p>
        </w:tc>
        <w:tc>
          <w:tcPr>
            <w:tcW w:w="817" w:type="dxa"/>
            <w:tcBorders>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-6.3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0.498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2.9)</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0.351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0.358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0.218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0.759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-8.1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-2.7)</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0.410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w:t>
            </w:r>
          </w:p>
        </w:tc>
        <w:tc>
          <w:tcPr>
            <w:tcW w:w="851" w:type="dxa"/>
            <w:tcBorders>
              <w:right w:val="single" w:sz="4" w:space="0" w:color="C0504D" w:themeColor="accent2"/>
            </w:tcBorders>
            <w:noWrap/>
            <w:vAlign w:val="center"/>
            <w:hideMark/>
          </w:tcPr>
          <w:p w:rsidR="00BA4F68" w:rsidRPr="00446C74" w:rsidRDefault="00376DD0"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-2.1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0.130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76D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0D5236"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BA4F68" w:rsidRPr="00446C74">
              <w:rPr>
                <w:rFonts w:ascii="Times New Roman" w:eastAsia="Times New Roman" w:hAnsi="Times New Roman" w:cs="Times New Roman"/>
                <w:color w:val="000000"/>
                <w:sz w:val="16"/>
                <w:szCs w:val="16"/>
                <w:lang w:eastAsia="en-GB"/>
              </w:rPr>
              <w:t xml:space="preserve"> (0-90)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hAnsi="Times New Roman" w:cs="Times New Roman"/>
          <w:i/>
          <w:sz w:val="20"/>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r>
      <w:r w:rsidRPr="005F1E2A">
        <w:rPr>
          <w:rFonts w:ascii="Times New Roman" w:eastAsia="Times New Roman" w:hAnsi="Times New Roman" w:cs="Times New Roman"/>
          <w:sz w:val="16"/>
          <w:szCs w:val="16"/>
          <w:lang w:eastAsia="en-GB"/>
        </w:rPr>
        <w:lastRenderedPageBreak/>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5F1E2A" w:rsidRDefault="005F1E2A" w:rsidP="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p>
    <w:p w:rsidR="003E6311" w:rsidRPr="00BA4F68" w:rsidRDefault="001C3AB6">
      <w:pPr>
        <w:rPr>
          <w:rFonts w:ascii="Times New Roman" w:hAnsi="Times New Roman" w:cs="Times New Roman"/>
          <w:i/>
          <w:sz w:val="20"/>
        </w:rPr>
      </w:pPr>
      <w:r w:rsidRPr="00960843">
        <w:rPr>
          <w:rFonts w:ascii="Times New Roman" w:hAnsi="Times New Roman" w:cs="Times New Roman"/>
          <w:i/>
          <w:sz w:val="20"/>
        </w:rPr>
        <w:t>Supplementary Table S</w:t>
      </w:r>
      <w:r>
        <w:rPr>
          <w:rFonts w:ascii="Times New Roman" w:hAnsi="Times New Roman" w:cs="Times New Roman"/>
          <w:i/>
          <w:sz w:val="20"/>
        </w:rPr>
        <w:t>10. Confounder selection for DLCO, subset.</w:t>
      </w:r>
    </w:p>
    <w:tbl>
      <w:tblPr>
        <w:tblStyle w:val="LightList-Accent21"/>
        <w:tblW w:w="10036" w:type="dxa"/>
        <w:tblInd w:w="-176" w:type="dxa"/>
        <w:tblLayout w:type="fixed"/>
        <w:tblLook w:val="04A0" w:firstRow="1" w:lastRow="0" w:firstColumn="1" w:lastColumn="0" w:noHBand="0" w:noVBand="1"/>
      </w:tblPr>
      <w:tblGrid>
        <w:gridCol w:w="2127"/>
        <w:gridCol w:w="1134"/>
        <w:gridCol w:w="851"/>
        <w:gridCol w:w="742"/>
        <w:gridCol w:w="1417"/>
        <w:gridCol w:w="727"/>
        <w:gridCol w:w="992"/>
        <w:gridCol w:w="1083"/>
        <w:gridCol w:w="963"/>
      </w:tblGrid>
      <w:tr w:rsidR="00BA4F68" w:rsidRPr="00446C74" w:rsidTr="003E6311">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C0504D" w:themeColor="accent2"/>
              <w:right w:val="single" w:sz="4" w:space="0" w:color="C0504D" w:themeColor="accent2"/>
            </w:tcBorders>
            <w:noWrap/>
            <w:vAlign w:val="center"/>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subset with pulmonary fibrosis on HRCT scan</w:t>
            </w:r>
          </w:p>
        </w:tc>
        <w:tc>
          <w:tcPr>
            <w:tcW w:w="1985" w:type="dxa"/>
            <w:gridSpan w:val="2"/>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886" w:type="dxa"/>
            <w:gridSpan w:val="3"/>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3"/>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92" w:type="dxa"/>
            <w:tcBorders>
              <w:left w:val="single" w:sz="4" w:space="0" w:color="C0504D" w:themeColor="accent2"/>
            </w:tcBorders>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p>
        </w:tc>
        <w:tc>
          <w:tcPr>
            <w:tcW w:w="1134"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1"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742"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727"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92" w:type="dxa"/>
            <w:tcBorders>
              <w:left w:val="single" w:sz="4" w:space="0" w:color="C0504D" w:themeColor="accent2"/>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0.542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0.496</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0.712</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0.132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1.8</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0.644</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9.4)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0.832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w:t>
            </w:r>
            <w:r w:rsidR="00A93DAA">
              <w:rPr>
                <w:rFonts w:ascii="Times New Roman" w:hAnsi="Times New Roman" w:cs="Times New Roman"/>
                <w:color w:val="000000"/>
                <w:sz w:val="16"/>
                <w:szCs w:val="16"/>
              </w:rPr>
              <w:t>.0</w:t>
            </w:r>
            <w:r w:rsidRPr="00446C74">
              <w:rPr>
                <w:rFonts w:ascii="Times New Roman" w:hAnsi="Times New Roman" w:cs="Times New Roman"/>
                <w:color w:val="000000"/>
                <w:sz w:val="16"/>
                <w:szCs w:val="16"/>
              </w:rPr>
              <w:t>)</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0.520</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-5.2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0.123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4.7)</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0.050</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6920CD"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rPr>
            </w:pPr>
            <w:r w:rsidRPr="00446C74">
              <w:rPr>
                <w:rFonts w:ascii="Times New Roman" w:hAnsi="Times New Roman" w:cs="Times New Roman"/>
                <w:color w:val="000000"/>
                <w:sz w:val="16"/>
                <w:szCs w:val="16"/>
              </w:rPr>
              <w:t>Y</w:t>
            </w: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0.815</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7.2</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0.188</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1.7</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0.686</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6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0.509</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0.128</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-1.1</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0.335</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0.901</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3.7)</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0.376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1.4</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1.4)</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0.403</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9.3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21.3)</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0.126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7.4)</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0.104</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-15.4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21.2)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0.751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7.2)</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0.851</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-19.4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-5.8)</w:t>
            </w:r>
          </w:p>
        </w:tc>
        <w:tc>
          <w:tcPr>
            <w:tcW w:w="851" w:type="dxa"/>
            <w:tcBorders>
              <w:right w:val="single" w:sz="4" w:space="0" w:color="C0504D" w:themeColor="accent2"/>
            </w:tcBorders>
            <w:noWrap/>
            <w:vAlign w:val="center"/>
            <w:hideMark/>
          </w:tcPr>
          <w:p w:rsidR="00BA4F68" w:rsidRPr="00446C74" w:rsidRDefault="005B4581"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3.3)</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0.610</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BA4F68" w:rsidRPr="00446C74" w:rsidRDefault="005B4581"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0.934</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7.2</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-25.2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6.6)</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0.117</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6920CD"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rPr>
            </w:pPr>
            <w:r w:rsidRPr="00446C74">
              <w:rPr>
                <w:rFonts w:ascii="Times New Roman" w:hAnsi="Times New Roman" w:cs="Times New Roman"/>
                <w:color w:val="000000"/>
                <w:sz w:val="16"/>
                <w:szCs w:val="16"/>
              </w:rPr>
              <w:t>Y</w:t>
            </w: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0.144</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6.9)</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6.4)</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0.023</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5B4581"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12.9)</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0.723</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4</w:t>
            </w:r>
            <w:r w:rsidR="00A93DAA">
              <w:rPr>
                <w:rFonts w:ascii="Times New Roman" w:hAnsi="Times New Roman" w:cs="Times New Roman"/>
                <w:color w:val="000000"/>
                <w:sz w:val="16"/>
                <w:szCs w:val="16"/>
              </w:rPr>
              <w:t>.0</w:t>
            </w:r>
            <w:r w:rsidRPr="00446C74">
              <w:rPr>
                <w:rFonts w:ascii="Times New Roman" w:hAnsi="Times New Roman" w:cs="Times New Roman"/>
                <w:color w:val="000000"/>
                <w:sz w:val="16"/>
                <w:szCs w:val="16"/>
              </w:rPr>
              <w:t xml:space="preserve">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8</w:t>
            </w:r>
            <w:r w:rsidR="00A93DAA">
              <w:rPr>
                <w:rFonts w:ascii="Times New Roman" w:hAnsi="Times New Roman" w:cs="Times New Roman"/>
                <w:color w:val="000000"/>
                <w:sz w:val="16"/>
                <w:szCs w:val="16"/>
              </w:rPr>
              <w:t>.0</w:t>
            </w:r>
            <w:r w:rsidRPr="00446C74">
              <w:rPr>
                <w:rFonts w:ascii="Times New Roman" w:hAnsi="Times New Roman" w:cs="Times New Roman"/>
                <w:color w:val="000000"/>
                <w:sz w:val="16"/>
                <w:szCs w:val="16"/>
              </w:rPr>
              <w:t>)</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0.045</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0.680</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6.1</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0.023</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-3.2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-21.4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0.730</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9.1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15.7)</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0.057</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8.2)</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0.667</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3.4)</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0.377</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Muscle involvement</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7.2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17.6)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0.176</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-2.3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-5.8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1.2)</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0.198</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-13.7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5.6)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0.405</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-3.7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4.5)</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0.852</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-4.6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-8.5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0.020</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1.2</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-2.2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E6311">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0.555</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E6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C0504D" w:themeColor="accent2"/>
            </w:tcBorders>
            <w:noWrap/>
            <w:vAlign w:val="center"/>
            <w:hideMark/>
          </w:tcPr>
          <w:p w:rsidR="00BA4F68" w:rsidRPr="00446C74" w:rsidRDefault="000D5236"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BA4F68" w:rsidRPr="00446C74">
              <w:rPr>
                <w:rFonts w:ascii="Times New Roman" w:eastAsia="Times New Roman" w:hAnsi="Times New Roman" w:cs="Times New Roman"/>
                <w:color w:val="000000"/>
                <w:sz w:val="16"/>
                <w:szCs w:val="16"/>
                <w:lang w:eastAsia="en-GB"/>
              </w:rPr>
              <w:t xml:space="preserve"> (0-90)</w:t>
            </w:r>
          </w:p>
        </w:tc>
        <w:tc>
          <w:tcPr>
            <w:tcW w:w="1134"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851"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0.232</w:t>
            </w:r>
          </w:p>
        </w:tc>
        <w:tc>
          <w:tcPr>
            <w:tcW w:w="742"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1.3</w:t>
            </w:r>
          </w:p>
        </w:tc>
        <w:tc>
          <w:tcPr>
            <w:tcW w:w="141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w:t>
            </w:r>
          </w:p>
        </w:tc>
        <w:tc>
          <w:tcPr>
            <w:tcW w:w="72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0.972</w:t>
            </w:r>
          </w:p>
        </w:tc>
        <w:tc>
          <w:tcPr>
            <w:tcW w:w="99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1083"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hAnsi="Times New Roman" w:cs="Times New Roman"/>
          <w:i/>
          <w:sz w:val="20"/>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5F1E2A" w:rsidRDefault="005F1E2A" w:rsidP="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p>
    <w:p w:rsidR="003E6311" w:rsidRDefault="001C3AB6">
      <w:pPr>
        <w:rPr>
          <w:rFonts w:ascii="Times New Roman" w:hAnsi="Times New Roman" w:cs="Times New Roman"/>
          <w:i/>
          <w:sz w:val="20"/>
        </w:rPr>
      </w:pPr>
      <w:r w:rsidRPr="00960843">
        <w:rPr>
          <w:rFonts w:ascii="Times New Roman" w:hAnsi="Times New Roman" w:cs="Times New Roman"/>
          <w:i/>
          <w:sz w:val="20"/>
        </w:rPr>
        <w:t>Supplementary Table S</w:t>
      </w:r>
      <w:r>
        <w:rPr>
          <w:rFonts w:ascii="Times New Roman" w:hAnsi="Times New Roman" w:cs="Times New Roman"/>
          <w:i/>
          <w:sz w:val="20"/>
        </w:rPr>
        <w:t>11. Confounder selection for HAQ-DI.</w:t>
      </w:r>
    </w:p>
    <w:tbl>
      <w:tblPr>
        <w:tblStyle w:val="LightList-Accent21"/>
        <w:tblW w:w="9860" w:type="dxa"/>
        <w:tblLayout w:type="fixed"/>
        <w:tblLook w:val="04A0" w:firstRow="1" w:lastRow="0" w:firstColumn="1" w:lastColumn="0" w:noHBand="0" w:noVBand="1"/>
      </w:tblPr>
      <w:tblGrid>
        <w:gridCol w:w="1951"/>
        <w:gridCol w:w="1276"/>
        <w:gridCol w:w="850"/>
        <w:gridCol w:w="851"/>
        <w:gridCol w:w="1167"/>
        <w:gridCol w:w="817"/>
        <w:gridCol w:w="902"/>
        <w:gridCol w:w="941"/>
        <w:gridCol w:w="1105"/>
      </w:tblGrid>
      <w:tr w:rsidR="00BA4F68" w:rsidRPr="00446C74" w:rsidTr="003647EF">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C0504D" w:themeColor="accent2"/>
              <w:right w:val="single" w:sz="4" w:space="0" w:color="C0504D" w:themeColor="accent2"/>
            </w:tcBorders>
            <w:noWrap/>
            <w:vAlign w:val="center"/>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w:t>
            </w:r>
          </w:p>
        </w:tc>
        <w:tc>
          <w:tcPr>
            <w:tcW w:w="2126" w:type="dxa"/>
            <w:gridSpan w:val="2"/>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835" w:type="dxa"/>
            <w:gridSpan w:val="3"/>
            <w:tcBorders>
              <w:left w:val="single" w:sz="4" w:space="0" w:color="C0504D" w:themeColor="accent2"/>
              <w:right w:val="single" w:sz="4" w:space="0" w:color="C0504D" w:themeColor="accent2"/>
            </w:tcBorders>
            <w:vAlign w:val="center"/>
          </w:tcPr>
          <w:p w:rsidR="00BA4F68" w:rsidRPr="00446C74" w:rsidRDefault="00BA4F68" w:rsidP="00BA4F68">
            <w:pPr>
              <w:pStyle w:val="ListParagraph"/>
              <w:numPr>
                <w:ilvl w:val="0"/>
                <w:numId w:val="14"/>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41"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105" w:type="dxa"/>
            <w:noWrap/>
            <w:vAlign w:val="center"/>
          </w:tcPr>
          <w:p w:rsidR="00BA4F68" w:rsidRPr="00446C74" w:rsidRDefault="00BA4F68" w:rsidP="00BA4F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p>
        </w:tc>
        <w:tc>
          <w:tcPr>
            <w:tcW w:w="1276"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0"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851" w:type="dxa"/>
            <w:tcBorders>
              <w:lef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167" w:type="dxa"/>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0.568</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-0.12</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0.182</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0.38)</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0.090</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0.09)</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0.963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0.874</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0.561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0.44)</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0.619</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-0.03)</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0.05)</w:t>
            </w:r>
          </w:p>
        </w:tc>
        <w:tc>
          <w:tcPr>
            <w:tcW w:w="850" w:type="dxa"/>
            <w:tcBorders>
              <w:right w:val="single" w:sz="4" w:space="0" w:color="C0504D" w:themeColor="accent2"/>
            </w:tcBorders>
            <w:noWrap/>
            <w:vAlign w:val="center"/>
            <w:hideMark/>
          </w:tcPr>
          <w:p w:rsidR="00BA4F68" w:rsidRPr="00446C74" w:rsidRDefault="00E60377"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BA4F68" w:rsidRPr="00446C74" w:rsidRDefault="002A4903"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-0.25</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0.179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0.06)</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0.098</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BA4F68" w:rsidRPr="00446C74" w:rsidRDefault="002A4903"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0.887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50" w:type="dxa"/>
            <w:tcBorders>
              <w:right w:val="single" w:sz="4" w:space="0" w:color="C0504D" w:themeColor="accent2"/>
            </w:tcBorders>
            <w:noWrap/>
            <w:vAlign w:val="center"/>
            <w:hideMark/>
          </w:tcPr>
          <w:p w:rsidR="00BA4F68" w:rsidRPr="00446C74" w:rsidRDefault="002A4903"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50" w:type="dxa"/>
            <w:tcBorders>
              <w:right w:val="single" w:sz="4" w:space="0" w:color="C0504D" w:themeColor="accent2"/>
            </w:tcBorders>
            <w:noWrap/>
            <w:vAlign w:val="center"/>
            <w:hideMark/>
          </w:tcPr>
          <w:p w:rsidR="00BA4F68" w:rsidRPr="00446C74" w:rsidRDefault="002A4903"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0.731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0.11)</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0.44)</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0.183</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0.747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0.09)</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0.137</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0.35)</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Pulmonary fibrosis</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0.004</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0.133</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BA4F68" w:rsidRPr="00446C74" w:rsidRDefault="002A4903"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0.799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BA4F68" w:rsidRPr="00446C74" w:rsidRDefault="00A97091"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0.625</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C66C31"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0.67)</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0.063</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0.076</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0.302</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0.570</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0.69)</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0.004</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0.06)</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0.59)</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0.087</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0.03)</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0.891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-0.04</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0.787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0.849</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0.08)</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0.192</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0.110</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0.477</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-0.05</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0.749</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0.48)</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0.004</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0.07)</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0.677</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0.85)</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-0.14)</w:t>
            </w:r>
          </w:p>
        </w:tc>
        <w:tc>
          <w:tcPr>
            <w:tcW w:w="817" w:type="dxa"/>
            <w:tcBorders>
              <w:right w:val="single" w:sz="4" w:space="0" w:color="C0504D" w:themeColor="accent2"/>
            </w:tcBorders>
            <w:noWrap/>
            <w:vAlign w:val="center"/>
            <w:hideMark/>
          </w:tcPr>
          <w:p w:rsidR="00BA4F68" w:rsidRPr="00446C74" w:rsidRDefault="00E60377"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0.64)</w:t>
            </w:r>
          </w:p>
        </w:tc>
        <w:tc>
          <w:tcPr>
            <w:tcW w:w="850"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0" w:type="dxa"/>
            <w:tcBorders>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w:t>
            </w:r>
          </w:p>
        </w:tc>
        <w:tc>
          <w:tcPr>
            <w:tcW w:w="1167" w:type="dxa"/>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-0.14)</w:t>
            </w:r>
          </w:p>
        </w:tc>
        <w:tc>
          <w:tcPr>
            <w:tcW w:w="817" w:type="dxa"/>
            <w:tcBorders>
              <w:right w:val="single" w:sz="4" w:space="0" w:color="C0504D" w:themeColor="accent2"/>
            </w:tcBorders>
            <w:noWrap/>
            <w:vAlign w:val="center"/>
            <w:hideMark/>
          </w:tcPr>
          <w:p w:rsidR="00BA4F68" w:rsidRPr="00446C74" w:rsidRDefault="00E60377"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05" w:type="dxa"/>
            <w:tcBorders>
              <w:left w:val="single" w:sz="4" w:space="0" w:color="C0504D" w:themeColor="accent2"/>
            </w:tcBorders>
            <w:noWrap/>
            <w:vAlign w:val="center"/>
            <w:hideMark/>
          </w:tcPr>
          <w:p w:rsidR="00BA4F68" w:rsidRPr="00446C74" w:rsidRDefault="00BA4F68" w:rsidP="00BA4F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BA4F68" w:rsidRPr="00446C74" w:rsidTr="003647EF">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BA4F68" w:rsidRPr="00446C74" w:rsidRDefault="00BA4F68" w:rsidP="00BA4F68">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276"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-0.04)</w:t>
            </w:r>
          </w:p>
        </w:tc>
        <w:tc>
          <w:tcPr>
            <w:tcW w:w="850" w:type="dxa"/>
            <w:tcBorders>
              <w:right w:val="single" w:sz="4" w:space="0" w:color="C0504D" w:themeColor="accent2"/>
            </w:tcBorders>
            <w:noWrap/>
            <w:vAlign w:val="center"/>
            <w:hideMark/>
          </w:tcPr>
          <w:p w:rsidR="00BA4F68" w:rsidRPr="00446C74" w:rsidRDefault="00A97091"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-0.15</w:t>
            </w:r>
          </w:p>
        </w:tc>
        <w:tc>
          <w:tcPr>
            <w:tcW w:w="1167" w:type="dxa"/>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0.011</w:t>
            </w:r>
          </w:p>
        </w:tc>
        <w:tc>
          <w:tcPr>
            <w:tcW w:w="902"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941" w:type="dxa"/>
            <w:tcBorders>
              <w:left w:val="single" w:sz="4" w:space="0" w:color="C0504D" w:themeColor="accent2"/>
              <w:righ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BA4F68" w:rsidRPr="00446C74" w:rsidRDefault="00BA4F68" w:rsidP="00BA4F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7F561C" w:rsidRPr="00446C74" w:rsidTr="007F5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7F561C" w:rsidRPr="00446C74" w:rsidRDefault="000D5236" w:rsidP="00BA4F68">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7F561C" w:rsidRPr="00446C74">
              <w:rPr>
                <w:rFonts w:ascii="Times New Roman" w:eastAsia="Times New Roman" w:hAnsi="Times New Roman" w:cs="Times New Roman"/>
                <w:color w:val="000000"/>
                <w:sz w:val="16"/>
                <w:szCs w:val="16"/>
                <w:lang w:eastAsia="en-GB"/>
              </w:rPr>
              <w:t xml:space="preserve"> (0-90)</w:t>
            </w:r>
          </w:p>
        </w:tc>
        <w:tc>
          <w:tcPr>
            <w:tcW w:w="1276" w:type="dxa"/>
            <w:tcBorders>
              <w:lef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0.03</w:t>
            </w:r>
            <w:r>
              <w:rPr>
                <w:rFonts w:ascii="Times New Roman" w:hAnsi="Times New Roman" w:cs="Times New Roman"/>
                <w:color w:val="000000"/>
                <w:sz w:val="16"/>
                <w:szCs w:val="16"/>
              </w:rPr>
              <w:br/>
            </w:r>
            <w:r w:rsidRPr="007F561C">
              <w:rPr>
                <w:rFonts w:ascii="Times New Roman" w:hAnsi="Times New Roman" w:cs="Times New Roman"/>
                <w:color w:val="000000"/>
                <w:sz w:val="16"/>
                <w:szCs w:val="16"/>
              </w:rPr>
              <w:t>(0.03</w:t>
            </w:r>
            <w:r>
              <w:rPr>
                <w:rFonts w:ascii="Times New Roman" w:hAnsi="Times New Roman" w:cs="Times New Roman"/>
                <w:color w:val="000000"/>
                <w:sz w:val="16"/>
                <w:szCs w:val="16"/>
              </w:rPr>
              <w:t xml:space="preserve"> to </w:t>
            </w:r>
            <w:r w:rsidRPr="007F561C">
              <w:rPr>
                <w:rFonts w:ascii="Times New Roman" w:hAnsi="Times New Roman" w:cs="Times New Roman"/>
                <w:color w:val="000000"/>
                <w:sz w:val="16"/>
                <w:szCs w:val="16"/>
              </w:rPr>
              <w:t>0.04)</w:t>
            </w:r>
          </w:p>
        </w:tc>
        <w:tc>
          <w:tcPr>
            <w:tcW w:w="850" w:type="dxa"/>
            <w:tcBorders>
              <w:right w:val="single" w:sz="4" w:space="0" w:color="C0504D" w:themeColor="accent2"/>
            </w:tcBorders>
            <w:noWrap/>
            <w:vAlign w:val="center"/>
            <w:hideMark/>
          </w:tcPr>
          <w:p w:rsidR="007F561C" w:rsidRPr="007F561C" w:rsidRDefault="00F1250A"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851" w:type="dxa"/>
            <w:tcBorders>
              <w:lef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F561C">
              <w:rPr>
                <w:rFonts w:ascii="Times New Roman" w:hAnsi="Times New Roman" w:cs="Times New Roman"/>
                <w:color w:val="000000"/>
                <w:sz w:val="16"/>
                <w:szCs w:val="16"/>
              </w:rPr>
              <w:t>0.02</w:t>
            </w:r>
          </w:p>
        </w:tc>
        <w:tc>
          <w:tcPr>
            <w:tcW w:w="1167" w:type="dxa"/>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F561C">
              <w:rPr>
                <w:rFonts w:ascii="Times New Roman" w:hAnsi="Times New Roman" w:cs="Times New Roman"/>
                <w:color w:val="000000"/>
                <w:sz w:val="16"/>
                <w:szCs w:val="16"/>
              </w:rPr>
              <w:t>0</w:t>
            </w:r>
            <w:r>
              <w:rPr>
                <w:rFonts w:ascii="Times New Roman" w:hAnsi="Times New Roman" w:cs="Times New Roman"/>
                <w:color w:val="000000"/>
                <w:sz w:val="16"/>
                <w:szCs w:val="16"/>
              </w:rPr>
              <w:br/>
            </w:r>
            <w:r w:rsidRPr="007F561C">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7F561C">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F561C">
              <w:rPr>
                <w:rFonts w:ascii="Times New Roman" w:hAnsi="Times New Roman" w:cs="Times New Roman"/>
                <w:color w:val="000000"/>
                <w:sz w:val="16"/>
                <w:szCs w:val="16"/>
              </w:rPr>
              <w:t>0.002</w:t>
            </w:r>
          </w:p>
        </w:tc>
        <w:tc>
          <w:tcPr>
            <w:tcW w:w="902" w:type="dxa"/>
            <w:tcBorders>
              <w:left w:val="single" w:sz="4" w:space="0" w:color="C0504D" w:themeColor="accent2"/>
              <w:righ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F561C">
              <w:rPr>
                <w:rFonts w:ascii="Times New Roman" w:hAnsi="Times New Roman" w:cs="Times New Roman"/>
                <w:color w:val="000000"/>
                <w:sz w:val="16"/>
                <w:szCs w:val="16"/>
              </w:rPr>
              <w:t>0.025</w:t>
            </w:r>
          </w:p>
        </w:tc>
        <w:tc>
          <w:tcPr>
            <w:tcW w:w="941" w:type="dxa"/>
            <w:tcBorders>
              <w:left w:val="single" w:sz="4" w:space="0" w:color="C0504D" w:themeColor="accent2"/>
              <w:righ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F561C">
              <w:rPr>
                <w:rFonts w:ascii="Times New Roman" w:hAnsi="Times New Roman" w:cs="Times New Roman"/>
                <w:color w:val="000000"/>
                <w:sz w:val="16"/>
                <w:szCs w:val="16"/>
              </w:rPr>
              <w:t>Y</w:t>
            </w:r>
          </w:p>
        </w:tc>
        <w:tc>
          <w:tcPr>
            <w:tcW w:w="1105" w:type="dxa"/>
            <w:tcBorders>
              <w:left w:val="single" w:sz="4" w:space="0" w:color="C0504D" w:themeColor="accent2"/>
            </w:tcBorders>
            <w:noWrap/>
            <w:vAlign w:val="center"/>
            <w:hideMark/>
          </w:tcPr>
          <w:p w:rsidR="007F561C" w:rsidRPr="007F561C" w:rsidRDefault="007F561C" w:rsidP="007F56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Y</w:t>
            </w: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5F1E2A" w:rsidRDefault="005F1E2A" w:rsidP="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p>
    <w:p w:rsidR="003E6311" w:rsidRDefault="001C3AB6">
      <w:pPr>
        <w:rPr>
          <w:rFonts w:ascii="Times New Roman" w:hAnsi="Times New Roman" w:cs="Times New Roman"/>
          <w:i/>
          <w:sz w:val="20"/>
        </w:rPr>
      </w:pPr>
      <w:r w:rsidRPr="00960843">
        <w:rPr>
          <w:rFonts w:ascii="Times New Roman" w:hAnsi="Times New Roman" w:cs="Times New Roman"/>
          <w:i/>
          <w:sz w:val="20"/>
        </w:rPr>
        <w:t>Supplementary Table S</w:t>
      </w:r>
      <w:r>
        <w:rPr>
          <w:rFonts w:ascii="Times New Roman" w:hAnsi="Times New Roman" w:cs="Times New Roman"/>
          <w:i/>
          <w:sz w:val="20"/>
        </w:rPr>
        <w:t xml:space="preserve">12. Confounder selection for Cochin </w:t>
      </w:r>
      <w:r w:rsidR="00F61869">
        <w:rPr>
          <w:rFonts w:ascii="Times New Roman" w:hAnsi="Times New Roman" w:cs="Times New Roman"/>
          <w:i/>
          <w:sz w:val="20"/>
        </w:rPr>
        <w:t>Hand Function Scale</w:t>
      </w:r>
      <w:r>
        <w:rPr>
          <w:rFonts w:ascii="Times New Roman" w:hAnsi="Times New Roman" w:cs="Times New Roman"/>
          <w:i/>
          <w:sz w:val="20"/>
        </w:rPr>
        <w:t>.</w:t>
      </w:r>
    </w:p>
    <w:tbl>
      <w:tblPr>
        <w:tblStyle w:val="LightList-Accent21"/>
        <w:tblW w:w="9860" w:type="dxa"/>
        <w:tblLayout w:type="fixed"/>
        <w:tblLook w:val="04A0" w:firstRow="1" w:lastRow="0" w:firstColumn="1" w:lastColumn="0" w:noHBand="0" w:noVBand="1"/>
      </w:tblPr>
      <w:tblGrid>
        <w:gridCol w:w="1951"/>
        <w:gridCol w:w="1276"/>
        <w:gridCol w:w="850"/>
        <w:gridCol w:w="601"/>
        <w:gridCol w:w="1417"/>
        <w:gridCol w:w="817"/>
        <w:gridCol w:w="902"/>
        <w:gridCol w:w="1083"/>
        <w:gridCol w:w="963"/>
      </w:tblGrid>
      <w:tr w:rsidR="00463AEA" w:rsidRPr="00446C74" w:rsidTr="00A1374B">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C0504D" w:themeColor="accent2"/>
              <w:right w:val="single" w:sz="4" w:space="0" w:color="C0504D" w:themeColor="accent2"/>
            </w:tcBorders>
            <w:noWrap/>
            <w:vAlign w:val="center"/>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Log(Cochin score+1)</w:t>
            </w:r>
          </w:p>
        </w:tc>
        <w:tc>
          <w:tcPr>
            <w:tcW w:w="2126" w:type="dxa"/>
            <w:gridSpan w:val="2"/>
            <w:tcBorders>
              <w:left w:val="single" w:sz="4" w:space="0" w:color="C0504D" w:themeColor="accent2"/>
              <w:right w:val="single" w:sz="4" w:space="0" w:color="C0504D" w:themeColor="accent2"/>
            </w:tcBorders>
            <w:vAlign w:val="center"/>
          </w:tcPr>
          <w:p w:rsidR="00463AEA" w:rsidRPr="00446C74" w:rsidRDefault="00463AEA" w:rsidP="00463AEA">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Association with outcome at baseline</w:t>
            </w:r>
          </w:p>
        </w:tc>
        <w:tc>
          <w:tcPr>
            <w:tcW w:w="2835" w:type="dxa"/>
            <w:gridSpan w:val="3"/>
            <w:tcBorders>
              <w:left w:val="single" w:sz="4" w:space="0" w:color="C0504D" w:themeColor="accent2"/>
              <w:right w:val="single" w:sz="4" w:space="0" w:color="C0504D" w:themeColor="accent2"/>
            </w:tcBorders>
            <w:vAlign w:val="center"/>
          </w:tcPr>
          <w:p w:rsidR="00463AEA" w:rsidRPr="00446C74" w:rsidRDefault="00463AEA" w:rsidP="00463AEA">
            <w:pPr>
              <w:pStyle w:val="ListParagraph"/>
              <w:numPr>
                <w:ilvl w:val="0"/>
                <w:numId w:val="15"/>
              </w:num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Effect on outcome through time</w:t>
            </w:r>
          </w:p>
        </w:tc>
        <w:tc>
          <w:tcPr>
            <w:tcW w:w="902" w:type="dxa"/>
            <w:tcBorders>
              <w:left w:val="single" w:sz="4" w:space="0" w:color="C0504D" w:themeColor="accent2"/>
            </w:tcBorders>
            <w:vAlign w:val="center"/>
          </w:tcPr>
          <w:p w:rsidR="00463AEA" w:rsidRPr="00446C74" w:rsidRDefault="00463AEA" w:rsidP="008017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1083" w:type="dxa"/>
            <w:noWrap/>
            <w:vAlign w:val="center"/>
          </w:tcPr>
          <w:p w:rsidR="00463AEA" w:rsidRPr="00446C74" w:rsidRDefault="00463AEA" w:rsidP="008017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963" w:type="dxa"/>
            <w:noWrap/>
            <w:vAlign w:val="center"/>
          </w:tcPr>
          <w:p w:rsidR="00463AEA" w:rsidRPr="00446C74" w:rsidRDefault="00463AEA" w:rsidP="008017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p>
        </w:tc>
        <w:tc>
          <w:tcPr>
            <w:tcW w:w="1276" w:type="dxa"/>
            <w:tcBorders>
              <w:left w:val="single" w:sz="4" w:space="0" w:color="C0504D" w:themeColor="accent2"/>
            </w:tcBorders>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Baseline predictor, coefficient</w:t>
            </w:r>
          </w:p>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50" w:type="dxa"/>
            <w:tcBorders>
              <w:right w:val="single" w:sz="4" w:space="0" w:color="C0504D" w:themeColor="accent2"/>
            </w:tcBorders>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(1)</w:t>
            </w:r>
          </w:p>
        </w:tc>
        <w:tc>
          <w:tcPr>
            <w:tcW w:w="601" w:type="dxa"/>
            <w:tcBorders>
              <w:left w:val="single" w:sz="4" w:space="0" w:color="C0504D" w:themeColor="accent2"/>
            </w:tcBorders>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 slope (12 months)</w:t>
            </w:r>
          </w:p>
        </w:tc>
        <w:tc>
          <w:tcPr>
            <w:tcW w:w="1417" w:type="dxa"/>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Time-predictor interaction, coefficient</w:t>
            </w:r>
          </w:p>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817" w:type="dxa"/>
            <w:tcBorders>
              <w:right w:val="single" w:sz="4" w:space="0" w:color="C0504D" w:themeColor="accent2"/>
            </w:tcBorders>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Pr="00446C74">
              <w:rPr>
                <w:rFonts w:ascii="Times New Roman" w:eastAsia="Times New Roman" w:hAnsi="Times New Roman" w:cs="Times New Roman"/>
                <w:color w:val="000000"/>
                <w:sz w:val="16"/>
                <w:szCs w:val="16"/>
                <w:vertAlign w:val="superscript"/>
                <w:lang w:eastAsia="en-GB"/>
              </w:rPr>
              <w:t>(2)</w:t>
            </w:r>
          </w:p>
        </w:tc>
        <w:tc>
          <w:tcPr>
            <w:tcW w:w="902" w:type="dxa"/>
            <w:tcBorders>
              <w:left w:val="single" w:sz="4" w:space="0" w:color="C0504D" w:themeColor="accent2"/>
              <w:right w:val="single" w:sz="4" w:space="0" w:color="C0504D" w:themeColor="accent2"/>
            </w:tcBorders>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0.627</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0.187</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0.324</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0.46)</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0.755</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0.18)</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0.753</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0.889</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0.502</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lastRenderedPageBreak/>
              <w:t>Previous immunosuppressant use</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0.81)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0.719</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0.17)</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0.426</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0.007</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0.76)</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0.014</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-0.07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0.07)</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0.337</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0.07)</w:t>
            </w:r>
          </w:p>
        </w:tc>
        <w:tc>
          <w:tcPr>
            <w:tcW w:w="850" w:type="dxa"/>
            <w:tcBorders>
              <w:right w:val="single" w:sz="4" w:space="0" w:color="C0504D" w:themeColor="accent2"/>
            </w:tcBorders>
            <w:noWrap/>
            <w:vAlign w:val="center"/>
            <w:hideMark/>
          </w:tcPr>
          <w:p w:rsidR="00463AEA" w:rsidRPr="00446C74" w:rsidRDefault="004907C5"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0.879</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0.306</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0.019</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0.097</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0.721</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0.09)</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0.308</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0.982</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0.029</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6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0.001</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0.590</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0.459</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0.02)</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0.003</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0.456</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0.341</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0.04)</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0.000</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0.943</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0.45)</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0.608</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0.23)</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0.209</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0.228</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0.77)</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0.160</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0.19)</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0.856</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0.433</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-0.41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-1.04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0.196</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0.24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0.073</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0.147</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1.12)</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0.031</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-0.24</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0.22)</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0.945</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0.036</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0.004</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0.725</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0.026</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0.014</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0.686</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DA0702"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-0.88</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0.585</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-0.66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0.03)</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0.070</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0.488</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0.674</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0.017</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0.472</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0.286</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0.36)</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0.409</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0.009</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0.33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-0.25</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0.268</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0.29)</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0.739</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0.039</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0.683</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0.540</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0.339</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-0.91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0.62)</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0.702</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0.09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-0.33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0.681</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0.110</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0.198</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0.088</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0.422</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0.18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0.56)</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0.347</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0.572</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0.078</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1.13)</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0.097</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-0.36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-0.59</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-0.13)</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0.002</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0.52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0.06</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0.99)</w:t>
            </w:r>
          </w:p>
        </w:tc>
        <w:tc>
          <w:tcPr>
            <w:tcW w:w="850"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0.027</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0.19)</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0.946</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0.705</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1.24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1.13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1.36)</w:t>
            </w:r>
          </w:p>
        </w:tc>
        <w:tc>
          <w:tcPr>
            <w:tcW w:w="850" w:type="dxa"/>
            <w:tcBorders>
              <w:right w:val="single" w:sz="4" w:space="0" w:color="C0504D" w:themeColor="accent2"/>
            </w:tcBorders>
            <w:noWrap/>
            <w:vAlign w:val="center"/>
            <w:hideMark/>
          </w:tcPr>
          <w:p w:rsidR="00463AEA" w:rsidRPr="00446C74" w:rsidRDefault="004907C5"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-0.15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-0.23</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-0.07)</w:t>
            </w:r>
          </w:p>
        </w:tc>
        <w:tc>
          <w:tcPr>
            <w:tcW w:w="817" w:type="dxa"/>
            <w:tcBorders>
              <w:right w:val="single" w:sz="4" w:space="0" w:color="C0504D" w:themeColor="accent2"/>
            </w:tcBorders>
            <w:noWrap/>
            <w:vAlign w:val="center"/>
            <w:hideMark/>
          </w:tcPr>
          <w:p w:rsidR="00463AEA" w:rsidRPr="00446C74" w:rsidRDefault="00886C67" w:rsidP="00886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0.400</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463AEA" w:rsidP="008017C1">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-0.06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-0.07</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-0.05)</w:t>
            </w:r>
          </w:p>
        </w:tc>
        <w:tc>
          <w:tcPr>
            <w:tcW w:w="850" w:type="dxa"/>
            <w:tcBorders>
              <w:right w:val="single" w:sz="4" w:space="0" w:color="C0504D" w:themeColor="accent2"/>
            </w:tcBorders>
            <w:noWrap/>
            <w:vAlign w:val="center"/>
            <w:hideMark/>
          </w:tcPr>
          <w:p w:rsidR="00463AEA" w:rsidRPr="00446C74" w:rsidRDefault="004907C5"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601"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0.01)</w:t>
            </w:r>
          </w:p>
        </w:tc>
        <w:tc>
          <w:tcPr>
            <w:tcW w:w="817" w:type="dxa"/>
            <w:tcBorders>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0.168</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0.165</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c>
          <w:tcPr>
            <w:tcW w:w="963" w:type="dxa"/>
            <w:tcBorders>
              <w:left w:val="single" w:sz="4" w:space="0" w:color="C0504D" w:themeColor="accent2"/>
            </w:tcBorders>
            <w:noWrap/>
            <w:vAlign w:val="center"/>
            <w:hideMark/>
          </w:tcPr>
          <w:p w:rsidR="00463AEA" w:rsidRPr="00446C74" w:rsidRDefault="00463AEA" w:rsidP="008017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Y</w:t>
            </w:r>
          </w:p>
        </w:tc>
      </w:tr>
      <w:tr w:rsidR="00463AEA" w:rsidRPr="00446C74" w:rsidTr="00A137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C0504D" w:themeColor="accent2"/>
            </w:tcBorders>
            <w:noWrap/>
            <w:vAlign w:val="center"/>
            <w:hideMark/>
          </w:tcPr>
          <w:p w:rsidR="00463AEA" w:rsidRPr="00446C74" w:rsidRDefault="000D5236" w:rsidP="008017C1">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463AEA" w:rsidRPr="00446C74">
              <w:rPr>
                <w:rFonts w:ascii="Times New Roman" w:eastAsia="Times New Roman" w:hAnsi="Times New Roman" w:cs="Times New Roman"/>
                <w:color w:val="000000"/>
                <w:sz w:val="16"/>
                <w:szCs w:val="16"/>
                <w:lang w:eastAsia="en-GB"/>
              </w:rPr>
              <w:t xml:space="preserve"> (0-90)</w:t>
            </w:r>
          </w:p>
        </w:tc>
        <w:tc>
          <w:tcPr>
            <w:tcW w:w="1276"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0" w:type="dxa"/>
            <w:tcBorders>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601"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0.1</w:t>
            </w:r>
          </w:p>
        </w:tc>
        <w:tc>
          <w:tcPr>
            <w:tcW w:w="1417" w:type="dxa"/>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 xml:space="preserve">-0.01 </w:t>
            </w:r>
            <w:r>
              <w:rPr>
                <w:rFonts w:ascii="Times New Roman" w:hAnsi="Times New Roman" w:cs="Times New Roman"/>
                <w:color w:val="000000"/>
                <w:sz w:val="16"/>
                <w:szCs w:val="16"/>
              </w:rPr>
              <w:br/>
              <w:t>(</w:t>
            </w:r>
            <w:r w:rsidRPr="00446C74">
              <w:rPr>
                <w:rFonts w:ascii="Times New Roman" w:hAnsi="Times New Roman" w:cs="Times New Roman"/>
                <w:color w:val="000000"/>
                <w:sz w:val="16"/>
                <w:szCs w:val="16"/>
              </w:rPr>
              <w:t>-0.01</w:t>
            </w:r>
            <w:r>
              <w:rPr>
                <w:rFonts w:ascii="Times New Roman" w:hAnsi="Times New Roman" w:cs="Times New Roman"/>
                <w:color w:val="000000"/>
                <w:sz w:val="16"/>
                <w:szCs w:val="16"/>
              </w:rPr>
              <w:t xml:space="preserve"> to</w:t>
            </w:r>
            <w:r w:rsidRPr="00446C74">
              <w:rPr>
                <w:rFonts w:ascii="Times New Roman" w:hAnsi="Times New Roman" w:cs="Times New Roman"/>
                <w:color w:val="000000"/>
                <w:sz w:val="16"/>
                <w:szCs w:val="16"/>
              </w:rPr>
              <w:t xml:space="preserve"> 0)</w:t>
            </w:r>
          </w:p>
        </w:tc>
        <w:tc>
          <w:tcPr>
            <w:tcW w:w="817" w:type="dxa"/>
            <w:tcBorders>
              <w:right w:val="single" w:sz="4" w:space="0" w:color="C0504D" w:themeColor="accent2"/>
            </w:tcBorders>
            <w:noWrap/>
            <w:vAlign w:val="center"/>
            <w:hideMark/>
          </w:tcPr>
          <w:p w:rsidR="00463AEA" w:rsidRPr="00446C74" w:rsidRDefault="00886C67"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902"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46C74">
              <w:rPr>
                <w:rFonts w:ascii="Times New Roman" w:hAnsi="Times New Roman" w:cs="Times New Roman"/>
                <w:color w:val="000000"/>
                <w:sz w:val="16"/>
                <w:szCs w:val="16"/>
              </w:rPr>
              <w:t>0.025</w:t>
            </w:r>
          </w:p>
        </w:tc>
        <w:tc>
          <w:tcPr>
            <w:tcW w:w="1083" w:type="dxa"/>
            <w:tcBorders>
              <w:left w:val="single" w:sz="4" w:space="0" w:color="C0504D" w:themeColor="accent2"/>
              <w:righ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tcBorders>
              <w:left w:val="single" w:sz="4" w:space="0" w:color="C0504D" w:themeColor="accent2"/>
            </w:tcBorders>
            <w:noWrap/>
            <w:vAlign w:val="center"/>
            <w:hideMark/>
          </w:tcPr>
          <w:p w:rsidR="00463AEA" w:rsidRPr="00446C74" w:rsidRDefault="00463AEA" w:rsidP="008017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hAnsi="Times New Roman" w:cs="Times New Roman"/>
          <w:i/>
          <w:sz w:val="20"/>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5F1E2A" w:rsidRPr="005F1E2A" w:rsidRDefault="005F1E2A" w:rsidP="005F1E2A">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p>
    <w:p w:rsidR="003E6311" w:rsidRPr="005F1E2A" w:rsidRDefault="005F1E2A">
      <w:pPr>
        <w:rPr>
          <w:rFonts w:ascii="Times New Roman" w:hAnsi="Times New Roman" w:cs="Times New Roman"/>
          <w:i/>
          <w:sz w:val="20"/>
        </w:rPr>
      </w:pP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lang w:eastAsia="en-GB"/>
        </w:rPr>
        <w:t>: significance p-value for characteristic coefficient in linear regression of baseline outcome on baseline predictor</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(2)</w:t>
      </w:r>
      <w:r w:rsidRPr="005F1E2A">
        <w:rPr>
          <w:rFonts w:ascii="Times New Roman" w:eastAsia="Times New Roman" w:hAnsi="Times New Roman" w:cs="Times New Roman"/>
          <w:sz w:val="16"/>
          <w:szCs w:val="16"/>
          <w:lang w:eastAsia="en-GB"/>
        </w:rPr>
        <w:t>: significance p-value for interaction coefficient between time and baseline characteristic in a longitudinal regression model</w:t>
      </w:r>
      <w:r w:rsidRPr="005F1E2A">
        <w:rPr>
          <w:rFonts w:ascii="Times New Roman" w:eastAsia="Times New Roman" w:hAnsi="Times New Roman" w:cs="Times New Roman"/>
          <w:sz w:val="16"/>
          <w:szCs w:val="16"/>
          <w:lang w:eastAsia="en-GB"/>
        </w:rPr>
        <w:br/>
        <w:t>p</w:t>
      </w:r>
      <w:r w:rsidRPr="005F1E2A">
        <w:rPr>
          <w:rFonts w:ascii="Times New Roman" w:eastAsia="Times New Roman" w:hAnsi="Times New Roman" w:cs="Times New Roman"/>
          <w:sz w:val="16"/>
          <w:szCs w:val="16"/>
          <w:vertAlign w:val="superscript"/>
          <w:lang w:eastAsia="en-GB"/>
        </w:rPr>
        <w:t>(3)</w:t>
      </w:r>
      <w:r w:rsidRPr="005F1E2A">
        <w:rPr>
          <w:rFonts w:ascii="Times New Roman" w:eastAsia="Times New Roman" w:hAnsi="Times New Roman" w:cs="Times New Roman"/>
          <w:sz w:val="16"/>
          <w:szCs w:val="16"/>
          <w:lang w:eastAsia="en-GB"/>
        </w:rPr>
        <w:t>: p-value from Fisher’s or Kruskal-Wallis test</w:t>
      </w:r>
      <w:r w:rsidRPr="005F1E2A">
        <w:rPr>
          <w:rFonts w:ascii="Times New Roman" w:eastAsia="Times New Roman" w:hAnsi="Times New Roman" w:cs="Times New Roman"/>
          <w:sz w:val="16"/>
          <w:szCs w:val="16"/>
          <w:lang w:eastAsia="en-GB"/>
        </w:rPr>
        <w:br/>
      </w:r>
      <w:r>
        <w:rPr>
          <w:rFonts w:ascii="Times New Roman" w:hAnsi="Times New Roman" w:cs="Times New Roman"/>
          <w:i/>
          <w:sz w:val="20"/>
        </w:rPr>
        <w:br w:type="page"/>
      </w:r>
      <w:r w:rsidR="001C3AB6" w:rsidRPr="00960843">
        <w:rPr>
          <w:rFonts w:ascii="Times New Roman" w:hAnsi="Times New Roman" w:cs="Times New Roman"/>
          <w:i/>
          <w:sz w:val="20"/>
        </w:rPr>
        <w:lastRenderedPageBreak/>
        <w:t>Supplementary Table S</w:t>
      </w:r>
      <w:r w:rsidR="001C3AB6">
        <w:rPr>
          <w:rFonts w:ascii="Times New Roman" w:hAnsi="Times New Roman" w:cs="Times New Roman"/>
          <w:i/>
          <w:sz w:val="20"/>
        </w:rPr>
        <w:t>13. Confounder selection for survival analysis.</w:t>
      </w:r>
    </w:p>
    <w:tbl>
      <w:tblPr>
        <w:tblStyle w:val="LightList-Accent2"/>
        <w:tblW w:w="0" w:type="auto"/>
        <w:tblLayout w:type="fixed"/>
        <w:tblLook w:val="04A0" w:firstRow="1" w:lastRow="0" w:firstColumn="1" w:lastColumn="0" w:noHBand="0" w:noVBand="1"/>
      </w:tblPr>
      <w:tblGrid>
        <w:gridCol w:w="2660"/>
        <w:gridCol w:w="1559"/>
        <w:gridCol w:w="1276"/>
        <w:gridCol w:w="1559"/>
        <w:gridCol w:w="1276"/>
        <w:gridCol w:w="1134"/>
      </w:tblGrid>
      <w:tr w:rsidR="00006822" w:rsidRPr="00446C74" w:rsidTr="006920C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C0504D" w:themeColor="accent2"/>
              <w:right w:val="single" w:sz="4" w:space="0" w:color="C0504D" w:themeColor="accent2"/>
            </w:tcBorders>
            <w:noWrap/>
            <w:vAlign w:val="center"/>
            <w:hideMark/>
          </w:tcPr>
          <w:p w:rsidR="00006822" w:rsidRPr="00446C74" w:rsidRDefault="00006822"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Survival</w:t>
            </w:r>
          </w:p>
        </w:tc>
        <w:tc>
          <w:tcPr>
            <w:tcW w:w="1559" w:type="dxa"/>
            <w:tcBorders>
              <w:left w:val="single" w:sz="4" w:space="0" w:color="C0504D" w:themeColor="accent2"/>
            </w:tcBorders>
            <w:vAlign w:val="center"/>
            <w:hideMark/>
          </w:tcPr>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Odds Ratio</w:t>
            </w:r>
          </w:p>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(95% CI)</w:t>
            </w:r>
          </w:p>
        </w:tc>
        <w:tc>
          <w:tcPr>
            <w:tcW w:w="1276" w:type="dxa"/>
            <w:tcBorders>
              <w:right w:val="single" w:sz="4" w:space="0" w:color="C0504D" w:themeColor="accent2"/>
            </w:tcBorders>
            <w:vAlign w:val="center"/>
            <w:hideMark/>
          </w:tcPr>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w:t>
            </w:r>
            <w:r w:rsidR="00DB7EB1">
              <w:rPr>
                <w:rFonts w:ascii="Times New Roman" w:eastAsia="Times New Roman" w:hAnsi="Times New Roman" w:cs="Times New Roman"/>
                <w:color w:val="000000"/>
                <w:sz w:val="16"/>
                <w:szCs w:val="16"/>
                <w:vertAlign w:val="superscript"/>
                <w:lang w:eastAsia="en-GB"/>
              </w:rPr>
              <w:t>(1</w:t>
            </w:r>
            <w:r w:rsidRPr="00446C74">
              <w:rPr>
                <w:rFonts w:ascii="Times New Roman" w:eastAsia="Times New Roman" w:hAnsi="Times New Roman" w:cs="Times New Roman"/>
                <w:color w:val="000000"/>
                <w:sz w:val="16"/>
                <w:szCs w:val="16"/>
                <w:vertAlign w:val="superscript"/>
                <w:lang w:eastAsia="en-GB"/>
              </w:rPr>
              <w:t>)</w:t>
            </w:r>
          </w:p>
        </w:tc>
        <w:tc>
          <w:tcPr>
            <w:tcW w:w="1559" w:type="dxa"/>
            <w:tcBorders>
              <w:left w:val="single" w:sz="4" w:space="0" w:color="C0504D" w:themeColor="accent2"/>
              <w:right w:val="single" w:sz="4" w:space="0" w:color="C0504D" w:themeColor="accent2"/>
            </w:tcBorders>
            <w:vAlign w:val="center"/>
            <w:hideMark/>
          </w:tcPr>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Between group difference, p</w:t>
            </w:r>
            <w:r w:rsidRPr="00446C74">
              <w:rPr>
                <w:rFonts w:ascii="Times New Roman" w:eastAsia="Times New Roman" w:hAnsi="Times New Roman" w:cs="Times New Roman"/>
                <w:color w:val="000000"/>
                <w:sz w:val="16"/>
                <w:szCs w:val="16"/>
                <w:vertAlign w:val="superscript"/>
                <w:lang w:eastAsia="en-GB"/>
              </w:rPr>
              <w:t>(3)</w:t>
            </w:r>
          </w:p>
        </w:tc>
        <w:tc>
          <w:tcPr>
            <w:tcW w:w="1276" w:type="dxa"/>
            <w:tcBorders>
              <w:left w:val="single" w:sz="4" w:space="0" w:color="C0504D" w:themeColor="accent2"/>
              <w:right w:val="single" w:sz="4" w:space="0" w:color="C0504D" w:themeColor="accent2"/>
            </w:tcBorders>
            <w:noWrap/>
            <w:vAlign w:val="center"/>
            <w:hideMark/>
          </w:tcPr>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Potential confounder</w:t>
            </w:r>
          </w:p>
        </w:tc>
        <w:tc>
          <w:tcPr>
            <w:tcW w:w="1134" w:type="dxa"/>
            <w:tcBorders>
              <w:left w:val="single" w:sz="4" w:space="0" w:color="C0504D" w:themeColor="accent2"/>
            </w:tcBorders>
            <w:noWrap/>
            <w:vAlign w:val="center"/>
            <w:hideMark/>
          </w:tcPr>
          <w:p w:rsidR="00006822" w:rsidRPr="00446C74" w:rsidRDefault="00006822" w:rsidP="006920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Retained</w:t>
            </w: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Age, years</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(1</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0.003</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0.324</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Female, no.</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1.2 (0.5</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2.6)</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0.697</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0.003</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Months since onset of skin thickening</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(0.9</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ED7162">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0.288</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0.001</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Previous immunosuppressant use</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1.6 (0.5</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4.9)</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0.428</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0.007</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or previous steroid use</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1.3 (0.6</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2.7)</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0.441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0.001</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mRSS</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1.1 (1</w:t>
            </w:r>
            <w:r w:rsidR="005A76E0">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w:t>
            </w:r>
          </w:p>
        </w:tc>
        <w:tc>
          <w:tcPr>
            <w:tcW w:w="1276" w:type="dxa"/>
            <w:tcBorders>
              <w:right w:val="single" w:sz="4" w:space="0" w:color="C0504D" w:themeColor="accent2"/>
            </w:tcBorders>
            <w:noWrap/>
            <w:vAlign w:val="center"/>
            <w:hideMark/>
          </w:tcPr>
          <w:p w:rsidR="006920CD" w:rsidRPr="006920CD" w:rsidRDefault="00ED7162"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0.306</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Haemoglobin g/l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(0.9</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0.721</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6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White blood count (WBC)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(0.9</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0.882</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0.029</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Platelets x10</w:t>
            </w:r>
            <w:r w:rsidRPr="00446C74">
              <w:rPr>
                <w:rFonts w:ascii="Times New Roman" w:eastAsia="Times New Roman" w:hAnsi="Times New Roman" w:cs="Times New Roman"/>
                <w:color w:val="000000"/>
                <w:sz w:val="16"/>
                <w:szCs w:val="16"/>
                <w:vertAlign w:val="superscript"/>
                <w:lang w:eastAsia="en-GB"/>
              </w:rPr>
              <w:t>9</w:t>
            </w:r>
            <w:r w:rsidRPr="00446C74">
              <w:rPr>
                <w:rFonts w:ascii="Times New Roman" w:eastAsia="Times New Roman" w:hAnsi="Times New Roman" w:cs="Times New Roman"/>
                <w:color w:val="000000"/>
                <w:sz w:val="16"/>
                <w:szCs w:val="16"/>
                <w:lang w:eastAsia="en-GB"/>
              </w:rPr>
              <w:t>/l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0.055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0.459</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ESR mm/hr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0.012</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0.341</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CRP mg/l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0.002</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0.026</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Anti-topoisomerase (anti-Scl70)</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 (0.3</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1.3)</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0.207</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0.228</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Anti-RNA polymerase III</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1.2 (0.5</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3.3)</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0.662</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0.433</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Anticentromere</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1.4 (0.4</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4.9)</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0.621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0.147</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fibrosis</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2.7 (1.2</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6.2)</w:t>
            </w:r>
          </w:p>
        </w:tc>
        <w:tc>
          <w:tcPr>
            <w:tcW w:w="1276" w:type="dxa"/>
            <w:tcBorders>
              <w:bottom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0.015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0.036</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FVC (% predicted)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top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0.026</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DLCO (% predicted)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9F55D2"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&lt;0.0005</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Pulmonary hypertension</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4.5 (1.8</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11.3)</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0.488</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sPAP or RVSP mmHg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1.1)</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0.079</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0.472</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Cardiac involvement</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4.3 (1.9</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9.6)</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0.000</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0.009</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Renal involvement</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1.6 (0.6</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4.5)</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0.351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0.039</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B6AEA"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Y</w:t>
            </w: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eGFR ml/min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0.659</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0.339</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Renal crisis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1.2 (0.3</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5.5)</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0.815</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0.110</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 xml:space="preserve">Plasma creatinine </w:t>
            </w:r>
            <w:r w:rsidRPr="00446C74">
              <w:rPr>
                <w:rFonts w:ascii="Times New Roman" w:eastAsia="Times New Roman" w:hAnsi="Times New Roman" w:cs="Times New Roman"/>
                <w:color w:val="000000"/>
                <w:sz w:val="16"/>
                <w:szCs w:val="16"/>
                <w:lang w:eastAsia="en-GB"/>
              </w:rPr>
              <w:br/>
              <w:t>in μmol/l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0.441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0.422</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753C8C" w:rsidP="006920CD">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Any GI involvement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1.5 (0.7</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3</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top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0.283</w:t>
            </w:r>
          </w:p>
        </w:tc>
        <w:tc>
          <w:tcPr>
            <w:tcW w:w="1559" w:type="dxa"/>
            <w:tcBorders>
              <w:top w:val="single" w:sz="4" w:space="0" w:color="C0504D" w:themeColor="accent2"/>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0.078</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Muscle involvement</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1.3 (0.4</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3.8)</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0.683</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0.002</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Current digital ulcers *</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2.6 (1.2</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5.6)</w:t>
            </w:r>
          </w:p>
        </w:tc>
        <w:tc>
          <w:tcPr>
            <w:tcW w:w="1276" w:type="dxa"/>
            <w:tcBorders>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0.018</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0.705</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HAQ-DI Disability index (0-3)</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2.4 (1.6</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3.8)</w:t>
            </w:r>
          </w:p>
        </w:tc>
        <w:tc>
          <w:tcPr>
            <w:tcW w:w="1276" w:type="dxa"/>
            <w:tcBorders>
              <w:right w:val="single" w:sz="4" w:space="0" w:color="C0504D" w:themeColor="accent2"/>
            </w:tcBorders>
            <w:noWrap/>
            <w:vAlign w:val="center"/>
            <w:hideMark/>
          </w:tcPr>
          <w:p w:rsidR="006920CD" w:rsidRPr="006920CD" w:rsidRDefault="00ED7162"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0.400</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6920CD" w:rsidP="006920CD">
            <w:pPr>
              <w:jc w:val="center"/>
              <w:rPr>
                <w:rFonts w:ascii="Times New Roman" w:eastAsia="Times New Roman" w:hAnsi="Times New Roman" w:cs="Times New Roman"/>
                <w:color w:val="000000"/>
                <w:sz w:val="16"/>
                <w:szCs w:val="16"/>
                <w:lang w:eastAsia="en-GB"/>
              </w:rPr>
            </w:pPr>
            <w:r w:rsidRPr="00446C74">
              <w:rPr>
                <w:rFonts w:ascii="Times New Roman" w:eastAsia="Times New Roman" w:hAnsi="Times New Roman" w:cs="Times New Roman"/>
                <w:color w:val="000000"/>
                <w:sz w:val="16"/>
                <w:szCs w:val="16"/>
                <w:lang w:eastAsia="en-GB"/>
              </w:rPr>
              <w:t>FACIT fatigue score (0-52)</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0.9 (0.9</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right w:val="single" w:sz="4" w:space="0" w:color="C0504D" w:themeColor="accent2"/>
            </w:tcBorders>
            <w:noWrap/>
            <w:vAlign w:val="center"/>
            <w:hideMark/>
          </w:tcPr>
          <w:p w:rsidR="006920CD" w:rsidRPr="006920CD" w:rsidRDefault="00ED7162"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&lt;0.000</w:t>
            </w:r>
            <w:r w:rsidR="00D37A6E">
              <w:rPr>
                <w:rFonts w:ascii="Times New Roman" w:hAnsi="Times New Roman" w:cs="Times New Roman"/>
                <w:color w:val="000000"/>
                <w:sz w:val="16"/>
                <w:szCs w:val="16"/>
              </w:rPr>
              <w:t>1</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0.165</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r w:rsidR="006920CD" w:rsidRPr="00446C74" w:rsidTr="006920CD">
        <w:trPr>
          <w:trHeight w:val="30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C0504D" w:themeColor="accent2"/>
            </w:tcBorders>
            <w:noWrap/>
            <w:vAlign w:val="center"/>
            <w:hideMark/>
          </w:tcPr>
          <w:p w:rsidR="006920CD" w:rsidRPr="00446C74" w:rsidRDefault="000D5236" w:rsidP="006920CD">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Cochin Hand Function Score</w:t>
            </w:r>
            <w:r w:rsidR="006920CD" w:rsidRPr="00446C74">
              <w:rPr>
                <w:rFonts w:ascii="Times New Roman" w:eastAsia="Times New Roman" w:hAnsi="Times New Roman" w:cs="Times New Roman"/>
                <w:color w:val="000000"/>
                <w:sz w:val="16"/>
                <w:szCs w:val="16"/>
                <w:lang w:eastAsia="en-GB"/>
              </w:rPr>
              <w:t xml:space="preserve"> (0-90)</w:t>
            </w:r>
          </w:p>
        </w:tc>
        <w:tc>
          <w:tcPr>
            <w:tcW w:w="1559"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00131357">
              <w:rPr>
                <w:rFonts w:ascii="Times New Roman" w:hAnsi="Times New Roman" w:cs="Times New Roman"/>
                <w:color w:val="000000"/>
                <w:sz w:val="16"/>
                <w:szCs w:val="16"/>
              </w:rPr>
              <w:t xml:space="preserve"> to</w:t>
            </w:r>
            <w:r w:rsidRPr="006920CD">
              <w:rPr>
                <w:rFonts w:ascii="Times New Roman" w:hAnsi="Times New Roman" w:cs="Times New Roman"/>
                <w:color w:val="000000"/>
                <w:sz w:val="16"/>
                <w:szCs w:val="16"/>
              </w:rPr>
              <w:t xml:space="preserve"> 1</w:t>
            </w:r>
            <w:r w:rsidR="006312E9">
              <w:rPr>
                <w:rFonts w:ascii="Times New Roman" w:hAnsi="Times New Roman" w:cs="Times New Roman"/>
                <w:color w:val="000000"/>
                <w:sz w:val="16"/>
                <w:szCs w:val="16"/>
              </w:rPr>
              <w:t>.0</w:t>
            </w:r>
            <w:r w:rsidRPr="006920CD">
              <w:rPr>
                <w:rFonts w:ascii="Times New Roman" w:hAnsi="Times New Roman" w:cs="Times New Roman"/>
                <w:color w:val="000000"/>
                <w:sz w:val="16"/>
                <w:szCs w:val="16"/>
              </w:rPr>
              <w:t>)</w:t>
            </w:r>
          </w:p>
        </w:tc>
        <w:tc>
          <w:tcPr>
            <w:tcW w:w="1276" w:type="dxa"/>
            <w:tcBorders>
              <w:bottom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0.032</w:t>
            </w:r>
          </w:p>
        </w:tc>
        <w:tc>
          <w:tcPr>
            <w:tcW w:w="1559"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0.025</w:t>
            </w:r>
          </w:p>
        </w:tc>
        <w:tc>
          <w:tcPr>
            <w:tcW w:w="1276" w:type="dxa"/>
            <w:tcBorders>
              <w:left w:val="single" w:sz="4" w:space="0" w:color="C0504D" w:themeColor="accent2"/>
              <w:righ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c>
          <w:tcPr>
            <w:tcW w:w="1134" w:type="dxa"/>
            <w:tcBorders>
              <w:left w:val="single" w:sz="4" w:space="0" w:color="C0504D" w:themeColor="accent2"/>
            </w:tcBorders>
            <w:noWrap/>
            <w:vAlign w:val="center"/>
            <w:hideMark/>
          </w:tcPr>
          <w:p w:rsidR="006920CD" w:rsidRPr="006920CD" w:rsidRDefault="006920CD" w:rsidP="006920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20CD">
              <w:rPr>
                <w:rFonts w:ascii="Times New Roman" w:hAnsi="Times New Roman" w:cs="Times New Roman"/>
                <w:color w:val="000000"/>
                <w:sz w:val="16"/>
                <w:szCs w:val="16"/>
              </w:rPr>
              <w:t>Y</w:t>
            </w:r>
          </w:p>
        </w:tc>
      </w:tr>
    </w:tbl>
    <w:p w:rsidR="005F1E2A" w:rsidRPr="005F1E2A" w:rsidRDefault="005F1E2A" w:rsidP="005F1E2A">
      <w:pPr>
        <w:rPr>
          <w:rFonts w:ascii="Times New Roman" w:eastAsia="Times New Roman" w:hAnsi="Times New Roman" w:cs="Times New Roman"/>
          <w:sz w:val="16"/>
          <w:szCs w:val="16"/>
          <w:lang w:eastAsia="en-GB"/>
        </w:rPr>
      </w:pPr>
      <w:r>
        <w:rPr>
          <w:rFonts w:ascii="Times New Roman" w:eastAsia="Times New Roman" w:hAnsi="Times New Roman" w:cs="Times New Roman"/>
          <w:b/>
          <w:color w:val="000000"/>
          <w:sz w:val="20"/>
          <w:szCs w:val="20"/>
          <w:lang w:eastAsia="en-GB"/>
        </w:rPr>
        <w:br/>
      </w:r>
      <w:r w:rsidRPr="005F1E2A">
        <w:rPr>
          <w:rFonts w:ascii="Times New Roman" w:eastAsia="Times New Roman" w:hAnsi="Times New Roman" w:cs="Times New Roman"/>
          <w:sz w:val="16"/>
          <w:szCs w:val="16"/>
          <w:lang w:eastAsia="en-GB"/>
        </w:rPr>
        <w:t xml:space="preserve">* Variable not considered as confounder due to lack of clinical significance or concerns about data </w:t>
      </w:r>
      <w:r w:rsidR="00CE67A3">
        <w:rPr>
          <w:rFonts w:ascii="Times New Roman" w:eastAsia="Times New Roman" w:hAnsi="Times New Roman" w:cs="Times New Roman"/>
          <w:sz w:val="16"/>
          <w:szCs w:val="16"/>
          <w:lang w:eastAsia="en-GB"/>
        </w:rPr>
        <w:t>completeness</w:t>
      </w:r>
      <w:r w:rsidRPr="005F1E2A">
        <w:rPr>
          <w:rFonts w:ascii="Times New Roman" w:eastAsia="Times New Roman" w:hAnsi="Times New Roman" w:cs="Times New Roman"/>
          <w:sz w:val="16"/>
          <w:szCs w:val="16"/>
          <w:lang w:eastAsia="en-GB"/>
        </w:rPr>
        <w:t>.</w:t>
      </w:r>
      <w:r w:rsidRPr="005F1E2A">
        <w:rPr>
          <w:rFonts w:ascii="Times New Roman" w:eastAsia="Times New Roman" w:hAnsi="Times New Roman" w:cs="Times New Roman"/>
          <w:sz w:val="16"/>
          <w:szCs w:val="16"/>
          <w:lang w:eastAsia="en-GB"/>
        </w:rPr>
        <w:br/>
        <w:t xml:space="preserve">** Variable not considered as confounder </w:t>
      </w:r>
      <w:r w:rsidR="00C62637">
        <w:rPr>
          <w:rFonts w:ascii="Times New Roman" w:eastAsia="Times New Roman" w:hAnsi="Times New Roman" w:cs="Times New Roman"/>
          <w:sz w:val="16"/>
          <w:szCs w:val="16"/>
          <w:lang w:eastAsia="en-GB"/>
        </w:rPr>
        <w:t>because it was</w:t>
      </w:r>
      <w:r w:rsidRPr="005F1E2A">
        <w:rPr>
          <w:rFonts w:ascii="Times New Roman" w:eastAsia="Times New Roman" w:hAnsi="Times New Roman" w:cs="Times New Roman"/>
          <w:sz w:val="16"/>
          <w:szCs w:val="16"/>
          <w:lang w:eastAsia="en-GB"/>
        </w:rPr>
        <w:t xml:space="preserve"> already an input in another aggregate variable (e.g. FVC in pulmonary fibrosis)</w:t>
      </w:r>
    </w:p>
    <w:p w:rsidR="00852E27" w:rsidRPr="00DB7EB1" w:rsidRDefault="005F1E2A" w:rsidP="00B31245">
      <w:pPr>
        <w:rPr>
          <w:rFonts w:ascii="Times New Roman" w:eastAsia="Times New Roman" w:hAnsi="Times New Roman" w:cs="Times New Roman"/>
          <w:sz w:val="16"/>
          <w:szCs w:val="16"/>
          <w:lang w:eastAsia="en-GB"/>
        </w:rPr>
      </w:pPr>
      <w:r w:rsidRPr="005F1E2A">
        <w:rPr>
          <w:rFonts w:ascii="Times New Roman" w:eastAsia="Times New Roman" w:hAnsi="Times New Roman" w:cs="Times New Roman"/>
          <w:sz w:val="16"/>
          <w:szCs w:val="16"/>
          <w:lang w:eastAsia="en-GB"/>
        </w:rPr>
        <w:t>CRP: C-reactive protein</w:t>
      </w:r>
      <w:r w:rsidRPr="005F1E2A">
        <w:rPr>
          <w:rFonts w:ascii="Times New Roman" w:eastAsia="Times New Roman" w:hAnsi="Times New Roman" w:cs="Times New Roman"/>
          <w:sz w:val="16"/>
          <w:szCs w:val="16"/>
          <w:lang w:eastAsia="en-GB"/>
        </w:rPr>
        <w:br/>
        <w:t>DLCO: Carbon monoxide diffusing capacity</w:t>
      </w:r>
      <w:r w:rsidRPr="005F1E2A">
        <w:rPr>
          <w:rFonts w:ascii="Times New Roman" w:eastAsia="Times New Roman" w:hAnsi="Times New Roman" w:cs="Times New Roman"/>
          <w:sz w:val="16"/>
          <w:szCs w:val="16"/>
          <w:lang w:eastAsia="en-GB"/>
        </w:rPr>
        <w:br/>
        <w:t>ESR: Erythrocyte sedimentation rate</w:t>
      </w:r>
      <w:r w:rsidRPr="005F1E2A">
        <w:rPr>
          <w:rFonts w:ascii="Times New Roman" w:eastAsia="Times New Roman" w:hAnsi="Times New Roman" w:cs="Times New Roman"/>
          <w:sz w:val="16"/>
          <w:szCs w:val="16"/>
          <w:lang w:eastAsia="en-GB"/>
        </w:rPr>
        <w:br/>
        <w:t>FVC: Forced vital capacity</w:t>
      </w:r>
      <w:r w:rsidRPr="005F1E2A">
        <w:rPr>
          <w:rFonts w:ascii="Times New Roman" w:eastAsia="Times New Roman" w:hAnsi="Times New Roman" w:cs="Times New Roman"/>
          <w:sz w:val="16"/>
          <w:szCs w:val="16"/>
          <w:lang w:eastAsia="en-GB"/>
        </w:rPr>
        <w:br/>
        <w:t>GI: Gastrointestinal</w:t>
      </w:r>
      <w:r w:rsidRPr="005F1E2A">
        <w:rPr>
          <w:rFonts w:ascii="Times New Roman" w:eastAsia="Times New Roman" w:hAnsi="Times New Roman" w:cs="Times New Roman"/>
          <w:sz w:val="16"/>
          <w:szCs w:val="16"/>
          <w:lang w:eastAsia="en-GB"/>
        </w:rPr>
        <w:br/>
        <w:t>HAQ-DI: Health Assessment Questionnaire - Disability Index</w:t>
      </w:r>
      <w:r w:rsidRPr="005F1E2A">
        <w:rPr>
          <w:rFonts w:ascii="Times New Roman" w:eastAsia="Times New Roman" w:hAnsi="Times New Roman" w:cs="Times New Roman"/>
          <w:sz w:val="16"/>
          <w:szCs w:val="16"/>
          <w:lang w:eastAsia="en-GB"/>
        </w:rPr>
        <w:br/>
        <w:t>mRSS: modified Rodnan skin score (17 sites)</w:t>
      </w:r>
      <w:r w:rsidR="00DB7EB1">
        <w:rPr>
          <w:rFonts w:ascii="Times New Roman" w:eastAsia="Times New Roman" w:hAnsi="Times New Roman" w:cs="Times New Roman"/>
          <w:sz w:val="16"/>
          <w:szCs w:val="16"/>
          <w:lang w:eastAsia="en-GB"/>
        </w:rPr>
        <w:br/>
      </w:r>
      <w:r w:rsidRPr="005F1E2A">
        <w:rPr>
          <w:rFonts w:ascii="Times New Roman" w:eastAsia="Times New Roman" w:hAnsi="Times New Roman" w:cs="Times New Roman"/>
          <w:sz w:val="16"/>
          <w:szCs w:val="16"/>
          <w:lang w:eastAsia="en-GB"/>
        </w:rPr>
        <w:t>p</w:t>
      </w:r>
      <w:r w:rsidRPr="005F1E2A">
        <w:rPr>
          <w:rFonts w:ascii="Times New Roman" w:eastAsia="Times New Roman" w:hAnsi="Times New Roman" w:cs="Times New Roman"/>
          <w:sz w:val="16"/>
          <w:szCs w:val="16"/>
          <w:vertAlign w:val="superscript"/>
          <w:lang w:eastAsia="en-GB"/>
        </w:rPr>
        <w:t>(</w:t>
      </w:r>
      <w:r w:rsidR="00DB7EB1">
        <w:rPr>
          <w:rFonts w:ascii="Times New Roman" w:eastAsia="Times New Roman" w:hAnsi="Times New Roman" w:cs="Times New Roman"/>
          <w:sz w:val="16"/>
          <w:szCs w:val="16"/>
          <w:vertAlign w:val="superscript"/>
          <w:lang w:eastAsia="en-GB"/>
        </w:rPr>
        <w:t>1</w:t>
      </w:r>
      <w:r w:rsidRPr="005F1E2A">
        <w:rPr>
          <w:rFonts w:ascii="Times New Roman" w:eastAsia="Times New Roman" w:hAnsi="Times New Roman" w:cs="Times New Roman"/>
          <w:sz w:val="16"/>
          <w:szCs w:val="16"/>
          <w:vertAlign w:val="superscript"/>
          <w:lang w:eastAsia="en-GB"/>
        </w:rPr>
        <w:t>)</w:t>
      </w:r>
      <w:r w:rsidRPr="005F1E2A">
        <w:rPr>
          <w:rFonts w:ascii="Times New Roman" w:eastAsia="Times New Roman" w:hAnsi="Times New Roman" w:cs="Times New Roman"/>
          <w:sz w:val="16"/>
          <w:szCs w:val="16"/>
          <w:lang w:eastAsia="en-GB"/>
        </w:rPr>
        <w:t>: significance p-value for odds ratio</w:t>
      </w:r>
    </w:p>
    <w:sectPr w:rsidR="00852E27" w:rsidRPr="00DB7EB1" w:rsidSect="003E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5B"/>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A1FCC"/>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029E2"/>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E3169"/>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C5DD6"/>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F420C"/>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E06B1"/>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5E1F0B"/>
    <w:multiLevelType w:val="hybridMultilevel"/>
    <w:tmpl w:val="91F6F95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907CE9"/>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E65DF4"/>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5C24E7"/>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650B92"/>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4B3AE8"/>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EB75D3"/>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E84C30"/>
    <w:multiLevelType w:val="hybridMultilevel"/>
    <w:tmpl w:val="BA083B92"/>
    <w:lvl w:ilvl="0" w:tplc="8A0C57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3"/>
  </w:num>
  <w:num w:numId="5">
    <w:abstractNumId w:val="6"/>
  </w:num>
  <w:num w:numId="6">
    <w:abstractNumId w:val="4"/>
  </w:num>
  <w:num w:numId="7">
    <w:abstractNumId w:val="2"/>
  </w:num>
  <w:num w:numId="8">
    <w:abstractNumId w:val="10"/>
  </w:num>
  <w:num w:numId="9">
    <w:abstractNumId w:val="7"/>
  </w:num>
  <w:num w:numId="10">
    <w:abstractNumId w:val="13"/>
  </w:num>
  <w:num w:numId="11">
    <w:abstractNumId w:val="12"/>
  </w:num>
  <w:num w:numId="12">
    <w:abstractNumId w:val="8"/>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18"/>
    <w:rsid w:val="000002ED"/>
    <w:rsid w:val="00006822"/>
    <w:rsid w:val="0001233A"/>
    <w:rsid w:val="00020F21"/>
    <w:rsid w:val="00023E2A"/>
    <w:rsid w:val="000319B7"/>
    <w:rsid w:val="00033261"/>
    <w:rsid w:val="0003372C"/>
    <w:rsid w:val="00063D0F"/>
    <w:rsid w:val="00070CAB"/>
    <w:rsid w:val="00090F19"/>
    <w:rsid w:val="000A3BC2"/>
    <w:rsid w:val="000A6449"/>
    <w:rsid w:val="000C5578"/>
    <w:rsid w:val="000D2DFE"/>
    <w:rsid w:val="000D4199"/>
    <w:rsid w:val="000D5236"/>
    <w:rsid w:val="000D5F82"/>
    <w:rsid w:val="000D6E1D"/>
    <w:rsid w:val="000F184B"/>
    <w:rsid w:val="0010069A"/>
    <w:rsid w:val="00100D3A"/>
    <w:rsid w:val="00124C14"/>
    <w:rsid w:val="00125FFF"/>
    <w:rsid w:val="00131357"/>
    <w:rsid w:val="00137D44"/>
    <w:rsid w:val="00142322"/>
    <w:rsid w:val="001454D0"/>
    <w:rsid w:val="001641FA"/>
    <w:rsid w:val="00182F85"/>
    <w:rsid w:val="0018756F"/>
    <w:rsid w:val="001A0649"/>
    <w:rsid w:val="001A76A4"/>
    <w:rsid w:val="001A7FF2"/>
    <w:rsid w:val="001B5E4C"/>
    <w:rsid w:val="001C1E40"/>
    <w:rsid w:val="001C3AB6"/>
    <w:rsid w:val="001C49CC"/>
    <w:rsid w:val="001C5FEC"/>
    <w:rsid w:val="001E095A"/>
    <w:rsid w:val="001E1C94"/>
    <w:rsid w:val="001F5259"/>
    <w:rsid w:val="00202EA4"/>
    <w:rsid w:val="00265E19"/>
    <w:rsid w:val="00270D86"/>
    <w:rsid w:val="002766E0"/>
    <w:rsid w:val="002A4903"/>
    <w:rsid w:val="002A7FE9"/>
    <w:rsid w:val="002B7D8D"/>
    <w:rsid w:val="002E6D2A"/>
    <w:rsid w:val="002E7B06"/>
    <w:rsid w:val="003045C2"/>
    <w:rsid w:val="003329FF"/>
    <w:rsid w:val="0035071C"/>
    <w:rsid w:val="003532FE"/>
    <w:rsid w:val="00361CE3"/>
    <w:rsid w:val="003628C2"/>
    <w:rsid w:val="00363ED8"/>
    <w:rsid w:val="003647EF"/>
    <w:rsid w:val="00366B0E"/>
    <w:rsid w:val="00376DD0"/>
    <w:rsid w:val="00381E9A"/>
    <w:rsid w:val="00386E61"/>
    <w:rsid w:val="003870E8"/>
    <w:rsid w:val="0039167A"/>
    <w:rsid w:val="00395064"/>
    <w:rsid w:val="003A777D"/>
    <w:rsid w:val="003C256F"/>
    <w:rsid w:val="003E2D86"/>
    <w:rsid w:val="003E6311"/>
    <w:rsid w:val="003F2D63"/>
    <w:rsid w:val="0040359A"/>
    <w:rsid w:val="00420247"/>
    <w:rsid w:val="00423B7A"/>
    <w:rsid w:val="00442643"/>
    <w:rsid w:val="00445208"/>
    <w:rsid w:val="00446C74"/>
    <w:rsid w:val="00450CD5"/>
    <w:rsid w:val="00451092"/>
    <w:rsid w:val="0045699F"/>
    <w:rsid w:val="00463AEA"/>
    <w:rsid w:val="00470034"/>
    <w:rsid w:val="00470DF2"/>
    <w:rsid w:val="00474098"/>
    <w:rsid w:val="004815D2"/>
    <w:rsid w:val="00485BE8"/>
    <w:rsid w:val="00486680"/>
    <w:rsid w:val="004871AE"/>
    <w:rsid w:val="004907C5"/>
    <w:rsid w:val="00493AF4"/>
    <w:rsid w:val="004B1679"/>
    <w:rsid w:val="004D3A74"/>
    <w:rsid w:val="005103E3"/>
    <w:rsid w:val="00516F15"/>
    <w:rsid w:val="0054389A"/>
    <w:rsid w:val="00543C6A"/>
    <w:rsid w:val="00554D21"/>
    <w:rsid w:val="00566280"/>
    <w:rsid w:val="005777FE"/>
    <w:rsid w:val="00585C84"/>
    <w:rsid w:val="00591563"/>
    <w:rsid w:val="00597EAE"/>
    <w:rsid w:val="005A76E0"/>
    <w:rsid w:val="005B4581"/>
    <w:rsid w:val="005C6925"/>
    <w:rsid w:val="005E1DBF"/>
    <w:rsid w:val="005E453D"/>
    <w:rsid w:val="005F013A"/>
    <w:rsid w:val="005F1E2A"/>
    <w:rsid w:val="005F7DDF"/>
    <w:rsid w:val="00605D9F"/>
    <w:rsid w:val="00607873"/>
    <w:rsid w:val="00611EB1"/>
    <w:rsid w:val="006202DF"/>
    <w:rsid w:val="00627DBD"/>
    <w:rsid w:val="006312E9"/>
    <w:rsid w:val="00640121"/>
    <w:rsid w:val="00641ED2"/>
    <w:rsid w:val="00646ABA"/>
    <w:rsid w:val="006811F3"/>
    <w:rsid w:val="00683BEB"/>
    <w:rsid w:val="006920CD"/>
    <w:rsid w:val="00692642"/>
    <w:rsid w:val="006B11D0"/>
    <w:rsid w:val="006B6AEA"/>
    <w:rsid w:val="006E1171"/>
    <w:rsid w:val="006E1261"/>
    <w:rsid w:val="006E26D6"/>
    <w:rsid w:val="006E6372"/>
    <w:rsid w:val="0072521B"/>
    <w:rsid w:val="007377E2"/>
    <w:rsid w:val="007436D7"/>
    <w:rsid w:val="007473B9"/>
    <w:rsid w:val="007476D9"/>
    <w:rsid w:val="00753C8C"/>
    <w:rsid w:val="0075441B"/>
    <w:rsid w:val="00754EFA"/>
    <w:rsid w:val="00773F97"/>
    <w:rsid w:val="00776348"/>
    <w:rsid w:val="00787887"/>
    <w:rsid w:val="007A019D"/>
    <w:rsid w:val="007A51A2"/>
    <w:rsid w:val="007C6AA6"/>
    <w:rsid w:val="007D1F9B"/>
    <w:rsid w:val="007D7D7C"/>
    <w:rsid w:val="007F448F"/>
    <w:rsid w:val="007F561C"/>
    <w:rsid w:val="008017C1"/>
    <w:rsid w:val="008204A1"/>
    <w:rsid w:val="00830073"/>
    <w:rsid w:val="008516C5"/>
    <w:rsid w:val="00852341"/>
    <w:rsid w:val="00852E27"/>
    <w:rsid w:val="008610F7"/>
    <w:rsid w:val="00863311"/>
    <w:rsid w:val="00886C67"/>
    <w:rsid w:val="00896EFD"/>
    <w:rsid w:val="008B46C7"/>
    <w:rsid w:val="008B78EF"/>
    <w:rsid w:val="008E2923"/>
    <w:rsid w:val="008E7058"/>
    <w:rsid w:val="008F6B6A"/>
    <w:rsid w:val="009044BC"/>
    <w:rsid w:val="0091786B"/>
    <w:rsid w:val="00960843"/>
    <w:rsid w:val="00973F13"/>
    <w:rsid w:val="00977047"/>
    <w:rsid w:val="00980F24"/>
    <w:rsid w:val="00987D10"/>
    <w:rsid w:val="0099079C"/>
    <w:rsid w:val="00995679"/>
    <w:rsid w:val="009A529E"/>
    <w:rsid w:val="009A7393"/>
    <w:rsid w:val="009C4C21"/>
    <w:rsid w:val="009D34C1"/>
    <w:rsid w:val="009E1569"/>
    <w:rsid w:val="009E4C61"/>
    <w:rsid w:val="009E5A79"/>
    <w:rsid w:val="009E7278"/>
    <w:rsid w:val="009F55D2"/>
    <w:rsid w:val="00A12440"/>
    <w:rsid w:val="00A1374B"/>
    <w:rsid w:val="00A253DE"/>
    <w:rsid w:val="00A302E9"/>
    <w:rsid w:val="00A315E2"/>
    <w:rsid w:val="00A34A08"/>
    <w:rsid w:val="00A42FB2"/>
    <w:rsid w:val="00A45CAC"/>
    <w:rsid w:val="00A535B2"/>
    <w:rsid w:val="00A705C0"/>
    <w:rsid w:val="00A75B53"/>
    <w:rsid w:val="00A77CC5"/>
    <w:rsid w:val="00A858D4"/>
    <w:rsid w:val="00A93DAA"/>
    <w:rsid w:val="00A97091"/>
    <w:rsid w:val="00AB1B24"/>
    <w:rsid w:val="00AB4368"/>
    <w:rsid w:val="00AC5EB2"/>
    <w:rsid w:val="00AD09EE"/>
    <w:rsid w:val="00AD6197"/>
    <w:rsid w:val="00AE6159"/>
    <w:rsid w:val="00AE65C4"/>
    <w:rsid w:val="00AF279A"/>
    <w:rsid w:val="00B03CF1"/>
    <w:rsid w:val="00B15F0F"/>
    <w:rsid w:val="00B17994"/>
    <w:rsid w:val="00B23DE4"/>
    <w:rsid w:val="00B31245"/>
    <w:rsid w:val="00B31335"/>
    <w:rsid w:val="00B439A7"/>
    <w:rsid w:val="00B44AD0"/>
    <w:rsid w:val="00B5340C"/>
    <w:rsid w:val="00B5613B"/>
    <w:rsid w:val="00B64CCF"/>
    <w:rsid w:val="00B71C20"/>
    <w:rsid w:val="00B7436A"/>
    <w:rsid w:val="00B77410"/>
    <w:rsid w:val="00B90D93"/>
    <w:rsid w:val="00B94A50"/>
    <w:rsid w:val="00BA4F68"/>
    <w:rsid w:val="00BB32D5"/>
    <w:rsid w:val="00BB3B18"/>
    <w:rsid w:val="00BD1204"/>
    <w:rsid w:val="00BD33A3"/>
    <w:rsid w:val="00BE14EB"/>
    <w:rsid w:val="00BE663C"/>
    <w:rsid w:val="00BF038E"/>
    <w:rsid w:val="00BF6DE9"/>
    <w:rsid w:val="00C01755"/>
    <w:rsid w:val="00C13CCC"/>
    <w:rsid w:val="00C3652C"/>
    <w:rsid w:val="00C37CB2"/>
    <w:rsid w:val="00C40197"/>
    <w:rsid w:val="00C435B8"/>
    <w:rsid w:val="00C5071A"/>
    <w:rsid w:val="00C62637"/>
    <w:rsid w:val="00C66C31"/>
    <w:rsid w:val="00C67B38"/>
    <w:rsid w:val="00C67C90"/>
    <w:rsid w:val="00C76185"/>
    <w:rsid w:val="00C813BB"/>
    <w:rsid w:val="00C83F57"/>
    <w:rsid w:val="00CA505D"/>
    <w:rsid w:val="00CB580C"/>
    <w:rsid w:val="00CB5BB3"/>
    <w:rsid w:val="00CB6644"/>
    <w:rsid w:val="00CB6999"/>
    <w:rsid w:val="00CC24FD"/>
    <w:rsid w:val="00CE22AC"/>
    <w:rsid w:val="00CE67A3"/>
    <w:rsid w:val="00D02A95"/>
    <w:rsid w:val="00D115A9"/>
    <w:rsid w:val="00D17DFE"/>
    <w:rsid w:val="00D23C61"/>
    <w:rsid w:val="00D23E09"/>
    <w:rsid w:val="00D37A6E"/>
    <w:rsid w:val="00D40141"/>
    <w:rsid w:val="00D51334"/>
    <w:rsid w:val="00D51508"/>
    <w:rsid w:val="00D54263"/>
    <w:rsid w:val="00D643BA"/>
    <w:rsid w:val="00D72AE0"/>
    <w:rsid w:val="00DA0702"/>
    <w:rsid w:val="00DB2F8C"/>
    <w:rsid w:val="00DB7EB1"/>
    <w:rsid w:val="00DC122A"/>
    <w:rsid w:val="00DD5BBF"/>
    <w:rsid w:val="00E11019"/>
    <w:rsid w:val="00E128E8"/>
    <w:rsid w:val="00E14963"/>
    <w:rsid w:val="00E44511"/>
    <w:rsid w:val="00E47727"/>
    <w:rsid w:val="00E52042"/>
    <w:rsid w:val="00E60377"/>
    <w:rsid w:val="00E63BAB"/>
    <w:rsid w:val="00EB007C"/>
    <w:rsid w:val="00EB1B24"/>
    <w:rsid w:val="00ED7162"/>
    <w:rsid w:val="00EF061D"/>
    <w:rsid w:val="00F1250A"/>
    <w:rsid w:val="00F17FF5"/>
    <w:rsid w:val="00F250F4"/>
    <w:rsid w:val="00F33B54"/>
    <w:rsid w:val="00F40353"/>
    <w:rsid w:val="00F54F02"/>
    <w:rsid w:val="00F61869"/>
    <w:rsid w:val="00F72E32"/>
    <w:rsid w:val="00F82395"/>
    <w:rsid w:val="00F83A7C"/>
    <w:rsid w:val="00F86CEE"/>
    <w:rsid w:val="00FC21AB"/>
    <w:rsid w:val="00FD3CF4"/>
    <w:rsid w:val="00FD5E85"/>
    <w:rsid w:val="00FD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3B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BB3B1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B3B1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1B5E4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A77C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2">
    <w:name w:val="Medium Shading 1 Accent 2"/>
    <w:basedOn w:val="TableNormal"/>
    <w:uiPriority w:val="63"/>
    <w:rsid w:val="00070CA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70CAB"/>
    <w:pPr>
      <w:ind w:left="720"/>
      <w:contextualSpacing/>
    </w:pPr>
  </w:style>
  <w:style w:type="paragraph" w:styleId="BalloonText">
    <w:name w:val="Balloon Text"/>
    <w:basedOn w:val="Normal"/>
    <w:link w:val="BalloonTextChar"/>
    <w:uiPriority w:val="99"/>
    <w:semiHidden/>
    <w:unhideWhenUsed/>
    <w:rsid w:val="0091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6B"/>
    <w:rPr>
      <w:rFonts w:ascii="Tahoma" w:hAnsi="Tahoma" w:cs="Tahoma"/>
      <w:sz w:val="16"/>
      <w:szCs w:val="16"/>
    </w:rPr>
  </w:style>
  <w:style w:type="character" w:styleId="CommentReference">
    <w:name w:val="annotation reference"/>
    <w:basedOn w:val="DefaultParagraphFont"/>
    <w:uiPriority w:val="99"/>
    <w:semiHidden/>
    <w:unhideWhenUsed/>
    <w:rsid w:val="0091786B"/>
    <w:rPr>
      <w:sz w:val="16"/>
      <w:szCs w:val="16"/>
    </w:rPr>
  </w:style>
  <w:style w:type="paragraph" w:styleId="CommentText">
    <w:name w:val="annotation text"/>
    <w:basedOn w:val="Normal"/>
    <w:link w:val="CommentTextChar"/>
    <w:uiPriority w:val="99"/>
    <w:semiHidden/>
    <w:unhideWhenUsed/>
    <w:rsid w:val="0091786B"/>
    <w:pPr>
      <w:spacing w:line="240" w:lineRule="auto"/>
    </w:pPr>
    <w:rPr>
      <w:sz w:val="20"/>
      <w:szCs w:val="20"/>
    </w:rPr>
  </w:style>
  <w:style w:type="character" w:customStyle="1" w:styleId="CommentTextChar">
    <w:name w:val="Comment Text Char"/>
    <w:basedOn w:val="DefaultParagraphFont"/>
    <w:link w:val="CommentText"/>
    <w:uiPriority w:val="99"/>
    <w:semiHidden/>
    <w:rsid w:val="0091786B"/>
    <w:rPr>
      <w:sz w:val="20"/>
      <w:szCs w:val="20"/>
    </w:rPr>
  </w:style>
  <w:style w:type="paragraph" w:styleId="CommentSubject">
    <w:name w:val="annotation subject"/>
    <w:basedOn w:val="CommentText"/>
    <w:next w:val="CommentText"/>
    <w:link w:val="CommentSubjectChar"/>
    <w:uiPriority w:val="99"/>
    <w:semiHidden/>
    <w:unhideWhenUsed/>
    <w:rsid w:val="0091786B"/>
    <w:rPr>
      <w:b/>
      <w:bCs/>
    </w:rPr>
  </w:style>
  <w:style w:type="character" w:customStyle="1" w:styleId="CommentSubjectChar">
    <w:name w:val="Comment Subject Char"/>
    <w:basedOn w:val="CommentTextChar"/>
    <w:link w:val="CommentSubject"/>
    <w:uiPriority w:val="99"/>
    <w:semiHidden/>
    <w:rsid w:val="0091786B"/>
    <w:rPr>
      <w:b/>
      <w:bCs/>
      <w:sz w:val="20"/>
      <w:szCs w:val="20"/>
    </w:rPr>
  </w:style>
  <w:style w:type="table" w:styleId="LightList-Accent1">
    <w:name w:val="Light List Accent 1"/>
    <w:basedOn w:val="TableNormal"/>
    <w:uiPriority w:val="61"/>
    <w:rsid w:val="00605D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10069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21">
    <w:name w:val="Light List - Accent 21"/>
    <w:basedOn w:val="TableNormal"/>
    <w:next w:val="LightList-Accent2"/>
    <w:uiPriority w:val="61"/>
    <w:rsid w:val="00BA4F6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3B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BB3B1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B3B1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1B5E4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A77C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2">
    <w:name w:val="Medium Shading 1 Accent 2"/>
    <w:basedOn w:val="TableNormal"/>
    <w:uiPriority w:val="63"/>
    <w:rsid w:val="00070CA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70CAB"/>
    <w:pPr>
      <w:ind w:left="720"/>
      <w:contextualSpacing/>
    </w:pPr>
  </w:style>
  <w:style w:type="paragraph" w:styleId="BalloonText">
    <w:name w:val="Balloon Text"/>
    <w:basedOn w:val="Normal"/>
    <w:link w:val="BalloonTextChar"/>
    <w:uiPriority w:val="99"/>
    <w:semiHidden/>
    <w:unhideWhenUsed/>
    <w:rsid w:val="0091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6B"/>
    <w:rPr>
      <w:rFonts w:ascii="Tahoma" w:hAnsi="Tahoma" w:cs="Tahoma"/>
      <w:sz w:val="16"/>
      <w:szCs w:val="16"/>
    </w:rPr>
  </w:style>
  <w:style w:type="character" w:styleId="CommentReference">
    <w:name w:val="annotation reference"/>
    <w:basedOn w:val="DefaultParagraphFont"/>
    <w:uiPriority w:val="99"/>
    <w:semiHidden/>
    <w:unhideWhenUsed/>
    <w:rsid w:val="0091786B"/>
    <w:rPr>
      <w:sz w:val="16"/>
      <w:szCs w:val="16"/>
    </w:rPr>
  </w:style>
  <w:style w:type="paragraph" w:styleId="CommentText">
    <w:name w:val="annotation text"/>
    <w:basedOn w:val="Normal"/>
    <w:link w:val="CommentTextChar"/>
    <w:uiPriority w:val="99"/>
    <w:semiHidden/>
    <w:unhideWhenUsed/>
    <w:rsid w:val="0091786B"/>
    <w:pPr>
      <w:spacing w:line="240" w:lineRule="auto"/>
    </w:pPr>
    <w:rPr>
      <w:sz w:val="20"/>
      <w:szCs w:val="20"/>
    </w:rPr>
  </w:style>
  <w:style w:type="character" w:customStyle="1" w:styleId="CommentTextChar">
    <w:name w:val="Comment Text Char"/>
    <w:basedOn w:val="DefaultParagraphFont"/>
    <w:link w:val="CommentText"/>
    <w:uiPriority w:val="99"/>
    <w:semiHidden/>
    <w:rsid w:val="0091786B"/>
    <w:rPr>
      <w:sz w:val="20"/>
      <w:szCs w:val="20"/>
    </w:rPr>
  </w:style>
  <w:style w:type="paragraph" w:styleId="CommentSubject">
    <w:name w:val="annotation subject"/>
    <w:basedOn w:val="CommentText"/>
    <w:next w:val="CommentText"/>
    <w:link w:val="CommentSubjectChar"/>
    <w:uiPriority w:val="99"/>
    <w:semiHidden/>
    <w:unhideWhenUsed/>
    <w:rsid w:val="0091786B"/>
    <w:rPr>
      <w:b/>
      <w:bCs/>
    </w:rPr>
  </w:style>
  <w:style w:type="character" w:customStyle="1" w:styleId="CommentSubjectChar">
    <w:name w:val="Comment Subject Char"/>
    <w:basedOn w:val="CommentTextChar"/>
    <w:link w:val="CommentSubject"/>
    <w:uiPriority w:val="99"/>
    <w:semiHidden/>
    <w:rsid w:val="0091786B"/>
    <w:rPr>
      <w:b/>
      <w:bCs/>
      <w:sz w:val="20"/>
      <w:szCs w:val="20"/>
    </w:rPr>
  </w:style>
  <w:style w:type="table" w:styleId="LightList-Accent1">
    <w:name w:val="Light List Accent 1"/>
    <w:basedOn w:val="TableNormal"/>
    <w:uiPriority w:val="61"/>
    <w:rsid w:val="00605D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10069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21">
    <w:name w:val="Light List - Accent 21"/>
    <w:basedOn w:val="TableNormal"/>
    <w:next w:val="LightList-Accent2"/>
    <w:uiPriority w:val="61"/>
    <w:rsid w:val="00BA4F6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91">
      <w:bodyDiv w:val="1"/>
      <w:marLeft w:val="0"/>
      <w:marRight w:val="0"/>
      <w:marTop w:val="0"/>
      <w:marBottom w:val="0"/>
      <w:divBdr>
        <w:top w:val="none" w:sz="0" w:space="0" w:color="auto"/>
        <w:left w:val="none" w:sz="0" w:space="0" w:color="auto"/>
        <w:bottom w:val="none" w:sz="0" w:space="0" w:color="auto"/>
        <w:right w:val="none" w:sz="0" w:space="0" w:color="auto"/>
      </w:divBdr>
    </w:div>
    <w:div w:id="55007252">
      <w:bodyDiv w:val="1"/>
      <w:marLeft w:val="0"/>
      <w:marRight w:val="0"/>
      <w:marTop w:val="0"/>
      <w:marBottom w:val="0"/>
      <w:divBdr>
        <w:top w:val="none" w:sz="0" w:space="0" w:color="auto"/>
        <w:left w:val="none" w:sz="0" w:space="0" w:color="auto"/>
        <w:bottom w:val="none" w:sz="0" w:space="0" w:color="auto"/>
        <w:right w:val="none" w:sz="0" w:space="0" w:color="auto"/>
      </w:divBdr>
    </w:div>
    <w:div w:id="131677692">
      <w:bodyDiv w:val="1"/>
      <w:marLeft w:val="0"/>
      <w:marRight w:val="0"/>
      <w:marTop w:val="0"/>
      <w:marBottom w:val="0"/>
      <w:divBdr>
        <w:top w:val="none" w:sz="0" w:space="0" w:color="auto"/>
        <w:left w:val="none" w:sz="0" w:space="0" w:color="auto"/>
        <w:bottom w:val="none" w:sz="0" w:space="0" w:color="auto"/>
        <w:right w:val="none" w:sz="0" w:space="0" w:color="auto"/>
      </w:divBdr>
    </w:div>
    <w:div w:id="147135027">
      <w:bodyDiv w:val="1"/>
      <w:marLeft w:val="0"/>
      <w:marRight w:val="0"/>
      <w:marTop w:val="0"/>
      <w:marBottom w:val="0"/>
      <w:divBdr>
        <w:top w:val="none" w:sz="0" w:space="0" w:color="auto"/>
        <w:left w:val="none" w:sz="0" w:space="0" w:color="auto"/>
        <w:bottom w:val="none" w:sz="0" w:space="0" w:color="auto"/>
        <w:right w:val="none" w:sz="0" w:space="0" w:color="auto"/>
      </w:divBdr>
    </w:div>
    <w:div w:id="242564679">
      <w:bodyDiv w:val="1"/>
      <w:marLeft w:val="0"/>
      <w:marRight w:val="0"/>
      <w:marTop w:val="0"/>
      <w:marBottom w:val="0"/>
      <w:divBdr>
        <w:top w:val="none" w:sz="0" w:space="0" w:color="auto"/>
        <w:left w:val="none" w:sz="0" w:space="0" w:color="auto"/>
        <w:bottom w:val="none" w:sz="0" w:space="0" w:color="auto"/>
        <w:right w:val="none" w:sz="0" w:space="0" w:color="auto"/>
      </w:divBdr>
    </w:div>
    <w:div w:id="244070294">
      <w:bodyDiv w:val="1"/>
      <w:marLeft w:val="0"/>
      <w:marRight w:val="0"/>
      <w:marTop w:val="0"/>
      <w:marBottom w:val="0"/>
      <w:divBdr>
        <w:top w:val="none" w:sz="0" w:space="0" w:color="auto"/>
        <w:left w:val="none" w:sz="0" w:space="0" w:color="auto"/>
        <w:bottom w:val="none" w:sz="0" w:space="0" w:color="auto"/>
        <w:right w:val="none" w:sz="0" w:space="0" w:color="auto"/>
      </w:divBdr>
    </w:div>
    <w:div w:id="286742013">
      <w:bodyDiv w:val="1"/>
      <w:marLeft w:val="0"/>
      <w:marRight w:val="0"/>
      <w:marTop w:val="0"/>
      <w:marBottom w:val="0"/>
      <w:divBdr>
        <w:top w:val="none" w:sz="0" w:space="0" w:color="auto"/>
        <w:left w:val="none" w:sz="0" w:space="0" w:color="auto"/>
        <w:bottom w:val="none" w:sz="0" w:space="0" w:color="auto"/>
        <w:right w:val="none" w:sz="0" w:space="0" w:color="auto"/>
      </w:divBdr>
    </w:div>
    <w:div w:id="289555608">
      <w:bodyDiv w:val="1"/>
      <w:marLeft w:val="0"/>
      <w:marRight w:val="0"/>
      <w:marTop w:val="0"/>
      <w:marBottom w:val="0"/>
      <w:divBdr>
        <w:top w:val="none" w:sz="0" w:space="0" w:color="auto"/>
        <w:left w:val="none" w:sz="0" w:space="0" w:color="auto"/>
        <w:bottom w:val="none" w:sz="0" w:space="0" w:color="auto"/>
        <w:right w:val="none" w:sz="0" w:space="0" w:color="auto"/>
      </w:divBdr>
    </w:div>
    <w:div w:id="313801804">
      <w:bodyDiv w:val="1"/>
      <w:marLeft w:val="0"/>
      <w:marRight w:val="0"/>
      <w:marTop w:val="0"/>
      <w:marBottom w:val="0"/>
      <w:divBdr>
        <w:top w:val="none" w:sz="0" w:space="0" w:color="auto"/>
        <w:left w:val="none" w:sz="0" w:space="0" w:color="auto"/>
        <w:bottom w:val="none" w:sz="0" w:space="0" w:color="auto"/>
        <w:right w:val="none" w:sz="0" w:space="0" w:color="auto"/>
      </w:divBdr>
    </w:div>
    <w:div w:id="345517833">
      <w:bodyDiv w:val="1"/>
      <w:marLeft w:val="0"/>
      <w:marRight w:val="0"/>
      <w:marTop w:val="0"/>
      <w:marBottom w:val="0"/>
      <w:divBdr>
        <w:top w:val="none" w:sz="0" w:space="0" w:color="auto"/>
        <w:left w:val="none" w:sz="0" w:space="0" w:color="auto"/>
        <w:bottom w:val="none" w:sz="0" w:space="0" w:color="auto"/>
        <w:right w:val="none" w:sz="0" w:space="0" w:color="auto"/>
      </w:divBdr>
    </w:div>
    <w:div w:id="348071763">
      <w:bodyDiv w:val="1"/>
      <w:marLeft w:val="0"/>
      <w:marRight w:val="0"/>
      <w:marTop w:val="0"/>
      <w:marBottom w:val="0"/>
      <w:divBdr>
        <w:top w:val="none" w:sz="0" w:space="0" w:color="auto"/>
        <w:left w:val="none" w:sz="0" w:space="0" w:color="auto"/>
        <w:bottom w:val="none" w:sz="0" w:space="0" w:color="auto"/>
        <w:right w:val="none" w:sz="0" w:space="0" w:color="auto"/>
      </w:divBdr>
    </w:div>
    <w:div w:id="371001437">
      <w:bodyDiv w:val="1"/>
      <w:marLeft w:val="0"/>
      <w:marRight w:val="0"/>
      <w:marTop w:val="0"/>
      <w:marBottom w:val="0"/>
      <w:divBdr>
        <w:top w:val="none" w:sz="0" w:space="0" w:color="auto"/>
        <w:left w:val="none" w:sz="0" w:space="0" w:color="auto"/>
        <w:bottom w:val="none" w:sz="0" w:space="0" w:color="auto"/>
        <w:right w:val="none" w:sz="0" w:space="0" w:color="auto"/>
      </w:divBdr>
    </w:div>
    <w:div w:id="391124421">
      <w:bodyDiv w:val="1"/>
      <w:marLeft w:val="0"/>
      <w:marRight w:val="0"/>
      <w:marTop w:val="0"/>
      <w:marBottom w:val="0"/>
      <w:divBdr>
        <w:top w:val="none" w:sz="0" w:space="0" w:color="auto"/>
        <w:left w:val="none" w:sz="0" w:space="0" w:color="auto"/>
        <w:bottom w:val="none" w:sz="0" w:space="0" w:color="auto"/>
        <w:right w:val="none" w:sz="0" w:space="0" w:color="auto"/>
      </w:divBdr>
    </w:div>
    <w:div w:id="406458377">
      <w:bodyDiv w:val="1"/>
      <w:marLeft w:val="0"/>
      <w:marRight w:val="0"/>
      <w:marTop w:val="0"/>
      <w:marBottom w:val="0"/>
      <w:divBdr>
        <w:top w:val="none" w:sz="0" w:space="0" w:color="auto"/>
        <w:left w:val="none" w:sz="0" w:space="0" w:color="auto"/>
        <w:bottom w:val="none" w:sz="0" w:space="0" w:color="auto"/>
        <w:right w:val="none" w:sz="0" w:space="0" w:color="auto"/>
      </w:divBdr>
    </w:div>
    <w:div w:id="415399607">
      <w:bodyDiv w:val="1"/>
      <w:marLeft w:val="0"/>
      <w:marRight w:val="0"/>
      <w:marTop w:val="0"/>
      <w:marBottom w:val="0"/>
      <w:divBdr>
        <w:top w:val="none" w:sz="0" w:space="0" w:color="auto"/>
        <w:left w:val="none" w:sz="0" w:space="0" w:color="auto"/>
        <w:bottom w:val="none" w:sz="0" w:space="0" w:color="auto"/>
        <w:right w:val="none" w:sz="0" w:space="0" w:color="auto"/>
      </w:divBdr>
    </w:div>
    <w:div w:id="422804538">
      <w:bodyDiv w:val="1"/>
      <w:marLeft w:val="0"/>
      <w:marRight w:val="0"/>
      <w:marTop w:val="0"/>
      <w:marBottom w:val="0"/>
      <w:divBdr>
        <w:top w:val="none" w:sz="0" w:space="0" w:color="auto"/>
        <w:left w:val="none" w:sz="0" w:space="0" w:color="auto"/>
        <w:bottom w:val="none" w:sz="0" w:space="0" w:color="auto"/>
        <w:right w:val="none" w:sz="0" w:space="0" w:color="auto"/>
      </w:divBdr>
    </w:div>
    <w:div w:id="431362106">
      <w:bodyDiv w:val="1"/>
      <w:marLeft w:val="0"/>
      <w:marRight w:val="0"/>
      <w:marTop w:val="0"/>
      <w:marBottom w:val="0"/>
      <w:divBdr>
        <w:top w:val="none" w:sz="0" w:space="0" w:color="auto"/>
        <w:left w:val="none" w:sz="0" w:space="0" w:color="auto"/>
        <w:bottom w:val="none" w:sz="0" w:space="0" w:color="auto"/>
        <w:right w:val="none" w:sz="0" w:space="0" w:color="auto"/>
      </w:divBdr>
    </w:div>
    <w:div w:id="459688669">
      <w:bodyDiv w:val="1"/>
      <w:marLeft w:val="0"/>
      <w:marRight w:val="0"/>
      <w:marTop w:val="0"/>
      <w:marBottom w:val="0"/>
      <w:divBdr>
        <w:top w:val="none" w:sz="0" w:space="0" w:color="auto"/>
        <w:left w:val="none" w:sz="0" w:space="0" w:color="auto"/>
        <w:bottom w:val="none" w:sz="0" w:space="0" w:color="auto"/>
        <w:right w:val="none" w:sz="0" w:space="0" w:color="auto"/>
      </w:divBdr>
    </w:div>
    <w:div w:id="464589629">
      <w:bodyDiv w:val="1"/>
      <w:marLeft w:val="0"/>
      <w:marRight w:val="0"/>
      <w:marTop w:val="0"/>
      <w:marBottom w:val="0"/>
      <w:divBdr>
        <w:top w:val="none" w:sz="0" w:space="0" w:color="auto"/>
        <w:left w:val="none" w:sz="0" w:space="0" w:color="auto"/>
        <w:bottom w:val="none" w:sz="0" w:space="0" w:color="auto"/>
        <w:right w:val="none" w:sz="0" w:space="0" w:color="auto"/>
      </w:divBdr>
    </w:div>
    <w:div w:id="489365207">
      <w:bodyDiv w:val="1"/>
      <w:marLeft w:val="0"/>
      <w:marRight w:val="0"/>
      <w:marTop w:val="0"/>
      <w:marBottom w:val="0"/>
      <w:divBdr>
        <w:top w:val="none" w:sz="0" w:space="0" w:color="auto"/>
        <w:left w:val="none" w:sz="0" w:space="0" w:color="auto"/>
        <w:bottom w:val="none" w:sz="0" w:space="0" w:color="auto"/>
        <w:right w:val="none" w:sz="0" w:space="0" w:color="auto"/>
      </w:divBdr>
    </w:div>
    <w:div w:id="514996424">
      <w:bodyDiv w:val="1"/>
      <w:marLeft w:val="0"/>
      <w:marRight w:val="0"/>
      <w:marTop w:val="0"/>
      <w:marBottom w:val="0"/>
      <w:divBdr>
        <w:top w:val="none" w:sz="0" w:space="0" w:color="auto"/>
        <w:left w:val="none" w:sz="0" w:space="0" w:color="auto"/>
        <w:bottom w:val="none" w:sz="0" w:space="0" w:color="auto"/>
        <w:right w:val="none" w:sz="0" w:space="0" w:color="auto"/>
      </w:divBdr>
    </w:div>
    <w:div w:id="522403055">
      <w:bodyDiv w:val="1"/>
      <w:marLeft w:val="0"/>
      <w:marRight w:val="0"/>
      <w:marTop w:val="0"/>
      <w:marBottom w:val="0"/>
      <w:divBdr>
        <w:top w:val="none" w:sz="0" w:space="0" w:color="auto"/>
        <w:left w:val="none" w:sz="0" w:space="0" w:color="auto"/>
        <w:bottom w:val="none" w:sz="0" w:space="0" w:color="auto"/>
        <w:right w:val="none" w:sz="0" w:space="0" w:color="auto"/>
      </w:divBdr>
    </w:div>
    <w:div w:id="522979050">
      <w:bodyDiv w:val="1"/>
      <w:marLeft w:val="0"/>
      <w:marRight w:val="0"/>
      <w:marTop w:val="0"/>
      <w:marBottom w:val="0"/>
      <w:divBdr>
        <w:top w:val="none" w:sz="0" w:space="0" w:color="auto"/>
        <w:left w:val="none" w:sz="0" w:space="0" w:color="auto"/>
        <w:bottom w:val="none" w:sz="0" w:space="0" w:color="auto"/>
        <w:right w:val="none" w:sz="0" w:space="0" w:color="auto"/>
      </w:divBdr>
    </w:div>
    <w:div w:id="551160885">
      <w:bodyDiv w:val="1"/>
      <w:marLeft w:val="0"/>
      <w:marRight w:val="0"/>
      <w:marTop w:val="0"/>
      <w:marBottom w:val="0"/>
      <w:divBdr>
        <w:top w:val="none" w:sz="0" w:space="0" w:color="auto"/>
        <w:left w:val="none" w:sz="0" w:space="0" w:color="auto"/>
        <w:bottom w:val="none" w:sz="0" w:space="0" w:color="auto"/>
        <w:right w:val="none" w:sz="0" w:space="0" w:color="auto"/>
      </w:divBdr>
    </w:div>
    <w:div w:id="563023975">
      <w:bodyDiv w:val="1"/>
      <w:marLeft w:val="0"/>
      <w:marRight w:val="0"/>
      <w:marTop w:val="0"/>
      <w:marBottom w:val="0"/>
      <w:divBdr>
        <w:top w:val="none" w:sz="0" w:space="0" w:color="auto"/>
        <w:left w:val="none" w:sz="0" w:space="0" w:color="auto"/>
        <w:bottom w:val="none" w:sz="0" w:space="0" w:color="auto"/>
        <w:right w:val="none" w:sz="0" w:space="0" w:color="auto"/>
      </w:divBdr>
    </w:div>
    <w:div w:id="564755227">
      <w:bodyDiv w:val="1"/>
      <w:marLeft w:val="0"/>
      <w:marRight w:val="0"/>
      <w:marTop w:val="0"/>
      <w:marBottom w:val="0"/>
      <w:divBdr>
        <w:top w:val="none" w:sz="0" w:space="0" w:color="auto"/>
        <w:left w:val="none" w:sz="0" w:space="0" w:color="auto"/>
        <w:bottom w:val="none" w:sz="0" w:space="0" w:color="auto"/>
        <w:right w:val="none" w:sz="0" w:space="0" w:color="auto"/>
      </w:divBdr>
    </w:div>
    <w:div w:id="574321397">
      <w:bodyDiv w:val="1"/>
      <w:marLeft w:val="0"/>
      <w:marRight w:val="0"/>
      <w:marTop w:val="0"/>
      <w:marBottom w:val="0"/>
      <w:divBdr>
        <w:top w:val="none" w:sz="0" w:space="0" w:color="auto"/>
        <w:left w:val="none" w:sz="0" w:space="0" w:color="auto"/>
        <w:bottom w:val="none" w:sz="0" w:space="0" w:color="auto"/>
        <w:right w:val="none" w:sz="0" w:space="0" w:color="auto"/>
      </w:divBdr>
    </w:div>
    <w:div w:id="629091117">
      <w:bodyDiv w:val="1"/>
      <w:marLeft w:val="0"/>
      <w:marRight w:val="0"/>
      <w:marTop w:val="0"/>
      <w:marBottom w:val="0"/>
      <w:divBdr>
        <w:top w:val="none" w:sz="0" w:space="0" w:color="auto"/>
        <w:left w:val="none" w:sz="0" w:space="0" w:color="auto"/>
        <w:bottom w:val="none" w:sz="0" w:space="0" w:color="auto"/>
        <w:right w:val="none" w:sz="0" w:space="0" w:color="auto"/>
      </w:divBdr>
    </w:div>
    <w:div w:id="642396392">
      <w:bodyDiv w:val="1"/>
      <w:marLeft w:val="0"/>
      <w:marRight w:val="0"/>
      <w:marTop w:val="0"/>
      <w:marBottom w:val="0"/>
      <w:divBdr>
        <w:top w:val="none" w:sz="0" w:space="0" w:color="auto"/>
        <w:left w:val="none" w:sz="0" w:space="0" w:color="auto"/>
        <w:bottom w:val="none" w:sz="0" w:space="0" w:color="auto"/>
        <w:right w:val="none" w:sz="0" w:space="0" w:color="auto"/>
      </w:divBdr>
    </w:div>
    <w:div w:id="745348701">
      <w:bodyDiv w:val="1"/>
      <w:marLeft w:val="0"/>
      <w:marRight w:val="0"/>
      <w:marTop w:val="0"/>
      <w:marBottom w:val="0"/>
      <w:divBdr>
        <w:top w:val="none" w:sz="0" w:space="0" w:color="auto"/>
        <w:left w:val="none" w:sz="0" w:space="0" w:color="auto"/>
        <w:bottom w:val="none" w:sz="0" w:space="0" w:color="auto"/>
        <w:right w:val="none" w:sz="0" w:space="0" w:color="auto"/>
      </w:divBdr>
    </w:div>
    <w:div w:id="762412912">
      <w:bodyDiv w:val="1"/>
      <w:marLeft w:val="0"/>
      <w:marRight w:val="0"/>
      <w:marTop w:val="0"/>
      <w:marBottom w:val="0"/>
      <w:divBdr>
        <w:top w:val="none" w:sz="0" w:space="0" w:color="auto"/>
        <w:left w:val="none" w:sz="0" w:space="0" w:color="auto"/>
        <w:bottom w:val="none" w:sz="0" w:space="0" w:color="auto"/>
        <w:right w:val="none" w:sz="0" w:space="0" w:color="auto"/>
      </w:divBdr>
    </w:div>
    <w:div w:id="766775808">
      <w:bodyDiv w:val="1"/>
      <w:marLeft w:val="0"/>
      <w:marRight w:val="0"/>
      <w:marTop w:val="0"/>
      <w:marBottom w:val="0"/>
      <w:divBdr>
        <w:top w:val="none" w:sz="0" w:space="0" w:color="auto"/>
        <w:left w:val="none" w:sz="0" w:space="0" w:color="auto"/>
        <w:bottom w:val="none" w:sz="0" w:space="0" w:color="auto"/>
        <w:right w:val="none" w:sz="0" w:space="0" w:color="auto"/>
      </w:divBdr>
    </w:div>
    <w:div w:id="813254095">
      <w:bodyDiv w:val="1"/>
      <w:marLeft w:val="0"/>
      <w:marRight w:val="0"/>
      <w:marTop w:val="0"/>
      <w:marBottom w:val="0"/>
      <w:divBdr>
        <w:top w:val="none" w:sz="0" w:space="0" w:color="auto"/>
        <w:left w:val="none" w:sz="0" w:space="0" w:color="auto"/>
        <w:bottom w:val="none" w:sz="0" w:space="0" w:color="auto"/>
        <w:right w:val="none" w:sz="0" w:space="0" w:color="auto"/>
      </w:divBdr>
    </w:div>
    <w:div w:id="824013375">
      <w:bodyDiv w:val="1"/>
      <w:marLeft w:val="0"/>
      <w:marRight w:val="0"/>
      <w:marTop w:val="0"/>
      <w:marBottom w:val="0"/>
      <w:divBdr>
        <w:top w:val="none" w:sz="0" w:space="0" w:color="auto"/>
        <w:left w:val="none" w:sz="0" w:space="0" w:color="auto"/>
        <w:bottom w:val="none" w:sz="0" w:space="0" w:color="auto"/>
        <w:right w:val="none" w:sz="0" w:space="0" w:color="auto"/>
      </w:divBdr>
    </w:div>
    <w:div w:id="846670786">
      <w:bodyDiv w:val="1"/>
      <w:marLeft w:val="0"/>
      <w:marRight w:val="0"/>
      <w:marTop w:val="0"/>
      <w:marBottom w:val="0"/>
      <w:divBdr>
        <w:top w:val="none" w:sz="0" w:space="0" w:color="auto"/>
        <w:left w:val="none" w:sz="0" w:space="0" w:color="auto"/>
        <w:bottom w:val="none" w:sz="0" w:space="0" w:color="auto"/>
        <w:right w:val="none" w:sz="0" w:space="0" w:color="auto"/>
      </w:divBdr>
    </w:div>
    <w:div w:id="870722125">
      <w:bodyDiv w:val="1"/>
      <w:marLeft w:val="0"/>
      <w:marRight w:val="0"/>
      <w:marTop w:val="0"/>
      <w:marBottom w:val="0"/>
      <w:divBdr>
        <w:top w:val="none" w:sz="0" w:space="0" w:color="auto"/>
        <w:left w:val="none" w:sz="0" w:space="0" w:color="auto"/>
        <w:bottom w:val="none" w:sz="0" w:space="0" w:color="auto"/>
        <w:right w:val="none" w:sz="0" w:space="0" w:color="auto"/>
      </w:divBdr>
    </w:div>
    <w:div w:id="873232964">
      <w:bodyDiv w:val="1"/>
      <w:marLeft w:val="0"/>
      <w:marRight w:val="0"/>
      <w:marTop w:val="0"/>
      <w:marBottom w:val="0"/>
      <w:divBdr>
        <w:top w:val="none" w:sz="0" w:space="0" w:color="auto"/>
        <w:left w:val="none" w:sz="0" w:space="0" w:color="auto"/>
        <w:bottom w:val="none" w:sz="0" w:space="0" w:color="auto"/>
        <w:right w:val="none" w:sz="0" w:space="0" w:color="auto"/>
      </w:divBdr>
    </w:div>
    <w:div w:id="875117176">
      <w:bodyDiv w:val="1"/>
      <w:marLeft w:val="0"/>
      <w:marRight w:val="0"/>
      <w:marTop w:val="0"/>
      <w:marBottom w:val="0"/>
      <w:divBdr>
        <w:top w:val="none" w:sz="0" w:space="0" w:color="auto"/>
        <w:left w:val="none" w:sz="0" w:space="0" w:color="auto"/>
        <w:bottom w:val="none" w:sz="0" w:space="0" w:color="auto"/>
        <w:right w:val="none" w:sz="0" w:space="0" w:color="auto"/>
      </w:divBdr>
    </w:div>
    <w:div w:id="956060086">
      <w:bodyDiv w:val="1"/>
      <w:marLeft w:val="0"/>
      <w:marRight w:val="0"/>
      <w:marTop w:val="0"/>
      <w:marBottom w:val="0"/>
      <w:divBdr>
        <w:top w:val="none" w:sz="0" w:space="0" w:color="auto"/>
        <w:left w:val="none" w:sz="0" w:space="0" w:color="auto"/>
        <w:bottom w:val="none" w:sz="0" w:space="0" w:color="auto"/>
        <w:right w:val="none" w:sz="0" w:space="0" w:color="auto"/>
      </w:divBdr>
    </w:div>
    <w:div w:id="1007095753">
      <w:bodyDiv w:val="1"/>
      <w:marLeft w:val="0"/>
      <w:marRight w:val="0"/>
      <w:marTop w:val="0"/>
      <w:marBottom w:val="0"/>
      <w:divBdr>
        <w:top w:val="none" w:sz="0" w:space="0" w:color="auto"/>
        <w:left w:val="none" w:sz="0" w:space="0" w:color="auto"/>
        <w:bottom w:val="none" w:sz="0" w:space="0" w:color="auto"/>
        <w:right w:val="none" w:sz="0" w:space="0" w:color="auto"/>
      </w:divBdr>
    </w:div>
    <w:div w:id="1011958019">
      <w:bodyDiv w:val="1"/>
      <w:marLeft w:val="0"/>
      <w:marRight w:val="0"/>
      <w:marTop w:val="0"/>
      <w:marBottom w:val="0"/>
      <w:divBdr>
        <w:top w:val="none" w:sz="0" w:space="0" w:color="auto"/>
        <w:left w:val="none" w:sz="0" w:space="0" w:color="auto"/>
        <w:bottom w:val="none" w:sz="0" w:space="0" w:color="auto"/>
        <w:right w:val="none" w:sz="0" w:space="0" w:color="auto"/>
      </w:divBdr>
    </w:div>
    <w:div w:id="1031341111">
      <w:bodyDiv w:val="1"/>
      <w:marLeft w:val="0"/>
      <w:marRight w:val="0"/>
      <w:marTop w:val="0"/>
      <w:marBottom w:val="0"/>
      <w:divBdr>
        <w:top w:val="none" w:sz="0" w:space="0" w:color="auto"/>
        <w:left w:val="none" w:sz="0" w:space="0" w:color="auto"/>
        <w:bottom w:val="none" w:sz="0" w:space="0" w:color="auto"/>
        <w:right w:val="none" w:sz="0" w:space="0" w:color="auto"/>
      </w:divBdr>
    </w:div>
    <w:div w:id="1054546688">
      <w:bodyDiv w:val="1"/>
      <w:marLeft w:val="0"/>
      <w:marRight w:val="0"/>
      <w:marTop w:val="0"/>
      <w:marBottom w:val="0"/>
      <w:divBdr>
        <w:top w:val="none" w:sz="0" w:space="0" w:color="auto"/>
        <w:left w:val="none" w:sz="0" w:space="0" w:color="auto"/>
        <w:bottom w:val="none" w:sz="0" w:space="0" w:color="auto"/>
        <w:right w:val="none" w:sz="0" w:space="0" w:color="auto"/>
      </w:divBdr>
    </w:div>
    <w:div w:id="1089472480">
      <w:bodyDiv w:val="1"/>
      <w:marLeft w:val="0"/>
      <w:marRight w:val="0"/>
      <w:marTop w:val="0"/>
      <w:marBottom w:val="0"/>
      <w:divBdr>
        <w:top w:val="none" w:sz="0" w:space="0" w:color="auto"/>
        <w:left w:val="none" w:sz="0" w:space="0" w:color="auto"/>
        <w:bottom w:val="none" w:sz="0" w:space="0" w:color="auto"/>
        <w:right w:val="none" w:sz="0" w:space="0" w:color="auto"/>
      </w:divBdr>
    </w:div>
    <w:div w:id="1094516841">
      <w:bodyDiv w:val="1"/>
      <w:marLeft w:val="0"/>
      <w:marRight w:val="0"/>
      <w:marTop w:val="0"/>
      <w:marBottom w:val="0"/>
      <w:divBdr>
        <w:top w:val="none" w:sz="0" w:space="0" w:color="auto"/>
        <w:left w:val="none" w:sz="0" w:space="0" w:color="auto"/>
        <w:bottom w:val="none" w:sz="0" w:space="0" w:color="auto"/>
        <w:right w:val="none" w:sz="0" w:space="0" w:color="auto"/>
      </w:divBdr>
    </w:div>
    <w:div w:id="1110012138">
      <w:bodyDiv w:val="1"/>
      <w:marLeft w:val="0"/>
      <w:marRight w:val="0"/>
      <w:marTop w:val="0"/>
      <w:marBottom w:val="0"/>
      <w:divBdr>
        <w:top w:val="none" w:sz="0" w:space="0" w:color="auto"/>
        <w:left w:val="none" w:sz="0" w:space="0" w:color="auto"/>
        <w:bottom w:val="none" w:sz="0" w:space="0" w:color="auto"/>
        <w:right w:val="none" w:sz="0" w:space="0" w:color="auto"/>
      </w:divBdr>
    </w:div>
    <w:div w:id="1119715281">
      <w:bodyDiv w:val="1"/>
      <w:marLeft w:val="0"/>
      <w:marRight w:val="0"/>
      <w:marTop w:val="0"/>
      <w:marBottom w:val="0"/>
      <w:divBdr>
        <w:top w:val="none" w:sz="0" w:space="0" w:color="auto"/>
        <w:left w:val="none" w:sz="0" w:space="0" w:color="auto"/>
        <w:bottom w:val="none" w:sz="0" w:space="0" w:color="auto"/>
        <w:right w:val="none" w:sz="0" w:space="0" w:color="auto"/>
      </w:divBdr>
    </w:div>
    <w:div w:id="1153184231">
      <w:bodyDiv w:val="1"/>
      <w:marLeft w:val="0"/>
      <w:marRight w:val="0"/>
      <w:marTop w:val="0"/>
      <w:marBottom w:val="0"/>
      <w:divBdr>
        <w:top w:val="none" w:sz="0" w:space="0" w:color="auto"/>
        <w:left w:val="none" w:sz="0" w:space="0" w:color="auto"/>
        <w:bottom w:val="none" w:sz="0" w:space="0" w:color="auto"/>
        <w:right w:val="none" w:sz="0" w:space="0" w:color="auto"/>
      </w:divBdr>
    </w:div>
    <w:div w:id="1178999894">
      <w:bodyDiv w:val="1"/>
      <w:marLeft w:val="0"/>
      <w:marRight w:val="0"/>
      <w:marTop w:val="0"/>
      <w:marBottom w:val="0"/>
      <w:divBdr>
        <w:top w:val="none" w:sz="0" w:space="0" w:color="auto"/>
        <w:left w:val="none" w:sz="0" w:space="0" w:color="auto"/>
        <w:bottom w:val="none" w:sz="0" w:space="0" w:color="auto"/>
        <w:right w:val="none" w:sz="0" w:space="0" w:color="auto"/>
      </w:divBdr>
    </w:div>
    <w:div w:id="1181167925">
      <w:bodyDiv w:val="1"/>
      <w:marLeft w:val="0"/>
      <w:marRight w:val="0"/>
      <w:marTop w:val="0"/>
      <w:marBottom w:val="0"/>
      <w:divBdr>
        <w:top w:val="none" w:sz="0" w:space="0" w:color="auto"/>
        <w:left w:val="none" w:sz="0" w:space="0" w:color="auto"/>
        <w:bottom w:val="none" w:sz="0" w:space="0" w:color="auto"/>
        <w:right w:val="none" w:sz="0" w:space="0" w:color="auto"/>
      </w:divBdr>
    </w:div>
    <w:div w:id="1268391584">
      <w:bodyDiv w:val="1"/>
      <w:marLeft w:val="0"/>
      <w:marRight w:val="0"/>
      <w:marTop w:val="0"/>
      <w:marBottom w:val="0"/>
      <w:divBdr>
        <w:top w:val="none" w:sz="0" w:space="0" w:color="auto"/>
        <w:left w:val="none" w:sz="0" w:space="0" w:color="auto"/>
        <w:bottom w:val="none" w:sz="0" w:space="0" w:color="auto"/>
        <w:right w:val="none" w:sz="0" w:space="0" w:color="auto"/>
      </w:divBdr>
    </w:div>
    <w:div w:id="1292400121">
      <w:bodyDiv w:val="1"/>
      <w:marLeft w:val="0"/>
      <w:marRight w:val="0"/>
      <w:marTop w:val="0"/>
      <w:marBottom w:val="0"/>
      <w:divBdr>
        <w:top w:val="none" w:sz="0" w:space="0" w:color="auto"/>
        <w:left w:val="none" w:sz="0" w:space="0" w:color="auto"/>
        <w:bottom w:val="none" w:sz="0" w:space="0" w:color="auto"/>
        <w:right w:val="none" w:sz="0" w:space="0" w:color="auto"/>
      </w:divBdr>
    </w:div>
    <w:div w:id="1333604079">
      <w:bodyDiv w:val="1"/>
      <w:marLeft w:val="0"/>
      <w:marRight w:val="0"/>
      <w:marTop w:val="0"/>
      <w:marBottom w:val="0"/>
      <w:divBdr>
        <w:top w:val="none" w:sz="0" w:space="0" w:color="auto"/>
        <w:left w:val="none" w:sz="0" w:space="0" w:color="auto"/>
        <w:bottom w:val="none" w:sz="0" w:space="0" w:color="auto"/>
        <w:right w:val="none" w:sz="0" w:space="0" w:color="auto"/>
      </w:divBdr>
    </w:div>
    <w:div w:id="1344864909">
      <w:bodyDiv w:val="1"/>
      <w:marLeft w:val="0"/>
      <w:marRight w:val="0"/>
      <w:marTop w:val="0"/>
      <w:marBottom w:val="0"/>
      <w:divBdr>
        <w:top w:val="none" w:sz="0" w:space="0" w:color="auto"/>
        <w:left w:val="none" w:sz="0" w:space="0" w:color="auto"/>
        <w:bottom w:val="none" w:sz="0" w:space="0" w:color="auto"/>
        <w:right w:val="none" w:sz="0" w:space="0" w:color="auto"/>
      </w:divBdr>
    </w:div>
    <w:div w:id="1349332501">
      <w:bodyDiv w:val="1"/>
      <w:marLeft w:val="0"/>
      <w:marRight w:val="0"/>
      <w:marTop w:val="0"/>
      <w:marBottom w:val="0"/>
      <w:divBdr>
        <w:top w:val="none" w:sz="0" w:space="0" w:color="auto"/>
        <w:left w:val="none" w:sz="0" w:space="0" w:color="auto"/>
        <w:bottom w:val="none" w:sz="0" w:space="0" w:color="auto"/>
        <w:right w:val="none" w:sz="0" w:space="0" w:color="auto"/>
      </w:divBdr>
    </w:div>
    <w:div w:id="1386563555">
      <w:bodyDiv w:val="1"/>
      <w:marLeft w:val="0"/>
      <w:marRight w:val="0"/>
      <w:marTop w:val="0"/>
      <w:marBottom w:val="0"/>
      <w:divBdr>
        <w:top w:val="none" w:sz="0" w:space="0" w:color="auto"/>
        <w:left w:val="none" w:sz="0" w:space="0" w:color="auto"/>
        <w:bottom w:val="none" w:sz="0" w:space="0" w:color="auto"/>
        <w:right w:val="none" w:sz="0" w:space="0" w:color="auto"/>
      </w:divBdr>
    </w:div>
    <w:div w:id="1403793425">
      <w:bodyDiv w:val="1"/>
      <w:marLeft w:val="0"/>
      <w:marRight w:val="0"/>
      <w:marTop w:val="0"/>
      <w:marBottom w:val="0"/>
      <w:divBdr>
        <w:top w:val="none" w:sz="0" w:space="0" w:color="auto"/>
        <w:left w:val="none" w:sz="0" w:space="0" w:color="auto"/>
        <w:bottom w:val="none" w:sz="0" w:space="0" w:color="auto"/>
        <w:right w:val="none" w:sz="0" w:space="0" w:color="auto"/>
      </w:divBdr>
    </w:div>
    <w:div w:id="1430659127">
      <w:bodyDiv w:val="1"/>
      <w:marLeft w:val="0"/>
      <w:marRight w:val="0"/>
      <w:marTop w:val="0"/>
      <w:marBottom w:val="0"/>
      <w:divBdr>
        <w:top w:val="none" w:sz="0" w:space="0" w:color="auto"/>
        <w:left w:val="none" w:sz="0" w:space="0" w:color="auto"/>
        <w:bottom w:val="none" w:sz="0" w:space="0" w:color="auto"/>
        <w:right w:val="none" w:sz="0" w:space="0" w:color="auto"/>
      </w:divBdr>
    </w:div>
    <w:div w:id="1485313786">
      <w:bodyDiv w:val="1"/>
      <w:marLeft w:val="0"/>
      <w:marRight w:val="0"/>
      <w:marTop w:val="0"/>
      <w:marBottom w:val="0"/>
      <w:divBdr>
        <w:top w:val="none" w:sz="0" w:space="0" w:color="auto"/>
        <w:left w:val="none" w:sz="0" w:space="0" w:color="auto"/>
        <w:bottom w:val="none" w:sz="0" w:space="0" w:color="auto"/>
        <w:right w:val="none" w:sz="0" w:space="0" w:color="auto"/>
      </w:divBdr>
    </w:div>
    <w:div w:id="1506703009">
      <w:bodyDiv w:val="1"/>
      <w:marLeft w:val="0"/>
      <w:marRight w:val="0"/>
      <w:marTop w:val="0"/>
      <w:marBottom w:val="0"/>
      <w:divBdr>
        <w:top w:val="none" w:sz="0" w:space="0" w:color="auto"/>
        <w:left w:val="none" w:sz="0" w:space="0" w:color="auto"/>
        <w:bottom w:val="none" w:sz="0" w:space="0" w:color="auto"/>
        <w:right w:val="none" w:sz="0" w:space="0" w:color="auto"/>
      </w:divBdr>
    </w:div>
    <w:div w:id="1612515779">
      <w:bodyDiv w:val="1"/>
      <w:marLeft w:val="0"/>
      <w:marRight w:val="0"/>
      <w:marTop w:val="0"/>
      <w:marBottom w:val="0"/>
      <w:divBdr>
        <w:top w:val="none" w:sz="0" w:space="0" w:color="auto"/>
        <w:left w:val="none" w:sz="0" w:space="0" w:color="auto"/>
        <w:bottom w:val="none" w:sz="0" w:space="0" w:color="auto"/>
        <w:right w:val="none" w:sz="0" w:space="0" w:color="auto"/>
      </w:divBdr>
    </w:div>
    <w:div w:id="1638411271">
      <w:bodyDiv w:val="1"/>
      <w:marLeft w:val="0"/>
      <w:marRight w:val="0"/>
      <w:marTop w:val="0"/>
      <w:marBottom w:val="0"/>
      <w:divBdr>
        <w:top w:val="none" w:sz="0" w:space="0" w:color="auto"/>
        <w:left w:val="none" w:sz="0" w:space="0" w:color="auto"/>
        <w:bottom w:val="none" w:sz="0" w:space="0" w:color="auto"/>
        <w:right w:val="none" w:sz="0" w:space="0" w:color="auto"/>
      </w:divBdr>
    </w:div>
    <w:div w:id="1654601133">
      <w:bodyDiv w:val="1"/>
      <w:marLeft w:val="0"/>
      <w:marRight w:val="0"/>
      <w:marTop w:val="0"/>
      <w:marBottom w:val="0"/>
      <w:divBdr>
        <w:top w:val="none" w:sz="0" w:space="0" w:color="auto"/>
        <w:left w:val="none" w:sz="0" w:space="0" w:color="auto"/>
        <w:bottom w:val="none" w:sz="0" w:space="0" w:color="auto"/>
        <w:right w:val="none" w:sz="0" w:space="0" w:color="auto"/>
      </w:divBdr>
    </w:div>
    <w:div w:id="1676490306">
      <w:bodyDiv w:val="1"/>
      <w:marLeft w:val="0"/>
      <w:marRight w:val="0"/>
      <w:marTop w:val="0"/>
      <w:marBottom w:val="0"/>
      <w:divBdr>
        <w:top w:val="none" w:sz="0" w:space="0" w:color="auto"/>
        <w:left w:val="none" w:sz="0" w:space="0" w:color="auto"/>
        <w:bottom w:val="none" w:sz="0" w:space="0" w:color="auto"/>
        <w:right w:val="none" w:sz="0" w:space="0" w:color="auto"/>
      </w:divBdr>
    </w:div>
    <w:div w:id="1691027202">
      <w:bodyDiv w:val="1"/>
      <w:marLeft w:val="0"/>
      <w:marRight w:val="0"/>
      <w:marTop w:val="0"/>
      <w:marBottom w:val="0"/>
      <w:divBdr>
        <w:top w:val="none" w:sz="0" w:space="0" w:color="auto"/>
        <w:left w:val="none" w:sz="0" w:space="0" w:color="auto"/>
        <w:bottom w:val="none" w:sz="0" w:space="0" w:color="auto"/>
        <w:right w:val="none" w:sz="0" w:space="0" w:color="auto"/>
      </w:divBdr>
    </w:div>
    <w:div w:id="1712225606">
      <w:bodyDiv w:val="1"/>
      <w:marLeft w:val="0"/>
      <w:marRight w:val="0"/>
      <w:marTop w:val="0"/>
      <w:marBottom w:val="0"/>
      <w:divBdr>
        <w:top w:val="none" w:sz="0" w:space="0" w:color="auto"/>
        <w:left w:val="none" w:sz="0" w:space="0" w:color="auto"/>
        <w:bottom w:val="none" w:sz="0" w:space="0" w:color="auto"/>
        <w:right w:val="none" w:sz="0" w:space="0" w:color="auto"/>
      </w:divBdr>
    </w:div>
    <w:div w:id="1782532019">
      <w:bodyDiv w:val="1"/>
      <w:marLeft w:val="0"/>
      <w:marRight w:val="0"/>
      <w:marTop w:val="0"/>
      <w:marBottom w:val="0"/>
      <w:divBdr>
        <w:top w:val="none" w:sz="0" w:space="0" w:color="auto"/>
        <w:left w:val="none" w:sz="0" w:space="0" w:color="auto"/>
        <w:bottom w:val="none" w:sz="0" w:space="0" w:color="auto"/>
        <w:right w:val="none" w:sz="0" w:space="0" w:color="auto"/>
      </w:divBdr>
    </w:div>
    <w:div w:id="1865167251">
      <w:bodyDiv w:val="1"/>
      <w:marLeft w:val="0"/>
      <w:marRight w:val="0"/>
      <w:marTop w:val="0"/>
      <w:marBottom w:val="0"/>
      <w:divBdr>
        <w:top w:val="none" w:sz="0" w:space="0" w:color="auto"/>
        <w:left w:val="none" w:sz="0" w:space="0" w:color="auto"/>
        <w:bottom w:val="none" w:sz="0" w:space="0" w:color="auto"/>
        <w:right w:val="none" w:sz="0" w:space="0" w:color="auto"/>
      </w:divBdr>
    </w:div>
    <w:div w:id="1917935176">
      <w:bodyDiv w:val="1"/>
      <w:marLeft w:val="0"/>
      <w:marRight w:val="0"/>
      <w:marTop w:val="0"/>
      <w:marBottom w:val="0"/>
      <w:divBdr>
        <w:top w:val="none" w:sz="0" w:space="0" w:color="auto"/>
        <w:left w:val="none" w:sz="0" w:space="0" w:color="auto"/>
        <w:bottom w:val="none" w:sz="0" w:space="0" w:color="auto"/>
        <w:right w:val="none" w:sz="0" w:space="0" w:color="auto"/>
      </w:divBdr>
    </w:div>
    <w:div w:id="1930850816">
      <w:bodyDiv w:val="1"/>
      <w:marLeft w:val="0"/>
      <w:marRight w:val="0"/>
      <w:marTop w:val="0"/>
      <w:marBottom w:val="0"/>
      <w:divBdr>
        <w:top w:val="none" w:sz="0" w:space="0" w:color="auto"/>
        <w:left w:val="none" w:sz="0" w:space="0" w:color="auto"/>
        <w:bottom w:val="none" w:sz="0" w:space="0" w:color="auto"/>
        <w:right w:val="none" w:sz="0" w:space="0" w:color="auto"/>
      </w:divBdr>
    </w:div>
    <w:div w:id="1930962211">
      <w:bodyDiv w:val="1"/>
      <w:marLeft w:val="0"/>
      <w:marRight w:val="0"/>
      <w:marTop w:val="0"/>
      <w:marBottom w:val="0"/>
      <w:divBdr>
        <w:top w:val="none" w:sz="0" w:space="0" w:color="auto"/>
        <w:left w:val="none" w:sz="0" w:space="0" w:color="auto"/>
        <w:bottom w:val="none" w:sz="0" w:space="0" w:color="auto"/>
        <w:right w:val="none" w:sz="0" w:space="0" w:color="auto"/>
      </w:divBdr>
    </w:div>
    <w:div w:id="1943339048">
      <w:bodyDiv w:val="1"/>
      <w:marLeft w:val="0"/>
      <w:marRight w:val="0"/>
      <w:marTop w:val="0"/>
      <w:marBottom w:val="0"/>
      <w:divBdr>
        <w:top w:val="none" w:sz="0" w:space="0" w:color="auto"/>
        <w:left w:val="none" w:sz="0" w:space="0" w:color="auto"/>
        <w:bottom w:val="none" w:sz="0" w:space="0" w:color="auto"/>
        <w:right w:val="none" w:sz="0" w:space="0" w:color="auto"/>
      </w:divBdr>
    </w:div>
    <w:div w:id="1944192360">
      <w:bodyDiv w:val="1"/>
      <w:marLeft w:val="0"/>
      <w:marRight w:val="0"/>
      <w:marTop w:val="0"/>
      <w:marBottom w:val="0"/>
      <w:divBdr>
        <w:top w:val="none" w:sz="0" w:space="0" w:color="auto"/>
        <w:left w:val="none" w:sz="0" w:space="0" w:color="auto"/>
        <w:bottom w:val="none" w:sz="0" w:space="0" w:color="auto"/>
        <w:right w:val="none" w:sz="0" w:space="0" w:color="auto"/>
      </w:divBdr>
    </w:div>
    <w:div w:id="1965840924">
      <w:bodyDiv w:val="1"/>
      <w:marLeft w:val="0"/>
      <w:marRight w:val="0"/>
      <w:marTop w:val="0"/>
      <w:marBottom w:val="0"/>
      <w:divBdr>
        <w:top w:val="none" w:sz="0" w:space="0" w:color="auto"/>
        <w:left w:val="none" w:sz="0" w:space="0" w:color="auto"/>
        <w:bottom w:val="none" w:sz="0" w:space="0" w:color="auto"/>
        <w:right w:val="none" w:sz="0" w:space="0" w:color="auto"/>
      </w:divBdr>
    </w:div>
    <w:div w:id="1977756836">
      <w:bodyDiv w:val="1"/>
      <w:marLeft w:val="0"/>
      <w:marRight w:val="0"/>
      <w:marTop w:val="0"/>
      <w:marBottom w:val="0"/>
      <w:divBdr>
        <w:top w:val="none" w:sz="0" w:space="0" w:color="auto"/>
        <w:left w:val="none" w:sz="0" w:space="0" w:color="auto"/>
        <w:bottom w:val="none" w:sz="0" w:space="0" w:color="auto"/>
        <w:right w:val="none" w:sz="0" w:space="0" w:color="auto"/>
      </w:divBdr>
    </w:div>
    <w:div w:id="1985819219">
      <w:bodyDiv w:val="1"/>
      <w:marLeft w:val="0"/>
      <w:marRight w:val="0"/>
      <w:marTop w:val="0"/>
      <w:marBottom w:val="0"/>
      <w:divBdr>
        <w:top w:val="none" w:sz="0" w:space="0" w:color="auto"/>
        <w:left w:val="none" w:sz="0" w:space="0" w:color="auto"/>
        <w:bottom w:val="none" w:sz="0" w:space="0" w:color="auto"/>
        <w:right w:val="none" w:sz="0" w:space="0" w:color="auto"/>
      </w:divBdr>
    </w:div>
    <w:div w:id="2043044589">
      <w:bodyDiv w:val="1"/>
      <w:marLeft w:val="0"/>
      <w:marRight w:val="0"/>
      <w:marTop w:val="0"/>
      <w:marBottom w:val="0"/>
      <w:divBdr>
        <w:top w:val="none" w:sz="0" w:space="0" w:color="auto"/>
        <w:left w:val="none" w:sz="0" w:space="0" w:color="auto"/>
        <w:bottom w:val="none" w:sz="0" w:space="0" w:color="auto"/>
        <w:right w:val="none" w:sz="0" w:space="0" w:color="auto"/>
      </w:divBdr>
    </w:div>
    <w:div w:id="2116516362">
      <w:bodyDiv w:val="1"/>
      <w:marLeft w:val="0"/>
      <w:marRight w:val="0"/>
      <w:marTop w:val="0"/>
      <w:marBottom w:val="0"/>
      <w:divBdr>
        <w:top w:val="none" w:sz="0" w:space="0" w:color="auto"/>
        <w:left w:val="none" w:sz="0" w:space="0" w:color="auto"/>
        <w:bottom w:val="none" w:sz="0" w:space="0" w:color="auto"/>
        <w:right w:val="none" w:sz="0" w:space="0" w:color="auto"/>
      </w:divBdr>
    </w:div>
    <w:div w:id="21471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5A06-7941-4FE4-8F4A-06D66286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5512</Words>
  <Characters>31422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Peytrignet</dc:creator>
  <cp:lastModifiedBy>Ariane Herrick</cp:lastModifiedBy>
  <cp:revision>2</cp:revision>
  <cp:lastPrinted>2016-09-04T17:27:00Z</cp:lastPrinted>
  <dcterms:created xsi:type="dcterms:W3CDTF">2016-09-05T07:14:00Z</dcterms:created>
  <dcterms:modified xsi:type="dcterms:W3CDTF">2016-09-05T07:14:00Z</dcterms:modified>
</cp:coreProperties>
</file>