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8756" w14:textId="77777777" w:rsidR="00F57657" w:rsidRDefault="00F57657" w:rsidP="00F57657">
      <w:pPr>
        <w:pBdr>
          <w:bottom w:val="single" w:sz="6" w:space="1" w:color="auto"/>
        </w:pBdr>
        <w:spacing w:line="240" w:lineRule="auto"/>
        <w:rPr>
          <w:rFonts w:ascii="Times New Roman" w:hAnsi="Times New Roman"/>
          <w:b/>
          <w:i/>
          <w:sz w:val="24"/>
          <w:szCs w:val="24"/>
        </w:rPr>
      </w:pPr>
      <w:bookmarkStart w:id="0" w:name="reftop"/>
      <w:bookmarkStart w:id="1" w:name="_GoBack"/>
      <w:bookmarkEnd w:id="1"/>
      <w:r w:rsidRPr="00325519">
        <w:rPr>
          <w:rFonts w:ascii="Times New Roman" w:hAnsi="Times New Roman"/>
          <w:b/>
          <w:i/>
          <w:sz w:val="28"/>
          <w:szCs w:val="28"/>
          <w:u w:val="single"/>
        </w:rPr>
        <w:t>Author:</w:t>
      </w:r>
      <w:r w:rsidRPr="00325519">
        <w:rPr>
          <w:rFonts w:ascii="Times New Roman" w:hAnsi="Times New Roman"/>
          <w:b/>
          <w:i/>
          <w:sz w:val="24"/>
          <w:szCs w:val="24"/>
        </w:rPr>
        <w:t xml:space="preserve"> This file is the accepted version of your manuscript, and it shows any changes made by the Editor-in-Chief and the Deputy Editor since you submitted your last revision. This is the version that is being sent to Manuscript Editing for further editing in accordance with NEJM style. You will receive proofs of the edited manuscript, by e-mail. The proofs will contain queries from the manuscript editor, as well as any queries that may be present in this file. The proof stage will be your next opportunity to make changes; in the meantime, please do not make any changes or send any new material to us</w:t>
      </w:r>
      <w:r>
        <w:rPr>
          <w:rFonts w:ascii="Times New Roman" w:hAnsi="Times New Roman"/>
          <w:b/>
          <w:i/>
          <w:sz w:val="24"/>
          <w:szCs w:val="24"/>
        </w:rPr>
        <w:t>.</w:t>
      </w:r>
    </w:p>
    <w:p w14:paraId="39303277" w14:textId="3DE4AAC5" w:rsidR="00F07E36" w:rsidRPr="00AA11B3" w:rsidRDefault="00F07E36" w:rsidP="00AA11B3">
      <w:pPr>
        <w:pStyle w:val="NoSpacing"/>
        <w:spacing w:line="480" w:lineRule="auto"/>
        <w:jc w:val="center"/>
        <w:rPr>
          <w:rFonts w:asciiTheme="minorHAnsi" w:hAnsiTheme="minorHAnsi"/>
          <w:b/>
          <w:sz w:val="24"/>
        </w:rPr>
      </w:pPr>
      <w:r w:rsidRPr="00AA11B3">
        <w:rPr>
          <w:rFonts w:asciiTheme="minorHAnsi" w:hAnsiTheme="minorHAnsi"/>
          <w:b/>
          <w:sz w:val="24"/>
        </w:rPr>
        <w:t>Adalimumab in Combination with Methotrexate for JIA-Associated Uveitis</w:t>
      </w:r>
      <w:bookmarkEnd w:id="0"/>
    </w:p>
    <w:p w14:paraId="06B39F2D" w14:textId="77777777" w:rsidR="00F57657" w:rsidRPr="004971DC" w:rsidRDefault="00F57657" w:rsidP="004971DC">
      <w:pPr>
        <w:pStyle w:val="NoSpacing"/>
      </w:pPr>
    </w:p>
    <w:p w14:paraId="3FD4CB97" w14:textId="42FFD1D2" w:rsidR="00E549CB" w:rsidRPr="004971DC" w:rsidRDefault="00E549CB" w:rsidP="00AA11B3">
      <w:pPr>
        <w:pStyle w:val="NoSpacing"/>
        <w:spacing w:line="480" w:lineRule="auto"/>
        <w:jc w:val="center"/>
        <w:rPr>
          <w:rFonts w:asciiTheme="minorHAnsi" w:hAnsiTheme="minorHAnsi"/>
          <w:sz w:val="24"/>
        </w:rPr>
      </w:pPr>
      <w:proofErr w:type="spellStart"/>
      <w:r w:rsidRPr="004971DC">
        <w:rPr>
          <w:rFonts w:asciiTheme="minorHAnsi" w:hAnsiTheme="minorHAnsi"/>
          <w:sz w:val="24"/>
        </w:rPr>
        <w:t>Athimalaipet</w:t>
      </w:r>
      <w:proofErr w:type="spellEnd"/>
      <w:r w:rsidRPr="004971DC">
        <w:rPr>
          <w:rFonts w:asciiTheme="minorHAnsi" w:hAnsiTheme="minorHAnsi"/>
          <w:sz w:val="24"/>
        </w:rPr>
        <w:t xml:space="preserve"> V</w:t>
      </w:r>
      <w:r w:rsidR="004971DC">
        <w:rPr>
          <w:rFonts w:asciiTheme="minorHAnsi" w:hAnsiTheme="minorHAnsi"/>
          <w:sz w:val="24"/>
        </w:rPr>
        <w:t>.</w:t>
      </w:r>
      <w:r w:rsidRPr="004971DC">
        <w:rPr>
          <w:rFonts w:asciiTheme="minorHAnsi" w:hAnsiTheme="minorHAnsi"/>
          <w:sz w:val="24"/>
        </w:rPr>
        <w:t xml:space="preserve"> </w:t>
      </w:r>
      <w:proofErr w:type="spellStart"/>
      <w:r w:rsidRPr="004971DC">
        <w:rPr>
          <w:rFonts w:asciiTheme="minorHAnsi" w:hAnsiTheme="minorHAnsi"/>
          <w:sz w:val="24"/>
        </w:rPr>
        <w:t>Ramanan</w:t>
      </w:r>
      <w:proofErr w:type="spellEnd"/>
      <w:r w:rsidR="003C6051">
        <w:rPr>
          <w:rFonts w:asciiTheme="minorHAnsi" w:hAnsiTheme="minorHAnsi"/>
          <w:sz w:val="24"/>
        </w:rPr>
        <w:t xml:space="preserve">, </w:t>
      </w:r>
      <w:r w:rsidR="00007459" w:rsidRPr="00007459">
        <w:rPr>
          <w:rFonts w:asciiTheme="minorHAnsi" w:hAnsiTheme="minorHAnsi"/>
          <w:sz w:val="24"/>
        </w:rPr>
        <w:t>F</w:t>
      </w:r>
      <w:r w:rsidR="00007459">
        <w:rPr>
          <w:rFonts w:asciiTheme="minorHAnsi" w:hAnsiTheme="minorHAnsi"/>
          <w:sz w:val="24"/>
        </w:rPr>
        <w:t>.</w:t>
      </w:r>
      <w:r w:rsidR="00007459" w:rsidRPr="00007459">
        <w:rPr>
          <w:rFonts w:asciiTheme="minorHAnsi" w:hAnsiTheme="minorHAnsi"/>
          <w:sz w:val="24"/>
        </w:rPr>
        <w:t>R</w:t>
      </w:r>
      <w:r w:rsidR="00007459">
        <w:rPr>
          <w:rFonts w:asciiTheme="minorHAnsi" w:hAnsiTheme="minorHAnsi"/>
          <w:sz w:val="24"/>
        </w:rPr>
        <w:t>.</w:t>
      </w:r>
      <w:r w:rsidR="00007459" w:rsidRPr="00007459">
        <w:rPr>
          <w:rFonts w:asciiTheme="minorHAnsi" w:hAnsiTheme="minorHAnsi"/>
          <w:sz w:val="24"/>
        </w:rPr>
        <w:t>C</w:t>
      </w:r>
      <w:r w:rsidR="00007459">
        <w:rPr>
          <w:rFonts w:asciiTheme="minorHAnsi" w:hAnsiTheme="minorHAnsi"/>
          <w:sz w:val="24"/>
        </w:rPr>
        <w:t>.</w:t>
      </w:r>
      <w:r w:rsidR="00007459" w:rsidRPr="00007459">
        <w:rPr>
          <w:rFonts w:asciiTheme="minorHAnsi" w:hAnsiTheme="minorHAnsi"/>
          <w:sz w:val="24"/>
        </w:rPr>
        <w:t>P</w:t>
      </w:r>
      <w:r w:rsidR="00007459">
        <w:rPr>
          <w:rFonts w:asciiTheme="minorHAnsi" w:hAnsiTheme="minorHAnsi"/>
          <w:sz w:val="24"/>
        </w:rPr>
        <w:t>.</w:t>
      </w:r>
      <w:r w:rsidR="00007459" w:rsidRPr="00007459">
        <w:rPr>
          <w:rFonts w:asciiTheme="minorHAnsi" w:hAnsiTheme="minorHAnsi"/>
          <w:sz w:val="24"/>
        </w:rPr>
        <w:t>C</w:t>
      </w:r>
      <w:r w:rsidR="00007459">
        <w:rPr>
          <w:rFonts w:asciiTheme="minorHAnsi" w:hAnsiTheme="minorHAnsi"/>
          <w:sz w:val="24"/>
        </w:rPr>
        <w:t>.</w:t>
      </w:r>
      <w:r w:rsidR="00007459" w:rsidRPr="00007459">
        <w:rPr>
          <w:rFonts w:asciiTheme="minorHAnsi" w:hAnsiTheme="minorHAnsi"/>
          <w:sz w:val="24"/>
        </w:rPr>
        <w:t>H</w:t>
      </w:r>
      <w:r w:rsidR="00007459">
        <w:rPr>
          <w:rFonts w:asciiTheme="minorHAnsi" w:hAnsiTheme="minorHAnsi"/>
          <w:sz w:val="24"/>
        </w:rPr>
        <w:t>.</w:t>
      </w:r>
      <w:r w:rsidR="00007459" w:rsidRPr="00007459">
        <w:rPr>
          <w:rFonts w:asciiTheme="minorHAnsi" w:hAnsiTheme="minorHAnsi"/>
          <w:sz w:val="24"/>
        </w:rPr>
        <w:t>, F</w:t>
      </w:r>
      <w:r w:rsidR="00007459">
        <w:rPr>
          <w:rFonts w:asciiTheme="minorHAnsi" w:hAnsiTheme="minorHAnsi"/>
          <w:sz w:val="24"/>
        </w:rPr>
        <w:t>.</w:t>
      </w:r>
      <w:r w:rsidR="00007459" w:rsidRPr="00007459">
        <w:rPr>
          <w:rFonts w:asciiTheme="minorHAnsi" w:hAnsiTheme="minorHAnsi"/>
          <w:sz w:val="24"/>
        </w:rPr>
        <w:t>R</w:t>
      </w:r>
      <w:r w:rsidR="00007459">
        <w:rPr>
          <w:rFonts w:asciiTheme="minorHAnsi" w:hAnsiTheme="minorHAnsi"/>
          <w:sz w:val="24"/>
        </w:rPr>
        <w:t>.</w:t>
      </w:r>
      <w:r w:rsidR="00007459" w:rsidRPr="00007459">
        <w:rPr>
          <w:rFonts w:asciiTheme="minorHAnsi" w:hAnsiTheme="minorHAnsi"/>
          <w:sz w:val="24"/>
        </w:rPr>
        <w:t>C</w:t>
      </w:r>
      <w:r w:rsidR="00007459">
        <w:rPr>
          <w:rFonts w:asciiTheme="minorHAnsi" w:hAnsiTheme="minorHAnsi"/>
          <w:sz w:val="24"/>
        </w:rPr>
        <w:t>.</w:t>
      </w:r>
      <w:r w:rsidR="00007459" w:rsidRPr="00007459">
        <w:rPr>
          <w:rFonts w:asciiTheme="minorHAnsi" w:hAnsiTheme="minorHAnsi"/>
          <w:sz w:val="24"/>
        </w:rPr>
        <w:t>P</w:t>
      </w:r>
      <w:r w:rsidR="00007459">
        <w:rPr>
          <w:rFonts w:asciiTheme="minorHAnsi" w:hAnsiTheme="minorHAnsi"/>
          <w:sz w:val="24"/>
        </w:rPr>
        <w:t>.</w:t>
      </w:r>
      <w:r w:rsidR="003C6051">
        <w:rPr>
          <w:rFonts w:asciiTheme="minorHAnsi" w:hAnsiTheme="minorHAnsi"/>
          <w:sz w:val="24"/>
        </w:rPr>
        <w:t>.</w:t>
      </w:r>
      <w:r w:rsidR="008D53BA" w:rsidRPr="004971DC">
        <w:rPr>
          <w:rFonts w:asciiTheme="minorHAnsi" w:hAnsiTheme="minorHAnsi"/>
          <w:sz w:val="24"/>
          <w:vertAlign w:val="superscript"/>
        </w:rPr>
        <w:t>1</w:t>
      </w:r>
      <w:r w:rsidRPr="004971DC">
        <w:rPr>
          <w:rFonts w:asciiTheme="minorHAnsi" w:hAnsiTheme="minorHAnsi"/>
          <w:sz w:val="24"/>
        </w:rPr>
        <w:t>, Andrew D. Dick</w:t>
      </w:r>
      <w:r w:rsidR="00007459">
        <w:rPr>
          <w:rFonts w:asciiTheme="minorHAnsi" w:hAnsiTheme="minorHAnsi"/>
          <w:sz w:val="24"/>
        </w:rPr>
        <w:t>, M.B., B.S., M.D.</w:t>
      </w:r>
      <w:r w:rsidR="008D53BA" w:rsidRPr="004971DC">
        <w:rPr>
          <w:rFonts w:asciiTheme="minorHAnsi" w:hAnsiTheme="minorHAnsi"/>
          <w:sz w:val="24"/>
          <w:vertAlign w:val="superscript"/>
        </w:rPr>
        <w:t>2,3</w:t>
      </w:r>
      <w:r w:rsidR="007A0F82" w:rsidRPr="004971DC">
        <w:rPr>
          <w:rFonts w:asciiTheme="minorHAnsi" w:hAnsiTheme="minorHAnsi"/>
          <w:sz w:val="24"/>
        </w:rPr>
        <w:t xml:space="preserve">, </w:t>
      </w:r>
      <w:r w:rsidR="00B86CC3" w:rsidRPr="004971DC">
        <w:rPr>
          <w:rFonts w:asciiTheme="minorHAnsi" w:hAnsiTheme="minorHAnsi"/>
          <w:sz w:val="24"/>
        </w:rPr>
        <w:t>Ashley P</w:t>
      </w:r>
      <w:r w:rsidR="004971DC">
        <w:rPr>
          <w:rFonts w:asciiTheme="minorHAnsi" w:hAnsiTheme="minorHAnsi"/>
          <w:sz w:val="24"/>
        </w:rPr>
        <w:t>.</w:t>
      </w:r>
      <w:r w:rsidR="00B86CC3" w:rsidRPr="004971DC">
        <w:rPr>
          <w:rFonts w:asciiTheme="minorHAnsi" w:hAnsiTheme="minorHAnsi"/>
          <w:sz w:val="24"/>
        </w:rPr>
        <w:t xml:space="preserve"> Jones</w:t>
      </w:r>
      <w:r w:rsidR="008D53BA" w:rsidRPr="004971DC">
        <w:rPr>
          <w:rFonts w:asciiTheme="minorHAnsi" w:hAnsiTheme="minorHAnsi"/>
          <w:sz w:val="24"/>
          <w:vertAlign w:val="superscript"/>
        </w:rPr>
        <w:t>4</w:t>
      </w:r>
      <w:r w:rsidR="00B86CC3" w:rsidRPr="004971DC">
        <w:rPr>
          <w:rFonts w:asciiTheme="minorHAnsi" w:hAnsiTheme="minorHAnsi"/>
          <w:sz w:val="24"/>
        </w:rPr>
        <w:t xml:space="preserve">, </w:t>
      </w:r>
      <w:r w:rsidR="007A0F82" w:rsidRPr="004971DC">
        <w:rPr>
          <w:rFonts w:asciiTheme="minorHAnsi" w:hAnsiTheme="minorHAnsi"/>
          <w:sz w:val="24"/>
        </w:rPr>
        <w:t>Andr</w:t>
      </w:r>
      <w:r w:rsidRPr="004971DC">
        <w:rPr>
          <w:rFonts w:asciiTheme="minorHAnsi" w:hAnsiTheme="minorHAnsi"/>
          <w:sz w:val="24"/>
        </w:rPr>
        <w:t>ew McKay</w:t>
      </w:r>
      <w:r w:rsidR="008D53BA" w:rsidRPr="004971DC">
        <w:rPr>
          <w:rFonts w:asciiTheme="minorHAnsi" w:hAnsiTheme="minorHAnsi"/>
          <w:sz w:val="24"/>
          <w:vertAlign w:val="superscript"/>
        </w:rPr>
        <w:t>4</w:t>
      </w:r>
      <w:r w:rsidRPr="004971DC">
        <w:rPr>
          <w:rFonts w:asciiTheme="minorHAnsi" w:hAnsiTheme="minorHAnsi"/>
          <w:sz w:val="24"/>
        </w:rPr>
        <w:t xml:space="preserve">, </w:t>
      </w:r>
      <w:r w:rsidR="007A0F82" w:rsidRPr="004971DC">
        <w:rPr>
          <w:rFonts w:asciiTheme="minorHAnsi" w:hAnsiTheme="minorHAnsi"/>
          <w:sz w:val="24"/>
        </w:rPr>
        <w:t xml:space="preserve">Paula </w:t>
      </w:r>
      <w:r w:rsidR="000246E2" w:rsidRPr="004971DC">
        <w:rPr>
          <w:rFonts w:asciiTheme="minorHAnsi" w:hAnsiTheme="minorHAnsi"/>
          <w:sz w:val="24"/>
        </w:rPr>
        <w:t>R</w:t>
      </w:r>
      <w:r w:rsidR="004971DC">
        <w:rPr>
          <w:rFonts w:asciiTheme="minorHAnsi" w:hAnsiTheme="minorHAnsi"/>
          <w:sz w:val="24"/>
        </w:rPr>
        <w:t>.</w:t>
      </w:r>
      <w:r w:rsidR="000246E2" w:rsidRPr="004971DC">
        <w:rPr>
          <w:rFonts w:asciiTheme="minorHAnsi" w:hAnsiTheme="minorHAnsi"/>
          <w:sz w:val="24"/>
        </w:rPr>
        <w:t xml:space="preserve"> </w:t>
      </w:r>
      <w:r w:rsidRPr="004971DC">
        <w:rPr>
          <w:rFonts w:asciiTheme="minorHAnsi" w:hAnsiTheme="minorHAnsi"/>
          <w:sz w:val="24"/>
        </w:rPr>
        <w:t>Williamson</w:t>
      </w:r>
      <w:r w:rsidR="00007459">
        <w:rPr>
          <w:rFonts w:asciiTheme="minorHAnsi" w:hAnsiTheme="minorHAnsi"/>
          <w:sz w:val="24"/>
        </w:rPr>
        <w:t>, Ph.D.</w:t>
      </w:r>
      <w:r w:rsidR="008D53BA" w:rsidRPr="004971DC">
        <w:rPr>
          <w:rFonts w:asciiTheme="minorHAnsi" w:hAnsiTheme="minorHAnsi"/>
          <w:sz w:val="24"/>
          <w:vertAlign w:val="superscript"/>
        </w:rPr>
        <w:t>4</w:t>
      </w:r>
      <w:r w:rsidRPr="004971DC">
        <w:rPr>
          <w:rFonts w:asciiTheme="minorHAnsi" w:hAnsiTheme="minorHAnsi"/>
          <w:sz w:val="24"/>
        </w:rPr>
        <w:t xml:space="preserve">, </w:t>
      </w:r>
      <w:r w:rsidR="007A0F82" w:rsidRPr="004971DC">
        <w:rPr>
          <w:rFonts w:asciiTheme="minorHAnsi" w:hAnsiTheme="minorHAnsi"/>
          <w:sz w:val="24"/>
        </w:rPr>
        <w:t xml:space="preserve">Sandrine </w:t>
      </w:r>
      <w:proofErr w:type="spellStart"/>
      <w:r w:rsidR="007A0F82" w:rsidRPr="004971DC">
        <w:rPr>
          <w:rFonts w:asciiTheme="minorHAnsi" w:hAnsiTheme="minorHAnsi"/>
          <w:sz w:val="24"/>
        </w:rPr>
        <w:t>Compeyrot</w:t>
      </w:r>
      <w:proofErr w:type="spellEnd"/>
      <w:r w:rsidRPr="004971DC">
        <w:rPr>
          <w:rFonts w:asciiTheme="minorHAnsi" w:hAnsiTheme="minorHAnsi"/>
          <w:sz w:val="24"/>
        </w:rPr>
        <w:t xml:space="preserve"> </w:t>
      </w:r>
      <w:proofErr w:type="spellStart"/>
      <w:r w:rsidRPr="004971DC">
        <w:rPr>
          <w:rFonts w:asciiTheme="minorHAnsi" w:hAnsiTheme="minorHAnsi"/>
          <w:sz w:val="24"/>
        </w:rPr>
        <w:t>Lacassagne</w:t>
      </w:r>
      <w:proofErr w:type="spellEnd"/>
      <w:r w:rsidR="00007459">
        <w:rPr>
          <w:rFonts w:asciiTheme="minorHAnsi" w:hAnsiTheme="minorHAnsi"/>
          <w:sz w:val="24"/>
        </w:rPr>
        <w:t>, M.D.</w:t>
      </w:r>
      <w:r w:rsidR="008D53BA" w:rsidRPr="004971DC">
        <w:rPr>
          <w:rFonts w:asciiTheme="minorHAnsi" w:hAnsiTheme="minorHAnsi"/>
          <w:sz w:val="24"/>
          <w:vertAlign w:val="superscript"/>
        </w:rPr>
        <w:t>5</w:t>
      </w:r>
      <w:r w:rsidR="007A0F82" w:rsidRPr="004971DC">
        <w:rPr>
          <w:rFonts w:asciiTheme="minorHAnsi" w:hAnsiTheme="minorHAnsi"/>
          <w:sz w:val="24"/>
        </w:rPr>
        <w:t xml:space="preserve">, </w:t>
      </w:r>
      <w:r w:rsidRPr="004971DC">
        <w:rPr>
          <w:rFonts w:asciiTheme="minorHAnsi" w:hAnsiTheme="minorHAnsi"/>
          <w:sz w:val="24"/>
        </w:rPr>
        <w:t>Ben Hardwick</w:t>
      </w:r>
      <w:r w:rsidR="00007459">
        <w:rPr>
          <w:rFonts w:asciiTheme="minorHAnsi" w:hAnsiTheme="minorHAnsi"/>
          <w:sz w:val="24"/>
        </w:rPr>
        <w:t>, B.Sc., M.Res.</w:t>
      </w:r>
      <w:r w:rsidR="008D53BA" w:rsidRPr="004971DC">
        <w:rPr>
          <w:rFonts w:asciiTheme="minorHAnsi" w:hAnsiTheme="minorHAnsi"/>
          <w:sz w:val="24"/>
          <w:vertAlign w:val="superscript"/>
        </w:rPr>
        <w:t>4</w:t>
      </w:r>
      <w:r w:rsidRPr="004971DC">
        <w:rPr>
          <w:rFonts w:asciiTheme="minorHAnsi" w:hAnsiTheme="minorHAnsi"/>
          <w:sz w:val="24"/>
        </w:rPr>
        <w:t>, Helen Hickey</w:t>
      </w:r>
      <w:r w:rsidR="008D53BA" w:rsidRPr="004971DC">
        <w:rPr>
          <w:rFonts w:asciiTheme="minorHAnsi" w:hAnsiTheme="minorHAnsi"/>
          <w:sz w:val="24"/>
          <w:vertAlign w:val="superscript"/>
        </w:rPr>
        <w:t>4</w:t>
      </w:r>
      <w:r w:rsidRPr="004971DC">
        <w:rPr>
          <w:rFonts w:asciiTheme="minorHAnsi" w:hAnsiTheme="minorHAnsi"/>
          <w:sz w:val="24"/>
        </w:rPr>
        <w:t xml:space="preserve">, </w:t>
      </w:r>
      <w:proofErr w:type="spellStart"/>
      <w:r w:rsidRPr="004971DC">
        <w:rPr>
          <w:rFonts w:asciiTheme="minorHAnsi" w:hAnsiTheme="minorHAnsi"/>
          <w:sz w:val="24"/>
        </w:rPr>
        <w:t>Dyfrig</w:t>
      </w:r>
      <w:proofErr w:type="spellEnd"/>
      <w:r w:rsidRPr="004971DC">
        <w:rPr>
          <w:rFonts w:asciiTheme="minorHAnsi" w:hAnsiTheme="minorHAnsi"/>
          <w:sz w:val="24"/>
        </w:rPr>
        <w:t xml:space="preserve"> Hughes</w:t>
      </w:r>
      <w:r w:rsidR="009F5E11">
        <w:rPr>
          <w:rFonts w:asciiTheme="minorHAnsi" w:hAnsiTheme="minorHAnsi"/>
          <w:sz w:val="24"/>
        </w:rPr>
        <w:t>, Ph.D.</w:t>
      </w:r>
      <w:r w:rsidR="008D53BA" w:rsidRPr="004971DC">
        <w:rPr>
          <w:rFonts w:asciiTheme="minorHAnsi" w:hAnsiTheme="minorHAnsi"/>
          <w:sz w:val="24"/>
          <w:vertAlign w:val="superscript"/>
        </w:rPr>
        <w:t>6</w:t>
      </w:r>
      <w:r w:rsidR="007A0F82" w:rsidRPr="004971DC">
        <w:rPr>
          <w:rFonts w:asciiTheme="minorHAnsi" w:hAnsiTheme="minorHAnsi"/>
          <w:sz w:val="24"/>
        </w:rPr>
        <w:t>, Patr</w:t>
      </w:r>
      <w:r w:rsidRPr="004971DC">
        <w:rPr>
          <w:rFonts w:asciiTheme="minorHAnsi" w:hAnsiTheme="minorHAnsi"/>
          <w:sz w:val="24"/>
        </w:rPr>
        <w:t>icia Woo</w:t>
      </w:r>
      <w:r w:rsidR="004E589F">
        <w:rPr>
          <w:rFonts w:asciiTheme="minorHAnsi" w:hAnsiTheme="minorHAnsi"/>
          <w:sz w:val="24"/>
        </w:rPr>
        <w:t>, F.Med.Sci.</w:t>
      </w:r>
      <w:r w:rsidR="00C973E3" w:rsidRPr="004971DC">
        <w:rPr>
          <w:rFonts w:asciiTheme="minorHAnsi" w:hAnsiTheme="minorHAnsi"/>
          <w:sz w:val="24"/>
          <w:vertAlign w:val="superscript"/>
        </w:rPr>
        <w:t>3</w:t>
      </w:r>
      <w:r w:rsidRPr="004971DC">
        <w:rPr>
          <w:rFonts w:asciiTheme="minorHAnsi" w:hAnsiTheme="minorHAnsi"/>
          <w:sz w:val="24"/>
        </w:rPr>
        <w:t>, Diana Benton</w:t>
      </w:r>
      <w:r w:rsidR="008D53BA" w:rsidRPr="004971DC">
        <w:rPr>
          <w:rFonts w:asciiTheme="minorHAnsi" w:hAnsiTheme="minorHAnsi"/>
          <w:sz w:val="24"/>
          <w:vertAlign w:val="superscript"/>
        </w:rPr>
        <w:t>1</w:t>
      </w:r>
      <w:r w:rsidR="007A0F82" w:rsidRPr="004971DC">
        <w:rPr>
          <w:rFonts w:asciiTheme="minorHAnsi" w:hAnsiTheme="minorHAnsi"/>
          <w:sz w:val="24"/>
        </w:rPr>
        <w:t xml:space="preserve">, Clive </w:t>
      </w:r>
      <w:proofErr w:type="spellStart"/>
      <w:r w:rsidR="007A0F82" w:rsidRPr="004971DC">
        <w:rPr>
          <w:rFonts w:asciiTheme="minorHAnsi" w:hAnsiTheme="minorHAnsi"/>
          <w:sz w:val="24"/>
        </w:rPr>
        <w:t>Edelsten</w:t>
      </w:r>
      <w:proofErr w:type="spellEnd"/>
      <w:r w:rsidR="004E589F">
        <w:rPr>
          <w:rFonts w:asciiTheme="minorHAnsi" w:hAnsiTheme="minorHAnsi"/>
          <w:sz w:val="24"/>
        </w:rPr>
        <w:t>, M.R.C.P., F.R.</w:t>
      </w:r>
      <w:proofErr w:type="gramStart"/>
      <w:r w:rsidR="004E589F">
        <w:rPr>
          <w:rFonts w:asciiTheme="minorHAnsi" w:hAnsiTheme="minorHAnsi"/>
          <w:sz w:val="24"/>
        </w:rPr>
        <w:t>C.Ophth</w:t>
      </w:r>
      <w:proofErr w:type="gramEnd"/>
      <w:r w:rsidR="004E589F">
        <w:rPr>
          <w:rFonts w:asciiTheme="minorHAnsi" w:hAnsiTheme="minorHAnsi"/>
          <w:sz w:val="24"/>
        </w:rPr>
        <w:t>.</w:t>
      </w:r>
      <w:r w:rsidR="008D53BA" w:rsidRPr="004971DC">
        <w:rPr>
          <w:rFonts w:asciiTheme="minorHAnsi" w:hAnsiTheme="minorHAnsi"/>
          <w:sz w:val="24"/>
          <w:vertAlign w:val="superscript"/>
        </w:rPr>
        <w:t>5</w:t>
      </w:r>
      <w:r w:rsidR="00580710" w:rsidRPr="004971DC">
        <w:rPr>
          <w:rFonts w:asciiTheme="minorHAnsi" w:hAnsiTheme="minorHAnsi"/>
          <w:sz w:val="24"/>
        </w:rPr>
        <w:t xml:space="preserve">, </w:t>
      </w:r>
      <w:r w:rsidR="007A0F82" w:rsidRPr="004971DC">
        <w:rPr>
          <w:rFonts w:asciiTheme="minorHAnsi" w:hAnsiTheme="minorHAnsi"/>
          <w:sz w:val="24"/>
        </w:rPr>
        <w:t>Michael W. Beresford</w:t>
      </w:r>
      <w:r w:rsidR="004E589F">
        <w:rPr>
          <w:rFonts w:asciiTheme="minorHAnsi" w:hAnsiTheme="minorHAnsi"/>
          <w:sz w:val="24"/>
        </w:rPr>
        <w:t>, M.B., Ch.B., Ph.D.</w:t>
      </w:r>
      <w:r w:rsidR="00B841FF" w:rsidRPr="004971DC">
        <w:rPr>
          <w:rFonts w:asciiTheme="minorHAnsi" w:hAnsiTheme="minorHAnsi"/>
          <w:sz w:val="24"/>
        </w:rPr>
        <w:t>,</w:t>
      </w:r>
      <w:r w:rsidR="000C6500" w:rsidRPr="004971DC">
        <w:rPr>
          <w:rFonts w:asciiTheme="minorHAnsi" w:hAnsiTheme="minorHAnsi"/>
          <w:sz w:val="24"/>
          <w:vertAlign w:val="superscript"/>
        </w:rPr>
        <w:t>4,</w:t>
      </w:r>
      <w:r w:rsidR="00C973E3" w:rsidRPr="004971DC">
        <w:rPr>
          <w:rFonts w:asciiTheme="minorHAnsi" w:hAnsiTheme="minorHAnsi"/>
          <w:sz w:val="24"/>
          <w:vertAlign w:val="superscript"/>
        </w:rPr>
        <w:t>7</w:t>
      </w:r>
      <w:r w:rsidR="007A0F82" w:rsidRPr="004971DC">
        <w:rPr>
          <w:rFonts w:asciiTheme="minorHAnsi" w:hAnsiTheme="minorHAnsi"/>
          <w:sz w:val="24"/>
        </w:rPr>
        <w:t xml:space="preserve"> </w:t>
      </w:r>
      <w:r w:rsidR="00B841FF" w:rsidRPr="004971DC">
        <w:rPr>
          <w:rFonts w:asciiTheme="minorHAnsi" w:hAnsiTheme="minorHAnsi"/>
          <w:sz w:val="24"/>
        </w:rPr>
        <w:t xml:space="preserve">on behalf of the SYCAMORE </w:t>
      </w:r>
      <w:r w:rsidR="000C6500" w:rsidRPr="004971DC">
        <w:rPr>
          <w:rFonts w:asciiTheme="minorHAnsi" w:hAnsiTheme="minorHAnsi"/>
          <w:sz w:val="24"/>
        </w:rPr>
        <w:t>S</w:t>
      </w:r>
      <w:r w:rsidR="00B841FF" w:rsidRPr="004971DC">
        <w:rPr>
          <w:rFonts w:asciiTheme="minorHAnsi" w:hAnsiTheme="minorHAnsi"/>
          <w:sz w:val="24"/>
        </w:rPr>
        <w:t>tudy</w:t>
      </w:r>
      <w:r w:rsidR="000C6500" w:rsidRPr="004971DC">
        <w:rPr>
          <w:rFonts w:asciiTheme="minorHAnsi" w:hAnsiTheme="minorHAnsi"/>
          <w:sz w:val="24"/>
        </w:rPr>
        <w:t xml:space="preserve"> G</w:t>
      </w:r>
      <w:r w:rsidR="00B841FF" w:rsidRPr="004971DC">
        <w:rPr>
          <w:rFonts w:asciiTheme="minorHAnsi" w:hAnsiTheme="minorHAnsi"/>
          <w:sz w:val="24"/>
        </w:rPr>
        <w:t>roup</w:t>
      </w:r>
      <w:r w:rsidR="00B841FF" w:rsidRPr="004971DC">
        <w:rPr>
          <w:rFonts w:asciiTheme="minorHAnsi" w:hAnsiTheme="minorHAnsi"/>
          <w:sz w:val="24"/>
          <w:vertAlign w:val="superscript"/>
        </w:rPr>
        <w:t>*</w:t>
      </w:r>
      <w:r w:rsidR="00D87035" w:rsidRPr="004971DC">
        <w:rPr>
          <w:rFonts w:asciiTheme="minorHAnsi" w:hAnsiTheme="minorHAnsi"/>
          <w:sz w:val="24"/>
        </w:rPr>
        <w:t>.</w:t>
      </w:r>
    </w:p>
    <w:p w14:paraId="488C7D4D" w14:textId="77777777" w:rsidR="00F57657" w:rsidRPr="004971DC" w:rsidRDefault="00F57657" w:rsidP="004971DC">
      <w:pPr>
        <w:pStyle w:val="NoSpacing"/>
      </w:pPr>
    </w:p>
    <w:p w14:paraId="11D8CB2B" w14:textId="0544872B" w:rsidR="008D53BA" w:rsidRPr="004971DC" w:rsidRDefault="008D53BA" w:rsidP="004971DC">
      <w:pPr>
        <w:pStyle w:val="NoSpacing"/>
        <w:spacing w:line="480" w:lineRule="auto"/>
        <w:jc w:val="left"/>
        <w:rPr>
          <w:rFonts w:asciiTheme="minorHAnsi" w:hAnsiTheme="minorHAnsi"/>
          <w:sz w:val="24"/>
        </w:rPr>
      </w:pPr>
      <w:r w:rsidRPr="004971DC">
        <w:rPr>
          <w:rFonts w:asciiTheme="minorHAnsi" w:hAnsiTheme="minorHAnsi"/>
          <w:sz w:val="24"/>
          <w:vertAlign w:val="superscript"/>
        </w:rPr>
        <w:t>1</w:t>
      </w:r>
      <w:r w:rsidRPr="004971DC">
        <w:rPr>
          <w:rFonts w:asciiTheme="minorHAnsi" w:hAnsiTheme="minorHAnsi"/>
          <w:sz w:val="24"/>
        </w:rPr>
        <w:t xml:space="preserve"> University Hospitals Bristol NHS Foundation Trust, Bristol, UK, </w:t>
      </w:r>
      <w:r w:rsidRPr="004971DC">
        <w:rPr>
          <w:rFonts w:asciiTheme="minorHAnsi" w:hAnsiTheme="minorHAnsi"/>
          <w:sz w:val="24"/>
          <w:vertAlign w:val="superscript"/>
        </w:rPr>
        <w:t>2</w:t>
      </w:r>
      <w:r w:rsidRPr="004971DC">
        <w:rPr>
          <w:rFonts w:asciiTheme="minorHAnsi" w:hAnsiTheme="minorHAnsi"/>
          <w:sz w:val="24"/>
        </w:rPr>
        <w:t xml:space="preserve"> Bristol </w:t>
      </w:r>
      <w:r w:rsidR="004971DC" w:rsidRPr="004971DC">
        <w:rPr>
          <w:rFonts w:asciiTheme="minorHAnsi" w:hAnsiTheme="minorHAnsi"/>
          <w:sz w:val="24"/>
        </w:rPr>
        <w:t>Eye Hospital, Bristol, UK,</w:t>
      </w:r>
      <w:r w:rsidRPr="004971DC">
        <w:rPr>
          <w:rFonts w:asciiTheme="minorHAnsi" w:hAnsiTheme="minorHAnsi"/>
          <w:sz w:val="24"/>
        </w:rPr>
        <w:t xml:space="preserve"> </w:t>
      </w:r>
      <w:r w:rsidRPr="004971DC">
        <w:rPr>
          <w:rFonts w:asciiTheme="minorHAnsi" w:hAnsiTheme="minorHAnsi"/>
          <w:sz w:val="24"/>
          <w:vertAlign w:val="superscript"/>
        </w:rPr>
        <w:t xml:space="preserve">3 </w:t>
      </w:r>
      <w:r w:rsidRPr="004971DC">
        <w:rPr>
          <w:rFonts w:asciiTheme="minorHAnsi" w:hAnsiTheme="minorHAnsi"/>
          <w:sz w:val="24"/>
        </w:rPr>
        <w:t xml:space="preserve">School of Clinical Sciences, University of Bristol, UCL Institute of Ophthalmology and National Institute for Health Research (NIHR) Biomedical Research Centre at Moorfields Eye Hospital and University College London Institute of Ophthalmology, </w:t>
      </w:r>
      <w:r w:rsidRPr="004971DC">
        <w:rPr>
          <w:rFonts w:asciiTheme="minorHAnsi" w:hAnsiTheme="minorHAnsi"/>
          <w:sz w:val="24"/>
          <w:vertAlign w:val="superscript"/>
        </w:rPr>
        <w:t>4</w:t>
      </w:r>
      <w:r w:rsidRPr="004971DC">
        <w:rPr>
          <w:rFonts w:asciiTheme="minorHAnsi" w:hAnsiTheme="minorHAnsi"/>
          <w:sz w:val="24"/>
        </w:rPr>
        <w:t xml:space="preserve">Institute of Translational Medicine, University of Liverpool, </w:t>
      </w:r>
      <w:r w:rsidR="000C6500" w:rsidRPr="004971DC">
        <w:rPr>
          <w:rFonts w:asciiTheme="minorHAnsi" w:hAnsiTheme="minorHAnsi"/>
          <w:sz w:val="24"/>
        </w:rPr>
        <w:t xml:space="preserve">Liverpool, </w:t>
      </w:r>
      <w:r w:rsidRPr="004971DC">
        <w:rPr>
          <w:rFonts w:asciiTheme="minorHAnsi" w:hAnsiTheme="minorHAnsi"/>
          <w:sz w:val="24"/>
        </w:rPr>
        <w:t xml:space="preserve">UK, </w:t>
      </w:r>
      <w:r w:rsidRPr="004971DC">
        <w:rPr>
          <w:rFonts w:asciiTheme="minorHAnsi" w:hAnsiTheme="minorHAnsi"/>
          <w:sz w:val="24"/>
          <w:vertAlign w:val="superscript"/>
        </w:rPr>
        <w:t>5</w:t>
      </w:r>
      <w:r w:rsidRPr="004971DC">
        <w:rPr>
          <w:rFonts w:asciiTheme="minorHAnsi" w:hAnsiTheme="minorHAnsi"/>
          <w:sz w:val="24"/>
        </w:rPr>
        <w:t xml:space="preserve"> </w:t>
      </w:r>
      <w:r w:rsidR="00C973E3" w:rsidRPr="004971DC">
        <w:rPr>
          <w:rFonts w:asciiTheme="minorHAnsi" w:hAnsiTheme="minorHAnsi"/>
          <w:sz w:val="24"/>
        </w:rPr>
        <w:t xml:space="preserve">Great Ormond Street Hospital, Great Ormond Street, London, WC1N 3JH UK, </w:t>
      </w:r>
      <w:r w:rsidR="00C973E3" w:rsidRPr="004971DC">
        <w:rPr>
          <w:rFonts w:asciiTheme="minorHAnsi" w:hAnsiTheme="minorHAnsi"/>
          <w:sz w:val="24"/>
          <w:vertAlign w:val="superscript"/>
        </w:rPr>
        <w:t>6</w:t>
      </w:r>
      <w:r w:rsidR="00C973E3" w:rsidRPr="004971DC">
        <w:rPr>
          <w:rFonts w:asciiTheme="minorHAnsi" w:hAnsiTheme="minorHAnsi"/>
          <w:sz w:val="24"/>
        </w:rPr>
        <w:t xml:space="preserve"> Bangor University, College Road, Bangor, LL57 2DG UK, </w:t>
      </w:r>
      <w:r w:rsidR="00C973E3" w:rsidRPr="004971DC">
        <w:rPr>
          <w:rFonts w:asciiTheme="minorHAnsi" w:hAnsiTheme="minorHAnsi"/>
          <w:sz w:val="24"/>
          <w:vertAlign w:val="superscript"/>
        </w:rPr>
        <w:t>7</w:t>
      </w:r>
      <w:r w:rsidR="00C973E3" w:rsidRPr="004971DC">
        <w:rPr>
          <w:rFonts w:asciiTheme="minorHAnsi" w:hAnsiTheme="minorHAnsi"/>
          <w:sz w:val="24"/>
        </w:rPr>
        <w:t xml:space="preserve"> Department of Paediatric Rheumatology, Alder Hey Children’s NHS Foundation Trust, </w:t>
      </w:r>
      <w:r w:rsidR="00004E70" w:rsidRPr="004971DC">
        <w:rPr>
          <w:rFonts w:asciiTheme="minorHAnsi" w:hAnsiTheme="minorHAnsi"/>
          <w:sz w:val="24"/>
        </w:rPr>
        <w:t xml:space="preserve">Liverpool, </w:t>
      </w:r>
      <w:r w:rsidR="00C973E3" w:rsidRPr="004971DC">
        <w:rPr>
          <w:rFonts w:asciiTheme="minorHAnsi" w:hAnsiTheme="minorHAnsi"/>
          <w:sz w:val="24"/>
        </w:rPr>
        <w:t>UK</w:t>
      </w:r>
    </w:p>
    <w:p w14:paraId="50AFC35F" w14:textId="77777777" w:rsidR="00F57657" w:rsidRPr="004971DC" w:rsidRDefault="00F57657" w:rsidP="004971DC">
      <w:pPr>
        <w:pStyle w:val="NoSpacing"/>
      </w:pPr>
    </w:p>
    <w:p w14:paraId="38575B2E" w14:textId="31023CD6" w:rsidR="00D87035" w:rsidRDefault="00580710" w:rsidP="004971DC">
      <w:pPr>
        <w:pStyle w:val="NoSpacing"/>
        <w:spacing w:line="480" w:lineRule="auto"/>
        <w:jc w:val="left"/>
        <w:rPr>
          <w:rFonts w:asciiTheme="minorHAnsi" w:hAnsiTheme="minorHAnsi"/>
          <w:sz w:val="24"/>
        </w:rPr>
      </w:pPr>
      <w:r w:rsidRPr="004971DC">
        <w:rPr>
          <w:rFonts w:asciiTheme="minorHAnsi" w:hAnsiTheme="minorHAnsi"/>
          <w:sz w:val="24"/>
        </w:rPr>
        <w:t xml:space="preserve">* </w:t>
      </w:r>
      <w:r w:rsidR="00D87035" w:rsidRPr="004971DC">
        <w:rPr>
          <w:rFonts w:asciiTheme="minorHAnsi" w:hAnsiTheme="minorHAnsi"/>
          <w:sz w:val="24"/>
        </w:rPr>
        <w:t xml:space="preserve">A </w:t>
      </w:r>
      <w:r w:rsidR="00D87035" w:rsidRPr="004971DC">
        <w:rPr>
          <w:rFonts w:asciiTheme="minorHAnsi" w:hAnsiTheme="minorHAnsi" w:cs="Times"/>
          <w:sz w:val="24"/>
          <w:lang w:val="en-US"/>
        </w:rPr>
        <w:t xml:space="preserve">complete list of the investigators in SYCAMORE Study Group is provided in the Supplementary Appendix, Table S1, </w:t>
      </w:r>
      <w:r w:rsidRPr="004971DC">
        <w:rPr>
          <w:rFonts w:asciiTheme="minorHAnsi" w:hAnsiTheme="minorHAnsi"/>
          <w:sz w:val="24"/>
        </w:rPr>
        <w:t>available at NEJM.org</w:t>
      </w:r>
    </w:p>
    <w:p w14:paraId="60E2BBF2" w14:textId="77777777" w:rsidR="004971DC" w:rsidRPr="004971DC" w:rsidRDefault="004971DC" w:rsidP="004971DC">
      <w:pPr>
        <w:pStyle w:val="NoSpacing"/>
        <w:jc w:val="left"/>
        <w:rPr>
          <w:rFonts w:asciiTheme="minorHAnsi" w:hAnsiTheme="minorHAnsi"/>
          <w:sz w:val="24"/>
        </w:rPr>
      </w:pPr>
    </w:p>
    <w:p w14:paraId="7051B3C1" w14:textId="77777777" w:rsidR="008D53BA" w:rsidRPr="004971DC" w:rsidRDefault="0090102C" w:rsidP="004971DC">
      <w:pPr>
        <w:pStyle w:val="NoSpacing"/>
        <w:jc w:val="left"/>
        <w:rPr>
          <w:rFonts w:asciiTheme="minorHAnsi" w:hAnsiTheme="minorHAnsi"/>
          <w:b/>
          <w:sz w:val="24"/>
        </w:rPr>
      </w:pPr>
      <w:r w:rsidRPr="004971DC">
        <w:rPr>
          <w:rFonts w:asciiTheme="minorHAnsi" w:hAnsiTheme="minorHAnsi"/>
          <w:b/>
          <w:sz w:val="24"/>
        </w:rPr>
        <w:t xml:space="preserve">Address for correspondence: </w:t>
      </w:r>
    </w:p>
    <w:p w14:paraId="76E136C0" w14:textId="77777777" w:rsidR="004E589F" w:rsidRDefault="008D53BA" w:rsidP="004971DC">
      <w:pPr>
        <w:pStyle w:val="NoSpacing"/>
        <w:jc w:val="left"/>
        <w:rPr>
          <w:rFonts w:asciiTheme="minorHAnsi" w:hAnsiTheme="minorHAnsi"/>
          <w:sz w:val="24"/>
        </w:rPr>
      </w:pPr>
      <w:proofErr w:type="spellStart"/>
      <w:r w:rsidRPr="004971DC">
        <w:rPr>
          <w:rFonts w:asciiTheme="minorHAnsi" w:hAnsiTheme="minorHAnsi"/>
          <w:sz w:val="24"/>
        </w:rPr>
        <w:t>Prof.</w:t>
      </w:r>
      <w:proofErr w:type="spellEnd"/>
      <w:r w:rsidRPr="004971DC">
        <w:rPr>
          <w:rFonts w:asciiTheme="minorHAnsi" w:hAnsiTheme="minorHAnsi"/>
          <w:sz w:val="24"/>
        </w:rPr>
        <w:t xml:space="preserve"> A. V. </w:t>
      </w:r>
      <w:proofErr w:type="spellStart"/>
      <w:r w:rsidRPr="004971DC">
        <w:rPr>
          <w:rFonts w:asciiTheme="minorHAnsi" w:hAnsiTheme="minorHAnsi"/>
          <w:sz w:val="24"/>
        </w:rPr>
        <w:t>Ramanan</w:t>
      </w:r>
      <w:proofErr w:type="spellEnd"/>
    </w:p>
    <w:p w14:paraId="0223B16B" w14:textId="3980AAD6" w:rsidR="008D53BA" w:rsidRPr="004971DC" w:rsidRDefault="0090102C" w:rsidP="004971DC">
      <w:pPr>
        <w:pStyle w:val="NoSpacing"/>
        <w:jc w:val="left"/>
        <w:rPr>
          <w:rFonts w:asciiTheme="minorHAnsi" w:hAnsiTheme="minorHAnsi"/>
          <w:sz w:val="24"/>
        </w:rPr>
      </w:pPr>
      <w:r w:rsidRPr="004971DC">
        <w:rPr>
          <w:rFonts w:asciiTheme="minorHAnsi" w:hAnsiTheme="minorHAnsi"/>
          <w:sz w:val="24"/>
        </w:rPr>
        <w:t>Department of Paediatric Rheumatology</w:t>
      </w:r>
    </w:p>
    <w:p w14:paraId="1105A822" w14:textId="77777777" w:rsidR="004E589F" w:rsidRDefault="0090102C" w:rsidP="004971DC">
      <w:pPr>
        <w:pStyle w:val="NoSpacing"/>
        <w:jc w:val="left"/>
        <w:rPr>
          <w:rFonts w:asciiTheme="minorHAnsi" w:hAnsiTheme="minorHAnsi"/>
          <w:sz w:val="24"/>
        </w:rPr>
      </w:pPr>
      <w:r w:rsidRPr="004971DC">
        <w:rPr>
          <w:rFonts w:asciiTheme="minorHAnsi" w:hAnsiTheme="minorHAnsi"/>
          <w:sz w:val="24"/>
        </w:rPr>
        <w:t>Bristol Royal Hospital for Children</w:t>
      </w:r>
    </w:p>
    <w:p w14:paraId="7A70E669" w14:textId="1826A4F8" w:rsidR="008D53BA" w:rsidRPr="004971DC" w:rsidRDefault="0090102C" w:rsidP="004971DC">
      <w:pPr>
        <w:pStyle w:val="NoSpacing"/>
        <w:jc w:val="left"/>
        <w:rPr>
          <w:rFonts w:asciiTheme="minorHAnsi" w:hAnsiTheme="minorHAnsi"/>
          <w:sz w:val="24"/>
        </w:rPr>
      </w:pPr>
      <w:r w:rsidRPr="004971DC">
        <w:rPr>
          <w:rFonts w:asciiTheme="minorHAnsi" w:hAnsiTheme="minorHAnsi"/>
          <w:sz w:val="24"/>
        </w:rPr>
        <w:lastRenderedPageBreak/>
        <w:t>Bristol, UK, BS28BJ</w:t>
      </w:r>
    </w:p>
    <w:p w14:paraId="7436A1EC" w14:textId="58443E35" w:rsidR="0090102C" w:rsidRPr="004971DC" w:rsidRDefault="0090102C" w:rsidP="004971DC">
      <w:pPr>
        <w:pStyle w:val="NoSpacing"/>
        <w:jc w:val="left"/>
        <w:rPr>
          <w:rFonts w:asciiTheme="minorHAnsi" w:hAnsiTheme="minorHAnsi"/>
          <w:sz w:val="24"/>
        </w:rPr>
      </w:pPr>
      <w:r w:rsidRPr="004971DC">
        <w:rPr>
          <w:rFonts w:asciiTheme="minorHAnsi" w:hAnsiTheme="minorHAnsi"/>
          <w:sz w:val="24"/>
        </w:rPr>
        <w:t>Email – avramanan@hotmail.com</w:t>
      </w:r>
    </w:p>
    <w:p w14:paraId="3336FAFE" w14:textId="1D936DAD" w:rsidR="002E11F7" w:rsidRPr="004971DC" w:rsidRDefault="002E11F7" w:rsidP="004971DC">
      <w:pPr>
        <w:pStyle w:val="NoSpacing"/>
        <w:jc w:val="left"/>
        <w:rPr>
          <w:rFonts w:asciiTheme="minorHAnsi" w:hAnsiTheme="minorHAnsi"/>
          <w:sz w:val="24"/>
        </w:rPr>
      </w:pPr>
      <w:r w:rsidRPr="004971DC">
        <w:rPr>
          <w:rFonts w:asciiTheme="minorHAnsi" w:hAnsiTheme="minorHAnsi"/>
          <w:sz w:val="24"/>
        </w:rPr>
        <w:t>Word Count (not including Abstract): 2</w:t>
      </w:r>
      <w:r w:rsidR="004E589F">
        <w:rPr>
          <w:rFonts w:asciiTheme="minorHAnsi" w:hAnsiTheme="minorHAnsi"/>
          <w:sz w:val="24"/>
        </w:rPr>
        <w:t>525</w:t>
      </w:r>
    </w:p>
    <w:p w14:paraId="1299CDF7" w14:textId="77777777" w:rsidR="00F57657" w:rsidRPr="004971DC" w:rsidRDefault="00F57657" w:rsidP="004971DC">
      <w:pPr>
        <w:pStyle w:val="NoSpacing"/>
        <w:jc w:val="left"/>
        <w:rPr>
          <w:rFonts w:asciiTheme="minorHAnsi" w:hAnsiTheme="minorHAnsi"/>
          <w:sz w:val="24"/>
          <w:u w:val="single"/>
        </w:rPr>
      </w:pPr>
      <w:r w:rsidRPr="004971DC">
        <w:rPr>
          <w:rFonts w:asciiTheme="minorHAnsi" w:hAnsiTheme="minorHAnsi"/>
          <w:sz w:val="24"/>
          <w:u w:val="single"/>
        </w:rPr>
        <w:br w:type="page"/>
      </w:r>
    </w:p>
    <w:p w14:paraId="042896C5" w14:textId="01E6E989" w:rsidR="007A0F82" w:rsidRPr="00AA11B3" w:rsidRDefault="00D87035" w:rsidP="004971DC">
      <w:pPr>
        <w:pStyle w:val="NoSpacing"/>
        <w:spacing w:line="480" w:lineRule="auto"/>
        <w:jc w:val="left"/>
        <w:rPr>
          <w:rFonts w:asciiTheme="minorHAnsi" w:hAnsiTheme="minorHAnsi"/>
          <w:b/>
          <w:sz w:val="24"/>
        </w:rPr>
      </w:pPr>
      <w:r w:rsidRPr="00AA11B3">
        <w:rPr>
          <w:rFonts w:asciiTheme="minorHAnsi" w:hAnsiTheme="minorHAnsi"/>
          <w:b/>
          <w:sz w:val="24"/>
        </w:rPr>
        <w:lastRenderedPageBreak/>
        <w:t>A</w:t>
      </w:r>
      <w:r w:rsidR="00E549CB" w:rsidRPr="00AA11B3">
        <w:rPr>
          <w:rFonts w:asciiTheme="minorHAnsi" w:hAnsiTheme="minorHAnsi"/>
          <w:b/>
          <w:sz w:val="24"/>
        </w:rPr>
        <w:t>BSTRACT</w:t>
      </w:r>
    </w:p>
    <w:p w14:paraId="63572894" w14:textId="3BE34670" w:rsidR="008275E8" w:rsidRPr="004971DC" w:rsidRDefault="00F57657" w:rsidP="00AA11B3">
      <w:pPr>
        <w:pStyle w:val="NoSpacing"/>
        <w:spacing w:line="480" w:lineRule="auto"/>
        <w:jc w:val="left"/>
        <w:rPr>
          <w:sz w:val="24"/>
        </w:rPr>
      </w:pPr>
      <w:r w:rsidRPr="004971DC">
        <w:rPr>
          <w:rFonts w:asciiTheme="minorHAnsi" w:hAnsiTheme="minorHAnsi"/>
          <w:b/>
          <w:sz w:val="24"/>
        </w:rPr>
        <w:t>Background:</w:t>
      </w:r>
      <w:r w:rsidRPr="004971DC">
        <w:rPr>
          <w:rFonts w:asciiTheme="minorHAnsi" w:hAnsiTheme="minorHAnsi"/>
          <w:sz w:val="24"/>
        </w:rPr>
        <w:t xml:space="preserve"> </w:t>
      </w:r>
      <w:r w:rsidR="008275E8" w:rsidRPr="004971DC">
        <w:rPr>
          <w:rFonts w:asciiTheme="minorHAnsi" w:hAnsiTheme="minorHAnsi"/>
          <w:sz w:val="24"/>
        </w:rPr>
        <w:t>Adalimumab</w:t>
      </w:r>
      <w:r w:rsidR="000A3F32" w:rsidRPr="004971DC">
        <w:rPr>
          <w:rFonts w:asciiTheme="minorHAnsi" w:hAnsiTheme="minorHAnsi"/>
          <w:sz w:val="24"/>
        </w:rPr>
        <w:t xml:space="preserve">, </w:t>
      </w:r>
      <w:r w:rsidR="000A3F32" w:rsidRPr="004971DC">
        <w:rPr>
          <w:rFonts w:asciiTheme="minorHAnsi" w:hAnsiTheme="minorHAnsi" w:cs="Arial"/>
          <w:sz w:val="24"/>
          <w:lang w:val="en-US"/>
        </w:rPr>
        <w:t>a fully human anti–TNF monoclonal antibody,</w:t>
      </w:r>
      <w:r w:rsidR="008275E8" w:rsidRPr="004971DC">
        <w:rPr>
          <w:rFonts w:asciiTheme="minorHAnsi" w:hAnsiTheme="minorHAnsi"/>
          <w:sz w:val="24"/>
        </w:rPr>
        <w:t xml:space="preserve"> is effective in </w:t>
      </w:r>
      <w:r w:rsidR="00F07E36" w:rsidRPr="004971DC">
        <w:rPr>
          <w:rFonts w:asciiTheme="minorHAnsi" w:hAnsiTheme="minorHAnsi"/>
          <w:sz w:val="24"/>
        </w:rPr>
        <w:t>juvenile idiopathic arthritis (JIA)</w:t>
      </w:r>
      <w:r w:rsidR="008275E8" w:rsidRPr="004971DC">
        <w:rPr>
          <w:rFonts w:asciiTheme="minorHAnsi" w:hAnsiTheme="minorHAnsi"/>
          <w:sz w:val="24"/>
        </w:rPr>
        <w:t>.</w:t>
      </w:r>
      <w:r w:rsidR="00E948F9" w:rsidRPr="004971DC">
        <w:rPr>
          <w:rFonts w:asciiTheme="minorHAnsi" w:hAnsiTheme="minorHAnsi"/>
          <w:sz w:val="24"/>
        </w:rPr>
        <w:t xml:space="preserve"> We have tested the efficacy of adalimumab in the treatment of JIA- associated uveitis.</w:t>
      </w:r>
    </w:p>
    <w:p w14:paraId="5D5ED6A1" w14:textId="19120032" w:rsidR="000D1175" w:rsidRPr="004971DC" w:rsidRDefault="00F57657" w:rsidP="00AA11B3">
      <w:pPr>
        <w:pStyle w:val="NoSpacing"/>
        <w:spacing w:line="480" w:lineRule="auto"/>
        <w:jc w:val="left"/>
        <w:rPr>
          <w:sz w:val="24"/>
        </w:rPr>
      </w:pPr>
      <w:r w:rsidRPr="004971DC">
        <w:rPr>
          <w:rFonts w:asciiTheme="minorHAnsi" w:hAnsiTheme="minorHAnsi"/>
          <w:b/>
          <w:sz w:val="24"/>
        </w:rPr>
        <w:t xml:space="preserve">Methods: </w:t>
      </w:r>
      <w:r w:rsidR="001C5E81" w:rsidRPr="004971DC">
        <w:rPr>
          <w:rFonts w:asciiTheme="minorHAnsi" w:hAnsiTheme="minorHAnsi"/>
          <w:sz w:val="24"/>
        </w:rPr>
        <w:t>A</w:t>
      </w:r>
      <w:r w:rsidR="00A26799" w:rsidRPr="004971DC">
        <w:rPr>
          <w:rFonts w:asciiTheme="minorHAnsi" w:hAnsiTheme="minorHAnsi"/>
          <w:sz w:val="24"/>
        </w:rPr>
        <w:t xml:space="preserve"> </w:t>
      </w:r>
      <w:proofErr w:type="spellStart"/>
      <w:r w:rsidR="00F07E36" w:rsidRPr="004971DC">
        <w:rPr>
          <w:rFonts w:asciiTheme="minorHAnsi" w:hAnsiTheme="minorHAnsi"/>
          <w:sz w:val="24"/>
        </w:rPr>
        <w:t>multicenter</w:t>
      </w:r>
      <w:proofErr w:type="spellEnd"/>
      <w:r w:rsidR="00F07E36" w:rsidRPr="004971DC">
        <w:rPr>
          <w:rFonts w:asciiTheme="minorHAnsi" w:hAnsiTheme="minorHAnsi"/>
          <w:sz w:val="24"/>
        </w:rPr>
        <w:t xml:space="preserve"> </w:t>
      </w:r>
      <w:r w:rsidR="00AA787B" w:rsidRPr="004971DC">
        <w:rPr>
          <w:rFonts w:asciiTheme="minorHAnsi" w:hAnsiTheme="minorHAnsi"/>
          <w:sz w:val="24"/>
        </w:rPr>
        <w:t>double</w:t>
      </w:r>
      <w:r w:rsidR="00F07E36" w:rsidRPr="004971DC">
        <w:rPr>
          <w:rFonts w:asciiTheme="minorHAnsi" w:hAnsiTheme="minorHAnsi"/>
          <w:sz w:val="24"/>
        </w:rPr>
        <w:t>-</w:t>
      </w:r>
      <w:r w:rsidR="00A26799" w:rsidRPr="004971DC">
        <w:rPr>
          <w:rFonts w:asciiTheme="minorHAnsi" w:hAnsiTheme="minorHAnsi"/>
          <w:sz w:val="24"/>
        </w:rPr>
        <w:t>blind, randomised placebo-controlled trial assess</w:t>
      </w:r>
      <w:r w:rsidR="001C5E81" w:rsidRPr="004971DC">
        <w:rPr>
          <w:rFonts w:asciiTheme="minorHAnsi" w:hAnsiTheme="minorHAnsi"/>
          <w:sz w:val="24"/>
        </w:rPr>
        <w:t>ed</w:t>
      </w:r>
      <w:r w:rsidR="00A26799" w:rsidRPr="004971DC">
        <w:rPr>
          <w:rFonts w:asciiTheme="minorHAnsi" w:hAnsiTheme="minorHAnsi"/>
          <w:sz w:val="24"/>
        </w:rPr>
        <w:t xml:space="preserve"> the efficacy and safety of adalimumab in </w:t>
      </w:r>
      <w:r w:rsidR="00B82340" w:rsidRPr="004971DC">
        <w:rPr>
          <w:rFonts w:asciiTheme="minorHAnsi" w:hAnsiTheme="minorHAnsi"/>
          <w:sz w:val="24"/>
        </w:rPr>
        <w:t>children</w:t>
      </w:r>
      <w:r w:rsidR="00F865B0" w:rsidRPr="004971DC">
        <w:rPr>
          <w:rFonts w:asciiTheme="minorHAnsi" w:hAnsiTheme="minorHAnsi"/>
          <w:sz w:val="24"/>
        </w:rPr>
        <w:t xml:space="preserve"> aged 2 to 18 years with active JIA-associated uveitis</w:t>
      </w:r>
      <w:r w:rsidR="00E9089D" w:rsidRPr="004971DC">
        <w:rPr>
          <w:rFonts w:asciiTheme="minorHAnsi" w:hAnsiTheme="minorHAnsi"/>
          <w:sz w:val="24"/>
        </w:rPr>
        <w:t>. Patients</w:t>
      </w:r>
      <w:r w:rsidR="00F865B0" w:rsidRPr="004971DC">
        <w:rPr>
          <w:rFonts w:asciiTheme="minorHAnsi" w:hAnsiTheme="minorHAnsi"/>
          <w:sz w:val="24"/>
        </w:rPr>
        <w:t xml:space="preserve"> </w:t>
      </w:r>
      <w:r w:rsidR="00634693" w:rsidRPr="004971DC">
        <w:rPr>
          <w:rFonts w:asciiTheme="minorHAnsi" w:hAnsiTheme="minorHAnsi"/>
          <w:sz w:val="24"/>
        </w:rPr>
        <w:t xml:space="preserve">on a </w:t>
      </w:r>
      <w:r w:rsidR="000A3F32" w:rsidRPr="004971DC">
        <w:rPr>
          <w:rFonts w:asciiTheme="minorHAnsi" w:hAnsiTheme="minorHAnsi"/>
          <w:sz w:val="24"/>
        </w:rPr>
        <w:t xml:space="preserve">stable dose of </w:t>
      </w:r>
      <w:r w:rsidR="00634693" w:rsidRPr="004971DC">
        <w:rPr>
          <w:rFonts w:asciiTheme="minorHAnsi" w:hAnsiTheme="minorHAnsi"/>
          <w:sz w:val="24"/>
        </w:rPr>
        <w:t xml:space="preserve">methotrexate </w:t>
      </w:r>
      <w:r w:rsidR="00F865B0" w:rsidRPr="004971DC">
        <w:rPr>
          <w:rFonts w:asciiTheme="minorHAnsi" w:hAnsiTheme="minorHAnsi"/>
          <w:sz w:val="24"/>
        </w:rPr>
        <w:t xml:space="preserve">were randomly assigned to adalimumab </w:t>
      </w:r>
      <w:r w:rsidR="000A3F32" w:rsidRPr="004971DC">
        <w:rPr>
          <w:rFonts w:asciiTheme="minorHAnsi" w:hAnsiTheme="minorHAnsi"/>
          <w:sz w:val="24"/>
        </w:rPr>
        <w:t xml:space="preserve">(20mg or 40mg </w:t>
      </w:r>
      <w:r w:rsidR="00634693" w:rsidRPr="004971DC">
        <w:rPr>
          <w:rFonts w:asciiTheme="minorHAnsi" w:hAnsiTheme="minorHAnsi"/>
          <w:sz w:val="24"/>
        </w:rPr>
        <w:t xml:space="preserve">subcutaneously </w:t>
      </w:r>
      <w:r w:rsidR="000A3F32" w:rsidRPr="004971DC">
        <w:rPr>
          <w:rFonts w:asciiTheme="minorHAnsi" w:hAnsiTheme="minorHAnsi"/>
          <w:sz w:val="24"/>
        </w:rPr>
        <w:t xml:space="preserve">based on body weight) </w:t>
      </w:r>
      <w:r w:rsidR="00F865B0" w:rsidRPr="004971DC">
        <w:rPr>
          <w:rFonts w:asciiTheme="minorHAnsi" w:hAnsiTheme="minorHAnsi"/>
          <w:sz w:val="24"/>
        </w:rPr>
        <w:t>or placebo</w:t>
      </w:r>
      <w:r w:rsidR="000A3F32" w:rsidRPr="004971DC">
        <w:rPr>
          <w:rFonts w:asciiTheme="minorHAnsi" w:hAnsiTheme="minorHAnsi"/>
          <w:sz w:val="24"/>
        </w:rPr>
        <w:t xml:space="preserve">, </w:t>
      </w:r>
      <w:r w:rsidR="00634693" w:rsidRPr="004971DC">
        <w:rPr>
          <w:rFonts w:asciiTheme="minorHAnsi" w:hAnsiTheme="minorHAnsi"/>
          <w:sz w:val="24"/>
        </w:rPr>
        <w:t>fortnightly</w:t>
      </w:r>
      <w:r w:rsidR="000A3F32" w:rsidRPr="004971DC">
        <w:rPr>
          <w:rFonts w:asciiTheme="minorHAnsi" w:hAnsiTheme="minorHAnsi"/>
          <w:sz w:val="24"/>
        </w:rPr>
        <w:t xml:space="preserve">, </w:t>
      </w:r>
      <w:r w:rsidR="00F865B0" w:rsidRPr="004971DC">
        <w:rPr>
          <w:rFonts w:asciiTheme="minorHAnsi" w:hAnsiTheme="minorHAnsi"/>
          <w:sz w:val="24"/>
        </w:rPr>
        <w:t>in</w:t>
      </w:r>
      <w:r w:rsidR="00634693" w:rsidRPr="004971DC">
        <w:rPr>
          <w:rFonts w:asciiTheme="minorHAnsi" w:hAnsiTheme="minorHAnsi"/>
          <w:sz w:val="24"/>
        </w:rPr>
        <w:t xml:space="preserve"> a 2:1 ratio. P</w:t>
      </w:r>
      <w:r w:rsidR="00F865B0" w:rsidRPr="004971DC">
        <w:rPr>
          <w:rFonts w:asciiTheme="minorHAnsi" w:hAnsiTheme="minorHAnsi"/>
          <w:sz w:val="24"/>
        </w:rPr>
        <w:t>atients were treated</w:t>
      </w:r>
      <w:r w:rsidR="00A13C2E" w:rsidRPr="004971DC">
        <w:rPr>
          <w:rFonts w:asciiTheme="minorHAnsi" w:hAnsiTheme="minorHAnsi"/>
          <w:sz w:val="24"/>
        </w:rPr>
        <w:t xml:space="preserve"> </w:t>
      </w:r>
      <w:r w:rsidR="00F07E36" w:rsidRPr="004971DC">
        <w:rPr>
          <w:rFonts w:asciiTheme="minorHAnsi" w:hAnsiTheme="minorHAnsi"/>
          <w:sz w:val="24"/>
        </w:rPr>
        <w:t xml:space="preserve">until treatment failure or until </w:t>
      </w:r>
      <w:r w:rsidR="00F865B0" w:rsidRPr="004971DC">
        <w:rPr>
          <w:rFonts w:asciiTheme="minorHAnsi" w:hAnsiTheme="minorHAnsi"/>
          <w:sz w:val="24"/>
        </w:rPr>
        <w:t>18 months</w:t>
      </w:r>
      <w:r w:rsidR="00F07E36" w:rsidRPr="004971DC">
        <w:rPr>
          <w:rFonts w:asciiTheme="minorHAnsi" w:hAnsiTheme="minorHAnsi"/>
          <w:sz w:val="24"/>
        </w:rPr>
        <w:t xml:space="preserve"> had elapsed. They were followed for</w:t>
      </w:r>
      <w:r w:rsidR="00FC2573" w:rsidRPr="004971DC">
        <w:rPr>
          <w:rFonts w:asciiTheme="minorHAnsi" w:hAnsiTheme="minorHAnsi"/>
          <w:sz w:val="24"/>
        </w:rPr>
        <w:t xml:space="preserve"> two</w:t>
      </w:r>
      <w:r w:rsidR="00F865B0" w:rsidRPr="004971DC">
        <w:rPr>
          <w:rFonts w:asciiTheme="minorHAnsi" w:hAnsiTheme="minorHAnsi"/>
          <w:sz w:val="24"/>
        </w:rPr>
        <w:t xml:space="preserve"> years </w:t>
      </w:r>
      <w:r w:rsidR="00F07E36" w:rsidRPr="004971DC">
        <w:rPr>
          <w:rFonts w:asciiTheme="minorHAnsi" w:hAnsiTheme="minorHAnsi"/>
          <w:sz w:val="24"/>
        </w:rPr>
        <w:t xml:space="preserve">after </w:t>
      </w:r>
      <w:r w:rsidR="00F865B0" w:rsidRPr="004971DC">
        <w:rPr>
          <w:rFonts w:asciiTheme="minorHAnsi" w:hAnsiTheme="minorHAnsi"/>
          <w:sz w:val="24"/>
        </w:rPr>
        <w:t xml:space="preserve">randomisation. </w:t>
      </w:r>
      <w:r w:rsidR="00F07E36" w:rsidRPr="004971DC">
        <w:rPr>
          <w:rFonts w:asciiTheme="minorHAnsi" w:hAnsiTheme="minorHAnsi" w:cs="Arial"/>
          <w:sz w:val="24"/>
        </w:rPr>
        <w:t>The p</w:t>
      </w:r>
      <w:r w:rsidR="000D1175" w:rsidRPr="004971DC">
        <w:rPr>
          <w:rFonts w:asciiTheme="minorHAnsi" w:hAnsiTheme="minorHAnsi" w:cs="Arial"/>
          <w:sz w:val="24"/>
        </w:rPr>
        <w:t xml:space="preserve">rimary </w:t>
      </w:r>
      <w:r w:rsidR="00724E08" w:rsidRPr="004971DC">
        <w:rPr>
          <w:rFonts w:asciiTheme="minorHAnsi" w:hAnsiTheme="minorHAnsi" w:cs="Arial"/>
          <w:sz w:val="24"/>
        </w:rPr>
        <w:t xml:space="preserve">endpoint </w:t>
      </w:r>
      <w:r w:rsidR="000D1175" w:rsidRPr="004971DC">
        <w:rPr>
          <w:rFonts w:asciiTheme="minorHAnsi" w:hAnsiTheme="minorHAnsi" w:cs="Arial"/>
          <w:sz w:val="24"/>
        </w:rPr>
        <w:t>was time to treatment failure</w:t>
      </w:r>
      <w:r w:rsidR="000A3F32" w:rsidRPr="004971DC">
        <w:rPr>
          <w:rFonts w:asciiTheme="minorHAnsi" w:hAnsiTheme="minorHAnsi" w:cs="Arial"/>
          <w:sz w:val="24"/>
        </w:rPr>
        <w:t xml:space="preserve"> defined by a multi-component</w:t>
      </w:r>
      <w:r w:rsidR="00E70C87" w:rsidRPr="004971DC">
        <w:rPr>
          <w:rFonts w:asciiTheme="minorHAnsi" w:hAnsiTheme="minorHAnsi" w:cs="Arial"/>
          <w:sz w:val="24"/>
        </w:rPr>
        <w:t>,</w:t>
      </w:r>
      <w:r w:rsidR="000A3F32" w:rsidRPr="004971DC">
        <w:rPr>
          <w:rFonts w:asciiTheme="minorHAnsi" w:hAnsiTheme="minorHAnsi" w:cs="Arial"/>
          <w:sz w:val="24"/>
        </w:rPr>
        <w:t xml:space="preserve"> </w:t>
      </w:r>
      <w:r w:rsidR="00E9089D" w:rsidRPr="004971DC">
        <w:rPr>
          <w:rFonts w:asciiTheme="minorHAnsi" w:hAnsiTheme="minorHAnsi" w:cs="Arial"/>
          <w:sz w:val="24"/>
        </w:rPr>
        <w:t xml:space="preserve">intraocular inflammatory </w:t>
      </w:r>
      <w:r w:rsidR="006C49CD" w:rsidRPr="004971DC">
        <w:rPr>
          <w:rFonts w:asciiTheme="minorHAnsi" w:hAnsiTheme="minorHAnsi" w:cs="Arial"/>
          <w:sz w:val="24"/>
        </w:rPr>
        <w:t>score</w:t>
      </w:r>
      <w:r w:rsidR="00E70C87" w:rsidRPr="004971DC">
        <w:rPr>
          <w:rFonts w:asciiTheme="minorHAnsi" w:hAnsiTheme="minorHAnsi" w:cs="Arial"/>
          <w:sz w:val="24"/>
        </w:rPr>
        <w:t>,</w:t>
      </w:r>
      <w:r w:rsidR="000A3F32" w:rsidRPr="004971DC">
        <w:rPr>
          <w:rFonts w:asciiTheme="minorHAnsi" w:hAnsiTheme="minorHAnsi" w:cs="Arial"/>
          <w:sz w:val="24"/>
        </w:rPr>
        <w:t xml:space="preserve"> based on Standardised Uveitis Nomenclature criteria</w:t>
      </w:r>
      <w:r w:rsidR="00FC2573" w:rsidRPr="004971DC">
        <w:rPr>
          <w:rFonts w:asciiTheme="minorHAnsi" w:hAnsiTheme="minorHAnsi" w:cs="Arial"/>
          <w:sz w:val="24"/>
        </w:rPr>
        <w:t xml:space="preserve">. </w:t>
      </w:r>
    </w:p>
    <w:p w14:paraId="74CFE0E3" w14:textId="629E38E8" w:rsidR="00E549CB" w:rsidRPr="004971DC" w:rsidRDefault="00F57657" w:rsidP="00AA11B3">
      <w:pPr>
        <w:pStyle w:val="NoSpacing"/>
        <w:spacing w:line="480" w:lineRule="auto"/>
        <w:jc w:val="left"/>
        <w:rPr>
          <w:sz w:val="24"/>
        </w:rPr>
      </w:pPr>
      <w:r w:rsidRPr="004971DC">
        <w:rPr>
          <w:rFonts w:asciiTheme="minorHAnsi" w:hAnsiTheme="minorHAnsi"/>
          <w:b/>
          <w:sz w:val="24"/>
        </w:rPr>
        <w:t xml:space="preserve">Results: </w:t>
      </w:r>
      <w:r w:rsidR="00F07E36" w:rsidRPr="004971DC">
        <w:rPr>
          <w:rFonts w:asciiTheme="minorHAnsi" w:hAnsiTheme="minorHAnsi"/>
          <w:sz w:val="24"/>
        </w:rPr>
        <w:t>Ninety patients were enrolled when the</w:t>
      </w:r>
      <w:r w:rsidR="000A3F32" w:rsidRPr="004971DC">
        <w:rPr>
          <w:rFonts w:asciiTheme="minorHAnsi" w:hAnsiTheme="minorHAnsi"/>
          <w:sz w:val="24"/>
        </w:rPr>
        <w:t xml:space="preserve"> </w:t>
      </w:r>
      <w:r w:rsidR="00F865B0" w:rsidRPr="004971DC">
        <w:rPr>
          <w:rFonts w:asciiTheme="minorHAnsi" w:hAnsiTheme="minorHAnsi"/>
          <w:sz w:val="24"/>
        </w:rPr>
        <w:t xml:space="preserve">pre-specified stopping </w:t>
      </w:r>
      <w:r w:rsidR="00D26548" w:rsidRPr="004971DC">
        <w:rPr>
          <w:rFonts w:asciiTheme="minorHAnsi" w:hAnsiTheme="minorHAnsi"/>
          <w:sz w:val="24"/>
        </w:rPr>
        <w:t xml:space="preserve">criteria </w:t>
      </w:r>
      <w:r w:rsidR="00F07E36" w:rsidRPr="004971DC">
        <w:rPr>
          <w:rFonts w:asciiTheme="minorHAnsi" w:hAnsiTheme="minorHAnsi"/>
          <w:sz w:val="24"/>
        </w:rPr>
        <w:t>were</w:t>
      </w:r>
      <w:r w:rsidR="00D26548" w:rsidRPr="004971DC">
        <w:rPr>
          <w:rFonts w:asciiTheme="minorHAnsi" w:hAnsiTheme="minorHAnsi"/>
          <w:sz w:val="24"/>
        </w:rPr>
        <w:t xml:space="preserve"> met</w:t>
      </w:r>
      <w:r w:rsidR="00F07E36" w:rsidRPr="004971DC">
        <w:rPr>
          <w:rFonts w:asciiTheme="minorHAnsi" w:hAnsiTheme="minorHAnsi"/>
          <w:sz w:val="24"/>
        </w:rPr>
        <w:t>; we enrolled no further patients (we had planned to enrol 114)</w:t>
      </w:r>
      <w:r w:rsidR="00634693" w:rsidRPr="004971DC">
        <w:rPr>
          <w:rFonts w:asciiTheme="minorHAnsi" w:hAnsiTheme="minorHAnsi"/>
          <w:sz w:val="24"/>
        </w:rPr>
        <w:t xml:space="preserve">. </w:t>
      </w:r>
      <w:r w:rsidR="00F07E36" w:rsidRPr="004971DC">
        <w:rPr>
          <w:rFonts w:asciiTheme="minorHAnsi" w:hAnsiTheme="minorHAnsi"/>
          <w:sz w:val="24"/>
        </w:rPr>
        <w:t>We observed</w:t>
      </w:r>
      <w:r w:rsidR="00F865B0" w:rsidRPr="004971DC">
        <w:rPr>
          <w:rFonts w:asciiTheme="minorHAnsi" w:hAnsiTheme="minorHAnsi"/>
          <w:sz w:val="24"/>
        </w:rPr>
        <w:t xml:space="preserve"> </w:t>
      </w:r>
      <w:r w:rsidR="006C5343" w:rsidRPr="004971DC">
        <w:rPr>
          <w:rFonts w:asciiTheme="minorHAnsi" w:hAnsiTheme="minorHAnsi"/>
          <w:sz w:val="24"/>
        </w:rPr>
        <w:t xml:space="preserve">16 (27%) </w:t>
      </w:r>
      <w:r w:rsidR="00F07E36" w:rsidRPr="004971DC">
        <w:rPr>
          <w:rFonts w:asciiTheme="minorHAnsi" w:hAnsiTheme="minorHAnsi"/>
          <w:sz w:val="24"/>
        </w:rPr>
        <w:t xml:space="preserve">treatment failures in </w:t>
      </w:r>
      <w:r w:rsidR="00493CA7" w:rsidRPr="004971DC">
        <w:rPr>
          <w:rFonts w:asciiTheme="minorHAnsi" w:hAnsiTheme="minorHAnsi"/>
          <w:sz w:val="24"/>
        </w:rPr>
        <w:t xml:space="preserve">60 patients </w:t>
      </w:r>
      <w:r w:rsidR="00F07E36" w:rsidRPr="004971DC">
        <w:rPr>
          <w:rFonts w:asciiTheme="minorHAnsi" w:hAnsiTheme="minorHAnsi"/>
          <w:sz w:val="24"/>
        </w:rPr>
        <w:t xml:space="preserve">receiving </w:t>
      </w:r>
      <w:r w:rsidR="00FC58EA" w:rsidRPr="004971DC">
        <w:rPr>
          <w:rFonts w:asciiTheme="minorHAnsi" w:hAnsiTheme="minorHAnsi"/>
          <w:sz w:val="24"/>
        </w:rPr>
        <w:t>adalimumab</w:t>
      </w:r>
      <w:r w:rsidR="00F07E36" w:rsidRPr="004971DC">
        <w:rPr>
          <w:rFonts w:asciiTheme="minorHAnsi" w:hAnsiTheme="minorHAnsi"/>
          <w:sz w:val="24"/>
        </w:rPr>
        <w:t xml:space="preserve"> </w:t>
      </w:r>
      <w:r w:rsidR="006C5343" w:rsidRPr="004971DC">
        <w:rPr>
          <w:rFonts w:asciiTheme="minorHAnsi" w:hAnsiTheme="minorHAnsi"/>
          <w:sz w:val="24"/>
        </w:rPr>
        <w:t xml:space="preserve">versus 18 (60%) </w:t>
      </w:r>
      <w:r w:rsidR="00F865B0" w:rsidRPr="004971DC">
        <w:rPr>
          <w:rFonts w:asciiTheme="minorHAnsi" w:hAnsiTheme="minorHAnsi"/>
          <w:sz w:val="24"/>
        </w:rPr>
        <w:t xml:space="preserve">treatment </w:t>
      </w:r>
      <w:r w:rsidR="006C5343" w:rsidRPr="004971DC">
        <w:rPr>
          <w:rFonts w:asciiTheme="minorHAnsi" w:hAnsiTheme="minorHAnsi"/>
          <w:sz w:val="24"/>
        </w:rPr>
        <w:t xml:space="preserve">failures </w:t>
      </w:r>
      <w:r w:rsidR="00F865B0" w:rsidRPr="004971DC">
        <w:rPr>
          <w:rFonts w:asciiTheme="minorHAnsi" w:hAnsiTheme="minorHAnsi"/>
          <w:sz w:val="24"/>
        </w:rPr>
        <w:t xml:space="preserve">in </w:t>
      </w:r>
      <w:r w:rsidR="00493CA7" w:rsidRPr="004971DC">
        <w:rPr>
          <w:rFonts w:asciiTheme="minorHAnsi" w:hAnsiTheme="minorHAnsi"/>
          <w:sz w:val="24"/>
        </w:rPr>
        <w:t xml:space="preserve">30 </w:t>
      </w:r>
      <w:r w:rsidR="00F07E36" w:rsidRPr="004971DC">
        <w:rPr>
          <w:rFonts w:asciiTheme="minorHAnsi" w:hAnsiTheme="minorHAnsi"/>
          <w:sz w:val="24"/>
        </w:rPr>
        <w:t>receiving placebo (HR</w:t>
      </w:r>
      <w:r w:rsidR="000D2355" w:rsidRPr="004971DC">
        <w:rPr>
          <w:rFonts w:asciiTheme="minorHAnsi" w:hAnsiTheme="minorHAnsi"/>
          <w:sz w:val="24"/>
        </w:rPr>
        <w:t xml:space="preserve"> </w:t>
      </w:r>
      <w:r w:rsidR="00FC2573" w:rsidRPr="004971DC">
        <w:rPr>
          <w:rFonts w:asciiTheme="minorHAnsi" w:hAnsiTheme="minorHAnsi"/>
          <w:sz w:val="24"/>
        </w:rPr>
        <w:t>0.25 (95% CI</w:t>
      </w:r>
      <w:r w:rsidR="006C5343" w:rsidRPr="004971DC">
        <w:rPr>
          <w:rFonts w:asciiTheme="minorHAnsi" w:hAnsiTheme="minorHAnsi"/>
          <w:sz w:val="24"/>
        </w:rPr>
        <w:t>:</w:t>
      </w:r>
      <w:r w:rsidR="00BF3CDD" w:rsidRPr="004971DC">
        <w:rPr>
          <w:rFonts w:asciiTheme="minorHAnsi" w:hAnsiTheme="minorHAnsi"/>
          <w:sz w:val="24"/>
        </w:rPr>
        <w:t xml:space="preserve"> 0.12,</w:t>
      </w:r>
      <w:r w:rsidR="00FC2573" w:rsidRPr="004971DC">
        <w:rPr>
          <w:rFonts w:asciiTheme="minorHAnsi" w:hAnsiTheme="minorHAnsi"/>
          <w:sz w:val="24"/>
        </w:rPr>
        <w:t>0.49</w:t>
      </w:r>
      <w:r w:rsidR="00F865B0" w:rsidRPr="004971DC">
        <w:rPr>
          <w:rFonts w:asciiTheme="minorHAnsi" w:hAnsiTheme="minorHAnsi"/>
          <w:sz w:val="24"/>
        </w:rPr>
        <w:t>); p&lt;0.0001</w:t>
      </w:r>
      <w:r w:rsidR="00F07E36" w:rsidRPr="004971DC">
        <w:rPr>
          <w:rFonts w:asciiTheme="minorHAnsi" w:hAnsiTheme="minorHAnsi"/>
          <w:sz w:val="24"/>
        </w:rPr>
        <w:t>)</w:t>
      </w:r>
      <w:r w:rsidR="00F865B0" w:rsidRPr="004971DC">
        <w:rPr>
          <w:rFonts w:asciiTheme="minorHAnsi" w:hAnsiTheme="minorHAnsi"/>
          <w:sz w:val="24"/>
        </w:rPr>
        <w:t xml:space="preserve">. </w:t>
      </w:r>
      <w:r w:rsidR="009E506D" w:rsidRPr="004971DC">
        <w:rPr>
          <w:rFonts w:asciiTheme="minorHAnsi" w:hAnsiTheme="minorHAnsi"/>
          <w:sz w:val="24"/>
        </w:rPr>
        <w:t>Adverse events (10.07; 95% CI: 9.26,10.89 versus 6.51; 95% CI: 5.26,7.77 per patient year) and s</w:t>
      </w:r>
      <w:r w:rsidR="00CA712D" w:rsidRPr="004971DC">
        <w:rPr>
          <w:rFonts w:asciiTheme="minorHAnsi" w:hAnsiTheme="minorHAnsi"/>
          <w:sz w:val="24"/>
        </w:rPr>
        <w:t>erious a</w:t>
      </w:r>
      <w:r w:rsidR="00F865B0" w:rsidRPr="004971DC">
        <w:rPr>
          <w:rFonts w:asciiTheme="minorHAnsi" w:hAnsiTheme="minorHAnsi"/>
          <w:sz w:val="24"/>
        </w:rPr>
        <w:t>dverse events</w:t>
      </w:r>
      <w:r w:rsidR="00CA712D" w:rsidRPr="004971DC">
        <w:rPr>
          <w:rFonts w:asciiTheme="minorHAnsi" w:hAnsiTheme="minorHAnsi"/>
          <w:sz w:val="24"/>
        </w:rPr>
        <w:t xml:space="preserve"> </w:t>
      </w:r>
      <w:r w:rsidR="006C5343" w:rsidRPr="004971DC">
        <w:rPr>
          <w:rFonts w:asciiTheme="minorHAnsi" w:hAnsiTheme="minorHAnsi"/>
          <w:sz w:val="24"/>
        </w:rPr>
        <w:t>(0.29; 95% CI: 0.15,0.43 versus 0.19; 95% CI: 0,0.4</w:t>
      </w:r>
      <w:r w:rsidR="00E2402C" w:rsidRPr="004971DC">
        <w:rPr>
          <w:rFonts w:asciiTheme="minorHAnsi" w:hAnsiTheme="minorHAnsi"/>
          <w:sz w:val="24"/>
        </w:rPr>
        <w:t>0</w:t>
      </w:r>
      <w:r w:rsidR="006C5343" w:rsidRPr="004971DC">
        <w:rPr>
          <w:rFonts w:asciiTheme="minorHAnsi" w:hAnsiTheme="minorHAnsi"/>
          <w:sz w:val="24"/>
        </w:rPr>
        <w:t xml:space="preserve"> per person year) </w:t>
      </w:r>
      <w:r w:rsidR="00F865B0" w:rsidRPr="004971DC">
        <w:rPr>
          <w:rFonts w:asciiTheme="minorHAnsi" w:hAnsiTheme="minorHAnsi"/>
          <w:sz w:val="24"/>
        </w:rPr>
        <w:t>were</w:t>
      </w:r>
      <w:r w:rsidR="00CA712D" w:rsidRPr="004971DC">
        <w:rPr>
          <w:rFonts w:asciiTheme="minorHAnsi" w:hAnsiTheme="minorHAnsi"/>
          <w:sz w:val="24"/>
        </w:rPr>
        <w:t xml:space="preserve"> reported more frequently in patients </w:t>
      </w:r>
      <w:r w:rsidR="00F07E36" w:rsidRPr="004971DC">
        <w:rPr>
          <w:rFonts w:asciiTheme="minorHAnsi" w:hAnsiTheme="minorHAnsi"/>
          <w:sz w:val="24"/>
        </w:rPr>
        <w:t xml:space="preserve">receiving </w:t>
      </w:r>
      <w:r w:rsidR="00CA712D" w:rsidRPr="004971DC">
        <w:rPr>
          <w:rFonts w:asciiTheme="minorHAnsi" w:hAnsiTheme="minorHAnsi"/>
          <w:sz w:val="24"/>
        </w:rPr>
        <w:t>adalimumab</w:t>
      </w:r>
      <w:r w:rsidR="004C6104" w:rsidRPr="004971DC">
        <w:rPr>
          <w:rFonts w:asciiTheme="minorHAnsi" w:hAnsiTheme="minorHAnsi"/>
          <w:sz w:val="24"/>
        </w:rPr>
        <w:t xml:space="preserve"> versus </w:t>
      </w:r>
      <w:r w:rsidR="00F07E36" w:rsidRPr="004971DC">
        <w:rPr>
          <w:rFonts w:asciiTheme="minorHAnsi" w:hAnsiTheme="minorHAnsi"/>
          <w:sz w:val="24"/>
        </w:rPr>
        <w:t xml:space="preserve">those receiving </w:t>
      </w:r>
      <w:r w:rsidR="004C6104" w:rsidRPr="004971DC">
        <w:rPr>
          <w:rFonts w:asciiTheme="minorHAnsi" w:hAnsiTheme="minorHAnsi"/>
          <w:sz w:val="24"/>
        </w:rPr>
        <w:t>placebo</w:t>
      </w:r>
      <w:r w:rsidR="00F865B0" w:rsidRPr="004971DC">
        <w:rPr>
          <w:rFonts w:asciiTheme="minorHAnsi" w:hAnsiTheme="minorHAnsi"/>
          <w:sz w:val="24"/>
        </w:rPr>
        <w:t xml:space="preserve">. </w:t>
      </w:r>
      <w:r w:rsidR="00602666" w:rsidRPr="004971DC">
        <w:rPr>
          <w:rFonts w:asciiTheme="minorHAnsi" w:hAnsiTheme="minorHAnsi"/>
          <w:sz w:val="24"/>
        </w:rPr>
        <w:t xml:space="preserve"> </w:t>
      </w:r>
    </w:p>
    <w:p w14:paraId="0499FF37" w14:textId="6AFA05B4" w:rsidR="00AD4921" w:rsidRPr="004971DC" w:rsidRDefault="00F57657" w:rsidP="00AA11B3">
      <w:pPr>
        <w:pStyle w:val="NoSpacing"/>
        <w:spacing w:line="480" w:lineRule="auto"/>
        <w:jc w:val="left"/>
        <w:rPr>
          <w:sz w:val="24"/>
        </w:rPr>
      </w:pPr>
      <w:r w:rsidRPr="004971DC">
        <w:rPr>
          <w:rFonts w:asciiTheme="minorHAnsi" w:hAnsiTheme="minorHAnsi"/>
          <w:b/>
          <w:sz w:val="24"/>
        </w:rPr>
        <w:t xml:space="preserve">Conclusions: </w:t>
      </w:r>
      <w:r w:rsidR="00A13C2E" w:rsidRPr="004971DC">
        <w:rPr>
          <w:rFonts w:asciiTheme="minorHAnsi" w:hAnsiTheme="minorHAnsi"/>
          <w:sz w:val="24"/>
        </w:rPr>
        <w:t xml:space="preserve">Adalimumab </w:t>
      </w:r>
      <w:r w:rsidR="006C49CD" w:rsidRPr="004971DC">
        <w:rPr>
          <w:rFonts w:asciiTheme="minorHAnsi" w:hAnsiTheme="minorHAnsi"/>
          <w:sz w:val="24"/>
        </w:rPr>
        <w:t xml:space="preserve">controlled inflammation </w:t>
      </w:r>
      <w:r w:rsidR="00DF5D36" w:rsidRPr="004971DC">
        <w:rPr>
          <w:rFonts w:asciiTheme="minorHAnsi" w:hAnsiTheme="minorHAnsi"/>
          <w:sz w:val="24"/>
        </w:rPr>
        <w:t xml:space="preserve">and reduced the rate of </w:t>
      </w:r>
      <w:r w:rsidR="00DC5A18" w:rsidRPr="004971DC">
        <w:rPr>
          <w:rFonts w:asciiTheme="minorHAnsi" w:hAnsiTheme="minorHAnsi"/>
          <w:sz w:val="24"/>
        </w:rPr>
        <w:t xml:space="preserve">treatment failure </w:t>
      </w:r>
      <w:r w:rsidR="00DF5D36" w:rsidRPr="004971DC">
        <w:rPr>
          <w:rFonts w:asciiTheme="minorHAnsi" w:hAnsiTheme="minorHAnsi"/>
          <w:sz w:val="24"/>
        </w:rPr>
        <w:t xml:space="preserve">in patients </w:t>
      </w:r>
      <w:r w:rsidR="006C49CD" w:rsidRPr="004971DC">
        <w:rPr>
          <w:rFonts w:asciiTheme="minorHAnsi" w:hAnsiTheme="minorHAnsi"/>
          <w:sz w:val="24"/>
        </w:rPr>
        <w:t xml:space="preserve">with </w:t>
      </w:r>
      <w:r w:rsidR="00DC5A18" w:rsidRPr="004971DC">
        <w:rPr>
          <w:rFonts w:asciiTheme="minorHAnsi" w:hAnsiTheme="minorHAnsi"/>
          <w:sz w:val="24"/>
        </w:rPr>
        <w:t xml:space="preserve">active uveitis on a stable dose of </w:t>
      </w:r>
      <w:r w:rsidR="006C49CD" w:rsidRPr="004971DC">
        <w:rPr>
          <w:rFonts w:asciiTheme="minorHAnsi" w:hAnsiTheme="minorHAnsi"/>
          <w:sz w:val="24"/>
        </w:rPr>
        <w:t>methotrexate.</w:t>
      </w:r>
      <w:r w:rsidR="00A13C2E" w:rsidRPr="004971DC">
        <w:rPr>
          <w:rFonts w:asciiTheme="minorHAnsi" w:hAnsiTheme="minorHAnsi"/>
          <w:sz w:val="24"/>
        </w:rPr>
        <w:t xml:space="preserve"> </w:t>
      </w:r>
      <w:r w:rsidR="00525B56" w:rsidRPr="004971DC">
        <w:rPr>
          <w:rFonts w:asciiTheme="minorHAnsi" w:hAnsiTheme="minorHAnsi"/>
          <w:sz w:val="24"/>
        </w:rPr>
        <w:t>Adalimumab</w:t>
      </w:r>
      <w:r w:rsidR="00F07E36" w:rsidRPr="004971DC">
        <w:rPr>
          <w:rFonts w:asciiTheme="minorHAnsi" w:hAnsiTheme="minorHAnsi"/>
          <w:sz w:val="24"/>
        </w:rPr>
        <w:t>-</w:t>
      </w:r>
      <w:r w:rsidR="00525B56" w:rsidRPr="004971DC">
        <w:rPr>
          <w:rFonts w:asciiTheme="minorHAnsi" w:hAnsiTheme="minorHAnsi"/>
          <w:sz w:val="24"/>
        </w:rPr>
        <w:t xml:space="preserve">treated patients had a </w:t>
      </w:r>
      <w:r w:rsidR="004C6104" w:rsidRPr="004971DC">
        <w:rPr>
          <w:rFonts w:asciiTheme="minorHAnsi" w:hAnsiTheme="minorHAnsi"/>
          <w:sz w:val="24"/>
        </w:rPr>
        <w:t xml:space="preserve">much </w:t>
      </w:r>
      <w:r w:rsidR="00883CF3" w:rsidRPr="004971DC">
        <w:rPr>
          <w:rFonts w:asciiTheme="minorHAnsi" w:hAnsiTheme="minorHAnsi"/>
          <w:sz w:val="24"/>
        </w:rPr>
        <w:t xml:space="preserve">higher </w:t>
      </w:r>
      <w:r w:rsidR="00525B56" w:rsidRPr="004971DC">
        <w:rPr>
          <w:rFonts w:asciiTheme="minorHAnsi" w:hAnsiTheme="minorHAnsi"/>
          <w:sz w:val="24"/>
        </w:rPr>
        <w:t>incidence of</w:t>
      </w:r>
      <w:r w:rsidR="00883CF3" w:rsidRPr="004971DC">
        <w:rPr>
          <w:rFonts w:asciiTheme="minorHAnsi" w:hAnsiTheme="minorHAnsi"/>
          <w:sz w:val="24"/>
        </w:rPr>
        <w:t xml:space="preserve"> adverse and serious adverse events</w:t>
      </w:r>
      <w:r w:rsidR="00E70C87" w:rsidRPr="004971DC">
        <w:rPr>
          <w:rFonts w:asciiTheme="minorHAnsi" w:hAnsiTheme="minorHAnsi"/>
          <w:sz w:val="24"/>
        </w:rPr>
        <w:t xml:space="preserve">. </w:t>
      </w:r>
      <w:r w:rsidR="006F3BB4" w:rsidRPr="004971DC">
        <w:rPr>
          <w:rFonts w:asciiTheme="minorHAnsi" w:hAnsiTheme="minorHAnsi"/>
          <w:sz w:val="24"/>
        </w:rPr>
        <w:t>(EudraCT 2010-021141-41)</w:t>
      </w:r>
    </w:p>
    <w:p w14:paraId="60E75789" w14:textId="77777777" w:rsidR="00F57657" w:rsidRDefault="00F57657" w:rsidP="004971DC">
      <w:pPr>
        <w:pStyle w:val="NoSpacing"/>
        <w:spacing w:line="480" w:lineRule="auto"/>
      </w:pPr>
      <w:r>
        <w:br w:type="page"/>
      </w:r>
    </w:p>
    <w:p w14:paraId="7722E06D" w14:textId="77777777" w:rsidR="004971DC" w:rsidRPr="004971DC" w:rsidRDefault="004971DC" w:rsidP="004971DC">
      <w:pPr>
        <w:pStyle w:val="NoSpacing"/>
      </w:pPr>
    </w:p>
    <w:p w14:paraId="39DF870F" w14:textId="70AFBE42" w:rsidR="000D1175" w:rsidRDefault="00F865B0" w:rsidP="004971DC">
      <w:pPr>
        <w:pStyle w:val="NoSpacing"/>
        <w:spacing w:line="480" w:lineRule="auto"/>
        <w:jc w:val="left"/>
        <w:rPr>
          <w:rFonts w:asciiTheme="minorHAnsi" w:hAnsiTheme="minorHAnsi"/>
          <w:sz w:val="24"/>
        </w:rPr>
      </w:pPr>
      <w:r w:rsidRPr="004971DC">
        <w:rPr>
          <w:rFonts w:asciiTheme="minorHAnsi" w:hAnsiTheme="minorHAnsi"/>
          <w:sz w:val="24"/>
        </w:rPr>
        <w:t xml:space="preserve">Juvenile idiopathic arthritis (JIA) is the most common </w:t>
      </w:r>
      <w:proofErr w:type="spellStart"/>
      <w:r w:rsidR="008877BF" w:rsidRPr="004971DC">
        <w:rPr>
          <w:rFonts w:asciiTheme="minorHAnsi" w:hAnsiTheme="minorHAnsi"/>
          <w:sz w:val="24"/>
        </w:rPr>
        <w:t>pediatric</w:t>
      </w:r>
      <w:proofErr w:type="spellEnd"/>
      <w:r w:rsidR="008877BF" w:rsidRPr="004971DC">
        <w:rPr>
          <w:rFonts w:asciiTheme="minorHAnsi" w:hAnsiTheme="minorHAnsi"/>
          <w:sz w:val="24"/>
        </w:rPr>
        <w:t xml:space="preserve"> </w:t>
      </w:r>
      <w:r w:rsidRPr="004971DC">
        <w:rPr>
          <w:rFonts w:asciiTheme="minorHAnsi" w:hAnsiTheme="minorHAnsi"/>
          <w:sz w:val="24"/>
        </w:rPr>
        <w:t xml:space="preserve">rheumatic disease. Children with JIA are at risk of inflammation of the </w:t>
      </w:r>
      <w:r w:rsidR="00DF5D36" w:rsidRPr="004971DC">
        <w:rPr>
          <w:rFonts w:asciiTheme="minorHAnsi" w:hAnsiTheme="minorHAnsi"/>
          <w:sz w:val="24"/>
        </w:rPr>
        <w:t xml:space="preserve">uvea (uveitis). </w:t>
      </w:r>
      <w:r w:rsidR="000D1175" w:rsidRPr="004971DC">
        <w:rPr>
          <w:rFonts w:asciiTheme="minorHAnsi" w:hAnsiTheme="minorHAnsi"/>
          <w:sz w:val="24"/>
        </w:rPr>
        <w:t>Approximately 12</w:t>
      </w:r>
      <w:r w:rsidR="008877BF" w:rsidRPr="004971DC">
        <w:rPr>
          <w:rFonts w:asciiTheme="minorHAnsi" w:hAnsiTheme="minorHAnsi"/>
          <w:sz w:val="24"/>
        </w:rPr>
        <w:t>-</w:t>
      </w:r>
      <w:r w:rsidRPr="004971DC">
        <w:rPr>
          <w:rFonts w:asciiTheme="minorHAnsi" w:hAnsiTheme="minorHAnsi"/>
          <w:sz w:val="24"/>
        </w:rPr>
        <w:t xml:space="preserve">38% of patients with JIA develop uveitis </w:t>
      </w:r>
      <w:r w:rsidR="00774179" w:rsidRPr="004971DC">
        <w:rPr>
          <w:rFonts w:asciiTheme="minorHAnsi" w:hAnsiTheme="minorHAnsi"/>
          <w:sz w:val="24"/>
        </w:rPr>
        <w:t>with</w:t>
      </w:r>
      <w:r w:rsidRPr="004971DC">
        <w:rPr>
          <w:rFonts w:asciiTheme="minorHAnsi" w:hAnsiTheme="minorHAnsi"/>
          <w:sz w:val="24"/>
        </w:rPr>
        <w:t xml:space="preserve">in seven years </w:t>
      </w:r>
      <w:r w:rsidR="009E506D" w:rsidRPr="004971DC">
        <w:rPr>
          <w:rFonts w:asciiTheme="minorHAnsi" w:hAnsiTheme="minorHAnsi"/>
          <w:sz w:val="24"/>
        </w:rPr>
        <w:t xml:space="preserve">of </w:t>
      </w:r>
      <w:r w:rsidR="000D1175" w:rsidRPr="004971DC">
        <w:rPr>
          <w:rFonts w:asciiTheme="minorHAnsi" w:hAnsiTheme="minorHAnsi"/>
          <w:sz w:val="24"/>
        </w:rPr>
        <w:t>onset of arthritis</w:t>
      </w:r>
      <w:r w:rsidR="00037808" w:rsidRPr="004971DC">
        <w:rPr>
          <w:rFonts w:asciiTheme="minorHAnsi" w:hAnsiTheme="minorHAnsi"/>
          <w:sz w:val="24"/>
        </w:rPr>
        <w:t xml:space="preserve"> </w:t>
      </w:r>
      <w:r w:rsidR="00037808" w:rsidRPr="004971DC">
        <w:rPr>
          <w:rFonts w:asciiTheme="minorHAnsi" w:hAnsiTheme="minorHAnsi"/>
          <w:noProof/>
          <w:sz w:val="24"/>
        </w:rPr>
        <w:t>(</w:t>
      </w:r>
      <w:r w:rsidR="00117A7D" w:rsidRPr="004971DC">
        <w:rPr>
          <w:rFonts w:asciiTheme="minorHAnsi" w:hAnsiTheme="minorHAnsi"/>
          <w:noProof/>
          <w:sz w:val="24"/>
        </w:rPr>
        <w:t>1</w:t>
      </w:r>
      <w:r w:rsidR="00037808" w:rsidRPr="004971DC">
        <w:rPr>
          <w:rFonts w:asciiTheme="minorHAnsi" w:hAnsiTheme="minorHAnsi"/>
          <w:noProof/>
          <w:sz w:val="24"/>
        </w:rPr>
        <w:t xml:space="preserve">, </w:t>
      </w:r>
      <w:r w:rsidR="00117A7D" w:rsidRPr="004971DC">
        <w:rPr>
          <w:rFonts w:asciiTheme="minorHAnsi" w:hAnsiTheme="minorHAnsi"/>
          <w:noProof/>
          <w:sz w:val="24"/>
        </w:rPr>
        <w:t>2</w:t>
      </w:r>
      <w:r w:rsidR="00037808" w:rsidRPr="004971DC">
        <w:rPr>
          <w:rFonts w:asciiTheme="minorHAnsi" w:hAnsiTheme="minorHAnsi"/>
          <w:noProof/>
          <w:sz w:val="24"/>
        </w:rPr>
        <w:t>)</w:t>
      </w:r>
      <w:r w:rsidR="000D1175" w:rsidRPr="004971DC">
        <w:rPr>
          <w:rFonts w:asciiTheme="minorHAnsi" w:hAnsiTheme="minorHAnsi"/>
          <w:sz w:val="24"/>
        </w:rPr>
        <w:t xml:space="preserve">. </w:t>
      </w:r>
      <w:r w:rsidRPr="004971DC">
        <w:rPr>
          <w:rFonts w:asciiTheme="minorHAnsi" w:hAnsiTheme="minorHAnsi"/>
          <w:sz w:val="24"/>
        </w:rPr>
        <w:t xml:space="preserve">Despite current screening and therapeutic </w:t>
      </w:r>
      <w:r w:rsidR="000D1175" w:rsidRPr="004971DC">
        <w:rPr>
          <w:rFonts w:asciiTheme="minorHAnsi" w:hAnsiTheme="minorHAnsi"/>
          <w:sz w:val="24"/>
        </w:rPr>
        <w:t>options</w:t>
      </w:r>
      <w:r w:rsidR="00DF5D36" w:rsidRPr="004971DC">
        <w:rPr>
          <w:rFonts w:asciiTheme="minorHAnsi" w:hAnsiTheme="minorHAnsi"/>
          <w:sz w:val="24"/>
        </w:rPr>
        <w:t>,</w:t>
      </w:r>
      <w:r w:rsidR="000D1175" w:rsidRPr="004971DC">
        <w:rPr>
          <w:rFonts w:asciiTheme="minorHAnsi" w:hAnsiTheme="minorHAnsi"/>
          <w:sz w:val="24"/>
        </w:rPr>
        <w:t xml:space="preserve"> </w:t>
      </w:r>
      <w:r w:rsidR="0040606F" w:rsidRPr="004971DC">
        <w:rPr>
          <w:rFonts w:asciiTheme="minorHAnsi" w:hAnsiTheme="minorHAnsi"/>
          <w:sz w:val="24"/>
        </w:rPr>
        <w:t>up</w:t>
      </w:r>
      <w:r w:rsidR="000D1175" w:rsidRPr="004971DC">
        <w:rPr>
          <w:rFonts w:asciiTheme="minorHAnsi" w:hAnsiTheme="minorHAnsi"/>
          <w:sz w:val="24"/>
        </w:rPr>
        <w:t xml:space="preserve"> to </w:t>
      </w:r>
      <w:r w:rsidRPr="004971DC">
        <w:rPr>
          <w:rFonts w:asciiTheme="minorHAnsi" w:hAnsiTheme="minorHAnsi"/>
          <w:sz w:val="24"/>
        </w:rPr>
        <w:t xml:space="preserve">15% of children with JIA-associated uveitis may develop bilateral visual impairment and </w:t>
      </w:r>
      <w:r w:rsidR="00774179" w:rsidRPr="004971DC">
        <w:rPr>
          <w:rFonts w:asciiTheme="minorHAnsi" w:hAnsiTheme="minorHAnsi"/>
          <w:sz w:val="24"/>
        </w:rPr>
        <w:t xml:space="preserve">be </w:t>
      </w:r>
      <w:r w:rsidRPr="004971DC">
        <w:rPr>
          <w:rFonts w:asciiTheme="minorHAnsi" w:hAnsiTheme="minorHAnsi"/>
          <w:sz w:val="24"/>
        </w:rPr>
        <w:t>certified legally blind</w:t>
      </w:r>
      <w:r w:rsidR="007A0137" w:rsidRPr="004971DC">
        <w:rPr>
          <w:rFonts w:asciiTheme="minorHAnsi" w:hAnsiTheme="minorHAnsi"/>
          <w:sz w:val="24"/>
        </w:rPr>
        <w:t xml:space="preserve"> </w:t>
      </w:r>
      <w:r w:rsidR="007A0137" w:rsidRPr="004971DC">
        <w:rPr>
          <w:rFonts w:asciiTheme="minorHAnsi" w:hAnsiTheme="minorHAnsi"/>
          <w:noProof/>
          <w:sz w:val="24"/>
        </w:rPr>
        <w:t>(</w:t>
      </w:r>
      <w:r w:rsidR="00117A7D" w:rsidRPr="004971DC">
        <w:rPr>
          <w:rFonts w:asciiTheme="minorHAnsi" w:hAnsiTheme="minorHAnsi"/>
          <w:noProof/>
          <w:sz w:val="24"/>
        </w:rPr>
        <w:t>3</w:t>
      </w:r>
      <w:r w:rsidR="007A0137" w:rsidRPr="004971DC">
        <w:rPr>
          <w:rFonts w:asciiTheme="minorHAnsi" w:hAnsiTheme="minorHAnsi"/>
          <w:noProof/>
          <w:sz w:val="24"/>
        </w:rPr>
        <w:t xml:space="preserve">, </w:t>
      </w:r>
      <w:r w:rsidR="00117A7D" w:rsidRPr="004971DC">
        <w:rPr>
          <w:rFonts w:asciiTheme="minorHAnsi" w:hAnsiTheme="minorHAnsi"/>
          <w:noProof/>
          <w:sz w:val="24"/>
        </w:rPr>
        <w:t>4</w:t>
      </w:r>
      <w:r w:rsidR="007A0137" w:rsidRPr="004971DC">
        <w:rPr>
          <w:rFonts w:asciiTheme="minorHAnsi" w:hAnsiTheme="minorHAnsi"/>
          <w:noProof/>
          <w:sz w:val="24"/>
        </w:rPr>
        <w:t>)</w:t>
      </w:r>
      <w:r w:rsidRPr="004971DC">
        <w:rPr>
          <w:rFonts w:asciiTheme="minorHAnsi" w:hAnsiTheme="minorHAnsi"/>
          <w:sz w:val="24"/>
        </w:rPr>
        <w:t xml:space="preserve">. </w:t>
      </w:r>
    </w:p>
    <w:p w14:paraId="2FC0A619" w14:textId="77777777" w:rsidR="004971DC" w:rsidRPr="004971DC" w:rsidRDefault="004971DC" w:rsidP="004971DC">
      <w:pPr>
        <w:pStyle w:val="NoSpacing"/>
      </w:pPr>
    </w:p>
    <w:p w14:paraId="5AA8AF8B" w14:textId="465465E0" w:rsidR="00602D9D" w:rsidRPr="004971DC" w:rsidRDefault="000D4EC6" w:rsidP="004971DC">
      <w:pPr>
        <w:pStyle w:val="NoSpacing"/>
        <w:spacing w:line="480" w:lineRule="auto"/>
        <w:jc w:val="left"/>
        <w:rPr>
          <w:rFonts w:asciiTheme="minorHAnsi" w:hAnsiTheme="minorHAnsi" w:cs="Times"/>
          <w:sz w:val="24"/>
          <w:lang w:val="en-US"/>
        </w:rPr>
      </w:pPr>
      <w:r w:rsidRPr="004971DC">
        <w:rPr>
          <w:rFonts w:asciiTheme="minorHAnsi" w:hAnsiTheme="minorHAnsi"/>
          <w:sz w:val="24"/>
          <w:lang w:val="en-US"/>
        </w:rPr>
        <w:t>E</w:t>
      </w:r>
      <w:r w:rsidR="000D1175" w:rsidRPr="004971DC">
        <w:rPr>
          <w:rFonts w:asciiTheme="minorHAnsi" w:hAnsiTheme="minorHAnsi"/>
          <w:sz w:val="24"/>
          <w:lang w:val="en-US"/>
        </w:rPr>
        <w:t xml:space="preserve">xperimental models of autoimmune uveitis demonstrate that </w:t>
      </w:r>
      <w:r w:rsidR="00E02107" w:rsidRPr="004971DC">
        <w:rPr>
          <w:rFonts w:asciiTheme="minorHAnsi" w:hAnsiTheme="minorHAnsi"/>
          <w:sz w:val="24"/>
          <w:lang w:val="en-US"/>
        </w:rPr>
        <w:t xml:space="preserve">tumor necrosis factor </w:t>
      </w:r>
      <w:r w:rsidR="00E4377D" w:rsidRPr="004971DC">
        <w:rPr>
          <w:rFonts w:asciiTheme="minorHAnsi" w:hAnsiTheme="minorHAnsi"/>
          <w:sz w:val="24"/>
          <w:lang w:val="en-US"/>
        </w:rPr>
        <w:t xml:space="preserve">alpha </w:t>
      </w:r>
      <w:r w:rsidR="00E02107" w:rsidRPr="004971DC">
        <w:rPr>
          <w:rFonts w:asciiTheme="minorHAnsi" w:hAnsiTheme="minorHAnsi"/>
          <w:sz w:val="24"/>
          <w:lang w:val="en-US"/>
        </w:rPr>
        <w:t>(</w:t>
      </w:r>
      <w:r w:rsidR="000D1175" w:rsidRPr="004971DC">
        <w:rPr>
          <w:rFonts w:asciiTheme="minorHAnsi" w:hAnsiTheme="minorHAnsi"/>
          <w:sz w:val="24"/>
          <w:lang w:val="en-US"/>
        </w:rPr>
        <w:t>TNF</w:t>
      </w:r>
      <w:r w:rsidRPr="004971DC">
        <w:rPr>
          <w:rFonts w:asciiTheme="minorHAnsi" w:hAnsiTheme="minorHAnsi"/>
          <w:sz w:val="24"/>
          <w:lang w:val="en-US"/>
        </w:rPr>
        <w:t>-</w:t>
      </w:r>
      <w:r w:rsidR="00E4377D" w:rsidRPr="004971DC">
        <w:rPr>
          <w:rFonts w:asciiTheme="minorHAnsi" w:hAnsiTheme="minorHAnsi"/>
          <w:color w:val="000000"/>
          <w:sz w:val="24"/>
        </w:rPr>
        <w:t>α</w:t>
      </w:r>
      <w:r w:rsidR="00E4377D" w:rsidRPr="004971DC">
        <w:rPr>
          <w:rFonts w:asciiTheme="minorHAnsi" w:hAnsiTheme="minorHAnsi"/>
          <w:color w:val="000000"/>
          <w:sz w:val="24"/>
          <w:lang w:val="en-US"/>
        </w:rPr>
        <w:t xml:space="preserve">) </w:t>
      </w:r>
      <w:r w:rsidR="000D1175" w:rsidRPr="004971DC">
        <w:rPr>
          <w:rFonts w:asciiTheme="minorHAnsi" w:hAnsiTheme="minorHAnsi"/>
          <w:sz w:val="24"/>
          <w:lang w:val="en-US"/>
        </w:rPr>
        <w:t xml:space="preserve">plays a pivotal role in pathogenesis </w:t>
      </w:r>
      <w:r w:rsidR="007A0137" w:rsidRPr="004971DC">
        <w:rPr>
          <w:rFonts w:asciiTheme="minorHAnsi" w:hAnsiTheme="minorHAnsi"/>
          <w:noProof/>
          <w:sz w:val="24"/>
          <w:lang w:val="en-US"/>
        </w:rPr>
        <w:t>(</w:t>
      </w:r>
      <w:r w:rsidR="00117A7D" w:rsidRPr="004971DC">
        <w:rPr>
          <w:rFonts w:asciiTheme="minorHAnsi" w:hAnsiTheme="minorHAnsi"/>
          <w:noProof/>
          <w:sz w:val="24"/>
          <w:lang w:val="en-US"/>
        </w:rPr>
        <w:t>5</w:t>
      </w:r>
      <w:r w:rsidR="007A0137" w:rsidRPr="004971DC">
        <w:rPr>
          <w:rFonts w:asciiTheme="minorHAnsi" w:hAnsiTheme="minorHAnsi"/>
          <w:noProof/>
          <w:sz w:val="24"/>
          <w:lang w:val="en-US"/>
        </w:rPr>
        <w:t>)</w:t>
      </w:r>
      <w:r w:rsidR="007A0137" w:rsidRPr="004971DC">
        <w:rPr>
          <w:rFonts w:asciiTheme="minorHAnsi" w:hAnsiTheme="minorHAnsi"/>
          <w:sz w:val="24"/>
          <w:lang w:val="en-US"/>
        </w:rPr>
        <w:t>,</w:t>
      </w:r>
      <w:r w:rsidR="000D1175" w:rsidRPr="004971DC">
        <w:rPr>
          <w:rFonts w:asciiTheme="minorHAnsi" w:hAnsiTheme="minorHAnsi"/>
          <w:sz w:val="24"/>
          <w:lang w:val="en-US"/>
        </w:rPr>
        <w:t xml:space="preserve"> borne out in treatment of adult uveitis</w:t>
      </w:r>
      <w:r w:rsidR="007A0137" w:rsidRPr="004971DC">
        <w:rPr>
          <w:rFonts w:asciiTheme="minorHAnsi" w:hAnsiTheme="minorHAnsi"/>
          <w:sz w:val="24"/>
          <w:lang w:val="en-US"/>
        </w:rPr>
        <w:t xml:space="preserve"> </w:t>
      </w:r>
      <w:r w:rsidR="00322EC9" w:rsidRPr="004971DC">
        <w:rPr>
          <w:rFonts w:asciiTheme="minorHAnsi" w:hAnsiTheme="minorHAnsi"/>
          <w:noProof/>
          <w:sz w:val="24"/>
          <w:lang w:val="en-US"/>
        </w:rPr>
        <w:t>(</w:t>
      </w:r>
      <w:r w:rsidR="00117A7D" w:rsidRPr="004971DC">
        <w:rPr>
          <w:rFonts w:asciiTheme="minorHAnsi" w:hAnsiTheme="minorHAnsi"/>
          <w:noProof/>
          <w:sz w:val="24"/>
          <w:lang w:val="en-US"/>
        </w:rPr>
        <w:t>6</w:t>
      </w:r>
      <w:r w:rsidR="00322EC9" w:rsidRPr="004971DC">
        <w:rPr>
          <w:rFonts w:asciiTheme="minorHAnsi" w:hAnsiTheme="minorHAnsi"/>
          <w:noProof/>
          <w:sz w:val="24"/>
          <w:lang w:val="en-US"/>
        </w:rPr>
        <w:t>-</w:t>
      </w:r>
      <w:r w:rsidR="00117A7D" w:rsidRPr="004971DC">
        <w:rPr>
          <w:rFonts w:asciiTheme="minorHAnsi" w:hAnsiTheme="minorHAnsi"/>
          <w:noProof/>
          <w:sz w:val="24"/>
          <w:lang w:val="en-US"/>
        </w:rPr>
        <w:t>8</w:t>
      </w:r>
      <w:r w:rsidR="00322EC9" w:rsidRPr="004971DC">
        <w:rPr>
          <w:rFonts w:asciiTheme="minorHAnsi" w:hAnsiTheme="minorHAnsi"/>
          <w:noProof/>
          <w:sz w:val="24"/>
          <w:lang w:val="en-US"/>
        </w:rPr>
        <w:t>)</w:t>
      </w:r>
      <w:r w:rsidR="0040606F" w:rsidRPr="004971DC">
        <w:rPr>
          <w:rFonts w:asciiTheme="minorHAnsi" w:hAnsiTheme="minorHAnsi"/>
          <w:sz w:val="24"/>
          <w:lang w:val="en-US"/>
        </w:rPr>
        <w:t xml:space="preserve"> and </w:t>
      </w:r>
      <w:r w:rsidRPr="004971DC">
        <w:rPr>
          <w:rFonts w:asciiTheme="minorHAnsi" w:hAnsiTheme="minorHAnsi"/>
          <w:sz w:val="24"/>
          <w:lang w:val="en-US"/>
        </w:rPr>
        <w:t xml:space="preserve">pediatric </w:t>
      </w:r>
      <w:r w:rsidR="0040606F" w:rsidRPr="004971DC">
        <w:rPr>
          <w:rFonts w:asciiTheme="minorHAnsi" w:hAnsiTheme="minorHAnsi"/>
          <w:sz w:val="24"/>
          <w:lang w:val="en-US"/>
        </w:rPr>
        <w:t xml:space="preserve">case series </w:t>
      </w:r>
      <w:r w:rsidR="00AC1005" w:rsidRPr="004971DC">
        <w:rPr>
          <w:rFonts w:asciiTheme="minorHAnsi" w:hAnsiTheme="minorHAnsi"/>
          <w:noProof/>
          <w:sz w:val="24"/>
          <w:lang w:val="en-US"/>
        </w:rPr>
        <w:t>(</w:t>
      </w:r>
      <w:r w:rsidR="00117A7D" w:rsidRPr="004971DC">
        <w:rPr>
          <w:rFonts w:asciiTheme="minorHAnsi" w:hAnsiTheme="minorHAnsi"/>
          <w:noProof/>
          <w:sz w:val="24"/>
          <w:lang w:val="en-US"/>
        </w:rPr>
        <w:t>9</w:t>
      </w:r>
      <w:r w:rsidR="0040606F" w:rsidRPr="004971DC">
        <w:rPr>
          <w:rFonts w:asciiTheme="minorHAnsi" w:hAnsiTheme="minorHAnsi"/>
          <w:noProof/>
          <w:sz w:val="24"/>
          <w:lang w:val="en-US"/>
        </w:rPr>
        <w:t>-</w:t>
      </w:r>
      <w:r w:rsidR="00117A7D" w:rsidRPr="004971DC">
        <w:rPr>
          <w:rFonts w:asciiTheme="minorHAnsi" w:hAnsiTheme="minorHAnsi"/>
          <w:noProof/>
          <w:sz w:val="24"/>
          <w:lang w:val="en-US"/>
        </w:rPr>
        <w:t>14</w:t>
      </w:r>
      <w:r w:rsidR="0040606F" w:rsidRPr="004971DC">
        <w:rPr>
          <w:rFonts w:asciiTheme="minorHAnsi" w:hAnsiTheme="minorHAnsi"/>
          <w:noProof/>
          <w:sz w:val="24"/>
          <w:lang w:val="en-US"/>
        </w:rPr>
        <w:t>)</w:t>
      </w:r>
      <w:r w:rsidR="0040606F" w:rsidRPr="004971DC">
        <w:rPr>
          <w:rFonts w:asciiTheme="minorHAnsi" w:hAnsiTheme="minorHAnsi"/>
          <w:sz w:val="24"/>
          <w:lang w:val="en-US"/>
        </w:rPr>
        <w:t xml:space="preserve"> </w:t>
      </w:r>
      <w:r w:rsidR="0040606F" w:rsidRPr="004971DC">
        <w:rPr>
          <w:rFonts w:asciiTheme="minorHAnsi" w:hAnsiTheme="minorHAnsi"/>
          <w:noProof/>
          <w:sz w:val="24"/>
          <w:lang w:val="en-US"/>
        </w:rPr>
        <w:t>(</w:t>
      </w:r>
      <w:r w:rsidR="00117A7D" w:rsidRPr="004971DC">
        <w:rPr>
          <w:rFonts w:asciiTheme="minorHAnsi" w:hAnsiTheme="minorHAnsi"/>
          <w:noProof/>
          <w:sz w:val="24"/>
          <w:lang w:val="en-US"/>
        </w:rPr>
        <w:t>15</w:t>
      </w:r>
      <w:r w:rsidR="003E20D2" w:rsidRPr="004971DC">
        <w:rPr>
          <w:rFonts w:asciiTheme="minorHAnsi" w:hAnsiTheme="minorHAnsi"/>
          <w:noProof/>
          <w:sz w:val="24"/>
          <w:lang w:val="en-US"/>
        </w:rPr>
        <w:t>-</w:t>
      </w:r>
      <w:r w:rsidR="00117A7D" w:rsidRPr="004971DC">
        <w:rPr>
          <w:rFonts w:asciiTheme="minorHAnsi" w:hAnsiTheme="minorHAnsi"/>
          <w:noProof/>
          <w:sz w:val="24"/>
          <w:lang w:val="en-US"/>
        </w:rPr>
        <w:t>17</w:t>
      </w:r>
      <w:r w:rsidR="0040606F" w:rsidRPr="004971DC">
        <w:rPr>
          <w:rFonts w:asciiTheme="minorHAnsi" w:hAnsiTheme="minorHAnsi"/>
          <w:noProof/>
          <w:sz w:val="24"/>
          <w:lang w:val="en-US"/>
        </w:rPr>
        <w:t>)</w:t>
      </w:r>
      <w:r w:rsidR="000D1175" w:rsidRPr="004971DC">
        <w:rPr>
          <w:rFonts w:asciiTheme="minorHAnsi" w:hAnsiTheme="minorHAnsi"/>
          <w:sz w:val="24"/>
          <w:lang w:val="en-US"/>
        </w:rPr>
        <w:t>. Adalimum</w:t>
      </w:r>
      <w:r w:rsidR="00D952B2" w:rsidRPr="004971DC">
        <w:rPr>
          <w:rFonts w:asciiTheme="minorHAnsi" w:hAnsiTheme="minorHAnsi"/>
          <w:sz w:val="24"/>
          <w:lang w:val="en-US"/>
        </w:rPr>
        <w:t>ab</w:t>
      </w:r>
      <w:r w:rsidR="000D1175" w:rsidRPr="004971DC">
        <w:rPr>
          <w:rFonts w:asciiTheme="minorHAnsi" w:hAnsiTheme="minorHAnsi"/>
          <w:sz w:val="24"/>
          <w:lang w:val="en-US"/>
        </w:rPr>
        <w:t xml:space="preserve"> is a fully human anti–TNF</w:t>
      </w:r>
      <w:r w:rsidR="00E4377D" w:rsidRPr="004971DC">
        <w:rPr>
          <w:rFonts w:asciiTheme="minorHAnsi" w:hAnsiTheme="minorHAnsi"/>
          <w:color w:val="000000"/>
          <w:sz w:val="24"/>
        </w:rPr>
        <w:t>α</w:t>
      </w:r>
      <w:r w:rsidR="000D1175" w:rsidRPr="004971DC">
        <w:rPr>
          <w:rFonts w:asciiTheme="minorHAnsi" w:hAnsiTheme="minorHAnsi"/>
          <w:sz w:val="24"/>
          <w:lang w:val="en-US"/>
        </w:rPr>
        <w:t xml:space="preserve"> monoclonal antibody</w:t>
      </w:r>
      <w:r w:rsidR="00551BD2" w:rsidRPr="004971DC">
        <w:rPr>
          <w:rFonts w:asciiTheme="minorHAnsi" w:hAnsiTheme="minorHAnsi"/>
          <w:sz w:val="24"/>
          <w:lang w:val="en-US"/>
        </w:rPr>
        <w:t xml:space="preserve">. </w:t>
      </w:r>
      <w:r w:rsidR="00DF5D36" w:rsidRPr="004971DC">
        <w:rPr>
          <w:rFonts w:asciiTheme="minorHAnsi" w:hAnsiTheme="minorHAnsi"/>
          <w:sz w:val="24"/>
          <w:lang w:val="en-US"/>
        </w:rPr>
        <w:t>A</w:t>
      </w:r>
      <w:r w:rsidR="00551BD2" w:rsidRPr="004971DC">
        <w:rPr>
          <w:rFonts w:asciiTheme="minorHAnsi" w:hAnsiTheme="minorHAnsi"/>
          <w:sz w:val="24"/>
          <w:lang w:val="en-US"/>
        </w:rPr>
        <w:t xml:space="preserve"> multicenter </w:t>
      </w:r>
      <w:r w:rsidR="00A26799" w:rsidRPr="004971DC">
        <w:rPr>
          <w:rFonts w:asciiTheme="minorHAnsi" w:hAnsiTheme="minorHAnsi"/>
          <w:sz w:val="24"/>
          <w:lang w:val="en-US"/>
        </w:rPr>
        <w:t>randomized</w:t>
      </w:r>
      <w:r w:rsidR="00551BD2" w:rsidRPr="004971DC">
        <w:rPr>
          <w:rFonts w:asciiTheme="minorHAnsi" w:hAnsiTheme="minorHAnsi"/>
          <w:sz w:val="24"/>
          <w:lang w:val="en-US"/>
        </w:rPr>
        <w:t>, double</w:t>
      </w:r>
      <w:r w:rsidR="0040606F" w:rsidRPr="004971DC">
        <w:rPr>
          <w:rFonts w:asciiTheme="minorHAnsi" w:hAnsiTheme="minorHAnsi"/>
          <w:sz w:val="24"/>
          <w:lang w:val="en-US"/>
        </w:rPr>
        <w:t>-</w:t>
      </w:r>
      <w:r w:rsidR="00551BD2" w:rsidRPr="004971DC">
        <w:rPr>
          <w:rFonts w:asciiTheme="minorHAnsi" w:hAnsiTheme="minorHAnsi"/>
          <w:sz w:val="24"/>
          <w:lang w:val="en-US"/>
        </w:rPr>
        <w:t>blind</w:t>
      </w:r>
      <w:r w:rsidRPr="004971DC">
        <w:rPr>
          <w:rFonts w:asciiTheme="minorHAnsi" w:hAnsiTheme="minorHAnsi"/>
          <w:sz w:val="24"/>
          <w:lang w:val="en-US"/>
        </w:rPr>
        <w:t>,</w:t>
      </w:r>
      <w:r w:rsidR="00551BD2" w:rsidRPr="004971DC">
        <w:rPr>
          <w:rFonts w:asciiTheme="minorHAnsi" w:hAnsiTheme="minorHAnsi"/>
          <w:sz w:val="24"/>
          <w:lang w:val="en-US"/>
        </w:rPr>
        <w:t xml:space="preserve"> parallel group trial has shown significant benefit in children with active </w:t>
      </w:r>
      <w:r w:rsidR="00B50D93" w:rsidRPr="004971DC">
        <w:rPr>
          <w:rFonts w:asciiTheme="minorHAnsi" w:hAnsiTheme="minorHAnsi"/>
          <w:sz w:val="24"/>
          <w:lang w:val="en-US"/>
        </w:rPr>
        <w:t xml:space="preserve">rheumatoid </w:t>
      </w:r>
      <w:r w:rsidR="00551BD2" w:rsidRPr="004971DC">
        <w:rPr>
          <w:rFonts w:asciiTheme="minorHAnsi" w:hAnsiTheme="minorHAnsi"/>
          <w:sz w:val="24"/>
          <w:lang w:val="en-US"/>
        </w:rPr>
        <w:t xml:space="preserve">arthritis </w:t>
      </w:r>
      <w:r w:rsidR="00322EC9" w:rsidRPr="004971DC">
        <w:rPr>
          <w:rFonts w:asciiTheme="minorHAnsi" w:hAnsiTheme="minorHAnsi"/>
          <w:noProof/>
          <w:sz w:val="24"/>
          <w:lang w:val="en-US"/>
        </w:rPr>
        <w:t>(1</w:t>
      </w:r>
      <w:r w:rsidR="00117A7D" w:rsidRPr="004971DC">
        <w:rPr>
          <w:rFonts w:asciiTheme="minorHAnsi" w:hAnsiTheme="minorHAnsi"/>
          <w:noProof/>
          <w:sz w:val="24"/>
          <w:lang w:val="en-US"/>
        </w:rPr>
        <w:t>8</w:t>
      </w:r>
      <w:r w:rsidR="00322EC9" w:rsidRPr="004971DC">
        <w:rPr>
          <w:rFonts w:asciiTheme="minorHAnsi" w:hAnsiTheme="minorHAnsi"/>
          <w:noProof/>
          <w:sz w:val="24"/>
          <w:lang w:val="en-US"/>
        </w:rPr>
        <w:t>)</w:t>
      </w:r>
      <w:r w:rsidR="00551BD2" w:rsidRPr="004971DC">
        <w:rPr>
          <w:rFonts w:asciiTheme="minorHAnsi" w:hAnsiTheme="minorHAnsi"/>
          <w:sz w:val="24"/>
          <w:lang w:val="en-US"/>
        </w:rPr>
        <w:t xml:space="preserve">. </w:t>
      </w:r>
      <w:r w:rsidR="006F3BB4" w:rsidRPr="004971DC">
        <w:rPr>
          <w:rFonts w:asciiTheme="minorHAnsi" w:hAnsiTheme="minorHAnsi" w:cs="Times"/>
          <w:sz w:val="24"/>
          <w:lang w:val="en-US"/>
        </w:rPr>
        <w:t xml:space="preserve">We carried out the </w:t>
      </w:r>
      <w:r w:rsidRPr="004971DC">
        <w:rPr>
          <w:rFonts w:asciiTheme="minorHAnsi" w:hAnsiTheme="minorHAnsi" w:cs="Times"/>
          <w:sz w:val="24"/>
          <w:lang w:val="en-US"/>
        </w:rPr>
        <w:t>SYCAMORE Trial t</w:t>
      </w:r>
      <w:r w:rsidR="0040606F" w:rsidRPr="004971DC">
        <w:rPr>
          <w:rFonts w:asciiTheme="minorHAnsi" w:hAnsiTheme="minorHAnsi" w:cs="Times"/>
          <w:sz w:val="24"/>
          <w:lang w:val="en-US"/>
        </w:rPr>
        <w:t xml:space="preserve">o assess the role of adalimumab in the treatment of </w:t>
      </w:r>
      <w:r w:rsidRPr="004971DC">
        <w:rPr>
          <w:rFonts w:asciiTheme="minorHAnsi" w:hAnsiTheme="minorHAnsi" w:cs="Times"/>
          <w:sz w:val="24"/>
          <w:lang w:val="en-US"/>
        </w:rPr>
        <w:t xml:space="preserve">methotrexate (MTX)-refractory </w:t>
      </w:r>
      <w:r w:rsidR="0040606F" w:rsidRPr="004971DC">
        <w:rPr>
          <w:rFonts w:asciiTheme="minorHAnsi" w:hAnsiTheme="minorHAnsi" w:cs="Times"/>
          <w:sz w:val="24"/>
          <w:lang w:val="en-US"/>
        </w:rPr>
        <w:t>JIA-associated uveitis</w:t>
      </w:r>
      <w:r w:rsidRPr="004971DC">
        <w:rPr>
          <w:rFonts w:asciiTheme="minorHAnsi" w:hAnsiTheme="minorHAnsi" w:cs="Times"/>
          <w:sz w:val="24"/>
          <w:lang w:val="en-US"/>
        </w:rPr>
        <w:t xml:space="preserve">. </w:t>
      </w:r>
    </w:p>
    <w:p w14:paraId="3295F924" w14:textId="77777777" w:rsidR="004971DC" w:rsidRPr="004971DC" w:rsidRDefault="004971DC" w:rsidP="004971DC">
      <w:pPr>
        <w:pStyle w:val="NoSpacing"/>
      </w:pPr>
    </w:p>
    <w:p w14:paraId="071C71B4" w14:textId="77777777" w:rsidR="00E549CB" w:rsidRPr="004971DC" w:rsidRDefault="00E549CB" w:rsidP="004971DC">
      <w:pPr>
        <w:pStyle w:val="NoSpacing"/>
        <w:spacing w:line="480" w:lineRule="auto"/>
        <w:jc w:val="left"/>
        <w:rPr>
          <w:rFonts w:asciiTheme="minorHAnsi" w:hAnsiTheme="minorHAnsi"/>
          <w:b/>
          <w:sz w:val="24"/>
        </w:rPr>
      </w:pPr>
      <w:r w:rsidRPr="004971DC">
        <w:rPr>
          <w:rFonts w:asciiTheme="minorHAnsi" w:hAnsiTheme="minorHAnsi"/>
          <w:b/>
          <w:sz w:val="24"/>
        </w:rPr>
        <w:t>METHODS</w:t>
      </w:r>
    </w:p>
    <w:p w14:paraId="618E7E73" w14:textId="77777777" w:rsidR="004971DC" w:rsidRPr="004971DC" w:rsidRDefault="004971DC" w:rsidP="004971DC">
      <w:pPr>
        <w:pStyle w:val="NoSpacing"/>
      </w:pPr>
    </w:p>
    <w:p w14:paraId="6942B811" w14:textId="1103110B" w:rsidR="005B3C0B" w:rsidRDefault="005B3C0B" w:rsidP="004971DC">
      <w:pPr>
        <w:pStyle w:val="NoSpacing"/>
        <w:spacing w:line="480" w:lineRule="auto"/>
        <w:jc w:val="left"/>
        <w:rPr>
          <w:rFonts w:asciiTheme="minorHAnsi" w:hAnsiTheme="minorHAnsi"/>
          <w:sz w:val="24"/>
        </w:rPr>
      </w:pPr>
      <w:r w:rsidRPr="004971DC">
        <w:rPr>
          <w:rFonts w:asciiTheme="minorHAnsi" w:hAnsiTheme="minorHAnsi"/>
          <w:sz w:val="24"/>
        </w:rPr>
        <w:t xml:space="preserve">We conducted a </w:t>
      </w:r>
      <w:proofErr w:type="spellStart"/>
      <w:r w:rsidR="00802B50" w:rsidRPr="004971DC">
        <w:rPr>
          <w:rFonts w:asciiTheme="minorHAnsi" w:hAnsiTheme="minorHAnsi"/>
          <w:sz w:val="24"/>
        </w:rPr>
        <w:t>multicenter</w:t>
      </w:r>
      <w:proofErr w:type="spellEnd"/>
      <w:r w:rsidRPr="004971DC">
        <w:rPr>
          <w:rFonts w:asciiTheme="minorHAnsi" w:hAnsiTheme="minorHAnsi"/>
          <w:sz w:val="24"/>
        </w:rPr>
        <w:t xml:space="preserve">, </w:t>
      </w:r>
      <w:r w:rsidR="00602666" w:rsidRPr="004971DC">
        <w:rPr>
          <w:rFonts w:asciiTheme="minorHAnsi" w:hAnsiTheme="minorHAnsi"/>
          <w:sz w:val="24"/>
        </w:rPr>
        <w:t>double</w:t>
      </w:r>
      <w:r w:rsidR="00802B50" w:rsidRPr="004971DC">
        <w:rPr>
          <w:rFonts w:asciiTheme="minorHAnsi" w:hAnsiTheme="minorHAnsi"/>
          <w:sz w:val="24"/>
        </w:rPr>
        <w:t>-</w:t>
      </w:r>
      <w:r w:rsidRPr="004971DC">
        <w:rPr>
          <w:rFonts w:asciiTheme="minorHAnsi" w:hAnsiTheme="minorHAnsi"/>
          <w:sz w:val="24"/>
        </w:rPr>
        <w:t>blind, randomised placebo-controlled trial</w:t>
      </w:r>
      <w:r w:rsidR="00EF7E8A" w:rsidRPr="004971DC">
        <w:rPr>
          <w:rFonts w:asciiTheme="minorHAnsi" w:hAnsiTheme="minorHAnsi"/>
          <w:sz w:val="24"/>
        </w:rPr>
        <w:t xml:space="preserve">. </w:t>
      </w:r>
      <w:r w:rsidR="00493CA7" w:rsidRPr="004971DC">
        <w:rPr>
          <w:rFonts w:asciiTheme="minorHAnsi" w:hAnsiTheme="minorHAnsi"/>
          <w:sz w:val="24"/>
        </w:rPr>
        <w:t xml:space="preserve">The primary </w:t>
      </w:r>
      <w:r w:rsidR="003B106C" w:rsidRPr="004971DC">
        <w:rPr>
          <w:rFonts w:asciiTheme="minorHAnsi" w:hAnsiTheme="minorHAnsi"/>
          <w:sz w:val="24"/>
        </w:rPr>
        <w:t xml:space="preserve">outcome </w:t>
      </w:r>
      <w:r w:rsidR="00493CA7" w:rsidRPr="004971DC">
        <w:rPr>
          <w:rFonts w:asciiTheme="minorHAnsi" w:hAnsiTheme="minorHAnsi"/>
          <w:sz w:val="24"/>
        </w:rPr>
        <w:t xml:space="preserve">was </w:t>
      </w:r>
      <w:r w:rsidRPr="004971DC">
        <w:rPr>
          <w:rFonts w:asciiTheme="minorHAnsi" w:hAnsiTheme="minorHAnsi"/>
          <w:sz w:val="24"/>
        </w:rPr>
        <w:t xml:space="preserve">the efficacy of adalimumab in children with active JIA-associated uveitis, </w:t>
      </w:r>
      <w:r w:rsidR="00493CA7" w:rsidRPr="004971DC">
        <w:rPr>
          <w:rFonts w:asciiTheme="minorHAnsi" w:hAnsiTheme="minorHAnsi"/>
          <w:sz w:val="24"/>
        </w:rPr>
        <w:t xml:space="preserve">as measured by scores noted below, </w:t>
      </w:r>
      <w:r w:rsidRPr="004971DC">
        <w:rPr>
          <w:rFonts w:asciiTheme="minorHAnsi" w:hAnsiTheme="minorHAnsi"/>
          <w:sz w:val="24"/>
        </w:rPr>
        <w:t xml:space="preserve">despite stable MTX treatment for at least 12 weeks.  </w:t>
      </w:r>
    </w:p>
    <w:p w14:paraId="3DB19ADA" w14:textId="77777777" w:rsidR="004971DC" w:rsidRPr="004971DC" w:rsidRDefault="004971DC" w:rsidP="004971DC">
      <w:pPr>
        <w:pStyle w:val="NoSpacing"/>
      </w:pPr>
    </w:p>
    <w:p w14:paraId="3F9C4E6D" w14:textId="6B60A376" w:rsidR="00551BD2" w:rsidRPr="004971DC" w:rsidRDefault="004971DC" w:rsidP="004971DC">
      <w:pPr>
        <w:pStyle w:val="NoSpacing"/>
        <w:spacing w:line="480" w:lineRule="auto"/>
        <w:jc w:val="left"/>
        <w:rPr>
          <w:rFonts w:asciiTheme="minorHAnsi" w:hAnsiTheme="minorHAnsi"/>
          <w:b/>
          <w:sz w:val="24"/>
        </w:rPr>
      </w:pPr>
      <w:r w:rsidRPr="004971DC">
        <w:rPr>
          <w:rFonts w:asciiTheme="minorHAnsi" w:hAnsiTheme="minorHAnsi"/>
          <w:b/>
          <w:sz w:val="24"/>
        </w:rPr>
        <w:t>Protocol and Study Population</w:t>
      </w:r>
    </w:p>
    <w:p w14:paraId="138B01A8" w14:textId="77777777" w:rsidR="004971DC" w:rsidRDefault="0013415E" w:rsidP="004971DC">
      <w:pPr>
        <w:pStyle w:val="NoSpacing"/>
        <w:spacing w:line="480" w:lineRule="auto"/>
        <w:jc w:val="left"/>
        <w:rPr>
          <w:rFonts w:asciiTheme="minorHAnsi" w:hAnsiTheme="minorHAnsi"/>
          <w:sz w:val="24"/>
        </w:rPr>
      </w:pPr>
      <w:r w:rsidRPr="004971DC">
        <w:rPr>
          <w:rFonts w:asciiTheme="minorHAnsi" w:hAnsiTheme="minorHAnsi"/>
          <w:sz w:val="24"/>
        </w:rPr>
        <w:t>A</w:t>
      </w:r>
      <w:r w:rsidR="00FE3E9C" w:rsidRPr="004971DC">
        <w:rPr>
          <w:rFonts w:asciiTheme="minorHAnsi" w:hAnsiTheme="minorHAnsi"/>
          <w:sz w:val="24"/>
        </w:rPr>
        <w:t>n independent ethics committee</w:t>
      </w:r>
      <w:r w:rsidR="00850AA5" w:rsidRPr="004971DC">
        <w:rPr>
          <w:rFonts w:asciiTheme="minorHAnsi" w:hAnsiTheme="minorHAnsi"/>
          <w:sz w:val="24"/>
        </w:rPr>
        <w:t xml:space="preserve"> </w:t>
      </w:r>
      <w:r w:rsidR="00FE3E9C" w:rsidRPr="004971DC">
        <w:rPr>
          <w:rFonts w:asciiTheme="minorHAnsi" w:hAnsiTheme="minorHAnsi"/>
          <w:sz w:val="24"/>
        </w:rPr>
        <w:t xml:space="preserve">and the Medicines for Healthcare Regulatory Agency </w:t>
      </w:r>
      <w:r w:rsidRPr="004971DC">
        <w:rPr>
          <w:rFonts w:asciiTheme="minorHAnsi" w:hAnsiTheme="minorHAnsi"/>
          <w:sz w:val="24"/>
        </w:rPr>
        <w:t>approved the trial protocol</w:t>
      </w:r>
      <w:r w:rsidR="00FE3E9C" w:rsidRPr="004971DC">
        <w:rPr>
          <w:rFonts w:asciiTheme="minorHAnsi" w:hAnsiTheme="minorHAnsi"/>
          <w:sz w:val="24"/>
        </w:rPr>
        <w:t>. Each parent/guardian provided written informed consent</w:t>
      </w:r>
      <w:r w:rsidR="000A3111" w:rsidRPr="004971DC">
        <w:rPr>
          <w:rFonts w:asciiTheme="minorHAnsi" w:hAnsiTheme="minorHAnsi"/>
          <w:sz w:val="24"/>
        </w:rPr>
        <w:t xml:space="preserve"> </w:t>
      </w:r>
      <w:r w:rsidR="00850AA5" w:rsidRPr="004971DC">
        <w:rPr>
          <w:rFonts w:asciiTheme="minorHAnsi" w:hAnsiTheme="minorHAnsi"/>
          <w:sz w:val="24"/>
        </w:rPr>
        <w:t xml:space="preserve">and </w:t>
      </w:r>
      <w:r w:rsidR="000934B7" w:rsidRPr="004971DC">
        <w:rPr>
          <w:rFonts w:asciiTheme="minorHAnsi" w:hAnsiTheme="minorHAnsi"/>
          <w:sz w:val="24"/>
        </w:rPr>
        <w:t xml:space="preserve">each child gave their </w:t>
      </w:r>
      <w:r w:rsidR="000A3111" w:rsidRPr="004971DC">
        <w:rPr>
          <w:rFonts w:asciiTheme="minorHAnsi" w:hAnsiTheme="minorHAnsi"/>
          <w:sz w:val="24"/>
        </w:rPr>
        <w:t>assent</w:t>
      </w:r>
      <w:r w:rsidR="000934B7" w:rsidRPr="004971DC">
        <w:rPr>
          <w:rFonts w:asciiTheme="minorHAnsi" w:hAnsiTheme="minorHAnsi"/>
          <w:sz w:val="24"/>
        </w:rPr>
        <w:t xml:space="preserve"> where appropriate</w:t>
      </w:r>
      <w:r w:rsidR="00FE3E9C" w:rsidRPr="004971DC">
        <w:rPr>
          <w:rFonts w:asciiTheme="minorHAnsi" w:hAnsiTheme="minorHAnsi"/>
          <w:sz w:val="24"/>
        </w:rPr>
        <w:t xml:space="preserve">. </w:t>
      </w:r>
      <w:r w:rsidR="00A6146A" w:rsidRPr="004971DC">
        <w:rPr>
          <w:rFonts w:asciiTheme="minorHAnsi" w:hAnsiTheme="minorHAnsi" w:cs="Times"/>
          <w:sz w:val="24"/>
          <w:lang w:val="en-US"/>
        </w:rPr>
        <w:t xml:space="preserve">The </w:t>
      </w:r>
      <w:r w:rsidR="00A26799" w:rsidRPr="004971DC">
        <w:rPr>
          <w:rFonts w:asciiTheme="minorHAnsi" w:hAnsiTheme="minorHAnsi" w:cs="Times"/>
          <w:sz w:val="24"/>
          <w:lang w:val="en-US"/>
        </w:rPr>
        <w:t xml:space="preserve">trial </w:t>
      </w:r>
      <w:r w:rsidR="00EE2C7F" w:rsidRPr="004971DC">
        <w:rPr>
          <w:rFonts w:asciiTheme="minorHAnsi" w:hAnsiTheme="minorHAnsi" w:cs="Times"/>
          <w:sz w:val="24"/>
          <w:lang w:val="en-US"/>
        </w:rPr>
        <w:t>protocol</w:t>
      </w:r>
      <w:r w:rsidR="00AC1005" w:rsidRPr="004971DC">
        <w:rPr>
          <w:rFonts w:asciiTheme="minorHAnsi" w:hAnsiTheme="minorHAnsi" w:cs="Times"/>
          <w:sz w:val="24"/>
          <w:lang w:val="en-US"/>
        </w:rPr>
        <w:t xml:space="preserve"> (</w:t>
      </w:r>
      <w:r w:rsidR="006F3BB4" w:rsidRPr="004971DC">
        <w:rPr>
          <w:rFonts w:asciiTheme="minorHAnsi" w:hAnsiTheme="minorHAnsi" w:cs="Times"/>
          <w:sz w:val="24"/>
          <w:lang w:val="en-US"/>
        </w:rPr>
        <w:t>19</w:t>
      </w:r>
      <w:r w:rsidR="00AC1005" w:rsidRPr="004971DC">
        <w:rPr>
          <w:rFonts w:asciiTheme="minorHAnsi" w:hAnsiTheme="minorHAnsi" w:cs="Times"/>
          <w:sz w:val="24"/>
          <w:lang w:val="en-US"/>
        </w:rPr>
        <w:t>)</w:t>
      </w:r>
      <w:r w:rsidR="0018121F" w:rsidRPr="004971DC">
        <w:rPr>
          <w:rFonts w:asciiTheme="minorHAnsi" w:hAnsiTheme="minorHAnsi" w:cs="Times"/>
          <w:sz w:val="24"/>
          <w:vertAlign w:val="superscript"/>
          <w:lang w:val="en-US"/>
        </w:rPr>
        <w:t xml:space="preserve"> </w:t>
      </w:r>
      <w:r w:rsidR="00A26799" w:rsidRPr="004971DC">
        <w:rPr>
          <w:rFonts w:asciiTheme="minorHAnsi" w:hAnsiTheme="minorHAnsi"/>
          <w:sz w:val="24"/>
        </w:rPr>
        <w:t>is available at NEJM.org</w:t>
      </w:r>
      <w:r w:rsidR="006F3BB4" w:rsidRPr="004971DC">
        <w:rPr>
          <w:rFonts w:asciiTheme="minorHAnsi" w:hAnsiTheme="minorHAnsi"/>
          <w:sz w:val="24"/>
        </w:rPr>
        <w:t xml:space="preserve">, and the authors vouch for the fidelity of this report </w:t>
      </w:r>
      <w:r w:rsidR="002E6FC9" w:rsidRPr="004971DC">
        <w:rPr>
          <w:rFonts w:asciiTheme="minorHAnsi" w:hAnsiTheme="minorHAnsi"/>
          <w:sz w:val="24"/>
        </w:rPr>
        <w:t xml:space="preserve">and the trial </w:t>
      </w:r>
      <w:r w:rsidR="006F3BB4" w:rsidRPr="004971DC">
        <w:rPr>
          <w:rFonts w:asciiTheme="minorHAnsi" w:hAnsiTheme="minorHAnsi"/>
          <w:sz w:val="24"/>
        </w:rPr>
        <w:t>to the protocol</w:t>
      </w:r>
      <w:r w:rsidR="0018121F" w:rsidRPr="004971DC">
        <w:rPr>
          <w:rFonts w:asciiTheme="minorHAnsi" w:hAnsiTheme="minorHAnsi"/>
          <w:sz w:val="24"/>
        </w:rPr>
        <w:t xml:space="preserve">. </w:t>
      </w:r>
      <w:r w:rsidR="000005E0" w:rsidRPr="004971DC">
        <w:rPr>
          <w:rFonts w:asciiTheme="minorHAnsi" w:hAnsiTheme="minorHAnsi" w:cs="Arial"/>
          <w:sz w:val="24"/>
        </w:rPr>
        <w:lastRenderedPageBreak/>
        <w:t>AbbVie had no part in study design, collection or analysis of the data, or manuscript preparation. AbbVie Inc. reviewed</w:t>
      </w:r>
      <w:r w:rsidR="000005E0" w:rsidRPr="004971DC">
        <w:rPr>
          <w:rFonts w:asciiTheme="minorHAnsi" w:hAnsiTheme="minorHAnsi"/>
          <w:sz w:val="24"/>
          <w:lang w:val="en-US"/>
        </w:rPr>
        <w:t xml:space="preserve"> the final draft of the manuscript</w:t>
      </w:r>
      <w:r w:rsidR="000005E0" w:rsidRPr="004971DC">
        <w:rPr>
          <w:rFonts w:asciiTheme="minorHAnsi" w:hAnsiTheme="minorHAnsi" w:cs="Arial"/>
          <w:sz w:val="24"/>
        </w:rPr>
        <w:t xml:space="preserve">. </w:t>
      </w:r>
      <w:r w:rsidR="000005E0" w:rsidRPr="004971DC">
        <w:rPr>
          <w:rFonts w:asciiTheme="minorHAnsi" w:hAnsiTheme="minorHAnsi" w:cs="Calibri"/>
          <w:sz w:val="24"/>
          <w:lang w:val="en-US"/>
        </w:rPr>
        <w:t>All of the authors assume responsibility for the accuracy and completeness of the data.</w:t>
      </w:r>
    </w:p>
    <w:p w14:paraId="4F034A63" w14:textId="77777777" w:rsidR="004971DC" w:rsidRPr="004971DC" w:rsidRDefault="004971DC" w:rsidP="004971DC">
      <w:pPr>
        <w:pStyle w:val="NoSpacing"/>
      </w:pPr>
    </w:p>
    <w:p w14:paraId="5082C812" w14:textId="56CB442D" w:rsidR="00DD5F8C" w:rsidRPr="004971DC" w:rsidRDefault="00DD5F8C" w:rsidP="004971DC">
      <w:pPr>
        <w:pStyle w:val="NoSpacing"/>
        <w:spacing w:line="480" w:lineRule="auto"/>
        <w:jc w:val="left"/>
        <w:rPr>
          <w:rFonts w:asciiTheme="minorHAnsi" w:hAnsiTheme="minorHAnsi"/>
          <w:sz w:val="24"/>
        </w:rPr>
      </w:pPr>
      <w:r w:rsidRPr="004971DC">
        <w:rPr>
          <w:rFonts w:asciiTheme="minorHAnsi" w:hAnsiTheme="minorHAnsi"/>
          <w:sz w:val="24"/>
        </w:rPr>
        <w:t xml:space="preserve">Patients aged 2 to </w:t>
      </w:r>
      <w:r w:rsidR="00573626" w:rsidRPr="004971DC">
        <w:rPr>
          <w:rFonts w:asciiTheme="minorHAnsi" w:hAnsiTheme="minorHAnsi"/>
          <w:sz w:val="24"/>
        </w:rPr>
        <w:t>&lt;</w:t>
      </w:r>
      <w:r w:rsidRPr="004971DC">
        <w:rPr>
          <w:rFonts w:asciiTheme="minorHAnsi" w:hAnsiTheme="minorHAnsi"/>
          <w:sz w:val="24"/>
        </w:rPr>
        <w:t xml:space="preserve">18 years with active JIA-associated uveitis, despite </w:t>
      </w:r>
      <w:r w:rsidR="00D344CF" w:rsidRPr="004971DC">
        <w:rPr>
          <w:rFonts w:asciiTheme="minorHAnsi" w:hAnsiTheme="minorHAnsi"/>
          <w:sz w:val="24"/>
        </w:rPr>
        <w:t xml:space="preserve">a </w:t>
      </w:r>
      <w:r w:rsidRPr="004971DC">
        <w:rPr>
          <w:rFonts w:asciiTheme="minorHAnsi" w:hAnsiTheme="minorHAnsi"/>
          <w:sz w:val="24"/>
        </w:rPr>
        <w:t xml:space="preserve">stable </w:t>
      </w:r>
      <w:r w:rsidR="00D344CF" w:rsidRPr="004971DC">
        <w:rPr>
          <w:rFonts w:asciiTheme="minorHAnsi" w:hAnsiTheme="minorHAnsi"/>
          <w:sz w:val="24"/>
        </w:rPr>
        <w:t xml:space="preserve">weekly dose of </w:t>
      </w:r>
      <w:r w:rsidRPr="004971DC">
        <w:rPr>
          <w:rFonts w:asciiTheme="minorHAnsi" w:hAnsiTheme="minorHAnsi"/>
          <w:sz w:val="24"/>
        </w:rPr>
        <w:t>MTX treatment for at least 12 weeks</w:t>
      </w:r>
      <w:r w:rsidR="00ED649A" w:rsidRPr="004971DC">
        <w:rPr>
          <w:rFonts w:asciiTheme="minorHAnsi" w:hAnsiTheme="minorHAnsi"/>
          <w:sz w:val="24"/>
        </w:rPr>
        <w:t>,</w:t>
      </w:r>
      <w:r w:rsidRPr="004971DC">
        <w:rPr>
          <w:rFonts w:asciiTheme="minorHAnsi" w:hAnsiTheme="minorHAnsi"/>
          <w:sz w:val="24"/>
        </w:rPr>
        <w:t xml:space="preserve"> were eligible for randomisation. </w:t>
      </w:r>
      <w:r w:rsidR="005B3C0B" w:rsidRPr="004971DC">
        <w:rPr>
          <w:rFonts w:asciiTheme="minorHAnsi" w:hAnsiTheme="minorHAnsi"/>
          <w:sz w:val="24"/>
        </w:rPr>
        <w:t xml:space="preserve">Stable MTX treatment </w:t>
      </w:r>
      <w:r w:rsidR="0018121F" w:rsidRPr="004971DC">
        <w:rPr>
          <w:rFonts w:asciiTheme="minorHAnsi" w:hAnsiTheme="minorHAnsi"/>
          <w:sz w:val="24"/>
        </w:rPr>
        <w:t xml:space="preserve">required </w:t>
      </w:r>
      <w:r w:rsidR="005B3C0B" w:rsidRPr="004971DC">
        <w:rPr>
          <w:rFonts w:asciiTheme="minorHAnsi" w:hAnsiTheme="minorHAnsi"/>
          <w:sz w:val="24"/>
          <w:lang w:eastAsia="en-GB"/>
        </w:rPr>
        <w:t>dose</w:t>
      </w:r>
      <w:r w:rsidR="00D50A41" w:rsidRPr="004971DC">
        <w:rPr>
          <w:rFonts w:asciiTheme="minorHAnsi" w:hAnsiTheme="minorHAnsi"/>
          <w:sz w:val="24"/>
          <w:lang w:eastAsia="en-GB"/>
        </w:rPr>
        <w:t xml:space="preserve"> </w:t>
      </w:r>
      <w:r w:rsidR="0018121F" w:rsidRPr="004971DC">
        <w:rPr>
          <w:rFonts w:asciiTheme="minorHAnsi" w:hAnsiTheme="minorHAnsi"/>
          <w:sz w:val="24"/>
          <w:lang w:eastAsia="en-GB"/>
        </w:rPr>
        <w:t>(10-20mg/m</w:t>
      </w:r>
      <w:r w:rsidR="0018121F" w:rsidRPr="004971DC">
        <w:rPr>
          <w:rFonts w:asciiTheme="minorHAnsi" w:hAnsiTheme="minorHAnsi"/>
          <w:sz w:val="24"/>
          <w:vertAlign w:val="superscript"/>
          <w:lang w:eastAsia="en-GB"/>
        </w:rPr>
        <w:t>2</w:t>
      </w:r>
      <w:r w:rsidR="0018121F" w:rsidRPr="004971DC">
        <w:rPr>
          <w:rFonts w:asciiTheme="minorHAnsi" w:hAnsiTheme="minorHAnsi"/>
          <w:sz w:val="24"/>
          <w:lang w:eastAsia="en-GB"/>
        </w:rPr>
        <w:t xml:space="preserve">, maximum dose of 25mg/patient) </w:t>
      </w:r>
      <w:r w:rsidR="00D50A41" w:rsidRPr="004971DC">
        <w:rPr>
          <w:rFonts w:asciiTheme="minorHAnsi" w:hAnsiTheme="minorHAnsi"/>
          <w:sz w:val="24"/>
          <w:lang w:eastAsia="en-GB"/>
        </w:rPr>
        <w:t>and r</w:t>
      </w:r>
      <w:r w:rsidR="005B3C0B" w:rsidRPr="004971DC">
        <w:rPr>
          <w:rFonts w:asciiTheme="minorHAnsi" w:hAnsiTheme="minorHAnsi"/>
          <w:sz w:val="24"/>
          <w:lang w:eastAsia="en-GB"/>
        </w:rPr>
        <w:t xml:space="preserve">oute </w:t>
      </w:r>
      <w:r w:rsidR="0018121F" w:rsidRPr="004971DC">
        <w:rPr>
          <w:rFonts w:asciiTheme="minorHAnsi" w:hAnsiTheme="minorHAnsi"/>
          <w:sz w:val="24"/>
          <w:lang w:eastAsia="en-GB"/>
        </w:rPr>
        <w:t xml:space="preserve">to </w:t>
      </w:r>
      <w:r w:rsidR="005B3C0B" w:rsidRPr="004971DC">
        <w:rPr>
          <w:rFonts w:asciiTheme="minorHAnsi" w:hAnsiTheme="minorHAnsi"/>
          <w:sz w:val="24"/>
          <w:lang w:eastAsia="en-GB"/>
        </w:rPr>
        <w:t xml:space="preserve">remain constant. </w:t>
      </w:r>
      <w:r w:rsidR="00A443AC" w:rsidRPr="004971DC">
        <w:rPr>
          <w:rFonts w:asciiTheme="minorHAnsi" w:hAnsiTheme="minorHAnsi"/>
          <w:sz w:val="24"/>
        </w:rPr>
        <w:t>Active uveitis was defined as</w:t>
      </w:r>
      <w:r w:rsidR="00E62000" w:rsidRPr="004971DC">
        <w:rPr>
          <w:rFonts w:asciiTheme="minorHAnsi" w:hAnsiTheme="minorHAnsi"/>
          <w:sz w:val="24"/>
        </w:rPr>
        <w:t xml:space="preserve"> ‘sustained grade of cellular infiltrate in anterior chamber of </w:t>
      </w:r>
      <w:r w:rsidR="00BD17B6" w:rsidRPr="004971DC">
        <w:rPr>
          <w:rFonts w:asciiTheme="minorHAnsi" w:hAnsiTheme="minorHAnsi"/>
          <w:sz w:val="24"/>
        </w:rPr>
        <w:t>Standardization of Uveitis Nomenclature (</w:t>
      </w:r>
      <w:r w:rsidR="00E62000" w:rsidRPr="004971DC">
        <w:rPr>
          <w:rFonts w:asciiTheme="minorHAnsi" w:hAnsiTheme="minorHAnsi"/>
          <w:sz w:val="24"/>
        </w:rPr>
        <w:t>SUN</w:t>
      </w:r>
      <w:r w:rsidR="00BD17B6" w:rsidRPr="004971DC">
        <w:rPr>
          <w:rFonts w:asciiTheme="minorHAnsi" w:hAnsiTheme="minorHAnsi"/>
          <w:sz w:val="24"/>
        </w:rPr>
        <w:t xml:space="preserve">) </w:t>
      </w:r>
      <w:r w:rsidR="00BD17B6" w:rsidRPr="004971DC">
        <w:rPr>
          <w:rFonts w:asciiTheme="minorHAnsi" w:hAnsiTheme="minorHAnsi"/>
          <w:noProof/>
          <w:sz w:val="24"/>
        </w:rPr>
        <w:t>(2</w:t>
      </w:r>
      <w:r w:rsidR="00117A7D" w:rsidRPr="004971DC">
        <w:rPr>
          <w:rFonts w:asciiTheme="minorHAnsi" w:hAnsiTheme="minorHAnsi"/>
          <w:noProof/>
          <w:sz w:val="24"/>
        </w:rPr>
        <w:t>0</w:t>
      </w:r>
      <w:r w:rsidR="00BD17B6" w:rsidRPr="004971DC">
        <w:rPr>
          <w:rFonts w:asciiTheme="minorHAnsi" w:hAnsiTheme="minorHAnsi"/>
          <w:noProof/>
          <w:sz w:val="24"/>
        </w:rPr>
        <w:t>)</w:t>
      </w:r>
      <w:r w:rsidR="00E62000" w:rsidRPr="004971DC">
        <w:rPr>
          <w:rFonts w:asciiTheme="minorHAnsi" w:hAnsiTheme="minorHAnsi"/>
          <w:sz w:val="24"/>
        </w:rPr>
        <w:t xml:space="preserve"> criteria grade </w:t>
      </w:r>
      <w:r w:rsidR="00E62000" w:rsidRPr="004971DC">
        <w:rPr>
          <w:rFonts w:asciiTheme="minorHAnsi" w:hAnsiTheme="minorHAnsi"/>
          <w:sz w:val="24"/>
          <w:u w:val="single"/>
        </w:rPr>
        <w:t>&gt;</w:t>
      </w:r>
      <w:r w:rsidR="00E62000" w:rsidRPr="004971DC">
        <w:rPr>
          <w:rFonts w:asciiTheme="minorHAnsi" w:hAnsiTheme="minorHAnsi"/>
          <w:sz w:val="24"/>
        </w:rPr>
        <w:t xml:space="preserve">1+ during the </w:t>
      </w:r>
      <w:r w:rsidR="00E948F9" w:rsidRPr="004971DC">
        <w:rPr>
          <w:rFonts w:asciiTheme="minorHAnsi" w:hAnsiTheme="minorHAnsi"/>
          <w:sz w:val="24"/>
        </w:rPr>
        <w:t>12 weeks prior</w:t>
      </w:r>
      <w:r w:rsidR="00E62000" w:rsidRPr="004971DC">
        <w:rPr>
          <w:rFonts w:asciiTheme="minorHAnsi" w:hAnsiTheme="minorHAnsi"/>
          <w:sz w:val="24"/>
        </w:rPr>
        <w:t xml:space="preserve"> to screening despite MTX and corticosteroid (systemic and</w:t>
      </w:r>
      <w:r w:rsidR="0018121F" w:rsidRPr="004971DC">
        <w:rPr>
          <w:rFonts w:asciiTheme="minorHAnsi" w:hAnsiTheme="minorHAnsi"/>
          <w:sz w:val="24"/>
        </w:rPr>
        <w:t>/or</w:t>
      </w:r>
      <w:r w:rsidR="00E62000" w:rsidRPr="004971DC">
        <w:rPr>
          <w:rFonts w:asciiTheme="minorHAnsi" w:hAnsiTheme="minorHAnsi"/>
          <w:sz w:val="24"/>
        </w:rPr>
        <w:t xml:space="preserve"> topical) therapy</w:t>
      </w:r>
      <w:r w:rsidR="00ED649A" w:rsidRPr="004971DC">
        <w:rPr>
          <w:rFonts w:asciiTheme="minorHAnsi" w:hAnsiTheme="minorHAnsi"/>
          <w:sz w:val="24"/>
        </w:rPr>
        <w:t>’</w:t>
      </w:r>
      <w:r w:rsidR="00523569" w:rsidRPr="004971DC">
        <w:rPr>
          <w:rFonts w:asciiTheme="minorHAnsi" w:hAnsiTheme="minorHAnsi"/>
          <w:sz w:val="24"/>
        </w:rPr>
        <w:t xml:space="preserve"> on at least two occasions</w:t>
      </w:r>
      <w:r w:rsidR="00E62000" w:rsidRPr="004971DC">
        <w:rPr>
          <w:rFonts w:asciiTheme="minorHAnsi" w:hAnsiTheme="minorHAnsi"/>
          <w:sz w:val="24"/>
        </w:rPr>
        <w:t xml:space="preserve">. </w:t>
      </w:r>
      <w:r w:rsidR="0018121F" w:rsidRPr="004971DC">
        <w:rPr>
          <w:rFonts w:asciiTheme="minorHAnsi" w:hAnsiTheme="minorHAnsi"/>
          <w:sz w:val="24"/>
        </w:rPr>
        <w:t>Key exclusion criteria included</w:t>
      </w:r>
      <w:r w:rsidR="00EE055C" w:rsidRPr="004971DC">
        <w:rPr>
          <w:rFonts w:asciiTheme="minorHAnsi" w:hAnsiTheme="minorHAnsi"/>
          <w:sz w:val="24"/>
        </w:rPr>
        <w:t>:</w:t>
      </w:r>
      <w:r w:rsidR="00447928" w:rsidRPr="004971DC">
        <w:rPr>
          <w:rFonts w:asciiTheme="minorHAnsi" w:hAnsiTheme="minorHAnsi"/>
          <w:sz w:val="24"/>
        </w:rPr>
        <w:t xml:space="preserve"> </w:t>
      </w:r>
      <w:r w:rsidR="00E948F9" w:rsidRPr="004971DC">
        <w:rPr>
          <w:rFonts w:asciiTheme="minorHAnsi" w:hAnsiTheme="minorHAnsi"/>
          <w:sz w:val="24"/>
        </w:rPr>
        <w:t>prior exposure to</w:t>
      </w:r>
      <w:r w:rsidRPr="004971DC">
        <w:rPr>
          <w:rFonts w:asciiTheme="minorHAnsi" w:hAnsiTheme="minorHAnsi"/>
          <w:sz w:val="24"/>
        </w:rPr>
        <w:t xml:space="preserve"> </w:t>
      </w:r>
      <w:r w:rsidR="00BB28AD" w:rsidRPr="004971DC">
        <w:rPr>
          <w:rFonts w:asciiTheme="minorHAnsi" w:hAnsiTheme="minorHAnsi"/>
          <w:sz w:val="24"/>
        </w:rPr>
        <w:t>a</w:t>
      </w:r>
      <w:r w:rsidRPr="004971DC">
        <w:rPr>
          <w:rFonts w:asciiTheme="minorHAnsi" w:hAnsiTheme="minorHAnsi"/>
          <w:sz w:val="24"/>
        </w:rPr>
        <w:t>dalimumab</w:t>
      </w:r>
      <w:r w:rsidR="00976E9B" w:rsidRPr="004971DC">
        <w:rPr>
          <w:rFonts w:asciiTheme="minorHAnsi" w:hAnsiTheme="minorHAnsi"/>
          <w:sz w:val="24"/>
        </w:rPr>
        <w:t>;</w:t>
      </w:r>
      <w:r w:rsidRPr="004971DC">
        <w:rPr>
          <w:rFonts w:asciiTheme="minorHAnsi" w:hAnsiTheme="minorHAnsi"/>
          <w:sz w:val="24"/>
        </w:rPr>
        <w:t xml:space="preserve"> </w:t>
      </w:r>
      <w:r w:rsidR="00136524" w:rsidRPr="004971DC">
        <w:rPr>
          <w:rFonts w:asciiTheme="minorHAnsi" w:hAnsiTheme="minorHAnsi"/>
          <w:sz w:val="24"/>
        </w:rPr>
        <w:t>prior exposure to an</w:t>
      </w:r>
      <w:r w:rsidRPr="004971DC">
        <w:rPr>
          <w:rFonts w:asciiTheme="minorHAnsi" w:hAnsiTheme="minorHAnsi"/>
          <w:sz w:val="24"/>
        </w:rPr>
        <w:t>other biologic agent</w:t>
      </w:r>
      <w:r w:rsidR="00136524" w:rsidRPr="004971DC">
        <w:rPr>
          <w:rFonts w:asciiTheme="minorHAnsi" w:hAnsiTheme="minorHAnsi"/>
          <w:sz w:val="24"/>
        </w:rPr>
        <w:t xml:space="preserve"> such that the estimated level of drug in patient’s blood is less than that predicted by </w:t>
      </w:r>
      <w:r w:rsidRPr="004971DC">
        <w:rPr>
          <w:rFonts w:asciiTheme="minorHAnsi" w:hAnsiTheme="minorHAnsi"/>
          <w:sz w:val="24"/>
        </w:rPr>
        <w:t>5-half-lives</w:t>
      </w:r>
      <w:r w:rsidR="00447928" w:rsidRPr="004971DC">
        <w:rPr>
          <w:rFonts w:asciiTheme="minorHAnsi" w:hAnsiTheme="minorHAnsi"/>
          <w:sz w:val="24"/>
        </w:rPr>
        <w:t xml:space="preserve"> of the drug</w:t>
      </w:r>
      <w:r w:rsidR="00976E9B" w:rsidRPr="004971DC">
        <w:rPr>
          <w:rFonts w:asciiTheme="minorHAnsi" w:hAnsiTheme="minorHAnsi"/>
          <w:sz w:val="24"/>
        </w:rPr>
        <w:t>;</w:t>
      </w:r>
      <w:r w:rsidRPr="004971DC">
        <w:rPr>
          <w:rFonts w:asciiTheme="minorHAnsi" w:hAnsiTheme="minorHAnsi"/>
          <w:sz w:val="24"/>
        </w:rPr>
        <w:t xml:space="preserve"> on more than </w:t>
      </w:r>
      <w:r w:rsidR="00447928" w:rsidRPr="004971DC">
        <w:rPr>
          <w:rFonts w:asciiTheme="minorHAnsi" w:hAnsiTheme="minorHAnsi"/>
          <w:sz w:val="24"/>
        </w:rPr>
        <w:t>six</w:t>
      </w:r>
      <w:r w:rsidRPr="004971DC">
        <w:rPr>
          <w:rFonts w:asciiTheme="minorHAnsi" w:hAnsiTheme="minorHAnsi"/>
          <w:sz w:val="24"/>
        </w:rPr>
        <w:t xml:space="preserve"> topical steroid eye drops per eye per day</w:t>
      </w:r>
      <w:r w:rsidR="00976E9B" w:rsidRPr="004971DC">
        <w:rPr>
          <w:rFonts w:asciiTheme="minorHAnsi" w:hAnsiTheme="minorHAnsi"/>
          <w:sz w:val="24"/>
        </w:rPr>
        <w:t>;</w:t>
      </w:r>
      <w:r w:rsidRPr="004971DC">
        <w:rPr>
          <w:rFonts w:asciiTheme="minorHAnsi" w:hAnsiTheme="minorHAnsi"/>
          <w:sz w:val="24"/>
        </w:rPr>
        <w:t xml:space="preserve"> </w:t>
      </w:r>
      <w:r w:rsidR="00E948F9" w:rsidRPr="004971DC">
        <w:rPr>
          <w:rFonts w:asciiTheme="minorHAnsi" w:hAnsiTheme="minorHAnsi"/>
          <w:sz w:val="24"/>
        </w:rPr>
        <w:t xml:space="preserve">on </w:t>
      </w:r>
      <w:r w:rsidR="00ED649A" w:rsidRPr="004971DC">
        <w:rPr>
          <w:rFonts w:asciiTheme="minorHAnsi" w:hAnsiTheme="minorHAnsi"/>
          <w:sz w:val="24"/>
        </w:rPr>
        <w:t>p</w:t>
      </w:r>
      <w:r w:rsidRPr="004971DC">
        <w:rPr>
          <w:rFonts w:asciiTheme="minorHAnsi" w:hAnsiTheme="minorHAnsi"/>
          <w:sz w:val="24"/>
        </w:rPr>
        <w:t xml:space="preserve">rednisone </w:t>
      </w:r>
      <w:r w:rsidR="00730226" w:rsidRPr="004971DC">
        <w:rPr>
          <w:rFonts w:asciiTheme="minorHAnsi" w:hAnsiTheme="minorHAnsi"/>
          <w:sz w:val="24"/>
        </w:rPr>
        <w:t>(</w:t>
      </w:r>
      <w:r w:rsidRPr="004971DC">
        <w:rPr>
          <w:rFonts w:asciiTheme="minorHAnsi" w:hAnsiTheme="minorHAnsi"/>
          <w:sz w:val="24"/>
        </w:rPr>
        <w:t>or equivalent</w:t>
      </w:r>
      <w:r w:rsidR="00730226" w:rsidRPr="004971DC">
        <w:rPr>
          <w:rFonts w:asciiTheme="minorHAnsi" w:hAnsiTheme="minorHAnsi"/>
          <w:sz w:val="24"/>
        </w:rPr>
        <w:t>)</w:t>
      </w:r>
      <w:r w:rsidRPr="004971DC">
        <w:rPr>
          <w:rFonts w:asciiTheme="minorHAnsi" w:hAnsiTheme="minorHAnsi"/>
          <w:sz w:val="24"/>
        </w:rPr>
        <w:t xml:space="preserve"> </w:t>
      </w:r>
      <w:r w:rsidR="00E948F9" w:rsidRPr="004971DC">
        <w:rPr>
          <w:rFonts w:asciiTheme="minorHAnsi" w:hAnsiTheme="minorHAnsi"/>
          <w:sz w:val="24"/>
        </w:rPr>
        <w:t xml:space="preserve">at a </w:t>
      </w:r>
      <w:r w:rsidRPr="004971DC">
        <w:rPr>
          <w:rFonts w:asciiTheme="minorHAnsi" w:hAnsiTheme="minorHAnsi"/>
          <w:sz w:val="24"/>
        </w:rPr>
        <w:t xml:space="preserve">dose </w:t>
      </w:r>
      <w:r w:rsidR="00E948F9" w:rsidRPr="004971DC">
        <w:rPr>
          <w:rFonts w:asciiTheme="minorHAnsi" w:hAnsiTheme="minorHAnsi"/>
          <w:sz w:val="24"/>
        </w:rPr>
        <w:t xml:space="preserve">exceeding </w:t>
      </w:r>
      <w:r w:rsidRPr="004971DC">
        <w:rPr>
          <w:rFonts w:asciiTheme="minorHAnsi" w:hAnsiTheme="minorHAnsi"/>
          <w:sz w:val="24"/>
        </w:rPr>
        <w:t>0.2mg/kg per day. Full inclusion</w:t>
      </w:r>
      <w:r w:rsidR="00730226" w:rsidRPr="004971DC">
        <w:rPr>
          <w:rFonts w:asciiTheme="minorHAnsi" w:hAnsiTheme="minorHAnsi"/>
          <w:sz w:val="24"/>
        </w:rPr>
        <w:t>/</w:t>
      </w:r>
      <w:r w:rsidRPr="004971DC">
        <w:rPr>
          <w:rFonts w:asciiTheme="minorHAnsi" w:hAnsiTheme="minorHAnsi"/>
          <w:sz w:val="24"/>
        </w:rPr>
        <w:t>exclusion criteria</w:t>
      </w:r>
      <w:r w:rsidR="008B59A2" w:rsidRPr="004971DC">
        <w:rPr>
          <w:rFonts w:asciiTheme="minorHAnsi" w:hAnsiTheme="minorHAnsi"/>
          <w:sz w:val="24"/>
        </w:rPr>
        <w:t xml:space="preserve">, </w:t>
      </w:r>
      <w:r w:rsidR="00730226" w:rsidRPr="004971DC">
        <w:rPr>
          <w:rFonts w:asciiTheme="minorHAnsi" w:hAnsiTheme="minorHAnsi"/>
          <w:sz w:val="24"/>
        </w:rPr>
        <w:t xml:space="preserve">and </w:t>
      </w:r>
      <w:r w:rsidR="008B59A2" w:rsidRPr="004971DC">
        <w:rPr>
          <w:rFonts w:asciiTheme="minorHAnsi" w:hAnsiTheme="minorHAnsi"/>
          <w:sz w:val="24"/>
        </w:rPr>
        <w:t xml:space="preserve">concomitant medications permitted and not permitted, </w:t>
      </w:r>
      <w:r w:rsidR="00E948F9" w:rsidRPr="004971DC">
        <w:rPr>
          <w:rFonts w:asciiTheme="minorHAnsi" w:hAnsiTheme="minorHAnsi"/>
          <w:sz w:val="24"/>
        </w:rPr>
        <w:t>are described</w:t>
      </w:r>
      <w:r w:rsidRPr="004971DC">
        <w:rPr>
          <w:rFonts w:asciiTheme="minorHAnsi" w:hAnsiTheme="minorHAnsi"/>
          <w:sz w:val="24"/>
        </w:rPr>
        <w:t xml:space="preserve"> in the study protocol</w:t>
      </w:r>
      <w:r w:rsidR="00444B0F" w:rsidRPr="004971DC">
        <w:rPr>
          <w:rFonts w:asciiTheme="minorHAnsi" w:hAnsiTheme="minorHAnsi"/>
          <w:sz w:val="24"/>
        </w:rPr>
        <w:t xml:space="preserve"> (</w:t>
      </w:r>
      <w:r w:rsidR="00E948F9" w:rsidRPr="004971DC">
        <w:rPr>
          <w:rFonts w:asciiTheme="minorHAnsi" w:hAnsiTheme="minorHAnsi"/>
          <w:sz w:val="24"/>
        </w:rPr>
        <w:t xml:space="preserve">which can be found at </w:t>
      </w:r>
      <w:r w:rsidR="004971DC" w:rsidRPr="004971DC">
        <w:rPr>
          <w:rFonts w:asciiTheme="minorHAnsi" w:hAnsiTheme="minorHAnsi"/>
          <w:sz w:val="24"/>
        </w:rPr>
        <w:t>NEJM</w:t>
      </w:r>
      <w:r w:rsidR="00444B0F" w:rsidRPr="004971DC">
        <w:rPr>
          <w:rFonts w:asciiTheme="minorHAnsi" w:hAnsiTheme="minorHAnsi"/>
          <w:sz w:val="24"/>
        </w:rPr>
        <w:t>.org)</w:t>
      </w:r>
      <w:r w:rsidR="00EF26DD" w:rsidRPr="004971DC">
        <w:rPr>
          <w:rFonts w:asciiTheme="minorHAnsi" w:hAnsiTheme="minorHAnsi"/>
          <w:sz w:val="24"/>
        </w:rPr>
        <w:t xml:space="preserve"> </w:t>
      </w:r>
      <w:r w:rsidR="00EF26DD" w:rsidRPr="004971DC">
        <w:rPr>
          <w:rFonts w:asciiTheme="minorHAnsi" w:hAnsiTheme="minorHAnsi"/>
          <w:noProof/>
          <w:sz w:val="24"/>
        </w:rPr>
        <w:t>(</w:t>
      </w:r>
      <w:r w:rsidR="00117A7D" w:rsidRPr="004971DC">
        <w:rPr>
          <w:rFonts w:asciiTheme="minorHAnsi" w:hAnsiTheme="minorHAnsi"/>
          <w:noProof/>
          <w:sz w:val="24"/>
        </w:rPr>
        <w:t>19</w:t>
      </w:r>
      <w:r w:rsidR="00EF26DD" w:rsidRPr="004971DC">
        <w:rPr>
          <w:rFonts w:asciiTheme="minorHAnsi" w:hAnsiTheme="minorHAnsi"/>
          <w:noProof/>
          <w:sz w:val="24"/>
        </w:rPr>
        <w:t>)</w:t>
      </w:r>
      <w:r w:rsidRPr="004971DC">
        <w:rPr>
          <w:rFonts w:asciiTheme="minorHAnsi" w:hAnsiTheme="minorHAnsi"/>
          <w:sz w:val="24"/>
        </w:rPr>
        <w:t>.</w:t>
      </w:r>
      <w:r w:rsidR="00A53F84" w:rsidRPr="004971DC">
        <w:rPr>
          <w:rFonts w:asciiTheme="minorHAnsi" w:hAnsiTheme="minorHAnsi"/>
          <w:sz w:val="24"/>
        </w:rPr>
        <w:t xml:space="preserve"> </w:t>
      </w:r>
    </w:p>
    <w:p w14:paraId="6B852CFC" w14:textId="77777777" w:rsidR="004971DC" w:rsidRPr="004971DC" w:rsidRDefault="004971DC" w:rsidP="004971DC">
      <w:pPr>
        <w:pStyle w:val="NoSpacing"/>
      </w:pPr>
    </w:p>
    <w:p w14:paraId="44422E16" w14:textId="6F7B62AB" w:rsidR="00747917" w:rsidRPr="004971DC" w:rsidRDefault="004971DC" w:rsidP="004971DC">
      <w:pPr>
        <w:pStyle w:val="NoSpacing"/>
        <w:spacing w:line="480" w:lineRule="auto"/>
        <w:jc w:val="left"/>
        <w:rPr>
          <w:rFonts w:asciiTheme="minorHAnsi" w:hAnsiTheme="minorHAnsi"/>
          <w:b/>
          <w:sz w:val="24"/>
        </w:rPr>
      </w:pPr>
      <w:r w:rsidRPr="004971DC">
        <w:rPr>
          <w:rFonts w:asciiTheme="minorHAnsi" w:hAnsiTheme="minorHAnsi"/>
          <w:b/>
          <w:sz w:val="24"/>
        </w:rPr>
        <w:t>Randomization and Study Procedures</w:t>
      </w:r>
    </w:p>
    <w:p w14:paraId="39EEC9C6" w14:textId="5E83CB13" w:rsidR="00950B45" w:rsidRDefault="00DD5F8C" w:rsidP="004971DC">
      <w:pPr>
        <w:pStyle w:val="NoSpacing"/>
        <w:spacing w:line="480" w:lineRule="auto"/>
        <w:jc w:val="left"/>
        <w:rPr>
          <w:rFonts w:asciiTheme="minorHAnsi" w:hAnsiTheme="minorHAnsi"/>
          <w:sz w:val="24"/>
        </w:rPr>
      </w:pPr>
      <w:r w:rsidRPr="004971DC">
        <w:rPr>
          <w:rFonts w:asciiTheme="minorHAnsi" w:hAnsiTheme="minorHAnsi"/>
          <w:sz w:val="24"/>
        </w:rPr>
        <w:t xml:space="preserve">Randomization was performed using a </w:t>
      </w:r>
      <w:r w:rsidR="00A443AC" w:rsidRPr="004971DC">
        <w:rPr>
          <w:rFonts w:asciiTheme="minorHAnsi" w:hAnsiTheme="minorHAnsi"/>
          <w:sz w:val="24"/>
        </w:rPr>
        <w:t>web-based</w:t>
      </w:r>
      <w:r w:rsidRPr="004971DC">
        <w:rPr>
          <w:rFonts w:asciiTheme="minorHAnsi" w:hAnsiTheme="minorHAnsi"/>
          <w:sz w:val="24"/>
        </w:rPr>
        <w:t xml:space="preserve"> system </w:t>
      </w:r>
      <w:r w:rsidR="00ED649A" w:rsidRPr="004971DC">
        <w:rPr>
          <w:rFonts w:asciiTheme="minorHAnsi" w:hAnsiTheme="minorHAnsi"/>
          <w:sz w:val="24"/>
        </w:rPr>
        <w:t xml:space="preserve">with </w:t>
      </w:r>
      <w:r w:rsidRPr="004971DC">
        <w:rPr>
          <w:rFonts w:asciiTheme="minorHAnsi" w:hAnsiTheme="minorHAnsi"/>
          <w:sz w:val="24"/>
        </w:rPr>
        <w:t xml:space="preserve">random </w:t>
      </w:r>
      <w:r w:rsidR="00E251C3" w:rsidRPr="004971DC">
        <w:rPr>
          <w:rFonts w:asciiTheme="minorHAnsi" w:hAnsiTheme="minorHAnsi"/>
          <w:sz w:val="24"/>
        </w:rPr>
        <w:t xml:space="preserve">permuted </w:t>
      </w:r>
      <w:r w:rsidRPr="004971DC">
        <w:rPr>
          <w:rFonts w:asciiTheme="minorHAnsi" w:hAnsiTheme="minorHAnsi"/>
          <w:sz w:val="24"/>
        </w:rPr>
        <w:t>block sizes of 3 and 6</w:t>
      </w:r>
      <w:r w:rsidR="00525487" w:rsidRPr="004971DC">
        <w:rPr>
          <w:rFonts w:asciiTheme="minorHAnsi" w:hAnsiTheme="minorHAnsi"/>
          <w:sz w:val="24"/>
        </w:rPr>
        <w:t>,</w:t>
      </w:r>
      <w:r w:rsidRPr="004971DC">
        <w:rPr>
          <w:rFonts w:asciiTheme="minorHAnsi" w:hAnsiTheme="minorHAnsi"/>
          <w:sz w:val="24"/>
        </w:rPr>
        <w:t xml:space="preserve"> stratified </w:t>
      </w:r>
      <w:r w:rsidR="00E948F9" w:rsidRPr="004971DC">
        <w:rPr>
          <w:rFonts w:asciiTheme="minorHAnsi" w:hAnsiTheme="minorHAnsi"/>
          <w:sz w:val="24"/>
        </w:rPr>
        <w:t>by</w:t>
      </w:r>
      <w:r w:rsidRPr="004971DC">
        <w:rPr>
          <w:rFonts w:asciiTheme="minorHAnsi" w:hAnsiTheme="minorHAnsi"/>
          <w:sz w:val="24"/>
        </w:rPr>
        <w:t xml:space="preserve"> </w:t>
      </w:r>
      <w:proofErr w:type="spellStart"/>
      <w:r w:rsidR="00E948F9" w:rsidRPr="004971DC">
        <w:rPr>
          <w:rFonts w:asciiTheme="minorHAnsi" w:hAnsiTheme="minorHAnsi"/>
          <w:sz w:val="24"/>
        </w:rPr>
        <w:t>center</w:t>
      </w:r>
      <w:proofErr w:type="spellEnd"/>
      <w:r w:rsidRPr="004971DC">
        <w:rPr>
          <w:rFonts w:asciiTheme="minorHAnsi" w:hAnsiTheme="minorHAnsi"/>
          <w:sz w:val="24"/>
        </w:rPr>
        <w:t xml:space="preserve">. </w:t>
      </w:r>
      <w:r w:rsidR="00DF5D36" w:rsidRPr="004971DC">
        <w:rPr>
          <w:rFonts w:asciiTheme="minorHAnsi" w:hAnsiTheme="minorHAnsi"/>
          <w:sz w:val="24"/>
        </w:rPr>
        <w:t xml:space="preserve">At enrolment, eligible patients were allocated in a 2:1 ratio to either receive adalimumab or placebo respectively. </w:t>
      </w:r>
      <w:r w:rsidR="00950B45" w:rsidRPr="004971DC">
        <w:rPr>
          <w:rFonts w:asciiTheme="minorHAnsi" w:hAnsiTheme="minorHAnsi"/>
          <w:sz w:val="24"/>
        </w:rPr>
        <w:t xml:space="preserve"> </w:t>
      </w:r>
    </w:p>
    <w:p w14:paraId="699EA062" w14:textId="77777777" w:rsidR="004971DC" w:rsidRPr="004971DC" w:rsidRDefault="004971DC" w:rsidP="004971DC">
      <w:pPr>
        <w:pStyle w:val="NoSpacing"/>
      </w:pPr>
    </w:p>
    <w:p w14:paraId="18BF8B39" w14:textId="3CAACBCC" w:rsidR="00DD5F8C" w:rsidRDefault="00FE3E9C" w:rsidP="004971DC">
      <w:pPr>
        <w:pStyle w:val="NoSpacing"/>
        <w:spacing w:line="480" w:lineRule="auto"/>
        <w:jc w:val="left"/>
        <w:rPr>
          <w:rFonts w:asciiTheme="minorHAnsi" w:hAnsiTheme="minorHAnsi"/>
          <w:sz w:val="24"/>
        </w:rPr>
      </w:pPr>
      <w:r w:rsidRPr="004971DC">
        <w:rPr>
          <w:rFonts w:asciiTheme="minorHAnsi" w:hAnsiTheme="minorHAnsi"/>
          <w:sz w:val="24"/>
        </w:rPr>
        <w:t>Study visits were scheduled at</w:t>
      </w:r>
      <w:r w:rsidR="00A313EF" w:rsidRPr="004971DC">
        <w:rPr>
          <w:rFonts w:asciiTheme="minorHAnsi" w:hAnsiTheme="minorHAnsi"/>
          <w:sz w:val="24"/>
        </w:rPr>
        <w:t xml:space="preserve"> 4</w:t>
      </w:r>
      <w:r w:rsidR="00BB28AD" w:rsidRPr="004971DC">
        <w:rPr>
          <w:rFonts w:asciiTheme="minorHAnsi" w:hAnsiTheme="minorHAnsi"/>
          <w:sz w:val="24"/>
        </w:rPr>
        <w:t xml:space="preserve">, </w:t>
      </w:r>
      <w:r w:rsidR="00A313EF" w:rsidRPr="004971DC">
        <w:rPr>
          <w:rFonts w:asciiTheme="minorHAnsi" w:hAnsiTheme="minorHAnsi"/>
          <w:sz w:val="24"/>
        </w:rPr>
        <w:t>8</w:t>
      </w:r>
      <w:r w:rsidR="006C4DCE" w:rsidRPr="004971DC">
        <w:rPr>
          <w:rFonts w:asciiTheme="minorHAnsi" w:hAnsiTheme="minorHAnsi"/>
          <w:sz w:val="24"/>
        </w:rPr>
        <w:t>,</w:t>
      </w:r>
      <w:r w:rsidR="00BB28AD" w:rsidRPr="004971DC">
        <w:rPr>
          <w:rFonts w:asciiTheme="minorHAnsi" w:hAnsiTheme="minorHAnsi"/>
          <w:sz w:val="24"/>
        </w:rPr>
        <w:t xml:space="preserve"> and 12 weeks</w:t>
      </w:r>
      <w:r w:rsidR="00C21825" w:rsidRPr="004971DC">
        <w:rPr>
          <w:rFonts w:asciiTheme="minorHAnsi" w:hAnsiTheme="minorHAnsi"/>
          <w:sz w:val="24"/>
        </w:rPr>
        <w:t xml:space="preserve">, </w:t>
      </w:r>
      <w:r w:rsidR="00BB28AD" w:rsidRPr="004971DC">
        <w:rPr>
          <w:rFonts w:asciiTheme="minorHAnsi" w:hAnsiTheme="minorHAnsi"/>
          <w:sz w:val="24"/>
        </w:rPr>
        <w:t xml:space="preserve">and then </w:t>
      </w:r>
      <w:r w:rsidR="00E948F9" w:rsidRPr="004971DC">
        <w:rPr>
          <w:rFonts w:asciiTheme="minorHAnsi" w:hAnsiTheme="minorHAnsi"/>
          <w:sz w:val="24"/>
        </w:rPr>
        <w:t>every 12 weeks</w:t>
      </w:r>
      <w:r w:rsidR="00BB28AD" w:rsidRPr="004971DC">
        <w:rPr>
          <w:rFonts w:asciiTheme="minorHAnsi" w:hAnsiTheme="minorHAnsi"/>
          <w:sz w:val="24"/>
        </w:rPr>
        <w:t xml:space="preserve"> until 18 months</w:t>
      </w:r>
      <w:r w:rsidR="000D4EC6" w:rsidRPr="004971DC">
        <w:rPr>
          <w:rFonts w:asciiTheme="minorHAnsi" w:hAnsiTheme="minorHAnsi"/>
          <w:sz w:val="24"/>
        </w:rPr>
        <w:t>,</w:t>
      </w:r>
      <w:r w:rsidR="00BB28AD" w:rsidRPr="004971DC">
        <w:rPr>
          <w:rFonts w:asciiTheme="minorHAnsi" w:hAnsiTheme="minorHAnsi"/>
          <w:sz w:val="24"/>
        </w:rPr>
        <w:t xml:space="preserve"> or </w:t>
      </w:r>
      <w:r w:rsidR="00ED649A" w:rsidRPr="004971DC">
        <w:rPr>
          <w:rFonts w:asciiTheme="minorHAnsi" w:hAnsiTheme="minorHAnsi"/>
          <w:sz w:val="24"/>
        </w:rPr>
        <w:t xml:space="preserve">until </w:t>
      </w:r>
      <w:r w:rsidR="00525487" w:rsidRPr="004971DC">
        <w:rPr>
          <w:rFonts w:asciiTheme="minorHAnsi" w:hAnsiTheme="minorHAnsi"/>
          <w:sz w:val="24"/>
        </w:rPr>
        <w:t xml:space="preserve">a </w:t>
      </w:r>
      <w:r w:rsidR="00ED649A" w:rsidRPr="004971DC">
        <w:rPr>
          <w:rFonts w:asciiTheme="minorHAnsi" w:hAnsiTheme="minorHAnsi"/>
          <w:sz w:val="24"/>
        </w:rPr>
        <w:t xml:space="preserve">participant </w:t>
      </w:r>
      <w:r w:rsidR="00BB28AD" w:rsidRPr="004971DC">
        <w:rPr>
          <w:rFonts w:asciiTheme="minorHAnsi" w:hAnsiTheme="minorHAnsi"/>
          <w:sz w:val="24"/>
        </w:rPr>
        <w:t>stopped study treatment</w:t>
      </w:r>
      <w:r w:rsidR="00ED649A" w:rsidRPr="004971DC">
        <w:rPr>
          <w:rFonts w:asciiTheme="minorHAnsi" w:hAnsiTheme="minorHAnsi"/>
          <w:sz w:val="24"/>
        </w:rPr>
        <w:t>, at which point they</w:t>
      </w:r>
      <w:r w:rsidR="00BB28AD" w:rsidRPr="004971DC">
        <w:rPr>
          <w:rFonts w:asciiTheme="minorHAnsi" w:hAnsiTheme="minorHAnsi"/>
          <w:sz w:val="24"/>
        </w:rPr>
        <w:t xml:space="preserve"> </w:t>
      </w:r>
      <w:r w:rsidR="006F3BB4" w:rsidRPr="004971DC">
        <w:rPr>
          <w:rFonts w:asciiTheme="minorHAnsi" w:hAnsiTheme="minorHAnsi"/>
          <w:sz w:val="24"/>
        </w:rPr>
        <w:t>were followed for another six months.</w:t>
      </w:r>
    </w:p>
    <w:p w14:paraId="3BF4B347" w14:textId="77777777" w:rsidR="004971DC" w:rsidRPr="004971DC" w:rsidRDefault="004971DC" w:rsidP="004971DC">
      <w:pPr>
        <w:pStyle w:val="NoSpacing"/>
      </w:pPr>
    </w:p>
    <w:p w14:paraId="1EC794A7" w14:textId="77777777" w:rsidR="004971DC" w:rsidRPr="004971DC" w:rsidRDefault="004971DC" w:rsidP="004971DC">
      <w:pPr>
        <w:pStyle w:val="NoSpacing"/>
      </w:pPr>
    </w:p>
    <w:p w14:paraId="254D6DE5" w14:textId="3748645C" w:rsidR="00686EBA" w:rsidRDefault="00E80CF4" w:rsidP="004971DC">
      <w:pPr>
        <w:pStyle w:val="NoSpacing"/>
        <w:spacing w:line="480" w:lineRule="auto"/>
        <w:jc w:val="left"/>
        <w:rPr>
          <w:rFonts w:asciiTheme="minorHAnsi" w:hAnsiTheme="minorHAnsi"/>
          <w:b/>
          <w:sz w:val="24"/>
        </w:rPr>
      </w:pPr>
      <w:r w:rsidRPr="004971DC">
        <w:rPr>
          <w:rFonts w:asciiTheme="minorHAnsi" w:hAnsiTheme="minorHAnsi"/>
          <w:sz w:val="24"/>
        </w:rPr>
        <w:t>Ophthalmic assessment of disease activity and ocular complications were measured throughout the study using slit lamp bio-microscopy for uveitis activity</w:t>
      </w:r>
      <w:r w:rsidR="00C21825" w:rsidRPr="004971DC">
        <w:rPr>
          <w:rFonts w:asciiTheme="minorHAnsi" w:hAnsiTheme="minorHAnsi"/>
          <w:sz w:val="24"/>
        </w:rPr>
        <w:t xml:space="preserve">, </w:t>
      </w:r>
      <w:r w:rsidRPr="004971DC">
        <w:rPr>
          <w:rFonts w:asciiTheme="minorHAnsi" w:hAnsiTheme="minorHAnsi"/>
          <w:sz w:val="24"/>
        </w:rPr>
        <w:t xml:space="preserve">using </w:t>
      </w:r>
      <w:r w:rsidR="000F2926" w:rsidRPr="004971DC">
        <w:rPr>
          <w:rFonts w:asciiTheme="minorHAnsi" w:hAnsiTheme="minorHAnsi"/>
          <w:sz w:val="24"/>
        </w:rPr>
        <w:t>the S</w:t>
      </w:r>
      <w:r w:rsidRPr="004971DC">
        <w:rPr>
          <w:rFonts w:asciiTheme="minorHAnsi" w:hAnsiTheme="minorHAnsi"/>
          <w:sz w:val="24"/>
        </w:rPr>
        <w:t>UN criteria</w:t>
      </w:r>
      <w:r w:rsidR="005B26E5" w:rsidRPr="004971DC">
        <w:rPr>
          <w:rFonts w:asciiTheme="minorHAnsi" w:hAnsiTheme="minorHAnsi"/>
          <w:sz w:val="24"/>
        </w:rPr>
        <w:t xml:space="preserve"> </w:t>
      </w:r>
      <w:r w:rsidR="00BD17B6" w:rsidRPr="004971DC">
        <w:rPr>
          <w:rFonts w:asciiTheme="minorHAnsi" w:hAnsiTheme="minorHAnsi"/>
          <w:noProof/>
          <w:sz w:val="24"/>
        </w:rPr>
        <w:t>(2</w:t>
      </w:r>
      <w:r w:rsidR="00117A7D" w:rsidRPr="004971DC">
        <w:rPr>
          <w:rFonts w:asciiTheme="minorHAnsi" w:hAnsiTheme="minorHAnsi"/>
          <w:noProof/>
          <w:sz w:val="24"/>
        </w:rPr>
        <w:t>0</w:t>
      </w:r>
      <w:r w:rsidR="00BD17B6" w:rsidRPr="004971DC">
        <w:rPr>
          <w:rFonts w:asciiTheme="minorHAnsi" w:hAnsiTheme="minorHAnsi"/>
          <w:noProof/>
          <w:sz w:val="24"/>
        </w:rPr>
        <w:t>)</w:t>
      </w:r>
      <w:r w:rsidR="000F2926" w:rsidRPr="004971DC">
        <w:rPr>
          <w:rFonts w:asciiTheme="minorHAnsi" w:hAnsiTheme="minorHAnsi"/>
          <w:sz w:val="24"/>
        </w:rPr>
        <w:t xml:space="preserve"> </w:t>
      </w:r>
      <w:r w:rsidR="00580710" w:rsidRPr="004971DC">
        <w:rPr>
          <w:rFonts w:asciiTheme="minorHAnsi" w:hAnsiTheme="minorHAnsi"/>
          <w:sz w:val="24"/>
        </w:rPr>
        <w:t>(Table S</w:t>
      </w:r>
      <w:r w:rsidR="000940A2" w:rsidRPr="004971DC">
        <w:rPr>
          <w:rFonts w:asciiTheme="minorHAnsi" w:hAnsiTheme="minorHAnsi"/>
          <w:sz w:val="24"/>
        </w:rPr>
        <w:t>2</w:t>
      </w:r>
      <w:r w:rsidR="00C21825" w:rsidRPr="004971DC">
        <w:rPr>
          <w:rFonts w:asciiTheme="minorHAnsi" w:hAnsiTheme="minorHAnsi"/>
          <w:sz w:val="24"/>
        </w:rPr>
        <w:t xml:space="preserve"> in Supplementary Appendix</w:t>
      </w:r>
      <w:r w:rsidR="005B26E5" w:rsidRPr="004971DC">
        <w:rPr>
          <w:rFonts w:asciiTheme="minorHAnsi" w:hAnsiTheme="minorHAnsi"/>
          <w:sz w:val="24"/>
        </w:rPr>
        <w:t>)</w:t>
      </w:r>
      <w:r w:rsidRPr="004971DC">
        <w:rPr>
          <w:rFonts w:asciiTheme="minorHAnsi" w:hAnsiTheme="minorHAnsi"/>
          <w:sz w:val="24"/>
        </w:rPr>
        <w:t xml:space="preserve">. </w:t>
      </w:r>
      <w:r w:rsidR="00686EBA" w:rsidRPr="004971DC">
        <w:rPr>
          <w:rFonts w:asciiTheme="minorHAnsi" w:hAnsiTheme="minorHAnsi"/>
          <w:sz w:val="24"/>
        </w:rPr>
        <w:t>The primary and secondary outcomes were assessed at each study visit and at any unscheduled visits.</w:t>
      </w:r>
      <w:r w:rsidR="00686EBA" w:rsidRPr="004971DC">
        <w:rPr>
          <w:rFonts w:asciiTheme="minorHAnsi" w:hAnsiTheme="minorHAnsi"/>
          <w:b/>
          <w:sz w:val="24"/>
        </w:rPr>
        <w:t xml:space="preserve"> </w:t>
      </w:r>
    </w:p>
    <w:p w14:paraId="71073121" w14:textId="77777777" w:rsidR="004971DC" w:rsidRPr="004971DC" w:rsidRDefault="004971DC" w:rsidP="004971DC">
      <w:pPr>
        <w:pStyle w:val="NoSpacing"/>
      </w:pPr>
    </w:p>
    <w:p w14:paraId="267DBAAB" w14:textId="1638FCC7" w:rsidR="00014FEB" w:rsidRPr="004971DC" w:rsidRDefault="004971DC" w:rsidP="004971DC">
      <w:pPr>
        <w:pStyle w:val="NoSpacing"/>
        <w:spacing w:line="480" w:lineRule="auto"/>
        <w:jc w:val="left"/>
        <w:rPr>
          <w:rFonts w:asciiTheme="minorHAnsi" w:hAnsiTheme="minorHAnsi"/>
          <w:b/>
          <w:sz w:val="24"/>
        </w:rPr>
      </w:pPr>
      <w:r w:rsidRPr="004971DC">
        <w:rPr>
          <w:rFonts w:asciiTheme="minorHAnsi" w:hAnsiTheme="minorHAnsi"/>
          <w:b/>
          <w:sz w:val="24"/>
        </w:rPr>
        <w:t>Trial Treatment</w:t>
      </w:r>
    </w:p>
    <w:p w14:paraId="6477751F" w14:textId="77777777" w:rsidR="00E84A8A" w:rsidRDefault="00E84A8A" w:rsidP="004971DC">
      <w:pPr>
        <w:pStyle w:val="NoSpacing"/>
        <w:spacing w:line="480" w:lineRule="auto"/>
        <w:jc w:val="left"/>
        <w:rPr>
          <w:rFonts w:asciiTheme="minorHAnsi" w:hAnsiTheme="minorHAnsi"/>
          <w:sz w:val="24"/>
        </w:rPr>
      </w:pPr>
      <w:r w:rsidRPr="004971DC">
        <w:rPr>
          <w:rFonts w:asciiTheme="minorHAnsi" w:hAnsiTheme="minorHAnsi"/>
          <w:color w:val="000000" w:themeColor="text1"/>
          <w:sz w:val="24"/>
        </w:rPr>
        <w:t>We recruited patients between 1 October 2011 and 10 April 2015.</w:t>
      </w:r>
      <w:r w:rsidRPr="004971DC">
        <w:rPr>
          <w:rFonts w:asciiTheme="minorHAnsi" w:hAnsiTheme="minorHAnsi"/>
          <w:sz w:val="24"/>
        </w:rPr>
        <w:t xml:space="preserve"> The first patient was randomized on the 27</w:t>
      </w:r>
      <w:r w:rsidRPr="004971DC">
        <w:rPr>
          <w:rFonts w:asciiTheme="minorHAnsi" w:hAnsiTheme="minorHAnsi"/>
          <w:sz w:val="24"/>
          <w:vertAlign w:val="superscript"/>
        </w:rPr>
        <w:t>th</w:t>
      </w:r>
      <w:r w:rsidRPr="004971DC">
        <w:rPr>
          <w:rFonts w:asciiTheme="minorHAnsi" w:hAnsiTheme="minorHAnsi"/>
          <w:sz w:val="24"/>
        </w:rPr>
        <w:t xml:space="preserve"> October 2011 and the final patient was randomized on the 31</w:t>
      </w:r>
      <w:r w:rsidRPr="004971DC">
        <w:rPr>
          <w:rFonts w:asciiTheme="minorHAnsi" w:hAnsiTheme="minorHAnsi"/>
          <w:sz w:val="24"/>
          <w:vertAlign w:val="superscript"/>
        </w:rPr>
        <w:t>st</w:t>
      </w:r>
      <w:r w:rsidRPr="004971DC">
        <w:rPr>
          <w:rFonts w:asciiTheme="minorHAnsi" w:hAnsiTheme="minorHAnsi"/>
          <w:sz w:val="24"/>
        </w:rPr>
        <w:t xml:space="preserve"> March 2015. </w:t>
      </w:r>
    </w:p>
    <w:p w14:paraId="23460A6E" w14:textId="77777777" w:rsidR="004971DC" w:rsidRPr="004971DC" w:rsidRDefault="004971DC" w:rsidP="004971DC">
      <w:pPr>
        <w:pStyle w:val="NoSpacing"/>
      </w:pPr>
    </w:p>
    <w:p w14:paraId="406EE8BE" w14:textId="59F39C4D" w:rsidR="00E80CF4" w:rsidRDefault="000842EB" w:rsidP="004971DC">
      <w:pPr>
        <w:pStyle w:val="NoSpacing"/>
        <w:spacing w:line="480" w:lineRule="auto"/>
        <w:jc w:val="left"/>
        <w:rPr>
          <w:rFonts w:asciiTheme="minorHAnsi" w:hAnsiTheme="minorHAnsi" w:cs="Arial"/>
          <w:sz w:val="24"/>
        </w:rPr>
      </w:pPr>
      <w:r w:rsidRPr="004971DC">
        <w:rPr>
          <w:rFonts w:asciiTheme="minorHAnsi" w:hAnsiTheme="minorHAnsi"/>
          <w:sz w:val="24"/>
        </w:rPr>
        <w:t xml:space="preserve">All participants received a stable dose of </w:t>
      </w:r>
      <w:r w:rsidR="00D344CF" w:rsidRPr="004971DC">
        <w:rPr>
          <w:rFonts w:asciiTheme="minorHAnsi" w:hAnsiTheme="minorHAnsi"/>
          <w:sz w:val="24"/>
        </w:rPr>
        <w:t xml:space="preserve">weekly </w:t>
      </w:r>
      <w:r w:rsidRPr="004971DC">
        <w:rPr>
          <w:rFonts w:asciiTheme="minorHAnsi" w:hAnsiTheme="minorHAnsi"/>
          <w:sz w:val="24"/>
        </w:rPr>
        <w:t xml:space="preserve">oral or subcutaneous MTX </w:t>
      </w:r>
      <w:r w:rsidR="00C21825" w:rsidRPr="004971DC">
        <w:rPr>
          <w:rFonts w:asciiTheme="minorHAnsi" w:hAnsiTheme="minorHAnsi"/>
          <w:sz w:val="24"/>
        </w:rPr>
        <w:t>(</w:t>
      </w:r>
      <w:r w:rsidR="00F15242" w:rsidRPr="004971DC">
        <w:rPr>
          <w:rFonts w:asciiTheme="minorHAnsi" w:hAnsiTheme="minorHAnsi" w:cs="Arial"/>
          <w:sz w:val="24"/>
          <w:lang w:eastAsia="en-GB"/>
        </w:rPr>
        <w:t>10-20mg/m</w:t>
      </w:r>
      <w:r w:rsidR="00F15242" w:rsidRPr="004971DC">
        <w:rPr>
          <w:rFonts w:asciiTheme="minorHAnsi" w:hAnsiTheme="minorHAnsi" w:cs="Arial"/>
          <w:sz w:val="24"/>
          <w:vertAlign w:val="superscript"/>
          <w:lang w:eastAsia="en-GB"/>
        </w:rPr>
        <w:t>2</w:t>
      </w:r>
      <w:r w:rsidR="00F15242" w:rsidRPr="004971DC">
        <w:rPr>
          <w:rFonts w:asciiTheme="minorHAnsi" w:hAnsiTheme="minorHAnsi" w:cs="Arial"/>
          <w:sz w:val="24"/>
          <w:lang w:eastAsia="en-GB"/>
        </w:rPr>
        <w:t xml:space="preserve"> </w:t>
      </w:r>
      <w:r w:rsidR="00964F04" w:rsidRPr="004971DC">
        <w:rPr>
          <w:rFonts w:asciiTheme="minorHAnsi" w:hAnsiTheme="minorHAnsi" w:cs="Arial"/>
          <w:sz w:val="24"/>
          <w:lang w:eastAsia="en-GB"/>
        </w:rPr>
        <w:t>per d</w:t>
      </w:r>
      <w:r w:rsidR="005B3C0B" w:rsidRPr="004971DC">
        <w:rPr>
          <w:rFonts w:asciiTheme="minorHAnsi" w:hAnsiTheme="minorHAnsi" w:cs="Arial"/>
          <w:sz w:val="24"/>
          <w:lang w:eastAsia="en-GB"/>
        </w:rPr>
        <w:t>ose</w:t>
      </w:r>
      <w:r w:rsidR="00C21825" w:rsidRPr="004971DC">
        <w:rPr>
          <w:rFonts w:asciiTheme="minorHAnsi" w:hAnsiTheme="minorHAnsi" w:cs="Arial"/>
          <w:sz w:val="24"/>
          <w:lang w:eastAsia="en-GB"/>
        </w:rPr>
        <w:t xml:space="preserve">, </w:t>
      </w:r>
      <w:r w:rsidR="00F15242" w:rsidRPr="004971DC">
        <w:rPr>
          <w:rFonts w:asciiTheme="minorHAnsi" w:hAnsiTheme="minorHAnsi" w:cs="Arial"/>
          <w:sz w:val="24"/>
          <w:lang w:eastAsia="en-GB"/>
        </w:rPr>
        <w:t>maximum 25mg/patient)</w:t>
      </w:r>
      <w:r w:rsidR="00C21825" w:rsidRPr="004971DC">
        <w:rPr>
          <w:rFonts w:asciiTheme="minorHAnsi" w:hAnsiTheme="minorHAnsi" w:cs="Arial"/>
          <w:sz w:val="24"/>
          <w:lang w:eastAsia="en-GB"/>
        </w:rPr>
        <w:t>. N</w:t>
      </w:r>
      <w:r w:rsidR="00F15242" w:rsidRPr="004971DC">
        <w:rPr>
          <w:rFonts w:asciiTheme="minorHAnsi" w:hAnsiTheme="minorHAnsi" w:cs="Arial"/>
          <w:sz w:val="24"/>
          <w:lang w:eastAsia="en-GB"/>
        </w:rPr>
        <w:t xml:space="preserve">o dose reduction or change in route of administration was allowed. </w:t>
      </w:r>
      <w:r w:rsidR="00C21825" w:rsidRPr="004971DC">
        <w:rPr>
          <w:rFonts w:asciiTheme="minorHAnsi" w:hAnsiTheme="minorHAnsi" w:cs="Arial"/>
          <w:sz w:val="24"/>
          <w:lang w:eastAsia="en-GB"/>
        </w:rPr>
        <w:t>D</w:t>
      </w:r>
      <w:r w:rsidR="00D344CF" w:rsidRPr="004971DC">
        <w:rPr>
          <w:rFonts w:asciiTheme="minorHAnsi" w:hAnsiTheme="minorHAnsi" w:cs="Arial"/>
          <w:sz w:val="24"/>
          <w:lang w:eastAsia="en-GB"/>
        </w:rPr>
        <w:t>ose increase wa</w:t>
      </w:r>
      <w:r w:rsidR="005B3C0B" w:rsidRPr="004971DC">
        <w:rPr>
          <w:rFonts w:asciiTheme="minorHAnsi" w:hAnsiTheme="minorHAnsi" w:cs="Arial"/>
          <w:sz w:val="24"/>
          <w:lang w:eastAsia="en-GB"/>
        </w:rPr>
        <w:t xml:space="preserve">s acceptable for </w:t>
      </w:r>
      <w:r w:rsidR="006F3BB4" w:rsidRPr="004971DC">
        <w:rPr>
          <w:rFonts w:asciiTheme="minorHAnsi" w:hAnsiTheme="minorHAnsi" w:cs="Arial"/>
          <w:sz w:val="24"/>
          <w:lang w:eastAsia="en-GB"/>
        </w:rPr>
        <w:t xml:space="preserve">somatic </w:t>
      </w:r>
      <w:r w:rsidR="005B3C0B" w:rsidRPr="004971DC">
        <w:rPr>
          <w:rFonts w:asciiTheme="minorHAnsi" w:hAnsiTheme="minorHAnsi" w:cs="Arial"/>
          <w:sz w:val="24"/>
          <w:lang w:eastAsia="en-GB"/>
        </w:rPr>
        <w:t>growth (</w:t>
      </w:r>
      <w:r w:rsidR="006F3BB4" w:rsidRPr="004971DC">
        <w:rPr>
          <w:rFonts w:asciiTheme="minorHAnsi" w:hAnsiTheme="minorHAnsi" w:cs="Arial"/>
          <w:sz w:val="24"/>
          <w:lang w:eastAsia="en-GB"/>
        </w:rPr>
        <w:t xml:space="preserve">so that the </w:t>
      </w:r>
      <w:r w:rsidR="005B3C0B" w:rsidRPr="004971DC">
        <w:rPr>
          <w:rFonts w:asciiTheme="minorHAnsi" w:hAnsiTheme="minorHAnsi" w:cs="Arial"/>
          <w:sz w:val="24"/>
          <w:lang w:eastAsia="en-GB"/>
        </w:rPr>
        <w:t>dose/m</w:t>
      </w:r>
      <w:r w:rsidR="005B3C0B" w:rsidRPr="004971DC">
        <w:rPr>
          <w:rFonts w:asciiTheme="minorHAnsi" w:hAnsiTheme="minorHAnsi" w:cs="Arial"/>
          <w:sz w:val="24"/>
          <w:vertAlign w:val="superscript"/>
          <w:lang w:eastAsia="en-GB"/>
        </w:rPr>
        <w:t>2</w:t>
      </w:r>
      <w:r w:rsidR="005B3C0B" w:rsidRPr="004971DC">
        <w:rPr>
          <w:rFonts w:asciiTheme="minorHAnsi" w:hAnsiTheme="minorHAnsi" w:cs="Arial"/>
          <w:sz w:val="24"/>
          <w:lang w:eastAsia="en-GB"/>
        </w:rPr>
        <w:t xml:space="preserve"> at trial entry</w:t>
      </w:r>
      <w:r w:rsidR="006F3BB4" w:rsidRPr="004971DC">
        <w:rPr>
          <w:rFonts w:asciiTheme="minorHAnsi" w:hAnsiTheme="minorHAnsi" w:cs="Arial"/>
          <w:sz w:val="24"/>
          <w:lang w:eastAsia="en-GB"/>
        </w:rPr>
        <w:t xml:space="preserve"> was maintained throughout the trial</w:t>
      </w:r>
      <w:r w:rsidR="005B3C0B" w:rsidRPr="004971DC">
        <w:rPr>
          <w:rFonts w:asciiTheme="minorHAnsi" w:hAnsiTheme="minorHAnsi" w:cs="Arial"/>
          <w:sz w:val="24"/>
          <w:lang w:eastAsia="en-GB"/>
        </w:rPr>
        <w:t xml:space="preserve">) but not on clinical grounds. </w:t>
      </w:r>
      <w:r w:rsidR="00C21825" w:rsidRPr="004971DC">
        <w:rPr>
          <w:rFonts w:asciiTheme="minorHAnsi" w:hAnsiTheme="minorHAnsi"/>
          <w:sz w:val="24"/>
        </w:rPr>
        <w:t>P</w:t>
      </w:r>
      <w:r w:rsidR="00ED649A" w:rsidRPr="004971DC">
        <w:rPr>
          <w:rFonts w:asciiTheme="minorHAnsi" w:hAnsiTheme="minorHAnsi"/>
          <w:sz w:val="24"/>
        </w:rPr>
        <w:t xml:space="preserve">articipants received </w:t>
      </w:r>
      <w:r w:rsidRPr="004971DC">
        <w:rPr>
          <w:rFonts w:asciiTheme="minorHAnsi" w:hAnsiTheme="minorHAnsi"/>
          <w:sz w:val="24"/>
        </w:rPr>
        <w:t>either adalimumab (20mg</w:t>
      </w:r>
      <w:r w:rsidR="00C21825" w:rsidRPr="004971DC">
        <w:rPr>
          <w:rFonts w:asciiTheme="minorHAnsi" w:hAnsiTheme="minorHAnsi"/>
          <w:sz w:val="24"/>
        </w:rPr>
        <w:t>/</w:t>
      </w:r>
      <w:r w:rsidRPr="004971DC">
        <w:rPr>
          <w:rFonts w:asciiTheme="minorHAnsi" w:hAnsiTheme="minorHAnsi"/>
          <w:sz w:val="24"/>
        </w:rPr>
        <w:t>0.8ml for patients &lt;30kg</w:t>
      </w:r>
      <w:r w:rsidR="00C21825" w:rsidRPr="004971DC">
        <w:rPr>
          <w:rFonts w:asciiTheme="minorHAnsi" w:hAnsiTheme="minorHAnsi"/>
          <w:sz w:val="24"/>
        </w:rPr>
        <w:t xml:space="preserve">; </w:t>
      </w:r>
      <w:r w:rsidRPr="004971DC">
        <w:rPr>
          <w:rFonts w:asciiTheme="minorHAnsi" w:hAnsiTheme="minorHAnsi"/>
          <w:sz w:val="24"/>
        </w:rPr>
        <w:t>40mg</w:t>
      </w:r>
      <w:r w:rsidR="00C21825" w:rsidRPr="004971DC">
        <w:rPr>
          <w:rFonts w:asciiTheme="minorHAnsi" w:hAnsiTheme="minorHAnsi"/>
          <w:sz w:val="24"/>
        </w:rPr>
        <w:t>/</w:t>
      </w:r>
      <w:r w:rsidRPr="004971DC">
        <w:rPr>
          <w:rFonts w:asciiTheme="minorHAnsi" w:hAnsiTheme="minorHAnsi"/>
          <w:sz w:val="24"/>
        </w:rPr>
        <w:t xml:space="preserve">0.8ml for patients ≥30kg), or placebo (0.8ml) </w:t>
      </w:r>
      <w:r w:rsidR="007A639A" w:rsidRPr="004971DC">
        <w:rPr>
          <w:rFonts w:asciiTheme="minorHAnsi" w:hAnsiTheme="minorHAnsi"/>
          <w:sz w:val="24"/>
        </w:rPr>
        <w:t>subcutaneous</w:t>
      </w:r>
      <w:r w:rsidRPr="004971DC">
        <w:rPr>
          <w:rFonts w:asciiTheme="minorHAnsi" w:hAnsiTheme="minorHAnsi"/>
          <w:sz w:val="24"/>
        </w:rPr>
        <w:t xml:space="preserve"> injection</w:t>
      </w:r>
      <w:r w:rsidR="000D4EC6" w:rsidRPr="004971DC">
        <w:rPr>
          <w:rFonts w:asciiTheme="minorHAnsi" w:hAnsiTheme="minorHAnsi"/>
          <w:sz w:val="24"/>
        </w:rPr>
        <w:t>,</w:t>
      </w:r>
      <w:r w:rsidRPr="004971DC">
        <w:rPr>
          <w:rFonts w:asciiTheme="minorHAnsi" w:hAnsiTheme="minorHAnsi"/>
          <w:sz w:val="24"/>
        </w:rPr>
        <w:t xml:space="preserve"> </w:t>
      </w:r>
      <w:r w:rsidR="00C21825" w:rsidRPr="004971DC">
        <w:rPr>
          <w:rFonts w:asciiTheme="minorHAnsi" w:hAnsiTheme="minorHAnsi"/>
          <w:sz w:val="24"/>
        </w:rPr>
        <w:t>fortnightly</w:t>
      </w:r>
      <w:r w:rsidRPr="004971DC">
        <w:rPr>
          <w:rFonts w:asciiTheme="minorHAnsi" w:hAnsiTheme="minorHAnsi"/>
          <w:sz w:val="24"/>
        </w:rPr>
        <w:t xml:space="preserve">. </w:t>
      </w:r>
      <w:r w:rsidR="000D4EC6" w:rsidRPr="004971DC">
        <w:rPr>
          <w:rFonts w:asciiTheme="minorHAnsi" w:hAnsiTheme="minorHAnsi"/>
          <w:sz w:val="24"/>
        </w:rPr>
        <w:t xml:space="preserve">AbbVie </w:t>
      </w:r>
      <w:r w:rsidR="00183228" w:rsidRPr="004971DC">
        <w:rPr>
          <w:rFonts w:asciiTheme="minorHAnsi" w:hAnsiTheme="minorHAnsi"/>
          <w:sz w:val="24"/>
        </w:rPr>
        <w:t xml:space="preserve">Inc. </w:t>
      </w:r>
      <w:r w:rsidR="000D4EC6" w:rsidRPr="004971DC">
        <w:rPr>
          <w:rFonts w:asciiTheme="minorHAnsi" w:hAnsiTheme="minorHAnsi"/>
          <w:sz w:val="24"/>
        </w:rPr>
        <w:t xml:space="preserve">provided the </w:t>
      </w:r>
      <w:r w:rsidR="001A0EA5" w:rsidRPr="004971DC">
        <w:rPr>
          <w:rFonts w:asciiTheme="minorHAnsi" w:hAnsiTheme="minorHAnsi"/>
          <w:sz w:val="24"/>
        </w:rPr>
        <w:t xml:space="preserve">investigational medicinal product (adalimumab) and matching placebo </w:t>
      </w:r>
      <w:r w:rsidR="00DB1F64" w:rsidRPr="004971DC">
        <w:rPr>
          <w:rFonts w:asciiTheme="minorHAnsi" w:hAnsiTheme="minorHAnsi" w:cs="Arial"/>
          <w:sz w:val="24"/>
        </w:rPr>
        <w:t xml:space="preserve">in </w:t>
      </w:r>
      <w:r w:rsidR="00ED649A" w:rsidRPr="004971DC">
        <w:rPr>
          <w:rFonts w:asciiTheme="minorHAnsi" w:hAnsiTheme="minorHAnsi" w:cs="Arial"/>
          <w:sz w:val="24"/>
        </w:rPr>
        <w:t xml:space="preserve">identical </w:t>
      </w:r>
      <w:r w:rsidR="00DB1F64" w:rsidRPr="004971DC">
        <w:rPr>
          <w:rFonts w:asciiTheme="minorHAnsi" w:hAnsiTheme="minorHAnsi" w:cs="Arial"/>
          <w:sz w:val="24"/>
        </w:rPr>
        <w:t xml:space="preserve">pre-filled </w:t>
      </w:r>
      <w:r w:rsidR="00D50A41" w:rsidRPr="004971DC">
        <w:rPr>
          <w:rFonts w:asciiTheme="minorHAnsi" w:hAnsiTheme="minorHAnsi" w:cs="Arial"/>
          <w:sz w:val="24"/>
        </w:rPr>
        <w:t>vials</w:t>
      </w:r>
      <w:r w:rsidR="00C00F90" w:rsidRPr="004971DC">
        <w:rPr>
          <w:rFonts w:asciiTheme="minorHAnsi" w:hAnsiTheme="minorHAnsi" w:cs="Arial"/>
          <w:sz w:val="24"/>
        </w:rPr>
        <w:t>.</w:t>
      </w:r>
      <w:r w:rsidR="00DB1F64" w:rsidRPr="004971DC">
        <w:rPr>
          <w:rFonts w:asciiTheme="minorHAnsi" w:hAnsiTheme="minorHAnsi" w:cs="Arial"/>
          <w:sz w:val="24"/>
        </w:rPr>
        <w:t xml:space="preserve"> </w:t>
      </w:r>
    </w:p>
    <w:p w14:paraId="510AD0E9" w14:textId="77777777" w:rsidR="004971DC" w:rsidRPr="004971DC" w:rsidRDefault="004971DC" w:rsidP="004971DC">
      <w:pPr>
        <w:pStyle w:val="NoSpacing"/>
      </w:pPr>
    </w:p>
    <w:p w14:paraId="79E3AAD2" w14:textId="4C798086" w:rsidR="00A443AC" w:rsidRPr="00EE4F28" w:rsidRDefault="004971DC" w:rsidP="00F274FD">
      <w:pPr>
        <w:spacing w:line="480" w:lineRule="auto"/>
        <w:outlineLvl w:val="0"/>
        <w:rPr>
          <w:b/>
          <w:sz w:val="24"/>
          <w:szCs w:val="24"/>
        </w:rPr>
      </w:pPr>
      <w:r w:rsidRPr="00EE4F28">
        <w:rPr>
          <w:b/>
          <w:sz w:val="24"/>
          <w:szCs w:val="24"/>
        </w:rPr>
        <w:t>Trial Outcomes</w:t>
      </w:r>
    </w:p>
    <w:p w14:paraId="2E1D2669" w14:textId="484EBB67" w:rsidR="00747917" w:rsidRPr="004971DC" w:rsidRDefault="004971DC" w:rsidP="004971DC">
      <w:pPr>
        <w:pStyle w:val="NoSpacing"/>
        <w:spacing w:line="480" w:lineRule="auto"/>
        <w:jc w:val="left"/>
        <w:rPr>
          <w:rFonts w:asciiTheme="minorHAnsi" w:hAnsiTheme="minorHAnsi"/>
          <w:b/>
          <w:sz w:val="24"/>
        </w:rPr>
      </w:pPr>
      <w:r w:rsidRPr="004971DC">
        <w:rPr>
          <w:rFonts w:asciiTheme="minorHAnsi" w:hAnsiTheme="minorHAnsi"/>
          <w:b/>
          <w:sz w:val="24"/>
        </w:rPr>
        <w:t>Primary End Point</w:t>
      </w:r>
    </w:p>
    <w:p w14:paraId="14D34DF7" w14:textId="77777777" w:rsidR="004971DC" w:rsidRDefault="006C3D81" w:rsidP="004971DC">
      <w:pPr>
        <w:pStyle w:val="NoSpacing"/>
        <w:spacing w:line="480" w:lineRule="auto"/>
        <w:jc w:val="left"/>
        <w:rPr>
          <w:rFonts w:asciiTheme="minorHAnsi" w:hAnsiTheme="minorHAnsi"/>
          <w:sz w:val="24"/>
        </w:rPr>
      </w:pPr>
      <w:r w:rsidRPr="004971DC">
        <w:rPr>
          <w:rFonts w:asciiTheme="minorHAnsi" w:hAnsiTheme="minorHAnsi"/>
          <w:sz w:val="24"/>
        </w:rPr>
        <w:t>The primary end point</w:t>
      </w:r>
      <w:r w:rsidR="006C4DCE" w:rsidRPr="004971DC">
        <w:rPr>
          <w:rFonts w:asciiTheme="minorHAnsi" w:hAnsiTheme="minorHAnsi"/>
          <w:sz w:val="24"/>
        </w:rPr>
        <w:t xml:space="preserve"> was ‘time to treatment failure’</w:t>
      </w:r>
      <w:r w:rsidR="00B22E2E" w:rsidRPr="004971DC">
        <w:rPr>
          <w:rFonts w:asciiTheme="minorHAnsi" w:hAnsiTheme="minorHAnsi"/>
          <w:sz w:val="24"/>
        </w:rPr>
        <w:t xml:space="preserve">, </w:t>
      </w:r>
      <w:r w:rsidR="006C4DCE" w:rsidRPr="004971DC">
        <w:rPr>
          <w:rFonts w:asciiTheme="minorHAnsi" w:hAnsiTheme="minorHAnsi"/>
          <w:sz w:val="24"/>
        </w:rPr>
        <w:t>defined by</w:t>
      </w:r>
      <w:r w:rsidR="00ED4B88" w:rsidRPr="004971DC">
        <w:rPr>
          <w:rFonts w:asciiTheme="minorHAnsi" w:hAnsiTheme="minorHAnsi"/>
          <w:sz w:val="24"/>
        </w:rPr>
        <w:t xml:space="preserve"> at least one of the following criteria being met</w:t>
      </w:r>
      <w:r w:rsidR="008B1C61" w:rsidRPr="004971DC">
        <w:rPr>
          <w:rFonts w:asciiTheme="minorHAnsi" w:hAnsiTheme="minorHAnsi"/>
          <w:sz w:val="24"/>
        </w:rPr>
        <w:t>:</w:t>
      </w:r>
      <w:r w:rsidR="00964F04" w:rsidRPr="004971DC">
        <w:rPr>
          <w:rFonts w:asciiTheme="minorHAnsi" w:hAnsiTheme="minorHAnsi"/>
          <w:sz w:val="24"/>
        </w:rPr>
        <w:t xml:space="preserve"> </w:t>
      </w:r>
      <w:proofErr w:type="spellStart"/>
      <w:r w:rsidR="00964F04" w:rsidRPr="004971DC">
        <w:rPr>
          <w:rFonts w:asciiTheme="minorHAnsi" w:hAnsiTheme="minorHAnsi"/>
          <w:sz w:val="24"/>
        </w:rPr>
        <w:t>i</w:t>
      </w:r>
      <w:proofErr w:type="spellEnd"/>
      <w:r w:rsidR="00964F04" w:rsidRPr="004971DC">
        <w:rPr>
          <w:rFonts w:asciiTheme="minorHAnsi" w:hAnsiTheme="minorHAnsi"/>
          <w:sz w:val="24"/>
        </w:rPr>
        <w:t>) 2 grade</w:t>
      </w:r>
      <w:r w:rsidR="006C4DCE" w:rsidRPr="004971DC">
        <w:rPr>
          <w:rFonts w:asciiTheme="minorHAnsi" w:hAnsiTheme="minorHAnsi"/>
          <w:sz w:val="24"/>
        </w:rPr>
        <w:t xml:space="preserve"> increase from baseline in SUN cell activity score (A</w:t>
      </w:r>
      <w:r w:rsidR="0021489B" w:rsidRPr="004971DC">
        <w:rPr>
          <w:rFonts w:asciiTheme="minorHAnsi" w:hAnsiTheme="minorHAnsi"/>
          <w:sz w:val="24"/>
        </w:rPr>
        <w:t xml:space="preserve">nterior </w:t>
      </w:r>
      <w:r w:rsidR="006C4DCE" w:rsidRPr="004971DC">
        <w:rPr>
          <w:rFonts w:asciiTheme="minorHAnsi" w:hAnsiTheme="minorHAnsi"/>
          <w:sz w:val="24"/>
        </w:rPr>
        <w:t>C</w:t>
      </w:r>
      <w:r w:rsidR="0021489B" w:rsidRPr="004971DC">
        <w:rPr>
          <w:rFonts w:asciiTheme="minorHAnsi" w:hAnsiTheme="minorHAnsi"/>
          <w:sz w:val="24"/>
        </w:rPr>
        <w:t>hamber</w:t>
      </w:r>
      <w:r w:rsidR="006C4DCE" w:rsidRPr="004971DC">
        <w:rPr>
          <w:rFonts w:asciiTheme="minorHAnsi" w:hAnsiTheme="minorHAnsi"/>
          <w:sz w:val="24"/>
        </w:rPr>
        <w:t xml:space="preserve"> Cells) over 2 consecutive</w:t>
      </w:r>
      <w:r w:rsidR="00964F04" w:rsidRPr="004971DC">
        <w:rPr>
          <w:rFonts w:asciiTheme="minorHAnsi" w:hAnsiTheme="minorHAnsi"/>
          <w:sz w:val="24"/>
        </w:rPr>
        <w:t xml:space="preserve"> visits</w:t>
      </w:r>
      <w:r w:rsidR="00F57B13" w:rsidRPr="004971DC">
        <w:rPr>
          <w:rFonts w:asciiTheme="minorHAnsi" w:hAnsiTheme="minorHAnsi"/>
          <w:sz w:val="24"/>
        </w:rPr>
        <w:t xml:space="preserve"> (the score is proportional to the approximate number of cells per one square millimetre;</w:t>
      </w:r>
      <w:r w:rsidR="00F57B13" w:rsidRPr="004971DC">
        <w:rPr>
          <w:rFonts w:asciiTheme="minorHAnsi" w:hAnsiTheme="minorHAnsi"/>
          <w:sz w:val="24"/>
          <w:vertAlign w:val="superscript"/>
        </w:rPr>
        <w:t>20</w:t>
      </w:r>
      <w:r w:rsidR="00F57B13" w:rsidRPr="004971DC">
        <w:rPr>
          <w:rFonts w:asciiTheme="minorHAnsi" w:hAnsiTheme="minorHAnsi"/>
          <w:sz w:val="24"/>
        </w:rPr>
        <w:t xml:space="preserve"> the higher the score, the greater </w:t>
      </w:r>
      <w:r w:rsidR="00F57B13" w:rsidRPr="004971DC">
        <w:rPr>
          <w:rFonts w:asciiTheme="minorHAnsi" w:hAnsiTheme="minorHAnsi"/>
          <w:sz w:val="24"/>
        </w:rPr>
        <w:lastRenderedPageBreak/>
        <w:t>the number of cells. There are no internationally agreed-upon minimally important differences in this scale)</w:t>
      </w:r>
      <w:r w:rsidR="008B1C61" w:rsidRPr="004971DC">
        <w:rPr>
          <w:rFonts w:asciiTheme="minorHAnsi" w:hAnsiTheme="minorHAnsi"/>
          <w:sz w:val="24"/>
        </w:rPr>
        <w:t>;</w:t>
      </w:r>
      <w:r w:rsidR="006C4DCE" w:rsidRPr="004971DC">
        <w:rPr>
          <w:rFonts w:asciiTheme="minorHAnsi" w:hAnsiTheme="minorHAnsi"/>
          <w:sz w:val="24"/>
        </w:rPr>
        <w:t xml:space="preserve"> ii) </w:t>
      </w:r>
      <w:r w:rsidR="007D5A01" w:rsidRPr="004971DC">
        <w:rPr>
          <w:rFonts w:asciiTheme="minorHAnsi" w:hAnsiTheme="minorHAnsi"/>
          <w:sz w:val="24"/>
        </w:rPr>
        <w:t>s</w:t>
      </w:r>
      <w:r w:rsidR="006C4DCE" w:rsidRPr="004971DC">
        <w:rPr>
          <w:rFonts w:asciiTheme="minorHAnsi" w:hAnsiTheme="minorHAnsi"/>
          <w:sz w:val="24"/>
        </w:rPr>
        <w:t>ustained non</w:t>
      </w:r>
      <w:r w:rsidR="006401CE" w:rsidRPr="004971DC">
        <w:rPr>
          <w:rFonts w:asciiTheme="minorHAnsi" w:hAnsiTheme="minorHAnsi"/>
          <w:sz w:val="24"/>
        </w:rPr>
        <w:t>-</w:t>
      </w:r>
      <w:r w:rsidR="006C4DCE" w:rsidRPr="004971DC">
        <w:rPr>
          <w:rFonts w:asciiTheme="minorHAnsi" w:hAnsiTheme="minorHAnsi"/>
          <w:sz w:val="24"/>
        </w:rPr>
        <w:t xml:space="preserve">improvement </w:t>
      </w:r>
      <w:r w:rsidR="007D5A01" w:rsidRPr="004971DC">
        <w:rPr>
          <w:rFonts w:asciiTheme="minorHAnsi" w:hAnsiTheme="minorHAnsi"/>
          <w:sz w:val="24"/>
        </w:rPr>
        <w:t xml:space="preserve">of SUN cell activity score </w:t>
      </w:r>
      <w:r w:rsidR="006C4DCE" w:rsidRPr="004971DC">
        <w:rPr>
          <w:rFonts w:asciiTheme="minorHAnsi" w:hAnsiTheme="minorHAnsi"/>
          <w:sz w:val="24"/>
        </w:rPr>
        <w:t>with e</w:t>
      </w:r>
      <w:r w:rsidR="006A3F66" w:rsidRPr="004971DC">
        <w:rPr>
          <w:rFonts w:asciiTheme="minorHAnsi" w:hAnsiTheme="minorHAnsi"/>
          <w:sz w:val="24"/>
        </w:rPr>
        <w:t xml:space="preserve">ntry grade of </w:t>
      </w:r>
      <w:r w:rsidR="006401CE" w:rsidRPr="004971DC">
        <w:rPr>
          <w:rFonts w:asciiTheme="minorHAnsi" w:hAnsiTheme="minorHAnsi"/>
          <w:sz w:val="24"/>
          <w:u w:val="single"/>
        </w:rPr>
        <w:t>&gt;</w:t>
      </w:r>
      <w:r w:rsidR="006A3F66" w:rsidRPr="004971DC">
        <w:rPr>
          <w:rFonts w:asciiTheme="minorHAnsi" w:hAnsiTheme="minorHAnsi"/>
          <w:sz w:val="24"/>
        </w:rPr>
        <w:t>3 for two</w:t>
      </w:r>
      <w:r w:rsidR="006C4DCE" w:rsidRPr="004971DC">
        <w:rPr>
          <w:rFonts w:asciiTheme="minorHAnsi" w:hAnsiTheme="minorHAnsi"/>
          <w:sz w:val="24"/>
        </w:rPr>
        <w:t xml:space="preserve"> consecutive readings</w:t>
      </w:r>
      <w:r w:rsidR="00AD4908" w:rsidRPr="004971DC">
        <w:rPr>
          <w:rFonts w:asciiTheme="minorHAnsi" w:hAnsiTheme="minorHAnsi"/>
          <w:sz w:val="24"/>
        </w:rPr>
        <w:t xml:space="preserve"> (apart from baseline)</w:t>
      </w:r>
      <w:r w:rsidR="008B1C61" w:rsidRPr="004971DC">
        <w:rPr>
          <w:rFonts w:asciiTheme="minorHAnsi" w:hAnsiTheme="minorHAnsi"/>
          <w:sz w:val="24"/>
        </w:rPr>
        <w:t>;</w:t>
      </w:r>
      <w:r w:rsidR="006C4DCE" w:rsidRPr="004971DC">
        <w:rPr>
          <w:rFonts w:asciiTheme="minorHAnsi" w:hAnsiTheme="minorHAnsi"/>
          <w:sz w:val="24"/>
        </w:rPr>
        <w:t xml:space="preserve"> iii) </w:t>
      </w:r>
      <w:r w:rsidR="007D5A01" w:rsidRPr="004971DC">
        <w:rPr>
          <w:rFonts w:asciiTheme="minorHAnsi" w:hAnsiTheme="minorHAnsi"/>
          <w:sz w:val="24"/>
        </w:rPr>
        <w:t>o</w:t>
      </w:r>
      <w:r w:rsidR="006C4DCE" w:rsidRPr="004971DC">
        <w:rPr>
          <w:rFonts w:asciiTheme="minorHAnsi" w:hAnsiTheme="minorHAnsi"/>
          <w:sz w:val="24"/>
        </w:rPr>
        <w:t>nly partial improvement (1 grade) or no improvement, from baseline, with development of other ocular co-morbidity which is sustained</w:t>
      </w:r>
      <w:r w:rsidR="00907086" w:rsidRPr="004971DC">
        <w:rPr>
          <w:rFonts w:asciiTheme="minorHAnsi" w:hAnsiTheme="minorHAnsi"/>
          <w:sz w:val="24"/>
        </w:rPr>
        <w:t xml:space="preserve"> over two consecutive visits</w:t>
      </w:r>
      <w:r w:rsidR="008B1C61" w:rsidRPr="004971DC">
        <w:rPr>
          <w:rFonts w:asciiTheme="minorHAnsi" w:hAnsiTheme="minorHAnsi"/>
          <w:sz w:val="24"/>
        </w:rPr>
        <w:t>;</w:t>
      </w:r>
      <w:r w:rsidR="006C4DCE" w:rsidRPr="004971DC">
        <w:rPr>
          <w:rFonts w:asciiTheme="minorHAnsi" w:hAnsiTheme="minorHAnsi"/>
          <w:sz w:val="24"/>
        </w:rPr>
        <w:t xml:space="preserve"> iv) </w:t>
      </w:r>
      <w:r w:rsidR="007D5A01" w:rsidRPr="004971DC">
        <w:rPr>
          <w:rFonts w:asciiTheme="minorHAnsi" w:hAnsiTheme="minorHAnsi"/>
          <w:sz w:val="24"/>
        </w:rPr>
        <w:t>w</w:t>
      </w:r>
      <w:r w:rsidR="006C4DCE" w:rsidRPr="004971DC">
        <w:rPr>
          <w:rFonts w:asciiTheme="minorHAnsi" w:hAnsiTheme="minorHAnsi"/>
          <w:sz w:val="24"/>
        </w:rPr>
        <w:t>orsening of existing (on enrolment) ocular co-morbidity</w:t>
      </w:r>
      <w:r w:rsidR="00596067" w:rsidRPr="004971DC">
        <w:rPr>
          <w:rFonts w:asciiTheme="minorHAnsi" w:hAnsiTheme="minorHAnsi"/>
          <w:sz w:val="24"/>
        </w:rPr>
        <w:t xml:space="preserve"> after three</w:t>
      </w:r>
      <w:r w:rsidR="006C4DCE" w:rsidRPr="004971DC">
        <w:rPr>
          <w:rFonts w:asciiTheme="minorHAnsi" w:hAnsiTheme="minorHAnsi"/>
          <w:sz w:val="24"/>
        </w:rPr>
        <w:t xml:space="preserve"> months</w:t>
      </w:r>
      <w:r w:rsidR="008B1C61" w:rsidRPr="004971DC">
        <w:rPr>
          <w:rFonts w:asciiTheme="minorHAnsi" w:hAnsiTheme="minorHAnsi"/>
          <w:sz w:val="24"/>
        </w:rPr>
        <w:t>;</w:t>
      </w:r>
      <w:r w:rsidR="006C4DCE" w:rsidRPr="004971DC">
        <w:rPr>
          <w:rFonts w:asciiTheme="minorHAnsi" w:hAnsiTheme="minorHAnsi"/>
          <w:sz w:val="24"/>
        </w:rPr>
        <w:t xml:space="preserve"> v) </w:t>
      </w:r>
      <w:r w:rsidR="0045647E" w:rsidRPr="004971DC">
        <w:rPr>
          <w:rFonts w:asciiTheme="minorHAnsi" w:hAnsiTheme="minorHAnsi"/>
          <w:sz w:val="24"/>
        </w:rPr>
        <w:t>e</w:t>
      </w:r>
      <w:r w:rsidR="00596067" w:rsidRPr="004971DC">
        <w:rPr>
          <w:rFonts w:asciiTheme="minorHAnsi" w:hAnsiTheme="minorHAnsi"/>
          <w:sz w:val="24"/>
        </w:rPr>
        <w:t>ntry grade</w:t>
      </w:r>
      <w:r w:rsidR="00AB4B37" w:rsidRPr="004971DC">
        <w:rPr>
          <w:rFonts w:asciiTheme="minorHAnsi" w:hAnsiTheme="minorHAnsi"/>
          <w:sz w:val="24"/>
        </w:rPr>
        <w:t xml:space="preserve"> (grades 1 or 2</w:t>
      </w:r>
      <w:r w:rsidR="00ED4B88" w:rsidRPr="004971DC">
        <w:rPr>
          <w:rFonts w:asciiTheme="minorHAnsi" w:hAnsiTheme="minorHAnsi"/>
          <w:sz w:val="24"/>
        </w:rPr>
        <w:t xml:space="preserve"> in SUN cell activity score</w:t>
      </w:r>
      <w:r w:rsidR="00AB4B37" w:rsidRPr="004971DC">
        <w:rPr>
          <w:rFonts w:asciiTheme="minorHAnsi" w:hAnsiTheme="minorHAnsi"/>
          <w:sz w:val="24"/>
        </w:rPr>
        <w:t>)</w:t>
      </w:r>
      <w:r w:rsidR="00596067" w:rsidRPr="004971DC">
        <w:rPr>
          <w:rFonts w:asciiTheme="minorHAnsi" w:hAnsiTheme="minorHAnsi"/>
          <w:sz w:val="24"/>
        </w:rPr>
        <w:t xml:space="preserve"> </w:t>
      </w:r>
      <w:r w:rsidR="006C4DCE" w:rsidRPr="004971DC">
        <w:rPr>
          <w:rFonts w:asciiTheme="minorHAnsi" w:hAnsiTheme="minorHAnsi"/>
          <w:sz w:val="24"/>
        </w:rPr>
        <w:t>still pr</w:t>
      </w:r>
      <w:r w:rsidR="008B1C61" w:rsidRPr="004971DC">
        <w:rPr>
          <w:rFonts w:asciiTheme="minorHAnsi" w:hAnsiTheme="minorHAnsi"/>
          <w:sz w:val="24"/>
        </w:rPr>
        <w:t>esent after 6 months of therapy</w:t>
      </w:r>
      <w:r w:rsidR="00AB4B37" w:rsidRPr="004971DC">
        <w:rPr>
          <w:rFonts w:asciiTheme="minorHAnsi" w:hAnsiTheme="minorHAnsi"/>
          <w:sz w:val="24"/>
        </w:rPr>
        <w:t xml:space="preserve"> and has been sustained</w:t>
      </w:r>
      <w:r w:rsidR="00425CFD" w:rsidRPr="004971DC">
        <w:rPr>
          <w:rFonts w:asciiTheme="minorHAnsi" w:hAnsiTheme="minorHAnsi"/>
          <w:sz w:val="24"/>
        </w:rPr>
        <w:t xml:space="preserve"> over two consecutive visits</w:t>
      </w:r>
      <w:r w:rsidR="008B1C61" w:rsidRPr="004971DC">
        <w:rPr>
          <w:rFonts w:asciiTheme="minorHAnsi" w:hAnsiTheme="minorHAnsi"/>
          <w:sz w:val="24"/>
        </w:rPr>
        <w:t>;</w:t>
      </w:r>
      <w:r w:rsidR="000F4B26" w:rsidRPr="004971DC">
        <w:rPr>
          <w:rFonts w:asciiTheme="minorHAnsi" w:hAnsiTheme="minorHAnsi"/>
          <w:sz w:val="24"/>
        </w:rPr>
        <w:t xml:space="preserve"> vi) </w:t>
      </w:r>
      <w:r w:rsidR="007D5A01" w:rsidRPr="004971DC">
        <w:rPr>
          <w:rFonts w:asciiTheme="minorHAnsi" w:hAnsiTheme="minorHAnsi"/>
          <w:sz w:val="24"/>
        </w:rPr>
        <w:t>u</w:t>
      </w:r>
      <w:r w:rsidR="000F4B26" w:rsidRPr="004971DC">
        <w:rPr>
          <w:rFonts w:asciiTheme="minorHAnsi" w:hAnsiTheme="minorHAnsi"/>
          <w:sz w:val="24"/>
        </w:rPr>
        <w:t xml:space="preserve">se of </w:t>
      </w:r>
      <w:r w:rsidR="00686EBA" w:rsidRPr="004971DC">
        <w:rPr>
          <w:rFonts w:asciiTheme="minorHAnsi" w:hAnsiTheme="minorHAnsi"/>
          <w:sz w:val="24"/>
        </w:rPr>
        <w:t xml:space="preserve">ineligible </w:t>
      </w:r>
      <w:r w:rsidR="006075DC" w:rsidRPr="004971DC">
        <w:rPr>
          <w:rFonts w:asciiTheme="minorHAnsi" w:hAnsiTheme="minorHAnsi"/>
          <w:sz w:val="24"/>
        </w:rPr>
        <w:t xml:space="preserve">concomitant medications </w:t>
      </w:r>
      <w:r w:rsidR="000F4B26" w:rsidRPr="004971DC">
        <w:rPr>
          <w:rFonts w:asciiTheme="minorHAnsi" w:hAnsiTheme="minorHAnsi"/>
          <w:sz w:val="24"/>
        </w:rPr>
        <w:t>(not in pre-defined acceptabl</w:t>
      </w:r>
      <w:r w:rsidR="008B1C61" w:rsidRPr="004971DC">
        <w:rPr>
          <w:rFonts w:asciiTheme="minorHAnsi" w:hAnsiTheme="minorHAnsi"/>
          <w:sz w:val="24"/>
        </w:rPr>
        <w:t>e criteria or those not allowed);</w:t>
      </w:r>
      <w:r w:rsidR="000F4B26" w:rsidRPr="004971DC">
        <w:rPr>
          <w:rFonts w:asciiTheme="minorHAnsi" w:hAnsiTheme="minorHAnsi"/>
          <w:sz w:val="24"/>
        </w:rPr>
        <w:t xml:space="preserve"> vii) </w:t>
      </w:r>
      <w:r w:rsidR="007D5A01" w:rsidRPr="004971DC">
        <w:rPr>
          <w:rFonts w:asciiTheme="minorHAnsi" w:hAnsiTheme="minorHAnsi"/>
          <w:sz w:val="24"/>
        </w:rPr>
        <w:t>i</w:t>
      </w:r>
      <w:r w:rsidR="000F4B26" w:rsidRPr="004971DC">
        <w:rPr>
          <w:rFonts w:asciiTheme="minorHAnsi" w:hAnsiTheme="minorHAnsi"/>
          <w:sz w:val="24"/>
        </w:rPr>
        <w:t>ntermittent or continuou</w:t>
      </w:r>
      <w:r w:rsidR="008B1C61" w:rsidRPr="004971DC">
        <w:rPr>
          <w:rFonts w:asciiTheme="minorHAnsi" w:hAnsiTheme="minorHAnsi"/>
          <w:sz w:val="24"/>
        </w:rPr>
        <w:t>s suspension of study treatment</w:t>
      </w:r>
      <w:r w:rsidR="000F4B26" w:rsidRPr="004971DC">
        <w:rPr>
          <w:rFonts w:asciiTheme="minorHAnsi" w:hAnsiTheme="minorHAnsi"/>
          <w:sz w:val="24"/>
        </w:rPr>
        <w:t xml:space="preserve"> for a</w:t>
      </w:r>
      <w:r w:rsidR="00596067" w:rsidRPr="004971DC">
        <w:rPr>
          <w:rFonts w:asciiTheme="minorHAnsi" w:hAnsiTheme="minorHAnsi"/>
          <w:sz w:val="24"/>
        </w:rPr>
        <w:t xml:space="preserve"> cumulative period longer than four</w:t>
      </w:r>
      <w:r w:rsidR="000F4B26" w:rsidRPr="004971DC">
        <w:rPr>
          <w:rFonts w:asciiTheme="minorHAnsi" w:hAnsiTheme="minorHAnsi"/>
          <w:sz w:val="24"/>
        </w:rPr>
        <w:t xml:space="preserve"> weeks</w:t>
      </w:r>
      <w:r w:rsidR="00E77D8D" w:rsidRPr="004971DC">
        <w:rPr>
          <w:rFonts w:asciiTheme="minorHAnsi" w:hAnsiTheme="minorHAnsi"/>
          <w:sz w:val="24"/>
        </w:rPr>
        <w:t>.</w:t>
      </w:r>
      <w:r w:rsidR="002E6FC9" w:rsidRPr="004971DC">
        <w:rPr>
          <w:rFonts w:asciiTheme="minorHAnsi" w:hAnsiTheme="minorHAnsi"/>
          <w:sz w:val="24"/>
        </w:rPr>
        <w:t xml:space="preserve"> All study assessments were carried out by persons without knowledge of treatment allocation</w:t>
      </w:r>
      <w:r w:rsidR="00E84A8A" w:rsidRPr="004971DC">
        <w:rPr>
          <w:rFonts w:asciiTheme="minorHAnsi" w:hAnsiTheme="minorHAnsi"/>
          <w:sz w:val="24"/>
        </w:rPr>
        <w:t>.</w:t>
      </w:r>
    </w:p>
    <w:p w14:paraId="2DE8A692" w14:textId="77777777" w:rsidR="004971DC" w:rsidRPr="004971DC" w:rsidRDefault="004971DC" w:rsidP="004971DC">
      <w:pPr>
        <w:pStyle w:val="NoSpacing"/>
      </w:pPr>
    </w:p>
    <w:p w14:paraId="2AAE439D" w14:textId="0962C9E9" w:rsidR="00945774" w:rsidRPr="004971DC" w:rsidRDefault="004971DC" w:rsidP="004971DC">
      <w:pPr>
        <w:pStyle w:val="NoSpacing"/>
        <w:spacing w:line="480" w:lineRule="auto"/>
        <w:jc w:val="left"/>
        <w:rPr>
          <w:rFonts w:asciiTheme="minorHAnsi" w:hAnsiTheme="minorHAnsi"/>
          <w:sz w:val="24"/>
        </w:rPr>
      </w:pPr>
      <w:r w:rsidRPr="004971DC">
        <w:rPr>
          <w:rFonts w:asciiTheme="minorHAnsi" w:hAnsiTheme="minorHAnsi"/>
          <w:b/>
          <w:sz w:val="24"/>
        </w:rPr>
        <w:t>Secondary Outcomes</w:t>
      </w:r>
    </w:p>
    <w:p w14:paraId="5A8984FF" w14:textId="3CEC8D40" w:rsidR="00732D49" w:rsidRPr="004971DC" w:rsidRDefault="006401CE" w:rsidP="004971DC">
      <w:pPr>
        <w:pStyle w:val="NoSpacing"/>
        <w:spacing w:line="480" w:lineRule="auto"/>
        <w:jc w:val="left"/>
        <w:rPr>
          <w:rFonts w:asciiTheme="minorHAnsi" w:hAnsiTheme="minorHAnsi"/>
          <w:sz w:val="24"/>
        </w:rPr>
      </w:pPr>
      <w:r w:rsidRPr="004971DC">
        <w:rPr>
          <w:rFonts w:asciiTheme="minorHAnsi" w:hAnsiTheme="minorHAnsi"/>
          <w:sz w:val="24"/>
        </w:rPr>
        <w:t>A</w:t>
      </w:r>
      <w:r w:rsidR="0063117B" w:rsidRPr="004971DC">
        <w:rPr>
          <w:rFonts w:asciiTheme="minorHAnsi" w:hAnsiTheme="minorHAnsi"/>
          <w:sz w:val="24"/>
        </w:rPr>
        <w:t xml:space="preserve">ll secondary outcomes </w:t>
      </w:r>
      <w:r w:rsidR="006075DC" w:rsidRPr="004971DC">
        <w:rPr>
          <w:rFonts w:asciiTheme="minorHAnsi" w:hAnsiTheme="minorHAnsi"/>
          <w:sz w:val="24"/>
        </w:rPr>
        <w:t>were assessed at each study visit</w:t>
      </w:r>
      <w:r w:rsidR="006075DC" w:rsidRPr="004971DC" w:rsidDel="006075DC">
        <w:rPr>
          <w:rFonts w:asciiTheme="minorHAnsi" w:hAnsiTheme="minorHAnsi"/>
          <w:sz w:val="24"/>
        </w:rPr>
        <w:t xml:space="preserve"> </w:t>
      </w:r>
      <w:r w:rsidR="00322EC9" w:rsidRPr="004971DC">
        <w:rPr>
          <w:rFonts w:asciiTheme="minorHAnsi" w:hAnsiTheme="minorHAnsi"/>
          <w:noProof/>
          <w:sz w:val="24"/>
        </w:rPr>
        <w:t>(</w:t>
      </w:r>
      <w:r w:rsidR="00117A7D" w:rsidRPr="004971DC">
        <w:rPr>
          <w:rFonts w:asciiTheme="minorHAnsi" w:hAnsiTheme="minorHAnsi"/>
          <w:noProof/>
          <w:sz w:val="24"/>
        </w:rPr>
        <w:t>19</w:t>
      </w:r>
      <w:r w:rsidR="00322EC9" w:rsidRPr="004971DC">
        <w:rPr>
          <w:rFonts w:asciiTheme="minorHAnsi" w:hAnsiTheme="minorHAnsi"/>
          <w:noProof/>
          <w:sz w:val="24"/>
        </w:rPr>
        <w:t>)</w:t>
      </w:r>
      <w:r w:rsidR="007B4D59" w:rsidRPr="004971DC">
        <w:rPr>
          <w:rFonts w:asciiTheme="minorHAnsi" w:hAnsiTheme="minorHAnsi"/>
          <w:sz w:val="24"/>
        </w:rPr>
        <w:t xml:space="preserve"> (and listed in Table S8</w:t>
      </w:r>
      <w:r w:rsidR="00183228" w:rsidRPr="004971DC">
        <w:rPr>
          <w:rFonts w:asciiTheme="minorHAnsi" w:hAnsiTheme="minorHAnsi"/>
          <w:sz w:val="24"/>
        </w:rPr>
        <w:t>, Supplementary Appendix)</w:t>
      </w:r>
      <w:r w:rsidR="004971DC">
        <w:rPr>
          <w:rFonts w:asciiTheme="minorHAnsi" w:hAnsiTheme="minorHAnsi"/>
          <w:sz w:val="24"/>
        </w:rPr>
        <w:t>.</w:t>
      </w:r>
      <w:r w:rsidR="00C33221" w:rsidRPr="004971DC">
        <w:rPr>
          <w:rFonts w:asciiTheme="minorHAnsi" w:hAnsiTheme="minorHAnsi"/>
          <w:sz w:val="24"/>
        </w:rPr>
        <w:t xml:space="preserve"> These </w:t>
      </w:r>
      <w:r w:rsidR="008C6369" w:rsidRPr="004971DC">
        <w:rPr>
          <w:rFonts w:asciiTheme="minorHAnsi" w:hAnsiTheme="minorHAnsi"/>
          <w:sz w:val="24"/>
        </w:rPr>
        <w:t>included</w:t>
      </w:r>
      <w:r w:rsidR="006075DC" w:rsidRPr="004971DC">
        <w:rPr>
          <w:rFonts w:asciiTheme="minorHAnsi" w:hAnsiTheme="minorHAnsi"/>
          <w:sz w:val="24"/>
        </w:rPr>
        <w:t>:</w:t>
      </w:r>
      <w:r w:rsidR="00C33221" w:rsidRPr="004971DC">
        <w:rPr>
          <w:rFonts w:asciiTheme="minorHAnsi" w:hAnsiTheme="minorHAnsi"/>
          <w:sz w:val="24"/>
        </w:rPr>
        <w:t xml:space="preserve"> use of </w:t>
      </w:r>
      <w:r w:rsidR="0001709C" w:rsidRPr="004971DC">
        <w:rPr>
          <w:rFonts w:asciiTheme="minorHAnsi" w:hAnsiTheme="minorHAnsi"/>
          <w:sz w:val="24"/>
        </w:rPr>
        <w:t>topical</w:t>
      </w:r>
      <w:r w:rsidR="007B4D59" w:rsidRPr="004971DC">
        <w:rPr>
          <w:rFonts w:asciiTheme="minorHAnsi" w:hAnsiTheme="minorHAnsi"/>
          <w:sz w:val="24"/>
        </w:rPr>
        <w:t xml:space="preserve"> and </w:t>
      </w:r>
      <w:r w:rsidR="0001709C" w:rsidRPr="004971DC">
        <w:rPr>
          <w:rFonts w:asciiTheme="minorHAnsi" w:hAnsiTheme="minorHAnsi"/>
          <w:sz w:val="24"/>
        </w:rPr>
        <w:t xml:space="preserve">systemic </w:t>
      </w:r>
      <w:r w:rsidR="009714D2" w:rsidRPr="004971DC">
        <w:rPr>
          <w:rFonts w:asciiTheme="minorHAnsi" w:hAnsiTheme="minorHAnsi"/>
          <w:sz w:val="24"/>
        </w:rPr>
        <w:t>glucocorticoids</w:t>
      </w:r>
      <w:r w:rsidR="007B4D59" w:rsidRPr="004971DC">
        <w:rPr>
          <w:rFonts w:asciiTheme="minorHAnsi" w:hAnsiTheme="minorHAnsi"/>
          <w:sz w:val="24"/>
        </w:rPr>
        <w:t>;</w:t>
      </w:r>
      <w:r w:rsidR="00313533" w:rsidRPr="004971DC">
        <w:rPr>
          <w:rFonts w:asciiTheme="minorHAnsi" w:hAnsiTheme="minorHAnsi"/>
          <w:sz w:val="24"/>
        </w:rPr>
        <w:t xml:space="preserve"> flare</w:t>
      </w:r>
      <w:r w:rsidR="0001709C" w:rsidRPr="004971DC">
        <w:rPr>
          <w:rFonts w:asciiTheme="minorHAnsi" w:hAnsiTheme="minorHAnsi"/>
          <w:sz w:val="24"/>
        </w:rPr>
        <w:t xml:space="preserve"> of uveitis</w:t>
      </w:r>
      <w:r w:rsidR="00313533" w:rsidRPr="004971DC">
        <w:rPr>
          <w:rFonts w:asciiTheme="minorHAnsi" w:hAnsiTheme="minorHAnsi"/>
          <w:sz w:val="24"/>
        </w:rPr>
        <w:t xml:space="preserve"> defined by SUN criteria</w:t>
      </w:r>
      <w:r w:rsidR="007B4D59" w:rsidRPr="004971DC">
        <w:rPr>
          <w:rFonts w:asciiTheme="minorHAnsi" w:hAnsiTheme="minorHAnsi"/>
          <w:sz w:val="24"/>
        </w:rPr>
        <w:t>;</w:t>
      </w:r>
      <w:r w:rsidR="00313533" w:rsidRPr="004971DC">
        <w:rPr>
          <w:rFonts w:asciiTheme="minorHAnsi" w:hAnsiTheme="minorHAnsi"/>
          <w:sz w:val="24"/>
        </w:rPr>
        <w:t xml:space="preserve"> control, remission, </w:t>
      </w:r>
      <w:r w:rsidR="0001709C" w:rsidRPr="004971DC">
        <w:rPr>
          <w:rFonts w:asciiTheme="minorHAnsi" w:hAnsiTheme="minorHAnsi"/>
          <w:sz w:val="24"/>
        </w:rPr>
        <w:t xml:space="preserve">and </w:t>
      </w:r>
      <w:r w:rsidR="00313533" w:rsidRPr="004971DC">
        <w:rPr>
          <w:rFonts w:asciiTheme="minorHAnsi" w:hAnsiTheme="minorHAnsi"/>
          <w:sz w:val="24"/>
        </w:rPr>
        <w:t>duration of inactive disease</w:t>
      </w:r>
      <w:r w:rsidR="0001709C" w:rsidRPr="004971DC">
        <w:rPr>
          <w:rFonts w:asciiTheme="minorHAnsi" w:hAnsiTheme="minorHAnsi"/>
          <w:sz w:val="24"/>
        </w:rPr>
        <w:t xml:space="preserve"> (uveitis)</w:t>
      </w:r>
      <w:r w:rsidR="007B4D59" w:rsidRPr="004971DC">
        <w:rPr>
          <w:rFonts w:asciiTheme="minorHAnsi" w:hAnsiTheme="minorHAnsi"/>
          <w:sz w:val="24"/>
        </w:rPr>
        <w:t>;</w:t>
      </w:r>
      <w:r w:rsidR="00313533" w:rsidRPr="004971DC">
        <w:rPr>
          <w:rFonts w:asciiTheme="minorHAnsi" w:hAnsiTheme="minorHAnsi"/>
          <w:sz w:val="24"/>
        </w:rPr>
        <w:t xml:space="preserve"> </w:t>
      </w:r>
      <w:r w:rsidR="006075DC" w:rsidRPr="004971DC">
        <w:rPr>
          <w:rFonts w:asciiTheme="minorHAnsi" w:hAnsiTheme="minorHAnsi"/>
          <w:sz w:val="24"/>
        </w:rPr>
        <w:t xml:space="preserve">health-related </w:t>
      </w:r>
      <w:r w:rsidR="00C33221" w:rsidRPr="004971DC">
        <w:rPr>
          <w:rFonts w:asciiTheme="minorHAnsi" w:hAnsiTheme="minorHAnsi"/>
          <w:sz w:val="24"/>
        </w:rPr>
        <w:t>quality of life</w:t>
      </w:r>
      <w:r w:rsidR="00D97923" w:rsidRPr="004971DC">
        <w:rPr>
          <w:rFonts w:asciiTheme="minorHAnsi" w:hAnsiTheme="minorHAnsi"/>
          <w:sz w:val="24"/>
        </w:rPr>
        <w:t xml:space="preserve"> (CHAQ</w:t>
      </w:r>
      <w:r w:rsidR="0018698F" w:rsidRPr="004971DC">
        <w:rPr>
          <w:rFonts w:asciiTheme="minorHAnsi" w:hAnsiTheme="minorHAnsi"/>
          <w:sz w:val="24"/>
        </w:rPr>
        <w:t xml:space="preserve"> </w:t>
      </w:r>
      <w:r w:rsidR="00BD17B6" w:rsidRPr="004971DC">
        <w:rPr>
          <w:rFonts w:asciiTheme="minorHAnsi" w:hAnsiTheme="minorHAnsi"/>
          <w:noProof/>
          <w:sz w:val="24"/>
        </w:rPr>
        <w:t>(2</w:t>
      </w:r>
      <w:r w:rsidR="00117A7D" w:rsidRPr="004971DC">
        <w:rPr>
          <w:rFonts w:asciiTheme="minorHAnsi" w:hAnsiTheme="minorHAnsi"/>
          <w:noProof/>
          <w:sz w:val="24"/>
        </w:rPr>
        <w:t>1</w:t>
      </w:r>
      <w:r w:rsidR="00BD17B6" w:rsidRPr="004971DC">
        <w:rPr>
          <w:rFonts w:asciiTheme="minorHAnsi" w:hAnsiTheme="minorHAnsi"/>
          <w:noProof/>
          <w:sz w:val="24"/>
        </w:rPr>
        <w:t>)</w:t>
      </w:r>
      <w:r w:rsidR="00214985" w:rsidRPr="004971DC">
        <w:rPr>
          <w:rFonts w:asciiTheme="minorHAnsi" w:hAnsiTheme="minorHAnsi"/>
          <w:sz w:val="24"/>
        </w:rPr>
        <w:t xml:space="preserve">: scale 0-3, minimal clinically important difference (MCID): -0.188 for improvement and +0.125 for worsening; </w:t>
      </w:r>
      <w:r w:rsidR="00D97923" w:rsidRPr="004971DC">
        <w:rPr>
          <w:rFonts w:asciiTheme="minorHAnsi" w:hAnsiTheme="minorHAnsi"/>
          <w:sz w:val="24"/>
        </w:rPr>
        <w:t>and CHQ</w:t>
      </w:r>
      <w:r w:rsidR="0018698F" w:rsidRPr="004971DC">
        <w:rPr>
          <w:rFonts w:asciiTheme="minorHAnsi" w:hAnsiTheme="minorHAnsi"/>
          <w:sz w:val="24"/>
        </w:rPr>
        <w:t xml:space="preserve"> </w:t>
      </w:r>
      <w:r w:rsidR="00BD17B6" w:rsidRPr="004971DC">
        <w:rPr>
          <w:rFonts w:asciiTheme="minorHAnsi" w:hAnsiTheme="minorHAnsi"/>
          <w:noProof/>
          <w:sz w:val="24"/>
        </w:rPr>
        <w:t>(2</w:t>
      </w:r>
      <w:r w:rsidR="00117A7D" w:rsidRPr="004971DC">
        <w:rPr>
          <w:rFonts w:asciiTheme="minorHAnsi" w:hAnsiTheme="minorHAnsi"/>
          <w:noProof/>
          <w:sz w:val="24"/>
        </w:rPr>
        <w:t>2</w:t>
      </w:r>
      <w:r w:rsidR="00BD17B6" w:rsidRPr="004971DC">
        <w:rPr>
          <w:rFonts w:asciiTheme="minorHAnsi" w:hAnsiTheme="minorHAnsi"/>
          <w:noProof/>
          <w:sz w:val="24"/>
        </w:rPr>
        <w:t>)</w:t>
      </w:r>
      <w:r w:rsidR="00214985" w:rsidRPr="004971DC">
        <w:rPr>
          <w:rFonts w:asciiTheme="minorHAnsi" w:hAnsiTheme="minorHAnsi"/>
          <w:sz w:val="24"/>
        </w:rPr>
        <w:t xml:space="preserve">: scale 0-100, higher scores indicate better or more positive </w:t>
      </w:r>
      <w:r w:rsidR="00732D49" w:rsidRPr="004971DC">
        <w:rPr>
          <w:rFonts w:asciiTheme="minorHAnsi" w:hAnsiTheme="minorHAnsi"/>
          <w:sz w:val="24"/>
        </w:rPr>
        <w:t>health states, no specific MCID</w:t>
      </w:r>
      <w:r w:rsidR="00732D49" w:rsidRPr="004971DC">
        <w:rPr>
          <w:sz w:val="24"/>
        </w:rPr>
        <w:t xml:space="preserve"> </w:t>
      </w:r>
      <w:r w:rsidR="00214985" w:rsidRPr="004971DC">
        <w:rPr>
          <w:rFonts w:asciiTheme="minorHAnsi" w:hAnsiTheme="minorHAnsi"/>
          <w:sz w:val="24"/>
        </w:rPr>
        <w:t>recognised</w:t>
      </w:r>
      <w:r w:rsidR="00D97923" w:rsidRPr="004971DC">
        <w:rPr>
          <w:rFonts w:asciiTheme="minorHAnsi" w:hAnsiTheme="minorHAnsi"/>
          <w:sz w:val="24"/>
        </w:rPr>
        <w:t>)</w:t>
      </w:r>
      <w:r w:rsidR="007B4D59" w:rsidRPr="004971DC">
        <w:rPr>
          <w:rFonts w:asciiTheme="minorHAnsi" w:hAnsiTheme="minorHAnsi"/>
          <w:sz w:val="24"/>
        </w:rPr>
        <w:t>;</w:t>
      </w:r>
      <w:r w:rsidR="00C33221" w:rsidRPr="004971DC">
        <w:rPr>
          <w:rFonts w:asciiTheme="minorHAnsi" w:hAnsiTheme="minorHAnsi"/>
          <w:sz w:val="24"/>
        </w:rPr>
        <w:t xml:space="preserve"> f</w:t>
      </w:r>
      <w:r w:rsidR="007E1830" w:rsidRPr="004971DC">
        <w:rPr>
          <w:rFonts w:asciiTheme="minorHAnsi" w:hAnsiTheme="minorHAnsi"/>
          <w:sz w:val="24"/>
        </w:rPr>
        <w:t xml:space="preserve">lare of </w:t>
      </w:r>
      <w:r w:rsidR="00C33221" w:rsidRPr="004971DC">
        <w:rPr>
          <w:rFonts w:asciiTheme="minorHAnsi" w:hAnsiTheme="minorHAnsi"/>
          <w:sz w:val="24"/>
        </w:rPr>
        <w:t xml:space="preserve">JIA, remission </w:t>
      </w:r>
      <w:r w:rsidR="002E2001" w:rsidRPr="004971DC">
        <w:rPr>
          <w:rFonts w:asciiTheme="minorHAnsi" w:hAnsiTheme="minorHAnsi"/>
          <w:sz w:val="24"/>
        </w:rPr>
        <w:t>on and off medication</w:t>
      </w:r>
      <w:r w:rsidR="0045429C" w:rsidRPr="004971DC">
        <w:rPr>
          <w:rFonts w:asciiTheme="minorHAnsi" w:hAnsiTheme="minorHAnsi"/>
          <w:sz w:val="24"/>
        </w:rPr>
        <w:t xml:space="preserve"> </w:t>
      </w:r>
      <w:r w:rsidR="00BD17B6" w:rsidRPr="004971DC">
        <w:rPr>
          <w:rFonts w:asciiTheme="minorHAnsi" w:hAnsiTheme="minorHAnsi"/>
          <w:noProof/>
          <w:sz w:val="24"/>
        </w:rPr>
        <w:t>(2</w:t>
      </w:r>
      <w:r w:rsidR="00117A7D" w:rsidRPr="004971DC">
        <w:rPr>
          <w:rFonts w:asciiTheme="minorHAnsi" w:hAnsiTheme="minorHAnsi"/>
          <w:noProof/>
          <w:sz w:val="24"/>
        </w:rPr>
        <w:t>3</w:t>
      </w:r>
      <w:r w:rsidR="00BD17B6" w:rsidRPr="004971DC">
        <w:rPr>
          <w:rFonts w:asciiTheme="minorHAnsi" w:hAnsiTheme="minorHAnsi"/>
          <w:noProof/>
          <w:sz w:val="24"/>
        </w:rPr>
        <w:t>)</w:t>
      </w:r>
      <w:r w:rsidR="002E2001" w:rsidRPr="004971DC">
        <w:rPr>
          <w:rFonts w:asciiTheme="minorHAnsi" w:hAnsiTheme="minorHAnsi"/>
          <w:sz w:val="24"/>
        </w:rPr>
        <w:t>,</w:t>
      </w:r>
      <w:r w:rsidR="00C33221" w:rsidRPr="004971DC">
        <w:rPr>
          <w:rFonts w:asciiTheme="minorHAnsi" w:hAnsiTheme="minorHAnsi"/>
          <w:sz w:val="24"/>
        </w:rPr>
        <w:t xml:space="preserve"> minimum </w:t>
      </w:r>
      <w:r w:rsidR="002E2001" w:rsidRPr="004971DC">
        <w:rPr>
          <w:rFonts w:asciiTheme="minorHAnsi" w:hAnsiTheme="minorHAnsi"/>
          <w:sz w:val="24"/>
        </w:rPr>
        <w:t xml:space="preserve">JIA </w:t>
      </w:r>
      <w:r w:rsidR="00C33221" w:rsidRPr="004971DC">
        <w:rPr>
          <w:rFonts w:asciiTheme="minorHAnsi" w:hAnsiTheme="minorHAnsi"/>
          <w:sz w:val="24"/>
        </w:rPr>
        <w:t>disease activity</w:t>
      </w:r>
      <w:r w:rsidR="0045429C" w:rsidRPr="004971DC">
        <w:rPr>
          <w:rFonts w:asciiTheme="minorHAnsi" w:hAnsiTheme="minorHAnsi"/>
          <w:sz w:val="24"/>
        </w:rPr>
        <w:t xml:space="preserve"> </w:t>
      </w:r>
      <w:r w:rsidR="00BD17B6" w:rsidRPr="004971DC">
        <w:rPr>
          <w:rFonts w:asciiTheme="minorHAnsi" w:hAnsiTheme="minorHAnsi"/>
          <w:noProof/>
          <w:sz w:val="24"/>
        </w:rPr>
        <w:t>(</w:t>
      </w:r>
      <w:r w:rsidR="00117A7D" w:rsidRPr="004971DC">
        <w:rPr>
          <w:rFonts w:asciiTheme="minorHAnsi" w:hAnsiTheme="minorHAnsi"/>
          <w:noProof/>
          <w:sz w:val="24"/>
        </w:rPr>
        <w:t>24</w:t>
      </w:r>
      <w:r w:rsidR="00BD17B6" w:rsidRPr="004971DC">
        <w:rPr>
          <w:rFonts w:asciiTheme="minorHAnsi" w:hAnsiTheme="minorHAnsi"/>
          <w:noProof/>
          <w:sz w:val="24"/>
        </w:rPr>
        <w:t>)</w:t>
      </w:r>
      <w:r w:rsidR="00732D49" w:rsidRPr="004971DC">
        <w:rPr>
          <w:rFonts w:asciiTheme="minorHAnsi" w:hAnsiTheme="minorHAnsi"/>
          <w:sz w:val="24"/>
        </w:rPr>
        <w:t xml:space="preserve"> (</w:t>
      </w:r>
      <w:proofErr w:type="spellStart"/>
      <w:r w:rsidR="00732D49" w:rsidRPr="004971DC">
        <w:rPr>
          <w:rFonts w:asciiTheme="minorHAnsi" w:hAnsiTheme="minorHAnsi"/>
          <w:sz w:val="24"/>
        </w:rPr>
        <w:t>oligoarticular</w:t>
      </w:r>
      <w:proofErr w:type="spellEnd"/>
      <w:r w:rsidR="00732D49" w:rsidRPr="004971DC">
        <w:rPr>
          <w:rFonts w:asciiTheme="minorHAnsi" w:hAnsiTheme="minorHAnsi"/>
          <w:sz w:val="24"/>
        </w:rPr>
        <w:t xml:space="preserve"> JIA: physician’s global assessment (</w:t>
      </w:r>
      <w:proofErr w:type="spellStart"/>
      <w:r w:rsidR="00732D49" w:rsidRPr="004971DC">
        <w:rPr>
          <w:rFonts w:asciiTheme="minorHAnsi" w:hAnsiTheme="minorHAnsi"/>
          <w:sz w:val="24"/>
        </w:rPr>
        <w:t>P</w:t>
      </w:r>
      <w:r w:rsidR="00EE0FB9" w:rsidRPr="004971DC">
        <w:rPr>
          <w:rFonts w:asciiTheme="minorHAnsi" w:hAnsiTheme="minorHAnsi"/>
          <w:sz w:val="24"/>
        </w:rPr>
        <w:t>h</w:t>
      </w:r>
      <w:r w:rsidR="00732D49" w:rsidRPr="004971DC">
        <w:rPr>
          <w:rFonts w:asciiTheme="minorHAnsi" w:hAnsiTheme="minorHAnsi"/>
          <w:sz w:val="24"/>
        </w:rPr>
        <w:t>GA</w:t>
      </w:r>
      <w:proofErr w:type="spellEnd"/>
      <w:r w:rsidR="00732D49" w:rsidRPr="004971DC">
        <w:rPr>
          <w:rFonts w:asciiTheme="minorHAnsi" w:hAnsiTheme="minorHAnsi"/>
          <w:sz w:val="24"/>
        </w:rPr>
        <w:t xml:space="preserve">) </w:t>
      </w:r>
      <w:r w:rsidR="00732D49" w:rsidRPr="004971DC">
        <w:rPr>
          <w:rFonts w:asciiTheme="minorHAnsi" w:hAnsiTheme="minorHAnsi"/>
          <w:sz w:val="24"/>
          <w:u w:val="single"/>
        </w:rPr>
        <w:t>&lt;</w:t>
      </w:r>
      <w:r w:rsidR="00732D49" w:rsidRPr="004971DC">
        <w:rPr>
          <w:rFonts w:asciiTheme="minorHAnsi" w:hAnsiTheme="minorHAnsi"/>
          <w:sz w:val="24"/>
        </w:rPr>
        <w:t>2.5cm and no swollen</w:t>
      </w:r>
    </w:p>
    <w:p w14:paraId="7A649AE0" w14:textId="2B57DD3F" w:rsidR="00945774" w:rsidRPr="004971DC" w:rsidRDefault="00732D49" w:rsidP="004971DC">
      <w:pPr>
        <w:pStyle w:val="NoSpacing"/>
        <w:spacing w:line="480" w:lineRule="auto"/>
        <w:jc w:val="left"/>
        <w:rPr>
          <w:rFonts w:asciiTheme="minorHAnsi" w:hAnsiTheme="minorHAnsi"/>
          <w:sz w:val="24"/>
        </w:rPr>
      </w:pPr>
      <w:r w:rsidRPr="004971DC">
        <w:rPr>
          <w:rFonts w:asciiTheme="minorHAnsi" w:hAnsiTheme="minorHAnsi"/>
          <w:sz w:val="24"/>
        </w:rPr>
        <w:t xml:space="preserve">Joints; </w:t>
      </w:r>
      <w:proofErr w:type="spellStart"/>
      <w:r w:rsidRPr="004971DC">
        <w:rPr>
          <w:rFonts w:asciiTheme="minorHAnsi" w:hAnsiTheme="minorHAnsi"/>
          <w:sz w:val="24"/>
        </w:rPr>
        <w:t>polyarticular</w:t>
      </w:r>
      <w:proofErr w:type="spellEnd"/>
      <w:r w:rsidRPr="004971DC">
        <w:rPr>
          <w:rFonts w:asciiTheme="minorHAnsi" w:hAnsiTheme="minorHAnsi"/>
          <w:sz w:val="24"/>
        </w:rPr>
        <w:t xml:space="preserve"> JIA: </w:t>
      </w:r>
      <w:proofErr w:type="spellStart"/>
      <w:r w:rsidRPr="004971DC">
        <w:rPr>
          <w:rFonts w:asciiTheme="minorHAnsi" w:hAnsiTheme="minorHAnsi"/>
          <w:sz w:val="24"/>
        </w:rPr>
        <w:t>P</w:t>
      </w:r>
      <w:r w:rsidR="00EE0FB9" w:rsidRPr="004971DC">
        <w:rPr>
          <w:rFonts w:asciiTheme="minorHAnsi" w:hAnsiTheme="minorHAnsi"/>
          <w:sz w:val="24"/>
        </w:rPr>
        <w:t>h</w:t>
      </w:r>
      <w:r w:rsidRPr="004971DC">
        <w:rPr>
          <w:rFonts w:asciiTheme="minorHAnsi" w:hAnsiTheme="minorHAnsi"/>
          <w:sz w:val="24"/>
        </w:rPr>
        <w:t>GA</w:t>
      </w:r>
      <w:proofErr w:type="spellEnd"/>
      <w:r w:rsidRPr="004971DC">
        <w:rPr>
          <w:rStyle w:val="s1"/>
          <w:rFonts w:asciiTheme="minorHAnsi" w:hAnsiTheme="minorHAnsi"/>
          <w:sz w:val="24"/>
          <w:szCs w:val="24"/>
        </w:rPr>
        <w:t xml:space="preserve"> </w:t>
      </w:r>
      <w:r w:rsidRPr="004971DC">
        <w:rPr>
          <w:rStyle w:val="s1"/>
          <w:rFonts w:asciiTheme="minorHAnsi" w:hAnsiTheme="minorHAnsi"/>
          <w:sz w:val="24"/>
          <w:szCs w:val="24"/>
          <w:u w:val="single"/>
        </w:rPr>
        <w:t>&lt;</w:t>
      </w:r>
      <w:r w:rsidR="00EE0FB9" w:rsidRPr="004971DC">
        <w:rPr>
          <w:rFonts w:asciiTheme="minorHAnsi" w:hAnsiTheme="minorHAnsi"/>
          <w:sz w:val="24"/>
        </w:rPr>
        <w:t>3.4 cm, patient/parent global assessment (</w:t>
      </w:r>
      <w:proofErr w:type="spellStart"/>
      <w:r w:rsidR="00EE0FB9" w:rsidRPr="004971DC">
        <w:rPr>
          <w:rFonts w:asciiTheme="minorHAnsi" w:hAnsiTheme="minorHAnsi"/>
          <w:sz w:val="24"/>
        </w:rPr>
        <w:t>PaGA</w:t>
      </w:r>
      <w:proofErr w:type="spellEnd"/>
      <w:r w:rsidR="00EE0FB9" w:rsidRPr="004971DC">
        <w:rPr>
          <w:rFonts w:asciiTheme="minorHAnsi" w:hAnsiTheme="minorHAnsi"/>
          <w:sz w:val="24"/>
        </w:rPr>
        <w:t xml:space="preserve">) </w:t>
      </w:r>
      <w:r w:rsidR="00EE0FB9" w:rsidRPr="004971DC">
        <w:rPr>
          <w:rFonts w:asciiTheme="minorHAnsi" w:hAnsiTheme="minorHAnsi"/>
          <w:sz w:val="24"/>
          <w:u w:val="single"/>
        </w:rPr>
        <w:t>&lt;</w:t>
      </w:r>
      <w:r w:rsidRPr="004971DC">
        <w:rPr>
          <w:rFonts w:asciiTheme="minorHAnsi" w:hAnsiTheme="minorHAnsi"/>
          <w:sz w:val="24"/>
        </w:rPr>
        <w:t>2.1 cm,</w:t>
      </w:r>
      <w:r w:rsidR="00EE0FB9" w:rsidRPr="004971DC">
        <w:rPr>
          <w:rFonts w:asciiTheme="minorHAnsi" w:hAnsiTheme="minorHAnsi"/>
          <w:sz w:val="24"/>
        </w:rPr>
        <w:t xml:space="preserve"> and </w:t>
      </w:r>
      <w:r w:rsidR="00EE0FB9" w:rsidRPr="004971DC">
        <w:rPr>
          <w:rFonts w:asciiTheme="minorHAnsi" w:hAnsiTheme="minorHAnsi"/>
          <w:sz w:val="24"/>
          <w:u w:val="single"/>
        </w:rPr>
        <w:t>&lt;</w:t>
      </w:r>
      <w:r w:rsidR="00EE0FB9" w:rsidRPr="004971DC">
        <w:rPr>
          <w:rFonts w:asciiTheme="minorHAnsi" w:hAnsiTheme="minorHAnsi"/>
          <w:sz w:val="24"/>
        </w:rPr>
        <w:t xml:space="preserve">1 </w:t>
      </w:r>
      <w:r w:rsidRPr="004971DC">
        <w:rPr>
          <w:rFonts w:asciiTheme="minorHAnsi" w:hAnsiTheme="minorHAnsi"/>
          <w:sz w:val="24"/>
        </w:rPr>
        <w:t>swollen joint</w:t>
      </w:r>
      <w:r w:rsidR="00EE0FB9" w:rsidRPr="004971DC">
        <w:rPr>
          <w:rFonts w:asciiTheme="minorHAnsi" w:hAnsiTheme="minorHAnsi"/>
          <w:sz w:val="24"/>
        </w:rPr>
        <w:t>)</w:t>
      </w:r>
      <w:r w:rsidR="00C33221" w:rsidRPr="004971DC">
        <w:rPr>
          <w:rFonts w:asciiTheme="minorHAnsi" w:hAnsiTheme="minorHAnsi"/>
          <w:sz w:val="24"/>
        </w:rPr>
        <w:t xml:space="preserve">, </w:t>
      </w:r>
      <w:r w:rsidR="00DE58E4" w:rsidRPr="004971DC">
        <w:rPr>
          <w:rFonts w:asciiTheme="minorHAnsi" w:hAnsiTheme="minorHAnsi"/>
          <w:sz w:val="24"/>
        </w:rPr>
        <w:t xml:space="preserve">Juvenile Arthritis Disease Activity Score (JADAS) </w:t>
      </w:r>
      <w:r w:rsidR="00DE58E4" w:rsidRPr="004971DC">
        <w:rPr>
          <w:rFonts w:asciiTheme="minorHAnsi" w:hAnsiTheme="minorHAnsi"/>
          <w:noProof/>
          <w:sz w:val="24"/>
        </w:rPr>
        <w:t>(</w:t>
      </w:r>
      <w:r w:rsidR="00117A7D" w:rsidRPr="004971DC">
        <w:rPr>
          <w:rFonts w:asciiTheme="minorHAnsi" w:hAnsiTheme="minorHAnsi"/>
          <w:noProof/>
          <w:sz w:val="24"/>
        </w:rPr>
        <w:t>25</w:t>
      </w:r>
      <w:r w:rsidR="00DE58E4" w:rsidRPr="004971DC">
        <w:rPr>
          <w:rFonts w:asciiTheme="minorHAnsi" w:hAnsiTheme="minorHAnsi"/>
          <w:noProof/>
          <w:sz w:val="24"/>
        </w:rPr>
        <w:t>)</w:t>
      </w:r>
      <w:r w:rsidR="00DE58E4" w:rsidRPr="004971DC">
        <w:rPr>
          <w:rFonts w:asciiTheme="minorHAnsi" w:hAnsiTheme="minorHAnsi"/>
          <w:sz w:val="24"/>
        </w:rPr>
        <w:t xml:space="preserve"> </w:t>
      </w:r>
      <w:r w:rsidR="00EE0FB9" w:rsidRPr="004971DC">
        <w:rPr>
          <w:rFonts w:asciiTheme="minorHAnsi" w:hAnsiTheme="minorHAnsi"/>
          <w:sz w:val="24"/>
        </w:rPr>
        <w:t>(Linear sum of four components: (</w:t>
      </w:r>
      <w:proofErr w:type="spellStart"/>
      <w:r w:rsidR="00EE0FB9" w:rsidRPr="004971DC">
        <w:rPr>
          <w:rFonts w:asciiTheme="minorHAnsi" w:hAnsiTheme="minorHAnsi"/>
          <w:sz w:val="24"/>
        </w:rPr>
        <w:t>i</w:t>
      </w:r>
      <w:proofErr w:type="spellEnd"/>
      <w:r w:rsidR="00EE0FB9" w:rsidRPr="004971DC">
        <w:rPr>
          <w:rFonts w:asciiTheme="minorHAnsi" w:hAnsiTheme="minorHAnsi"/>
          <w:sz w:val="24"/>
        </w:rPr>
        <w:t xml:space="preserve">) </w:t>
      </w:r>
      <w:proofErr w:type="spellStart"/>
      <w:r w:rsidR="00EE0FB9" w:rsidRPr="004971DC">
        <w:rPr>
          <w:rFonts w:asciiTheme="minorHAnsi" w:hAnsiTheme="minorHAnsi"/>
          <w:sz w:val="24"/>
        </w:rPr>
        <w:t>PhGA</w:t>
      </w:r>
      <w:proofErr w:type="spellEnd"/>
      <w:r w:rsidR="00EE0FB9" w:rsidRPr="004971DC">
        <w:rPr>
          <w:rFonts w:asciiTheme="minorHAnsi" w:hAnsiTheme="minorHAnsi"/>
          <w:sz w:val="24"/>
        </w:rPr>
        <w:t xml:space="preserve">: 010cm VAS, (ii) </w:t>
      </w:r>
      <w:proofErr w:type="spellStart"/>
      <w:r w:rsidR="00EE0FB9" w:rsidRPr="004971DC">
        <w:rPr>
          <w:rFonts w:asciiTheme="minorHAnsi" w:hAnsiTheme="minorHAnsi"/>
          <w:sz w:val="24"/>
        </w:rPr>
        <w:t>PhGE</w:t>
      </w:r>
      <w:proofErr w:type="spellEnd"/>
      <w:r w:rsidR="00EE0FB9" w:rsidRPr="004971DC">
        <w:rPr>
          <w:rFonts w:asciiTheme="minorHAnsi" w:hAnsiTheme="minorHAnsi"/>
          <w:sz w:val="24"/>
        </w:rPr>
        <w:t xml:space="preserve">: 010cm VAS, (iii) Active joint count </w:t>
      </w:r>
      <w:r w:rsidR="00EE0FB9" w:rsidRPr="004971DC">
        <w:rPr>
          <w:rFonts w:asciiTheme="minorHAnsi" w:hAnsiTheme="minorHAnsi"/>
          <w:sz w:val="24"/>
        </w:rPr>
        <w:lastRenderedPageBreak/>
        <w:t xml:space="preserve">assessed in one of three ways: JADAS-10: any involved joint up to a maximum of 10 JADAS-27: 27 joints including cervical spine, elbows, wrists, first to third </w:t>
      </w:r>
      <w:proofErr w:type="spellStart"/>
      <w:r w:rsidR="00EE0FB9" w:rsidRPr="004971DC">
        <w:rPr>
          <w:rFonts w:asciiTheme="minorHAnsi" w:hAnsiTheme="minorHAnsi"/>
          <w:sz w:val="24"/>
        </w:rPr>
        <w:t>metacarpophalangeals</w:t>
      </w:r>
      <w:proofErr w:type="spellEnd"/>
      <w:r w:rsidR="00EE0FB9" w:rsidRPr="004971DC">
        <w:rPr>
          <w:rFonts w:asciiTheme="minorHAnsi" w:hAnsiTheme="minorHAnsi"/>
          <w:sz w:val="24"/>
        </w:rPr>
        <w:t xml:space="preserve">, proximal </w:t>
      </w:r>
      <w:proofErr w:type="spellStart"/>
      <w:r w:rsidR="00EE0FB9" w:rsidRPr="004971DC">
        <w:rPr>
          <w:rFonts w:asciiTheme="minorHAnsi" w:hAnsiTheme="minorHAnsi"/>
          <w:sz w:val="24"/>
        </w:rPr>
        <w:t>interphalangeals</w:t>
      </w:r>
      <w:proofErr w:type="spellEnd"/>
      <w:r w:rsidR="00EE0FB9" w:rsidRPr="004971DC">
        <w:rPr>
          <w:rFonts w:asciiTheme="minorHAnsi" w:hAnsiTheme="minorHAnsi"/>
          <w:sz w:val="24"/>
        </w:rPr>
        <w:t xml:space="preserve">, hips, knees and ankles, JADAS-71: all 71 joints (iv) ESR: Normalized on a 0-10 scale using the formula below to avoid excessive weight in the overall index: [ESR (mm/h)20]/10; minimum disease activity 2 for </w:t>
      </w:r>
      <w:proofErr w:type="spellStart"/>
      <w:r w:rsidR="00EE0FB9" w:rsidRPr="004971DC">
        <w:rPr>
          <w:rFonts w:asciiTheme="minorHAnsi" w:hAnsiTheme="minorHAnsi"/>
          <w:sz w:val="24"/>
        </w:rPr>
        <w:t>oligoarticular</w:t>
      </w:r>
      <w:proofErr w:type="spellEnd"/>
      <w:r w:rsidR="00EE0FB9" w:rsidRPr="004971DC">
        <w:rPr>
          <w:rFonts w:asciiTheme="minorHAnsi" w:hAnsiTheme="minorHAnsi"/>
          <w:sz w:val="24"/>
        </w:rPr>
        <w:t xml:space="preserve"> and 3.8 for </w:t>
      </w:r>
      <w:proofErr w:type="spellStart"/>
      <w:r w:rsidR="00EE0FB9" w:rsidRPr="004971DC">
        <w:rPr>
          <w:rFonts w:asciiTheme="minorHAnsi" w:hAnsiTheme="minorHAnsi"/>
          <w:sz w:val="24"/>
        </w:rPr>
        <w:t>polyarticular</w:t>
      </w:r>
      <w:proofErr w:type="spellEnd"/>
      <w:r w:rsidR="00EE0FB9" w:rsidRPr="004971DC">
        <w:rPr>
          <w:rFonts w:asciiTheme="minorHAnsi" w:hAnsiTheme="minorHAnsi"/>
          <w:sz w:val="24"/>
        </w:rPr>
        <w:t xml:space="preserve"> disease) </w:t>
      </w:r>
      <w:r w:rsidR="00C33221" w:rsidRPr="004971DC">
        <w:rPr>
          <w:rFonts w:asciiTheme="minorHAnsi" w:hAnsiTheme="minorHAnsi"/>
          <w:sz w:val="24"/>
        </w:rPr>
        <w:t xml:space="preserve">and </w:t>
      </w:r>
      <w:r w:rsidR="006075DC" w:rsidRPr="004971DC">
        <w:rPr>
          <w:rFonts w:asciiTheme="minorHAnsi" w:hAnsiTheme="minorHAnsi"/>
          <w:sz w:val="24"/>
        </w:rPr>
        <w:t xml:space="preserve">the </w:t>
      </w:r>
      <w:r w:rsidR="00C33221" w:rsidRPr="004971DC">
        <w:rPr>
          <w:rFonts w:asciiTheme="minorHAnsi" w:hAnsiTheme="minorHAnsi"/>
          <w:sz w:val="24"/>
        </w:rPr>
        <w:t xml:space="preserve">Standard American College of Rheumatology (ACR) </w:t>
      </w:r>
      <w:proofErr w:type="spellStart"/>
      <w:r w:rsidR="00C33221" w:rsidRPr="004971DC">
        <w:rPr>
          <w:rFonts w:asciiTheme="minorHAnsi" w:hAnsiTheme="minorHAnsi"/>
          <w:sz w:val="24"/>
        </w:rPr>
        <w:t>pediatric</w:t>
      </w:r>
      <w:proofErr w:type="spellEnd"/>
      <w:r w:rsidR="00C33221" w:rsidRPr="004971DC">
        <w:rPr>
          <w:rFonts w:asciiTheme="minorHAnsi" w:hAnsiTheme="minorHAnsi"/>
          <w:sz w:val="24"/>
        </w:rPr>
        <w:t xml:space="preserve"> core </w:t>
      </w:r>
      <w:r w:rsidR="00351692" w:rsidRPr="004971DC">
        <w:rPr>
          <w:rFonts w:asciiTheme="minorHAnsi" w:hAnsiTheme="minorHAnsi"/>
          <w:sz w:val="24"/>
        </w:rPr>
        <w:t xml:space="preserve">outcome </w:t>
      </w:r>
      <w:r w:rsidR="00C33221" w:rsidRPr="004971DC">
        <w:rPr>
          <w:rFonts w:asciiTheme="minorHAnsi" w:hAnsiTheme="minorHAnsi"/>
          <w:sz w:val="24"/>
        </w:rPr>
        <w:t xml:space="preserve">set variables </w:t>
      </w:r>
      <w:r w:rsidR="00DE58E4" w:rsidRPr="004971DC">
        <w:rPr>
          <w:rFonts w:asciiTheme="minorHAnsi" w:hAnsiTheme="minorHAnsi"/>
          <w:noProof/>
          <w:sz w:val="24"/>
        </w:rPr>
        <w:t>(</w:t>
      </w:r>
      <w:r w:rsidR="00117A7D" w:rsidRPr="004971DC">
        <w:rPr>
          <w:rFonts w:asciiTheme="minorHAnsi" w:hAnsiTheme="minorHAnsi"/>
          <w:noProof/>
          <w:sz w:val="24"/>
        </w:rPr>
        <w:t>26</w:t>
      </w:r>
      <w:r w:rsidR="00DE58E4" w:rsidRPr="004971DC">
        <w:rPr>
          <w:rFonts w:asciiTheme="minorHAnsi" w:hAnsiTheme="minorHAnsi"/>
          <w:noProof/>
          <w:sz w:val="24"/>
        </w:rPr>
        <w:t>)</w:t>
      </w:r>
      <w:r w:rsidR="00C33221" w:rsidRPr="004971DC">
        <w:rPr>
          <w:rFonts w:asciiTheme="minorHAnsi" w:hAnsiTheme="minorHAnsi"/>
          <w:sz w:val="24"/>
        </w:rPr>
        <w:t>.</w:t>
      </w:r>
    </w:p>
    <w:p w14:paraId="1BD8574D" w14:textId="77777777" w:rsidR="004971DC" w:rsidRPr="004971DC" w:rsidRDefault="004971DC" w:rsidP="004971DC">
      <w:pPr>
        <w:pStyle w:val="NoSpacing"/>
      </w:pPr>
    </w:p>
    <w:p w14:paraId="543D8821" w14:textId="1B6CC26F" w:rsidR="00136524" w:rsidRPr="004971DC" w:rsidRDefault="00136524" w:rsidP="004971DC">
      <w:pPr>
        <w:pStyle w:val="NoSpacing"/>
        <w:spacing w:line="480" w:lineRule="auto"/>
        <w:jc w:val="left"/>
        <w:rPr>
          <w:rFonts w:asciiTheme="minorHAnsi" w:hAnsiTheme="minorHAnsi" w:cs="Arial"/>
          <w:sz w:val="24"/>
          <w:lang w:eastAsia="en-GB"/>
        </w:rPr>
      </w:pPr>
      <w:r w:rsidRPr="004971DC">
        <w:rPr>
          <w:rFonts w:asciiTheme="minorHAnsi" w:hAnsiTheme="minorHAnsi" w:cs="Arial"/>
          <w:sz w:val="24"/>
          <w:lang w:eastAsia="en-GB"/>
        </w:rPr>
        <w:t xml:space="preserve">See supplementary Table </w:t>
      </w:r>
      <w:r w:rsidR="00305E5E" w:rsidRPr="004971DC">
        <w:rPr>
          <w:rFonts w:asciiTheme="minorHAnsi" w:hAnsiTheme="minorHAnsi" w:cs="Arial"/>
          <w:sz w:val="24"/>
          <w:lang w:eastAsia="en-GB"/>
        </w:rPr>
        <w:t>S8</w:t>
      </w:r>
      <w:r w:rsidRPr="004971DC">
        <w:rPr>
          <w:rFonts w:asciiTheme="minorHAnsi" w:hAnsiTheme="minorHAnsi" w:cs="Arial"/>
          <w:sz w:val="24"/>
          <w:lang w:eastAsia="en-GB"/>
        </w:rPr>
        <w:t xml:space="preserve"> for a description of post-hoc analyses.</w:t>
      </w:r>
    </w:p>
    <w:p w14:paraId="1C73A6F2" w14:textId="77777777" w:rsidR="004971DC" w:rsidRPr="004971DC" w:rsidRDefault="004971DC" w:rsidP="004971DC">
      <w:pPr>
        <w:pStyle w:val="NoSpacing"/>
      </w:pPr>
    </w:p>
    <w:p w14:paraId="0096701A" w14:textId="154F40BF" w:rsidR="00950B45" w:rsidRPr="004971DC" w:rsidRDefault="004971DC" w:rsidP="004971DC">
      <w:pPr>
        <w:pStyle w:val="NoSpacing"/>
        <w:spacing w:line="480" w:lineRule="auto"/>
        <w:jc w:val="left"/>
        <w:rPr>
          <w:rFonts w:asciiTheme="minorHAnsi" w:hAnsiTheme="minorHAnsi"/>
          <w:b/>
          <w:sz w:val="24"/>
        </w:rPr>
      </w:pPr>
      <w:r w:rsidRPr="004971DC">
        <w:rPr>
          <w:rFonts w:asciiTheme="minorHAnsi" w:hAnsiTheme="minorHAnsi"/>
          <w:b/>
          <w:sz w:val="24"/>
        </w:rPr>
        <w:t>Safety</w:t>
      </w:r>
    </w:p>
    <w:p w14:paraId="26573824" w14:textId="205B397F" w:rsidR="00950B45" w:rsidRPr="004971DC" w:rsidRDefault="00950B45" w:rsidP="004971DC">
      <w:pPr>
        <w:pStyle w:val="NoSpacing"/>
        <w:spacing w:line="480" w:lineRule="auto"/>
        <w:jc w:val="left"/>
        <w:rPr>
          <w:rFonts w:asciiTheme="minorHAnsi" w:hAnsiTheme="minorHAnsi"/>
          <w:sz w:val="24"/>
        </w:rPr>
      </w:pPr>
      <w:r w:rsidRPr="004971DC">
        <w:rPr>
          <w:rFonts w:asciiTheme="minorHAnsi" w:hAnsiTheme="minorHAnsi"/>
          <w:sz w:val="24"/>
        </w:rPr>
        <w:t>All participants receiv</w:t>
      </w:r>
      <w:r w:rsidR="00183228" w:rsidRPr="004971DC">
        <w:rPr>
          <w:rFonts w:asciiTheme="minorHAnsi" w:hAnsiTheme="minorHAnsi"/>
          <w:sz w:val="24"/>
        </w:rPr>
        <w:t>ing</w:t>
      </w:r>
      <w:r w:rsidR="00FE3E9C" w:rsidRPr="004971DC">
        <w:rPr>
          <w:rFonts w:asciiTheme="minorHAnsi" w:hAnsiTheme="minorHAnsi"/>
          <w:sz w:val="24"/>
        </w:rPr>
        <w:t xml:space="preserve"> at least one dose of adalimumab or placebo were included in the safety analyses. Adverse events </w:t>
      </w:r>
      <w:r w:rsidR="00D97923" w:rsidRPr="004971DC">
        <w:rPr>
          <w:rFonts w:asciiTheme="minorHAnsi" w:hAnsiTheme="minorHAnsi"/>
          <w:sz w:val="24"/>
        </w:rPr>
        <w:t xml:space="preserve">(AEs) </w:t>
      </w:r>
      <w:r w:rsidR="00FE3E9C" w:rsidRPr="004971DC">
        <w:rPr>
          <w:rFonts w:asciiTheme="minorHAnsi" w:hAnsiTheme="minorHAnsi"/>
          <w:sz w:val="24"/>
        </w:rPr>
        <w:t xml:space="preserve">were </w:t>
      </w:r>
      <w:r w:rsidR="00B40262" w:rsidRPr="004971DC">
        <w:rPr>
          <w:rFonts w:asciiTheme="minorHAnsi" w:hAnsiTheme="minorHAnsi"/>
          <w:sz w:val="24"/>
        </w:rPr>
        <w:t>recorded and reported from first study drug dose at each visit</w:t>
      </w:r>
      <w:r w:rsidR="00FE3E9C" w:rsidRPr="004971DC">
        <w:rPr>
          <w:rFonts w:asciiTheme="minorHAnsi" w:hAnsiTheme="minorHAnsi"/>
          <w:sz w:val="24"/>
        </w:rPr>
        <w:t xml:space="preserve">, regardless of severity or perceived association with trial </w:t>
      </w:r>
      <w:r w:rsidR="0049334A" w:rsidRPr="004971DC">
        <w:rPr>
          <w:rFonts w:asciiTheme="minorHAnsi" w:hAnsiTheme="minorHAnsi"/>
          <w:sz w:val="24"/>
        </w:rPr>
        <w:t>intervention</w:t>
      </w:r>
      <w:r w:rsidR="00FE3E9C" w:rsidRPr="004971DC">
        <w:rPr>
          <w:rFonts w:asciiTheme="minorHAnsi" w:hAnsiTheme="minorHAnsi"/>
          <w:sz w:val="24"/>
        </w:rPr>
        <w:t>.</w:t>
      </w:r>
      <w:r w:rsidR="00D97923" w:rsidRPr="004971DC">
        <w:rPr>
          <w:rFonts w:asciiTheme="minorHAnsi" w:hAnsiTheme="minorHAnsi"/>
          <w:sz w:val="24"/>
        </w:rPr>
        <w:t xml:space="preserve"> Serious AEs </w:t>
      </w:r>
      <w:r w:rsidR="00183228" w:rsidRPr="004971DC">
        <w:rPr>
          <w:rFonts w:asciiTheme="minorHAnsi" w:hAnsiTheme="minorHAnsi"/>
          <w:sz w:val="24"/>
        </w:rPr>
        <w:t xml:space="preserve">(SAEs) </w:t>
      </w:r>
      <w:r w:rsidR="00D97923" w:rsidRPr="004971DC">
        <w:rPr>
          <w:rFonts w:asciiTheme="minorHAnsi" w:hAnsiTheme="minorHAnsi"/>
          <w:sz w:val="24"/>
        </w:rPr>
        <w:t>were collected from the time of informed consent. AEs were tabulated using Medical Dictionary for Regulatory Activities (</w:t>
      </w:r>
      <w:proofErr w:type="spellStart"/>
      <w:r w:rsidR="00D97923" w:rsidRPr="004971DC">
        <w:rPr>
          <w:rFonts w:asciiTheme="minorHAnsi" w:hAnsiTheme="minorHAnsi"/>
          <w:sz w:val="24"/>
        </w:rPr>
        <w:t>MedDRA</w:t>
      </w:r>
      <w:proofErr w:type="spellEnd"/>
      <w:r w:rsidR="00D97923" w:rsidRPr="004971DC">
        <w:rPr>
          <w:rFonts w:asciiTheme="minorHAnsi" w:hAnsiTheme="minorHAnsi"/>
          <w:sz w:val="24"/>
        </w:rPr>
        <w:t>) version</w:t>
      </w:r>
      <w:r w:rsidR="003729DC" w:rsidRPr="004971DC">
        <w:rPr>
          <w:rFonts w:asciiTheme="minorHAnsi" w:hAnsiTheme="minorHAnsi"/>
          <w:sz w:val="24"/>
        </w:rPr>
        <w:t xml:space="preserve"> </w:t>
      </w:r>
      <w:r w:rsidR="006F015C" w:rsidRPr="004971DC">
        <w:rPr>
          <w:rFonts w:asciiTheme="minorHAnsi" w:hAnsiTheme="minorHAnsi"/>
          <w:sz w:val="24"/>
        </w:rPr>
        <w:t>18</w:t>
      </w:r>
      <w:r w:rsidR="00D97923" w:rsidRPr="004971DC">
        <w:rPr>
          <w:rFonts w:asciiTheme="minorHAnsi" w:hAnsiTheme="minorHAnsi"/>
          <w:sz w:val="24"/>
        </w:rPr>
        <w:t>.0 system organ class and preferred terms.</w:t>
      </w:r>
    </w:p>
    <w:p w14:paraId="0D08C143" w14:textId="77777777" w:rsidR="004971DC" w:rsidRDefault="004971DC" w:rsidP="004971DC">
      <w:pPr>
        <w:pStyle w:val="NoSpacing"/>
      </w:pPr>
    </w:p>
    <w:p w14:paraId="7EA05465" w14:textId="77777777" w:rsidR="004971DC" w:rsidRDefault="005327D7" w:rsidP="004971DC">
      <w:pPr>
        <w:spacing w:line="480" w:lineRule="auto"/>
        <w:outlineLvl w:val="0"/>
        <w:rPr>
          <w:b/>
          <w:sz w:val="24"/>
          <w:szCs w:val="24"/>
        </w:rPr>
      </w:pPr>
      <w:r w:rsidRPr="005327D7">
        <w:rPr>
          <w:b/>
          <w:sz w:val="24"/>
          <w:szCs w:val="24"/>
        </w:rPr>
        <w:t>Statistical Analysis</w:t>
      </w:r>
    </w:p>
    <w:p w14:paraId="67AA6E29" w14:textId="67D2B07C" w:rsidR="00E02427" w:rsidRPr="004971DC" w:rsidRDefault="00E02427" w:rsidP="004971DC">
      <w:pPr>
        <w:spacing w:line="480" w:lineRule="auto"/>
        <w:outlineLvl w:val="0"/>
        <w:rPr>
          <w:b/>
          <w:sz w:val="24"/>
          <w:szCs w:val="24"/>
        </w:rPr>
      </w:pPr>
      <w:r w:rsidRPr="005327D7">
        <w:rPr>
          <w:sz w:val="24"/>
          <w:szCs w:val="24"/>
        </w:rPr>
        <w:t xml:space="preserve">The trial was originally designed with </w:t>
      </w:r>
      <w:r w:rsidR="003063F3" w:rsidRPr="005327D7">
        <w:rPr>
          <w:sz w:val="24"/>
          <w:szCs w:val="24"/>
        </w:rPr>
        <w:t xml:space="preserve">90% </w:t>
      </w:r>
      <w:r w:rsidRPr="005327D7">
        <w:rPr>
          <w:sz w:val="24"/>
          <w:szCs w:val="24"/>
        </w:rPr>
        <w:t xml:space="preserve">power </w:t>
      </w:r>
      <w:r w:rsidR="008E351F" w:rsidRPr="005327D7">
        <w:rPr>
          <w:sz w:val="24"/>
          <w:szCs w:val="24"/>
        </w:rPr>
        <w:t xml:space="preserve">to detect a </w:t>
      </w:r>
      <w:r w:rsidR="00A70D71" w:rsidRPr="005327D7">
        <w:rPr>
          <w:sz w:val="24"/>
          <w:szCs w:val="24"/>
        </w:rPr>
        <w:t xml:space="preserve">50% </w:t>
      </w:r>
      <w:r w:rsidR="008E351F" w:rsidRPr="005327D7">
        <w:rPr>
          <w:sz w:val="24"/>
          <w:szCs w:val="24"/>
        </w:rPr>
        <w:t xml:space="preserve">relative reduction </w:t>
      </w:r>
      <w:r w:rsidR="00A70D71" w:rsidRPr="005327D7">
        <w:rPr>
          <w:sz w:val="24"/>
          <w:szCs w:val="24"/>
        </w:rPr>
        <w:t xml:space="preserve">from 60% to 30% </w:t>
      </w:r>
      <w:r w:rsidR="00802A58" w:rsidRPr="005327D7">
        <w:rPr>
          <w:sz w:val="24"/>
          <w:szCs w:val="24"/>
        </w:rPr>
        <w:t xml:space="preserve">in the rate of treatment failure </w:t>
      </w:r>
      <w:r w:rsidR="008E351F" w:rsidRPr="005327D7">
        <w:rPr>
          <w:sz w:val="24"/>
          <w:szCs w:val="24"/>
        </w:rPr>
        <w:t>at a 5%</w:t>
      </w:r>
      <w:r w:rsidR="00E45CDB" w:rsidRPr="005327D7">
        <w:rPr>
          <w:sz w:val="24"/>
          <w:szCs w:val="24"/>
        </w:rPr>
        <w:t xml:space="preserve"> significance level (two-sided)</w:t>
      </w:r>
      <w:r w:rsidR="008C6369" w:rsidRPr="005327D7">
        <w:rPr>
          <w:sz w:val="24"/>
          <w:szCs w:val="24"/>
        </w:rPr>
        <w:t xml:space="preserve">. </w:t>
      </w:r>
      <w:r w:rsidR="00ED06E1" w:rsidRPr="005327D7">
        <w:rPr>
          <w:sz w:val="24"/>
          <w:szCs w:val="24"/>
        </w:rPr>
        <w:t>I</w:t>
      </w:r>
      <w:r w:rsidR="00602E53" w:rsidRPr="005327D7">
        <w:rPr>
          <w:sz w:val="24"/>
          <w:szCs w:val="24"/>
        </w:rPr>
        <w:t xml:space="preserve">n view of significant early </w:t>
      </w:r>
      <w:r w:rsidR="003063F3" w:rsidRPr="005327D7">
        <w:rPr>
          <w:sz w:val="24"/>
          <w:szCs w:val="24"/>
        </w:rPr>
        <w:t xml:space="preserve">recruitment </w:t>
      </w:r>
      <w:r w:rsidR="00602E53" w:rsidRPr="005327D7">
        <w:rPr>
          <w:sz w:val="24"/>
          <w:szCs w:val="24"/>
        </w:rPr>
        <w:t>challenges</w:t>
      </w:r>
      <w:r w:rsidR="004A0E84" w:rsidRPr="005327D7">
        <w:rPr>
          <w:sz w:val="24"/>
          <w:szCs w:val="24"/>
        </w:rPr>
        <w:t>,</w:t>
      </w:r>
      <w:r w:rsidR="001D67F7" w:rsidRPr="005327D7">
        <w:rPr>
          <w:sz w:val="24"/>
          <w:szCs w:val="24"/>
        </w:rPr>
        <w:t xml:space="preserve"> the independent data and s</w:t>
      </w:r>
      <w:r w:rsidR="00602E53" w:rsidRPr="005327D7">
        <w:rPr>
          <w:sz w:val="24"/>
          <w:szCs w:val="24"/>
        </w:rPr>
        <w:t xml:space="preserve">afety </w:t>
      </w:r>
      <w:r w:rsidR="001D67F7" w:rsidRPr="005327D7">
        <w:rPr>
          <w:sz w:val="24"/>
          <w:szCs w:val="24"/>
        </w:rPr>
        <w:t>monitoring committee and trial steering c</w:t>
      </w:r>
      <w:r w:rsidR="00602E53" w:rsidRPr="005327D7">
        <w:rPr>
          <w:sz w:val="24"/>
          <w:szCs w:val="24"/>
        </w:rPr>
        <w:t>ommittee</w:t>
      </w:r>
      <w:r w:rsidR="00F604F1" w:rsidRPr="005327D7">
        <w:rPr>
          <w:sz w:val="24"/>
          <w:szCs w:val="24"/>
        </w:rPr>
        <w:t xml:space="preserve">, </w:t>
      </w:r>
      <w:r w:rsidR="00183228" w:rsidRPr="005327D7">
        <w:rPr>
          <w:sz w:val="24"/>
          <w:szCs w:val="24"/>
        </w:rPr>
        <w:t>approved by the trial funders,</w:t>
      </w:r>
      <w:r w:rsidR="00F85383" w:rsidRPr="005327D7">
        <w:rPr>
          <w:sz w:val="24"/>
          <w:szCs w:val="24"/>
        </w:rPr>
        <w:t xml:space="preserve"> </w:t>
      </w:r>
      <w:r w:rsidR="00ED06E1" w:rsidRPr="005327D7">
        <w:rPr>
          <w:sz w:val="24"/>
          <w:szCs w:val="24"/>
        </w:rPr>
        <w:t xml:space="preserve">advised </w:t>
      </w:r>
      <w:r w:rsidR="00183228" w:rsidRPr="005327D7">
        <w:rPr>
          <w:sz w:val="24"/>
          <w:szCs w:val="24"/>
        </w:rPr>
        <w:t xml:space="preserve">protocol amendment, </w:t>
      </w:r>
      <w:r w:rsidR="00ED06E1" w:rsidRPr="005327D7">
        <w:rPr>
          <w:sz w:val="24"/>
          <w:szCs w:val="24"/>
        </w:rPr>
        <w:t xml:space="preserve">reducing the </w:t>
      </w:r>
      <w:r w:rsidR="00E45CDB" w:rsidRPr="005327D7">
        <w:rPr>
          <w:sz w:val="24"/>
          <w:szCs w:val="24"/>
        </w:rPr>
        <w:t xml:space="preserve">power </w:t>
      </w:r>
      <w:r w:rsidR="00ED06E1" w:rsidRPr="005327D7">
        <w:rPr>
          <w:sz w:val="24"/>
          <w:szCs w:val="24"/>
        </w:rPr>
        <w:t xml:space="preserve">to </w:t>
      </w:r>
      <w:r w:rsidRPr="005327D7">
        <w:rPr>
          <w:sz w:val="24"/>
          <w:szCs w:val="24"/>
        </w:rPr>
        <w:t>80%</w:t>
      </w:r>
      <w:r w:rsidR="00ED06E1" w:rsidRPr="005327D7">
        <w:rPr>
          <w:sz w:val="24"/>
          <w:szCs w:val="24"/>
        </w:rPr>
        <w:t xml:space="preserve">, requiring </w:t>
      </w:r>
      <w:r w:rsidRPr="005327D7">
        <w:rPr>
          <w:sz w:val="24"/>
          <w:szCs w:val="24"/>
        </w:rPr>
        <w:t xml:space="preserve">114 patients </w:t>
      </w:r>
      <w:r w:rsidR="00ED06E1" w:rsidRPr="005327D7">
        <w:rPr>
          <w:sz w:val="24"/>
          <w:szCs w:val="24"/>
        </w:rPr>
        <w:t xml:space="preserve">recruited </w:t>
      </w:r>
      <w:r w:rsidRPr="005327D7">
        <w:rPr>
          <w:sz w:val="24"/>
          <w:szCs w:val="24"/>
        </w:rPr>
        <w:t>(76</w:t>
      </w:r>
      <w:r w:rsidR="00F85383" w:rsidRPr="005327D7">
        <w:rPr>
          <w:sz w:val="24"/>
          <w:szCs w:val="24"/>
        </w:rPr>
        <w:t xml:space="preserve"> adalimumab and 38 placebo)</w:t>
      </w:r>
      <w:r w:rsidR="00ED06E1" w:rsidRPr="005327D7">
        <w:rPr>
          <w:sz w:val="24"/>
          <w:szCs w:val="24"/>
        </w:rPr>
        <w:t>, including</w:t>
      </w:r>
      <w:r w:rsidR="008E351F" w:rsidRPr="005327D7">
        <w:rPr>
          <w:sz w:val="24"/>
          <w:szCs w:val="24"/>
        </w:rPr>
        <w:t xml:space="preserve"> a 5% inflation for missing </w:t>
      </w:r>
      <w:r w:rsidR="00E45CDB" w:rsidRPr="005327D7">
        <w:rPr>
          <w:sz w:val="24"/>
          <w:szCs w:val="24"/>
        </w:rPr>
        <w:t xml:space="preserve">primary outcome </w:t>
      </w:r>
      <w:r w:rsidR="008E351F" w:rsidRPr="005327D7">
        <w:rPr>
          <w:sz w:val="24"/>
          <w:szCs w:val="24"/>
        </w:rPr>
        <w:t>data</w:t>
      </w:r>
      <w:r w:rsidRPr="005327D7">
        <w:rPr>
          <w:sz w:val="24"/>
          <w:szCs w:val="24"/>
        </w:rPr>
        <w:t>.</w:t>
      </w:r>
    </w:p>
    <w:p w14:paraId="07EA380C" w14:textId="77777777" w:rsidR="004971DC" w:rsidRPr="004971DC" w:rsidRDefault="004971DC" w:rsidP="004971DC">
      <w:pPr>
        <w:pStyle w:val="NoSpacing"/>
      </w:pPr>
    </w:p>
    <w:p w14:paraId="150BFA69" w14:textId="77777777" w:rsidR="004971DC" w:rsidRDefault="00ED06E1" w:rsidP="005327D7">
      <w:pPr>
        <w:pStyle w:val="NoSpacing"/>
        <w:spacing w:line="480" w:lineRule="auto"/>
        <w:jc w:val="left"/>
        <w:rPr>
          <w:rFonts w:asciiTheme="minorHAnsi" w:hAnsiTheme="minorHAnsi"/>
          <w:sz w:val="24"/>
        </w:rPr>
      </w:pPr>
      <w:r w:rsidRPr="005327D7">
        <w:rPr>
          <w:rFonts w:asciiTheme="minorHAnsi" w:hAnsiTheme="minorHAnsi"/>
          <w:sz w:val="24"/>
        </w:rPr>
        <w:t>I</w:t>
      </w:r>
      <w:r w:rsidR="00E02427" w:rsidRPr="005327D7">
        <w:rPr>
          <w:rFonts w:asciiTheme="minorHAnsi" w:hAnsiTheme="minorHAnsi"/>
          <w:sz w:val="24"/>
        </w:rPr>
        <w:t xml:space="preserve">ntention-to-treat </w:t>
      </w:r>
      <w:r w:rsidRPr="005327D7">
        <w:rPr>
          <w:rFonts w:asciiTheme="minorHAnsi" w:hAnsiTheme="minorHAnsi"/>
          <w:sz w:val="24"/>
        </w:rPr>
        <w:t>analysis</w:t>
      </w:r>
      <w:r w:rsidR="00E02427" w:rsidRPr="005327D7">
        <w:rPr>
          <w:rFonts w:asciiTheme="minorHAnsi" w:hAnsiTheme="minorHAnsi"/>
          <w:sz w:val="24"/>
        </w:rPr>
        <w:t xml:space="preserve"> </w:t>
      </w:r>
      <w:r w:rsidRPr="005327D7">
        <w:rPr>
          <w:rFonts w:asciiTheme="minorHAnsi" w:hAnsiTheme="minorHAnsi"/>
          <w:sz w:val="24"/>
        </w:rPr>
        <w:t xml:space="preserve">of </w:t>
      </w:r>
      <w:r w:rsidR="00E02427" w:rsidRPr="005327D7">
        <w:rPr>
          <w:rFonts w:asciiTheme="minorHAnsi" w:hAnsiTheme="minorHAnsi"/>
          <w:sz w:val="24"/>
        </w:rPr>
        <w:t xml:space="preserve">the </w:t>
      </w:r>
      <w:r w:rsidR="00E45CDB" w:rsidRPr="005327D7">
        <w:rPr>
          <w:rFonts w:asciiTheme="minorHAnsi" w:hAnsiTheme="minorHAnsi"/>
          <w:sz w:val="24"/>
        </w:rPr>
        <w:t xml:space="preserve">primary </w:t>
      </w:r>
      <w:r w:rsidR="00F639FB" w:rsidRPr="005327D7">
        <w:rPr>
          <w:rFonts w:asciiTheme="minorHAnsi" w:hAnsiTheme="minorHAnsi"/>
          <w:sz w:val="24"/>
        </w:rPr>
        <w:t xml:space="preserve">outcome </w:t>
      </w:r>
      <w:r w:rsidR="00ED4B88" w:rsidRPr="005327D7">
        <w:rPr>
          <w:rFonts w:asciiTheme="minorHAnsi" w:hAnsiTheme="minorHAnsi"/>
          <w:sz w:val="24"/>
        </w:rPr>
        <w:t>was undertaken</w:t>
      </w:r>
      <w:r w:rsidR="00551088" w:rsidRPr="005327D7">
        <w:rPr>
          <w:rFonts w:asciiTheme="minorHAnsi" w:hAnsiTheme="minorHAnsi"/>
          <w:sz w:val="24"/>
        </w:rPr>
        <w:t xml:space="preserve">. </w:t>
      </w:r>
      <w:r w:rsidRPr="005327D7">
        <w:rPr>
          <w:rFonts w:asciiTheme="minorHAnsi" w:hAnsiTheme="minorHAnsi"/>
          <w:sz w:val="24"/>
        </w:rPr>
        <w:t xml:space="preserve">The </w:t>
      </w:r>
      <w:r w:rsidR="00E02427" w:rsidRPr="005327D7">
        <w:rPr>
          <w:rFonts w:asciiTheme="minorHAnsi" w:hAnsiTheme="minorHAnsi"/>
          <w:sz w:val="24"/>
        </w:rPr>
        <w:t xml:space="preserve">log-rank test </w:t>
      </w:r>
      <w:r w:rsidR="00D0702C" w:rsidRPr="005327D7">
        <w:rPr>
          <w:rFonts w:asciiTheme="minorHAnsi" w:hAnsiTheme="minorHAnsi"/>
          <w:sz w:val="24"/>
        </w:rPr>
        <w:t xml:space="preserve">was performed </w:t>
      </w:r>
      <w:r w:rsidR="00E02427" w:rsidRPr="005327D7">
        <w:rPr>
          <w:rFonts w:asciiTheme="minorHAnsi" w:hAnsiTheme="minorHAnsi"/>
          <w:sz w:val="24"/>
        </w:rPr>
        <w:t>to investigate between</w:t>
      </w:r>
      <w:r w:rsidR="00BF3B29" w:rsidRPr="005327D7">
        <w:rPr>
          <w:rFonts w:asciiTheme="minorHAnsi" w:hAnsiTheme="minorHAnsi"/>
          <w:sz w:val="24"/>
        </w:rPr>
        <w:t>-</w:t>
      </w:r>
      <w:r w:rsidR="00E02427" w:rsidRPr="005327D7">
        <w:rPr>
          <w:rFonts w:asciiTheme="minorHAnsi" w:hAnsiTheme="minorHAnsi"/>
          <w:sz w:val="24"/>
        </w:rPr>
        <w:t>group comparisons</w:t>
      </w:r>
      <w:r w:rsidR="00D0702C" w:rsidRPr="005327D7">
        <w:rPr>
          <w:rFonts w:asciiTheme="minorHAnsi" w:hAnsiTheme="minorHAnsi"/>
          <w:sz w:val="24"/>
        </w:rPr>
        <w:t>,</w:t>
      </w:r>
      <w:r w:rsidR="00E02427" w:rsidRPr="005327D7">
        <w:rPr>
          <w:rFonts w:asciiTheme="minorHAnsi" w:hAnsiTheme="minorHAnsi"/>
          <w:sz w:val="24"/>
        </w:rPr>
        <w:t xml:space="preserve"> and Kaplan-Meier plots presented </w:t>
      </w:r>
      <w:r w:rsidR="00D0702C" w:rsidRPr="005327D7">
        <w:rPr>
          <w:rFonts w:asciiTheme="minorHAnsi" w:hAnsiTheme="minorHAnsi"/>
          <w:sz w:val="24"/>
        </w:rPr>
        <w:t xml:space="preserve">to illustrate </w:t>
      </w:r>
      <w:r w:rsidR="006F3216" w:rsidRPr="005327D7">
        <w:rPr>
          <w:rFonts w:asciiTheme="minorHAnsi" w:hAnsiTheme="minorHAnsi"/>
          <w:sz w:val="24"/>
        </w:rPr>
        <w:t>the distribution of time to treatment failure</w:t>
      </w:r>
      <w:r w:rsidR="00E02427" w:rsidRPr="005327D7">
        <w:rPr>
          <w:rFonts w:asciiTheme="minorHAnsi" w:hAnsiTheme="minorHAnsi"/>
          <w:sz w:val="24"/>
        </w:rPr>
        <w:t>. The hazard ratio</w:t>
      </w:r>
      <w:r w:rsidR="00183228" w:rsidRPr="005327D7">
        <w:rPr>
          <w:rFonts w:asciiTheme="minorHAnsi" w:hAnsiTheme="minorHAnsi"/>
          <w:sz w:val="24"/>
        </w:rPr>
        <w:t xml:space="preserve"> (HR)</w:t>
      </w:r>
      <w:r w:rsidR="00E02427" w:rsidRPr="005327D7">
        <w:rPr>
          <w:rFonts w:asciiTheme="minorHAnsi" w:hAnsiTheme="minorHAnsi"/>
          <w:sz w:val="24"/>
        </w:rPr>
        <w:t xml:space="preserve"> and 95% confidence interval</w:t>
      </w:r>
      <w:r w:rsidR="00183228" w:rsidRPr="005327D7">
        <w:rPr>
          <w:rFonts w:asciiTheme="minorHAnsi" w:hAnsiTheme="minorHAnsi"/>
          <w:sz w:val="24"/>
        </w:rPr>
        <w:t xml:space="preserve"> (95%CI)</w:t>
      </w:r>
      <w:r w:rsidR="00E02427" w:rsidRPr="005327D7">
        <w:rPr>
          <w:rFonts w:asciiTheme="minorHAnsi" w:hAnsiTheme="minorHAnsi"/>
          <w:sz w:val="24"/>
        </w:rPr>
        <w:t xml:space="preserve"> </w:t>
      </w:r>
      <w:r w:rsidR="00EB6C0C" w:rsidRPr="005327D7">
        <w:rPr>
          <w:rFonts w:asciiTheme="minorHAnsi" w:hAnsiTheme="minorHAnsi"/>
          <w:sz w:val="24"/>
        </w:rPr>
        <w:t xml:space="preserve">were </w:t>
      </w:r>
      <w:r w:rsidR="00D0702C" w:rsidRPr="005327D7">
        <w:rPr>
          <w:rFonts w:asciiTheme="minorHAnsi" w:hAnsiTheme="minorHAnsi"/>
          <w:sz w:val="24"/>
        </w:rPr>
        <w:t>estimated</w:t>
      </w:r>
      <w:r w:rsidR="00EB6C0C" w:rsidRPr="005327D7">
        <w:rPr>
          <w:rFonts w:asciiTheme="minorHAnsi" w:hAnsiTheme="minorHAnsi"/>
          <w:sz w:val="24"/>
        </w:rPr>
        <w:t xml:space="preserve"> </w:t>
      </w:r>
      <w:r w:rsidR="00D0702C" w:rsidRPr="005327D7">
        <w:rPr>
          <w:rFonts w:asciiTheme="minorHAnsi" w:hAnsiTheme="minorHAnsi"/>
          <w:sz w:val="24"/>
        </w:rPr>
        <w:t xml:space="preserve">after fitting a Cox proportional hazards model </w:t>
      </w:r>
      <w:r w:rsidR="0045429C" w:rsidRPr="005327D7">
        <w:rPr>
          <w:rFonts w:asciiTheme="minorHAnsi" w:hAnsiTheme="minorHAnsi"/>
          <w:sz w:val="24"/>
        </w:rPr>
        <w:t>with the as</w:t>
      </w:r>
      <w:r w:rsidR="00EB16BB" w:rsidRPr="005327D7">
        <w:rPr>
          <w:rFonts w:asciiTheme="minorHAnsi" w:hAnsiTheme="minorHAnsi"/>
          <w:sz w:val="24"/>
        </w:rPr>
        <w:t>s</w:t>
      </w:r>
      <w:r w:rsidR="0045429C" w:rsidRPr="005327D7">
        <w:rPr>
          <w:rFonts w:asciiTheme="minorHAnsi" w:hAnsiTheme="minorHAnsi"/>
          <w:sz w:val="24"/>
        </w:rPr>
        <w:t>umption of proportional haz</w:t>
      </w:r>
      <w:r w:rsidR="00EB16BB" w:rsidRPr="005327D7">
        <w:rPr>
          <w:rFonts w:asciiTheme="minorHAnsi" w:hAnsiTheme="minorHAnsi"/>
          <w:sz w:val="24"/>
        </w:rPr>
        <w:t>a</w:t>
      </w:r>
      <w:r w:rsidR="0045429C" w:rsidRPr="005327D7">
        <w:rPr>
          <w:rFonts w:asciiTheme="minorHAnsi" w:hAnsiTheme="minorHAnsi"/>
          <w:sz w:val="24"/>
        </w:rPr>
        <w:t xml:space="preserve">rds checked via the addition of a time-dependent </w:t>
      </w:r>
      <w:r w:rsidR="00D0702C" w:rsidRPr="005327D7">
        <w:rPr>
          <w:rFonts w:asciiTheme="minorHAnsi" w:hAnsiTheme="minorHAnsi"/>
          <w:sz w:val="24"/>
        </w:rPr>
        <w:t>treatment effect</w:t>
      </w:r>
      <w:r w:rsidR="00365BD9" w:rsidRPr="005327D7">
        <w:rPr>
          <w:rFonts w:asciiTheme="minorHAnsi" w:hAnsiTheme="minorHAnsi"/>
          <w:sz w:val="24"/>
        </w:rPr>
        <w:t xml:space="preserve"> parameter</w:t>
      </w:r>
      <w:r w:rsidR="0045429C" w:rsidRPr="005327D7">
        <w:rPr>
          <w:rFonts w:asciiTheme="minorHAnsi" w:hAnsiTheme="minorHAnsi"/>
          <w:sz w:val="24"/>
        </w:rPr>
        <w:t xml:space="preserve"> to the model</w:t>
      </w:r>
      <w:r w:rsidR="00E02427" w:rsidRPr="005327D7">
        <w:rPr>
          <w:rFonts w:asciiTheme="minorHAnsi" w:hAnsiTheme="minorHAnsi"/>
          <w:sz w:val="24"/>
        </w:rPr>
        <w:t xml:space="preserve">. </w:t>
      </w:r>
      <w:r w:rsidR="00014FEB" w:rsidRPr="005327D7">
        <w:rPr>
          <w:rFonts w:asciiTheme="minorHAnsi" w:hAnsiTheme="minorHAnsi"/>
          <w:sz w:val="24"/>
        </w:rPr>
        <w:t xml:space="preserve"> A two sided p-value of </w:t>
      </w:r>
      <w:r w:rsidR="00183228" w:rsidRPr="005327D7">
        <w:rPr>
          <w:rFonts w:asciiTheme="minorHAnsi" w:hAnsiTheme="minorHAnsi"/>
          <w:sz w:val="24"/>
        </w:rPr>
        <w:t>&lt;</w:t>
      </w:r>
      <w:r w:rsidR="00014FEB" w:rsidRPr="005327D7">
        <w:rPr>
          <w:rFonts w:asciiTheme="minorHAnsi" w:hAnsiTheme="minorHAnsi"/>
          <w:sz w:val="24"/>
        </w:rPr>
        <w:t>0.0</w:t>
      </w:r>
      <w:r w:rsidR="00682258" w:rsidRPr="005327D7">
        <w:rPr>
          <w:rFonts w:asciiTheme="minorHAnsi" w:hAnsiTheme="minorHAnsi"/>
          <w:sz w:val="24"/>
        </w:rPr>
        <w:t xml:space="preserve">01 was used for the </w:t>
      </w:r>
      <w:proofErr w:type="spellStart"/>
      <w:r w:rsidR="0060604A" w:rsidRPr="005327D7">
        <w:rPr>
          <w:rFonts w:asciiTheme="minorHAnsi" w:hAnsiTheme="minorHAnsi"/>
          <w:sz w:val="24"/>
        </w:rPr>
        <w:t>Haybittle-Peto</w:t>
      </w:r>
      <w:proofErr w:type="spellEnd"/>
      <w:r w:rsidR="0060604A" w:rsidRPr="005327D7">
        <w:rPr>
          <w:rFonts w:asciiTheme="minorHAnsi" w:hAnsiTheme="minorHAnsi"/>
          <w:sz w:val="24"/>
        </w:rPr>
        <w:t xml:space="preserve"> </w:t>
      </w:r>
      <w:r w:rsidR="00682258" w:rsidRPr="005327D7">
        <w:rPr>
          <w:rFonts w:asciiTheme="minorHAnsi" w:hAnsiTheme="minorHAnsi"/>
          <w:sz w:val="24"/>
        </w:rPr>
        <w:t>stopping boundary for the interim analysis</w:t>
      </w:r>
      <w:r w:rsidR="005B008B" w:rsidRPr="005327D7">
        <w:rPr>
          <w:rFonts w:asciiTheme="minorHAnsi" w:hAnsiTheme="minorHAnsi"/>
          <w:sz w:val="24"/>
        </w:rPr>
        <w:t xml:space="preserve"> and </w:t>
      </w:r>
      <w:r w:rsidR="003E6CB1" w:rsidRPr="005327D7">
        <w:rPr>
          <w:rFonts w:asciiTheme="minorHAnsi" w:hAnsiTheme="minorHAnsi"/>
          <w:sz w:val="24"/>
        </w:rPr>
        <w:t xml:space="preserve">a two sided </w:t>
      </w:r>
      <w:r w:rsidR="005B008B" w:rsidRPr="005327D7">
        <w:rPr>
          <w:rFonts w:asciiTheme="minorHAnsi" w:hAnsiTheme="minorHAnsi"/>
          <w:sz w:val="24"/>
        </w:rPr>
        <w:t xml:space="preserve">p-value of </w:t>
      </w:r>
      <w:r w:rsidR="00183228" w:rsidRPr="005327D7">
        <w:rPr>
          <w:rFonts w:asciiTheme="minorHAnsi" w:hAnsiTheme="minorHAnsi"/>
          <w:sz w:val="24"/>
        </w:rPr>
        <w:t>&lt;</w:t>
      </w:r>
      <w:r w:rsidR="005B008B" w:rsidRPr="005327D7">
        <w:rPr>
          <w:rFonts w:asciiTheme="minorHAnsi" w:hAnsiTheme="minorHAnsi"/>
          <w:sz w:val="24"/>
        </w:rPr>
        <w:t>0.0</w:t>
      </w:r>
      <w:r w:rsidR="00014FEB" w:rsidRPr="005327D7">
        <w:rPr>
          <w:rFonts w:asciiTheme="minorHAnsi" w:hAnsiTheme="minorHAnsi"/>
          <w:sz w:val="24"/>
        </w:rPr>
        <w:t>5 considered statistically significant</w:t>
      </w:r>
      <w:r w:rsidR="005B008B" w:rsidRPr="005327D7">
        <w:rPr>
          <w:rFonts w:asciiTheme="minorHAnsi" w:hAnsiTheme="minorHAnsi"/>
          <w:sz w:val="24"/>
        </w:rPr>
        <w:t xml:space="preserve"> for the final analysis </w:t>
      </w:r>
      <w:r w:rsidR="005B008B" w:rsidRPr="005327D7">
        <w:rPr>
          <w:rFonts w:asciiTheme="minorHAnsi" w:hAnsiTheme="minorHAnsi"/>
          <w:noProof/>
          <w:sz w:val="24"/>
        </w:rPr>
        <w:t>(</w:t>
      </w:r>
      <w:r w:rsidR="00117A7D" w:rsidRPr="005327D7">
        <w:rPr>
          <w:rFonts w:asciiTheme="minorHAnsi" w:hAnsiTheme="minorHAnsi"/>
          <w:noProof/>
          <w:sz w:val="24"/>
        </w:rPr>
        <w:t>27</w:t>
      </w:r>
      <w:r w:rsidR="005B008B" w:rsidRPr="005327D7">
        <w:rPr>
          <w:rFonts w:asciiTheme="minorHAnsi" w:hAnsiTheme="minorHAnsi"/>
          <w:noProof/>
          <w:sz w:val="24"/>
        </w:rPr>
        <w:t>)</w:t>
      </w:r>
      <w:r w:rsidR="00014FEB" w:rsidRPr="005327D7">
        <w:rPr>
          <w:rFonts w:asciiTheme="minorHAnsi" w:hAnsiTheme="minorHAnsi"/>
          <w:sz w:val="24"/>
        </w:rPr>
        <w:t>.</w:t>
      </w:r>
      <w:r w:rsidR="00EB6C0C" w:rsidRPr="005327D7">
        <w:rPr>
          <w:rFonts w:asciiTheme="minorHAnsi" w:hAnsiTheme="minorHAnsi"/>
          <w:sz w:val="24"/>
        </w:rPr>
        <w:t xml:space="preserve"> P</w:t>
      </w:r>
      <w:r w:rsidR="003839CF" w:rsidRPr="005327D7">
        <w:rPr>
          <w:rFonts w:asciiTheme="minorHAnsi" w:hAnsiTheme="minorHAnsi"/>
          <w:sz w:val="24"/>
        </w:rPr>
        <w:t>re-specified sensitivity analys</w:t>
      </w:r>
      <w:r w:rsidR="00C85327" w:rsidRPr="005327D7">
        <w:rPr>
          <w:rFonts w:asciiTheme="minorHAnsi" w:hAnsiTheme="minorHAnsi"/>
          <w:sz w:val="24"/>
        </w:rPr>
        <w:t>e</w:t>
      </w:r>
      <w:r w:rsidR="003839CF" w:rsidRPr="005327D7">
        <w:rPr>
          <w:rFonts w:asciiTheme="minorHAnsi" w:hAnsiTheme="minorHAnsi"/>
          <w:sz w:val="24"/>
        </w:rPr>
        <w:t>s test</w:t>
      </w:r>
      <w:r w:rsidR="00EB6C0C" w:rsidRPr="005327D7">
        <w:rPr>
          <w:rFonts w:asciiTheme="minorHAnsi" w:hAnsiTheme="minorHAnsi"/>
          <w:sz w:val="24"/>
        </w:rPr>
        <w:t>ed</w:t>
      </w:r>
      <w:r w:rsidR="003839CF" w:rsidRPr="005327D7">
        <w:rPr>
          <w:rFonts w:asciiTheme="minorHAnsi" w:hAnsiTheme="minorHAnsi"/>
          <w:sz w:val="24"/>
        </w:rPr>
        <w:t xml:space="preserve"> </w:t>
      </w:r>
      <w:r w:rsidR="00EB6C0C" w:rsidRPr="005327D7">
        <w:rPr>
          <w:rFonts w:asciiTheme="minorHAnsi" w:hAnsiTheme="minorHAnsi"/>
          <w:sz w:val="24"/>
        </w:rPr>
        <w:t xml:space="preserve">impact of </w:t>
      </w:r>
      <w:r w:rsidR="0045429C" w:rsidRPr="005327D7">
        <w:rPr>
          <w:rFonts w:asciiTheme="minorHAnsi" w:hAnsiTheme="minorHAnsi"/>
          <w:sz w:val="24"/>
        </w:rPr>
        <w:t xml:space="preserve">missing data, participants who stopped their intervention early and those who had been incorrectly identified as </w:t>
      </w:r>
      <w:r w:rsidR="00F639FB" w:rsidRPr="005327D7">
        <w:rPr>
          <w:rFonts w:asciiTheme="minorHAnsi" w:hAnsiTheme="minorHAnsi"/>
          <w:sz w:val="24"/>
        </w:rPr>
        <w:t xml:space="preserve">having failed </w:t>
      </w:r>
      <w:r w:rsidR="0045429C" w:rsidRPr="005327D7">
        <w:rPr>
          <w:rFonts w:asciiTheme="minorHAnsi" w:hAnsiTheme="minorHAnsi"/>
          <w:sz w:val="24"/>
        </w:rPr>
        <w:t xml:space="preserve">treatment. </w:t>
      </w:r>
      <w:r w:rsidR="00B40262" w:rsidRPr="005327D7">
        <w:rPr>
          <w:rFonts w:asciiTheme="minorHAnsi" w:hAnsiTheme="minorHAnsi"/>
          <w:sz w:val="24"/>
        </w:rPr>
        <w:t>The statistical analysis plan includes f</w:t>
      </w:r>
      <w:r w:rsidR="003839CF" w:rsidRPr="005327D7">
        <w:rPr>
          <w:rFonts w:asciiTheme="minorHAnsi" w:hAnsiTheme="minorHAnsi"/>
          <w:sz w:val="24"/>
        </w:rPr>
        <w:t>ull details of sensitivity analyses</w:t>
      </w:r>
      <w:r w:rsidR="006401CE" w:rsidRPr="005327D7">
        <w:rPr>
          <w:rFonts w:asciiTheme="minorHAnsi" w:hAnsiTheme="minorHAnsi" w:cs="Arial"/>
          <w:sz w:val="24"/>
        </w:rPr>
        <w:t>.</w:t>
      </w:r>
      <w:r w:rsidR="006401CE" w:rsidRPr="005327D7">
        <w:rPr>
          <w:rFonts w:asciiTheme="minorHAnsi" w:hAnsiTheme="minorHAnsi"/>
          <w:sz w:val="24"/>
        </w:rPr>
        <w:t xml:space="preserve"> </w:t>
      </w:r>
      <w:r w:rsidR="00B40262" w:rsidRPr="005327D7">
        <w:rPr>
          <w:rFonts w:asciiTheme="minorHAnsi" w:hAnsiTheme="minorHAnsi"/>
          <w:sz w:val="24"/>
        </w:rPr>
        <w:t>A</w:t>
      </w:r>
      <w:r w:rsidR="00E02427" w:rsidRPr="005327D7">
        <w:rPr>
          <w:rFonts w:asciiTheme="minorHAnsi" w:hAnsiTheme="minorHAnsi"/>
          <w:sz w:val="24"/>
        </w:rPr>
        <w:t>nalyses were performed using SAS®</w:t>
      </w:r>
      <w:r w:rsidR="006B3F21" w:rsidRPr="005327D7">
        <w:rPr>
          <w:rFonts w:asciiTheme="minorHAnsi" w:hAnsiTheme="minorHAnsi"/>
          <w:sz w:val="24"/>
        </w:rPr>
        <w:t xml:space="preserve"> version 9.3</w:t>
      </w:r>
      <w:r w:rsidR="00E02427" w:rsidRPr="005327D7">
        <w:rPr>
          <w:rFonts w:asciiTheme="minorHAnsi" w:hAnsiTheme="minorHAnsi"/>
          <w:sz w:val="24"/>
        </w:rPr>
        <w:t xml:space="preserve"> (SAS Inc., USA).</w:t>
      </w:r>
    </w:p>
    <w:p w14:paraId="10E3A2D3" w14:textId="77777777" w:rsidR="004971DC" w:rsidRPr="004971DC" w:rsidRDefault="004971DC" w:rsidP="004971DC">
      <w:pPr>
        <w:pStyle w:val="NoSpacing"/>
      </w:pPr>
    </w:p>
    <w:p w14:paraId="7850F267" w14:textId="07924166" w:rsidR="00E02427" w:rsidRPr="004971DC" w:rsidRDefault="005327D7" w:rsidP="005327D7">
      <w:pPr>
        <w:pStyle w:val="NoSpacing"/>
        <w:spacing w:line="480" w:lineRule="auto"/>
        <w:jc w:val="left"/>
        <w:rPr>
          <w:rFonts w:asciiTheme="minorHAnsi" w:hAnsiTheme="minorHAnsi"/>
          <w:sz w:val="24"/>
        </w:rPr>
      </w:pPr>
      <w:r w:rsidRPr="005327D7">
        <w:rPr>
          <w:rFonts w:asciiTheme="minorHAnsi" w:hAnsiTheme="minorHAnsi"/>
          <w:b/>
          <w:sz w:val="24"/>
        </w:rPr>
        <w:t>Trial Oversight and Trial Stopping</w:t>
      </w:r>
    </w:p>
    <w:p w14:paraId="0CB4FB79" w14:textId="2A9BB6B9" w:rsidR="002E6FC9" w:rsidRDefault="00F604F1" w:rsidP="005327D7">
      <w:pPr>
        <w:pStyle w:val="NoSpacing"/>
        <w:spacing w:line="480" w:lineRule="auto"/>
        <w:jc w:val="left"/>
        <w:rPr>
          <w:rFonts w:asciiTheme="minorHAnsi" w:hAnsiTheme="minorHAnsi"/>
          <w:sz w:val="24"/>
        </w:rPr>
      </w:pPr>
      <w:r w:rsidRPr="005327D7">
        <w:rPr>
          <w:rFonts w:asciiTheme="minorHAnsi" w:hAnsiTheme="minorHAnsi"/>
          <w:sz w:val="24"/>
        </w:rPr>
        <w:t>After the second interim analysis, the data safety</w:t>
      </w:r>
      <w:r w:rsidR="00E02427" w:rsidRPr="005327D7">
        <w:rPr>
          <w:rFonts w:asciiTheme="minorHAnsi" w:hAnsiTheme="minorHAnsi"/>
          <w:sz w:val="24"/>
        </w:rPr>
        <w:t xml:space="preserve"> </w:t>
      </w:r>
      <w:r w:rsidR="00673DF8" w:rsidRPr="005327D7">
        <w:rPr>
          <w:rFonts w:asciiTheme="minorHAnsi" w:hAnsiTheme="minorHAnsi"/>
          <w:sz w:val="24"/>
        </w:rPr>
        <w:t>monitoring</w:t>
      </w:r>
      <w:r w:rsidR="00E02427" w:rsidRPr="005327D7">
        <w:rPr>
          <w:rFonts w:asciiTheme="minorHAnsi" w:hAnsiTheme="minorHAnsi"/>
          <w:sz w:val="24"/>
        </w:rPr>
        <w:t xml:space="preserve"> </w:t>
      </w:r>
      <w:r w:rsidRPr="005327D7">
        <w:rPr>
          <w:rFonts w:asciiTheme="minorHAnsi" w:hAnsiTheme="minorHAnsi"/>
          <w:sz w:val="24"/>
        </w:rPr>
        <w:t>committee</w:t>
      </w:r>
      <w:r w:rsidR="00673DF8" w:rsidRPr="005327D7">
        <w:rPr>
          <w:rFonts w:asciiTheme="minorHAnsi" w:hAnsiTheme="minorHAnsi"/>
          <w:sz w:val="24"/>
        </w:rPr>
        <w:t xml:space="preserve"> noted on</w:t>
      </w:r>
      <w:r w:rsidR="00283864" w:rsidRPr="005327D7">
        <w:rPr>
          <w:rFonts w:asciiTheme="minorHAnsi" w:hAnsiTheme="minorHAnsi"/>
          <w:sz w:val="24"/>
        </w:rPr>
        <w:t xml:space="preserve"> </w:t>
      </w:r>
      <w:r w:rsidR="00E02427" w:rsidRPr="005327D7">
        <w:rPr>
          <w:rFonts w:asciiTheme="minorHAnsi" w:hAnsiTheme="minorHAnsi"/>
          <w:sz w:val="24"/>
        </w:rPr>
        <w:t>11</w:t>
      </w:r>
      <w:r w:rsidR="00E02427" w:rsidRPr="005327D7">
        <w:rPr>
          <w:rFonts w:asciiTheme="minorHAnsi" w:hAnsiTheme="minorHAnsi"/>
          <w:sz w:val="24"/>
          <w:vertAlign w:val="superscript"/>
        </w:rPr>
        <w:t>th</w:t>
      </w:r>
      <w:r w:rsidR="00E02427" w:rsidRPr="005327D7">
        <w:rPr>
          <w:rFonts w:asciiTheme="minorHAnsi" w:hAnsiTheme="minorHAnsi"/>
          <w:sz w:val="24"/>
        </w:rPr>
        <w:t xml:space="preserve"> March 2015</w:t>
      </w:r>
      <w:r w:rsidR="00673DF8" w:rsidRPr="005327D7">
        <w:rPr>
          <w:rFonts w:asciiTheme="minorHAnsi" w:hAnsiTheme="minorHAnsi"/>
          <w:sz w:val="24"/>
        </w:rPr>
        <w:t xml:space="preserve"> that </w:t>
      </w:r>
      <w:r w:rsidR="00283864" w:rsidRPr="005327D7">
        <w:rPr>
          <w:rFonts w:asciiTheme="minorHAnsi" w:hAnsiTheme="minorHAnsi"/>
          <w:sz w:val="24"/>
        </w:rPr>
        <w:t>there were</w:t>
      </w:r>
      <w:r w:rsidR="00DD18B8" w:rsidRPr="005327D7">
        <w:rPr>
          <w:rFonts w:asciiTheme="minorHAnsi" w:hAnsiTheme="minorHAnsi"/>
          <w:sz w:val="24"/>
        </w:rPr>
        <w:t xml:space="preserve"> 27</w:t>
      </w:r>
      <w:r w:rsidR="00CF3158" w:rsidRPr="005327D7">
        <w:rPr>
          <w:rFonts w:asciiTheme="minorHAnsi" w:hAnsiTheme="minorHAnsi"/>
          <w:sz w:val="24"/>
        </w:rPr>
        <w:t xml:space="preserve"> treatment failures reported </w:t>
      </w:r>
      <w:r w:rsidR="00AA787B" w:rsidRPr="005327D7">
        <w:rPr>
          <w:rFonts w:asciiTheme="minorHAnsi" w:hAnsiTheme="minorHAnsi"/>
          <w:sz w:val="24"/>
        </w:rPr>
        <w:t xml:space="preserve">among 90 randomized participants </w:t>
      </w:r>
      <w:r w:rsidRPr="005327D7">
        <w:rPr>
          <w:rFonts w:asciiTheme="minorHAnsi" w:hAnsiTheme="minorHAnsi"/>
          <w:sz w:val="24"/>
        </w:rPr>
        <w:t>through</w:t>
      </w:r>
      <w:r w:rsidR="00CF3158" w:rsidRPr="005327D7">
        <w:rPr>
          <w:rFonts w:asciiTheme="minorHAnsi" w:hAnsiTheme="minorHAnsi"/>
          <w:sz w:val="24"/>
        </w:rPr>
        <w:t xml:space="preserve"> </w:t>
      </w:r>
      <w:r w:rsidR="00AA08E6" w:rsidRPr="005327D7">
        <w:rPr>
          <w:rFonts w:asciiTheme="minorHAnsi" w:hAnsiTheme="minorHAnsi"/>
          <w:sz w:val="24"/>
        </w:rPr>
        <w:t xml:space="preserve">to the </w:t>
      </w:r>
      <w:r w:rsidR="00BC084A" w:rsidRPr="005327D7">
        <w:rPr>
          <w:rFonts w:asciiTheme="minorHAnsi" w:hAnsiTheme="minorHAnsi"/>
          <w:sz w:val="24"/>
        </w:rPr>
        <w:t>20</w:t>
      </w:r>
      <w:r w:rsidR="00380BD0" w:rsidRPr="005327D7">
        <w:rPr>
          <w:rFonts w:asciiTheme="minorHAnsi" w:hAnsiTheme="minorHAnsi"/>
          <w:sz w:val="24"/>
          <w:vertAlign w:val="superscript"/>
        </w:rPr>
        <w:t>th</w:t>
      </w:r>
      <w:r w:rsidR="00380BD0" w:rsidRPr="005327D7">
        <w:rPr>
          <w:rFonts w:asciiTheme="minorHAnsi" w:hAnsiTheme="minorHAnsi"/>
          <w:sz w:val="24"/>
        </w:rPr>
        <w:t xml:space="preserve"> </w:t>
      </w:r>
      <w:r w:rsidR="00CF3158" w:rsidRPr="005327D7">
        <w:rPr>
          <w:rFonts w:asciiTheme="minorHAnsi" w:hAnsiTheme="minorHAnsi"/>
          <w:sz w:val="24"/>
        </w:rPr>
        <w:t>January 2015</w:t>
      </w:r>
      <w:r w:rsidR="00F43C90" w:rsidRPr="005327D7">
        <w:rPr>
          <w:rFonts w:asciiTheme="minorHAnsi" w:hAnsiTheme="minorHAnsi"/>
          <w:sz w:val="24"/>
        </w:rPr>
        <w:t>.</w:t>
      </w:r>
      <w:r w:rsidR="00CF3158" w:rsidRPr="005327D7">
        <w:rPr>
          <w:rFonts w:asciiTheme="minorHAnsi" w:hAnsiTheme="minorHAnsi"/>
          <w:sz w:val="24"/>
        </w:rPr>
        <w:t xml:space="preserve"> </w:t>
      </w:r>
      <w:r w:rsidR="00A70D71" w:rsidRPr="005327D7">
        <w:rPr>
          <w:rFonts w:asciiTheme="minorHAnsi" w:hAnsiTheme="minorHAnsi"/>
          <w:sz w:val="24"/>
        </w:rPr>
        <w:t>The adalimumab group showed evidence of a highly significant reduction in the risk of treatment failure (log rank p-value p&lt;0.00</w:t>
      </w:r>
      <w:r w:rsidR="003729DC" w:rsidRPr="005327D7">
        <w:rPr>
          <w:rFonts w:asciiTheme="minorHAnsi" w:hAnsiTheme="minorHAnsi"/>
          <w:sz w:val="24"/>
        </w:rPr>
        <w:t>0</w:t>
      </w:r>
      <w:r w:rsidR="00A70D71" w:rsidRPr="005327D7">
        <w:rPr>
          <w:rFonts w:asciiTheme="minorHAnsi" w:hAnsiTheme="minorHAnsi"/>
          <w:sz w:val="24"/>
        </w:rPr>
        <w:t>1; HR 0.25 95%CI 0.11</w:t>
      </w:r>
      <w:r w:rsidR="00BF3CDD" w:rsidRPr="005327D7">
        <w:rPr>
          <w:rFonts w:asciiTheme="minorHAnsi" w:hAnsiTheme="minorHAnsi"/>
          <w:sz w:val="24"/>
        </w:rPr>
        <w:t>,</w:t>
      </w:r>
      <w:r w:rsidR="00A70D71" w:rsidRPr="005327D7">
        <w:rPr>
          <w:rFonts w:asciiTheme="minorHAnsi" w:hAnsiTheme="minorHAnsi"/>
          <w:sz w:val="24"/>
        </w:rPr>
        <w:t xml:space="preserve">0.53). </w:t>
      </w:r>
      <w:r w:rsidR="00B13C3C" w:rsidRPr="005327D7">
        <w:rPr>
          <w:rFonts w:asciiTheme="minorHAnsi" w:hAnsiTheme="minorHAnsi"/>
          <w:sz w:val="24"/>
        </w:rPr>
        <w:t>On the basis of</w:t>
      </w:r>
      <w:r w:rsidRPr="005327D7">
        <w:rPr>
          <w:rFonts w:asciiTheme="minorHAnsi" w:hAnsiTheme="minorHAnsi"/>
          <w:sz w:val="24"/>
        </w:rPr>
        <w:t xml:space="preserve"> formal stopping boundaries</w:t>
      </w:r>
      <w:r w:rsidR="000D7D71" w:rsidRPr="005327D7">
        <w:rPr>
          <w:rFonts w:asciiTheme="minorHAnsi" w:hAnsiTheme="minorHAnsi"/>
          <w:sz w:val="24"/>
        </w:rPr>
        <w:t xml:space="preserve"> (</w:t>
      </w:r>
      <w:r w:rsidRPr="005327D7">
        <w:rPr>
          <w:rFonts w:asciiTheme="minorHAnsi" w:hAnsiTheme="minorHAnsi"/>
          <w:sz w:val="24"/>
        </w:rPr>
        <w:t>27</w:t>
      </w:r>
      <w:r w:rsidR="000D7D71" w:rsidRPr="005327D7">
        <w:rPr>
          <w:rFonts w:asciiTheme="minorHAnsi" w:hAnsiTheme="minorHAnsi"/>
          <w:sz w:val="24"/>
        </w:rPr>
        <w:t>),</w:t>
      </w:r>
      <w:r w:rsidRPr="005327D7">
        <w:rPr>
          <w:rFonts w:asciiTheme="minorHAnsi" w:hAnsiTheme="minorHAnsi"/>
          <w:sz w:val="24"/>
        </w:rPr>
        <w:t xml:space="preserve"> the data safety monitoring committee </w:t>
      </w:r>
      <w:r w:rsidR="00E02427" w:rsidRPr="005327D7">
        <w:rPr>
          <w:rFonts w:asciiTheme="minorHAnsi" w:hAnsiTheme="minorHAnsi"/>
          <w:sz w:val="24"/>
        </w:rPr>
        <w:t xml:space="preserve">recommended </w:t>
      </w:r>
      <w:r w:rsidR="00E80CF4" w:rsidRPr="005327D7">
        <w:rPr>
          <w:rFonts w:asciiTheme="minorHAnsi" w:hAnsiTheme="minorHAnsi"/>
          <w:sz w:val="24"/>
        </w:rPr>
        <w:t xml:space="preserve">recruitment to the </w:t>
      </w:r>
      <w:r w:rsidR="00283864" w:rsidRPr="005327D7">
        <w:rPr>
          <w:rFonts w:asciiTheme="minorHAnsi" w:hAnsiTheme="minorHAnsi"/>
          <w:sz w:val="24"/>
        </w:rPr>
        <w:t>trial should cease, all participants</w:t>
      </w:r>
      <w:r w:rsidR="00E80CF4" w:rsidRPr="005327D7">
        <w:rPr>
          <w:rFonts w:asciiTheme="minorHAnsi" w:hAnsiTheme="minorHAnsi"/>
          <w:sz w:val="24"/>
        </w:rPr>
        <w:t xml:space="preserve"> should be </w:t>
      </w:r>
      <w:r w:rsidR="00283864" w:rsidRPr="005327D7">
        <w:rPr>
          <w:rFonts w:asciiTheme="minorHAnsi" w:hAnsiTheme="minorHAnsi"/>
          <w:sz w:val="24"/>
        </w:rPr>
        <w:t>subsequently un</w:t>
      </w:r>
      <w:r w:rsidR="00673DF8" w:rsidRPr="005327D7">
        <w:rPr>
          <w:rFonts w:asciiTheme="minorHAnsi" w:hAnsiTheme="minorHAnsi"/>
          <w:sz w:val="24"/>
        </w:rPr>
        <w:t>-</w:t>
      </w:r>
      <w:r w:rsidR="00283864" w:rsidRPr="005327D7">
        <w:rPr>
          <w:rFonts w:asciiTheme="minorHAnsi" w:hAnsiTheme="minorHAnsi"/>
          <w:sz w:val="24"/>
        </w:rPr>
        <w:t>blinded,</w:t>
      </w:r>
      <w:r w:rsidR="00E80CF4" w:rsidRPr="005327D7">
        <w:rPr>
          <w:rFonts w:asciiTheme="minorHAnsi" w:hAnsiTheme="minorHAnsi"/>
          <w:sz w:val="24"/>
        </w:rPr>
        <w:t xml:space="preserve"> </w:t>
      </w:r>
      <w:r w:rsidR="00183228" w:rsidRPr="005327D7">
        <w:rPr>
          <w:rFonts w:asciiTheme="minorHAnsi" w:hAnsiTheme="minorHAnsi"/>
          <w:sz w:val="24"/>
        </w:rPr>
        <w:t xml:space="preserve">placebo-treated </w:t>
      </w:r>
      <w:r w:rsidR="00E80CF4" w:rsidRPr="005327D7">
        <w:rPr>
          <w:rFonts w:asciiTheme="minorHAnsi" w:hAnsiTheme="minorHAnsi"/>
          <w:sz w:val="24"/>
        </w:rPr>
        <w:t>participants should cease treatment and enter trial follow</w:t>
      </w:r>
      <w:r w:rsidR="00BF3B29" w:rsidRPr="005327D7">
        <w:rPr>
          <w:rFonts w:asciiTheme="minorHAnsi" w:hAnsiTheme="minorHAnsi"/>
          <w:sz w:val="24"/>
        </w:rPr>
        <w:t>-</w:t>
      </w:r>
      <w:r w:rsidR="00E80CF4" w:rsidRPr="005327D7">
        <w:rPr>
          <w:rFonts w:asciiTheme="minorHAnsi" w:hAnsiTheme="minorHAnsi"/>
          <w:sz w:val="24"/>
        </w:rPr>
        <w:t>up</w:t>
      </w:r>
      <w:r w:rsidR="00183228" w:rsidRPr="005327D7">
        <w:rPr>
          <w:rFonts w:asciiTheme="minorHAnsi" w:hAnsiTheme="minorHAnsi"/>
          <w:sz w:val="24"/>
        </w:rPr>
        <w:t xml:space="preserve">, </w:t>
      </w:r>
      <w:r w:rsidR="00E80CF4" w:rsidRPr="005327D7">
        <w:rPr>
          <w:rFonts w:asciiTheme="minorHAnsi" w:hAnsiTheme="minorHAnsi"/>
          <w:sz w:val="24"/>
        </w:rPr>
        <w:t xml:space="preserve">and participants receiving adalimumab should continue as per study protocol. </w:t>
      </w:r>
      <w:r w:rsidR="005327D7">
        <w:rPr>
          <w:rFonts w:asciiTheme="minorHAnsi" w:hAnsiTheme="minorHAnsi"/>
          <w:sz w:val="24"/>
        </w:rPr>
        <w:t xml:space="preserve">Following </w:t>
      </w:r>
      <w:r w:rsidR="004C37F4" w:rsidRPr="005327D7">
        <w:rPr>
          <w:rFonts w:asciiTheme="minorHAnsi" w:hAnsiTheme="minorHAnsi"/>
          <w:sz w:val="24"/>
        </w:rPr>
        <w:t xml:space="preserve">consultation between the </w:t>
      </w:r>
      <w:r w:rsidRPr="005327D7">
        <w:rPr>
          <w:rFonts w:asciiTheme="minorHAnsi" w:hAnsiTheme="minorHAnsi"/>
          <w:sz w:val="24"/>
        </w:rPr>
        <w:t>data safety monitoring committee, the trial steering committee</w:t>
      </w:r>
      <w:r w:rsidR="004C37F4" w:rsidRPr="005327D7">
        <w:rPr>
          <w:rFonts w:asciiTheme="minorHAnsi" w:hAnsiTheme="minorHAnsi"/>
          <w:sz w:val="24"/>
        </w:rPr>
        <w:t>, and then with the Co-Chief Investigators</w:t>
      </w:r>
      <w:r w:rsidR="00753D35" w:rsidRPr="005327D7">
        <w:rPr>
          <w:rFonts w:asciiTheme="minorHAnsi" w:hAnsiTheme="minorHAnsi"/>
          <w:sz w:val="24"/>
        </w:rPr>
        <w:t xml:space="preserve"> (AVR, MWB)</w:t>
      </w:r>
      <w:r w:rsidR="00FA540F" w:rsidRPr="005327D7">
        <w:rPr>
          <w:rFonts w:asciiTheme="minorHAnsi" w:hAnsiTheme="minorHAnsi"/>
          <w:sz w:val="24"/>
        </w:rPr>
        <w:t>,</w:t>
      </w:r>
      <w:r w:rsidR="00646823" w:rsidRPr="005327D7">
        <w:rPr>
          <w:rFonts w:asciiTheme="minorHAnsi" w:hAnsiTheme="minorHAnsi"/>
          <w:sz w:val="24"/>
        </w:rPr>
        <w:t xml:space="preserve"> a decision </w:t>
      </w:r>
      <w:r w:rsidR="00646823" w:rsidRPr="005327D7">
        <w:rPr>
          <w:rFonts w:asciiTheme="minorHAnsi" w:hAnsiTheme="minorHAnsi"/>
          <w:sz w:val="24"/>
        </w:rPr>
        <w:lastRenderedPageBreak/>
        <w:t>was made to implement this recommendation</w:t>
      </w:r>
      <w:r w:rsidR="00673DF8" w:rsidRPr="005327D7">
        <w:rPr>
          <w:rFonts w:asciiTheme="minorHAnsi" w:hAnsiTheme="minorHAnsi"/>
          <w:sz w:val="24"/>
        </w:rPr>
        <w:t xml:space="preserve">, with support of the </w:t>
      </w:r>
      <w:r w:rsidR="004C37F4" w:rsidRPr="005327D7">
        <w:rPr>
          <w:rFonts w:asciiTheme="minorHAnsi" w:hAnsiTheme="minorHAnsi"/>
          <w:sz w:val="24"/>
        </w:rPr>
        <w:t>study t</w:t>
      </w:r>
      <w:r w:rsidR="00197894" w:rsidRPr="005327D7">
        <w:rPr>
          <w:rFonts w:asciiTheme="minorHAnsi" w:hAnsiTheme="minorHAnsi"/>
          <w:sz w:val="24"/>
        </w:rPr>
        <w:t>eam</w:t>
      </w:r>
      <w:r w:rsidR="00945774" w:rsidRPr="005327D7">
        <w:rPr>
          <w:rFonts w:asciiTheme="minorHAnsi" w:hAnsiTheme="minorHAnsi"/>
          <w:sz w:val="24"/>
        </w:rPr>
        <w:t xml:space="preserve"> (who had remained blinded throughout)</w:t>
      </w:r>
      <w:r w:rsidR="00673DF8" w:rsidRPr="005327D7">
        <w:rPr>
          <w:rFonts w:asciiTheme="minorHAnsi" w:hAnsiTheme="minorHAnsi"/>
          <w:sz w:val="24"/>
        </w:rPr>
        <w:t xml:space="preserve"> and </w:t>
      </w:r>
      <w:r w:rsidR="00197894" w:rsidRPr="005327D7">
        <w:rPr>
          <w:rFonts w:asciiTheme="minorHAnsi" w:hAnsiTheme="minorHAnsi"/>
          <w:sz w:val="24"/>
        </w:rPr>
        <w:t>agreement of the study s</w:t>
      </w:r>
      <w:r w:rsidR="004C37F4" w:rsidRPr="005327D7">
        <w:rPr>
          <w:rFonts w:asciiTheme="minorHAnsi" w:hAnsiTheme="minorHAnsi"/>
          <w:sz w:val="24"/>
        </w:rPr>
        <w:t>ponsor</w:t>
      </w:r>
      <w:r w:rsidR="00673DF8" w:rsidRPr="005327D7">
        <w:rPr>
          <w:rFonts w:asciiTheme="minorHAnsi" w:hAnsiTheme="minorHAnsi"/>
          <w:sz w:val="24"/>
        </w:rPr>
        <w:t xml:space="preserve"> and funders</w:t>
      </w:r>
      <w:r w:rsidR="004C37F4" w:rsidRPr="005327D7">
        <w:rPr>
          <w:rFonts w:asciiTheme="minorHAnsi" w:hAnsiTheme="minorHAnsi"/>
          <w:sz w:val="24"/>
        </w:rPr>
        <w:t xml:space="preserve">. </w:t>
      </w:r>
      <w:r w:rsidR="00673DF8" w:rsidRPr="005327D7">
        <w:rPr>
          <w:rFonts w:asciiTheme="minorHAnsi" w:hAnsiTheme="minorHAnsi"/>
          <w:sz w:val="24"/>
        </w:rPr>
        <w:t>P</w:t>
      </w:r>
      <w:r w:rsidR="00D842F4" w:rsidRPr="005327D7">
        <w:rPr>
          <w:rFonts w:asciiTheme="minorHAnsi" w:hAnsiTheme="minorHAnsi"/>
          <w:sz w:val="24"/>
        </w:rPr>
        <w:t xml:space="preserve">atients were called in for final blinded treatment response assessments. </w:t>
      </w:r>
      <w:r w:rsidR="00A70D71" w:rsidRPr="005327D7">
        <w:rPr>
          <w:rFonts w:asciiTheme="minorHAnsi" w:hAnsiTheme="minorHAnsi"/>
          <w:sz w:val="24"/>
        </w:rPr>
        <w:t>Patients on adalimumab were asked to continue as per protocol for the duration of the study in an open label follow up until completion of their 18-month treatment</w:t>
      </w:r>
      <w:r w:rsidR="009714D2" w:rsidRPr="005327D7">
        <w:rPr>
          <w:rFonts w:asciiTheme="minorHAnsi" w:hAnsiTheme="minorHAnsi"/>
          <w:sz w:val="24"/>
        </w:rPr>
        <w:t>, an adverse event attributed to drug that precluded continued treatment,</w:t>
      </w:r>
      <w:r w:rsidR="00A70D71" w:rsidRPr="005327D7">
        <w:rPr>
          <w:rFonts w:asciiTheme="minorHAnsi" w:hAnsiTheme="minorHAnsi"/>
          <w:sz w:val="24"/>
        </w:rPr>
        <w:t xml:space="preserve"> or until treatment failure. </w:t>
      </w:r>
      <w:r w:rsidR="002E0E37" w:rsidRPr="005327D7">
        <w:rPr>
          <w:rFonts w:asciiTheme="minorHAnsi" w:hAnsiTheme="minorHAnsi"/>
          <w:sz w:val="24"/>
        </w:rPr>
        <w:t xml:space="preserve">All patients who received placebo </w:t>
      </w:r>
      <w:r w:rsidR="00B40A6D" w:rsidRPr="005327D7">
        <w:rPr>
          <w:rFonts w:asciiTheme="minorHAnsi" w:hAnsiTheme="minorHAnsi"/>
          <w:sz w:val="24"/>
        </w:rPr>
        <w:t xml:space="preserve">stopped trial treatment and </w:t>
      </w:r>
      <w:r w:rsidR="002E0E37" w:rsidRPr="005327D7">
        <w:rPr>
          <w:rFonts w:asciiTheme="minorHAnsi" w:hAnsiTheme="minorHAnsi"/>
          <w:sz w:val="24"/>
        </w:rPr>
        <w:t>completed the six mo</w:t>
      </w:r>
      <w:r w:rsidR="00A72223" w:rsidRPr="005327D7">
        <w:rPr>
          <w:rFonts w:asciiTheme="minorHAnsi" w:hAnsiTheme="minorHAnsi"/>
          <w:sz w:val="24"/>
        </w:rPr>
        <w:t>n</w:t>
      </w:r>
      <w:r w:rsidR="002E0E37" w:rsidRPr="005327D7">
        <w:rPr>
          <w:rFonts w:asciiTheme="minorHAnsi" w:hAnsiTheme="minorHAnsi"/>
          <w:sz w:val="24"/>
        </w:rPr>
        <w:t>th follow</w:t>
      </w:r>
      <w:r w:rsidR="00BF3B29" w:rsidRPr="005327D7">
        <w:rPr>
          <w:rFonts w:asciiTheme="minorHAnsi" w:hAnsiTheme="minorHAnsi"/>
          <w:sz w:val="24"/>
        </w:rPr>
        <w:t>-</w:t>
      </w:r>
      <w:r w:rsidR="002E0E37" w:rsidRPr="005327D7">
        <w:rPr>
          <w:rFonts w:asciiTheme="minorHAnsi" w:hAnsiTheme="minorHAnsi"/>
          <w:sz w:val="24"/>
        </w:rPr>
        <w:t xml:space="preserve">up phase of the </w:t>
      </w:r>
      <w:r w:rsidR="00194E0C" w:rsidRPr="005327D7">
        <w:rPr>
          <w:rFonts w:asciiTheme="minorHAnsi" w:hAnsiTheme="minorHAnsi"/>
          <w:sz w:val="24"/>
        </w:rPr>
        <w:t>study</w:t>
      </w:r>
      <w:r w:rsidR="00D806D7" w:rsidRPr="005327D7">
        <w:rPr>
          <w:rFonts w:asciiTheme="minorHAnsi" w:hAnsiTheme="minorHAnsi"/>
          <w:sz w:val="24"/>
        </w:rPr>
        <w:t>.</w:t>
      </w:r>
      <w:r w:rsidR="00194E0C" w:rsidRPr="005327D7">
        <w:rPr>
          <w:rFonts w:asciiTheme="minorHAnsi" w:hAnsiTheme="minorHAnsi"/>
          <w:sz w:val="24"/>
        </w:rPr>
        <w:t xml:space="preserve"> </w:t>
      </w:r>
      <w:r w:rsidR="00A70D71" w:rsidRPr="005327D7">
        <w:rPr>
          <w:rFonts w:asciiTheme="minorHAnsi" w:hAnsiTheme="minorHAnsi"/>
          <w:sz w:val="24"/>
        </w:rPr>
        <w:t>Open</w:t>
      </w:r>
      <w:r w:rsidR="002E6FC9" w:rsidRPr="005327D7">
        <w:rPr>
          <w:rFonts w:asciiTheme="minorHAnsi" w:hAnsiTheme="minorHAnsi"/>
          <w:sz w:val="24"/>
        </w:rPr>
        <w:t>-</w:t>
      </w:r>
      <w:r w:rsidR="00A70D71" w:rsidRPr="005327D7">
        <w:rPr>
          <w:rFonts w:asciiTheme="minorHAnsi" w:hAnsiTheme="minorHAnsi"/>
          <w:sz w:val="24"/>
        </w:rPr>
        <w:t xml:space="preserve">label extension of the trial continues. </w:t>
      </w:r>
    </w:p>
    <w:p w14:paraId="2B5EEF1E" w14:textId="77777777" w:rsidR="005327D7" w:rsidRPr="005327D7" w:rsidRDefault="005327D7" w:rsidP="005327D7">
      <w:pPr>
        <w:pStyle w:val="NoSpacing"/>
      </w:pPr>
    </w:p>
    <w:p w14:paraId="76250F54" w14:textId="77777777" w:rsidR="00747917" w:rsidRPr="005327D7" w:rsidRDefault="00747917" w:rsidP="005327D7">
      <w:pPr>
        <w:pStyle w:val="NoSpacing"/>
        <w:spacing w:line="480" w:lineRule="auto"/>
        <w:jc w:val="left"/>
        <w:rPr>
          <w:rFonts w:asciiTheme="minorHAnsi" w:hAnsiTheme="minorHAnsi"/>
          <w:b/>
          <w:sz w:val="24"/>
        </w:rPr>
      </w:pPr>
      <w:r w:rsidRPr="005327D7">
        <w:rPr>
          <w:rFonts w:asciiTheme="minorHAnsi" w:hAnsiTheme="minorHAnsi"/>
          <w:b/>
          <w:sz w:val="24"/>
        </w:rPr>
        <w:t>RESULTS</w:t>
      </w:r>
    </w:p>
    <w:p w14:paraId="12B9FB43" w14:textId="77777777" w:rsidR="005327D7" w:rsidRPr="005327D7" w:rsidRDefault="005327D7" w:rsidP="005327D7">
      <w:pPr>
        <w:pStyle w:val="NoSpacing"/>
        <w:rPr>
          <w:b/>
        </w:rPr>
      </w:pPr>
    </w:p>
    <w:p w14:paraId="06CA09F2" w14:textId="0553764E" w:rsidR="00747917" w:rsidRPr="005327D7" w:rsidRDefault="005327D7" w:rsidP="005327D7">
      <w:pPr>
        <w:pStyle w:val="NoSpacing"/>
        <w:spacing w:line="480" w:lineRule="auto"/>
        <w:jc w:val="left"/>
        <w:rPr>
          <w:rFonts w:asciiTheme="minorHAnsi" w:hAnsiTheme="minorHAnsi"/>
          <w:b/>
          <w:sz w:val="24"/>
        </w:rPr>
      </w:pPr>
      <w:r w:rsidRPr="005327D7">
        <w:rPr>
          <w:rFonts w:asciiTheme="minorHAnsi" w:hAnsiTheme="minorHAnsi"/>
          <w:b/>
          <w:sz w:val="24"/>
        </w:rPr>
        <w:t>Study Participants</w:t>
      </w:r>
    </w:p>
    <w:p w14:paraId="76C403C1" w14:textId="77FD4F10" w:rsidR="00580210" w:rsidRDefault="00F50974" w:rsidP="005327D7">
      <w:pPr>
        <w:pStyle w:val="NoSpacing"/>
        <w:spacing w:line="480" w:lineRule="auto"/>
        <w:jc w:val="left"/>
        <w:rPr>
          <w:rFonts w:asciiTheme="minorHAnsi" w:hAnsiTheme="minorHAnsi"/>
          <w:sz w:val="24"/>
        </w:rPr>
      </w:pPr>
      <w:r w:rsidRPr="005327D7">
        <w:rPr>
          <w:rFonts w:asciiTheme="minorHAnsi" w:hAnsiTheme="minorHAnsi"/>
          <w:sz w:val="24"/>
        </w:rPr>
        <w:t>Of</w:t>
      </w:r>
      <w:r w:rsidR="00E80CF4" w:rsidRPr="005327D7">
        <w:rPr>
          <w:rFonts w:asciiTheme="minorHAnsi" w:hAnsiTheme="minorHAnsi"/>
          <w:sz w:val="24"/>
        </w:rPr>
        <w:t xml:space="preserve"> </w:t>
      </w:r>
      <w:r w:rsidR="00741E30" w:rsidRPr="005327D7">
        <w:rPr>
          <w:rFonts w:asciiTheme="minorHAnsi" w:hAnsiTheme="minorHAnsi"/>
          <w:sz w:val="24"/>
        </w:rPr>
        <w:t>332 participants</w:t>
      </w:r>
      <w:r w:rsidR="008C4F91" w:rsidRPr="005327D7">
        <w:rPr>
          <w:rFonts w:asciiTheme="minorHAnsi" w:hAnsiTheme="minorHAnsi"/>
          <w:sz w:val="24"/>
        </w:rPr>
        <w:t xml:space="preserve"> </w:t>
      </w:r>
      <w:r w:rsidR="006D6C9B" w:rsidRPr="005327D7">
        <w:rPr>
          <w:rFonts w:asciiTheme="minorHAnsi" w:hAnsiTheme="minorHAnsi"/>
          <w:sz w:val="24"/>
        </w:rPr>
        <w:t xml:space="preserve">screened, </w:t>
      </w:r>
      <w:r w:rsidR="00AA787B" w:rsidRPr="005327D7">
        <w:rPr>
          <w:rFonts w:asciiTheme="minorHAnsi" w:hAnsiTheme="minorHAnsi"/>
          <w:sz w:val="24"/>
        </w:rPr>
        <w:t>attending</w:t>
      </w:r>
      <w:r w:rsidR="00DD18B8" w:rsidRPr="005327D7">
        <w:rPr>
          <w:rFonts w:asciiTheme="minorHAnsi" w:hAnsiTheme="minorHAnsi"/>
          <w:sz w:val="24"/>
        </w:rPr>
        <w:t xml:space="preserve"> 14</w:t>
      </w:r>
      <w:r w:rsidR="00BE679C" w:rsidRPr="005327D7">
        <w:rPr>
          <w:rFonts w:asciiTheme="minorHAnsi" w:hAnsiTheme="minorHAnsi"/>
          <w:sz w:val="24"/>
        </w:rPr>
        <w:t xml:space="preserve"> </w:t>
      </w:r>
      <w:r w:rsidRPr="005327D7">
        <w:rPr>
          <w:rFonts w:asciiTheme="minorHAnsi" w:hAnsiTheme="minorHAnsi"/>
          <w:sz w:val="24"/>
        </w:rPr>
        <w:t xml:space="preserve">UK </w:t>
      </w:r>
      <w:r w:rsidR="00D806D7" w:rsidRPr="005327D7">
        <w:rPr>
          <w:rFonts w:asciiTheme="minorHAnsi" w:hAnsiTheme="minorHAnsi"/>
          <w:sz w:val="24"/>
        </w:rPr>
        <w:t>sites</w:t>
      </w:r>
      <w:r w:rsidRPr="005327D7">
        <w:rPr>
          <w:rFonts w:asciiTheme="minorHAnsi" w:hAnsiTheme="minorHAnsi"/>
          <w:sz w:val="24"/>
        </w:rPr>
        <w:t>,</w:t>
      </w:r>
      <w:r w:rsidR="004B7F90" w:rsidRPr="005327D7">
        <w:rPr>
          <w:rFonts w:asciiTheme="minorHAnsi" w:hAnsiTheme="minorHAnsi"/>
          <w:sz w:val="24"/>
        </w:rPr>
        <w:t xml:space="preserve"> 242 were not randomised</w:t>
      </w:r>
      <w:r w:rsidR="000005E0" w:rsidRPr="005327D7">
        <w:rPr>
          <w:rFonts w:asciiTheme="minorHAnsi" w:hAnsiTheme="minorHAnsi"/>
          <w:sz w:val="24"/>
        </w:rPr>
        <w:t xml:space="preserve"> because they did not</w:t>
      </w:r>
      <w:r w:rsidR="006D6C9B" w:rsidRPr="005327D7">
        <w:rPr>
          <w:rFonts w:asciiTheme="minorHAnsi" w:hAnsiTheme="minorHAnsi"/>
          <w:sz w:val="24"/>
        </w:rPr>
        <w:t xml:space="preserve"> meet inclusion/exclusion criteria. Sixty </w:t>
      </w:r>
      <w:r w:rsidR="004B7F90" w:rsidRPr="005327D7">
        <w:rPr>
          <w:rFonts w:asciiTheme="minorHAnsi" w:hAnsiTheme="minorHAnsi"/>
          <w:sz w:val="24"/>
        </w:rPr>
        <w:t xml:space="preserve">participants </w:t>
      </w:r>
      <w:r w:rsidR="00E84A8A" w:rsidRPr="005327D7">
        <w:rPr>
          <w:rFonts w:asciiTheme="minorHAnsi" w:hAnsiTheme="minorHAnsi"/>
          <w:sz w:val="24"/>
        </w:rPr>
        <w:t xml:space="preserve">(Table 1) </w:t>
      </w:r>
      <w:r w:rsidR="004B7F90" w:rsidRPr="005327D7">
        <w:rPr>
          <w:rFonts w:asciiTheme="minorHAnsi" w:hAnsiTheme="minorHAnsi"/>
          <w:sz w:val="24"/>
        </w:rPr>
        <w:t xml:space="preserve">were randomised to adalimumab and 30 to placebo </w:t>
      </w:r>
      <w:r w:rsidR="005F544F" w:rsidRPr="005327D7">
        <w:rPr>
          <w:rFonts w:asciiTheme="minorHAnsi" w:hAnsiTheme="minorHAnsi"/>
          <w:sz w:val="24"/>
        </w:rPr>
        <w:t xml:space="preserve">(Figure </w:t>
      </w:r>
      <w:r w:rsidR="00B632A6" w:rsidRPr="005327D7">
        <w:rPr>
          <w:rFonts w:asciiTheme="minorHAnsi" w:hAnsiTheme="minorHAnsi"/>
          <w:sz w:val="24"/>
        </w:rPr>
        <w:t>S</w:t>
      </w:r>
      <w:r w:rsidR="005F544F" w:rsidRPr="005327D7">
        <w:rPr>
          <w:rFonts w:asciiTheme="minorHAnsi" w:hAnsiTheme="minorHAnsi"/>
          <w:sz w:val="24"/>
        </w:rPr>
        <w:t>1</w:t>
      </w:r>
      <w:r w:rsidR="00B632A6" w:rsidRPr="005327D7">
        <w:rPr>
          <w:rFonts w:asciiTheme="minorHAnsi" w:hAnsiTheme="minorHAnsi"/>
          <w:sz w:val="24"/>
        </w:rPr>
        <w:t>, Supplementary Data</w:t>
      </w:r>
      <w:r w:rsidR="005F544F" w:rsidRPr="005327D7">
        <w:rPr>
          <w:rFonts w:asciiTheme="minorHAnsi" w:hAnsiTheme="minorHAnsi"/>
          <w:sz w:val="24"/>
        </w:rPr>
        <w:t xml:space="preserve">). </w:t>
      </w:r>
      <w:r w:rsidRPr="005327D7">
        <w:rPr>
          <w:rFonts w:asciiTheme="minorHAnsi" w:hAnsiTheme="minorHAnsi"/>
          <w:sz w:val="24"/>
        </w:rPr>
        <w:t>P</w:t>
      </w:r>
      <w:r w:rsidR="00580210" w:rsidRPr="005327D7">
        <w:rPr>
          <w:rFonts w:asciiTheme="minorHAnsi" w:hAnsiTheme="minorHAnsi"/>
          <w:sz w:val="24"/>
        </w:rPr>
        <w:t xml:space="preserve">rimary outcome </w:t>
      </w:r>
      <w:r w:rsidRPr="005327D7">
        <w:rPr>
          <w:rFonts w:asciiTheme="minorHAnsi" w:hAnsiTheme="minorHAnsi"/>
          <w:sz w:val="24"/>
        </w:rPr>
        <w:t xml:space="preserve">data </w:t>
      </w:r>
      <w:r w:rsidR="00580210" w:rsidRPr="005327D7">
        <w:rPr>
          <w:rFonts w:asciiTheme="minorHAnsi" w:hAnsiTheme="minorHAnsi"/>
          <w:sz w:val="24"/>
        </w:rPr>
        <w:t xml:space="preserve">were available for all </w:t>
      </w:r>
      <w:r w:rsidR="006D6C9B" w:rsidRPr="005327D7">
        <w:rPr>
          <w:rFonts w:asciiTheme="minorHAnsi" w:hAnsiTheme="minorHAnsi"/>
          <w:sz w:val="24"/>
        </w:rPr>
        <w:t xml:space="preserve">randomised </w:t>
      </w:r>
      <w:r w:rsidR="00580210" w:rsidRPr="005327D7">
        <w:rPr>
          <w:rFonts w:asciiTheme="minorHAnsi" w:hAnsiTheme="minorHAnsi"/>
          <w:sz w:val="24"/>
        </w:rPr>
        <w:t xml:space="preserve">participants. </w:t>
      </w:r>
    </w:p>
    <w:p w14:paraId="6E7ED4E3" w14:textId="77777777" w:rsidR="005327D7" w:rsidRPr="005327D7" w:rsidRDefault="005327D7" w:rsidP="005327D7">
      <w:pPr>
        <w:pStyle w:val="NoSpacing"/>
      </w:pPr>
    </w:p>
    <w:p w14:paraId="62AA6C81" w14:textId="4BCF0AC7" w:rsidR="000D4123" w:rsidRDefault="00F50974" w:rsidP="005327D7">
      <w:pPr>
        <w:pStyle w:val="NoSpacing"/>
        <w:spacing w:line="480" w:lineRule="auto"/>
        <w:jc w:val="left"/>
        <w:rPr>
          <w:rFonts w:asciiTheme="minorHAnsi" w:hAnsiTheme="minorHAnsi"/>
          <w:sz w:val="24"/>
        </w:rPr>
      </w:pPr>
      <w:r w:rsidRPr="005327D7">
        <w:rPr>
          <w:rFonts w:asciiTheme="minorHAnsi" w:hAnsiTheme="minorHAnsi"/>
          <w:sz w:val="24"/>
        </w:rPr>
        <w:t>N</w:t>
      </w:r>
      <w:r w:rsidR="000D4123" w:rsidRPr="005327D7">
        <w:rPr>
          <w:rFonts w:asciiTheme="minorHAnsi" w:hAnsiTheme="minorHAnsi"/>
          <w:sz w:val="24"/>
        </w:rPr>
        <w:t xml:space="preserve">ine </w:t>
      </w:r>
      <w:r w:rsidR="00420878" w:rsidRPr="005327D7">
        <w:rPr>
          <w:rFonts w:asciiTheme="minorHAnsi" w:hAnsiTheme="minorHAnsi"/>
          <w:sz w:val="24"/>
        </w:rPr>
        <w:t xml:space="preserve">(15%) adalimumab-treated patients </w:t>
      </w:r>
      <w:r w:rsidR="00E84A8A" w:rsidRPr="005327D7">
        <w:rPr>
          <w:rFonts w:asciiTheme="minorHAnsi" w:hAnsiTheme="minorHAnsi"/>
          <w:sz w:val="24"/>
        </w:rPr>
        <w:t xml:space="preserve">and seven (23%) placebo-treated patients </w:t>
      </w:r>
      <w:r w:rsidR="00420878" w:rsidRPr="005327D7">
        <w:rPr>
          <w:rFonts w:asciiTheme="minorHAnsi" w:hAnsiTheme="minorHAnsi"/>
          <w:sz w:val="24"/>
        </w:rPr>
        <w:t>discontinued the trial intervention for reasons other than treatment failure</w:t>
      </w:r>
      <w:r w:rsidR="00E84A8A" w:rsidRPr="005327D7">
        <w:rPr>
          <w:rFonts w:asciiTheme="minorHAnsi" w:hAnsiTheme="minorHAnsi"/>
          <w:sz w:val="24"/>
        </w:rPr>
        <w:t xml:space="preserve"> (see </w:t>
      </w:r>
      <w:r w:rsidR="004F0F5E" w:rsidRPr="005327D7">
        <w:rPr>
          <w:rFonts w:asciiTheme="minorHAnsi" w:hAnsiTheme="minorHAnsi"/>
          <w:sz w:val="24"/>
        </w:rPr>
        <w:t xml:space="preserve">Figure </w:t>
      </w:r>
      <w:r w:rsidR="00B632A6" w:rsidRPr="005327D7">
        <w:rPr>
          <w:rFonts w:asciiTheme="minorHAnsi" w:hAnsiTheme="minorHAnsi"/>
          <w:sz w:val="24"/>
        </w:rPr>
        <w:t>S</w:t>
      </w:r>
      <w:r w:rsidR="004F0F5E" w:rsidRPr="005327D7">
        <w:rPr>
          <w:rFonts w:asciiTheme="minorHAnsi" w:hAnsiTheme="minorHAnsi"/>
          <w:sz w:val="24"/>
        </w:rPr>
        <w:t>1</w:t>
      </w:r>
      <w:r w:rsidR="00E84A8A" w:rsidRPr="005327D7">
        <w:rPr>
          <w:rFonts w:asciiTheme="minorHAnsi" w:hAnsiTheme="minorHAnsi"/>
          <w:sz w:val="24"/>
        </w:rPr>
        <w:t>)</w:t>
      </w:r>
      <w:r w:rsidR="000D4123" w:rsidRPr="005327D7">
        <w:rPr>
          <w:rFonts w:asciiTheme="minorHAnsi" w:hAnsiTheme="minorHAnsi"/>
          <w:sz w:val="24"/>
        </w:rPr>
        <w:t>. Seven of the</w:t>
      </w:r>
      <w:r w:rsidR="00E84A8A" w:rsidRPr="005327D7">
        <w:rPr>
          <w:rFonts w:asciiTheme="minorHAnsi" w:hAnsiTheme="minorHAnsi"/>
          <w:sz w:val="24"/>
        </w:rPr>
        <w:t>se</w:t>
      </w:r>
      <w:r w:rsidR="000D4123" w:rsidRPr="005327D7">
        <w:rPr>
          <w:rFonts w:asciiTheme="minorHAnsi" w:hAnsiTheme="minorHAnsi"/>
          <w:sz w:val="24"/>
        </w:rPr>
        <w:t xml:space="preserve"> adalimumab</w:t>
      </w:r>
      <w:r w:rsidRPr="005327D7">
        <w:rPr>
          <w:rFonts w:asciiTheme="minorHAnsi" w:hAnsiTheme="minorHAnsi"/>
          <w:sz w:val="24"/>
        </w:rPr>
        <w:t xml:space="preserve">-treated participants </w:t>
      </w:r>
      <w:r w:rsidR="00E84A8A" w:rsidRPr="005327D7">
        <w:rPr>
          <w:rFonts w:asciiTheme="minorHAnsi" w:hAnsiTheme="minorHAnsi"/>
          <w:sz w:val="24"/>
        </w:rPr>
        <w:t>and six of these placebo-treated participants agreed to be subsequently followed</w:t>
      </w:r>
      <w:r w:rsidR="000D4123" w:rsidRPr="005327D7">
        <w:rPr>
          <w:rFonts w:asciiTheme="minorHAnsi" w:hAnsiTheme="minorHAnsi"/>
          <w:sz w:val="24"/>
        </w:rPr>
        <w:t xml:space="preserve">. </w:t>
      </w:r>
    </w:p>
    <w:p w14:paraId="5DA91EE7" w14:textId="77777777" w:rsidR="005327D7" w:rsidRPr="005327D7" w:rsidRDefault="005327D7" w:rsidP="005327D7">
      <w:pPr>
        <w:pStyle w:val="NoSpacing"/>
      </w:pPr>
    </w:p>
    <w:p w14:paraId="3F116BAD" w14:textId="01C49B1A" w:rsidR="00747917" w:rsidRPr="005327D7" w:rsidRDefault="005327D7" w:rsidP="005327D7">
      <w:pPr>
        <w:pStyle w:val="NoSpacing"/>
        <w:spacing w:line="480" w:lineRule="auto"/>
        <w:jc w:val="left"/>
        <w:rPr>
          <w:rFonts w:asciiTheme="minorHAnsi" w:hAnsiTheme="minorHAnsi"/>
          <w:b/>
          <w:sz w:val="24"/>
        </w:rPr>
      </w:pPr>
      <w:r w:rsidRPr="005327D7">
        <w:rPr>
          <w:rFonts w:asciiTheme="minorHAnsi" w:hAnsiTheme="minorHAnsi"/>
          <w:b/>
          <w:sz w:val="24"/>
        </w:rPr>
        <w:t>Treatment Failure</w:t>
      </w:r>
    </w:p>
    <w:p w14:paraId="7264334C" w14:textId="59A9AA6B" w:rsidR="00CA314E" w:rsidRPr="005327D7" w:rsidRDefault="00E84A8A" w:rsidP="005327D7">
      <w:pPr>
        <w:pStyle w:val="NoSpacing"/>
        <w:spacing w:line="480" w:lineRule="auto"/>
        <w:jc w:val="left"/>
        <w:rPr>
          <w:rFonts w:asciiTheme="minorHAnsi" w:hAnsiTheme="minorHAnsi"/>
          <w:color w:val="000000"/>
          <w:sz w:val="24"/>
        </w:rPr>
      </w:pPr>
      <w:r w:rsidRPr="005327D7">
        <w:rPr>
          <w:rFonts w:asciiTheme="minorHAnsi" w:hAnsiTheme="minorHAnsi"/>
          <w:sz w:val="24"/>
        </w:rPr>
        <w:t>The</w:t>
      </w:r>
      <w:r w:rsidR="0021489B" w:rsidRPr="005327D7">
        <w:rPr>
          <w:rFonts w:asciiTheme="minorHAnsi" w:hAnsiTheme="minorHAnsi"/>
          <w:sz w:val="24"/>
        </w:rPr>
        <w:t xml:space="preserve"> </w:t>
      </w:r>
      <w:r w:rsidR="00FB501E" w:rsidRPr="005327D7">
        <w:rPr>
          <w:rFonts w:asciiTheme="minorHAnsi" w:hAnsiTheme="minorHAnsi"/>
          <w:sz w:val="24"/>
        </w:rPr>
        <w:t>addition of a</w:t>
      </w:r>
      <w:r w:rsidR="000D4123" w:rsidRPr="005327D7">
        <w:rPr>
          <w:rFonts w:asciiTheme="minorHAnsi" w:hAnsiTheme="minorHAnsi"/>
          <w:sz w:val="24"/>
        </w:rPr>
        <w:t xml:space="preserve">dalimumab </w:t>
      </w:r>
      <w:r w:rsidR="00FB501E" w:rsidRPr="005327D7">
        <w:rPr>
          <w:rFonts w:asciiTheme="minorHAnsi" w:hAnsiTheme="minorHAnsi"/>
          <w:sz w:val="24"/>
        </w:rPr>
        <w:t xml:space="preserve">to </w:t>
      </w:r>
      <w:r w:rsidR="000D4123" w:rsidRPr="005327D7">
        <w:rPr>
          <w:rFonts w:asciiTheme="minorHAnsi" w:hAnsiTheme="minorHAnsi"/>
          <w:sz w:val="24"/>
        </w:rPr>
        <w:t xml:space="preserve">MTX significantly delayed the time to treatment failure compared to placebo </w:t>
      </w:r>
      <w:r w:rsidR="0021489B" w:rsidRPr="005327D7">
        <w:rPr>
          <w:rFonts w:asciiTheme="minorHAnsi" w:hAnsiTheme="minorHAnsi"/>
          <w:sz w:val="24"/>
        </w:rPr>
        <w:t>(</w:t>
      </w:r>
      <w:proofErr w:type="spellStart"/>
      <w:r w:rsidR="0021489B" w:rsidRPr="005327D7">
        <w:rPr>
          <w:rFonts w:asciiTheme="minorHAnsi" w:hAnsiTheme="minorHAnsi"/>
          <w:sz w:val="24"/>
        </w:rPr>
        <w:t>logrank</w:t>
      </w:r>
      <w:proofErr w:type="spellEnd"/>
      <w:r w:rsidR="0021489B" w:rsidRPr="005327D7">
        <w:rPr>
          <w:rFonts w:asciiTheme="minorHAnsi" w:hAnsiTheme="minorHAnsi"/>
          <w:sz w:val="24"/>
        </w:rPr>
        <w:t xml:space="preserve"> p-value p&lt;0.0</w:t>
      </w:r>
      <w:r w:rsidR="002E0E37" w:rsidRPr="005327D7">
        <w:rPr>
          <w:rFonts w:asciiTheme="minorHAnsi" w:hAnsiTheme="minorHAnsi"/>
          <w:sz w:val="24"/>
        </w:rPr>
        <w:t>0</w:t>
      </w:r>
      <w:r w:rsidR="0021489B" w:rsidRPr="005327D7">
        <w:rPr>
          <w:rFonts w:asciiTheme="minorHAnsi" w:hAnsiTheme="minorHAnsi"/>
          <w:sz w:val="24"/>
        </w:rPr>
        <w:t>01; HR 0.25</w:t>
      </w:r>
      <w:r w:rsidR="00A15ED1" w:rsidRPr="005327D7">
        <w:rPr>
          <w:rFonts w:asciiTheme="minorHAnsi" w:hAnsiTheme="minorHAnsi"/>
          <w:sz w:val="24"/>
        </w:rPr>
        <w:t>,</w:t>
      </w:r>
      <w:r w:rsidR="0021489B" w:rsidRPr="005327D7">
        <w:rPr>
          <w:rFonts w:asciiTheme="minorHAnsi" w:hAnsiTheme="minorHAnsi"/>
          <w:sz w:val="24"/>
        </w:rPr>
        <w:t xml:space="preserve"> 95%CI 0.12</w:t>
      </w:r>
      <w:r w:rsidR="00BF3CDD" w:rsidRPr="005327D7">
        <w:rPr>
          <w:rFonts w:asciiTheme="minorHAnsi" w:hAnsiTheme="minorHAnsi"/>
          <w:sz w:val="24"/>
        </w:rPr>
        <w:t>,</w:t>
      </w:r>
      <w:r w:rsidR="0021489B" w:rsidRPr="005327D7">
        <w:rPr>
          <w:rFonts w:asciiTheme="minorHAnsi" w:hAnsiTheme="minorHAnsi"/>
          <w:sz w:val="24"/>
        </w:rPr>
        <w:t>0.</w:t>
      </w:r>
      <w:proofErr w:type="gramStart"/>
      <w:r w:rsidR="0021489B" w:rsidRPr="005327D7">
        <w:rPr>
          <w:rFonts w:asciiTheme="minorHAnsi" w:hAnsiTheme="minorHAnsi"/>
          <w:sz w:val="24"/>
        </w:rPr>
        <w:t>49)</w:t>
      </w:r>
      <w:r w:rsidRPr="005327D7">
        <w:rPr>
          <w:rFonts w:asciiTheme="minorHAnsi" w:hAnsiTheme="minorHAnsi"/>
          <w:sz w:val="24"/>
        </w:rPr>
        <w:t>(</w:t>
      </w:r>
      <w:proofErr w:type="gramEnd"/>
      <w:r w:rsidRPr="005327D7">
        <w:rPr>
          <w:rFonts w:asciiTheme="minorHAnsi" w:hAnsiTheme="minorHAnsi"/>
          <w:sz w:val="24"/>
        </w:rPr>
        <w:t xml:space="preserve">Figure </w:t>
      </w:r>
      <w:r w:rsidR="00B632A6" w:rsidRPr="005327D7">
        <w:rPr>
          <w:rFonts w:asciiTheme="minorHAnsi" w:hAnsiTheme="minorHAnsi"/>
          <w:sz w:val="24"/>
        </w:rPr>
        <w:t>1</w:t>
      </w:r>
      <w:r w:rsidRPr="005327D7">
        <w:rPr>
          <w:rFonts w:asciiTheme="minorHAnsi" w:hAnsiTheme="minorHAnsi"/>
          <w:sz w:val="24"/>
        </w:rPr>
        <w:t>A)</w:t>
      </w:r>
      <w:r w:rsidR="000D4123" w:rsidRPr="005327D7">
        <w:rPr>
          <w:rFonts w:asciiTheme="minorHAnsi" w:hAnsiTheme="minorHAnsi"/>
          <w:sz w:val="24"/>
        </w:rPr>
        <w:t xml:space="preserve">. </w:t>
      </w:r>
      <w:r w:rsidR="006802DB" w:rsidRPr="005327D7">
        <w:rPr>
          <w:rFonts w:asciiTheme="minorHAnsi" w:hAnsiTheme="minorHAnsi"/>
          <w:sz w:val="24"/>
        </w:rPr>
        <w:t xml:space="preserve"> Median time to treatment failure was 2</w:t>
      </w:r>
      <w:r w:rsidR="00E860C4" w:rsidRPr="005327D7">
        <w:rPr>
          <w:rFonts w:asciiTheme="minorHAnsi" w:hAnsiTheme="minorHAnsi"/>
          <w:sz w:val="24"/>
        </w:rPr>
        <w:t>4.1</w:t>
      </w:r>
      <w:r w:rsidR="003729DC" w:rsidRPr="005327D7">
        <w:rPr>
          <w:rFonts w:asciiTheme="minorHAnsi" w:hAnsiTheme="minorHAnsi"/>
          <w:sz w:val="24"/>
        </w:rPr>
        <w:t>0</w:t>
      </w:r>
      <w:r w:rsidR="006802DB" w:rsidRPr="005327D7">
        <w:rPr>
          <w:rFonts w:asciiTheme="minorHAnsi" w:hAnsiTheme="minorHAnsi"/>
          <w:sz w:val="24"/>
        </w:rPr>
        <w:t xml:space="preserve"> weeks (95%CI 12.</w:t>
      </w:r>
      <w:r w:rsidR="00E860C4" w:rsidRPr="005327D7">
        <w:rPr>
          <w:rFonts w:asciiTheme="minorHAnsi" w:hAnsiTheme="minorHAnsi"/>
          <w:sz w:val="24"/>
        </w:rPr>
        <w:t>4</w:t>
      </w:r>
      <w:r w:rsidR="003729DC" w:rsidRPr="005327D7">
        <w:rPr>
          <w:rFonts w:asciiTheme="minorHAnsi" w:hAnsiTheme="minorHAnsi"/>
          <w:sz w:val="24"/>
        </w:rPr>
        <w:t>0</w:t>
      </w:r>
      <w:r w:rsidR="00BF3CDD" w:rsidRPr="005327D7">
        <w:rPr>
          <w:rFonts w:asciiTheme="minorHAnsi" w:hAnsiTheme="minorHAnsi"/>
          <w:sz w:val="24"/>
        </w:rPr>
        <w:t>,</w:t>
      </w:r>
      <w:r w:rsidR="006802DB" w:rsidRPr="005327D7">
        <w:rPr>
          <w:rFonts w:asciiTheme="minorHAnsi" w:hAnsiTheme="minorHAnsi"/>
          <w:sz w:val="24"/>
        </w:rPr>
        <w:t>26</w:t>
      </w:r>
      <w:r w:rsidR="003729DC" w:rsidRPr="005327D7">
        <w:rPr>
          <w:rFonts w:asciiTheme="minorHAnsi" w:hAnsiTheme="minorHAnsi"/>
          <w:sz w:val="24"/>
        </w:rPr>
        <w:t>.00</w:t>
      </w:r>
      <w:r w:rsidR="006802DB" w:rsidRPr="005327D7">
        <w:rPr>
          <w:rFonts w:asciiTheme="minorHAnsi" w:hAnsiTheme="minorHAnsi"/>
          <w:sz w:val="24"/>
        </w:rPr>
        <w:t xml:space="preserve">) in the placebo group </w:t>
      </w:r>
      <w:r w:rsidR="006802DB" w:rsidRPr="005327D7">
        <w:rPr>
          <w:rFonts w:asciiTheme="minorHAnsi" w:hAnsiTheme="minorHAnsi"/>
          <w:sz w:val="24"/>
        </w:rPr>
        <w:lastRenderedPageBreak/>
        <w:t xml:space="preserve">and not reached in the adalimumab group within the 18-month treatment period (Figure </w:t>
      </w:r>
      <w:r w:rsidR="00B632A6" w:rsidRPr="005327D7">
        <w:rPr>
          <w:rFonts w:asciiTheme="minorHAnsi" w:hAnsiTheme="minorHAnsi"/>
          <w:sz w:val="24"/>
        </w:rPr>
        <w:t>1A</w:t>
      </w:r>
      <w:r w:rsidR="006802DB" w:rsidRPr="005327D7">
        <w:rPr>
          <w:rFonts w:asciiTheme="minorHAnsi" w:hAnsiTheme="minorHAnsi"/>
          <w:sz w:val="24"/>
        </w:rPr>
        <w:t>).</w:t>
      </w:r>
      <w:r w:rsidR="004823F2" w:rsidRPr="005327D7">
        <w:rPr>
          <w:rFonts w:asciiTheme="minorHAnsi" w:hAnsiTheme="minorHAnsi"/>
          <w:sz w:val="24"/>
        </w:rPr>
        <w:t xml:space="preserve"> A significant</w:t>
      </w:r>
      <w:r w:rsidR="009C3A10" w:rsidRPr="005327D7">
        <w:rPr>
          <w:rFonts w:asciiTheme="minorHAnsi" w:hAnsiTheme="minorHAnsi"/>
          <w:sz w:val="24"/>
        </w:rPr>
        <w:t>ly</w:t>
      </w:r>
      <w:r w:rsidR="004823F2" w:rsidRPr="005327D7">
        <w:rPr>
          <w:rFonts w:asciiTheme="minorHAnsi" w:hAnsiTheme="minorHAnsi"/>
          <w:sz w:val="24"/>
        </w:rPr>
        <w:t xml:space="preserve"> </w:t>
      </w:r>
      <w:r w:rsidR="00F639FB" w:rsidRPr="005327D7">
        <w:rPr>
          <w:rFonts w:asciiTheme="minorHAnsi" w:hAnsiTheme="minorHAnsi"/>
          <w:sz w:val="24"/>
        </w:rPr>
        <w:t>higher proportion</w:t>
      </w:r>
      <w:r w:rsidR="004823F2" w:rsidRPr="005327D7">
        <w:rPr>
          <w:rFonts w:asciiTheme="minorHAnsi" w:hAnsiTheme="minorHAnsi"/>
          <w:sz w:val="24"/>
        </w:rPr>
        <w:t xml:space="preserve"> of patients treated with placebo 18/30 (60%) failed treatment compared to those treated with adalimumab (16/60, 27%; p=0.002; relative risk 0.4</w:t>
      </w:r>
      <w:r w:rsidR="003729DC" w:rsidRPr="005327D7">
        <w:rPr>
          <w:rFonts w:asciiTheme="minorHAnsi" w:hAnsiTheme="minorHAnsi"/>
          <w:sz w:val="24"/>
        </w:rPr>
        <w:t>0</w:t>
      </w:r>
      <w:r w:rsidR="004823F2" w:rsidRPr="005327D7">
        <w:rPr>
          <w:rFonts w:asciiTheme="minorHAnsi" w:hAnsiTheme="minorHAnsi"/>
          <w:sz w:val="24"/>
        </w:rPr>
        <w:t xml:space="preserve"> (0.22, 0.73</w:t>
      </w:r>
      <w:proofErr w:type="gramStart"/>
      <w:r w:rsidR="004823F2" w:rsidRPr="005327D7">
        <w:rPr>
          <w:rFonts w:asciiTheme="minorHAnsi" w:hAnsiTheme="minorHAnsi"/>
          <w:sz w:val="24"/>
        </w:rPr>
        <w:t>))</w:t>
      </w:r>
      <w:r w:rsidRPr="005327D7">
        <w:rPr>
          <w:rFonts w:asciiTheme="minorHAnsi" w:hAnsiTheme="minorHAnsi"/>
          <w:sz w:val="24"/>
        </w:rPr>
        <w:t>(</w:t>
      </w:r>
      <w:proofErr w:type="gramEnd"/>
      <w:r w:rsidR="00A15ED1" w:rsidRPr="005327D7">
        <w:rPr>
          <w:rFonts w:asciiTheme="minorHAnsi" w:hAnsiTheme="minorHAnsi"/>
          <w:sz w:val="24"/>
        </w:rPr>
        <w:t>Table S3 and S4</w:t>
      </w:r>
      <w:r w:rsidRPr="005327D7">
        <w:rPr>
          <w:rFonts w:asciiTheme="minorHAnsi" w:hAnsiTheme="minorHAnsi"/>
          <w:sz w:val="24"/>
        </w:rPr>
        <w:t>)</w:t>
      </w:r>
      <w:r w:rsidR="00A15ED1" w:rsidRPr="005327D7">
        <w:rPr>
          <w:rFonts w:asciiTheme="minorHAnsi" w:hAnsiTheme="minorHAnsi"/>
          <w:sz w:val="24"/>
        </w:rPr>
        <w:t>.</w:t>
      </w:r>
      <w:r w:rsidRPr="005327D7">
        <w:rPr>
          <w:rFonts w:asciiTheme="minorHAnsi" w:hAnsiTheme="minorHAnsi"/>
          <w:color w:val="000000"/>
          <w:sz w:val="24"/>
        </w:rPr>
        <w:t xml:space="preserve"> </w:t>
      </w:r>
      <w:r w:rsidR="008F28E7" w:rsidRPr="005327D7">
        <w:rPr>
          <w:rFonts w:asciiTheme="minorHAnsi" w:hAnsiTheme="minorHAnsi"/>
          <w:color w:val="000000"/>
          <w:sz w:val="24"/>
        </w:rPr>
        <w:t>Nine s</w:t>
      </w:r>
      <w:r w:rsidR="00EF0F6B" w:rsidRPr="005327D7">
        <w:rPr>
          <w:rFonts w:asciiTheme="minorHAnsi" w:hAnsiTheme="minorHAnsi"/>
          <w:color w:val="000000"/>
          <w:sz w:val="24"/>
        </w:rPr>
        <w:t>ensitivity analyses</w:t>
      </w:r>
      <w:r w:rsidR="006802DB" w:rsidRPr="005327D7">
        <w:rPr>
          <w:rFonts w:asciiTheme="minorHAnsi" w:hAnsiTheme="minorHAnsi"/>
          <w:color w:val="000000"/>
          <w:sz w:val="24"/>
        </w:rPr>
        <w:t xml:space="preserve"> </w:t>
      </w:r>
      <w:r w:rsidR="00EF0F6B" w:rsidRPr="005327D7">
        <w:rPr>
          <w:rFonts w:asciiTheme="minorHAnsi" w:hAnsiTheme="minorHAnsi"/>
          <w:color w:val="000000"/>
          <w:sz w:val="24"/>
        </w:rPr>
        <w:t>confirmed</w:t>
      </w:r>
      <w:r w:rsidR="00C47645" w:rsidRPr="005327D7">
        <w:rPr>
          <w:rFonts w:asciiTheme="minorHAnsi" w:hAnsiTheme="minorHAnsi"/>
          <w:color w:val="000000"/>
          <w:sz w:val="24"/>
        </w:rPr>
        <w:t xml:space="preserve"> </w:t>
      </w:r>
      <w:r w:rsidR="00EF0F6B" w:rsidRPr="005327D7">
        <w:rPr>
          <w:rFonts w:asciiTheme="minorHAnsi" w:hAnsiTheme="minorHAnsi"/>
          <w:color w:val="000000"/>
          <w:sz w:val="24"/>
        </w:rPr>
        <w:t xml:space="preserve">the </w:t>
      </w:r>
      <w:r w:rsidR="00F639FB" w:rsidRPr="005327D7">
        <w:rPr>
          <w:rFonts w:asciiTheme="minorHAnsi" w:hAnsiTheme="minorHAnsi"/>
          <w:color w:val="000000"/>
          <w:sz w:val="24"/>
        </w:rPr>
        <w:t>conclusion</w:t>
      </w:r>
      <w:r w:rsidR="00EF0F6B" w:rsidRPr="005327D7">
        <w:rPr>
          <w:rFonts w:asciiTheme="minorHAnsi" w:hAnsiTheme="minorHAnsi"/>
          <w:color w:val="000000"/>
          <w:sz w:val="24"/>
        </w:rPr>
        <w:t xml:space="preserve"> </w:t>
      </w:r>
      <w:r w:rsidR="00970A2C" w:rsidRPr="005327D7">
        <w:rPr>
          <w:rFonts w:asciiTheme="minorHAnsi" w:hAnsiTheme="minorHAnsi"/>
          <w:color w:val="000000"/>
          <w:sz w:val="24"/>
        </w:rPr>
        <w:t>found</w:t>
      </w:r>
      <w:r w:rsidR="00843375" w:rsidRPr="005327D7">
        <w:rPr>
          <w:rFonts w:asciiTheme="minorHAnsi" w:hAnsiTheme="minorHAnsi"/>
          <w:color w:val="000000"/>
          <w:sz w:val="24"/>
        </w:rPr>
        <w:t xml:space="preserve"> in the primary analysis</w:t>
      </w:r>
      <w:r w:rsidR="004B7F90" w:rsidRPr="005327D7">
        <w:rPr>
          <w:rFonts w:asciiTheme="minorHAnsi" w:hAnsiTheme="minorHAnsi"/>
          <w:color w:val="000000"/>
          <w:sz w:val="24"/>
        </w:rPr>
        <w:t xml:space="preserve"> (</w:t>
      </w:r>
      <w:r w:rsidR="008B4A9F" w:rsidRPr="005327D7">
        <w:rPr>
          <w:rFonts w:asciiTheme="minorHAnsi" w:hAnsiTheme="minorHAnsi"/>
          <w:color w:val="000000"/>
          <w:sz w:val="24"/>
        </w:rPr>
        <w:t>Table S5</w:t>
      </w:r>
      <w:r w:rsidR="004B7F90" w:rsidRPr="005327D7">
        <w:rPr>
          <w:rFonts w:asciiTheme="minorHAnsi" w:hAnsiTheme="minorHAnsi"/>
          <w:color w:val="000000"/>
          <w:sz w:val="24"/>
        </w:rPr>
        <w:t>)</w:t>
      </w:r>
      <w:r w:rsidR="00843375" w:rsidRPr="005327D7">
        <w:rPr>
          <w:rFonts w:asciiTheme="minorHAnsi" w:hAnsiTheme="minorHAnsi"/>
          <w:color w:val="000000"/>
          <w:sz w:val="24"/>
        </w:rPr>
        <w:t xml:space="preserve">. </w:t>
      </w:r>
    </w:p>
    <w:p w14:paraId="624FE029" w14:textId="77777777" w:rsidR="005327D7" w:rsidRPr="005327D7" w:rsidRDefault="005327D7" w:rsidP="005327D7">
      <w:pPr>
        <w:pStyle w:val="NoSpacing"/>
      </w:pPr>
    </w:p>
    <w:p w14:paraId="76199B73" w14:textId="4A16A8A0" w:rsidR="00747917" w:rsidRPr="005327D7" w:rsidRDefault="005327D7" w:rsidP="005327D7">
      <w:pPr>
        <w:pStyle w:val="NoSpacing"/>
        <w:spacing w:line="480" w:lineRule="auto"/>
        <w:jc w:val="left"/>
        <w:rPr>
          <w:rFonts w:asciiTheme="minorHAnsi" w:hAnsiTheme="minorHAnsi"/>
          <w:b/>
          <w:sz w:val="24"/>
        </w:rPr>
      </w:pPr>
      <w:r w:rsidRPr="005327D7">
        <w:rPr>
          <w:rFonts w:asciiTheme="minorHAnsi" w:hAnsiTheme="minorHAnsi"/>
          <w:b/>
          <w:sz w:val="24"/>
        </w:rPr>
        <w:t>Safety and Adverse Events</w:t>
      </w:r>
    </w:p>
    <w:p w14:paraId="343821DF" w14:textId="1302BD9A" w:rsidR="004556AB" w:rsidRPr="005327D7" w:rsidRDefault="009C3A10" w:rsidP="005327D7">
      <w:pPr>
        <w:pStyle w:val="NoSpacing"/>
        <w:spacing w:line="480" w:lineRule="auto"/>
        <w:jc w:val="left"/>
        <w:rPr>
          <w:rFonts w:asciiTheme="minorHAnsi" w:hAnsiTheme="minorHAnsi"/>
          <w:sz w:val="24"/>
        </w:rPr>
      </w:pPr>
      <w:r w:rsidRPr="005327D7">
        <w:rPr>
          <w:rFonts w:asciiTheme="minorHAnsi" w:hAnsiTheme="minorHAnsi"/>
          <w:sz w:val="24"/>
        </w:rPr>
        <w:t>Summary data of AEs</w:t>
      </w:r>
      <w:r w:rsidR="00817062" w:rsidRPr="005327D7">
        <w:rPr>
          <w:rFonts w:asciiTheme="minorHAnsi" w:hAnsiTheme="minorHAnsi"/>
          <w:sz w:val="24"/>
        </w:rPr>
        <w:t xml:space="preserve"> </w:t>
      </w:r>
      <w:r w:rsidR="00914C36" w:rsidRPr="005327D7">
        <w:rPr>
          <w:rFonts w:asciiTheme="minorHAnsi" w:hAnsiTheme="minorHAnsi"/>
          <w:sz w:val="24"/>
        </w:rPr>
        <w:t xml:space="preserve">are listed in Table 2, and </w:t>
      </w:r>
      <w:r w:rsidRPr="005327D7">
        <w:rPr>
          <w:rFonts w:asciiTheme="minorHAnsi" w:hAnsiTheme="minorHAnsi"/>
          <w:sz w:val="24"/>
        </w:rPr>
        <w:t>SAEs</w:t>
      </w:r>
      <w:r w:rsidR="00817062" w:rsidRPr="005327D7">
        <w:rPr>
          <w:rFonts w:asciiTheme="minorHAnsi" w:hAnsiTheme="minorHAnsi"/>
          <w:sz w:val="24"/>
        </w:rPr>
        <w:t xml:space="preserve"> </w:t>
      </w:r>
      <w:r w:rsidR="00914C36" w:rsidRPr="005327D7">
        <w:rPr>
          <w:rFonts w:asciiTheme="minorHAnsi" w:hAnsiTheme="minorHAnsi"/>
          <w:sz w:val="24"/>
        </w:rPr>
        <w:t xml:space="preserve">in Table 3. </w:t>
      </w:r>
      <w:r w:rsidR="00817062" w:rsidRPr="005327D7">
        <w:rPr>
          <w:rFonts w:asciiTheme="minorHAnsi" w:hAnsiTheme="minorHAnsi"/>
          <w:sz w:val="24"/>
        </w:rPr>
        <w:t xml:space="preserve">A </w:t>
      </w:r>
      <w:r w:rsidR="004C3E1C" w:rsidRPr="005327D7">
        <w:rPr>
          <w:rFonts w:asciiTheme="minorHAnsi" w:hAnsiTheme="minorHAnsi"/>
          <w:sz w:val="24"/>
        </w:rPr>
        <w:t xml:space="preserve">total of </w:t>
      </w:r>
      <w:r w:rsidR="004C1C04" w:rsidRPr="005327D7">
        <w:rPr>
          <w:rFonts w:asciiTheme="minorHAnsi" w:hAnsiTheme="minorHAnsi"/>
          <w:sz w:val="24"/>
        </w:rPr>
        <w:t xml:space="preserve">588 </w:t>
      </w:r>
      <w:r w:rsidR="00817062" w:rsidRPr="005327D7">
        <w:rPr>
          <w:rFonts w:asciiTheme="minorHAnsi" w:hAnsiTheme="minorHAnsi"/>
          <w:sz w:val="24"/>
        </w:rPr>
        <w:t xml:space="preserve">AEs were </w:t>
      </w:r>
      <w:r w:rsidR="004C3E1C" w:rsidRPr="005327D7">
        <w:rPr>
          <w:rFonts w:asciiTheme="minorHAnsi" w:hAnsiTheme="minorHAnsi"/>
          <w:sz w:val="24"/>
        </w:rPr>
        <w:t xml:space="preserve">reported in 53 (88%) patients in the adalimumab group and </w:t>
      </w:r>
      <w:r w:rsidR="004C1C04" w:rsidRPr="005327D7">
        <w:rPr>
          <w:rFonts w:asciiTheme="minorHAnsi" w:hAnsiTheme="minorHAnsi"/>
          <w:sz w:val="24"/>
        </w:rPr>
        <w:t xml:space="preserve">103 </w:t>
      </w:r>
      <w:r w:rsidR="00817062" w:rsidRPr="005327D7">
        <w:rPr>
          <w:rFonts w:asciiTheme="minorHAnsi" w:hAnsiTheme="minorHAnsi"/>
          <w:sz w:val="24"/>
        </w:rPr>
        <w:t xml:space="preserve">AEs </w:t>
      </w:r>
      <w:r w:rsidR="004C3E1C" w:rsidRPr="005327D7">
        <w:rPr>
          <w:rFonts w:asciiTheme="minorHAnsi" w:hAnsiTheme="minorHAnsi"/>
          <w:sz w:val="24"/>
        </w:rPr>
        <w:t xml:space="preserve">reported in </w:t>
      </w:r>
      <w:r w:rsidR="004C1C04" w:rsidRPr="005327D7">
        <w:rPr>
          <w:rFonts w:asciiTheme="minorHAnsi" w:hAnsiTheme="minorHAnsi"/>
          <w:sz w:val="24"/>
        </w:rPr>
        <w:t xml:space="preserve">25 </w:t>
      </w:r>
      <w:r w:rsidR="004C3E1C" w:rsidRPr="005327D7">
        <w:rPr>
          <w:rFonts w:asciiTheme="minorHAnsi" w:hAnsiTheme="minorHAnsi"/>
          <w:sz w:val="24"/>
        </w:rPr>
        <w:t>(</w:t>
      </w:r>
      <w:r w:rsidR="004C1C04" w:rsidRPr="005327D7">
        <w:rPr>
          <w:rFonts w:asciiTheme="minorHAnsi" w:hAnsiTheme="minorHAnsi"/>
          <w:sz w:val="24"/>
        </w:rPr>
        <w:t>83</w:t>
      </w:r>
      <w:r w:rsidR="004C3E1C" w:rsidRPr="005327D7">
        <w:rPr>
          <w:rFonts w:asciiTheme="minorHAnsi" w:hAnsiTheme="minorHAnsi"/>
          <w:sz w:val="24"/>
        </w:rPr>
        <w:t>%) patients in the placebo group.</w:t>
      </w:r>
      <w:r w:rsidR="002733A5" w:rsidRPr="005327D7">
        <w:rPr>
          <w:rFonts w:asciiTheme="minorHAnsi" w:hAnsiTheme="minorHAnsi"/>
          <w:sz w:val="24"/>
        </w:rPr>
        <w:t xml:space="preserve"> The rate of </w:t>
      </w:r>
      <w:r w:rsidR="00817062" w:rsidRPr="005327D7">
        <w:rPr>
          <w:rFonts w:asciiTheme="minorHAnsi" w:hAnsiTheme="minorHAnsi"/>
          <w:sz w:val="24"/>
        </w:rPr>
        <w:t xml:space="preserve">SAEs </w:t>
      </w:r>
      <w:r w:rsidR="004944E1" w:rsidRPr="005327D7">
        <w:rPr>
          <w:rFonts w:asciiTheme="minorHAnsi" w:hAnsiTheme="minorHAnsi"/>
          <w:sz w:val="24"/>
        </w:rPr>
        <w:t xml:space="preserve">was </w:t>
      </w:r>
      <w:r w:rsidR="002733A5" w:rsidRPr="005327D7">
        <w:rPr>
          <w:rFonts w:asciiTheme="minorHAnsi" w:hAnsiTheme="minorHAnsi"/>
          <w:sz w:val="24"/>
        </w:rPr>
        <w:t xml:space="preserve">0.29 </w:t>
      </w:r>
      <w:r w:rsidR="004944E1" w:rsidRPr="005327D7">
        <w:rPr>
          <w:rFonts w:asciiTheme="minorHAnsi" w:hAnsiTheme="minorHAnsi"/>
          <w:sz w:val="24"/>
        </w:rPr>
        <w:t>(</w:t>
      </w:r>
      <w:r w:rsidR="00BA0563" w:rsidRPr="005327D7">
        <w:rPr>
          <w:rFonts w:asciiTheme="minorHAnsi" w:hAnsiTheme="minorHAnsi"/>
          <w:sz w:val="24"/>
        </w:rPr>
        <w:t>95% CI</w:t>
      </w:r>
      <w:r w:rsidR="004944E1" w:rsidRPr="005327D7">
        <w:rPr>
          <w:rFonts w:asciiTheme="minorHAnsi" w:hAnsiTheme="minorHAnsi"/>
          <w:sz w:val="24"/>
        </w:rPr>
        <w:t>:</w:t>
      </w:r>
      <w:r w:rsidR="00BA0563" w:rsidRPr="005327D7">
        <w:rPr>
          <w:rFonts w:asciiTheme="minorHAnsi" w:hAnsiTheme="minorHAnsi"/>
          <w:sz w:val="24"/>
        </w:rPr>
        <w:t xml:space="preserve"> 0.15,0.43) </w:t>
      </w:r>
      <w:r w:rsidR="002733A5" w:rsidRPr="005327D7">
        <w:rPr>
          <w:rFonts w:asciiTheme="minorHAnsi" w:hAnsiTheme="minorHAnsi"/>
          <w:sz w:val="24"/>
        </w:rPr>
        <w:t xml:space="preserve">versus 0.19 </w:t>
      </w:r>
      <w:r w:rsidR="00BA0563" w:rsidRPr="005327D7">
        <w:rPr>
          <w:rFonts w:asciiTheme="minorHAnsi" w:hAnsiTheme="minorHAnsi"/>
          <w:sz w:val="24"/>
        </w:rPr>
        <w:t>(</w:t>
      </w:r>
      <w:r w:rsidR="004944E1" w:rsidRPr="005327D7">
        <w:rPr>
          <w:rFonts w:asciiTheme="minorHAnsi" w:hAnsiTheme="minorHAnsi"/>
          <w:sz w:val="24"/>
        </w:rPr>
        <w:t xml:space="preserve">95% CI: </w:t>
      </w:r>
      <w:r w:rsidR="00BA0563" w:rsidRPr="005327D7">
        <w:rPr>
          <w:rFonts w:asciiTheme="minorHAnsi" w:hAnsiTheme="minorHAnsi"/>
          <w:sz w:val="24"/>
        </w:rPr>
        <w:t>0</w:t>
      </w:r>
      <w:r w:rsidR="00E2402C" w:rsidRPr="005327D7">
        <w:rPr>
          <w:rFonts w:asciiTheme="minorHAnsi" w:hAnsiTheme="minorHAnsi"/>
          <w:sz w:val="24"/>
        </w:rPr>
        <w:t>.00</w:t>
      </w:r>
      <w:r w:rsidR="00BA0563" w:rsidRPr="005327D7">
        <w:rPr>
          <w:rFonts w:asciiTheme="minorHAnsi" w:hAnsiTheme="minorHAnsi"/>
          <w:sz w:val="24"/>
        </w:rPr>
        <w:t>,0.4</w:t>
      </w:r>
      <w:r w:rsidR="00E2402C" w:rsidRPr="005327D7">
        <w:rPr>
          <w:rFonts w:asciiTheme="minorHAnsi" w:hAnsiTheme="minorHAnsi"/>
          <w:sz w:val="24"/>
        </w:rPr>
        <w:t>0</w:t>
      </w:r>
      <w:r w:rsidR="00BA0563" w:rsidRPr="005327D7">
        <w:rPr>
          <w:rFonts w:asciiTheme="minorHAnsi" w:hAnsiTheme="minorHAnsi"/>
          <w:sz w:val="24"/>
        </w:rPr>
        <w:t xml:space="preserve">) </w:t>
      </w:r>
      <w:r w:rsidR="002733A5" w:rsidRPr="005327D7">
        <w:rPr>
          <w:rFonts w:asciiTheme="minorHAnsi" w:hAnsiTheme="minorHAnsi"/>
          <w:sz w:val="24"/>
        </w:rPr>
        <w:t>per</w:t>
      </w:r>
      <w:r w:rsidR="00817062" w:rsidRPr="005327D7">
        <w:rPr>
          <w:rFonts w:asciiTheme="minorHAnsi" w:hAnsiTheme="minorHAnsi"/>
          <w:sz w:val="24"/>
        </w:rPr>
        <w:t>-</w:t>
      </w:r>
      <w:r w:rsidR="002733A5" w:rsidRPr="005327D7">
        <w:rPr>
          <w:rFonts w:asciiTheme="minorHAnsi" w:hAnsiTheme="minorHAnsi"/>
          <w:sz w:val="24"/>
        </w:rPr>
        <w:t>person</w:t>
      </w:r>
      <w:r w:rsidR="00817062" w:rsidRPr="005327D7">
        <w:rPr>
          <w:rFonts w:asciiTheme="minorHAnsi" w:hAnsiTheme="minorHAnsi"/>
          <w:sz w:val="24"/>
        </w:rPr>
        <w:t>-</w:t>
      </w:r>
      <w:r w:rsidR="002733A5" w:rsidRPr="005327D7">
        <w:rPr>
          <w:rFonts w:asciiTheme="minorHAnsi" w:hAnsiTheme="minorHAnsi"/>
          <w:sz w:val="24"/>
        </w:rPr>
        <w:t>year</w:t>
      </w:r>
      <w:r w:rsidR="004944E1" w:rsidRPr="005327D7">
        <w:rPr>
          <w:rFonts w:asciiTheme="minorHAnsi" w:hAnsiTheme="minorHAnsi"/>
          <w:sz w:val="24"/>
        </w:rPr>
        <w:t>,</w:t>
      </w:r>
      <w:r w:rsidR="002733A5" w:rsidRPr="005327D7">
        <w:rPr>
          <w:rFonts w:asciiTheme="minorHAnsi" w:hAnsiTheme="minorHAnsi"/>
          <w:sz w:val="24"/>
        </w:rPr>
        <w:t xml:space="preserve"> and </w:t>
      </w:r>
      <w:r w:rsidR="004944E1" w:rsidRPr="005327D7">
        <w:rPr>
          <w:rFonts w:asciiTheme="minorHAnsi" w:hAnsiTheme="minorHAnsi"/>
          <w:sz w:val="24"/>
        </w:rPr>
        <w:t xml:space="preserve">the rate of </w:t>
      </w:r>
      <w:r w:rsidR="00817062" w:rsidRPr="005327D7">
        <w:rPr>
          <w:rFonts w:asciiTheme="minorHAnsi" w:hAnsiTheme="minorHAnsi"/>
          <w:sz w:val="24"/>
        </w:rPr>
        <w:t>AEs</w:t>
      </w:r>
      <w:r w:rsidR="004944E1" w:rsidRPr="005327D7">
        <w:rPr>
          <w:rFonts w:asciiTheme="minorHAnsi" w:hAnsiTheme="minorHAnsi"/>
          <w:sz w:val="24"/>
        </w:rPr>
        <w:t xml:space="preserve"> was </w:t>
      </w:r>
      <w:r w:rsidR="002733A5" w:rsidRPr="005327D7">
        <w:rPr>
          <w:rFonts w:asciiTheme="minorHAnsi" w:hAnsiTheme="minorHAnsi"/>
          <w:sz w:val="24"/>
        </w:rPr>
        <w:t>10.07</w:t>
      </w:r>
      <w:r w:rsidR="00BA0563" w:rsidRPr="005327D7">
        <w:rPr>
          <w:rFonts w:asciiTheme="minorHAnsi" w:hAnsiTheme="minorHAnsi"/>
          <w:sz w:val="24"/>
        </w:rPr>
        <w:t xml:space="preserve"> (</w:t>
      </w:r>
      <w:r w:rsidR="004944E1" w:rsidRPr="005327D7">
        <w:rPr>
          <w:rFonts w:asciiTheme="minorHAnsi" w:hAnsiTheme="minorHAnsi"/>
          <w:sz w:val="24"/>
        </w:rPr>
        <w:t xml:space="preserve">95% CI: </w:t>
      </w:r>
      <w:r w:rsidR="00BA0563" w:rsidRPr="005327D7">
        <w:rPr>
          <w:rFonts w:asciiTheme="minorHAnsi" w:hAnsiTheme="minorHAnsi"/>
          <w:sz w:val="24"/>
        </w:rPr>
        <w:t xml:space="preserve">9.26,10.89) </w:t>
      </w:r>
      <w:r w:rsidR="002733A5" w:rsidRPr="005327D7">
        <w:rPr>
          <w:rFonts w:asciiTheme="minorHAnsi" w:hAnsiTheme="minorHAnsi"/>
          <w:sz w:val="24"/>
        </w:rPr>
        <w:t>versus 6.51</w:t>
      </w:r>
      <w:r w:rsidR="00BA0563" w:rsidRPr="005327D7">
        <w:rPr>
          <w:rFonts w:asciiTheme="minorHAnsi" w:hAnsiTheme="minorHAnsi"/>
          <w:sz w:val="24"/>
        </w:rPr>
        <w:t xml:space="preserve"> (</w:t>
      </w:r>
      <w:r w:rsidR="004944E1" w:rsidRPr="005327D7">
        <w:rPr>
          <w:rFonts w:asciiTheme="minorHAnsi" w:hAnsiTheme="minorHAnsi"/>
          <w:sz w:val="24"/>
        </w:rPr>
        <w:t xml:space="preserve">95% CI: </w:t>
      </w:r>
      <w:r w:rsidR="00BA0563" w:rsidRPr="005327D7">
        <w:rPr>
          <w:rFonts w:asciiTheme="minorHAnsi" w:hAnsiTheme="minorHAnsi"/>
          <w:sz w:val="24"/>
        </w:rPr>
        <w:t>5.26,7.77)</w:t>
      </w:r>
      <w:r w:rsidR="002733A5" w:rsidRPr="005327D7">
        <w:rPr>
          <w:rFonts w:asciiTheme="minorHAnsi" w:hAnsiTheme="minorHAnsi"/>
          <w:sz w:val="24"/>
        </w:rPr>
        <w:t xml:space="preserve"> per</w:t>
      </w:r>
      <w:r w:rsidR="00817062" w:rsidRPr="005327D7">
        <w:rPr>
          <w:rFonts w:asciiTheme="minorHAnsi" w:hAnsiTheme="minorHAnsi"/>
          <w:sz w:val="24"/>
        </w:rPr>
        <w:t>-</w:t>
      </w:r>
      <w:r w:rsidR="002733A5" w:rsidRPr="005327D7">
        <w:rPr>
          <w:rFonts w:asciiTheme="minorHAnsi" w:hAnsiTheme="minorHAnsi"/>
          <w:sz w:val="24"/>
        </w:rPr>
        <w:t>person</w:t>
      </w:r>
      <w:r w:rsidR="00817062" w:rsidRPr="005327D7">
        <w:rPr>
          <w:rFonts w:asciiTheme="minorHAnsi" w:hAnsiTheme="minorHAnsi"/>
          <w:sz w:val="24"/>
        </w:rPr>
        <w:t>-</w:t>
      </w:r>
      <w:r w:rsidR="002733A5" w:rsidRPr="005327D7">
        <w:rPr>
          <w:rFonts w:asciiTheme="minorHAnsi" w:hAnsiTheme="minorHAnsi"/>
          <w:sz w:val="24"/>
        </w:rPr>
        <w:t>year</w:t>
      </w:r>
      <w:r w:rsidR="004944E1" w:rsidRPr="005327D7">
        <w:rPr>
          <w:rFonts w:asciiTheme="minorHAnsi" w:hAnsiTheme="minorHAnsi"/>
          <w:sz w:val="24"/>
        </w:rPr>
        <w:t>,</w:t>
      </w:r>
      <w:r w:rsidR="002733A5" w:rsidRPr="005327D7">
        <w:rPr>
          <w:rFonts w:asciiTheme="minorHAnsi" w:hAnsiTheme="minorHAnsi"/>
          <w:sz w:val="24"/>
        </w:rPr>
        <w:t xml:space="preserve"> </w:t>
      </w:r>
      <w:r w:rsidR="004944E1" w:rsidRPr="005327D7">
        <w:rPr>
          <w:rFonts w:asciiTheme="minorHAnsi" w:hAnsiTheme="minorHAnsi"/>
          <w:sz w:val="24"/>
        </w:rPr>
        <w:t xml:space="preserve">were both greater in the adalimumab-treated </w:t>
      </w:r>
      <w:r w:rsidR="002733A5" w:rsidRPr="005327D7">
        <w:rPr>
          <w:rFonts w:asciiTheme="minorHAnsi" w:hAnsiTheme="minorHAnsi"/>
          <w:sz w:val="24"/>
        </w:rPr>
        <w:t>group.</w:t>
      </w:r>
      <w:r w:rsidR="00817062" w:rsidRPr="005327D7">
        <w:rPr>
          <w:rFonts w:asciiTheme="minorHAnsi" w:hAnsiTheme="minorHAnsi"/>
          <w:sz w:val="24"/>
        </w:rPr>
        <w:t xml:space="preserve"> For </w:t>
      </w:r>
      <w:r w:rsidR="00D23127" w:rsidRPr="005327D7">
        <w:rPr>
          <w:rFonts w:asciiTheme="minorHAnsi" w:hAnsiTheme="minorHAnsi"/>
          <w:sz w:val="24"/>
        </w:rPr>
        <w:t xml:space="preserve">full listing of all adverse events </w:t>
      </w:r>
      <w:r w:rsidR="00817062" w:rsidRPr="005327D7">
        <w:rPr>
          <w:rFonts w:asciiTheme="minorHAnsi" w:hAnsiTheme="minorHAnsi"/>
          <w:sz w:val="24"/>
        </w:rPr>
        <w:t>see Table S6 and S7</w:t>
      </w:r>
      <w:r w:rsidR="00021B48" w:rsidRPr="005327D7">
        <w:rPr>
          <w:rFonts w:asciiTheme="minorHAnsi" w:hAnsiTheme="minorHAnsi"/>
          <w:sz w:val="24"/>
        </w:rPr>
        <w:t>.</w:t>
      </w:r>
      <w:r w:rsidR="00817062" w:rsidRPr="005327D7">
        <w:rPr>
          <w:rFonts w:asciiTheme="minorHAnsi" w:hAnsiTheme="minorHAnsi"/>
          <w:sz w:val="24"/>
        </w:rPr>
        <w:t xml:space="preserve"> </w:t>
      </w:r>
    </w:p>
    <w:p w14:paraId="786AAD40" w14:textId="77777777" w:rsidR="005327D7" w:rsidRPr="005327D7" w:rsidRDefault="005327D7" w:rsidP="005327D7">
      <w:pPr>
        <w:pStyle w:val="NoSpacing"/>
      </w:pPr>
    </w:p>
    <w:p w14:paraId="206EE9C5" w14:textId="1D9CE09E" w:rsidR="00680725" w:rsidRPr="005327D7" w:rsidRDefault="005327D7" w:rsidP="005327D7">
      <w:pPr>
        <w:pStyle w:val="NoSpacing"/>
        <w:spacing w:line="480" w:lineRule="auto"/>
        <w:rPr>
          <w:rFonts w:asciiTheme="minorHAnsi" w:hAnsiTheme="minorHAnsi"/>
          <w:b/>
          <w:sz w:val="24"/>
        </w:rPr>
      </w:pPr>
      <w:r w:rsidRPr="005327D7">
        <w:rPr>
          <w:rFonts w:asciiTheme="minorHAnsi" w:hAnsiTheme="minorHAnsi"/>
          <w:b/>
          <w:sz w:val="24"/>
        </w:rPr>
        <w:t>Secondary Outcomes</w:t>
      </w:r>
    </w:p>
    <w:p w14:paraId="3CDC53A0" w14:textId="6FFF6731" w:rsidR="00413051" w:rsidRDefault="00413051" w:rsidP="005327D7">
      <w:pPr>
        <w:pStyle w:val="NoSpacing"/>
        <w:spacing w:line="480" w:lineRule="auto"/>
        <w:rPr>
          <w:rFonts w:asciiTheme="minorHAnsi" w:hAnsiTheme="minorHAnsi"/>
          <w:sz w:val="24"/>
        </w:rPr>
      </w:pPr>
      <w:r w:rsidRPr="005327D7">
        <w:rPr>
          <w:rFonts w:asciiTheme="minorHAnsi" w:hAnsiTheme="minorHAnsi"/>
          <w:sz w:val="24"/>
        </w:rPr>
        <w:t>A full summary of secondary outcome analyses is available in Table S</w:t>
      </w:r>
      <w:r w:rsidR="007B4D59" w:rsidRPr="005327D7">
        <w:rPr>
          <w:rFonts w:asciiTheme="minorHAnsi" w:hAnsiTheme="minorHAnsi"/>
          <w:sz w:val="24"/>
        </w:rPr>
        <w:t>8</w:t>
      </w:r>
      <w:r w:rsidRPr="005327D7">
        <w:rPr>
          <w:rFonts w:asciiTheme="minorHAnsi" w:hAnsiTheme="minorHAnsi"/>
          <w:sz w:val="24"/>
        </w:rPr>
        <w:t xml:space="preserve">, Supplementary Appendix. </w:t>
      </w:r>
    </w:p>
    <w:p w14:paraId="51991295" w14:textId="77777777" w:rsidR="005327D7" w:rsidRPr="005327D7" w:rsidRDefault="005327D7" w:rsidP="005327D7">
      <w:pPr>
        <w:pStyle w:val="NoSpacing"/>
      </w:pPr>
    </w:p>
    <w:p w14:paraId="4AAA4581" w14:textId="7EB13CB4" w:rsidR="00721350" w:rsidRDefault="00413051" w:rsidP="005327D7">
      <w:pPr>
        <w:pStyle w:val="NoSpacing"/>
        <w:spacing w:line="480" w:lineRule="auto"/>
        <w:jc w:val="left"/>
        <w:rPr>
          <w:rFonts w:asciiTheme="minorHAnsi" w:hAnsiTheme="minorHAnsi"/>
          <w:sz w:val="24"/>
        </w:rPr>
      </w:pPr>
      <w:r w:rsidRPr="005327D7">
        <w:rPr>
          <w:rFonts w:asciiTheme="minorHAnsi" w:hAnsiTheme="minorHAnsi"/>
          <w:sz w:val="24"/>
        </w:rPr>
        <w:t>At randomisation, s</w:t>
      </w:r>
      <w:r w:rsidR="008D2221" w:rsidRPr="005327D7">
        <w:rPr>
          <w:rFonts w:asciiTheme="minorHAnsi" w:hAnsiTheme="minorHAnsi"/>
          <w:sz w:val="24"/>
        </w:rPr>
        <w:t xml:space="preserve">ix participants </w:t>
      </w:r>
      <w:r w:rsidR="00B17E12" w:rsidRPr="005327D7">
        <w:rPr>
          <w:rFonts w:asciiTheme="minorHAnsi" w:hAnsiTheme="minorHAnsi"/>
          <w:sz w:val="24"/>
        </w:rPr>
        <w:t xml:space="preserve">(5 adalimumab, 1 placebo) </w:t>
      </w:r>
      <w:r w:rsidR="008D2221" w:rsidRPr="005327D7">
        <w:rPr>
          <w:rFonts w:asciiTheme="minorHAnsi" w:hAnsiTheme="minorHAnsi"/>
          <w:sz w:val="24"/>
        </w:rPr>
        <w:t xml:space="preserve">were on systemic </w:t>
      </w:r>
      <w:r w:rsidR="009714D2" w:rsidRPr="005327D7">
        <w:rPr>
          <w:rFonts w:asciiTheme="minorHAnsi" w:hAnsiTheme="minorHAnsi"/>
          <w:sz w:val="24"/>
        </w:rPr>
        <w:t>gluco</w:t>
      </w:r>
      <w:r w:rsidR="008D2221" w:rsidRPr="005327D7">
        <w:rPr>
          <w:rFonts w:asciiTheme="minorHAnsi" w:hAnsiTheme="minorHAnsi"/>
          <w:sz w:val="24"/>
        </w:rPr>
        <w:t>corticoids</w:t>
      </w:r>
      <w:r w:rsidR="005313A8" w:rsidRPr="005327D7">
        <w:rPr>
          <w:rFonts w:asciiTheme="minorHAnsi" w:hAnsiTheme="minorHAnsi"/>
          <w:sz w:val="24"/>
        </w:rPr>
        <w:t xml:space="preserve"> (</w:t>
      </w:r>
      <w:r w:rsidR="000C616C" w:rsidRPr="005327D7">
        <w:rPr>
          <w:rFonts w:asciiTheme="minorHAnsi" w:hAnsiTheme="minorHAnsi"/>
          <w:sz w:val="24"/>
        </w:rPr>
        <w:t>permitted dose</w:t>
      </w:r>
      <w:r w:rsidR="00B17E12" w:rsidRPr="005327D7">
        <w:rPr>
          <w:rFonts w:asciiTheme="minorHAnsi" w:hAnsiTheme="minorHAnsi"/>
          <w:sz w:val="24"/>
        </w:rPr>
        <w:t xml:space="preserve">: </w:t>
      </w:r>
      <w:r w:rsidR="000C616C" w:rsidRPr="005327D7">
        <w:rPr>
          <w:rFonts w:asciiTheme="minorHAnsi" w:hAnsiTheme="minorHAnsi"/>
          <w:sz w:val="24"/>
        </w:rPr>
        <w:t>&lt;0.2</w:t>
      </w:r>
      <w:r w:rsidR="00E2402C" w:rsidRPr="005327D7">
        <w:rPr>
          <w:rFonts w:asciiTheme="minorHAnsi" w:hAnsiTheme="minorHAnsi"/>
          <w:sz w:val="24"/>
        </w:rPr>
        <w:t>0</w:t>
      </w:r>
      <w:r w:rsidR="000C616C" w:rsidRPr="005327D7">
        <w:rPr>
          <w:rFonts w:asciiTheme="minorHAnsi" w:hAnsiTheme="minorHAnsi"/>
          <w:sz w:val="24"/>
        </w:rPr>
        <w:t>mg/kg/day</w:t>
      </w:r>
      <w:r w:rsidR="00B17E12" w:rsidRPr="005327D7">
        <w:rPr>
          <w:rFonts w:asciiTheme="minorHAnsi" w:hAnsiTheme="minorHAnsi"/>
          <w:sz w:val="24"/>
        </w:rPr>
        <w:t>;</w:t>
      </w:r>
      <w:r w:rsidR="005313A8" w:rsidRPr="005327D7">
        <w:rPr>
          <w:rFonts w:asciiTheme="minorHAnsi" w:hAnsiTheme="minorHAnsi"/>
          <w:sz w:val="24"/>
        </w:rPr>
        <w:t xml:space="preserve"> median dose for both groups, 0.1</w:t>
      </w:r>
      <w:r w:rsidR="002A649E" w:rsidRPr="005327D7">
        <w:rPr>
          <w:rFonts w:asciiTheme="minorHAnsi" w:hAnsiTheme="minorHAnsi"/>
          <w:sz w:val="24"/>
        </w:rPr>
        <w:t>4</w:t>
      </w:r>
      <w:r w:rsidR="005313A8" w:rsidRPr="005327D7">
        <w:rPr>
          <w:rFonts w:asciiTheme="minorHAnsi" w:hAnsiTheme="minorHAnsi"/>
          <w:sz w:val="24"/>
        </w:rPr>
        <w:t>mg/kg)</w:t>
      </w:r>
      <w:r w:rsidR="008D2221" w:rsidRPr="005327D7">
        <w:rPr>
          <w:rFonts w:asciiTheme="minorHAnsi" w:hAnsiTheme="minorHAnsi"/>
          <w:sz w:val="24"/>
        </w:rPr>
        <w:t xml:space="preserve">. </w:t>
      </w:r>
      <w:r w:rsidR="009B5CB3" w:rsidRPr="005327D7">
        <w:rPr>
          <w:rFonts w:asciiTheme="minorHAnsi" w:hAnsiTheme="minorHAnsi"/>
          <w:sz w:val="24"/>
        </w:rPr>
        <w:t xml:space="preserve">Three </w:t>
      </w:r>
      <w:r w:rsidR="008D2221" w:rsidRPr="005327D7">
        <w:rPr>
          <w:rFonts w:asciiTheme="minorHAnsi" w:hAnsiTheme="minorHAnsi"/>
          <w:sz w:val="24"/>
        </w:rPr>
        <w:t>adalimumab</w:t>
      </w:r>
      <w:r w:rsidR="00EF7E8A" w:rsidRPr="005327D7">
        <w:rPr>
          <w:rFonts w:asciiTheme="minorHAnsi" w:hAnsiTheme="minorHAnsi"/>
          <w:sz w:val="24"/>
        </w:rPr>
        <w:t>-</w:t>
      </w:r>
      <w:r w:rsidR="00B17E12" w:rsidRPr="005327D7">
        <w:rPr>
          <w:rFonts w:asciiTheme="minorHAnsi" w:hAnsiTheme="minorHAnsi"/>
          <w:sz w:val="24"/>
        </w:rPr>
        <w:t xml:space="preserve">treated participants </w:t>
      </w:r>
      <w:r w:rsidR="005313A8" w:rsidRPr="005327D7">
        <w:rPr>
          <w:rFonts w:asciiTheme="minorHAnsi" w:hAnsiTheme="minorHAnsi"/>
          <w:sz w:val="24"/>
        </w:rPr>
        <w:t xml:space="preserve">stopped systemic </w:t>
      </w:r>
      <w:r w:rsidR="009714D2" w:rsidRPr="005327D7">
        <w:rPr>
          <w:rFonts w:asciiTheme="minorHAnsi" w:hAnsiTheme="minorHAnsi"/>
          <w:sz w:val="24"/>
        </w:rPr>
        <w:t>glucocorticoids</w:t>
      </w:r>
      <w:r w:rsidR="00B17E12" w:rsidRPr="005327D7">
        <w:rPr>
          <w:rFonts w:asciiTheme="minorHAnsi" w:hAnsiTheme="minorHAnsi"/>
          <w:sz w:val="24"/>
        </w:rPr>
        <w:t xml:space="preserve"> (median duration </w:t>
      </w:r>
      <w:r w:rsidR="002A649E" w:rsidRPr="005327D7">
        <w:rPr>
          <w:rFonts w:asciiTheme="minorHAnsi" w:hAnsiTheme="minorHAnsi"/>
          <w:sz w:val="24"/>
        </w:rPr>
        <w:t>18.1</w:t>
      </w:r>
      <w:r w:rsidR="00A47837" w:rsidRPr="005327D7">
        <w:rPr>
          <w:rFonts w:asciiTheme="minorHAnsi" w:hAnsiTheme="minorHAnsi"/>
          <w:sz w:val="24"/>
        </w:rPr>
        <w:t xml:space="preserve"> </w:t>
      </w:r>
      <w:r w:rsidR="00B17E12" w:rsidRPr="005327D7">
        <w:rPr>
          <w:rFonts w:asciiTheme="minorHAnsi" w:hAnsiTheme="minorHAnsi"/>
          <w:sz w:val="24"/>
        </w:rPr>
        <w:t>weeks)</w:t>
      </w:r>
      <w:r w:rsidR="005313A8" w:rsidRPr="005327D7">
        <w:rPr>
          <w:rFonts w:asciiTheme="minorHAnsi" w:hAnsiTheme="minorHAnsi"/>
          <w:sz w:val="24"/>
        </w:rPr>
        <w:t xml:space="preserve">. The </w:t>
      </w:r>
      <w:r w:rsidR="000C616C" w:rsidRPr="005327D7">
        <w:rPr>
          <w:rFonts w:asciiTheme="minorHAnsi" w:hAnsiTheme="minorHAnsi"/>
          <w:sz w:val="24"/>
        </w:rPr>
        <w:t xml:space="preserve">placebo patient </w:t>
      </w:r>
      <w:r w:rsidR="009B5CB3" w:rsidRPr="005327D7">
        <w:rPr>
          <w:rFonts w:asciiTheme="minorHAnsi" w:hAnsiTheme="minorHAnsi"/>
          <w:sz w:val="24"/>
        </w:rPr>
        <w:t xml:space="preserve">stopped systemic </w:t>
      </w:r>
      <w:r w:rsidR="009714D2" w:rsidRPr="005327D7">
        <w:rPr>
          <w:rFonts w:asciiTheme="minorHAnsi" w:hAnsiTheme="minorHAnsi"/>
          <w:sz w:val="24"/>
        </w:rPr>
        <w:t>glucocorticoids</w:t>
      </w:r>
      <w:r w:rsidR="005313A8" w:rsidRPr="005327D7">
        <w:rPr>
          <w:rFonts w:asciiTheme="minorHAnsi" w:hAnsiTheme="minorHAnsi"/>
          <w:sz w:val="24"/>
        </w:rPr>
        <w:t xml:space="preserve"> </w:t>
      </w:r>
      <w:r w:rsidR="002A649E" w:rsidRPr="005327D7">
        <w:rPr>
          <w:rFonts w:asciiTheme="minorHAnsi" w:hAnsiTheme="minorHAnsi"/>
          <w:sz w:val="24"/>
        </w:rPr>
        <w:t>after 5.6 weeks</w:t>
      </w:r>
      <w:r w:rsidR="005313A8" w:rsidRPr="005327D7">
        <w:rPr>
          <w:rFonts w:asciiTheme="minorHAnsi" w:hAnsiTheme="minorHAnsi"/>
          <w:sz w:val="24"/>
        </w:rPr>
        <w:t xml:space="preserve">. </w:t>
      </w:r>
    </w:p>
    <w:p w14:paraId="476C24DF" w14:textId="77777777" w:rsidR="005327D7" w:rsidRPr="005327D7" w:rsidRDefault="005327D7" w:rsidP="005327D7">
      <w:pPr>
        <w:pStyle w:val="NoSpacing"/>
      </w:pPr>
    </w:p>
    <w:p w14:paraId="605AE7D3" w14:textId="7072C763" w:rsidR="004823F2" w:rsidRPr="005327D7" w:rsidRDefault="00B166C2" w:rsidP="005327D7">
      <w:pPr>
        <w:pStyle w:val="NoSpacing"/>
        <w:spacing w:line="480" w:lineRule="auto"/>
        <w:jc w:val="left"/>
        <w:rPr>
          <w:rFonts w:asciiTheme="minorHAnsi" w:hAnsiTheme="minorHAnsi"/>
          <w:sz w:val="24"/>
        </w:rPr>
      </w:pPr>
      <w:r w:rsidRPr="005327D7">
        <w:rPr>
          <w:rFonts w:asciiTheme="minorHAnsi" w:hAnsiTheme="minorHAnsi"/>
          <w:sz w:val="24"/>
        </w:rPr>
        <w:t xml:space="preserve">Of 63 participants on ≥2 drops </w:t>
      </w:r>
      <w:r w:rsidR="005313A8" w:rsidRPr="005327D7">
        <w:rPr>
          <w:rFonts w:asciiTheme="minorHAnsi" w:hAnsiTheme="minorHAnsi"/>
          <w:sz w:val="24"/>
        </w:rPr>
        <w:t xml:space="preserve">of topical </w:t>
      </w:r>
      <w:r w:rsidR="009714D2" w:rsidRPr="005327D7">
        <w:rPr>
          <w:rFonts w:asciiTheme="minorHAnsi" w:hAnsiTheme="minorHAnsi"/>
          <w:sz w:val="24"/>
        </w:rPr>
        <w:t>glucocorticoids</w:t>
      </w:r>
      <w:r w:rsidR="005313A8" w:rsidRPr="005327D7">
        <w:rPr>
          <w:rFonts w:asciiTheme="minorHAnsi" w:hAnsiTheme="minorHAnsi"/>
          <w:sz w:val="24"/>
        </w:rPr>
        <w:t xml:space="preserve"> </w:t>
      </w:r>
      <w:r w:rsidRPr="005327D7">
        <w:rPr>
          <w:rFonts w:asciiTheme="minorHAnsi" w:hAnsiTheme="minorHAnsi"/>
          <w:sz w:val="24"/>
        </w:rPr>
        <w:t>at randomisation</w:t>
      </w:r>
      <w:r w:rsidR="00B17E12" w:rsidRPr="005327D7">
        <w:rPr>
          <w:rFonts w:asciiTheme="minorHAnsi" w:hAnsiTheme="minorHAnsi"/>
          <w:sz w:val="24"/>
        </w:rPr>
        <w:t xml:space="preserve">, </w:t>
      </w:r>
      <w:r w:rsidRPr="005327D7">
        <w:rPr>
          <w:rFonts w:asciiTheme="minorHAnsi" w:hAnsiTheme="minorHAnsi"/>
          <w:sz w:val="24"/>
        </w:rPr>
        <w:t>a</w:t>
      </w:r>
      <w:r w:rsidR="007938C9" w:rsidRPr="005327D7">
        <w:rPr>
          <w:rFonts w:asciiTheme="minorHAnsi" w:hAnsiTheme="minorHAnsi"/>
          <w:sz w:val="24"/>
        </w:rPr>
        <w:t xml:space="preserve"> significantly greater </w:t>
      </w:r>
      <w:r w:rsidR="0022222C" w:rsidRPr="005327D7">
        <w:rPr>
          <w:rFonts w:asciiTheme="minorHAnsi" w:hAnsiTheme="minorHAnsi"/>
          <w:sz w:val="24"/>
        </w:rPr>
        <w:t>proportion</w:t>
      </w:r>
      <w:r w:rsidR="007938C9" w:rsidRPr="005327D7">
        <w:rPr>
          <w:rFonts w:asciiTheme="minorHAnsi" w:hAnsiTheme="minorHAnsi"/>
          <w:sz w:val="24"/>
        </w:rPr>
        <w:t xml:space="preserve"> of adalimumab-treated patients had a reduction </w:t>
      </w:r>
      <w:r w:rsidR="00411145" w:rsidRPr="005327D7">
        <w:rPr>
          <w:rFonts w:asciiTheme="minorHAnsi" w:hAnsiTheme="minorHAnsi"/>
          <w:sz w:val="24"/>
        </w:rPr>
        <w:t xml:space="preserve">to </w:t>
      </w:r>
      <w:r w:rsidR="00EF7E8A" w:rsidRPr="005327D7">
        <w:rPr>
          <w:rFonts w:asciiTheme="minorHAnsi" w:hAnsiTheme="minorHAnsi"/>
          <w:sz w:val="24"/>
        </w:rPr>
        <w:t>&lt;</w:t>
      </w:r>
      <w:r w:rsidR="007938C9" w:rsidRPr="005327D7">
        <w:rPr>
          <w:rFonts w:asciiTheme="minorHAnsi" w:hAnsiTheme="minorHAnsi"/>
          <w:sz w:val="24"/>
        </w:rPr>
        <w:t>2 drops (n=</w:t>
      </w:r>
      <w:r w:rsidR="00126FF5" w:rsidRPr="005327D7">
        <w:rPr>
          <w:rFonts w:asciiTheme="minorHAnsi" w:hAnsiTheme="minorHAnsi"/>
          <w:sz w:val="24"/>
        </w:rPr>
        <w:t>22</w:t>
      </w:r>
      <w:r w:rsidR="00B17E12" w:rsidRPr="005327D7">
        <w:rPr>
          <w:rFonts w:asciiTheme="minorHAnsi" w:hAnsiTheme="minorHAnsi"/>
          <w:sz w:val="24"/>
        </w:rPr>
        <w:t>/45</w:t>
      </w:r>
      <w:r w:rsidR="00126FF5" w:rsidRPr="005327D7">
        <w:rPr>
          <w:rFonts w:asciiTheme="minorHAnsi" w:hAnsiTheme="minorHAnsi"/>
          <w:sz w:val="24"/>
        </w:rPr>
        <w:t xml:space="preserve"> </w:t>
      </w:r>
      <w:r w:rsidR="007938C9" w:rsidRPr="005327D7">
        <w:rPr>
          <w:rFonts w:asciiTheme="minorHAnsi" w:hAnsiTheme="minorHAnsi"/>
          <w:sz w:val="24"/>
        </w:rPr>
        <w:lastRenderedPageBreak/>
        <w:t>(</w:t>
      </w:r>
      <w:r w:rsidR="00126FF5" w:rsidRPr="005327D7">
        <w:rPr>
          <w:rFonts w:asciiTheme="minorHAnsi" w:hAnsiTheme="minorHAnsi"/>
          <w:sz w:val="24"/>
        </w:rPr>
        <w:t>49</w:t>
      </w:r>
      <w:r w:rsidR="007938C9" w:rsidRPr="005327D7">
        <w:rPr>
          <w:rFonts w:asciiTheme="minorHAnsi" w:hAnsiTheme="minorHAnsi"/>
          <w:sz w:val="24"/>
        </w:rPr>
        <w:t>%)) compared to placebo-treated patients (n=</w:t>
      </w:r>
      <w:r w:rsidR="00126FF5" w:rsidRPr="005327D7">
        <w:rPr>
          <w:rFonts w:asciiTheme="minorHAnsi" w:hAnsiTheme="minorHAnsi"/>
          <w:sz w:val="24"/>
        </w:rPr>
        <w:t>3</w:t>
      </w:r>
      <w:r w:rsidR="00B17E12" w:rsidRPr="005327D7">
        <w:rPr>
          <w:rFonts w:asciiTheme="minorHAnsi" w:hAnsiTheme="minorHAnsi"/>
          <w:sz w:val="24"/>
        </w:rPr>
        <w:t>/18</w:t>
      </w:r>
      <w:r w:rsidR="00126FF5" w:rsidRPr="005327D7">
        <w:rPr>
          <w:rFonts w:asciiTheme="minorHAnsi" w:hAnsiTheme="minorHAnsi"/>
          <w:sz w:val="24"/>
        </w:rPr>
        <w:t xml:space="preserve"> </w:t>
      </w:r>
      <w:r w:rsidR="007938C9" w:rsidRPr="005327D7">
        <w:rPr>
          <w:rFonts w:asciiTheme="minorHAnsi" w:hAnsiTheme="minorHAnsi"/>
          <w:sz w:val="24"/>
        </w:rPr>
        <w:t>(</w:t>
      </w:r>
      <w:r w:rsidR="00126FF5" w:rsidRPr="005327D7">
        <w:rPr>
          <w:rFonts w:asciiTheme="minorHAnsi" w:hAnsiTheme="minorHAnsi"/>
          <w:sz w:val="24"/>
        </w:rPr>
        <w:t>17</w:t>
      </w:r>
      <w:r w:rsidR="007938C9" w:rsidRPr="005327D7">
        <w:rPr>
          <w:rFonts w:asciiTheme="minorHAnsi" w:hAnsiTheme="minorHAnsi"/>
          <w:sz w:val="24"/>
        </w:rPr>
        <w:t xml:space="preserve">%), </w:t>
      </w:r>
      <w:r w:rsidR="005F71A0" w:rsidRPr="005327D7">
        <w:rPr>
          <w:rFonts w:asciiTheme="minorHAnsi" w:hAnsiTheme="minorHAnsi"/>
          <w:sz w:val="24"/>
        </w:rPr>
        <w:t>(</w:t>
      </w:r>
      <w:r w:rsidR="007938C9" w:rsidRPr="005327D7">
        <w:rPr>
          <w:rFonts w:asciiTheme="minorHAnsi" w:hAnsiTheme="minorHAnsi"/>
          <w:sz w:val="24"/>
        </w:rPr>
        <w:t>HR</w:t>
      </w:r>
      <w:r w:rsidR="005F71A0" w:rsidRPr="005327D7">
        <w:rPr>
          <w:rFonts w:asciiTheme="minorHAnsi" w:hAnsiTheme="minorHAnsi"/>
          <w:sz w:val="24"/>
        </w:rPr>
        <w:t>=</w:t>
      </w:r>
      <w:r w:rsidR="002214CE" w:rsidRPr="005327D7">
        <w:rPr>
          <w:rFonts w:asciiTheme="minorHAnsi" w:hAnsiTheme="minorHAnsi"/>
          <w:sz w:val="24"/>
        </w:rPr>
        <w:t>3.4</w:t>
      </w:r>
      <w:r w:rsidR="00102806" w:rsidRPr="005327D7">
        <w:rPr>
          <w:rFonts w:asciiTheme="minorHAnsi" w:hAnsiTheme="minorHAnsi"/>
          <w:sz w:val="24"/>
        </w:rPr>
        <w:t>7</w:t>
      </w:r>
      <w:r w:rsidR="002214CE" w:rsidRPr="005327D7">
        <w:rPr>
          <w:rFonts w:asciiTheme="minorHAnsi" w:hAnsiTheme="minorHAnsi"/>
          <w:sz w:val="24"/>
        </w:rPr>
        <w:t xml:space="preserve"> </w:t>
      </w:r>
      <w:r w:rsidR="005F71A0" w:rsidRPr="005327D7">
        <w:rPr>
          <w:rFonts w:asciiTheme="minorHAnsi" w:hAnsiTheme="minorHAnsi"/>
          <w:sz w:val="24"/>
        </w:rPr>
        <w:t xml:space="preserve">95%CI </w:t>
      </w:r>
      <w:r w:rsidR="002214CE" w:rsidRPr="005327D7">
        <w:rPr>
          <w:rFonts w:asciiTheme="minorHAnsi" w:hAnsiTheme="minorHAnsi"/>
          <w:sz w:val="24"/>
        </w:rPr>
        <w:t>(1.0</w:t>
      </w:r>
      <w:r w:rsidR="00102806" w:rsidRPr="005327D7">
        <w:rPr>
          <w:rFonts w:asciiTheme="minorHAnsi" w:hAnsiTheme="minorHAnsi"/>
          <w:sz w:val="24"/>
        </w:rPr>
        <w:t>1</w:t>
      </w:r>
      <w:r w:rsidR="002214CE" w:rsidRPr="005327D7">
        <w:rPr>
          <w:rFonts w:asciiTheme="minorHAnsi" w:hAnsiTheme="minorHAnsi"/>
          <w:sz w:val="24"/>
        </w:rPr>
        <w:t>, 11.9</w:t>
      </w:r>
      <w:r w:rsidR="00102806" w:rsidRPr="005327D7">
        <w:rPr>
          <w:rFonts w:asciiTheme="minorHAnsi" w:hAnsiTheme="minorHAnsi"/>
          <w:sz w:val="24"/>
        </w:rPr>
        <w:t>5</w:t>
      </w:r>
      <w:r w:rsidR="002214CE" w:rsidRPr="005327D7">
        <w:rPr>
          <w:rFonts w:asciiTheme="minorHAnsi" w:hAnsiTheme="minorHAnsi"/>
          <w:sz w:val="24"/>
        </w:rPr>
        <w:t>)</w:t>
      </w:r>
      <w:r w:rsidR="007938C9" w:rsidRPr="005327D7">
        <w:rPr>
          <w:rFonts w:asciiTheme="minorHAnsi" w:hAnsiTheme="minorHAnsi"/>
          <w:sz w:val="24"/>
        </w:rPr>
        <w:t>, p=0.</w:t>
      </w:r>
      <w:r w:rsidR="00126FF5" w:rsidRPr="005327D7">
        <w:rPr>
          <w:rFonts w:asciiTheme="minorHAnsi" w:hAnsiTheme="minorHAnsi"/>
          <w:sz w:val="24"/>
        </w:rPr>
        <w:t>0</w:t>
      </w:r>
      <w:r w:rsidR="007938C9" w:rsidRPr="005327D7">
        <w:rPr>
          <w:rFonts w:asciiTheme="minorHAnsi" w:hAnsiTheme="minorHAnsi"/>
          <w:sz w:val="24"/>
        </w:rPr>
        <w:t>4</w:t>
      </w:r>
      <w:r w:rsidR="00102806" w:rsidRPr="005327D7">
        <w:rPr>
          <w:rFonts w:asciiTheme="minorHAnsi" w:hAnsiTheme="minorHAnsi"/>
          <w:sz w:val="24"/>
        </w:rPr>
        <w:t>9</w:t>
      </w:r>
      <w:r w:rsidR="00A87D19" w:rsidRPr="005327D7">
        <w:rPr>
          <w:rFonts w:asciiTheme="minorHAnsi" w:hAnsiTheme="minorHAnsi"/>
          <w:sz w:val="24"/>
        </w:rPr>
        <w:t xml:space="preserve">), </w:t>
      </w:r>
      <w:r w:rsidR="007938C9" w:rsidRPr="005327D7">
        <w:rPr>
          <w:rFonts w:asciiTheme="minorHAnsi" w:hAnsiTheme="minorHAnsi"/>
          <w:sz w:val="24"/>
        </w:rPr>
        <w:t xml:space="preserve">see Figure </w:t>
      </w:r>
      <w:r w:rsidR="00B632A6" w:rsidRPr="005327D7">
        <w:rPr>
          <w:rFonts w:asciiTheme="minorHAnsi" w:hAnsiTheme="minorHAnsi"/>
          <w:sz w:val="24"/>
        </w:rPr>
        <w:t>1</w:t>
      </w:r>
      <w:r w:rsidR="00EF7E8A" w:rsidRPr="005327D7">
        <w:rPr>
          <w:rFonts w:asciiTheme="minorHAnsi" w:hAnsiTheme="minorHAnsi"/>
          <w:sz w:val="24"/>
        </w:rPr>
        <w:t>B</w:t>
      </w:r>
      <w:r w:rsidR="007938C9" w:rsidRPr="005327D7">
        <w:rPr>
          <w:rFonts w:asciiTheme="minorHAnsi" w:hAnsiTheme="minorHAnsi"/>
          <w:sz w:val="24"/>
        </w:rPr>
        <w:t>.</w:t>
      </w:r>
      <w:r w:rsidR="000C7ED4" w:rsidRPr="005327D7">
        <w:rPr>
          <w:rFonts w:asciiTheme="minorHAnsi" w:hAnsiTheme="minorHAnsi"/>
          <w:sz w:val="24"/>
        </w:rPr>
        <w:t xml:space="preserve"> O</w:t>
      </w:r>
      <w:r w:rsidRPr="005327D7">
        <w:rPr>
          <w:rFonts w:asciiTheme="minorHAnsi" w:hAnsiTheme="minorHAnsi"/>
          <w:sz w:val="24"/>
        </w:rPr>
        <w:t xml:space="preserve">f 74 </w:t>
      </w:r>
      <w:r w:rsidR="000C7ED4" w:rsidRPr="005327D7">
        <w:rPr>
          <w:rFonts w:asciiTheme="minorHAnsi" w:hAnsiTheme="minorHAnsi"/>
          <w:sz w:val="24"/>
        </w:rPr>
        <w:t xml:space="preserve">participants </w:t>
      </w:r>
      <w:r w:rsidRPr="005327D7">
        <w:rPr>
          <w:rFonts w:asciiTheme="minorHAnsi" w:hAnsiTheme="minorHAnsi"/>
          <w:sz w:val="24"/>
        </w:rPr>
        <w:t xml:space="preserve">on </w:t>
      </w:r>
      <w:r w:rsidR="0022222C" w:rsidRPr="005327D7">
        <w:rPr>
          <w:rFonts w:asciiTheme="minorHAnsi" w:hAnsiTheme="minorHAnsi"/>
          <w:sz w:val="24"/>
        </w:rPr>
        <w:t>≥1</w:t>
      </w:r>
      <w:r w:rsidRPr="005327D7">
        <w:rPr>
          <w:rFonts w:asciiTheme="minorHAnsi" w:hAnsiTheme="minorHAnsi"/>
          <w:sz w:val="24"/>
        </w:rPr>
        <w:t xml:space="preserve"> drop at randomisation, there was a significantly greater </w:t>
      </w:r>
      <w:r w:rsidR="0022222C" w:rsidRPr="005327D7">
        <w:rPr>
          <w:rFonts w:asciiTheme="minorHAnsi" w:hAnsiTheme="minorHAnsi"/>
          <w:sz w:val="24"/>
        </w:rPr>
        <w:t xml:space="preserve">proportion </w:t>
      </w:r>
      <w:r w:rsidRPr="005327D7">
        <w:rPr>
          <w:rFonts w:asciiTheme="minorHAnsi" w:hAnsiTheme="minorHAnsi"/>
          <w:sz w:val="24"/>
        </w:rPr>
        <w:t xml:space="preserve">of adalimumab-treated patients </w:t>
      </w:r>
      <w:r w:rsidR="0022222C" w:rsidRPr="005327D7">
        <w:rPr>
          <w:rFonts w:asciiTheme="minorHAnsi" w:hAnsiTheme="minorHAnsi"/>
          <w:sz w:val="24"/>
        </w:rPr>
        <w:t xml:space="preserve">who </w:t>
      </w:r>
      <w:r w:rsidRPr="005327D7">
        <w:rPr>
          <w:rFonts w:asciiTheme="minorHAnsi" w:hAnsiTheme="minorHAnsi"/>
          <w:sz w:val="24"/>
        </w:rPr>
        <w:t>had a reduction in their topical corticosteroid dose to 0 drops (n=23</w:t>
      </w:r>
      <w:r w:rsidR="00A87D19" w:rsidRPr="005327D7">
        <w:rPr>
          <w:rFonts w:asciiTheme="minorHAnsi" w:hAnsiTheme="minorHAnsi"/>
          <w:sz w:val="24"/>
        </w:rPr>
        <w:t>/49</w:t>
      </w:r>
      <w:r w:rsidRPr="005327D7">
        <w:rPr>
          <w:rFonts w:asciiTheme="minorHAnsi" w:hAnsiTheme="minorHAnsi"/>
          <w:sz w:val="24"/>
        </w:rPr>
        <w:t xml:space="preserve"> (47%)) compared to placebo-treated patients (n=4</w:t>
      </w:r>
      <w:r w:rsidR="00A87D19" w:rsidRPr="005327D7">
        <w:rPr>
          <w:rFonts w:asciiTheme="minorHAnsi" w:hAnsiTheme="minorHAnsi"/>
          <w:sz w:val="24"/>
        </w:rPr>
        <w:t>/25</w:t>
      </w:r>
      <w:r w:rsidRPr="005327D7">
        <w:rPr>
          <w:rFonts w:asciiTheme="minorHAnsi" w:hAnsiTheme="minorHAnsi"/>
          <w:sz w:val="24"/>
        </w:rPr>
        <w:t xml:space="preserve"> (16%), (</w:t>
      </w:r>
      <w:r w:rsidR="0016293C" w:rsidRPr="005327D7">
        <w:rPr>
          <w:rFonts w:asciiTheme="minorHAnsi" w:hAnsiTheme="minorHAnsi"/>
          <w:sz w:val="24"/>
        </w:rPr>
        <w:t>HR</w:t>
      </w:r>
      <w:r w:rsidR="005F71A0" w:rsidRPr="005327D7">
        <w:rPr>
          <w:rFonts w:asciiTheme="minorHAnsi" w:hAnsiTheme="minorHAnsi"/>
          <w:sz w:val="24"/>
        </w:rPr>
        <w:t>=</w:t>
      </w:r>
      <w:r w:rsidR="0016293C" w:rsidRPr="005327D7">
        <w:rPr>
          <w:rFonts w:asciiTheme="minorHAnsi" w:hAnsiTheme="minorHAnsi"/>
          <w:sz w:val="24"/>
        </w:rPr>
        <w:t>3.38 95%CI (1.24, 10.32), p=0.</w:t>
      </w:r>
      <w:r w:rsidR="000655DE" w:rsidRPr="005327D7">
        <w:rPr>
          <w:rFonts w:asciiTheme="minorHAnsi" w:hAnsiTheme="minorHAnsi"/>
          <w:sz w:val="24"/>
        </w:rPr>
        <w:t>02</w:t>
      </w:r>
      <w:r w:rsidRPr="005327D7">
        <w:rPr>
          <w:rFonts w:asciiTheme="minorHAnsi" w:hAnsiTheme="minorHAnsi"/>
          <w:sz w:val="24"/>
        </w:rPr>
        <w:t>)</w:t>
      </w:r>
      <w:r w:rsidR="003F551F" w:rsidRPr="005327D7">
        <w:rPr>
          <w:rFonts w:asciiTheme="minorHAnsi" w:hAnsiTheme="minorHAnsi"/>
          <w:sz w:val="24"/>
        </w:rPr>
        <w:t xml:space="preserve"> (</w:t>
      </w:r>
      <w:r w:rsidR="003F551F" w:rsidRPr="005327D7">
        <w:rPr>
          <w:rFonts w:asciiTheme="minorHAnsi" w:hAnsiTheme="minorHAnsi"/>
          <w:color w:val="000000"/>
          <w:sz w:val="24"/>
        </w:rPr>
        <w:t>see Figure S</w:t>
      </w:r>
      <w:r w:rsidR="00B632A6" w:rsidRPr="005327D7">
        <w:rPr>
          <w:rFonts w:asciiTheme="minorHAnsi" w:hAnsiTheme="minorHAnsi"/>
          <w:color w:val="000000"/>
          <w:sz w:val="24"/>
        </w:rPr>
        <w:t>2</w:t>
      </w:r>
      <w:r w:rsidR="003F551F" w:rsidRPr="005327D7">
        <w:rPr>
          <w:rFonts w:asciiTheme="minorHAnsi" w:hAnsiTheme="minorHAnsi"/>
          <w:sz w:val="24"/>
        </w:rPr>
        <w:t>).</w:t>
      </w:r>
      <w:r w:rsidR="0016293C" w:rsidRPr="005327D7">
        <w:rPr>
          <w:rFonts w:asciiTheme="minorHAnsi" w:hAnsiTheme="minorHAnsi"/>
          <w:sz w:val="24"/>
        </w:rPr>
        <w:t xml:space="preserve"> </w:t>
      </w:r>
    </w:p>
    <w:p w14:paraId="1B194463" w14:textId="77777777" w:rsidR="00413051" w:rsidRPr="005327D7" w:rsidRDefault="00413051" w:rsidP="005327D7">
      <w:pPr>
        <w:pStyle w:val="NoSpacing"/>
      </w:pPr>
    </w:p>
    <w:p w14:paraId="42C73159" w14:textId="32CEABD9" w:rsidR="00DA2B35" w:rsidRPr="005327D7" w:rsidRDefault="00891CE1" w:rsidP="005327D7">
      <w:pPr>
        <w:pStyle w:val="NoSpacing"/>
        <w:spacing w:line="480" w:lineRule="auto"/>
        <w:jc w:val="left"/>
        <w:rPr>
          <w:rFonts w:asciiTheme="minorHAnsi" w:hAnsiTheme="minorHAnsi"/>
          <w:sz w:val="24"/>
        </w:rPr>
      </w:pPr>
      <w:r w:rsidRPr="005327D7">
        <w:rPr>
          <w:rFonts w:asciiTheme="minorHAnsi" w:hAnsiTheme="minorHAnsi"/>
          <w:sz w:val="24"/>
        </w:rPr>
        <w:t>A</w:t>
      </w:r>
      <w:r w:rsidR="00DA2B35" w:rsidRPr="005327D7">
        <w:rPr>
          <w:rFonts w:asciiTheme="minorHAnsi" w:hAnsiTheme="minorHAnsi"/>
          <w:sz w:val="24"/>
        </w:rPr>
        <w:t>dalimumab</w:t>
      </w:r>
      <w:r w:rsidRPr="005327D7">
        <w:rPr>
          <w:rFonts w:asciiTheme="minorHAnsi" w:hAnsiTheme="minorHAnsi"/>
          <w:sz w:val="24"/>
        </w:rPr>
        <w:t>-treated patients</w:t>
      </w:r>
      <w:r w:rsidR="00DA2B35" w:rsidRPr="005327D7">
        <w:rPr>
          <w:rFonts w:asciiTheme="minorHAnsi" w:hAnsiTheme="minorHAnsi"/>
          <w:sz w:val="24"/>
        </w:rPr>
        <w:t xml:space="preserve"> had a</w:t>
      </w:r>
      <w:r w:rsidR="00D31DE0" w:rsidRPr="005327D7">
        <w:rPr>
          <w:rFonts w:asciiTheme="minorHAnsi" w:hAnsiTheme="minorHAnsi"/>
          <w:sz w:val="24"/>
        </w:rPr>
        <w:t xml:space="preserve"> significantly longer mean </w:t>
      </w:r>
      <w:r w:rsidR="00DA2B35" w:rsidRPr="005327D7">
        <w:rPr>
          <w:rFonts w:asciiTheme="minorHAnsi" w:hAnsiTheme="minorHAnsi"/>
          <w:sz w:val="24"/>
        </w:rPr>
        <w:t>duration of sustained inactive disease (zero cells) compared to those receiving placebo (</w:t>
      </w:r>
      <w:r w:rsidR="00744401" w:rsidRPr="005327D7">
        <w:rPr>
          <w:rFonts w:asciiTheme="minorHAnsi" w:hAnsiTheme="minorHAnsi"/>
          <w:sz w:val="24"/>
        </w:rPr>
        <w:t>179</w:t>
      </w:r>
      <w:r w:rsidR="003729DC" w:rsidRPr="005327D7">
        <w:rPr>
          <w:rFonts w:asciiTheme="minorHAnsi" w:hAnsiTheme="minorHAnsi"/>
          <w:sz w:val="24"/>
        </w:rPr>
        <w:t>.</w:t>
      </w:r>
      <w:r w:rsidR="00C27711" w:rsidRPr="005327D7">
        <w:rPr>
          <w:rFonts w:asciiTheme="minorHAnsi" w:hAnsiTheme="minorHAnsi"/>
          <w:sz w:val="24"/>
        </w:rPr>
        <w:t>28</w:t>
      </w:r>
      <w:r w:rsidR="000C7ED4" w:rsidRPr="005327D7">
        <w:rPr>
          <w:rFonts w:asciiTheme="minorHAnsi" w:hAnsiTheme="minorHAnsi"/>
          <w:sz w:val="24"/>
        </w:rPr>
        <w:t xml:space="preserve"> </w:t>
      </w:r>
      <w:r w:rsidR="00D31DE0" w:rsidRPr="005327D7">
        <w:rPr>
          <w:rFonts w:asciiTheme="minorHAnsi" w:hAnsiTheme="minorHAnsi"/>
          <w:sz w:val="24"/>
        </w:rPr>
        <w:t xml:space="preserve">days </w:t>
      </w:r>
      <w:r w:rsidR="009B182B" w:rsidRPr="005327D7">
        <w:rPr>
          <w:rFonts w:asciiTheme="minorHAnsi" w:hAnsiTheme="minorHAnsi"/>
          <w:sz w:val="24"/>
        </w:rPr>
        <w:t>(</w:t>
      </w:r>
      <w:r w:rsidR="000C7ED4" w:rsidRPr="005327D7">
        <w:rPr>
          <w:rFonts w:asciiTheme="minorHAnsi" w:hAnsiTheme="minorHAnsi"/>
          <w:sz w:val="24"/>
        </w:rPr>
        <w:t>SE:16.9</w:t>
      </w:r>
      <w:r w:rsidR="00C27711" w:rsidRPr="005327D7">
        <w:rPr>
          <w:rFonts w:asciiTheme="minorHAnsi" w:hAnsiTheme="minorHAnsi"/>
          <w:sz w:val="24"/>
        </w:rPr>
        <w:t>1</w:t>
      </w:r>
      <w:r w:rsidR="00D31DE0" w:rsidRPr="005327D7">
        <w:rPr>
          <w:rFonts w:asciiTheme="minorHAnsi" w:hAnsiTheme="minorHAnsi"/>
          <w:sz w:val="24"/>
        </w:rPr>
        <w:t>)</w:t>
      </w:r>
      <w:r w:rsidR="005373C9" w:rsidRPr="005327D7">
        <w:rPr>
          <w:rFonts w:asciiTheme="minorHAnsi" w:hAnsiTheme="minorHAnsi"/>
          <w:sz w:val="24"/>
        </w:rPr>
        <w:t xml:space="preserve"> versus 14.5</w:t>
      </w:r>
      <w:r w:rsidR="003729DC" w:rsidRPr="005327D7">
        <w:rPr>
          <w:rFonts w:asciiTheme="minorHAnsi" w:hAnsiTheme="minorHAnsi"/>
          <w:sz w:val="24"/>
        </w:rPr>
        <w:t>0</w:t>
      </w:r>
      <w:r w:rsidR="005373C9" w:rsidRPr="005327D7">
        <w:rPr>
          <w:rFonts w:asciiTheme="minorHAnsi" w:hAnsiTheme="minorHAnsi"/>
          <w:sz w:val="24"/>
        </w:rPr>
        <w:t xml:space="preserve"> days (SE:</w:t>
      </w:r>
      <w:r w:rsidR="000C7ED4" w:rsidRPr="005327D7">
        <w:rPr>
          <w:rFonts w:asciiTheme="minorHAnsi" w:hAnsiTheme="minorHAnsi"/>
          <w:sz w:val="24"/>
        </w:rPr>
        <w:t>23.9</w:t>
      </w:r>
      <w:r w:rsidR="00C27711" w:rsidRPr="005327D7">
        <w:rPr>
          <w:rFonts w:asciiTheme="minorHAnsi" w:hAnsiTheme="minorHAnsi"/>
          <w:sz w:val="24"/>
        </w:rPr>
        <w:t>4</w:t>
      </w:r>
      <w:r w:rsidR="005373C9" w:rsidRPr="005327D7">
        <w:rPr>
          <w:rFonts w:asciiTheme="minorHAnsi" w:hAnsiTheme="minorHAnsi"/>
          <w:sz w:val="24"/>
        </w:rPr>
        <w:t>)</w:t>
      </w:r>
      <w:r w:rsidR="009B182B" w:rsidRPr="005327D7">
        <w:rPr>
          <w:rFonts w:asciiTheme="minorHAnsi" w:hAnsiTheme="minorHAnsi"/>
          <w:sz w:val="24"/>
        </w:rPr>
        <w:t xml:space="preserve">; estimated treatment effect </w:t>
      </w:r>
      <w:r w:rsidR="00FF64CF" w:rsidRPr="005327D7">
        <w:rPr>
          <w:rFonts w:asciiTheme="minorHAnsi" w:hAnsiTheme="minorHAnsi"/>
          <w:sz w:val="24"/>
        </w:rPr>
        <w:t>1</w:t>
      </w:r>
      <w:r w:rsidR="000C7ED4" w:rsidRPr="005327D7">
        <w:rPr>
          <w:rFonts w:asciiTheme="minorHAnsi" w:hAnsiTheme="minorHAnsi"/>
          <w:sz w:val="24"/>
        </w:rPr>
        <w:t>6</w:t>
      </w:r>
      <w:r w:rsidR="00C27711" w:rsidRPr="005327D7">
        <w:rPr>
          <w:rFonts w:asciiTheme="minorHAnsi" w:hAnsiTheme="minorHAnsi"/>
          <w:sz w:val="24"/>
        </w:rPr>
        <w:t>4</w:t>
      </w:r>
      <w:r w:rsidR="003729DC" w:rsidRPr="005327D7">
        <w:rPr>
          <w:rFonts w:asciiTheme="minorHAnsi" w:hAnsiTheme="minorHAnsi"/>
          <w:sz w:val="24"/>
        </w:rPr>
        <w:t>.</w:t>
      </w:r>
      <w:r w:rsidR="00C27711" w:rsidRPr="005327D7">
        <w:rPr>
          <w:rFonts w:asciiTheme="minorHAnsi" w:hAnsiTheme="minorHAnsi"/>
          <w:sz w:val="24"/>
        </w:rPr>
        <w:t>79</w:t>
      </w:r>
      <w:r w:rsidR="000C7ED4" w:rsidRPr="005327D7">
        <w:rPr>
          <w:rFonts w:asciiTheme="minorHAnsi" w:hAnsiTheme="minorHAnsi"/>
          <w:sz w:val="24"/>
        </w:rPr>
        <w:t xml:space="preserve"> </w:t>
      </w:r>
      <w:r w:rsidR="00BF3CDD" w:rsidRPr="005327D7">
        <w:rPr>
          <w:rFonts w:asciiTheme="minorHAnsi" w:hAnsiTheme="minorHAnsi"/>
          <w:sz w:val="24"/>
        </w:rPr>
        <w:t xml:space="preserve">95%CI </w:t>
      </w:r>
      <w:r w:rsidR="000C7ED4" w:rsidRPr="005327D7">
        <w:rPr>
          <w:rFonts w:asciiTheme="minorHAnsi" w:hAnsiTheme="minorHAnsi"/>
          <w:sz w:val="24"/>
        </w:rPr>
        <w:t>(104</w:t>
      </w:r>
      <w:r w:rsidR="003729DC" w:rsidRPr="005327D7">
        <w:rPr>
          <w:rFonts w:asciiTheme="minorHAnsi" w:hAnsiTheme="minorHAnsi"/>
          <w:sz w:val="24"/>
        </w:rPr>
        <w:t>.</w:t>
      </w:r>
      <w:r w:rsidR="00C27711" w:rsidRPr="005327D7">
        <w:rPr>
          <w:rFonts w:asciiTheme="minorHAnsi" w:hAnsiTheme="minorHAnsi"/>
          <w:sz w:val="24"/>
        </w:rPr>
        <w:t>41</w:t>
      </w:r>
      <w:r w:rsidR="009B182B" w:rsidRPr="005327D7">
        <w:rPr>
          <w:rFonts w:asciiTheme="minorHAnsi" w:hAnsiTheme="minorHAnsi"/>
          <w:sz w:val="24"/>
        </w:rPr>
        <w:t>, 225.</w:t>
      </w:r>
      <w:r w:rsidR="000C7ED4" w:rsidRPr="005327D7">
        <w:rPr>
          <w:rFonts w:asciiTheme="minorHAnsi" w:hAnsiTheme="minorHAnsi"/>
          <w:sz w:val="24"/>
        </w:rPr>
        <w:t>1</w:t>
      </w:r>
      <w:r w:rsidR="00C27711" w:rsidRPr="005327D7">
        <w:rPr>
          <w:rFonts w:asciiTheme="minorHAnsi" w:hAnsiTheme="minorHAnsi"/>
          <w:sz w:val="24"/>
        </w:rPr>
        <w:t>6</w:t>
      </w:r>
      <w:r w:rsidR="009B182B" w:rsidRPr="005327D7">
        <w:rPr>
          <w:rFonts w:asciiTheme="minorHAnsi" w:hAnsiTheme="minorHAnsi"/>
          <w:sz w:val="24"/>
        </w:rPr>
        <w:t>), p&lt;0.0001)</w:t>
      </w:r>
      <w:r w:rsidRPr="005327D7">
        <w:rPr>
          <w:rFonts w:asciiTheme="minorHAnsi" w:hAnsiTheme="minorHAnsi"/>
          <w:sz w:val="24"/>
        </w:rPr>
        <w:t>. T</w:t>
      </w:r>
      <w:r w:rsidR="00FF64CF" w:rsidRPr="005327D7">
        <w:rPr>
          <w:rFonts w:asciiTheme="minorHAnsi" w:hAnsiTheme="minorHAnsi"/>
          <w:sz w:val="24"/>
        </w:rPr>
        <w:t xml:space="preserve">hose on adalimumab were on treatment for twice as long </w:t>
      </w:r>
      <w:r w:rsidRPr="005327D7">
        <w:rPr>
          <w:rFonts w:asciiTheme="minorHAnsi" w:hAnsiTheme="minorHAnsi"/>
          <w:sz w:val="24"/>
        </w:rPr>
        <w:t>(</w:t>
      </w:r>
      <w:r w:rsidR="00BE4C9D" w:rsidRPr="005327D7">
        <w:rPr>
          <w:rFonts w:asciiTheme="minorHAnsi" w:hAnsiTheme="minorHAnsi"/>
          <w:sz w:val="24"/>
        </w:rPr>
        <w:t>345.03</w:t>
      </w:r>
      <w:r w:rsidR="006E0C43" w:rsidRPr="005327D7">
        <w:rPr>
          <w:rFonts w:asciiTheme="minorHAnsi" w:hAnsiTheme="minorHAnsi"/>
          <w:sz w:val="24"/>
        </w:rPr>
        <w:t xml:space="preserve"> days</w:t>
      </w:r>
      <w:r w:rsidR="00FF64CF" w:rsidRPr="005327D7">
        <w:rPr>
          <w:rFonts w:asciiTheme="minorHAnsi" w:hAnsiTheme="minorHAnsi"/>
          <w:sz w:val="24"/>
        </w:rPr>
        <w:t xml:space="preserve"> (</w:t>
      </w:r>
      <w:r w:rsidR="006E0C43" w:rsidRPr="005327D7">
        <w:rPr>
          <w:rFonts w:asciiTheme="minorHAnsi" w:hAnsiTheme="minorHAnsi"/>
          <w:sz w:val="24"/>
        </w:rPr>
        <w:t>SD:</w:t>
      </w:r>
      <w:r w:rsidR="00BE4C9D" w:rsidRPr="005327D7">
        <w:rPr>
          <w:rFonts w:asciiTheme="minorHAnsi" w:hAnsiTheme="minorHAnsi"/>
          <w:sz w:val="24"/>
        </w:rPr>
        <w:t>165.41</w:t>
      </w:r>
      <w:r w:rsidR="00FF64CF" w:rsidRPr="005327D7">
        <w:rPr>
          <w:rFonts w:asciiTheme="minorHAnsi" w:hAnsiTheme="minorHAnsi"/>
          <w:sz w:val="24"/>
        </w:rPr>
        <w:t xml:space="preserve">) </w:t>
      </w:r>
      <w:r w:rsidR="000C7ED4" w:rsidRPr="005327D7">
        <w:rPr>
          <w:rFonts w:asciiTheme="minorHAnsi" w:hAnsiTheme="minorHAnsi"/>
          <w:sz w:val="24"/>
        </w:rPr>
        <w:t xml:space="preserve">versus </w:t>
      </w:r>
      <w:r w:rsidR="00BE4C9D" w:rsidRPr="005327D7">
        <w:rPr>
          <w:rFonts w:asciiTheme="minorHAnsi" w:hAnsiTheme="minorHAnsi"/>
          <w:sz w:val="24"/>
        </w:rPr>
        <w:t>159.27</w:t>
      </w:r>
      <w:r w:rsidR="00FF64CF" w:rsidRPr="005327D7">
        <w:rPr>
          <w:rFonts w:asciiTheme="minorHAnsi" w:hAnsiTheme="minorHAnsi"/>
          <w:sz w:val="24"/>
        </w:rPr>
        <w:t xml:space="preserve"> (</w:t>
      </w:r>
      <w:r w:rsidR="006E0C43" w:rsidRPr="005327D7">
        <w:rPr>
          <w:rFonts w:asciiTheme="minorHAnsi" w:hAnsiTheme="minorHAnsi"/>
          <w:sz w:val="24"/>
        </w:rPr>
        <w:t>SD:</w:t>
      </w:r>
      <w:r w:rsidR="00BE4C9D" w:rsidRPr="005327D7">
        <w:rPr>
          <w:rFonts w:asciiTheme="minorHAnsi" w:hAnsiTheme="minorHAnsi"/>
          <w:sz w:val="24"/>
        </w:rPr>
        <w:t>154.22</w:t>
      </w:r>
      <w:r w:rsidR="00FF64CF" w:rsidRPr="005327D7">
        <w:rPr>
          <w:rFonts w:asciiTheme="minorHAnsi" w:hAnsiTheme="minorHAnsi"/>
          <w:sz w:val="24"/>
        </w:rPr>
        <w:t>)</w:t>
      </w:r>
      <w:r w:rsidRPr="005327D7">
        <w:rPr>
          <w:rFonts w:asciiTheme="minorHAnsi" w:hAnsiTheme="minorHAnsi"/>
          <w:sz w:val="24"/>
        </w:rPr>
        <w:t>)</w:t>
      </w:r>
      <w:r w:rsidR="009B182B" w:rsidRPr="005327D7">
        <w:rPr>
          <w:rFonts w:asciiTheme="minorHAnsi" w:hAnsiTheme="minorHAnsi"/>
          <w:sz w:val="24"/>
        </w:rPr>
        <w:t>.</w:t>
      </w:r>
    </w:p>
    <w:p w14:paraId="46F6F4B6" w14:textId="77777777" w:rsidR="005327D7" w:rsidRPr="005327D7" w:rsidRDefault="005327D7" w:rsidP="005327D7">
      <w:pPr>
        <w:pStyle w:val="NoSpacing"/>
      </w:pPr>
    </w:p>
    <w:p w14:paraId="08C3B3A6" w14:textId="5D2D6191" w:rsidR="00854F5D" w:rsidRPr="005327D7" w:rsidRDefault="00D31DE0" w:rsidP="005327D7">
      <w:pPr>
        <w:pStyle w:val="NoSpacing"/>
        <w:spacing w:line="480" w:lineRule="auto"/>
        <w:jc w:val="left"/>
        <w:rPr>
          <w:rFonts w:asciiTheme="minorHAnsi" w:hAnsiTheme="minorHAnsi"/>
          <w:sz w:val="24"/>
        </w:rPr>
      </w:pPr>
      <w:r w:rsidRPr="005327D7">
        <w:rPr>
          <w:rFonts w:asciiTheme="minorHAnsi" w:hAnsiTheme="minorHAnsi"/>
          <w:sz w:val="24"/>
        </w:rPr>
        <w:t>Arthritis flare occurred in t</w:t>
      </w:r>
      <w:r w:rsidR="009B182B" w:rsidRPr="005327D7">
        <w:rPr>
          <w:rFonts w:asciiTheme="minorHAnsi" w:hAnsiTheme="minorHAnsi"/>
          <w:sz w:val="24"/>
        </w:rPr>
        <w:t>hree patients (10%) in the placebo</w:t>
      </w:r>
      <w:r w:rsidR="00F604F1" w:rsidRPr="005327D7">
        <w:rPr>
          <w:rFonts w:asciiTheme="minorHAnsi" w:hAnsiTheme="minorHAnsi"/>
          <w:sz w:val="24"/>
        </w:rPr>
        <w:t>-</w:t>
      </w:r>
      <w:r w:rsidR="009B182B" w:rsidRPr="005327D7">
        <w:rPr>
          <w:rFonts w:asciiTheme="minorHAnsi" w:hAnsiTheme="minorHAnsi"/>
          <w:sz w:val="24"/>
        </w:rPr>
        <w:t xml:space="preserve">treated arm during the treatment period, compared to none in the adalimumab treated group </w:t>
      </w:r>
      <w:r w:rsidR="00B16320" w:rsidRPr="005327D7">
        <w:rPr>
          <w:rFonts w:asciiTheme="minorHAnsi" w:hAnsiTheme="minorHAnsi"/>
          <w:sz w:val="24"/>
        </w:rPr>
        <w:t>[</w:t>
      </w:r>
      <w:r w:rsidR="00520A34" w:rsidRPr="005327D7">
        <w:rPr>
          <w:rFonts w:asciiTheme="minorHAnsi" w:hAnsiTheme="minorHAnsi"/>
          <w:sz w:val="24"/>
        </w:rPr>
        <w:t>RR=</w:t>
      </w:r>
      <w:r w:rsidR="00B16320" w:rsidRPr="005327D7">
        <w:rPr>
          <w:rFonts w:asciiTheme="minorHAnsi" w:hAnsiTheme="minorHAnsi"/>
          <w:sz w:val="24"/>
        </w:rPr>
        <w:t>0.07</w:t>
      </w:r>
      <w:r w:rsidR="006E6A87" w:rsidRPr="005327D7">
        <w:rPr>
          <w:rFonts w:asciiTheme="minorHAnsi" w:hAnsiTheme="minorHAnsi"/>
          <w:sz w:val="24"/>
        </w:rPr>
        <w:t>,</w:t>
      </w:r>
      <w:r w:rsidR="00B16320" w:rsidRPr="005327D7">
        <w:rPr>
          <w:rFonts w:asciiTheme="minorHAnsi" w:hAnsiTheme="minorHAnsi"/>
          <w:sz w:val="24"/>
        </w:rPr>
        <w:t xml:space="preserve"> 95% CI (0.004, 1.36), </w:t>
      </w:r>
      <w:r w:rsidR="009B182B" w:rsidRPr="005327D7">
        <w:rPr>
          <w:rFonts w:asciiTheme="minorHAnsi" w:hAnsiTheme="minorHAnsi"/>
          <w:sz w:val="24"/>
        </w:rPr>
        <w:t>p=0.03</w:t>
      </w:r>
      <w:r w:rsidR="00B16320" w:rsidRPr="005327D7">
        <w:rPr>
          <w:rFonts w:asciiTheme="minorHAnsi" w:hAnsiTheme="minorHAnsi"/>
          <w:sz w:val="24"/>
        </w:rPr>
        <w:t xml:space="preserve">]. </w:t>
      </w:r>
      <w:r w:rsidRPr="005327D7">
        <w:rPr>
          <w:rFonts w:asciiTheme="minorHAnsi" w:hAnsiTheme="minorHAnsi"/>
          <w:sz w:val="24"/>
        </w:rPr>
        <w:t>As most of the children entered th</w:t>
      </w:r>
      <w:r w:rsidR="00F35094" w:rsidRPr="005327D7">
        <w:rPr>
          <w:rFonts w:asciiTheme="minorHAnsi" w:hAnsiTheme="minorHAnsi"/>
          <w:sz w:val="24"/>
        </w:rPr>
        <w:t>e study</w:t>
      </w:r>
      <w:r w:rsidR="008300A4" w:rsidRPr="005327D7">
        <w:rPr>
          <w:rFonts w:asciiTheme="minorHAnsi" w:hAnsiTheme="minorHAnsi"/>
          <w:sz w:val="24"/>
        </w:rPr>
        <w:t xml:space="preserve"> with minimal </w:t>
      </w:r>
      <w:r w:rsidR="00F604F1" w:rsidRPr="005327D7">
        <w:rPr>
          <w:rFonts w:asciiTheme="minorHAnsi" w:hAnsiTheme="minorHAnsi"/>
          <w:sz w:val="24"/>
        </w:rPr>
        <w:t>arthritis (Table 1)</w:t>
      </w:r>
      <w:r w:rsidR="00F35094" w:rsidRPr="005327D7">
        <w:rPr>
          <w:rFonts w:asciiTheme="minorHAnsi" w:hAnsiTheme="minorHAnsi"/>
          <w:sz w:val="24"/>
        </w:rPr>
        <w:t xml:space="preserve"> the </w:t>
      </w:r>
      <w:r w:rsidRPr="005327D7">
        <w:rPr>
          <w:rFonts w:asciiTheme="minorHAnsi" w:hAnsiTheme="minorHAnsi"/>
          <w:sz w:val="24"/>
        </w:rPr>
        <w:t>ACR 30, 50, 70, 90 and 100</w:t>
      </w:r>
      <w:r w:rsidR="00402A4C" w:rsidRPr="005327D7">
        <w:rPr>
          <w:rFonts w:asciiTheme="minorHAnsi" w:hAnsiTheme="minorHAnsi"/>
          <w:sz w:val="24"/>
        </w:rPr>
        <w:t xml:space="preserve"> (</w:t>
      </w:r>
      <w:r w:rsidR="00402A4C" w:rsidRPr="005327D7">
        <w:rPr>
          <w:rFonts w:asciiTheme="minorHAnsi" w:hAnsiTheme="minorHAnsi"/>
          <w:color w:val="000000"/>
          <w:sz w:val="24"/>
        </w:rPr>
        <w:t>see Table S1</w:t>
      </w:r>
      <w:r w:rsidR="00EF7E8A" w:rsidRPr="005327D7">
        <w:rPr>
          <w:rFonts w:asciiTheme="minorHAnsi" w:hAnsiTheme="minorHAnsi"/>
          <w:color w:val="000000"/>
          <w:sz w:val="24"/>
        </w:rPr>
        <w:t>1</w:t>
      </w:r>
      <w:r w:rsidR="00413051" w:rsidRPr="005327D7">
        <w:rPr>
          <w:rFonts w:asciiTheme="minorHAnsi" w:hAnsiTheme="minorHAnsi"/>
          <w:color w:val="000000"/>
          <w:sz w:val="24"/>
        </w:rPr>
        <w:t xml:space="preserve">, </w:t>
      </w:r>
      <w:r w:rsidR="00413051" w:rsidRPr="005327D7">
        <w:rPr>
          <w:rFonts w:asciiTheme="minorHAnsi" w:hAnsiTheme="minorHAnsi"/>
          <w:sz w:val="24"/>
        </w:rPr>
        <w:t>S</w:t>
      </w:r>
      <w:r w:rsidR="00402A4C" w:rsidRPr="005327D7">
        <w:rPr>
          <w:rFonts w:asciiTheme="minorHAnsi" w:hAnsiTheme="minorHAnsi"/>
          <w:sz w:val="24"/>
        </w:rPr>
        <w:t xml:space="preserve">upplementary </w:t>
      </w:r>
      <w:r w:rsidR="00413051" w:rsidRPr="005327D7">
        <w:rPr>
          <w:rFonts w:asciiTheme="minorHAnsi" w:hAnsiTheme="minorHAnsi"/>
          <w:sz w:val="24"/>
        </w:rPr>
        <w:t>A</w:t>
      </w:r>
      <w:r w:rsidR="00402A4C" w:rsidRPr="005327D7">
        <w:rPr>
          <w:rFonts w:asciiTheme="minorHAnsi" w:hAnsiTheme="minorHAnsi"/>
          <w:sz w:val="24"/>
        </w:rPr>
        <w:t>ppendix)</w:t>
      </w:r>
      <w:r w:rsidRPr="005327D7">
        <w:rPr>
          <w:rFonts w:asciiTheme="minorHAnsi" w:hAnsiTheme="minorHAnsi"/>
          <w:sz w:val="24"/>
        </w:rPr>
        <w:t xml:space="preserve"> </w:t>
      </w:r>
      <w:r w:rsidR="00A74FEE" w:rsidRPr="005327D7">
        <w:rPr>
          <w:rFonts w:asciiTheme="minorHAnsi" w:hAnsiTheme="minorHAnsi"/>
          <w:sz w:val="24"/>
        </w:rPr>
        <w:t xml:space="preserve">and JADAS </w:t>
      </w:r>
      <w:r w:rsidR="00BA69CB" w:rsidRPr="005327D7">
        <w:rPr>
          <w:rFonts w:asciiTheme="minorHAnsi" w:hAnsiTheme="minorHAnsi"/>
          <w:sz w:val="24"/>
        </w:rPr>
        <w:t>10, 27 and 71</w:t>
      </w:r>
      <w:r w:rsidR="002C0B42" w:rsidRPr="005327D7">
        <w:rPr>
          <w:rFonts w:asciiTheme="minorHAnsi" w:hAnsiTheme="minorHAnsi"/>
          <w:sz w:val="24"/>
        </w:rPr>
        <w:t xml:space="preserve"> (</w:t>
      </w:r>
      <w:r w:rsidR="002C0B42" w:rsidRPr="005327D7">
        <w:rPr>
          <w:rFonts w:asciiTheme="minorHAnsi" w:hAnsiTheme="minorHAnsi"/>
          <w:color w:val="000000"/>
          <w:sz w:val="24"/>
        </w:rPr>
        <w:t>see Table S1</w:t>
      </w:r>
      <w:r w:rsidR="00EF7E8A" w:rsidRPr="005327D7">
        <w:rPr>
          <w:rFonts w:asciiTheme="minorHAnsi" w:hAnsiTheme="minorHAnsi"/>
          <w:color w:val="000000"/>
          <w:sz w:val="24"/>
        </w:rPr>
        <w:t>2</w:t>
      </w:r>
      <w:r w:rsidR="00413051" w:rsidRPr="005327D7">
        <w:rPr>
          <w:rFonts w:asciiTheme="minorHAnsi" w:hAnsiTheme="minorHAnsi"/>
          <w:color w:val="000000"/>
          <w:sz w:val="24"/>
        </w:rPr>
        <w:t xml:space="preserve">, </w:t>
      </w:r>
      <w:r w:rsidR="00413051" w:rsidRPr="005327D7">
        <w:rPr>
          <w:rFonts w:asciiTheme="minorHAnsi" w:hAnsiTheme="minorHAnsi"/>
          <w:sz w:val="24"/>
        </w:rPr>
        <w:t>S</w:t>
      </w:r>
      <w:r w:rsidR="002C0B42" w:rsidRPr="005327D7">
        <w:rPr>
          <w:rFonts w:asciiTheme="minorHAnsi" w:hAnsiTheme="minorHAnsi"/>
          <w:sz w:val="24"/>
        </w:rPr>
        <w:t xml:space="preserve">upplementary </w:t>
      </w:r>
      <w:r w:rsidR="00413051" w:rsidRPr="005327D7">
        <w:rPr>
          <w:rFonts w:asciiTheme="minorHAnsi" w:hAnsiTheme="minorHAnsi"/>
          <w:sz w:val="24"/>
        </w:rPr>
        <w:t>A</w:t>
      </w:r>
      <w:r w:rsidR="002C0B42" w:rsidRPr="005327D7">
        <w:rPr>
          <w:rFonts w:asciiTheme="minorHAnsi" w:hAnsiTheme="minorHAnsi"/>
          <w:sz w:val="24"/>
        </w:rPr>
        <w:t>ppendix</w:t>
      </w:r>
      <w:r w:rsidR="007A38C2" w:rsidRPr="005327D7">
        <w:rPr>
          <w:rFonts w:asciiTheme="minorHAnsi" w:hAnsiTheme="minorHAnsi"/>
          <w:sz w:val="24"/>
        </w:rPr>
        <w:t xml:space="preserve">) </w:t>
      </w:r>
      <w:r w:rsidRPr="005327D7">
        <w:rPr>
          <w:rFonts w:asciiTheme="minorHAnsi" w:hAnsiTheme="minorHAnsi"/>
          <w:sz w:val="24"/>
        </w:rPr>
        <w:t>were only minimally impacted.</w:t>
      </w:r>
      <w:r w:rsidR="00030894" w:rsidRPr="005327D7">
        <w:rPr>
          <w:rFonts w:asciiTheme="minorHAnsi" w:hAnsiTheme="minorHAnsi"/>
          <w:sz w:val="24"/>
        </w:rPr>
        <w:t xml:space="preserve"> </w:t>
      </w:r>
      <w:r w:rsidR="00413051" w:rsidRPr="005327D7">
        <w:rPr>
          <w:rFonts w:asciiTheme="minorHAnsi" w:hAnsiTheme="minorHAnsi"/>
          <w:sz w:val="24"/>
        </w:rPr>
        <w:t xml:space="preserve">There was no significant difference in </w:t>
      </w:r>
      <w:r w:rsidR="00A74FEE" w:rsidRPr="005327D7">
        <w:rPr>
          <w:rFonts w:asciiTheme="minorHAnsi" w:hAnsiTheme="minorHAnsi"/>
          <w:sz w:val="24"/>
        </w:rPr>
        <w:t>health-related quality of life (CHQ and CH</w:t>
      </w:r>
      <w:r w:rsidR="00EF7E8A" w:rsidRPr="005327D7">
        <w:rPr>
          <w:rFonts w:asciiTheme="minorHAnsi" w:hAnsiTheme="minorHAnsi"/>
          <w:sz w:val="24"/>
        </w:rPr>
        <w:t>A</w:t>
      </w:r>
      <w:r w:rsidR="00A74FEE" w:rsidRPr="005327D7">
        <w:rPr>
          <w:rFonts w:asciiTheme="minorHAnsi" w:hAnsiTheme="minorHAnsi"/>
          <w:sz w:val="24"/>
        </w:rPr>
        <w:t>Q)</w:t>
      </w:r>
      <w:r w:rsidR="00C861AF" w:rsidRPr="005327D7">
        <w:rPr>
          <w:rFonts w:asciiTheme="minorHAnsi" w:hAnsiTheme="minorHAnsi"/>
          <w:sz w:val="24"/>
        </w:rPr>
        <w:t xml:space="preserve"> across time between </w:t>
      </w:r>
      <w:r w:rsidR="00A74FEE" w:rsidRPr="005327D7">
        <w:rPr>
          <w:rFonts w:asciiTheme="minorHAnsi" w:hAnsiTheme="minorHAnsi"/>
          <w:sz w:val="24"/>
        </w:rPr>
        <w:t>treatment groups</w:t>
      </w:r>
      <w:r w:rsidR="007A38C2" w:rsidRPr="005327D7">
        <w:rPr>
          <w:rFonts w:asciiTheme="minorHAnsi" w:hAnsiTheme="minorHAnsi"/>
          <w:sz w:val="24"/>
        </w:rPr>
        <w:t xml:space="preserve"> (</w:t>
      </w:r>
      <w:r w:rsidR="007A38C2" w:rsidRPr="005327D7">
        <w:rPr>
          <w:rFonts w:asciiTheme="minorHAnsi" w:hAnsiTheme="minorHAnsi"/>
          <w:color w:val="000000"/>
          <w:sz w:val="24"/>
        </w:rPr>
        <w:t>see Table S1</w:t>
      </w:r>
      <w:r w:rsidR="00EF7E8A" w:rsidRPr="005327D7">
        <w:rPr>
          <w:rFonts w:asciiTheme="minorHAnsi" w:hAnsiTheme="minorHAnsi"/>
          <w:color w:val="000000"/>
          <w:sz w:val="24"/>
        </w:rPr>
        <w:t>3</w:t>
      </w:r>
      <w:r w:rsidR="007A38C2" w:rsidRPr="005327D7">
        <w:rPr>
          <w:rFonts w:asciiTheme="minorHAnsi" w:hAnsiTheme="minorHAnsi"/>
          <w:color w:val="000000"/>
          <w:sz w:val="24"/>
        </w:rPr>
        <w:t xml:space="preserve"> and Table S1</w:t>
      </w:r>
      <w:r w:rsidR="00EF7E8A" w:rsidRPr="005327D7">
        <w:rPr>
          <w:rFonts w:asciiTheme="minorHAnsi" w:hAnsiTheme="minorHAnsi"/>
          <w:color w:val="000000"/>
          <w:sz w:val="24"/>
        </w:rPr>
        <w:t>4</w:t>
      </w:r>
      <w:r w:rsidR="007A38C2" w:rsidRPr="005327D7">
        <w:rPr>
          <w:rFonts w:asciiTheme="minorHAnsi" w:hAnsiTheme="minorHAnsi"/>
          <w:sz w:val="24"/>
        </w:rPr>
        <w:t>)</w:t>
      </w:r>
      <w:r w:rsidR="00C861AF" w:rsidRPr="005327D7">
        <w:rPr>
          <w:rFonts w:asciiTheme="minorHAnsi" w:hAnsiTheme="minorHAnsi"/>
          <w:sz w:val="24"/>
        </w:rPr>
        <w:t>.</w:t>
      </w:r>
    </w:p>
    <w:p w14:paraId="17B6480E" w14:textId="77777777" w:rsidR="005327D7" w:rsidRPr="005327D7" w:rsidRDefault="005327D7" w:rsidP="005327D7">
      <w:pPr>
        <w:pStyle w:val="NoSpacing"/>
        <w:jc w:val="left"/>
      </w:pPr>
    </w:p>
    <w:p w14:paraId="69CD1613" w14:textId="48E5C05A" w:rsidR="00484D1F" w:rsidRPr="005327D7" w:rsidRDefault="004E16B5" w:rsidP="005327D7">
      <w:pPr>
        <w:pStyle w:val="NoSpacing"/>
        <w:spacing w:line="480" w:lineRule="auto"/>
        <w:jc w:val="left"/>
        <w:rPr>
          <w:rFonts w:asciiTheme="minorHAnsi" w:hAnsiTheme="minorHAnsi"/>
          <w:b/>
          <w:sz w:val="24"/>
        </w:rPr>
      </w:pPr>
      <w:r w:rsidRPr="005327D7">
        <w:rPr>
          <w:rFonts w:asciiTheme="minorHAnsi" w:hAnsiTheme="minorHAnsi"/>
          <w:b/>
          <w:sz w:val="24"/>
        </w:rPr>
        <w:t>Post hoc analyses</w:t>
      </w:r>
    </w:p>
    <w:p w14:paraId="3E24ACA8" w14:textId="26E15B2E" w:rsidR="000C616C" w:rsidRPr="005327D7" w:rsidRDefault="00F93E4A" w:rsidP="005327D7">
      <w:pPr>
        <w:pStyle w:val="NoSpacing"/>
        <w:spacing w:line="480" w:lineRule="auto"/>
        <w:jc w:val="left"/>
        <w:rPr>
          <w:rFonts w:asciiTheme="minorHAnsi" w:hAnsiTheme="minorHAnsi"/>
          <w:sz w:val="24"/>
        </w:rPr>
      </w:pPr>
      <w:r w:rsidRPr="005327D7">
        <w:rPr>
          <w:rFonts w:asciiTheme="minorHAnsi" w:hAnsiTheme="minorHAnsi"/>
          <w:sz w:val="24"/>
        </w:rPr>
        <w:t>T</w:t>
      </w:r>
      <w:r w:rsidR="004E16B5" w:rsidRPr="005327D7">
        <w:rPr>
          <w:rFonts w:asciiTheme="minorHAnsi" w:hAnsiTheme="minorHAnsi"/>
          <w:sz w:val="24"/>
        </w:rPr>
        <w:t>ime</w:t>
      </w:r>
      <w:r w:rsidR="00A52332" w:rsidRPr="005327D7">
        <w:rPr>
          <w:rFonts w:asciiTheme="minorHAnsi" w:hAnsiTheme="minorHAnsi"/>
          <w:sz w:val="24"/>
        </w:rPr>
        <w:t>-</w:t>
      </w:r>
      <w:r w:rsidR="004E16B5" w:rsidRPr="005327D7">
        <w:rPr>
          <w:rFonts w:asciiTheme="minorHAnsi" w:hAnsiTheme="minorHAnsi"/>
          <w:sz w:val="24"/>
        </w:rPr>
        <w:t>to</w:t>
      </w:r>
      <w:r w:rsidR="00A52332" w:rsidRPr="005327D7">
        <w:rPr>
          <w:rFonts w:asciiTheme="minorHAnsi" w:hAnsiTheme="minorHAnsi"/>
          <w:sz w:val="24"/>
        </w:rPr>
        <w:t>-</w:t>
      </w:r>
      <w:r w:rsidR="004E16B5" w:rsidRPr="005327D7">
        <w:rPr>
          <w:rFonts w:asciiTheme="minorHAnsi" w:hAnsiTheme="minorHAnsi"/>
          <w:sz w:val="24"/>
        </w:rPr>
        <w:t>treatment response (</w:t>
      </w:r>
      <w:r w:rsidR="003F551F" w:rsidRPr="005327D7">
        <w:rPr>
          <w:rFonts w:asciiTheme="minorHAnsi" w:hAnsiTheme="minorHAnsi"/>
          <w:color w:val="000000"/>
          <w:sz w:val="24"/>
        </w:rPr>
        <w:t>see Figure S</w:t>
      </w:r>
      <w:r w:rsidR="00B632A6" w:rsidRPr="005327D7">
        <w:rPr>
          <w:rFonts w:asciiTheme="minorHAnsi" w:hAnsiTheme="minorHAnsi"/>
          <w:color w:val="000000"/>
          <w:sz w:val="24"/>
        </w:rPr>
        <w:t>3</w:t>
      </w:r>
      <w:r w:rsidR="004E16B5" w:rsidRPr="005327D7">
        <w:rPr>
          <w:rFonts w:asciiTheme="minorHAnsi" w:hAnsiTheme="minorHAnsi"/>
          <w:sz w:val="24"/>
        </w:rPr>
        <w:t xml:space="preserve">) demonstrates a difference between the two groups </w:t>
      </w:r>
      <w:r w:rsidRPr="005327D7">
        <w:rPr>
          <w:rFonts w:asciiTheme="minorHAnsi" w:hAnsiTheme="minorHAnsi"/>
          <w:sz w:val="24"/>
        </w:rPr>
        <w:t xml:space="preserve">in favour of adalimumab </w:t>
      </w:r>
      <w:r w:rsidR="004E16B5" w:rsidRPr="005327D7">
        <w:rPr>
          <w:rFonts w:asciiTheme="minorHAnsi" w:hAnsiTheme="minorHAnsi"/>
          <w:sz w:val="24"/>
        </w:rPr>
        <w:t xml:space="preserve">(log rank </w:t>
      </w:r>
      <w:r w:rsidR="00A52332" w:rsidRPr="005327D7">
        <w:rPr>
          <w:rFonts w:asciiTheme="minorHAnsi" w:hAnsiTheme="minorHAnsi"/>
          <w:sz w:val="24"/>
        </w:rPr>
        <w:t xml:space="preserve">exploratory </w:t>
      </w:r>
      <w:r w:rsidR="004E16B5" w:rsidRPr="005327D7">
        <w:rPr>
          <w:rFonts w:asciiTheme="minorHAnsi" w:hAnsiTheme="minorHAnsi"/>
          <w:sz w:val="24"/>
        </w:rPr>
        <w:t>p</w:t>
      </w:r>
      <w:r w:rsidR="00A52332" w:rsidRPr="005327D7">
        <w:rPr>
          <w:rFonts w:asciiTheme="minorHAnsi" w:hAnsiTheme="minorHAnsi"/>
          <w:sz w:val="24"/>
        </w:rPr>
        <w:t>-value</w:t>
      </w:r>
      <w:r w:rsidR="004E16B5" w:rsidRPr="005327D7">
        <w:rPr>
          <w:rFonts w:asciiTheme="minorHAnsi" w:hAnsiTheme="minorHAnsi"/>
          <w:sz w:val="24"/>
        </w:rPr>
        <w:t>=0.00</w:t>
      </w:r>
      <w:r w:rsidR="003729DC" w:rsidRPr="005327D7">
        <w:rPr>
          <w:rFonts w:asciiTheme="minorHAnsi" w:hAnsiTheme="minorHAnsi"/>
          <w:sz w:val="24"/>
        </w:rPr>
        <w:t>3</w:t>
      </w:r>
      <w:r w:rsidR="004E16B5" w:rsidRPr="005327D7">
        <w:rPr>
          <w:rFonts w:asciiTheme="minorHAnsi" w:hAnsiTheme="minorHAnsi"/>
          <w:sz w:val="24"/>
        </w:rPr>
        <w:t>; HR 3.15 95%CI 1.42</w:t>
      </w:r>
      <w:r w:rsidR="00BF3CDD" w:rsidRPr="005327D7">
        <w:rPr>
          <w:rFonts w:asciiTheme="minorHAnsi" w:hAnsiTheme="minorHAnsi"/>
          <w:sz w:val="24"/>
        </w:rPr>
        <w:t>,</w:t>
      </w:r>
      <w:r w:rsidR="008C33CE" w:rsidRPr="005327D7">
        <w:rPr>
          <w:rFonts w:asciiTheme="minorHAnsi" w:hAnsiTheme="minorHAnsi"/>
          <w:sz w:val="24"/>
        </w:rPr>
        <w:t xml:space="preserve"> </w:t>
      </w:r>
      <w:r w:rsidR="004E16B5" w:rsidRPr="005327D7">
        <w:rPr>
          <w:rFonts w:asciiTheme="minorHAnsi" w:hAnsiTheme="minorHAnsi"/>
          <w:sz w:val="24"/>
        </w:rPr>
        <w:t>7.00). There was a difference in the proportion of responders at three and six months</w:t>
      </w:r>
      <w:r w:rsidRPr="005327D7">
        <w:rPr>
          <w:rFonts w:asciiTheme="minorHAnsi" w:hAnsiTheme="minorHAnsi"/>
          <w:sz w:val="24"/>
        </w:rPr>
        <w:t xml:space="preserve"> in favour of adalimumab</w:t>
      </w:r>
      <w:r w:rsidR="004E16B5" w:rsidRPr="005327D7">
        <w:rPr>
          <w:rFonts w:asciiTheme="minorHAnsi" w:hAnsiTheme="minorHAnsi"/>
          <w:sz w:val="24"/>
        </w:rPr>
        <w:t xml:space="preserve"> (</w:t>
      </w:r>
      <w:r w:rsidR="00A52332" w:rsidRPr="005327D7">
        <w:rPr>
          <w:rFonts w:asciiTheme="minorHAnsi" w:hAnsiTheme="minorHAnsi"/>
          <w:sz w:val="24"/>
        </w:rPr>
        <w:t xml:space="preserve">exploratory </w:t>
      </w:r>
      <w:r w:rsidR="004E16B5" w:rsidRPr="005327D7">
        <w:rPr>
          <w:rFonts w:asciiTheme="minorHAnsi" w:hAnsiTheme="minorHAnsi"/>
          <w:sz w:val="24"/>
        </w:rPr>
        <w:t>p</w:t>
      </w:r>
      <w:r w:rsidR="00A52332" w:rsidRPr="005327D7">
        <w:rPr>
          <w:rFonts w:asciiTheme="minorHAnsi" w:hAnsiTheme="minorHAnsi"/>
          <w:sz w:val="24"/>
        </w:rPr>
        <w:t>-values</w:t>
      </w:r>
      <w:r w:rsidR="004E16B5" w:rsidRPr="005327D7">
        <w:rPr>
          <w:rFonts w:asciiTheme="minorHAnsi" w:hAnsiTheme="minorHAnsi"/>
          <w:sz w:val="24"/>
        </w:rPr>
        <w:t>=0.00</w:t>
      </w:r>
      <w:r w:rsidR="003729DC" w:rsidRPr="005327D7">
        <w:rPr>
          <w:rFonts w:asciiTheme="minorHAnsi" w:hAnsiTheme="minorHAnsi"/>
          <w:sz w:val="24"/>
        </w:rPr>
        <w:t>4</w:t>
      </w:r>
      <w:r w:rsidR="004E16B5" w:rsidRPr="005327D7">
        <w:rPr>
          <w:rFonts w:asciiTheme="minorHAnsi" w:hAnsiTheme="minorHAnsi"/>
          <w:sz w:val="24"/>
        </w:rPr>
        <w:t xml:space="preserve"> and p=0.00</w:t>
      </w:r>
      <w:r w:rsidR="003729DC" w:rsidRPr="005327D7">
        <w:rPr>
          <w:rFonts w:asciiTheme="minorHAnsi" w:hAnsiTheme="minorHAnsi"/>
          <w:sz w:val="24"/>
        </w:rPr>
        <w:t>4</w:t>
      </w:r>
      <w:r w:rsidR="004E16B5" w:rsidRPr="005327D7">
        <w:rPr>
          <w:rFonts w:asciiTheme="minorHAnsi" w:hAnsiTheme="minorHAnsi"/>
          <w:sz w:val="24"/>
        </w:rPr>
        <w:t xml:space="preserve"> respectively). </w:t>
      </w:r>
      <w:r w:rsidR="009E506D" w:rsidRPr="005327D7">
        <w:rPr>
          <w:rFonts w:asciiTheme="minorHAnsi" w:hAnsiTheme="minorHAnsi"/>
          <w:sz w:val="24"/>
        </w:rPr>
        <w:t>Thirty-four</w:t>
      </w:r>
      <w:r w:rsidR="000C616C" w:rsidRPr="005327D7">
        <w:rPr>
          <w:rFonts w:asciiTheme="minorHAnsi" w:hAnsiTheme="minorHAnsi"/>
          <w:sz w:val="24"/>
        </w:rPr>
        <w:t xml:space="preserve"> </w:t>
      </w:r>
      <w:r w:rsidR="000C616C" w:rsidRPr="005327D7">
        <w:rPr>
          <w:rFonts w:asciiTheme="minorHAnsi" w:hAnsiTheme="minorHAnsi"/>
          <w:sz w:val="24"/>
        </w:rPr>
        <w:lastRenderedPageBreak/>
        <w:t xml:space="preserve">(57%) </w:t>
      </w:r>
      <w:r w:rsidRPr="005327D7">
        <w:rPr>
          <w:rFonts w:asciiTheme="minorHAnsi" w:hAnsiTheme="minorHAnsi"/>
          <w:sz w:val="24"/>
        </w:rPr>
        <w:t xml:space="preserve">adalimumab-treated and five (17%) placebo-treated </w:t>
      </w:r>
      <w:r w:rsidR="000C616C" w:rsidRPr="005327D7">
        <w:rPr>
          <w:rFonts w:asciiTheme="minorHAnsi" w:hAnsiTheme="minorHAnsi"/>
          <w:sz w:val="24"/>
        </w:rPr>
        <w:t>participants were classified as having responded to treatment (Table S</w:t>
      </w:r>
      <w:r w:rsidR="007A38C2" w:rsidRPr="005327D7">
        <w:rPr>
          <w:rFonts w:asciiTheme="minorHAnsi" w:hAnsiTheme="minorHAnsi"/>
          <w:sz w:val="24"/>
        </w:rPr>
        <w:t>1</w:t>
      </w:r>
      <w:r w:rsidR="00EF7E8A" w:rsidRPr="005327D7">
        <w:rPr>
          <w:rFonts w:asciiTheme="minorHAnsi" w:hAnsiTheme="minorHAnsi"/>
          <w:sz w:val="24"/>
        </w:rPr>
        <w:t>5</w:t>
      </w:r>
      <w:r w:rsidR="000C616C" w:rsidRPr="005327D7">
        <w:rPr>
          <w:rFonts w:asciiTheme="minorHAnsi" w:hAnsiTheme="minorHAnsi"/>
          <w:sz w:val="24"/>
        </w:rPr>
        <w:t xml:space="preserve">). </w:t>
      </w:r>
    </w:p>
    <w:p w14:paraId="7BD4D24E" w14:textId="77777777" w:rsidR="00484D1F" w:rsidRPr="00EE4F28" w:rsidRDefault="00484D1F" w:rsidP="005327D7">
      <w:pPr>
        <w:pStyle w:val="NoSpacing"/>
      </w:pPr>
    </w:p>
    <w:p w14:paraId="2E9500C2" w14:textId="77777777" w:rsidR="00D53337" w:rsidRPr="005327D7" w:rsidRDefault="00747917" w:rsidP="005327D7">
      <w:pPr>
        <w:pStyle w:val="NoSpacing"/>
        <w:spacing w:line="480" w:lineRule="auto"/>
        <w:jc w:val="left"/>
        <w:rPr>
          <w:rFonts w:asciiTheme="minorHAnsi" w:hAnsiTheme="minorHAnsi"/>
          <w:b/>
          <w:sz w:val="24"/>
        </w:rPr>
      </w:pPr>
      <w:r w:rsidRPr="005327D7">
        <w:rPr>
          <w:rFonts w:asciiTheme="minorHAnsi" w:hAnsiTheme="minorHAnsi"/>
          <w:b/>
          <w:sz w:val="24"/>
        </w:rPr>
        <w:t>DISCUSSION</w:t>
      </w:r>
    </w:p>
    <w:p w14:paraId="07DFA78E" w14:textId="77777777" w:rsidR="005327D7" w:rsidRPr="005327D7" w:rsidRDefault="005327D7" w:rsidP="005327D7">
      <w:pPr>
        <w:pStyle w:val="NoSpacing"/>
      </w:pPr>
    </w:p>
    <w:p w14:paraId="459539E4" w14:textId="334DB812" w:rsidR="003608DD" w:rsidRPr="005327D7" w:rsidRDefault="005672C3" w:rsidP="005327D7">
      <w:pPr>
        <w:pStyle w:val="NoSpacing"/>
        <w:spacing w:line="480" w:lineRule="auto"/>
        <w:jc w:val="left"/>
        <w:rPr>
          <w:rFonts w:asciiTheme="minorHAnsi" w:hAnsiTheme="minorHAnsi"/>
          <w:sz w:val="24"/>
        </w:rPr>
      </w:pPr>
      <w:r w:rsidRPr="005327D7">
        <w:rPr>
          <w:rFonts w:asciiTheme="minorHAnsi" w:hAnsiTheme="minorHAnsi"/>
          <w:sz w:val="24"/>
        </w:rPr>
        <w:t>In this</w:t>
      </w:r>
      <w:r w:rsidR="00FC6FCB" w:rsidRPr="005327D7">
        <w:rPr>
          <w:rFonts w:asciiTheme="minorHAnsi" w:hAnsiTheme="minorHAnsi"/>
          <w:sz w:val="24"/>
        </w:rPr>
        <w:t xml:space="preserve"> </w:t>
      </w:r>
      <w:r w:rsidR="007A22C0" w:rsidRPr="005327D7">
        <w:rPr>
          <w:rFonts w:asciiTheme="minorHAnsi" w:hAnsiTheme="minorHAnsi"/>
          <w:sz w:val="24"/>
        </w:rPr>
        <w:t>randomised</w:t>
      </w:r>
      <w:r w:rsidRPr="005327D7">
        <w:rPr>
          <w:rFonts w:asciiTheme="minorHAnsi" w:hAnsiTheme="minorHAnsi"/>
          <w:sz w:val="24"/>
        </w:rPr>
        <w:t xml:space="preserve">, </w:t>
      </w:r>
      <w:r w:rsidR="007A22C0" w:rsidRPr="005327D7">
        <w:rPr>
          <w:rFonts w:asciiTheme="minorHAnsi" w:hAnsiTheme="minorHAnsi"/>
          <w:sz w:val="24"/>
        </w:rPr>
        <w:t>placebo</w:t>
      </w:r>
      <w:r w:rsidR="00613C79" w:rsidRPr="005327D7">
        <w:rPr>
          <w:rFonts w:asciiTheme="minorHAnsi" w:hAnsiTheme="minorHAnsi"/>
          <w:sz w:val="24"/>
        </w:rPr>
        <w:t>-</w:t>
      </w:r>
      <w:r w:rsidR="005327D7">
        <w:rPr>
          <w:rFonts w:asciiTheme="minorHAnsi" w:hAnsiTheme="minorHAnsi"/>
          <w:sz w:val="24"/>
        </w:rPr>
        <w:t xml:space="preserve">controlled </w:t>
      </w:r>
      <w:r w:rsidR="007A22C0" w:rsidRPr="005327D7">
        <w:rPr>
          <w:rFonts w:asciiTheme="minorHAnsi" w:hAnsiTheme="minorHAnsi"/>
          <w:sz w:val="24"/>
        </w:rPr>
        <w:t xml:space="preserve">trial </w:t>
      </w:r>
      <w:r w:rsidR="00FC6FCB" w:rsidRPr="005327D7">
        <w:rPr>
          <w:rFonts w:asciiTheme="minorHAnsi" w:hAnsiTheme="minorHAnsi"/>
          <w:sz w:val="24"/>
        </w:rPr>
        <w:t xml:space="preserve">in </w:t>
      </w:r>
      <w:r w:rsidR="00D53337" w:rsidRPr="005327D7">
        <w:rPr>
          <w:rFonts w:asciiTheme="minorHAnsi" w:hAnsiTheme="minorHAnsi"/>
          <w:sz w:val="24"/>
        </w:rPr>
        <w:t>JIA</w:t>
      </w:r>
      <w:r w:rsidR="007A22C0" w:rsidRPr="005327D7">
        <w:rPr>
          <w:rFonts w:asciiTheme="minorHAnsi" w:hAnsiTheme="minorHAnsi"/>
          <w:sz w:val="24"/>
        </w:rPr>
        <w:t>-</w:t>
      </w:r>
      <w:r w:rsidR="00D53337" w:rsidRPr="005327D7">
        <w:rPr>
          <w:rFonts w:asciiTheme="minorHAnsi" w:hAnsiTheme="minorHAnsi"/>
          <w:sz w:val="24"/>
        </w:rPr>
        <w:t xml:space="preserve">associated uveitis, </w:t>
      </w:r>
      <w:r w:rsidR="00B412EB" w:rsidRPr="005327D7">
        <w:rPr>
          <w:rFonts w:asciiTheme="minorHAnsi" w:hAnsiTheme="minorHAnsi"/>
          <w:sz w:val="24"/>
        </w:rPr>
        <w:t>treatment</w:t>
      </w:r>
      <w:r w:rsidR="00D53337" w:rsidRPr="005327D7">
        <w:rPr>
          <w:rFonts w:asciiTheme="minorHAnsi" w:hAnsiTheme="minorHAnsi"/>
          <w:sz w:val="24"/>
        </w:rPr>
        <w:t xml:space="preserve"> with adalimumab </w:t>
      </w:r>
      <w:r w:rsidR="004C4592" w:rsidRPr="005327D7">
        <w:rPr>
          <w:rFonts w:asciiTheme="minorHAnsi" w:hAnsiTheme="minorHAnsi"/>
          <w:sz w:val="24"/>
        </w:rPr>
        <w:t>significantly</w:t>
      </w:r>
      <w:r w:rsidR="00D53337" w:rsidRPr="005327D7">
        <w:rPr>
          <w:rFonts w:asciiTheme="minorHAnsi" w:hAnsiTheme="minorHAnsi"/>
          <w:sz w:val="24"/>
        </w:rPr>
        <w:t xml:space="preserve"> </w:t>
      </w:r>
      <w:r w:rsidRPr="005327D7">
        <w:rPr>
          <w:rFonts w:asciiTheme="minorHAnsi" w:hAnsiTheme="minorHAnsi"/>
          <w:sz w:val="24"/>
        </w:rPr>
        <w:t xml:space="preserve">delayed time to </w:t>
      </w:r>
      <w:r w:rsidR="00D53337" w:rsidRPr="005327D7">
        <w:rPr>
          <w:rFonts w:asciiTheme="minorHAnsi" w:hAnsiTheme="minorHAnsi"/>
          <w:sz w:val="24"/>
        </w:rPr>
        <w:t>treatment failure</w:t>
      </w:r>
      <w:r w:rsidR="00613C79" w:rsidRPr="005327D7">
        <w:rPr>
          <w:rFonts w:asciiTheme="minorHAnsi" w:hAnsiTheme="minorHAnsi"/>
          <w:sz w:val="24"/>
        </w:rPr>
        <w:t xml:space="preserve"> compared with </w:t>
      </w:r>
      <w:r w:rsidR="005364C4" w:rsidRPr="005327D7">
        <w:rPr>
          <w:rFonts w:asciiTheme="minorHAnsi" w:hAnsiTheme="minorHAnsi"/>
          <w:sz w:val="24"/>
        </w:rPr>
        <w:t xml:space="preserve">MTX </w:t>
      </w:r>
      <w:r w:rsidR="00613C79" w:rsidRPr="005327D7">
        <w:rPr>
          <w:rFonts w:asciiTheme="minorHAnsi" w:hAnsiTheme="minorHAnsi"/>
          <w:sz w:val="24"/>
        </w:rPr>
        <w:t>alone</w:t>
      </w:r>
      <w:r w:rsidRPr="005327D7">
        <w:rPr>
          <w:rFonts w:asciiTheme="minorHAnsi" w:hAnsiTheme="minorHAnsi"/>
          <w:sz w:val="24"/>
        </w:rPr>
        <w:t xml:space="preserve"> (p&lt;0.0001; HR 0.25 (95% CI 0.12</w:t>
      </w:r>
      <w:r w:rsidR="00BF3CDD" w:rsidRPr="005327D7">
        <w:rPr>
          <w:rFonts w:asciiTheme="minorHAnsi" w:hAnsiTheme="minorHAnsi"/>
          <w:sz w:val="24"/>
        </w:rPr>
        <w:t>,</w:t>
      </w:r>
      <w:r w:rsidRPr="005327D7">
        <w:rPr>
          <w:rFonts w:asciiTheme="minorHAnsi" w:hAnsiTheme="minorHAnsi"/>
          <w:sz w:val="24"/>
        </w:rPr>
        <w:t>0.49))</w:t>
      </w:r>
      <w:r w:rsidR="00D53337" w:rsidRPr="005327D7">
        <w:rPr>
          <w:rFonts w:asciiTheme="minorHAnsi" w:hAnsiTheme="minorHAnsi"/>
          <w:sz w:val="24"/>
        </w:rPr>
        <w:t>.</w:t>
      </w:r>
      <w:r w:rsidR="005327D7">
        <w:rPr>
          <w:rFonts w:asciiTheme="minorHAnsi" w:hAnsiTheme="minorHAnsi"/>
          <w:sz w:val="24"/>
        </w:rPr>
        <w:t xml:space="preserve"> </w:t>
      </w:r>
      <w:r w:rsidR="008F40B6" w:rsidRPr="005327D7">
        <w:rPr>
          <w:rFonts w:asciiTheme="minorHAnsi" w:hAnsiTheme="minorHAnsi"/>
          <w:sz w:val="24"/>
        </w:rPr>
        <w:t>A</w:t>
      </w:r>
      <w:r w:rsidR="00FC6FCB" w:rsidRPr="005327D7">
        <w:rPr>
          <w:rFonts w:asciiTheme="minorHAnsi" w:hAnsiTheme="minorHAnsi"/>
          <w:sz w:val="24"/>
        </w:rPr>
        <w:t xml:space="preserve"> </w:t>
      </w:r>
      <w:r w:rsidR="004315BB" w:rsidRPr="005327D7">
        <w:rPr>
          <w:rFonts w:asciiTheme="minorHAnsi" w:hAnsiTheme="minorHAnsi"/>
          <w:sz w:val="24"/>
        </w:rPr>
        <w:t>s</w:t>
      </w:r>
      <w:r w:rsidR="00A712B7" w:rsidRPr="005327D7">
        <w:rPr>
          <w:rFonts w:asciiTheme="minorHAnsi" w:hAnsiTheme="minorHAnsi"/>
          <w:sz w:val="24"/>
        </w:rPr>
        <w:t xml:space="preserve">ignificantly greater </w:t>
      </w:r>
      <w:r w:rsidR="004315BB" w:rsidRPr="005327D7">
        <w:rPr>
          <w:rFonts w:asciiTheme="minorHAnsi" w:hAnsiTheme="minorHAnsi"/>
          <w:sz w:val="24"/>
        </w:rPr>
        <w:t>proportion</w:t>
      </w:r>
      <w:r w:rsidR="00A712B7" w:rsidRPr="005327D7">
        <w:rPr>
          <w:rFonts w:asciiTheme="minorHAnsi" w:hAnsiTheme="minorHAnsi"/>
          <w:sz w:val="24"/>
        </w:rPr>
        <w:t xml:space="preserve"> </w:t>
      </w:r>
      <w:r w:rsidR="008F40B6" w:rsidRPr="005327D7">
        <w:rPr>
          <w:rFonts w:asciiTheme="minorHAnsi" w:hAnsiTheme="minorHAnsi"/>
          <w:sz w:val="24"/>
        </w:rPr>
        <w:t xml:space="preserve">of adalimumab-treated patients, when compared with placebo-treated patients, </w:t>
      </w:r>
      <w:r w:rsidR="00A712B7" w:rsidRPr="005327D7">
        <w:rPr>
          <w:rFonts w:asciiTheme="minorHAnsi" w:hAnsiTheme="minorHAnsi"/>
          <w:sz w:val="24"/>
        </w:rPr>
        <w:t xml:space="preserve">had a reduction in their topical corticosteroid dose </w:t>
      </w:r>
      <w:r w:rsidR="0061148F" w:rsidRPr="005327D7">
        <w:rPr>
          <w:rFonts w:asciiTheme="minorHAnsi" w:hAnsiTheme="minorHAnsi"/>
          <w:sz w:val="24"/>
        </w:rPr>
        <w:t>(HR</w:t>
      </w:r>
      <w:r w:rsidR="00F4235E" w:rsidRPr="005327D7">
        <w:rPr>
          <w:rFonts w:asciiTheme="minorHAnsi" w:hAnsiTheme="minorHAnsi"/>
          <w:sz w:val="24"/>
        </w:rPr>
        <w:t xml:space="preserve"> </w:t>
      </w:r>
      <w:r w:rsidR="0061148F" w:rsidRPr="005327D7">
        <w:rPr>
          <w:rFonts w:asciiTheme="minorHAnsi" w:hAnsiTheme="minorHAnsi"/>
          <w:sz w:val="24"/>
        </w:rPr>
        <w:t>3.4</w:t>
      </w:r>
      <w:r w:rsidR="000655DE" w:rsidRPr="005327D7">
        <w:rPr>
          <w:rFonts w:asciiTheme="minorHAnsi" w:hAnsiTheme="minorHAnsi"/>
          <w:sz w:val="24"/>
        </w:rPr>
        <w:t>7</w:t>
      </w:r>
      <w:r w:rsidR="0061148F" w:rsidRPr="005327D7">
        <w:rPr>
          <w:rFonts w:asciiTheme="minorHAnsi" w:hAnsiTheme="minorHAnsi"/>
          <w:sz w:val="24"/>
        </w:rPr>
        <w:t xml:space="preserve"> (1.0</w:t>
      </w:r>
      <w:r w:rsidR="000655DE" w:rsidRPr="005327D7">
        <w:rPr>
          <w:rFonts w:asciiTheme="minorHAnsi" w:hAnsiTheme="minorHAnsi"/>
          <w:sz w:val="24"/>
        </w:rPr>
        <w:t>1</w:t>
      </w:r>
      <w:r w:rsidR="0061148F" w:rsidRPr="005327D7">
        <w:rPr>
          <w:rFonts w:asciiTheme="minorHAnsi" w:hAnsiTheme="minorHAnsi"/>
          <w:sz w:val="24"/>
        </w:rPr>
        <w:t>, 11.9</w:t>
      </w:r>
      <w:r w:rsidR="000655DE" w:rsidRPr="005327D7">
        <w:rPr>
          <w:rFonts w:asciiTheme="minorHAnsi" w:hAnsiTheme="minorHAnsi"/>
          <w:sz w:val="24"/>
        </w:rPr>
        <w:t>5</w:t>
      </w:r>
      <w:r w:rsidR="0061148F" w:rsidRPr="005327D7">
        <w:rPr>
          <w:rFonts w:asciiTheme="minorHAnsi" w:hAnsiTheme="minorHAnsi"/>
          <w:sz w:val="24"/>
        </w:rPr>
        <w:t>), p=0.04</w:t>
      </w:r>
      <w:r w:rsidR="000655DE" w:rsidRPr="005327D7">
        <w:rPr>
          <w:rFonts w:asciiTheme="minorHAnsi" w:hAnsiTheme="minorHAnsi"/>
          <w:sz w:val="24"/>
        </w:rPr>
        <w:t>9</w:t>
      </w:r>
      <w:r w:rsidR="0061148F" w:rsidRPr="005327D7">
        <w:rPr>
          <w:rFonts w:asciiTheme="minorHAnsi" w:hAnsiTheme="minorHAnsi"/>
          <w:sz w:val="24"/>
        </w:rPr>
        <w:t xml:space="preserve">). </w:t>
      </w:r>
      <w:r w:rsidR="00FC6FCB" w:rsidRPr="005327D7">
        <w:rPr>
          <w:rFonts w:asciiTheme="minorHAnsi" w:hAnsiTheme="minorHAnsi"/>
          <w:sz w:val="24"/>
        </w:rPr>
        <w:t xml:space="preserve">A </w:t>
      </w:r>
      <w:r w:rsidR="0061148F" w:rsidRPr="005327D7">
        <w:rPr>
          <w:rFonts w:asciiTheme="minorHAnsi" w:hAnsiTheme="minorHAnsi"/>
          <w:sz w:val="24"/>
        </w:rPr>
        <w:t>significant</w:t>
      </w:r>
      <w:r w:rsidR="00FC6FCB" w:rsidRPr="005327D7">
        <w:rPr>
          <w:rFonts w:asciiTheme="minorHAnsi" w:hAnsiTheme="minorHAnsi"/>
          <w:sz w:val="24"/>
        </w:rPr>
        <w:t xml:space="preserve">ly greater </w:t>
      </w:r>
      <w:r w:rsidR="0061148F" w:rsidRPr="005327D7">
        <w:rPr>
          <w:rFonts w:asciiTheme="minorHAnsi" w:hAnsiTheme="minorHAnsi"/>
          <w:sz w:val="24"/>
        </w:rPr>
        <w:t xml:space="preserve">number of </w:t>
      </w:r>
      <w:r w:rsidR="00FC6FCB" w:rsidRPr="005327D7">
        <w:rPr>
          <w:rFonts w:asciiTheme="minorHAnsi" w:hAnsiTheme="minorHAnsi"/>
          <w:sz w:val="24"/>
        </w:rPr>
        <w:t xml:space="preserve">adalimumab-treated </w:t>
      </w:r>
      <w:r w:rsidR="0061148F" w:rsidRPr="005327D7">
        <w:rPr>
          <w:rFonts w:asciiTheme="minorHAnsi" w:hAnsiTheme="minorHAnsi"/>
          <w:sz w:val="24"/>
        </w:rPr>
        <w:t xml:space="preserve">patients </w:t>
      </w:r>
      <w:r w:rsidR="0025665A" w:rsidRPr="005327D7">
        <w:rPr>
          <w:rFonts w:asciiTheme="minorHAnsi" w:hAnsiTheme="minorHAnsi"/>
          <w:sz w:val="24"/>
        </w:rPr>
        <w:t>discontinued</w:t>
      </w:r>
      <w:r w:rsidR="0061148F" w:rsidRPr="005327D7">
        <w:rPr>
          <w:rFonts w:asciiTheme="minorHAnsi" w:hAnsiTheme="minorHAnsi"/>
          <w:sz w:val="24"/>
        </w:rPr>
        <w:t xml:space="preserve"> topical </w:t>
      </w:r>
      <w:r w:rsidR="009714D2" w:rsidRPr="005327D7">
        <w:rPr>
          <w:rFonts w:asciiTheme="minorHAnsi" w:hAnsiTheme="minorHAnsi"/>
          <w:sz w:val="24"/>
        </w:rPr>
        <w:t>glucocorticoids</w:t>
      </w:r>
      <w:r w:rsidR="0061148F" w:rsidRPr="005327D7">
        <w:rPr>
          <w:rFonts w:asciiTheme="minorHAnsi" w:hAnsiTheme="minorHAnsi"/>
          <w:sz w:val="24"/>
        </w:rPr>
        <w:t xml:space="preserve"> (HR 3.</w:t>
      </w:r>
      <w:r w:rsidR="00CE57D3" w:rsidRPr="005327D7">
        <w:rPr>
          <w:rFonts w:asciiTheme="minorHAnsi" w:hAnsiTheme="minorHAnsi"/>
          <w:sz w:val="24"/>
        </w:rPr>
        <w:t>38</w:t>
      </w:r>
      <w:r w:rsidR="0061148F" w:rsidRPr="005327D7">
        <w:rPr>
          <w:rFonts w:asciiTheme="minorHAnsi" w:hAnsiTheme="minorHAnsi"/>
          <w:sz w:val="24"/>
        </w:rPr>
        <w:t xml:space="preserve"> (1.2</w:t>
      </w:r>
      <w:r w:rsidR="00CE57D3" w:rsidRPr="005327D7">
        <w:rPr>
          <w:rFonts w:asciiTheme="minorHAnsi" w:hAnsiTheme="minorHAnsi"/>
          <w:sz w:val="24"/>
        </w:rPr>
        <w:t>4</w:t>
      </w:r>
      <w:r w:rsidR="0061148F" w:rsidRPr="005327D7">
        <w:rPr>
          <w:rFonts w:asciiTheme="minorHAnsi" w:hAnsiTheme="minorHAnsi"/>
          <w:sz w:val="24"/>
        </w:rPr>
        <w:t>, 10.3</w:t>
      </w:r>
      <w:r w:rsidR="00CE57D3" w:rsidRPr="005327D7">
        <w:rPr>
          <w:rFonts w:asciiTheme="minorHAnsi" w:hAnsiTheme="minorHAnsi"/>
          <w:sz w:val="24"/>
        </w:rPr>
        <w:t>2</w:t>
      </w:r>
      <w:r w:rsidR="0061148F" w:rsidRPr="005327D7">
        <w:rPr>
          <w:rFonts w:asciiTheme="minorHAnsi" w:hAnsiTheme="minorHAnsi"/>
          <w:sz w:val="24"/>
        </w:rPr>
        <w:t>), p=0.0</w:t>
      </w:r>
      <w:r w:rsidR="003729DC" w:rsidRPr="005327D7">
        <w:rPr>
          <w:rFonts w:asciiTheme="minorHAnsi" w:hAnsiTheme="minorHAnsi"/>
          <w:sz w:val="24"/>
        </w:rPr>
        <w:t>2</w:t>
      </w:r>
      <w:r w:rsidR="0061148F" w:rsidRPr="005327D7">
        <w:rPr>
          <w:rFonts w:asciiTheme="minorHAnsi" w:hAnsiTheme="minorHAnsi"/>
          <w:sz w:val="24"/>
        </w:rPr>
        <w:t xml:space="preserve">). </w:t>
      </w:r>
    </w:p>
    <w:p w14:paraId="65949C3E" w14:textId="77777777" w:rsidR="005327D7" w:rsidRPr="005327D7" w:rsidRDefault="005327D7" w:rsidP="005327D7">
      <w:pPr>
        <w:pStyle w:val="NoSpacing"/>
      </w:pPr>
    </w:p>
    <w:p w14:paraId="4BC0D365" w14:textId="3422B79F" w:rsidR="00C61618" w:rsidRPr="005327D7" w:rsidRDefault="008F40B6" w:rsidP="005327D7">
      <w:pPr>
        <w:pStyle w:val="NoSpacing"/>
        <w:spacing w:line="480" w:lineRule="auto"/>
        <w:jc w:val="left"/>
        <w:rPr>
          <w:rFonts w:asciiTheme="minorHAnsi" w:hAnsiTheme="minorHAnsi"/>
          <w:sz w:val="24"/>
        </w:rPr>
      </w:pPr>
      <w:r w:rsidRPr="005327D7">
        <w:rPr>
          <w:rFonts w:asciiTheme="minorHAnsi" w:hAnsiTheme="minorHAnsi"/>
          <w:sz w:val="24"/>
        </w:rPr>
        <w:t>However, there</w:t>
      </w:r>
      <w:r w:rsidR="000005E0" w:rsidRPr="005327D7">
        <w:rPr>
          <w:rFonts w:asciiTheme="minorHAnsi" w:hAnsiTheme="minorHAnsi"/>
          <w:sz w:val="24"/>
        </w:rPr>
        <w:t xml:space="preserve"> were </w:t>
      </w:r>
      <w:r w:rsidR="00A52332" w:rsidRPr="005327D7">
        <w:rPr>
          <w:rFonts w:asciiTheme="minorHAnsi" w:hAnsiTheme="minorHAnsi"/>
          <w:sz w:val="24"/>
        </w:rPr>
        <w:t xml:space="preserve">many </w:t>
      </w:r>
      <w:r w:rsidR="000005E0" w:rsidRPr="005327D7">
        <w:rPr>
          <w:rFonts w:asciiTheme="minorHAnsi" w:hAnsiTheme="minorHAnsi"/>
          <w:sz w:val="24"/>
        </w:rPr>
        <w:t xml:space="preserve">more adverse events and </w:t>
      </w:r>
      <w:r w:rsidR="00A52332" w:rsidRPr="005327D7">
        <w:rPr>
          <w:rFonts w:asciiTheme="minorHAnsi" w:hAnsiTheme="minorHAnsi"/>
          <w:sz w:val="24"/>
        </w:rPr>
        <w:t xml:space="preserve">more </w:t>
      </w:r>
      <w:r w:rsidR="000005E0" w:rsidRPr="005327D7">
        <w:rPr>
          <w:rFonts w:asciiTheme="minorHAnsi" w:hAnsiTheme="minorHAnsi"/>
          <w:sz w:val="24"/>
        </w:rPr>
        <w:t xml:space="preserve">severe adverse events in the </w:t>
      </w:r>
      <w:r w:rsidR="00A121AC" w:rsidRPr="005327D7">
        <w:rPr>
          <w:rFonts w:asciiTheme="minorHAnsi" w:hAnsiTheme="minorHAnsi"/>
          <w:sz w:val="24"/>
        </w:rPr>
        <w:t>adalimumab</w:t>
      </w:r>
      <w:r w:rsidR="000005E0" w:rsidRPr="005327D7">
        <w:rPr>
          <w:rFonts w:asciiTheme="minorHAnsi" w:hAnsiTheme="minorHAnsi"/>
          <w:sz w:val="24"/>
        </w:rPr>
        <w:t xml:space="preserve"> group than in the placebo group. </w:t>
      </w:r>
      <w:r w:rsidR="00522ECD" w:rsidRPr="005327D7">
        <w:rPr>
          <w:rFonts w:asciiTheme="minorHAnsi" w:hAnsiTheme="minorHAnsi"/>
          <w:sz w:val="24"/>
        </w:rPr>
        <w:t xml:space="preserve">The </w:t>
      </w:r>
      <w:r w:rsidR="000005E0" w:rsidRPr="005327D7">
        <w:rPr>
          <w:rFonts w:asciiTheme="minorHAnsi" w:hAnsiTheme="minorHAnsi"/>
          <w:sz w:val="24"/>
        </w:rPr>
        <w:t xml:space="preserve">most </w:t>
      </w:r>
      <w:r w:rsidR="00522ECD" w:rsidRPr="005327D7">
        <w:rPr>
          <w:rFonts w:asciiTheme="minorHAnsi" w:hAnsiTheme="minorHAnsi"/>
          <w:sz w:val="24"/>
        </w:rPr>
        <w:t>common adverse events</w:t>
      </w:r>
      <w:r w:rsidR="009A2AD9" w:rsidRPr="005327D7">
        <w:rPr>
          <w:rFonts w:asciiTheme="minorHAnsi" w:hAnsiTheme="minorHAnsi"/>
          <w:sz w:val="24"/>
        </w:rPr>
        <w:t xml:space="preserve"> </w:t>
      </w:r>
      <w:r w:rsidR="00B412EB" w:rsidRPr="005327D7">
        <w:rPr>
          <w:rFonts w:asciiTheme="minorHAnsi" w:hAnsiTheme="minorHAnsi"/>
          <w:sz w:val="24"/>
        </w:rPr>
        <w:t xml:space="preserve">in the adalimumab group </w:t>
      </w:r>
      <w:r w:rsidR="00522ECD" w:rsidRPr="005327D7">
        <w:rPr>
          <w:rFonts w:asciiTheme="minorHAnsi" w:hAnsiTheme="minorHAnsi"/>
          <w:sz w:val="24"/>
        </w:rPr>
        <w:t xml:space="preserve">were </w:t>
      </w:r>
      <w:r w:rsidR="0061148F" w:rsidRPr="005327D7">
        <w:rPr>
          <w:rFonts w:asciiTheme="minorHAnsi" w:hAnsiTheme="minorHAnsi"/>
          <w:sz w:val="24"/>
        </w:rPr>
        <w:t xml:space="preserve">minor </w:t>
      </w:r>
      <w:r w:rsidR="00BC507B" w:rsidRPr="005327D7">
        <w:rPr>
          <w:rFonts w:asciiTheme="minorHAnsi" w:hAnsiTheme="minorHAnsi"/>
          <w:sz w:val="24"/>
        </w:rPr>
        <w:t xml:space="preserve">infections, </w:t>
      </w:r>
      <w:r w:rsidR="00B412EB" w:rsidRPr="005327D7">
        <w:rPr>
          <w:rFonts w:asciiTheme="minorHAnsi" w:hAnsiTheme="minorHAnsi"/>
          <w:sz w:val="24"/>
        </w:rPr>
        <w:t>respiratory disorders</w:t>
      </w:r>
      <w:r w:rsidR="0061148F" w:rsidRPr="005327D7">
        <w:rPr>
          <w:rFonts w:asciiTheme="minorHAnsi" w:hAnsiTheme="minorHAnsi"/>
          <w:sz w:val="24"/>
        </w:rPr>
        <w:t xml:space="preserve"> </w:t>
      </w:r>
      <w:r w:rsidR="00B412EB" w:rsidRPr="005327D7">
        <w:rPr>
          <w:rFonts w:asciiTheme="minorHAnsi" w:hAnsiTheme="minorHAnsi"/>
          <w:sz w:val="24"/>
        </w:rPr>
        <w:t>and gastrointestinal disorders</w:t>
      </w:r>
      <w:r w:rsidR="00522ECD" w:rsidRPr="005327D7">
        <w:rPr>
          <w:rFonts w:asciiTheme="minorHAnsi" w:hAnsiTheme="minorHAnsi"/>
          <w:sz w:val="24"/>
        </w:rPr>
        <w:t>.</w:t>
      </w:r>
      <w:r w:rsidR="005327D7">
        <w:rPr>
          <w:rFonts w:asciiTheme="minorHAnsi" w:hAnsiTheme="minorHAnsi"/>
          <w:sz w:val="24"/>
        </w:rPr>
        <w:t xml:space="preserve"> </w:t>
      </w:r>
      <w:r w:rsidR="00883CF3" w:rsidRPr="005327D7">
        <w:rPr>
          <w:rFonts w:asciiTheme="minorHAnsi" w:hAnsiTheme="minorHAnsi"/>
          <w:sz w:val="24"/>
        </w:rPr>
        <w:t xml:space="preserve">The rate of adverse events </w:t>
      </w:r>
      <w:r w:rsidR="000F47C7" w:rsidRPr="005327D7">
        <w:rPr>
          <w:rFonts w:asciiTheme="minorHAnsi" w:hAnsiTheme="minorHAnsi"/>
          <w:sz w:val="24"/>
        </w:rPr>
        <w:t xml:space="preserve">per patient year </w:t>
      </w:r>
      <w:r w:rsidR="00F3143D" w:rsidRPr="005327D7">
        <w:rPr>
          <w:rFonts w:asciiTheme="minorHAnsi" w:hAnsiTheme="minorHAnsi"/>
          <w:sz w:val="24"/>
        </w:rPr>
        <w:t>was</w:t>
      </w:r>
      <w:r w:rsidR="00883CF3" w:rsidRPr="005327D7">
        <w:rPr>
          <w:rFonts w:asciiTheme="minorHAnsi" w:hAnsiTheme="minorHAnsi"/>
          <w:sz w:val="24"/>
        </w:rPr>
        <w:t xml:space="preserve"> higher in the </w:t>
      </w:r>
      <w:r w:rsidR="00A52332" w:rsidRPr="005327D7">
        <w:rPr>
          <w:rFonts w:asciiTheme="minorHAnsi" w:hAnsiTheme="minorHAnsi"/>
          <w:sz w:val="24"/>
        </w:rPr>
        <w:t>adalimumab-</w:t>
      </w:r>
      <w:r w:rsidR="00883CF3" w:rsidRPr="005327D7">
        <w:rPr>
          <w:rFonts w:asciiTheme="minorHAnsi" w:hAnsiTheme="minorHAnsi"/>
          <w:sz w:val="24"/>
        </w:rPr>
        <w:t>treated group</w:t>
      </w:r>
      <w:r w:rsidR="00F3143D" w:rsidRPr="005327D7">
        <w:rPr>
          <w:rFonts w:asciiTheme="minorHAnsi" w:hAnsiTheme="minorHAnsi"/>
          <w:sz w:val="24"/>
        </w:rPr>
        <w:t xml:space="preserve"> </w:t>
      </w:r>
      <w:r w:rsidR="000F47C7" w:rsidRPr="005327D7">
        <w:rPr>
          <w:rFonts w:asciiTheme="minorHAnsi" w:hAnsiTheme="minorHAnsi"/>
          <w:sz w:val="24"/>
        </w:rPr>
        <w:t>(10.07 vs 6.57)</w:t>
      </w:r>
      <w:r w:rsidR="005327D7">
        <w:rPr>
          <w:rFonts w:asciiTheme="minorHAnsi" w:hAnsiTheme="minorHAnsi"/>
          <w:sz w:val="24"/>
        </w:rPr>
        <w:t xml:space="preserve">. </w:t>
      </w:r>
      <w:r w:rsidR="000F47C7" w:rsidRPr="005327D7">
        <w:rPr>
          <w:rFonts w:asciiTheme="minorHAnsi" w:hAnsiTheme="minorHAnsi"/>
          <w:sz w:val="24"/>
        </w:rPr>
        <w:t>The number of SAEs was also higher in the adalimumab</w:t>
      </w:r>
      <w:r w:rsidR="00A52332" w:rsidRPr="005327D7">
        <w:rPr>
          <w:rFonts w:asciiTheme="minorHAnsi" w:hAnsiTheme="minorHAnsi"/>
          <w:sz w:val="24"/>
        </w:rPr>
        <w:t>-</w:t>
      </w:r>
      <w:r w:rsidR="000F47C7" w:rsidRPr="005327D7">
        <w:rPr>
          <w:rFonts w:asciiTheme="minorHAnsi" w:hAnsiTheme="minorHAnsi"/>
          <w:sz w:val="24"/>
        </w:rPr>
        <w:t>treated group</w:t>
      </w:r>
      <w:r w:rsidR="00004E70" w:rsidRPr="005327D7">
        <w:rPr>
          <w:rFonts w:asciiTheme="minorHAnsi" w:hAnsiTheme="minorHAnsi"/>
          <w:sz w:val="24"/>
        </w:rPr>
        <w:t xml:space="preserve">. </w:t>
      </w:r>
      <w:r w:rsidR="00C61618" w:rsidRPr="005327D7">
        <w:rPr>
          <w:rFonts w:asciiTheme="minorHAnsi" w:hAnsiTheme="minorHAnsi"/>
          <w:sz w:val="24"/>
        </w:rPr>
        <w:t>T</w:t>
      </w:r>
      <w:r w:rsidR="00B412EB" w:rsidRPr="005327D7">
        <w:rPr>
          <w:rFonts w:asciiTheme="minorHAnsi" w:hAnsiTheme="minorHAnsi"/>
          <w:sz w:val="24"/>
        </w:rPr>
        <w:t>he follow</w:t>
      </w:r>
      <w:r w:rsidR="00270681" w:rsidRPr="005327D7">
        <w:rPr>
          <w:rFonts w:asciiTheme="minorHAnsi" w:hAnsiTheme="minorHAnsi"/>
          <w:sz w:val="24"/>
        </w:rPr>
        <w:t>-</w:t>
      </w:r>
      <w:r w:rsidR="00B412EB" w:rsidRPr="005327D7">
        <w:rPr>
          <w:rFonts w:asciiTheme="minorHAnsi" w:hAnsiTheme="minorHAnsi"/>
          <w:sz w:val="24"/>
        </w:rPr>
        <w:t xml:space="preserve">up period during the course of the study </w:t>
      </w:r>
      <w:r w:rsidR="00AF0778" w:rsidRPr="005327D7">
        <w:rPr>
          <w:rFonts w:asciiTheme="minorHAnsi" w:hAnsiTheme="minorHAnsi"/>
          <w:sz w:val="24"/>
        </w:rPr>
        <w:t xml:space="preserve">was not long enough to detect </w:t>
      </w:r>
      <w:r w:rsidR="00B412EB" w:rsidRPr="005327D7">
        <w:rPr>
          <w:rFonts w:asciiTheme="minorHAnsi" w:hAnsiTheme="minorHAnsi"/>
          <w:sz w:val="24"/>
        </w:rPr>
        <w:t>events</w:t>
      </w:r>
      <w:r w:rsidR="00AF0778" w:rsidRPr="005327D7">
        <w:rPr>
          <w:rFonts w:asciiTheme="minorHAnsi" w:hAnsiTheme="minorHAnsi"/>
          <w:sz w:val="24"/>
        </w:rPr>
        <w:t xml:space="preserve"> such as malignancies and de-myelinating diseases</w:t>
      </w:r>
      <w:r w:rsidR="00B412EB" w:rsidRPr="005327D7">
        <w:rPr>
          <w:rFonts w:asciiTheme="minorHAnsi" w:hAnsiTheme="minorHAnsi"/>
          <w:sz w:val="24"/>
        </w:rPr>
        <w:t>.</w:t>
      </w:r>
      <w:r w:rsidR="00C60348" w:rsidRPr="005327D7">
        <w:rPr>
          <w:rFonts w:asciiTheme="minorHAnsi" w:hAnsiTheme="minorHAnsi"/>
          <w:sz w:val="24"/>
        </w:rPr>
        <w:t xml:space="preserve"> </w:t>
      </w:r>
      <w:r w:rsidR="00AF0778" w:rsidRPr="005327D7">
        <w:rPr>
          <w:rFonts w:asciiTheme="minorHAnsi" w:hAnsiTheme="minorHAnsi"/>
          <w:sz w:val="24"/>
        </w:rPr>
        <w:t>Sample size precludes commentary regarding rarer events.</w:t>
      </w:r>
    </w:p>
    <w:p w14:paraId="2A2B98E0" w14:textId="77777777" w:rsidR="005327D7" w:rsidRPr="005327D7" w:rsidRDefault="005327D7" w:rsidP="005327D7">
      <w:pPr>
        <w:pStyle w:val="NoSpacing"/>
      </w:pPr>
    </w:p>
    <w:p w14:paraId="3958A048" w14:textId="32EB2C20" w:rsidR="00433FAC" w:rsidRPr="005327D7" w:rsidRDefault="00DB054B" w:rsidP="005327D7">
      <w:pPr>
        <w:pStyle w:val="NoSpacing"/>
        <w:spacing w:line="480" w:lineRule="auto"/>
        <w:jc w:val="left"/>
        <w:rPr>
          <w:rFonts w:asciiTheme="minorHAnsi" w:hAnsiTheme="minorHAnsi"/>
          <w:sz w:val="24"/>
        </w:rPr>
      </w:pPr>
      <w:r w:rsidRPr="005327D7">
        <w:rPr>
          <w:rFonts w:asciiTheme="minorHAnsi" w:hAnsiTheme="minorHAnsi"/>
          <w:sz w:val="24"/>
        </w:rPr>
        <w:t>L</w:t>
      </w:r>
      <w:r w:rsidR="00522ECD" w:rsidRPr="005327D7">
        <w:rPr>
          <w:rFonts w:asciiTheme="minorHAnsi" w:hAnsiTheme="minorHAnsi"/>
          <w:sz w:val="24"/>
        </w:rPr>
        <w:t xml:space="preserve">imitations of the study </w:t>
      </w:r>
      <w:r w:rsidR="00B73048" w:rsidRPr="005327D7">
        <w:rPr>
          <w:rFonts w:asciiTheme="minorHAnsi" w:hAnsiTheme="minorHAnsi"/>
          <w:sz w:val="24"/>
        </w:rPr>
        <w:t xml:space="preserve">include the use of </w:t>
      </w:r>
      <w:r w:rsidR="003D539E" w:rsidRPr="005327D7">
        <w:rPr>
          <w:rFonts w:asciiTheme="minorHAnsi" w:hAnsiTheme="minorHAnsi"/>
          <w:sz w:val="24"/>
        </w:rPr>
        <w:t xml:space="preserve">anterior chamber </w:t>
      </w:r>
      <w:r w:rsidR="00F35094" w:rsidRPr="005327D7">
        <w:rPr>
          <w:rFonts w:asciiTheme="minorHAnsi" w:hAnsiTheme="minorHAnsi"/>
          <w:sz w:val="24"/>
        </w:rPr>
        <w:t>cell count (SUN criteria)</w:t>
      </w:r>
      <w:r w:rsidR="00B73048" w:rsidRPr="005327D7">
        <w:rPr>
          <w:rFonts w:asciiTheme="minorHAnsi" w:hAnsiTheme="minorHAnsi"/>
          <w:sz w:val="24"/>
        </w:rPr>
        <w:t xml:space="preserve"> </w:t>
      </w:r>
      <w:r w:rsidR="009E506D" w:rsidRPr="005327D7">
        <w:rPr>
          <w:rFonts w:asciiTheme="minorHAnsi" w:hAnsiTheme="minorHAnsi"/>
          <w:sz w:val="24"/>
        </w:rPr>
        <w:t>as a component of</w:t>
      </w:r>
      <w:r w:rsidR="005327D7">
        <w:rPr>
          <w:rFonts w:asciiTheme="minorHAnsi" w:hAnsiTheme="minorHAnsi"/>
          <w:sz w:val="24"/>
        </w:rPr>
        <w:t xml:space="preserve"> the primary outcome. </w:t>
      </w:r>
      <w:r w:rsidR="00B73048" w:rsidRPr="005327D7">
        <w:rPr>
          <w:rFonts w:asciiTheme="minorHAnsi" w:hAnsiTheme="minorHAnsi"/>
          <w:sz w:val="24"/>
        </w:rPr>
        <w:t>Although</w:t>
      </w:r>
      <w:r w:rsidR="00433FAC" w:rsidRPr="005327D7">
        <w:rPr>
          <w:rFonts w:asciiTheme="minorHAnsi" w:hAnsiTheme="minorHAnsi"/>
          <w:sz w:val="24"/>
        </w:rPr>
        <w:t xml:space="preserve"> internationally recognised</w:t>
      </w:r>
      <w:r w:rsidR="00B73048" w:rsidRPr="005327D7">
        <w:rPr>
          <w:rFonts w:asciiTheme="minorHAnsi" w:hAnsiTheme="minorHAnsi"/>
          <w:sz w:val="24"/>
        </w:rPr>
        <w:t xml:space="preserve">, </w:t>
      </w:r>
      <w:r w:rsidR="00433FAC" w:rsidRPr="005327D7">
        <w:rPr>
          <w:rFonts w:asciiTheme="minorHAnsi" w:hAnsiTheme="minorHAnsi"/>
          <w:sz w:val="24"/>
        </w:rPr>
        <w:t xml:space="preserve">the SUN criteria </w:t>
      </w:r>
      <w:r w:rsidR="009C5BEF" w:rsidRPr="005327D7">
        <w:rPr>
          <w:rFonts w:asciiTheme="minorHAnsi" w:hAnsiTheme="minorHAnsi"/>
          <w:sz w:val="24"/>
        </w:rPr>
        <w:t xml:space="preserve">have not been validated for use in children. </w:t>
      </w:r>
      <w:r w:rsidR="00B73048" w:rsidRPr="005327D7">
        <w:rPr>
          <w:rFonts w:asciiTheme="minorHAnsi" w:hAnsiTheme="minorHAnsi"/>
          <w:sz w:val="24"/>
        </w:rPr>
        <w:t>All participating</w:t>
      </w:r>
      <w:r w:rsidR="009C5BEF" w:rsidRPr="005327D7">
        <w:rPr>
          <w:rFonts w:asciiTheme="minorHAnsi" w:hAnsiTheme="minorHAnsi"/>
          <w:sz w:val="24"/>
        </w:rPr>
        <w:t xml:space="preserve"> clinicians were </w:t>
      </w:r>
      <w:r w:rsidR="00B73048" w:rsidRPr="005327D7">
        <w:rPr>
          <w:rFonts w:asciiTheme="minorHAnsi" w:hAnsiTheme="minorHAnsi"/>
          <w:sz w:val="24"/>
        </w:rPr>
        <w:t>instructed in the</w:t>
      </w:r>
      <w:r w:rsidR="009C5BEF" w:rsidRPr="005327D7">
        <w:rPr>
          <w:rFonts w:asciiTheme="minorHAnsi" w:hAnsiTheme="minorHAnsi"/>
          <w:sz w:val="24"/>
        </w:rPr>
        <w:t xml:space="preserve"> assess</w:t>
      </w:r>
      <w:r w:rsidR="00B73048" w:rsidRPr="005327D7">
        <w:rPr>
          <w:rFonts w:asciiTheme="minorHAnsi" w:hAnsiTheme="minorHAnsi"/>
          <w:sz w:val="24"/>
        </w:rPr>
        <w:t xml:space="preserve">ment of </w:t>
      </w:r>
      <w:r w:rsidR="009C5BEF" w:rsidRPr="005327D7">
        <w:rPr>
          <w:rFonts w:asciiTheme="minorHAnsi" w:hAnsiTheme="minorHAnsi"/>
          <w:sz w:val="24"/>
        </w:rPr>
        <w:t xml:space="preserve">SUN criteria. </w:t>
      </w:r>
    </w:p>
    <w:p w14:paraId="113AF2AF" w14:textId="77777777" w:rsidR="005327D7" w:rsidRPr="005327D7" w:rsidRDefault="005327D7" w:rsidP="005327D7">
      <w:pPr>
        <w:pStyle w:val="NoSpacing"/>
      </w:pPr>
    </w:p>
    <w:p w14:paraId="53041FD1" w14:textId="13355157" w:rsidR="00C50EA6" w:rsidRPr="005327D7" w:rsidRDefault="00433FAC" w:rsidP="005327D7">
      <w:pPr>
        <w:pStyle w:val="NoSpacing"/>
        <w:spacing w:line="480" w:lineRule="auto"/>
        <w:jc w:val="left"/>
        <w:rPr>
          <w:rFonts w:asciiTheme="minorHAnsi" w:hAnsiTheme="minorHAnsi"/>
          <w:sz w:val="24"/>
        </w:rPr>
      </w:pPr>
      <w:r w:rsidRPr="005327D7">
        <w:rPr>
          <w:rFonts w:asciiTheme="minorHAnsi" w:hAnsiTheme="minorHAnsi"/>
          <w:sz w:val="24"/>
        </w:rPr>
        <w:t>In conclusion, a</w:t>
      </w:r>
      <w:r w:rsidR="00522ECD" w:rsidRPr="005327D7">
        <w:rPr>
          <w:rFonts w:asciiTheme="minorHAnsi" w:hAnsiTheme="minorHAnsi"/>
          <w:sz w:val="24"/>
        </w:rPr>
        <w:t xml:space="preserve">dalimumab in combination with </w:t>
      </w:r>
      <w:r w:rsidR="00EF7E8A" w:rsidRPr="005327D7">
        <w:rPr>
          <w:rFonts w:asciiTheme="minorHAnsi" w:hAnsiTheme="minorHAnsi"/>
          <w:sz w:val="24"/>
        </w:rPr>
        <w:t>MTX</w:t>
      </w:r>
      <w:r w:rsidR="00DB054B" w:rsidRPr="005327D7">
        <w:rPr>
          <w:rFonts w:asciiTheme="minorHAnsi" w:hAnsiTheme="minorHAnsi"/>
          <w:sz w:val="24"/>
        </w:rPr>
        <w:t xml:space="preserve"> is </w:t>
      </w:r>
      <w:r w:rsidR="00522ECD" w:rsidRPr="005327D7">
        <w:rPr>
          <w:rFonts w:asciiTheme="minorHAnsi" w:hAnsiTheme="minorHAnsi"/>
          <w:sz w:val="24"/>
        </w:rPr>
        <w:t>an effective therapy for children with JIA</w:t>
      </w:r>
      <w:r w:rsidR="00DB054B" w:rsidRPr="005327D7">
        <w:rPr>
          <w:rFonts w:asciiTheme="minorHAnsi" w:hAnsiTheme="minorHAnsi"/>
          <w:sz w:val="24"/>
        </w:rPr>
        <w:t>-</w:t>
      </w:r>
      <w:r w:rsidR="00522ECD" w:rsidRPr="005327D7">
        <w:rPr>
          <w:rFonts w:asciiTheme="minorHAnsi" w:hAnsiTheme="minorHAnsi"/>
          <w:sz w:val="24"/>
        </w:rPr>
        <w:t>associated uveitis</w:t>
      </w:r>
      <w:r w:rsidR="008F40B6" w:rsidRPr="005327D7">
        <w:rPr>
          <w:rFonts w:asciiTheme="minorHAnsi" w:hAnsiTheme="minorHAnsi"/>
          <w:sz w:val="24"/>
        </w:rPr>
        <w:t xml:space="preserve"> although the drug is associated with a</w:t>
      </w:r>
      <w:r w:rsidR="00883CF3" w:rsidRPr="005327D7">
        <w:rPr>
          <w:rFonts w:asciiTheme="minorHAnsi" w:hAnsiTheme="minorHAnsi"/>
          <w:sz w:val="24"/>
        </w:rPr>
        <w:t xml:space="preserve"> higher incidence of adverse and serious adverse events.</w:t>
      </w:r>
    </w:p>
    <w:p w14:paraId="6441F030" w14:textId="77777777" w:rsidR="00602D9D" w:rsidRPr="00EE4F28" w:rsidRDefault="00602D9D" w:rsidP="00F274FD">
      <w:pPr>
        <w:spacing w:line="480" w:lineRule="auto"/>
        <w:rPr>
          <w:sz w:val="24"/>
          <w:szCs w:val="24"/>
        </w:rPr>
      </w:pPr>
    </w:p>
    <w:p w14:paraId="3ECEBB6E" w14:textId="77777777" w:rsidR="00F57657" w:rsidRDefault="00F57657" w:rsidP="00F57657">
      <w:pPr>
        <w:rPr>
          <w:b/>
          <w:sz w:val="24"/>
          <w:szCs w:val="24"/>
        </w:rPr>
      </w:pPr>
      <w:r>
        <w:rPr>
          <w:b/>
          <w:sz w:val="24"/>
          <w:szCs w:val="24"/>
        </w:rPr>
        <w:br w:type="page"/>
      </w:r>
    </w:p>
    <w:p w14:paraId="1BF9307F" w14:textId="77777777" w:rsidR="00F57657" w:rsidRPr="00F57657" w:rsidRDefault="00F57657" w:rsidP="00F57657">
      <w:pPr>
        <w:pStyle w:val="NoSpacing"/>
        <w:spacing w:line="480" w:lineRule="auto"/>
        <w:jc w:val="left"/>
        <w:rPr>
          <w:rFonts w:asciiTheme="minorHAnsi" w:hAnsiTheme="minorHAnsi"/>
          <w:b/>
          <w:sz w:val="24"/>
        </w:rPr>
      </w:pPr>
      <w:r w:rsidRPr="00F57657">
        <w:rPr>
          <w:rFonts w:asciiTheme="minorHAnsi" w:hAnsiTheme="minorHAnsi"/>
          <w:b/>
          <w:sz w:val="24"/>
        </w:rPr>
        <w:lastRenderedPageBreak/>
        <w:t>Disclosure:</w:t>
      </w:r>
    </w:p>
    <w:p w14:paraId="6DBFD275" w14:textId="77777777" w:rsidR="00F57657" w:rsidRPr="00F57657" w:rsidRDefault="00F57657" w:rsidP="00F57657">
      <w:pPr>
        <w:pStyle w:val="NoSpacing"/>
        <w:spacing w:line="480" w:lineRule="auto"/>
        <w:jc w:val="left"/>
        <w:rPr>
          <w:rFonts w:asciiTheme="minorHAnsi" w:hAnsiTheme="minorHAnsi"/>
          <w:sz w:val="24"/>
        </w:rPr>
      </w:pPr>
      <w:r w:rsidRPr="00AA11B3">
        <w:rPr>
          <w:rFonts w:asciiTheme="minorHAnsi" w:hAnsiTheme="minorHAnsi"/>
          <w:sz w:val="24"/>
        </w:rPr>
        <w:t>Disclosure forms provided by the authors are available with the full text of this article at NEJM.org.</w:t>
      </w:r>
    </w:p>
    <w:p w14:paraId="2428AF96" w14:textId="77777777" w:rsidR="00F57657" w:rsidRPr="00F57657" w:rsidRDefault="00F57657" w:rsidP="00F57657">
      <w:pPr>
        <w:pStyle w:val="NoSpacing"/>
        <w:jc w:val="left"/>
      </w:pPr>
    </w:p>
    <w:p w14:paraId="0F34E9E6" w14:textId="47E4E0F6" w:rsidR="00977FE9" w:rsidRPr="00F57657" w:rsidRDefault="00977FE9" w:rsidP="00F57657">
      <w:pPr>
        <w:pStyle w:val="NoSpacing"/>
        <w:spacing w:line="480" w:lineRule="auto"/>
        <w:jc w:val="left"/>
        <w:rPr>
          <w:rFonts w:asciiTheme="minorHAnsi" w:hAnsiTheme="minorHAnsi"/>
          <w:b/>
          <w:sz w:val="24"/>
        </w:rPr>
      </w:pPr>
      <w:r w:rsidRPr="00F57657">
        <w:rPr>
          <w:rFonts w:asciiTheme="minorHAnsi" w:hAnsiTheme="minorHAnsi"/>
          <w:b/>
          <w:sz w:val="24"/>
        </w:rPr>
        <w:t>Acknowledgements</w:t>
      </w:r>
      <w:r w:rsidR="00F57657" w:rsidRPr="00F57657">
        <w:rPr>
          <w:rFonts w:asciiTheme="minorHAnsi" w:hAnsiTheme="minorHAnsi"/>
          <w:b/>
          <w:sz w:val="24"/>
        </w:rPr>
        <w:t>:</w:t>
      </w:r>
    </w:p>
    <w:p w14:paraId="7BFDCFA7" w14:textId="488DEDCB" w:rsidR="006C736F" w:rsidRDefault="0008284A" w:rsidP="00F57657">
      <w:pPr>
        <w:pStyle w:val="NoSpacing"/>
        <w:spacing w:line="480" w:lineRule="auto"/>
        <w:jc w:val="left"/>
        <w:rPr>
          <w:rFonts w:asciiTheme="minorHAnsi" w:hAnsiTheme="minorHAnsi"/>
          <w:sz w:val="24"/>
        </w:rPr>
      </w:pPr>
      <w:r w:rsidRPr="00F57657">
        <w:rPr>
          <w:rFonts w:asciiTheme="minorHAnsi" w:hAnsiTheme="minorHAnsi"/>
          <w:sz w:val="24"/>
        </w:rPr>
        <w:t>This project was funded by the National Institute for Health Research Health Technology Assessment Programme (project 09/51/01) and Arthritis Research UK (grant reference 19612).</w:t>
      </w:r>
    </w:p>
    <w:p w14:paraId="695EA8F5" w14:textId="77777777" w:rsidR="00F57657" w:rsidRPr="00F57657" w:rsidRDefault="00F57657" w:rsidP="00F57657">
      <w:pPr>
        <w:pStyle w:val="NoSpacing"/>
        <w:jc w:val="left"/>
      </w:pPr>
    </w:p>
    <w:p w14:paraId="53143539" w14:textId="0308878B" w:rsidR="00134D26" w:rsidRPr="00F57657" w:rsidRDefault="006C736F" w:rsidP="00F57657">
      <w:pPr>
        <w:pStyle w:val="NoSpacing"/>
        <w:spacing w:line="480" w:lineRule="auto"/>
        <w:jc w:val="left"/>
        <w:rPr>
          <w:rFonts w:asciiTheme="minorHAnsi" w:hAnsiTheme="minorHAnsi"/>
          <w:sz w:val="24"/>
        </w:rPr>
      </w:pPr>
      <w:r w:rsidRPr="00F57657">
        <w:rPr>
          <w:rFonts w:asciiTheme="minorHAnsi" w:hAnsiTheme="minorHAnsi"/>
          <w:sz w:val="24"/>
        </w:rPr>
        <w:t>The authors would like to acknowledge and thank the significant support by the National Institute of Health Research (NIHR) Clinical Research Network (</w:t>
      </w:r>
      <w:r w:rsidR="00924F1E" w:rsidRPr="00F57657">
        <w:rPr>
          <w:rFonts w:asciiTheme="minorHAnsi" w:hAnsiTheme="minorHAnsi"/>
          <w:sz w:val="24"/>
        </w:rPr>
        <w:t>CRN</w:t>
      </w:r>
      <w:r w:rsidRPr="00F57657">
        <w:rPr>
          <w:rFonts w:asciiTheme="minorHAnsi" w:hAnsiTheme="minorHAnsi"/>
          <w:sz w:val="24"/>
        </w:rPr>
        <w:t>)</w:t>
      </w:r>
      <w:r w:rsidR="00924F1E" w:rsidRPr="00F57657">
        <w:rPr>
          <w:rFonts w:asciiTheme="minorHAnsi" w:hAnsiTheme="minorHAnsi"/>
          <w:sz w:val="24"/>
        </w:rPr>
        <w:t xml:space="preserve"> Children</w:t>
      </w:r>
      <w:r w:rsidRPr="00F57657">
        <w:rPr>
          <w:rFonts w:asciiTheme="minorHAnsi" w:hAnsiTheme="minorHAnsi"/>
          <w:sz w:val="24"/>
        </w:rPr>
        <w:t xml:space="preserve"> </w:t>
      </w:r>
      <w:r w:rsidR="00C50EA6" w:rsidRPr="00F57657">
        <w:rPr>
          <w:rFonts w:asciiTheme="minorHAnsi" w:hAnsiTheme="minorHAnsi"/>
          <w:sz w:val="24"/>
        </w:rPr>
        <w:t>(</w:t>
      </w:r>
      <w:r w:rsidR="00F57657" w:rsidRPr="00AA11B3">
        <w:rPr>
          <w:rFonts w:asciiTheme="minorHAnsi" w:hAnsiTheme="minorHAnsi"/>
        </w:rPr>
        <w:t>https://www.crn.nihr.ac.uk/children/)</w:t>
      </w:r>
      <w:r w:rsidR="00C50EA6" w:rsidRPr="00F57657">
        <w:rPr>
          <w:rFonts w:asciiTheme="minorHAnsi" w:hAnsiTheme="minorHAnsi"/>
          <w:sz w:val="24"/>
        </w:rPr>
        <w:t xml:space="preserve"> </w:t>
      </w:r>
      <w:r w:rsidRPr="00F57657">
        <w:rPr>
          <w:rFonts w:asciiTheme="minorHAnsi" w:hAnsiTheme="minorHAnsi"/>
          <w:sz w:val="24"/>
        </w:rPr>
        <w:t>in supporting the set up and delivery of this trial.</w:t>
      </w:r>
    </w:p>
    <w:p w14:paraId="52C5DA9D" w14:textId="450E0CE4" w:rsidR="006C736F" w:rsidRPr="00F57657" w:rsidRDefault="00977FE9" w:rsidP="00F57657">
      <w:pPr>
        <w:pStyle w:val="NoSpacing"/>
        <w:spacing w:line="480" w:lineRule="auto"/>
        <w:jc w:val="left"/>
        <w:rPr>
          <w:rFonts w:asciiTheme="minorHAnsi" w:hAnsiTheme="minorHAnsi"/>
          <w:sz w:val="24"/>
        </w:rPr>
      </w:pPr>
      <w:r w:rsidRPr="00F57657">
        <w:rPr>
          <w:rFonts w:asciiTheme="minorHAnsi" w:hAnsiTheme="minorHAnsi"/>
          <w:sz w:val="24"/>
        </w:rPr>
        <w:t>The SYCAMORE TMG would like to thank the help and support of the two independent committe</w:t>
      </w:r>
      <w:r w:rsidR="0078012F" w:rsidRPr="00F57657">
        <w:rPr>
          <w:rFonts w:asciiTheme="minorHAnsi" w:hAnsiTheme="minorHAnsi"/>
          <w:sz w:val="24"/>
        </w:rPr>
        <w:t>e</w:t>
      </w:r>
      <w:r w:rsidRPr="00F57657">
        <w:rPr>
          <w:rFonts w:asciiTheme="minorHAnsi" w:hAnsiTheme="minorHAnsi"/>
          <w:sz w:val="24"/>
        </w:rPr>
        <w:t xml:space="preserve">s that had independent oversight of the trial, these were the Trial Steering </w:t>
      </w:r>
      <w:r w:rsidR="00F013B2" w:rsidRPr="00F57657">
        <w:rPr>
          <w:rFonts w:asciiTheme="minorHAnsi" w:hAnsiTheme="minorHAnsi"/>
          <w:sz w:val="24"/>
        </w:rPr>
        <w:t>Committee</w:t>
      </w:r>
      <w:r w:rsidRPr="00F57657">
        <w:rPr>
          <w:rFonts w:asciiTheme="minorHAnsi" w:hAnsiTheme="minorHAnsi"/>
          <w:sz w:val="24"/>
        </w:rPr>
        <w:t xml:space="preserve"> </w:t>
      </w:r>
      <w:r w:rsidR="008E41EB" w:rsidRPr="00F57657">
        <w:rPr>
          <w:rFonts w:asciiTheme="minorHAnsi" w:hAnsiTheme="minorHAnsi"/>
          <w:sz w:val="24"/>
        </w:rPr>
        <w:t xml:space="preserve">(TSC) </w:t>
      </w:r>
      <w:r w:rsidRPr="00F57657">
        <w:rPr>
          <w:rFonts w:asciiTheme="minorHAnsi" w:hAnsiTheme="minorHAnsi"/>
          <w:sz w:val="24"/>
        </w:rPr>
        <w:t>(Chair: Professor Ian Bruce,</w:t>
      </w:r>
      <w:r w:rsidR="008E41EB" w:rsidRPr="00F57657">
        <w:rPr>
          <w:rFonts w:asciiTheme="minorHAnsi" w:hAnsiTheme="minorHAnsi"/>
          <w:sz w:val="24"/>
        </w:rPr>
        <w:t xml:space="preserve"> </w:t>
      </w:r>
      <w:proofErr w:type="spellStart"/>
      <w:r w:rsidR="008E41EB" w:rsidRPr="00F57657">
        <w:rPr>
          <w:rFonts w:asciiTheme="minorHAnsi" w:hAnsiTheme="minorHAnsi" w:cs="Arial"/>
          <w:sz w:val="24"/>
        </w:rPr>
        <w:t>Dr</w:t>
      </w:r>
      <w:r w:rsidR="005327D7">
        <w:rPr>
          <w:rFonts w:asciiTheme="minorHAnsi" w:hAnsiTheme="minorHAnsi" w:cs="Arial"/>
          <w:sz w:val="24"/>
        </w:rPr>
        <w:t>.</w:t>
      </w:r>
      <w:proofErr w:type="spellEnd"/>
      <w:r w:rsidR="008E41EB" w:rsidRPr="00F57657">
        <w:rPr>
          <w:rFonts w:asciiTheme="minorHAnsi" w:hAnsiTheme="minorHAnsi" w:cs="Arial"/>
          <w:sz w:val="24"/>
        </w:rPr>
        <w:t xml:space="preserve"> Carlos </w:t>
      </w:r>
      <w:proofErr w:type="spellStart"/>
      <w:r w:rsidR="008E41EB" w:rsidRPr="00F57657">
        <w:rPr>
          <w:rFonts w:asciiTheme="minorHAnsi" w:hAnsiTheme="minorHAnsi" w:cs="Arial"/>
          <w:sz w:val="24"/>
        </w:rPr>
        <w:t>Pavesio</w:t>
      </w:r>
      <w:proofErr w:type="spellEnd"/>
      <w:r w:rsidR="008E41EB" w:rsidRPr="00F57657">
        <w:rPr>
          <w:rFonts w:asciiTheme="minorHAnsi" w:hAnsiTheme="minorHAnsi" w:cs="Arial"/>
          <w:sz w:val="24"/>
        </w:rPr>
        <w:t xml:space="preserve"> and Mr</w:t>
      </w:r>
      <w:r w:rsidR="005327D7">
        <w:rPr>
          <w:rFonts w:asciiTheme="minorHAnsi" w:hAnsiTheme="minorHAnsi" w:cs="Arial"/>
          <w:sz w:val="24"/>
        </w:rPr>
        <w:t>.</w:t>
      </w:r>
      <w:r w:rsidR="008E41EB" w:rsidRPr="00F57657">
        <w:rPr>
          <w:rFonts w:asciiTheme="minorHAnsi" w:hAnsiTheme="minorHAnsi" w:cs="Arial"/>
          <w:sz w:val="24"/>
        </w:rPr>
        <w:t xml:space="preserve"> Matthew </w:t>
      </w:r>
      <w:proofErr w:type="spellStart"/>
      <w:r w:rsidR="008E41EB" w:rsidRPr="00F57657">
        <w:rPr>
          <w:rFonts w:asciiTheme="minorHAnsi" w:hAnsiTheme="minorHAnsi" w:cs="Arial"/>
          <w:sz w:val="24"/>
        </w:rPr>
        <w:t>Sydes</w:t>
      </w:r>
      <w:proofErr w:type="spellEnd"/>
      <w:r w:rsidRPr="00F57657">
        <w:rPr>
          <w:rFonts w:asciiTheme="minorHAnsi" w:hAnsiTheme="minorHAnsi"/>
          <w:sz w:val="24"/>
        </w:rPr>
        <w:t xml:space="preserve">) and the Independent Data and Safety Monitoring Committee (Chair: Professor John Sparrow, Professor Steff Lewis, Professor Justine Smith and </w:t>
      </w:r>
      <w:proofErr w:type="spellStart"/>
      <w:r w:rsidRPr="00F57657">
        <w:rPr>
          <w:rFonts w:asciiTheme="minorHAnsi" w:hAnsiTheme="minorHAnsi"/>
          <w:sz w:val="24"/>
        </w:rPr>
        <w:t>Dr</w:t>
      </w:r>
      <w:r w:rsidR="005327D7">
        <w:rPr>
          <w:rFonts w:asciiTheme="minorHAnsi" w:hAnsiTheme="minorHAnsi"/>
          <w:sz w:val="24"/>
        </w:rPr>
        <w:t>.</w:t>
      </w:r>
      <w:proofErr w:type="spellEnd"/>
      <w:r w:rsidRPr="00F57657">
        <w:rPr>
          <w:rFonts w:asciiTheme="minorHAnsi" w:hAnsiTheme="minorHAnsi"/>
          <w:sz w:val="24"/>
        </w:rPr>
        <w:t xml:space="preserve"> Nico </w:t>
      </w:r>
      <w:proofErr w:type="spellStart"/>
      <w:r w:rsidRPr="00F57657">
        <w:rPr>
          <w:rFonts w:asciiTheme="minorHAnsi" w:hAnsiTheme="minorHAnsi"/>
          <w:sz w:val="24"/>
        </w:rPr>
        <w:t>Wulff</w:t>
      </w:r>
      <w:r w:rsidR="008E41EB" w:rsidRPr="00F57657">
        <w:rPr>
          <w:rFonts w:asciiTheme="minorHAnsi" w:hAnsiTheme="minorHAnsi"/>
          <w:sz w:val="24"/>
        </w:rPr>
        <w:t>raat</w:t>
      </w:r>
      <w:proofErr w:type="spellEnd"/>
      <w:r w:rsidR="008E41EB" w:rsidRPr="00F57657">
        <w:rPr>
          <w:rFonts w:asciiTheme="minorHAnsi" w:hAnsiTheme="minorHAnsi"/>
          <w:sz w:val="24"/>
        </w:rPr>
        <w:t xml:space="preserve">). Thanks </w:t>
      </w:r>
      <w:r w:rsidR="00F013B2" w:rsidRPr="00F57657">
        <w:rPr>
          <w:rFonts w:asciiTheme="minorHAnsi" w:hAnsiTheme="minorHAnsi"/>
          <w:sz w:val="24"/>
        </w:rPr>
        <w:t xml:space="preserve">are </w:t>
      </w:r>
      <w:r w:rsidR="008E41EB" w:rsidRPr="00F57657">
        <w:rPr>
          <w:rFonts w:asciiTheme="minorHAnsi" w:hAnsiTheme="minorHAnsi"/>
          <w:sz w:val="24"/>
        </w:rPr>
        <w:t xml:space="preserve">also </w:t>
      </w:r>
      <w:r w:rsidR="00F013B2" w:rsidRPr="00F57657">
        <w:rPr>
          <w:rFonts w:asciiTheme="minorHAnsi" w:hAnsiTheme="minorHAnsi"/>
          <w:sz w:val="24"/>
        </w:rPr>
        <w:t xml:space="preserve">due </w:t>
      </w:r>
      <w:r w:rsidR="008E41EB" w:rsidRPr="00F57657">
        <w:rPr>
          <w:rFonts w:asciiTheme="minorHAnsi" w:hAnsiTheme="minorHAnsi"/>
          <w:sz w:val="24"/>
        </w:rPr>
        <w:t xml:space="preserve">to </w:t>
      </w:r>
      <w:proofErr w:type="spellStart"/>
      <w:r w:rsidR="008E41EB" w:rsidRPr="00F57657">
        <w:rPr>
          <w:rFonts w:asciiTheme="minorHAnsi" w:hAnsiTheme="minorHAnsi"/>
          <w:sz w:val="24"/>
        </w:rPr>
        <w:t>Dr</w:t>
      </w:r>
      <w:r w:rsidR="005327D7">
        <w:rPr>
          <w:rFonts w:asciiTheme="minorHAnsi" w:hAnsiTheme="minorHAnsi"/>
          <w:sz w:val="24"/>
        </w:rPr>
        <w:t>.</w:t>
      </w:r>
      <w:proofErr w:type="spellEnd"/>
      <w:r w:rsidR="008E41EB" w:rsidRPr="00F57657">
        <w:rPr>
          <w:rFonts w:asciiTheme="minorHAnsi" w:hAnsiTheme="minorHAnsi"/>
          <w:sz w:val="24"/>
        </w:rPr>
        <w:t xml:space="preserve"> Janine Grey who was an independent member of the TSC before having to leave her role.</w:t>
      </w:r>
    </w:p>
    <w:p w14:paraId="1AB8C92D" w14:textId="77777777" w:rsidR="005327D7" w:rsidRPr="005327D7" w:rsidRDefault="005327D7" w:rsidP="005327D7">
      <w:pPr>
        <w:pStyle w:val="NoSpacing"/>
      </w:pPr>
    </w:p>
    <w:p w14:paraId="0B609247" w14:textId="2BC6B98C" w:rsidR="006C736F" w:rsidRDefault="006C736F" w:rsidP="00F57657">
      <w:pPr>
        <w:pStyle w:val="NoSpacing"/>
        <w:spacing w:line="480" w:lineRule="auto"/>
        <w:jc w:val="left"/>
        <w:rPr>
          <w:rFonts w:asciiTheme="minorHAnsi" w:hAnsiTheme="minorHAnsi" w:cs="Times"/>
          <w:sz w:val="24"/>
          <w:lang w:val="en-US"/>
        </w:rPr>
      </w:pPr>
      <w:r w:rsidRPr="00F57657">
        <w:rPr>
          <w:rFonts w:asciiTheme="minorHAnsi" w:hAnsiTheme="minorHAnsi" w:cs="Times"/>
          <w:sz w:val="24"/>
          <w:lang w:val="en-US"/>
        </w:rPr>
        <w:t xml:space="preserve">The SYCAMORE TMG would like to acknowledge and thank all participating </w:t>
      </w:r>
      <w:proofErr w:type="spellStart"/>
      <w:r w:rsidRPr="00F57657">
        <w:rPr>
          <w:rFonts w:asciiTheme="minorHAnsi" w:hAnsiTheme="minorHAnsi" w:cs="Times"/>
          <w:sz w:val="24"/>
          <w:lang w:val="en-US"/>
        </w:rPr>
        <w:t>centres</w:t>
      </w:r>
      <w:proofErr w:type="spellEnd"/>
      <w:r w:rsidRPr="00F57657">
        <w:rPr>
          <w:rFonts w:asciiTheme="minorHAnsi" w:hAnsiTheme="minorHAnsi" w:cs="Times"/>
          <w:sz w:val="24"/>
          <w:lang w:val="en-US"/>
        </w:rPr>
        <w:t>, the multi-disciplinary teams supporting the trial, and all children, young people and families who took part in this trial.</w:t>
      </w:r>
    </w:p>
    <w:p w14:paraId="6F84B444" w14:textId="77777777" w:rsidR="00F57657" w:rsidRPr="00F57657" w:rsidRDefault="00F57657" w:rsidP="00F57657">
      <w:pPr>
        <w:pStyle w:val="NoSpacing"/>
        <w:jc w:val="left"/>
      </w:pPr>
    </w:p>
    <w:p w14:paraId="4152CD84" w14:textId="20A32702" w:rsidR="006B06EC" w:rsidRDefault="006B06EC" w:rsidP="00F57657">
      <w:pPr>
        <w:pStyle w:val="NoSpacing"/>
        <w:spacing w:line="480" w:lineRule="auto"/>
        <w:jc w:val="left"/>
        <w:rPr>
          <w:rFonts w:asciiTheme="minorHAnsi" w:hAnsiTheme="minorHAnsi"/>
          <w:sz w:val="24"/>
        </w:rPr>
      </w:pPr>
      <w:r w:rsidRPr="00F57657">
        <w:rPr>
          <w:rFonts w:asciiTheme="minorHAnsi" w:hAnsiTheme="minorHAnsi"/>
          <w:sz w:val="24"/>
        </w:rPr>
        <w:t>University Hospitals Bristol NHS Foundation Trust, as Sponsor of Study has a data sharing agreement with AbbVie in support of regulatory purposes.</w:t>
      </w:r>
    </w:p>
    <w:p w14:paraId="510478CE" w14:textId="77777777" w:rsidR="00F57657" w:rsidRPr="00F57657" w:rsidRDefault="00F57657" w:rsidP="00F57657">
      <w:pPr>
        <w:pStyle w:val="NoSpacing"/>
      </w:pPr>
    </w:p>
    <w:p w14:paraId="648DFC93" w14:textId="263B1824" w:rsidR="006B06EC" w:rsidRPr="00F57657" w:rsidRDefault="006B06EC" w:rsidP="00F57657">
      <w:pPr>
        <w:pStyle w:val="NoSpacing"/>
        <w:spacing w:line="480" w:lineRule="auto"/>
        <w:rPr>
          <w:rFonts w:asciiTheme="minorHAnsi" w:hAnsiTheme="minorHAnsi"/>
          <w:sz w:val="24"/>
        </w:rPr>
      </w:pPr>
      <w:r w:rsidRPr="00F57657">
        <w:rPr>
          <w:rFonts w:asciiTheme="minorHAnsi" w:hAnsiTheme="minorHAnsi"/>
          <w:sz w:val="24"/>
          <w:lang w:val="en-US"/>
        </w:rPr>
        <w:t xml:space="preserve">The authors would like to acknowledge and thank AbbVie Inc. for providing active drug and placebo used in the trial. </w:t>
      </w:r>
    </w:p>
    <w:p w14:paraId="48B53D12" w14:textId="77777777" w:rsidR="005A6665" w:rsidRDefault="005A6665">
      <w:pPr>
        <w:rPr>
          <w:rFonts w:cs="Times"/>
          <w:b/>
          <w:sz w:val="24"/>
          <w:szCs w:val="24"/>
          <w:lang w:val="en-US"/>
        </w:rPr>
      </w:pPr>
      <w:r>
        <w:rPr>
          <w:rFonts w:cs="Times"/>
          <w:b/>
          <w:sz w:val="24"/>
          <w:szCs w:val="24"/>
          <w:lang w:val="en-US"/>
        </w:rPr>
        <w:br w:type="page"/>
      </w:r>
    </w:p>
    <w:p w14:paraId="6BF4BE84" w14:textId="77777777" w:rsidR="005A6665" w:rsidRPr="005A6665" w:rsidRDefault="005A6665" w:rsidP="005A6665">
      <w:pPr>
        <w:spacing w:line="480" w:lineRule="auto"/>
        <w:outlineLvl w:val="0"/>
        <w:rPr>
          <w:b/>
          <w:sz w:val="24"/>
          <w:szCs w:val="24"/>
        </w:rPr>
      </w:pPr>
      <w:r w:rsidRPr="005A6665">
        <w:rPr>
          <w:b/>
          <w:sz w:val="24"/>
          <w:szCs w:val="24"/>
        </w:rPr>
        <w:lastRenderedPageBreak/>
        <w:t xml:space="preserve">References </w:t>
      </w:r>
    </w:p>
    <w:p w14:paraId="273DCC22" w14:textId="77777777" w:rsidR="005A6665" w:rsidRPr="005A6665" w:rsidRDefault="005A6665" w:rsidP="005A6665">
      <w:pPr>
        <w:pStyle w:val="EndNoteBibliography"/>
        <w:spacing w:after="0" w:line="480" w:lineRule="auto"/>
        <w:rPr>
          <w:sz w:val="24"/>
          <w:szCs w:val="24"/>
        </w:rPr>
      </w:pPr>
      <w:r w:rsidRPr="005A6665">
        <w:rPr>
          <w:sz w:val="24"/>
          <w:szCs w:val="24"/>
        </w:rPr>
        <w:t>1.</w:t>
      </w:r>
      <w:r w:rsidRPr="005A6665">
        <w:rPr>
          <w:sz w:val="24"/>
          <w:szCs w:val="24"/>
        </w:rPr>
        <w:tab/>
        <w:t>Kotaniemi K, Kautiainen H, Karma A, Aho K. Occurrence of uveitis in recently diagnosed juvenile chronic arthritis: a prospective study. Ophthalmology.108:2071-5.</w:t>
      </w:r>
    </w:p>
    <w:p w14:paraId="08CD09B3" w14:textId="77777777" w:rsidR="005A6665" w:rsidRPr="005A6665" w:rsidRDefault="005A6665" w:rsidP="005A6665">
      <w:pPr>
        <w:pStyle w:val="EndNoteBibliography"/>
        <w:spacing w:after="0" w:line="480" w:lineRule="auto"/>
        <w:rPr>
          <w:sz w:val="24"/>
          <w:szCs w:val="24"/>
        </w:rPr>
      </w:pPr>
      <w:r w:rsidRPr="005A6665">
        <w:rPr>
          <w:sz w:val="24"/>
          <w:szCs w:val="24"/>
        </w:rPr>
        <w:t>2.</w:t>
      </w:r>
      <w:r w:rsidRPr="005A6665">
        <w:rPr>
          <w:sz w:val="24"/>
          <w:szCs w:val="24"/>
        </w:rPr>
        <w:tab/>
        <w:t>Saurenmann R, Levin A, Feldman B, Rose J, Laxer R, Schneider R, et al. Prevalence, risk factors, and outcome of uveitis in juvenile idiopathic arthritis: a long-term followup study. . Arthritis Rheum 2007;56:647-57.</w:t>
      </w:r>
    </w:p>
    <w:p w14:paraId="3CF9C73C" w14:textId="77777777" w:rsidR="005A6665" w:rsidRPr="005A6665" w:rsidRDefault="005A6665" w:rsidP="005A6665">
      <w:pPr>
        <w:pStyle w:val="EndNoteBibliography"/>
        <w:spacing w:after="0" w:line="480" w:lineRule="auto"/>
        <w:rPr>
          <w:sz w:val="24"/>
          <w:szCs w:val="24"/>
        </w:rPr>
      </w:pPr>
      <w:r w:rsidRPr="005A6665">
        <w:rPr>
          <w:sz w:val="24"/>
          <w:szCs w:val="24"/>
        </w:rPr>
        <w:t>3.</w:t>
      </w:r>
      <w:r w:rsidRPr="005A6665">
        <w:rPr>
          <w:sz w:val="24"/>
          <w:szCs w:val="24"/>
        </w:rPr>
        <w:tab/>
        <w:t>Wolf M, Lichter P, Ragsdale C. Prognostic factors in the uveitis of juvenile rheumatoid arthritis. Ophthalmology. 1987;94:1242-8.</w:t>
      </w:r>
    </w:p>
    <w:p w14:paraId="555D0CE8" w14:textId="77777777" w:rsidR="005A6665" w:rsidRPr="005A6665" w:rsidRDefault="005A6665" w:rsidP="005A6665">
      <w:pPr>
        <w:pStyle w:val="EndNoteBibliography"/>
        <w:spacing w:after="0" w:line="480" w:lineRule="auto"/>
        <w:rPr>
          <w:sz w:val="24"/>
          <w:szCs w:val="24"/>
        </w:rPr>
      </w:pPr>
      <w:r w:rsidRPr="005A6665">
        <w:rPr>
          <w:sz w:val="24"/>
          <w:szCs w:val="24"/>
        </w:rPr>
        <w:t>4.</w:t>
      </w:r>
      <w:r w:rsidRPr="005A6665">
        <w:rPr>
          <w:sz w:val="24"/>
          <w:szCs w:val="24"/>
        </w:rPr>
        <w:tab/>
        <w:t>de Boer J, Wulffraat N, Rothova A. Visual loss in uveitis of childhood. Br J Ophthalmol. 2003;87:879-84.</w:t>
      </w:r>
    </w:p>
    <w:p w14:paraId="6DC4FE64" w14:textId="77777777" w:rsidR="005A6665" w:rsidRPr="005A6665" w:rsidRDefault="005A6665" w:rsidP="005A6665">
      <w:pPr>
        <w:pStyle w:val="EndNoteBibliography"/>
        <w:spacing w:after="0" w:line="480" w:lineRule="auto"/>
        <w:rPr>
          <w:sz w:val="24"/>
          <w:szCs w:val="24"/>
        </w:rPr>
      </w:pPr>
      <w:r w:rsidRPr="005A6665">
        <w:rPr>
          <w:sz w:val="24"/>
          <w:szCs w:val="24"/>
        </w:rPr>
        <w:t>5.</w:t>
      </w:r>
      <w:r w:rsidRPr="005A6665">
        <w:rPr>
          <w:sz w:val="24"/>
          <w:szCs w:val="24"/>
        </w:rPr>
        <w:tab/>
        <w:t>Dick AD, Forrester JV, Liversidge J, Cope AP. The role of tumour necrosis factor (TNF-alpha) in experimental autoimmune uveoretinitis (EAU). Prog Retin Eye Res 2004;23:617-37.</w:t>
      </w:r>
    </w:p>
    <w:p w14:paraId="39602190" w14:textId="77777777" w:rsidR="005A6665" w:rsidRPr="005A6665" w:rsidRDefault="005A6665" w:rsidP="005A6665">
      <w:pPr>
        <w:pStyle w:val="EndNoteBibliography"/>
        <w:spacing w:after="0" w:line="480" w:lineRule="auto"/>
        <w:rPr>
          <w:sz w:val="24"/>
          <w:szCs w:val="24"/>
        </w:rPr>
      </w:pPr>
      <w:r w:rsidRPr="005A6665">
        <w:rPr>
          <w:sz w:val="24"/>
          <w:szCs w:val="24"/>
        </w:rPr>
        <w:t>6.</w:t>
      </w:r>
      <w:r w:rsidRPr="005A6665">
        <w:rPr>
          <w:sz w:val="24"/>
          <w:szCs w:val="24"/>
        </w:rPr>
        <w:tab/>
        <w:t>Imrie FR, Dick AD. Biologics in the treatment of uveitis. Curr Opin Ophthalmol 2007;18(481-486).</w:t>
      </w:r>
    </w:p>
    <w:p w14:paraId="37F4660F" w14:textId="77777777" w:rsidR="005A6665" w:rsidRPr="005A6665" w:rsidRDefault="005A6665" w:rsidP="005A6665">
      <w:pPr>
        <w:pStyle w:val="EndNoteBibliography"/>
        <w:spacing w:after="0" w:line="480" w:lineRule="auto"/>
        <w:rPr>
          <w:sz w:val="24"/>
          <w:szCs w:val="24"/>
        </w:rPr>
      </w:pPr>
      <w:r w:rsidRPr="005A6665">
        <w:rPr>
          <w:sz w:val="24"/>
          <w:szCs w:val="24"/>
        </w:rPr>
        <w:t>7.</w:t>
      </w:r>
      <w:r w:rsidRPr="005A6665">
        <w:rPr>
          <w:sz w:val="24"/>
          <w:szCs w:val="24"/>
        </w:rPr>
        <w:tab/>
        <w:t>Levy-Clarke G, Jabs D, Read R, Rosenbaum J, Vitale A, Van Gelder R. Expert panel recommendations for the use of anti-tumor necrosis factor biologic agents in patinets with ocular inflammatory disorders. Opthalmology. 2014;1221(3):785-96.</w:t>
      </w:r>
    </w:p>
    <w:p w14:paraId="35FC11A3" w14:textId="77777777" w:rsidR="005A6665" w:rsidRPr="005A6665" w:rsidRDefault="005A6665" w:rsidP="005A6665">
      <w:pPr>
        <w:pStyle w:val="EndNoteBibliography"/>
        <w:spacing w:after="0" w:line="480" w:lineRule="auto"/>
        <w:rPr>
          <w:sz w:val="24"/>
          <w:szCs w:val="24"/>
        </w:rPr>
      </w:pPr>
      <w:r w:rsidRPr="005A6665">
        <w:rPr>
          <w:sz w:val="24"/>
          <w:szCs w:val="24"/>
        </w:rPr>
        <w:t>8.</w:t>
      </w:r>
      <w:r w:rsidRPr="005A6665">
        <w:rPr>
          <w:sz w:val="24"/>
          <w:szCs w:val="24"/>
        </w:rPr>
        <w:tab/>
        <w:t>Cordero-Coma M, Yilmaz T, Onal S. Systematic review of anti-tumor necrosis factor-alpha therpay for treatment of immune-mediated uveitis. Ocul Immunol Inflamm. 2013;21(1):19-27.</w:t>
      </w:r>
    </w:p>
    <w:p w14:paraId="223D58EF" w14:textId="77777777" w:rsidR="005A6665" w:rsidRPr="005A6665" w:rsidRDefault="005A6665" w:rsidP="005A6665">
      <w:pPr>
        <w:pStyle w:val="EndNoteBibliography"/>
        <w:spacing w:after="0" w:line="480" w:lineRule="auto"/>
        <w:rPr>
          <w:sz w:val="24"/>
          <w:szCs w:val="24"/>
        </w:rPr>
      </w:pPr>
      <w:r w:rsidRPr="005A6665">
        <w:rPr>
          <w:sz w:val="24"/>
          <w:szCs w:val="24"/>
        </w:rPr>
        <w:t>9.</w:t>
      </w:r>
      <w:r w:rsidRPr="005A6665">
        <w:rPr>
          <w:sz w:val="24"/>
          <w:szCs w:val="24"/>
        </w:rPr>
        <w:tab/>
        <w:t>Biester S, Deuter C, Michels H, Haefner R, Kuemmerle-Deschner J, Doycheva D, et al. Adalimumab in the therapy of uveitis in childhood. Br J Ophthalmol 2007;91:319-24.</w:t>
      </w:r>
    </w:p>
    <w:p w14:paraId="26897D93" w14:textId="77777777" w:rsidR="005A6665" w:rsidRPr="005A6665" w:rsidRDefault="005A6665" w:rsidP="005A6665">
      <w:pPr>
        <w:pStyle w:val="EndNoteBibliography"/>
        <w:spacing w:after="0" w:line="480" w:lineRule="auto"/>
        <w:rPr>
          <w:sz w:val="24"/>
          <w:szCs w:val="24"/>
        </w:rPr>
      </w:pPr>
      <w:r w:rsidRPr="005A6665">
        <w:rPr>
          <w:sz w:val="24"/>
          <w:szCs w:val="24"/>
        </w:rPr>
        <w:lastRenderedPageBreak/>
        <w:t>10.</w:t>
      </w:r>
      <w:r w:rsidRPr="005A6665">
        <w:rPr>
          <w:sz w:val="24"/>
          <w:szCs w:val="24"/>
        </w:rPr>
        <w:tab/>
        <w:t>Foeldvari I, Nielsen S, Kummerle-Deschner J, Espada G, Horneff G, Bica B, et al. Tumor necrosis factor-alpha blocker in treatment of juvenile idiopathic arthritis-associated uveitis refractory to second-line agents: results of a multinational survey. . J Rheumatol 2007;34:1146-50.</w:t>
      </w:r>
    </w:p>
    <w:p w14:paraId="03A34573" w14:textId="77777777" w:rsidR="005A6665" w:rsidRPr="005A6665" w:rsidRDefault="005A6665" w:rsidP="005A6665">
      <w:pPr>
        <w:pStyle w:val="EndNoteBibliography"/>
        <w:spacing w:after="0" w:line="480" w:lineRule="auto"/>
        <w:rPr>
          <w:sz w:val="24"/>
          <w:szCs w:val="24"/>
        </w:rPr>
      </w:pPr>
      <w:r w:rsidRPr="005A6665">
        <w:rPr>
          <w:sz w:val="24"/>
          <w:szCs w:val="24"/>
        </w:rPr>
        <w:t>11.</w:t>
      </w:r>
      <w:r w:rsidRPr="005A6665">
        <w:rPr>
          <w:sz w:val="24"/>
          <w:szCs w:val="24"/>
        </w:rPr>
        <w:tab/>
        <w:t>Gallagher M, Quinones K, Cervantes-Castaneda R, Yilmaz T, Foster C. Biological response modifier therapy for refractory childhood uveitis. Br J Ophthalmol 2007;91:1341-4.</w:t>
      </w:r>
    </w:p>
    <w:p w14:paraId="29AC0679" w14:textId="77777777" w:rsidR="005A6665" w:rsidRPr="005A6665" w:rsidRDefault="005A6665" w:rsidP="005A6665">
      <w:pPr>
        <w:pStyle w:val="EndNoteBibliography"/>
        <w:spacing w:after="0" w:line="480" w:lineRule="auto"/>
        <w:rPr>
          <w:sz w:val="24"/>
          <w:szCs w:val="24"/>
        </w:rPr>
      </w:pPr>
      <w:r w:rsidRPr="005A6665">
        <w:rPr>
          <w:sz w:val="24"/>
          <w:szCs w:val="24"/>
        </w:rPr>
        <w:t>12.</w:t>
      </w:r>
      <w:r w:rsidRPr="005A6665">
        <w:rPr>
          <w:sz w:val="24"/>
          <w:szCs w:val="24"/>
        </w:rPr>
        <w:tab/>
        <w:t>Saurenmann R, Levin A, Rose J, Parker S, Rabinovitch T, Tyrrell P, et al. Tumour necrosis factor alpha inhibitors in the treatment of childhood uveitis. Rheumatology. 2006;45:982-9.</w:t>
      </w:r>
    </w:p>
    <w:p w14:paraId="4781248D" w14:textId="77777777" w:rsidR="005A6665" w:rsidRPr="005A6665" w:rsidRDefault="005A6665" w:rsidP="005A6665">
      <w:pPr>
        <w:pStyle w:val="EndNoteBibliography"/>
        <w:spacing w:after="0" w:line="480" w:lineRule="auto"/>
        <w:rPr>
          <w:sz w:val="24"/>
          <w:szCs w:val="24"/>
        </w:rPr>
      </w:pPr>
      <w:r w:rsidRPr="005A6665">
        <w:rPr>
          <w:sz w:val="24"/>
          <w:szCs w:val="24"/>
        </w:rPr>
        <w:t>13.</w:t>
      </w:r>
      <w:r w:rsidRPr="005A6665">
        <w:rPr>
          <w:sz w:val="24"/>
          <w:szCs w:val="24"/>
        </w:rPr>
        <w:tab/>
        <w:t>Sharma S, Ramanan A, Riley P, Dick A. Use of infliximab in juvenile onset rheumatological disease-associated refractory uveitis: efficacy in joint and ocular disease. Ann Rheum Dis 2007;66:840-1.</w:t>
      </w:r>
    </w:p>
    <w:p w14:paraId="406411D6" w14:textId="77777777" w:rsidR="005A6665" w:rsidRPr="005A6665" w:rsidRDefault="005A6665" w:rsidP="005A6665">
      <w:pPr>
        <w:pStyle w:val="EndNoteBibliography"/>
        <w:spacing w:after="0" w:line="480" w:lineRule="auto"/>
        <w:rPr>
          <w:sz w:val="24"/>
          <w:szCs w:val="24"/>
        </w:rPr>
      </w:pPr>
      <w:r w:rsidRPr="005A6665">
        <w:rPr>
          <w:sz w:val="24"/>
          <w:szCs w:val="24"/>
        </w:rPr>
        <w:t>14.</w:t>
      </w:r>
      <w:r w:rsidRPr="005A6665">
        <w:rPr>
          <w:sz w:val="24"/>
          <w:szCs w:val="24"/>
        </w:rPr>
        <w:tab/>
        <w:t>Tynjala P, Kotaniemi K, Lindahl P, Latva K, Aalto K, Honkanen V, et al. Adalimumab in juvenile idiopathic arthritis-associated chronic anterior uveitis. Rheumatology 2008;47:339-44.</w:t>
      </w:r>
    </w:p>
    <w:p w14:paraId="5A0D05B3" w14:textId="77777777" w:rsidR="005A6665" w:rsidRPr="005A6665" w:rsidRDefault="005A6665" w:rsidP="005A6665">
      <w:pPr>
        <w:pStyle w:val="EndNoteBibliography"/>
        <w:spacing w:after="0" w:line="480" w:lineRule="auto"/>
        <w:rPr>
          <w:sz w:val="24"/>
          <w:szCs w:val="24"/>
        </w:rPr>
      </w:pPr>
      <w:r w:rsidRPr="005A6665">
        <w:rPr>
          <w:sz w:val="24"/>
          <w:szCs w:val="24"/>
        </w:rPr>
        <w:t>15.</w:t>
      </w:r>
      <w:r w:rsidRPr="005A6665">
        <w:rPr>
          <w:sz w:val="24"/>
          <w:szCs w:val="24"/>
        </w:rPr>
        <w:tab/>
        <w:t>Simonini G, Druce K, Cimaz RM, GJ, Jones G. Current evidence of anti-tumour necrosis factor α treatment efficacy in childhood chronic uveitis: a systematic review and meta-analysis approach of individual drugs. Arthritis Care Res. 2014;66:1073-84.</w:t>
      </w:r>
    </w:p>
    <w:p w14:paraId="40A07E64" w14:textId="77777777" w:rsidR="005A6665" w:rsidRPr="005A6665" w:rsidRDefault="005A6665" w:rsidP="005A6665">
      <w:pPr>
        <w:pStyle w:val="EndNoteBibliography"/>
        <w:spacing w:after="0" w:line="480" w:lineRule="auto"/>
        <w:rPr>
          <w:sz w:val="24"/>
          <w:szCs w:val="24"/>
        </w:rPr>
      </w:pPr>
      <w:r w:rsidRPr="005A6665">
        <w:rPr>
          <w:sz w:val="24"/>
          <w:szCs w:val="24"/>
        </w:rPr>
        <w:t>16.</w:t>
      </w:r>
      <w:r w:rsidRPr="005A6665">
        <w:rPr>
          <w:sz w:val="24"/>
          <w:szCs w:val="24"/>
        </w:rPr>
        <w:tab/>
        <w:t>Sen E, Sharma S, Hinchcliffe A, Ramanan AV. Use of adalimumab in refractory non-infectious childhood chronic uveitis: efficacy in ocular disease - a case cohort interventional study. Rheumatology. 2012;51(12):2199-203.</w:t>
      </w:r>
    </w:p>
    <w:p w14:paraId="681D9E6A" w14:textId="77777777" w:rsidR="005A6665" w:rsidRPr="005A6665" w:rsidRDefault="005A6665" w:rsidP="005A6665">
      <w:pPr>
        <w:pStyle w:val="EndNoteBibliography"/>
        <w:spacing w:after="0" w:line="480" w:lineRule="auto"/>
        <w:rPr>
          <w:sz w:val="24"/>
          <w:szCs w:val="24"/>
        </w:rPr>
      </w:pPr>
      <w:r w:rsidRPr="005A6665">
        <w:rPr>
          <w:sz w:val="24"/>
          <w:szCs w:val="24"/>
        </w:rPr>
        <w:t>17.</w:t>
      </w:r>
      <w:r w:rsidRPr="005A6665">
        <w:rPr>
          <w:sz w:val="24"/>
          <w:szCs w:val="24"/>
        </w:rPr>
        <w:tab/>
        <w:t>Sen E, Dick AD, Ramanan AV. Uveitis associated with juvenile idiopathic arthritis. Nat Rev Rheumatol. 2015;11(6):339-48.</w:t>
      </w:r>
    </w:p>
    <w:p w14:paraId="53532B6A" w14:textId="77777777" w:rsidR="005A6665" w:rsidRPr="005A6665" w:rsidRDefault="005A6665" w:rsidP="005A6665">
      <w:pPr>
        <w:pStyle w:val="EndNoteBibliography"/>
        <w:spacing w:after="0" w:line="480" w:lineRule="auto"/>
        <w:rPr>
          <w:sz w:val="24"/>
          <w:szCs w:val="24"/>
        </w:rPr>
      </w:pPr>
      <w:r w:rsidRPr="005A6665">
        <w:rPr>
          <w:sz w:val="24"/>
          <w:szCs w:val="24"/>
        </w:rPr>
        <w:lastRenderedPageBreak/>
        <w:t>18.</w:t>
      </w:r>
      <w:r w:rsidRPr="005A6665">
        <w:rPr>
          <w:sz w:val="24"/>
          <w:szCs w:val="24"/>
        </w:rPr>
        <w:tab/>
        <w:t>Lovell D, Ruperto N, Goodman S, Reiff A, Jung L, Jarosova K, et al. Adalimumab with or without methotrexate in juvenile rheumatoid arthritis. N Engl J Med 2008;359:810-20.</w:t>
      </w:r>
    </w:p>
    <w:p w14:paraId="38B5525B" w14:textId="77777777" w:rsidR="005A6665" w:rsidRPr="005A6665" w:rsidRDefault="005A6665" w:rsidP="005A6665">
      <w:pPr>
        <w:pStyle w:val="EndNoteBibliography"/>
        <w:spacing w:after="0" w:line="480" w:lineRule="auto"/>
        <w:rPr>
          <w:sz w:val="24"/>
          <w:szCs w:val="24"/>
        </w:rPr>
      </w:pPr>
      <w:r w:rsidRPr="005A6665">
        <w:rPr>
          <w:sz w:val="24"/>
          <w:szCs w:val="24"/>
        </w:rPr>
        <w:t>19.</w:t>
      </w:r>
      <w:r w:rsidRPr="005A6665">
        <w:rPr>
          <w:sz w:val="24"/>
          <w:szCs w:val="24"/>
        </w:rPr>
        <w:tab/>
        <w:t>Ramanan A, Dick A, Benton D, Compeyrot-Lacassagne S, Dawoud D, Hardwick B, et al. A randomised controlled trial of the clinical effectiveness, safety and cost-effectiveness of adalimumab in combination with methotrexate for the treatment of juvenile idiopathic arthritis associated uveitis (SYCAMORE Trial). Trials. 2014;15(14).</w:t>
      </w:r>
    </w:p>
    <w:p w14:paraId="1F254686" w14:textId="77777777" w:rsidR="005A6665" w:rsidRPr="005A6665" w:rsidRDefault="005A6665" w:rsidP="005A6665">
      <w:pPr>
        <w:pStyle w:val="EndNoteBibliography"/>
        <w:spacing w:after="0" w:line="480" w:lineRule="auto"/>
        <w:rPr>
          <w:sz w:val="24"/>
          <w:szCs w:val="24"/>
        </w:rPr>
      </w:pPr>
      <w:r w:rsidRPr="005A6665">
        <w:rPr>
          <w:sz w:val="24"/>
          <w:szCs w:val="24"/>
        </w:rPr>
        <w:t>20.</w:t>
      </w:r>
      <w:r w:rsidRPr="005A6665">
        <w:rPr>
          <w:sz w:val="24"/>
          <w:szCs w:val="24"/>
        </w:rPr>
        <w:tab/>
        <w:t xml:space="preserve">Jabs DA, Nussenblatt RB, Rosenbaum JT. Standardization of uveitis nomenclature for reporting clinical data. Results of the First International Workshop. Am J Ophthalmol. 2005;140:509-16. </w:t>
      </w:r>
    </w:p>
    <w:p w14:paraId="740F57DF" w14:textId="77777777" w:rsidR="005A6665" w:rsidRPr="005A6665" w:rsidRDefault="005A6665" w:rsidP="005A6665">
      <w:pPr>
        <w:pStyle w:val="EndNoteBibliography"/>
        <w:spacing w:after="0" w:line="480" w:lineRule="auto"/>
        <w:rPr>
          <w:sz w:val="24"/>
          <w:szCs w:val="24"/>
        </w:rPr>
      </w:pPr>
      <w:r w:rsidRPr="005A6665">
        <w:rPr>
          <w:sz w:val="24"/>
          <w:szCs w:val="24"/>
        </w:rPr>
        <w:t>21.</w:t>
      </w:r>
      <w:r w:rsidRPr="005A6665">
        <w:rPr>
          <w:sz w:val="24"/>
          <w:szCs w:val="24"/>
        </w:rPr>
        <w:tab/>
        <w:t>Nugent J, Ruperto N, Grainger J, Machado C, Sawhney S, Baildam E, et al. The British version of the childhood health questionnaire (CHAQ) and the child health questionnaire (CHQ). Clin Exp Rheumatol. 2001;19 (Suppl 23):S163-S7.</w:t>
      </w:r>
    </w:p>
    <w:p w14:paraId="0BAAF403" w14:textId="77777777" w:rsidR="005A6665" w:rsidRPr="005A6665" w:rsidRDefault="005A6665" w:rsidP="005A6665">
      <w:pPr>
        <w:pStyle w:val="EndNoteBibliography"/>
        <w:spacing w:after="0" w:line="480" w:lineRule="auto"/>
        <w:rPr>
          <w:sz w:val="24"/>
          <w:szCs w:val="24"/>
        </w:rPr>
      </w:pPr>
      <w:r w:rsidRPr="005A6665">
        <w:rPr>
          <w:sz w:val="24"/>
          <w:szCs w:val="24"/>
        </w:rPr>
        <w:t>22.</w:t>
      </w:r>
      <w:r w:rsidRPr="005A6665">
        <w:rPr>
          <w:sz w:val="24"/>
          <w:szCs w:val="24"/>
        </w:rPr>
        <w:tab/>
        <w:t>Oliveira S, Ravelli A, Pistorio A, Castell E, Malattia C, Prieur AM, et al. Proxy-reported health related quality of life of patients with juvenile idiopathic arthritis: the Paediatric Rheumatology International Trials Organisation multinational quality of life cohort study. Arthritis Rheum. 2007;1:35-43.</w:t>
      </w:r>
    </w:p>
    <w:p w14:paraId="385FBD14" w14:textId="77777777" w:rsidR="005A6665" w:rsidRPr="005A6665" w:rsidRDefault="005A6665" w:rsidP="005A6665">
      <w:pPr>
        <w:pStyle w:val="EndNoteBibliography"/>
        <w:spacing w:after="0" w:line="480" w:lineRule="auto"/>
        <w:rPr>
          <w:sz w:val="24"/>
          <w:szCs w:val="24"/>
        </w:rPr>
      </w:pPr>
      <w:r w:rsidRPr="005A6665">
        <w:rPr>
          <w:sz w:val="24"/>
          <w:szCs w:val="24"/>
        </w:rPr>
        <w:t>23.</w:t>
      </w:r>
      <w:r w:rsidRPr="005A6665">
        <w:rPr>
          <w:sz w:val="24"/>
          <w:szCs w:val="24"/>
        </w:rPr>
        <w:tab/>
        <w:t>Wallace CA, Ruperto N, Giannini E. Preliminary criteria for clinical remission for select categories of juvenile idiopathic arthritis. 2004. 2004;31:2290-94.</w:t>
      </w:r>
    </w:p>
    <w:p w14:paraId="4BE585A0" w14:textId="77777777" w:rsidR="005A6665" w:rsidRPr="005A6665" w:rsidRDefault="005A6665" w:rsidP="005A6665">
      <w:pPr>
        <w:pStyle w:val="EndNoteBibliography"/>
        <w:spacing w:after="0" w:line="480" w:lineRule="auto"/>
        <w:rPr>
          <w:sz w:val="24"/>
          <w:szCs w:val="24"/>
        </w:rPr>
      </w:pPr>
      <w:r w:rsidRPr="005A6665">
        <w:rPr>
          <w:sz w:val="24"/>
          <w:szCs w:val="24"/>
        </w:rPr>
        <w:t>24.</w:t>
      </w:r>
      <w:r w:rsidRPr="005A6665">
        <w:rPr>
          <w:sz w:val="24"/>
          <w:szCs w:val="24"/>
        </w:rPr>
        <w:tab/>
        <w:t>Magni-Manzoni S, Ruperto N, Pistorio A, Sala E, Solari N, Palmisani E, et al. Development and validation of a preliminary definition of minimal disease activity in patients with juvenile idiopathic arthritis. Arthritis Rheum. 2008;59:1120-27.</w:t>
      </w:r>
    </w:p>
    <w:p w14:paraId="3F443167" w14:textId="77777777" w:rsidR="005A6665" w:rsidRPr="005A6665" w:rsidRDefault="005A6665" w:rsidP="005A6665">
      <w:pPr>
        <w:pStyle w:val="EndNoteBibliography"/>
        <w:spacing w:after="0" w:line="480" w:lineRule="auto"/>
        <w:rPr>
          <w:sz w:val="24"/>
          <w:szCs w:val="24"/>
        </w:rPr>
      </w:pPr>
      <w:r w:rsidRPr="005A6665">
        <w:rPr>
          <w:sz w:val="24"/>
          <w:szCs w:val="24"/>
        </w:rPr>
        <w:t>25.</w:t>
      </w:r>
      <w:r w:rsidRPr="005A6665">
        <w:rPr>
          <w:sz w:val="24"/>
          <w:szCs w:val="24"/>
        </w:rPr>
        <w:tab/>
        <w:t>Consolaro A, Rupero N, Bazso A, Pistorio A, Magni-Manzoni S, Filocamo G, et al. Development and validation of a composite disease activity score for juvenile idiopathic arthritis. Arthritis Rheum. 2009;61(5):658-66.</w:t>
      </w:r>
    </w:p>
    <w:p w14:paraId="362813EF" w14:textId="77777777" w:rsidR="005A6665" w:rsidRPr="005A6665" w:rsidRDefault="005A6665" w:rsidP="005A6665">
      <w:pPr>
        <w:pStyle w:val="EndNoteBibliography"/>
        <w:spacing w:after="0" w:line="480" w:lineRule="auto"/>
        <w:rPr>
          <w:sz w:val="24"/>
          <w:szCs w:val="24"/>
        </w:rPr>
      </w:pPr>
      <w:r w:rsidRPr="005A6665">
        <w:rPr>
          <w:sz w:val="24"/>
          <w:szCs w:val="24"/>
        </w:rPr>
        <w:lastRenderedPageBreak/>
        <w:t>26.</w:t>
      </w:r>
      <w:r w:rsidRPr="005A6665">
        <w:rPr>
          <w:sz w:val="24"/>
          <w:szCs w:val="24"/>
        </w:rPr>
        <w:tab/>
        <w:t>Giannini EH, Ruperto N, Ravelli A, Lovell DJ, Felson DT, Martini A. Preliminary definition of improvement in juvenile arthritis. Arthritis Rheum. 1997;40:1202-09.</w:t>
      </w:r>
    </w:p>
    <w:p w14:paraId="3A9197A8" w14:textId="77777777" w:rsidR="005A6665" w:rsidRPr="005A6665" w:rsidRDefault="005A6665" w:rsidP="005A6665">
      <w:pPr>
        <w:pStyle w:val="EndNoteBibliography"/>
        <w:spacing w:after="0" w:line="480" w:lineRule="auto"/>
        <w:rPr>
          <w:sz w:val="24"/>
          <w:szCs w:val="24"/>
        </w:rPr>
      </w:pPr>
      <w:r w:rsidRPr="005A6665">
        <w:rPr>
          <w:sz w:val="24"/>
          <w:szCs w:val="24"/>
        </w:rPr>
        <w:t>27.</w:t>
      </w:r>
      <w:r w:rsidRPr="005A6665">
        <w:rPr>
          <w:sz w:val="24"/>
          <w:szCs w:val="24"/>
        </w:rPr>
        <w:tab/>
        <w:t>Pocock SJ. Current controversies in data monitoring for clinical trials. Clinical Trials. 2006;3(6):513-21.</w:t>
      </w:r>
    </w:p>
    <w:p w14:paraId="7E73EE15" w14:textId="77777777" w:rsidR="005A6665" w:rsidRPr="005A6665" w:rsidRDefault="005A6665" w:rsidP="005A6665">
      <w:pPr>
        <w:spacing w:line="480" w:lineRule="auto"/>
        <w:rPr>
          <w:b/>
          <w:sz w:val="24"/>
          <w:szCs w:val="24"/>
        </w:rPr>
      </w:pPr>
    </w:p>
    <w:p w14:paraId="19336A9E" w14:textId="7F5A5D2B" w:rsidR="003729DC" w:rsidRPr="00EE4F28" w:rsidRDefault="003729DC">
      <w:pPr>
        <w:rPr>
          <w:rFonts w:cs="Times"/>
          <w:b/>
          <w:sz w:val="24"/>
          <w:szCs w:val="24"/>
          <w:lang w:val="en-US"/>
        </w:rPr>
      </w:pPr>
      <w:r w:rsidRPr="00EE4F28">
        <w:rPr>
          <w:rFonts w:cs="Times"/>
          <w:b/>
          <w:sz w:val="24"/>
          <w:szCs w:val="24"/>
          <w:lang w:val="en-US"/>
        </w:rPr>
        <w:br w:type="page"/>
      </w:r>
    </w:p>
    <w:p w14:paraId="570565BF" w14:textId="77777777" w:rsidR="005A6665" w:rsidRDefault="005A6665" w:rsidP="0092519D">
      <w:pPr>
        <w:pStyle w:val="Caption"/>
        <w:spacing w:line="480" w:lineRule="auto"/>
        <w:outlineLvl w:val="0"/>
        <w:rPr>
          <w:color w:val="auto"/>
          <w:sz w:val="24"/>
          <w:szCs w:val="24"/>
        </w:rPr>
      </w:pPr>
      <w:bookmarkStart w:id="2" w:name="_Toc436813661"/>
      <w:r>
        <w:rPr>
          <w:color w:val="auto"/>
          <w:sz w:val="24"/>
          <w:szCs w:val="24"/>
        </w:rPr>
        <w:lastRenderedPageBreak/>
        <w:t>Figure Legend</w:t>
      </w:r>
    </w:p>
    <w:p w14:paraId="4C2BB642" w14:textId="77777777" w:rsidR="005A6665" w:rsidRDefault="005A6665" w:rsidP="005A6665">
      <w:pPr>
        <w:pStyle w:val="NoSpacing"/>
      </w:pPr>
    </w:p>
    <w:p w14:paraId="7C249A78" w14:textId="051D329F" w:rsidR="0092519D" w:rsidRPr="005A6665" w:rsidRDefault="0092519D" w:rsidP="0092519D">
      <w:pPr>
        <w:pStyle w:val="Caption"/>
        <w:spacing w:line="480" w:lineRule="auto"/>
        <w:outlineLvl w:val="0"/>
        <w:rPr>
          <w:sz w:val="24"/>
          <w:szCs w:val="24"/>
        </w:rPr>
      </w:pPr>
      <w:r w:rsidRPr="005A6665">
        <w:rPr>
          <w:color w:val="auto"/>
          <w:sz w:val="24"/>
          <w:szCs w:val="24"/>
        </w:rPr>
        <w:t>Figure 1: Treatment Failure and topical corticosteroid dose over time</w:t>
      </w:r>
    </w:p>
    <w:p w14:paraId="132F509F" w14:textId="3FD19CF1" w:rsidR="0092519D" w:rsidRPr="005A6665" w:rsidRDefault="005A6665" w:rsidP="005A6665">
      <w:pPr>
        <w:pStyle w:val="Caption"/>
        <w:spacing w:line="480" w:lineRule="auto"/>
        <w:outlineLvl w:val="0"/>
        <w:rPr>
          <w:b w:val="0"/>
          <w:color w:val="000000" w:themeColor="text1"/>
          <w:sz w:val="24"/>
          <w:szCs w:val="24"/>
        </w:rPr>
      </w:pPr>
      <w:r>
        <w:rPr>
          <w:color w:val="000000" w:themeColor="text1"/>
          <w:sz w:val="24"/>
          <w:szCs w:val="24"/>
        </w:rPr>
        <w:t>A</w:t>
      </w:r>
      <w:r w:rsidR="0092519D" w:rsidRPr="005A6665">
        <w:rPr>
          <w:color w:val="000000" w:themeColor="text1"/>
          <w:sz w:val="24"/>
          <w:szCs w:val="24"/>
        </w:rPr>
        <w:t xml:space="preserve">: </w:t>
      </w:r>
      <w:r w:rsidR="0092519D" w:rsidRPr="005A6665">
        <w:rPr>
          <w:b w:val="0"/>
          <w:color w:val="000000" w:themeColor="text1"/>
          <w:sz w:val="24"/>
          <w:szCs w:val="24"/>
        </w:rPr>
        <w:t>Kaplan Meier Plot – Time to Treatment Failure</w:t>
      </w:r>
    </w:p>
    <w:p w14:paraId="19348CC0" w14:textId="7FC22B55" w:rsidR="0092519D" w:rsidRPr="005A6665" w:rsidRDefault="005A6665" w:rsidP="0092519D">
      <w:pPr>
        <w:rPr>
          <w:b/>
          <w:sz w:val="24"/>
          <w:szCs w:val="24"/>
        </w:rPr>
      </w:pPr>
      <w:r>
        <w:rPr>
          <w:b/>
          <w:sz w:val="24"/>
          <w:szCs w:val="24"/>
        </w:rPr>
        <w:t>B</w:t>
      </w:r>
      <w:r w:rsidR="0092519D" w:rsidRPr="005A6665">
        <w:rPr>
          <w:b/>
          <w:sz w:val="24"/>
          <w:szCs w:val="24"/>
        </w:rPr>
        <w:t xml:space="preserve">: </w:t>
      </w:r>
      <w:r w:rsidR="0092519D" w:rsidRPr="005A6665">
        <w:rPr>
          <w:sz w:val="24"/>
          <w:szCs w:val="24"/>
        </w:rPr>
        <w:t xml:space="preserve">Cumulative incidence plot – Reduction in topical </w:t>
      </w:r>
      <w:r w:rsidR="004D345E" w:rsidRPr="005A6665">
        <w:rPr>
          <w:sz w:val="24"/>
          <w:szCs w:val="24"/>
        </w:rPr>
        <w:t xml:space="preserve">glucocorticoid </w:t>
      </w:r>
      <w:r w:rsidR="0092519D" w:rsidRPr="005A6665">
        <w:rPr>
          <w:sz w:val="24"/>
          <w:szCs w:val="24"/>
        </w:rPr>
        <w:t>dose</w:t>
      </w:r>
    </w:p>
    <w:p w14:paraId="100862F1" w14:textId="69C2D5DA" w:rsidR="0092519D" w:rsidRPr="00EE4F28" w:rsidRDefault="0092519D" w:rsidP="0092519D"/>
    <w:p w14:paraId="1B387A88" w14:textId="77777777" w:rsidR="005A6665" w:rsidRDefault="005A6665">
      <w:pPr>
        <w:rPr>
          <w:b/>
          <w:sz w:val="24"/>
          <w:szCs w:val="24"/>
        </w:rPr>
      </w:pPr>
      <w:bookmarkStart w:id="3" w:name="_Ref451428527"/>
      <w:bookmarkStart w:id="4" w:name="_Toc436813516"/>
      <w:bookmarkEnd w:id="2"/>
      <w:r>
        <w:rPr>
          <w:b/>
          <w:sz w:val="24"/>
          <w:szCs w:val="24"/>
        </w:rPr>
        <w:br w:type="page"/>
      </w:r>
    </w:p>
    <w:p w14:paraId="291F3CA7" w14:textId="14FB356F" w:rsidR="00580210" w:rsidRPr="00EE4F28" w:rsidRDefault="000B3FD4" w:rsidP="0045391D">
      <w:pPr>
        <w:rPr>
          <w:b/>
          <w:sz w:val="24"/>
          <w:szCs w:val="24"/>
        </w:rPr>
      </w:pPr>
      <w:r w:rsidRPr="00EE4F28">
        <w:rPr>
          <w:b/>
          <w:sz w:val="24"/>
          <w:szCs w:val="24"/>
        </w:rPr>
        <w:lastRenderedPageBreak/>
        <w:t>T</w:t>
      </w:r>
      <w:r w:rsidR="008B4A9F" w:rsidRPr="00EE4F28">
        <w:rPr>
          <w:b/>
          <w:sz w:val="24"/>
          <w:szCs w:val="24"/>
        </w:rPr>
        <w:t xml:space="preserve">able </w:t>
      </w:r>
      <w:r w:rsidR="00722B65" w:rsidRPr="00EE4F28">
        <w:rPr>
          <w:b/>
          <w:noProof/>
          <w:sz w:val="24"/>
          <w:szCs w:val="24"/>
        </w:rPr>
        <w:t>1</w:t>
      </w:r>
      <w:bookmarkEnd w:id="3"/>
      <w:r w:rsidR="00580210" w:rsidRPr="00EE4F28">
        <w:rPr>
          <w:b/>
          <w:sz w:val="24"/>
          <w:szCs w:val="24"/>
        </w:rPr>
        <w:t xml:space="preserve">: </w:t>
      </w:r>
      <w:r w:rsidR="000D4123" w:rsidRPr="00EE4F28">
        <w:rPr>
          <w:b/>
          <w:sz w:val="24"/>
          <w:szCs w:val="24"/>
        </w:rPr>
        <w:t>B</w:t>
      </w:r>
      <w:r w:rsidR="00580210" w:rsidRPr="00EE4F28">
        <w:rPr>
          <w:b/>
          <w:sz w:val="24"/>
          <w:szCs w:val="24"/>
        </w:rPr>
        <w:t xml:space="preserve">aseline </w:t>
      </w:r>
      <w:r w:rsidR="000D4123" w:rsidRPr="00EE4F28">
        <w:rPr>
          <w:b/>
          <w:sz w:val="24"/>
          <w:szCs w:val="24"/>
        </w:rPr>
        <w:t>characteristics of the participants</w:t>
      </w:r>
      <w:bookmarkEnd w:id="4"/>
    </w:p>
    <w:tbl>
      <w:tblPr>
        <w:tblStyle w:val="LightShading-Accent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936"/>
        <w:gridCol w:w="2653"/>
        <w:gridCol w:w="2069"/>
      </w:tblGrid>
      <w:tr w:rsidR="00536079" w:rsidRPr="00EE4F28" w14:paraId="270FD91C" w14:textId="77777777" w:rsidTr="005A6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single" w:sz="8" w:space="0" w:color="auto"/>
              <w:right w:val="none" w:sz="0" w:space="0" w:color="auto"/>
            </w:tcBorders>
            <w:shd w:val="clear" w:color="auto" w:fill="FFFFFF" w:themeFill="background1"/>
          </w:tcPr>
          <w:p w14:paraId="2E66A637" w14:textId="77777777" w:rsidR="00536079" w:rsidRPr="005A6665" w:rsidRDefault="00536079" w:rsidP="005A6665">
            <w:pPr>
              <w:rPr>
                <w:color w:val="auto"/>
                <w:sz w:val="20"/>
                <w:szCs w:val="24"/>
              </w:rPr>
            </w:pPr>
            <w:r w:rsidRPr="005A6665">
              <w:rPr>
                <w:color w:val="auto"/>
                <w:sz w:val="20"/>
                <w:szCs w:val="24"/>
              </w:rPr>
              <w:t xml:space="preserve">Characteristic </w:t>
            </w:r>
          </w:p>
        </w:tc>
        <w:tc>
          <w:tcPr>
            <w:tcW w:w="2653" w:type="dxa"/>
            <w:tcBorders>
              <w:top w:val="none" w:sz="0" w:space="0" w:color="auto"/>
              <w:left w:val="none" w:sz="0" w:space="0" w:color="auto"/>
              <w:bottom w:val="single" w:sz="8" w:space="0" w:color="auto"/>
              <w:right w:val="none" w:sz="0" w:space="0" w:color="auto"/>
            </w:tcBorders>
            <w:shd w:val="clear" w:color="auto" w:fill="FFFFFF" w:themeFill="background1"/>
          </w:tcPr>
          <w:p w14:paraId="330353C3" w14:textId="77777777" w:rsidR="00536079" w:rsidRPr="005A6665" w:rsidRDefault="00536079" w:rsidP="005A6665">
            <w:pPr>
              <w:cnfStyle w:val="100000000000" w:firstRow="1"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Adalimumab (N=60)</w:t>
            </w:r>
          </w:p>
        </w:tc>
        <w:tc>
          <w:tcPr>
            <w:tcW w:w="2069" w:type="dxa"/>
            <w:tcBorders>
              <w:top w:val="none" w:sz="0" w:space="0" w:color="auto"/>
              <w:left w:val="none" w:sz="0" w:space="0" w:color="auto"/>
              <w:bottom w:val="single" w:sz="8" w:space="0" w:color="auto"/>
              <w:right w:val="none" w:sz="0" w:space="0" w:color="auto"/>
            </w:tcBorders>
            <w:shd w:val="clear" w:color="auto" w:fill="FFFFFF" w:themeFill="background1"/>
          </w:tcPr>
          <w:p w14:paraId="21B13A21" w14:textId="77777777" w:rsidR="00536079" w:rsidRPr="005A6665" w:rsidRDefault="00536079" w:rsidP="005A6665">
            <w:pPr>
              <w:cnfStyle w:val="100000000000" w:firstRow="1"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Placebo (N=30)</w:t>
            </w:r>
          </w:p>
        </w:tc>
      </w:tr>
      <w:tr w:rsidR="00536079" w:rsidRPr="00EE4F28" w14:paraId="2E0D593B"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76E18B29" w14:textId="77777777" w:rsidR="00536079" w:rsidRPr="005A6665" w:rsidRDefault="00536079" w:rsidP="005A6665">
            <w:pPr>
              <w:rPr>
                <w:b w:val="0"/>
                <w:color w:val="auto"/>
                <w:sz w:val="20"/>
                <w:szCs w:val="24"/>
              </w:rPr>
            </w:pPr>
            <w:r w:rsidRPr="005A6665">
              <w:rPr>
                <w:b w:val="0"/>
                <w:color w:val="auto"/>
                <w:sz w:val="20"/>
                <w:szCs w:val="24"/>
              </w:rPr>
              <w:t xml:space="preserve">Eligible Eyes – </w:t>
            </w:r>
            <w:r w:rsidR="00C44F7F" w:rsidRPr="005A6665">
              <w:rPr>
                <w:b w:val="0"/>
                <w:color w:val="auto"/>
                <w:sz w:val="20"/>
                <w:szCs w:val="24"/>
              </w:rPr>
              <w:t>Unilateral -</w:t>
            </w:r>
            <w:r w:rsidRPr="005A6665">
              <w:rPr>
                <w:b w:val="0"/>
                <w:color w:val="auto"/>
                <w:sz w:val="20"/>
                <w:szCs w:val="24"/>
              </w:rPr>
              <w:t xml:space="preserve"> </w:t>
            </w:r>
            <w:proofErr w:type="gramStart"/>
            <w:r w:rsidR="00A15A8E" w:rsidRPr="005A6665">
              <w:rPr>
                <w:b w:val="0"/>
                <w:color w:val="auto"/>
                <w:sz w:val="20"/>
                <w:szCs w:val="24"/>
              </w:rPr>
              <w:t>N(</w:t>
            </w:r>
            <w:proofErr w:type="gramEnd"/>
            <w:r w:rsidRPr="005A6665">
              <w:rPr>
                <w:b w:val="0"/>
                <w:color w:val="auto"/>
                <w:sz w:val="20"/>
                <w:szCs w:val="24"/>
              </w:rPr>
              <w:t>%)</w:t>
            </w:r>
          </w:p>
        </w:tc>
        <w:tc>
          <w:tcPr>
            <w:tcW w:w="2653" w:type="dxa"/>
            <w:tcBorders>
              <w:left w:val="single" w:sz="8" w:space="0" w:color="auto"/>
              <w:right w:val="single" w:sz="8" w:space="0" w:color="auto"/>
            </w:tcBorders>
            <w:shd w:val="clear" w:color="auto" w:fill="FFFFFF" w:themeFill="background1"/>
          </w:tcPr>
          <w:p w14:paraId="45A4A838" w14:textId="77777777" w:rsidR="00536079" w:rsidRPr="005A6665" w:rsidRDefault="00B86CC3"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43 (7</w:t>
            </w:r>
            <w:r w:rsidR="009B60C9" w:rsidRPr="005A6665">
              <w:rPr>
                <w:color w:val="auto"/>
                <w:sz w:val="20"/>
                <w:szCs w:val="24"/>
              </w:rPr>
              <w:t>2</w:t>
            </w:r>
            <w:r w:rsidR="00536079" w:rsidRPr="005A6665">
              <w:rPr>
                <w:color w:val="auto"/>
                <w:sz w:val="20"/>
                <w:szCs w:val="24"/>
              </w:rPr>
              <w:t>)</w:t>
            </w:r>
          </w:p>
        </w:tc>
        <w:tc>
          <w:tcPr>
            <w:tcW w:w="2069" w:type="dxa"/>
            <w:tcBorders>
              <w:left w:val="single" w:sz="8" w:space="0" w:color="auto"/>
              <w:right w:val="single" w:sz="8" w:space="0" w:color="auto"/>
            </w:tcBorders>
            <w:shd w:val="clear" w:color="auto" w:fill="FFFFFF" w:themeFill="background1"/>
          </w:tcPr>
          <w:p w14:paraId="58D63DCA" w14:textId="77777777" w:rsidR="00536079" w:rsidRPr="005A6665" w:rsidRDefault="00B86CC3"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22 (73</w:t>
            </w:r>
            <w:r w:rsidR="00536079" w:rsidRPr="005A6665">
              <w:rPr>
                <w:color w:val="auto"/>
                <w:sz w:val="20"/>
                <w:szCs w:val="24"/>
              </w:rPr>
              <w:t>)</w:t>
            </w:r>
          </w:p>
        </w:tc>
      </w:tr>
      <w:tr w:rsidR="00B86CC3" w:rsidRPr="00EE4F28" w14:paraId="6D7A2CFE" w14:textId="77777777" w:rsidTr="005A6665">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14:paraId="51250705" w14:textId="77777777" w:rsidR="00B86CC3" w:rsidRPr="005A6665" w:rsidRDefault="00B86CC3" w:rsidP="005A6665">
            <w:pPr>
              <w:rPr>
                <w:b w:val="0"/>
                <w:color w:val="auto"/>
                <w:sz w:val="20"/>
                <w:szCs w:val="24"/>
              </w:rPr>
            </w:pPr>
            <w:r w:rsidRPr="005A6665">
              <w:rPr>
                <w:b w:val="0"/>
                <w:color w:val="auto"/>
                <w:sz w:val="20"/>
                <w:szCs w:val="24"/>
              </w:rPr>
              <w:t xml:space="preserve">Weight &lt;30kg – </w:t>
            </w:r>
            <w:proofErr w:type="gramStart"/>
            <w:r w:rsidR="00A15A8E" w:rsidRPr="005A6665">
              <w:rPr>
                <w:b w:val="0"/>
                <w:color w:val="auto"/>
                <w:sz w:val="20"/>
                <w:szCs w:val="24"/>
              </w:rPr>
              <w:t>N</w:t>
            </w:r>
            <w:r w:rsidRPr="005A6665">
              <w:rPr>
                <w:b w:val="0"/>
                <w:color w:val="auto"/>
                <w:sz w:val="20"/>
                <w:szCs w:val="24"/>
              </w:rPr>
              <w:t>(</w:t>
            </w:r>
            <w:proofErr w:type="gramEnd"/>
            <w:r w:rsidRPr="005A6665">
              <w:rPr>
                <w:b w:val="0"/>
                <w:color w:val="auto"/>
                <w:sz w:val="20"/>
                <w:szCs w:val="24"/>
              </w:rPr>
              <w:t>%)</w:t>
            </w:r>
          </w:p>
        </w:tc>
        <w:tc>
          <w:tcPr>
            <w:tcW w:w="2653" w:type="dxa"/>
            <w:shd w:val="clear" w:color="auto" w:fill="FFFFFF" w:themeFill="background1"/>
          </w:tcPr>
          <w:p w14:paraId="148B3BD0" w14:textId="77777777" w:rsidR="00B86CC3" w:rsidRPr="005A6665" w:rsidRDefault="009B60C9"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33 (56</w:t>
            </w:r>
            <w:r w:rsidR="00B86CC3" w:rsidRPr="005A6665">
              <w:rPr>
                <w:color w:val="auto"/>
                <w:sz w:val="20"/>
                <w:szCs w:val="24"/>
              </w:rPr>
              <w:t>)</w:t>
            </w:r>
          </w:p>
        </w:tc>
        <w:tc>
          <w:tcPr>
            <w:tcW w:w="2069" w:type="dxa"/>
            <w:shd w:val="clear" w:color="auto" w:fill="FFFFFF" w:themeFill="background1"/>
          </w:tcPr>
          <w:p w14:paraId="3C824ABE" w14:textId="77777777" w:rsidR="00B86CC3" w:rsidRPr="005A6665" w:rsidRDefault="009B60C9"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17 (57</w:t>
            </w:r>
            <w:r w:rsidR="00B86CC3" w:rsidRPr="005A6665">
              <w:rPr>
                <w:color w:val="auto"/>
                <w:sz w:val="20"/>
                <w:szCs w:val="24"/>
              </w:rPr>
              <w:t>)</w:t>
            </w:r>
          </w:p>
        </w:tc>
      </w:tr>
      <w:tr w:rsidR="00B86CC3" w:rsidRPr="00EE4F28" w14:paraId="24CC8D44"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031D018A" w14:textId="1A5F03CE" w:rsidR="00B86CC3" w:rsidRPr="005A6665" w:rsidRDefault="00B86CC3" w:rsidP="005A6665">
            <w:pPr>
              <w:rPr>
                <w:b w:val="0"/>
                <w:color w:val="auto"/>
                <w:sz w:val="20"/>
                <w:szCs w:val="24"/>
              </w:rPr>
            </w:pPr>
            <w:r w:rsidRPr="005A6665">
              <w:rPr>
                <w:b w:val="0"/>
                <w:color w:val="auto"/>
                <w:sz w:val="20"/>
                <w:szCs w:val="24"/>
              </w:rPr>
              <w:t>Age (years)</w:t>
            </w:r>
            <w:r w:rsidR="00A15A8E" w:rsidRPr="005A6665">
              <w:rPr>
                <w:b w:val="0"/>
                <w:color w:val="auto"/>
                <w:sz w:val="20"/>
                <w:szCs w:val="24"/>
                <w:vertAlign w:val="superscript"/>
              </w:rPr>
              <w:t>*</w:t>
            </w:r>
          </w:p>
        </w:tc>
        <w:tc>
          <w:tcPr>
            <w:tcW w:w="2653" w:type="dxa"/>
            <w:tcBorders>
              <w:left w:val="single" w:sz="8" w:space="0" w:color="auto"/>
              <w:right w:val="single" w:sz="8" w:space="0" w:color="auto"/>
            </w:tcBorders>
            <w:shd w:val="clear" w:color="auto" w:fill="FFFFFF" w:themeFill="background1"/>
          </w:tcPr>
          <w:p w14:paraId="0AD0C8F4" w14:textId="77777777" w:rsidR="00B86CC3" w:rsidRPr="005A6665" w:rsidRDefault="00B86CC3"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9.07 ± 3.94</w:t>
            </w:r>
          </w:p>
        </w:tc>
        <w:tc>
          <w:tcPr>
            <w:tcW w:w="2069" w:type="dxa"/>
            <w:tcBorders>
              <w:left w:val="single" w:sz="8" w:space="0" w:color="auto"/>
              <w:right w:val="single" w:sz="8" w:space="0" w:color="auto"/>
            </w:tcBorders>
            <w:shd w:val="clear" w:color="auto" w:fill="FFFFFF" w:themeFill="background1"/>
          </w:tcPr>
          <w:p w14:paraId="06B9E681" w14:textId="77777777" w:rsidR="00B86CC3" w:rsidRPr="005A6665" w:rsidRDefault="00B86CC3"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8.56 ± 3.79</w:t>
            </w:r>
          </w:p>
        </w:tc>
      </w:tr>
      <w:tr w:rsidR="00B86CC3" w:rsidRPr="00EE4F28" w14:paraId="2526F38B" w14:textId="77777777" w:rsidTr="005A6665">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14:paraId="56542CF1" w14:textId="77777777" w:rsidR="00B86CC3" w:rsidRPr="005A6665" w:rsidRDefault="00B86CC3" w:rsidP="005A6665">
            <w:pPr>
              <w:rPr>
                <w:b w:val="0"/>
                <w:color w:val="auto"/>
                <w:sz w:val="20"/>
                <w:szCs w:val="24"/>
              </w:rPr>
            </w:pPr>
            <w:r w:rsidRPr="005A6665">
              <w:rPr>
                <w:b w:val="0"/>
                <w:color w:val="auto"/>
                <w:sz w:val="20"/>
                <w:szCs w:val="24"/>
              </w:rPr>
              <w:t xml:space="preserve">Female sex – </w:t>
            </w:r>
            <w:proofErr w:type="gramStart"/>
            <w:r w:rsidR="00A15A8E" w:rsidRPr="005A6665">
              <w:rPr>
                <w:b w:val="0"/>
                <w:color w:val="auto"/>
                <w:sz w:val="20"/>
                <w:szCs w:val="24"/>
              </w:rPr>
              <w:t>N</w:t>
            </w:r>
            <w:r w:rsidRPr="005A6665">
              <w:rPr>
                <w:b w:val="0"/>
                <w:color w:val="auto"/>
                <w:sz w:val="20"/>
                <w:szCs w:val="24"/>
              </w:rPr>
              <w:t>(</w:t>
            </w:r>
            <w:proofErr w:type="gramEnd"/>
            <w:r w:rsidRPr="005A6665">
              <w:rPr>
                <w:b w:val="0"/>
                <w:color w:val="auto"/>
                <w:sz w:val="20"/>
                <w:szCs w:val="24"/>
              </w:rPr>
              <w:t>%)</w:t>
            </w:r>
          </w:p>
        </w:tc>
        <w:tc>
          <w:tcPr>
            <w:tcW w:w="2653" w:type="dxa"/>
            <w:shd w:val="clear" w:color="auto" w:fill="FFFFFF" w:themeFill="background1"/>
          </w:tcPr>
          <w:p w14:paraId="764CF82F" w14:textId="77777777" w:rsidR="00B86CC3" w:rsidRPr="005A6665" w:rsidRDefault="009B60C9"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47 (78</w:t>
            </w:r>
            <w:r w:rsidR="00B86CC3" w:rsidRPr="005A6665">
              <w:rPr>
                <w:color w:val="auto"/>
                <w:sz w:val="20"/>
                <w:szCs w:val="24"/>
              </w:rPr>
              <w:t>)</w:t>
            </w:r>
          </w:p>
        </w:tc>
        <w:tc>
          <w:tcPr>
            <w:tcW w:w="2069" w:type="dxa"/>
            <w:shd w:val="clear" w:color="auto" w:fill="FFFFFF" w:themeFill="background1"/>
          </w:tcPr>
          <w:p w14:paraId="01DA0CBA" w14:textId="77777777" w:rsidR="00B86CC3" w:rsidRPr="005A6665" w:rsidRDefault="009B60C9"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23 (77</w:t>
            </w:r>
            <w:r w:rsidR="00B86CC3" w:rsidRPr="005A6665">
              <w:rPr>
                <w:color w:val="auto"/>
                <w:sz w:val="20"/>
                <w:szCs w:val="24"/>
              </w:rPr>
              <w:t>)</w:t>
            </w:r>
          </w:p>
        </w:tc>
      </w:tr>
      <w:tr w:rsidR="00536079" w:rsidRPr="00EE4F28" w14:paraId="72EEC211"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6259E946" w14:textId="77777777" w:rsidR="00536079" w:rsidRPr="005A6665" w:rsidRDefault="00536079" w:rsidP="005A6665">
            <w:pPr>
              <w:rPr>
                <w:color w:val="auto"/>
                <w:sz w:val="20"/>
                <w:szCs w:val="24"/>
              </w:rPr>
            </w:pPr>
          </w:p>
        </w:tc>
        <w:tc>
          <w:tcPr>
            <w:tcW w:w="2653" w:type="dxa"/>
            <w:tcBorders>
              <w:left w:val="single" w:sz="8" w:space="0" w:color="auto"/>
              <w:right w:val="single" w:sz="8" w:space="0" w:color="auto"/>
            </w:tcBorders>
            <w:shd w:val="clear" w:color="auto" w:fill="FFFFFF" w:themeFill="background1"/>
          </w:tcPr>
          <w:p w14:paraId="2E5701BD" w14:textId="77777777" w:rsidR="00536079" w:rsidRPr="005A6665" w:rsidRDefault="00536079"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c>
          <w:tcPr>
            <w:tcW w:w="2069" w:type="dxa"/>
            <w:tcBorders>
              <w:left w:val="single" w:sz="8" w:space="0" w:color="auto"/>
              <w:right w:val="single" w:sz="8" w:space="0" w:color="auto"/>
            </w:tcBorders>
            <w:shd w:val="clear" w:color="auto" w:fill="FFFFFF" w:themeFill="background1"/>
          </w:tcPr>
          <w:p w14:paraId="5AEA8B4C" w14:textId="77777777" w:rsidR="00536079" w:rsidRPr="005A6665" w:rsidRDefault="00536079"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r>
      <w:tr w:rsidR="00536079" w:rsidRPr="00EE4F28" w14:paraId="7253F026" w14:textId="77777777" w:rsidTr="005A6665">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14:paraId="4C97EFC0" w14:textId="77777777" w:rsidR="00536079" w:rsidRPr="005A6665" w:rsidRDefault="00B86CC3" w:rsidP="005A6665">
            <w:pPr>
              <w:rPr>
                <w:color w:val="auto"/>
                <w:sz w:val="20"/>
                <w:szCs w:val="24"/>
                <w:vertAlign w:val="superscript"/>
              </w:rPr>
            </w:pPr>
            <w:r w:rsidRPr="005A6665">
              <w:rPr>
                <w:color w:val="auto"/>
                <w:sz w:val="20"/>
                <w:szCs w:val="24"/>
              </w:rPr>
              <w:t>Ophthalmology Characteristics</w:t>
            </w:r>
          </w:p>
        </w:tc>
        <w:tc>
          <w:tcPr>
            <w:tcW w:w="2653" w:type="dxa"/>
            <w:shd w:val="clear" w:color="auto" w:fill="FFFFFF" w:themeFill="background1"/>
          </w:tcPr>
          <w:p w14:paraId="7BD5700A" w14:textId="7A34C39C" w:rsidR="00536079" w:rsidRPr="005A6665" w:rsidRDefault="00CF2490" w:rsidP="005A6665">
            <w:pPr>
              <w:cnfStyle w:val="000000000000" w:firstRow="0" w:lastRow="0" w:firstColumn="0" w:lastColumn="0" w:oddVBand="0" w:evenVBand="0" w:oddHBand="0" w:evenHBand="0" w:firstRowFirstColumn="0" w:firstRowLastColumn="0" w:lastRowFirstColumn="0" w:lastRowLastColumn="0"/>
              <w:rPr>
                <w:b/>
                <w:color w:val="auto"/>
                <w:sz w:val="20"/>
                <w:szCs w:val="24"/>
                <w:vertAlign w:val="superscript"/>
              </w:rPr>
            </w:pPr>
            <w:r w:rsidRPr="005A6665">
              <w:rPr>
                <w:b/>
                <w:color w:val="auto"/>
                <w:sz w:val="20"/>
                <w:szCs w:val="24"/>
              </w:rPr>
              <w:t>Adalimumab (N</w:t>
            </w:r>
            <w:r w:rsidR="005B22CD" w:rsidRPr="005A6665">
              <w:rPr>
                <w:b/>
                <w:color w:val="auto"/>
                <w:sz w:val="20"/>
                <w:szCs w:val="24"/>
                <w:vertAlign w:val="superscript"/>
              </w:rPr>
              <w:t xml:space="preserve"> α</w:t>
            </w:r>
            <w:r w:rsidR="005B22CD" w:rsidRPr="005A6665">
              <w:rPr>
                <w:b/>
                <w:color w:val="auto"/>
                <w:sz w:val="20"/>
                <w:szCs w:val="24"/>
              </w:rPr>
              <w:t xml:space="preserve"> </w:t>
            </w:r>
            <w:r w:rsidRPr="005A6665">
              <w:rPr>
                <w:b/>
                <w:color w:val="auto"/>
                <w:sz w:val="20"/>
                <w:szCs w:val="24"/>
              </w:rPr>
              <w:t>=77)</w:t>
            </w:r>
          </w:p>
        </w:tc>
        <w:tc>
          <w:tcPr>
            <w:tcW w:w="2069" w:type="dxa"/>
            <w:shd w:val="clear" w:color="auto" w:fill="FFFFFF" w:themeFill="background1"/>
          </w:tcPr>
          <w:p w14:paraId="463820ED" w14:textId="55413912" w:rsidR="00536079" w:rsidRPr="005A6665" w:rsidRDefault="00CF2490" w:rsidP="005A6665">
            <w:pPr>
              <w:cnfStyle w:val="000000000000" w:firstRow="0" w:lastRow="0" w:firstColumn="0" w:lastColumn="0" w:oddVBand="0" w:evenVBand="0" w:oddHBand="0" w:evenHBand="0" w:firstRowFirstColumn="0" w:firstRowLastColumn="0" w:lastRowFirstColumn="0" w:lastRowLastColumn="0"/>
              <w:rPr>
                <w:b/>
                <w:color w:val="auto"/>
                <w:sz w:val="20"/>
                <w:szCs w:val="24"/>
                <w:vertAlign w:val="superscript"/>
              </w:rPr>
            </w:pPr>
            <w:r w:rsidRPr="005A6665">
              <w:rPr>
                <w:b/>
                <w:color w:val="auto"/>
                <w:sz w:val="20"/>
                <w:szCs w:val="24"/>
              </w:rPr>
              <w:t>Placebo (N</w:t>
            </w:r>
            <w:r w:rsidR="005B22CD" w:rsidRPr="005A6665">
              <w:rPr>
                <w:b/>
                <w:color w:val="auto"/>
                <w:sz w:val="20"/>
                <w:szCs w:val="24"/>
                <w:vertAlign w:val="superscript"/>
              </w:rPr>
              <w:t xml:space="preserve"> α</w:t>
            </w:r>
            <w:r w:rsidR="005B22CD" w:rsidRPr="005A6665">
              <w:rPr>
                <w:b/>
                <w:color w:val="auto"/>
                <w:sz w:val="20"/>
                <w:szCs w:val="24"/>
              </w:rPr>
              <w:t xml:space="preserve"> </w:t>
            </w:r>
            <w:r w:rsidRPr="005A6665">
              <w:rPr>
                <w:b/>
                <w:color w:val="auto"/>
                <w:sz w:val="20"/>
                <w:szCs w:val="24"/>
              </w:rPr>
              <w:t>=38)</w:t>
            </w:r>
          </w:p>
        </w:tc>
      </w:tr>
      <w:tr w:rsidR="00B86CC3" w:rsidRPr="00EE4F28" w14:paraId="110437AD"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bottom w:val="single" w:sz="8" w:space="0" w:color="auto"/>
              <w:right w:val="single" w:sz="8" w:space="0" w:color="auto"/>
            </w:tcBorders>
            <w:shd w:val="clear" w:color="auto" w:fill="FFFFFF" w:themeFill="background1"/>
          </w:tcPr>
          <w:p w14:paraId="1930C9A8" w14:textId="77777777" w:rsidR="00B86CC3" w:rsidRPr="005A6665" w:rsidRDefault="00B86CC3" w:rsidP="005A6665">
            <w:pPr>
              <w:rPr>
                <w:b w:val="0"/>
                <w:color w:val="auto"/>
                <w:sz w:val="20"/>
                <w:szCs w:val="24"/>
              </w:rPr>
            </w:pPr>
            <w:proofErr w:type="spellStart"/>
            <w:r w:rsidRPr="005A6665">
              <w:rPr>
                <w:b w:val="0"/>
                <w:color w:val="auto"/>
                <w:sz w:val="20"/>
                <w:szCs w:val="24"/>
              </w:rPr>
              <w:t>LogMAR</w:t>
            </w:r>
            <w:proofErr w:type="spellEnd"/>
            <w:r w:rsidRPr="005A6665">
              <w:rPr>
                <w:b w:val="0"/>
                <w:color w:val="auto"/>
                <w:sz w:val="20"/>
                <w:szCs w:val="24"/>
              </w:rPr>
              <w:t xml:space="preserve"> Score</w:t>
            </w:r>
            <w:r w:rsidR="005E2ECA" w:rsidRPr="005A6665">
              <w:rPr>
                <w:b w:val="0"/>
                <w:color w:val="auto"/>
                <w:sz w:val="20"/>
                <w:szCs w:val="24"/>
                <w:vertAlign w:val="superscript"/>
              </w:rPr>
              <w:t>*</w:t>
            </w:r>
            <w:r w:rsidRPr="005A6665">
              <w:rPr>
                <w:b w:val="0"/>
                <w:color w:val="auto"/>
                <w:sz w:val="20"/>
                <w:szCs w:val="24"/>
              </w:rPr>
              <w:t xml:space="preserve"> </w:t>
            </w:r>
          </w:p>
        </w:tc>
        <w:tc>
          <w:tcPr>
            <w:tcW w:w="2653" w:type="dxa"/>
            <w:tcBorders>
              <w:left w:val="single" w:sz="8" w:space="0" w:color="auto"/>
              <w:bottom w:val="single" w:sz="8" w:space="0" w:color="auto"/>
              <w:right w:val="single" w:sz="8" w:space="0" w:color="auto"/>
            </w:tcBorders>
            <w:shd w:val="clear" w:color="auto" w:fill="FFFFFF" w:themeFill="background1"/>
          </w:tcPr>
          <w:p w14:paraId="7FB50293" w14:textId="77777777" w:rsidR="00B86CC3" w:rsidRPr="005A6665" w:rsidRDefault="00B86CC3"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0.04 ± 0.15</w:t>
            </w:r>
          </w:p>
        </w:tc>
        <w:tc>
          <w:tcPr>
            <w:tcW w:w="2069" w:type="dxa"/>
            <w:tcBorders>
              <w:left w:val="single" w:sz="8" w:space="0" w:color="auto"/>
              <w:bottom w:val="single" w:sz="8" w:space="0" w:color="auto"/>
              <w:right w:val="single" w:sz="8" w:space="0" w:color="auto"/>
            </w:tcBorders>
            <w:shd w:val="clear" w:color="auto" w:fill="FFFFFF" w:themeFill="background1"/>
          </w:tcPr>
          <w:p w14:paraId="5E30CBB8" w14:textId="77777777" w:rsidR="00B86CC3" w:rsidRPr="005A6665" w:rsidRDefault="00B86CC3"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0.07 ± 0.12</w:t>
            </w:r>
          </w:p>
        </w:tc>
      </w:tr>
      <w:tr w:rsidR="004B686E" w:rsidRPr="00EE4F28" w14:paraId="750CC07B" w14:textId="77777777" w:rsidTr="005A6665">
        <w:trPr>
          <w:trHeight w:val="284"/>
        </w:trPr>
        <w:tc>
          <w:tcPr>
            <w:cnfStyle w:val="001000000000" w:firstRow="0" w:lastRow="0" w:firstColumn="1" w:lastColumn="0" w:oddVBand="0" w:evenVBand="0" w:oddHBand="0" w:evenHBand="0" w:firstRowFirstColumn="0" w:firstRowLastColumn="0" w:lastRowFirstColumn="0" w:lastRowLastColumn="0"/>
            <w:tcW w:w="3936" w:type="dxa"/>
            <w:tcBorders>
              <w:bottom w:val="nil"/>
            </w:tcBorders>
            <w:shd w:val="clear" w:color="auto" w:fill="FFFFFF" w:themeFill="background1"/>
          </w:tcPr>
          <w:p w14:paraId="0E28BB0D" w14:textId="521CFA53" w:rsidR="004B686E" w:rsidRPr="005A6665" w:rsidRDefault="004B686E" w:rsidP="005A6665">
            <w:pPr>
              <w:rPr>
                <w:color w:val="auto"/>
                <w:sz w:val="20"/>
                <w:szCs w:val="24"/>
              </w:rPr>
            </w:pPr>
            <w:r w:rsidRPr="005A6665">
              <w:rPr>
                <w:b w:val="0"/>
                <w:color w:val="auto"/>
                <w:sz w:val="20"/>
                <w:szCs w:val="24"/>
              </w:rPr>
              <w:t xml:space="preserve">AC cells (SUN) – </w:t>
            </w:r>
            <w:proofErr w:type="gramStart"/>
            <w:r w:rsidR="00A15A8E" w:rsidRPr="005A6665">
              <w:rPr>
                <w:b w:val="0"/>
                <w:color w:val="auto"/>
                <w:sz w:val="20"/>
                <w:szCs w:val="24"/>
              </w:rPr>
              <w:t>N</w:t>
            </w:r>
            <w:r w:rsidRPr="005A6665">
              <w:rPr>
                <w:b w:val="0"/>
                <w:color w:val="auto"/>
                <w:sz w:val="20"/>
                <w:szCs w:val="24"/>
              </w:rPr>
              <w:t>(</w:t>
            </w:r>
            <w:proofErr w:type="gramEnd"/>
            <w:r w:rsidRPr="005A6665">
              <w:rPr>
                <w:b w:val="0"/>
                <w:color w:val="auto"/>
                <w:sz w:val="20"/>
                <w:szCs w:val="24"/>
              </w:rPr>
              <w:t>%)</w:t>
            </w:r>
          </w:p>
        </w:tc>
        <w:tc>
          <w:tcPr>
            <w:tcW w:w="2653" w:type="dxa"/>
            <w:tcBorders>
              <w:bottom w:val="nil"/>
            </w:tcBorders>
            <w:shd w:val="clear" w:color="auto" w:fill="FFFFFF" w:themeFill="background1"/>
          </w:tcPr>
          <w:p w14:paraId="55CFF398" w14:textId="6E5A77EF" w:rsidR="004B686E" w:rsidRPr="005A6665" w:rsidRDefault="004B686E"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p>
        </w:tc>
        <w:tc>
          <w:tcPr>
            <w:tcW w:w="2069" w:type="dxa"/>
            <w:tcBorders>
              <w:bottom w:val="nil"/>
            </w:tcBorders>
            <w:shd w:val="clear" w:color="auto" w:fill="FFFFFF" w:themeFill="background1"/>
          </w:tcPr>
          <w:p w14:paraId="7B8694F0" w14:textId="6CB7CEF6" w:rsidR="004B686E" w:rsidRPr="005A6665" w:rsidRDefault="004B686E"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p>
        </w:tc>
      </w:tr>
      <w:tr w:rsidR="005A6665" w:rsidRPr="00EE4F28" w14:paraId="7468DC78"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none" w:sz="0" w:space="0" w:color="auto"/>
              <w:bottom w:val="nil"/>
              <w:right w:val="none" w:sz="0" w:space="0" w:color="auto"/>
            </w:tcBorders>
            <w:shd w:val="clear" w:color="auto" w:fill="FFFFFF" w:themeFill="background1"/>
          </w:tcPr>
          <w:p w14:paraId="4F843C2A" w14:textId="487A9569" w:rsidR="005A6665" w:rsidRPr="005A6665" w:rsidRDefault="005A6665" w:rsidP="005A6665">
            <w:pPr>
              <w:ind w:left="720"/>
              <w:rPr>
                <w:b w:val="0"/>
                <w:sz w:val="20"/>
                <w:szCs w:val="24"/>
              </w:rPr>
            </w:pPr>
            <w:r w:rsidRPr="005A6665">
              <w:rPr>
                <w:b w:val="0"/>
                <w:color w:val="auto"/>
                <w:sz w:val="20"/>
                <w:szCs w:val="24"/>
              </w:rPr>
              <w:t>1+</w:t>
            </w:r>
          </w:p>
        </w:tc>
        <w:tc>
          <w:tcPr>
            <w:tcW w:w="2653" w:type="dxa"/>
            <w:tcBorders>
              <w:top w:val="nil"/>
              <w:left w:val="none" w:sz="0" w:space="0" w:color="auto"/>
              <w:bottom w:val="nil"/>
              <w:right w:val="none" w:sz="0" w:space="0" w:color="auto"/>
            </w:tcBorders>
            <w:shd w:val="clear" w:color="auto" w:fill="FFFFFF" w:themeFill="background1"/>
          </w:tcPr>
          <w:p w14:paraId="1F04EFC0" w14:textId="338ECD1E"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52 (68)</w:t>
            </w:r>
          </w:p>
        </w:tc>
        <w:tc>
          <w:tcPr>
            <w:tcW w:w="2069" w:type="dxa"/>
            <w:tcBorders>
              <w:top w:val="nil"/>
              <w:left w:val="none" w:sz="0" w:space="0" w:color="auto"/>
              <w:bottom w:val="nil"/>
              <w:right w:val="none" w:sz="0" w:space="0" w:color="auto"/>
            </w:tcBorders>
            <w:shd w:val="clear" w:color="auto" w:fill="FFFFFF" w:themeFill="background1"/>
          </w:tcPr>
          <w:p w14:paraId="1B6E6016" w14:textId="28ACE42A"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24 (63)</w:t>
            </w:r>
          </w:p>
        </w:tc>
      </w:tr>
      <w:tr w:rsidR="005A6665" w:rsidRPr="00EE4F28" w14:paraId="1BEE819C"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bottom w:val="nil"/>
            </w:tcBorders>
            <w:shd w:val="clear" w:color="auto" w:fill="FFFFFF" w:themeFill="background1"/>
          </w:tcPr>
          <w:p w14:paraId="475BB4CE" w14:textId="6AAD847A" w:rsidR="005A6665" w:rsidRPr="005A6665" w:rsidRDefault="005A6665" w:rsidP="005A6665">
            <w:pPr>
              <w:ind w:left="720"/>
              <w:rPr>
                <w:b w:val="0"/>
                <w:sz w:val="20"/>
                <w:szCs w:val="24"/>
              </w:rPr>
            </w:pPr>
            <w:r w:rsidRPr="005A6665">
              <w:rPr>
                <w:b w:val="0"/>
                <w:color w:val="auto"/>
                <w:sz w:val="20"/>
                <w:szCs w:val="24"/>
              </w:rPr>
              <w:t>2+</w:t>
            </w:r>
          </w:p>
        </w:tc>
        <w:tc>
          <w:tcPr>
            <w:tcW w:w="2653" w:type="dxa"/>
            <w:tcBorders>
              <w:top w:val="nil"/>
              <w:bottom w:val="nil"/>
            </w:tcBorders>
            <w:shd w:val="clear" w:color="auto" w:fill="FFFFFF" w:themeFill="background1"/>
          </w:tcPr>
          <w:p w14:paraId="24340F0A" w14:textId="0E965179"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18 (23)</w:t>
            </w:r>
          </w:p>
        </w:tc>
        <w:tc>
          <w:tcPr>
            <w:tcW w:w="2069" w:type="dxa"/>
            <w:tcBorders>
              <w:top w:val="nil"/>
              <w:bottom w:val="nil"/>
            </w:tcBorders>
            <w:shd w:val="clear" w:color="auto" w:fill="FFFFFF" w:themeFill="background1"/>
          </w:tcPr>
          <w:p w14:paraId="7C31C20E" w14:textId="4A327F21"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11 (29)</w:t>
            </w:r>
          </w:p>
        </w:tc>
      </w:tr>
      <w:tr w:rsidR="005A6665" w:rsidRPr="00EE4F28" w14:paraId="16415B74"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none" w:sz="0" w:space="0" w:color="auto"/>
              <w:bottom w:val="nil"/>
              <w:right w:val="none" w:sz="0" w:space="0" w:color="auto"/>
            </w:tcBorders>
            <w:shd w:val="clear" w:color="auto" w:fill="FFFFFF" w:themeFill="background1"/>
          </w:tcPr>
          <w:p w14:paraId="50262FC7" w14:textId="0E76091B" w:rsidR="005A6665" w:rsidRPr="005A6665" w:rsidRDefault="005A6665" w:rsidP="005A6665">
            <w:pPr>
              <w:ind w:left="720"/>
              <w:rPr>
                <w:b w:val="0"/>
                <w:sz w:val="20"/>
                <w:szCs w:val="24"/>
              </w:rPr>
            </w:pPr>
            <w:r w:rsidRPr="005A6665">
              <w:rPr>
                <w:b w:val="0"/>
                <w:color w:val="auto"/>
                <w:sz w:val="20"/>
                <w:szCs w:val="24"/>
              </w:rPr>
              <w:t>3+</w:t>
            </w:r>
          </w:p>
        </w:tc>
        <w:tc>
          <w:tcPr>
            <w:tcW w:w="2653" w:type="dxa"/>
            <w:tcBorders>
              <w:top w:val="nil"/>
              <w:left w:val="none" w:sz="0" w:space="0" w:color="auto"/>
              <w:bottom w:val="nil"/>
              <w:right w:val="none" w:sz="0" w:space="0" w:color="auto"/>
            </w:tcBorders>
            <w:shd w:val="clear" w:color="auto" w:fill="FFFFFF" w:themeFill="background1"/>
          </w:tcPr>
          <w:p w14:paraId="6403C81F" w14:textId="5583F3D5"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6 (8)</w:t>
            </w:r>
          </w:p>
        </w:tc>
        <w:tc>
          <w:tcPr>
            <w:tcW w:w="2069" w:type="dxa"/>
            <w:tcBorders>
              <w:top w:val="nil"/>
              <w:left w:val="none" w:sz="0" w:space="0" w:color="auto"/>
              <w:bottom w:val="nil"/>
              <w:right w:val="none" w:sz="0" w:space="0" w:color="auto"/>
            </w:tcBorders>
            <w:shd w:val="clear" w:color="auto" w:fill="FFFFFF" w:themeFill="background1"/>
          </w:tcPr>
          <w:p w14:paraId="00213D82" w14:textId="4AECBE8A"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3 (8)</w:t>
            </w:r>
          </w:p>
        </w:tc>
      </w:tr>
      <w:tr w:rsidR="005A6665" w:rsidRPr="00EE4F28" w14:paraId="213BC6F5"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bottom w:val="single" w:sz="8" w:space="0" w:color="auto"/>
            </w:tcBorders>
            <w:shd w:val="clear" w:color="auto" w:fill="FFFFFF" w:themeFill="background1"/>
          </w:tcPr>
          <w:p w14:paraId="68790431" w14:textId="2E4B011A" w:rsidR="005A6665" w:rsidRPr="005A6665" w:rsidRDefault="005A6665" w:rsidP="005A6665">
            <w:pPr>
              <w:ind w:left="720"/>
              <w:rPr>
                <w:b w:val="0"/>
                <w:sz w:val="20"/>
                <w:szCs w:val="24"/>
              </w:rPr>
            </w:pPr>
            <w:r w:rsidRPr="005A6665">
              <w:rPr>
                <w:b w:val="0"/>
                <w:color w:val="auto"/>
                <w:sz w:val="20"/>
                <w:szCs w:val="24"/>
              </w:rPr>
              <w:t>4+</w:t>
            </w:r>
          </w:p>
        </w:tc>
        <w:tc>
          <w:tcPr>
            <w:tcW w:w="2653" w:type="dxa"/>
            <w:tcBorders>
              <w:top w:val="nil"/>
              <w:bottom w:val="single" w:sz="8" w:space="0" w:color="auto"/>
            </w:tcBorders>
            <w:shd w:val="clear" w:color="auto" w:fill="FFFFFF" w:themeFill="background1"/>
          </w:tcPr>
          <w:p w14:paraId="05A2CA6F" w14:textId="59D4D889"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 (1)</w:t>
            </w:r>
          </w:p>
        </w:tc>
        <w:tc>
          <w:tcPr>
            <w:tcW w:w="2069" w:type="dxa"/>
            <w:tcBorders>
              <w:top w:val="nil"/>
              <w:bottom w:val="single" w:sz="8" w:space="0" w:color="auto"/>
            </w:tcBorders>
            <w:shd w:val="clear" w:color="auto" w:fill="FFFFFF" w:themeFill="background1"/>
          </w:tcPr>
          <w:p w14:paraId="513CB6C0" w14:textId="5C1273AE"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0 (0)</w:t>
            </w:r>
          </w:p>
        </w:tc>
      </w:tr>
      <w:tr w:rsidR="004B686E" w:rsidRPr="00EE4F28" w14:paraId="063D90F6"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bottom w:val="nil"/>
              <w:right w:val="single" w:sz="8" w:space="0" w:color="auto"/>
            </w:tcBorders>
            <w:shd w:val="clear" w:color="auto" w:fill="FFFFFF" w:themeFill="background1"/>
          </w:tcPr>
          <w:p w14:paraId="01EA7687" w14:textId="44C1F4F9" w:rsidR="004B686E" w:rsidRPr="005A6665" w:rsidRDefault="004B686E" w:rsidP="005A6665">
            <w:pPr>
              <w:rPr>
                <w:b w:val="0"/>
                <w:color w:val="auto"/>
                <w:sz w:val="20"/>
                <w:szCs w:val="24"/>
              </w:rPr>
            </w:pPr>
            <w:r w:rsidRPr="005A6665">
              <w:rPr>
                <w:b w:val="0"/>
                <w:color w:val="auto"/>
                <w:sz w:val="20"/>
                <w:szCs w:val="24"/>
              </w:rPr>
              <w:t xml:space="preserve">Flare Score (SUN) – </w:t>
            </w:r>
            <w:proofErr w:type="gramStart"/>
            <w:r w:rsidR="00A15A8E" w:rsidRPr="005A6665">
              <w:rPr>
                <w:b w:val="0"/>
                <w:color w:val="auto"/>
                <w:sz w:val="20"/>
                <w:szCs w:val="24"/>
              </w:rPr>
              <w:t>N</w:t>
            </w:r>
            <w:r w:rsidRPr="005A6665">
              <w:rPr>
                <w:b w:val="0"/>
                <w:color w:val="auto"/>
                <w:sz w:val="20"/>
                <w:szCs w:val="24"/>
              </w:rPr>
              <w:t>(</w:t>
            </w:r>
            <w:proofErr w:type="gramEnd"/>
            <w:r w:rsidRPr="005A6665">
              <w:rPr>
                <w:b w:val="0"/>
                <w:color w:val="auto"/>
                <w:sz w:val="20"/>
                <w:szCs w:val="24"/>
              </w:rPr>
              <w:t>%)</w:t>
            </w:r>
          </w:p>
        </w:tc>
        <w:tc>
          <w:tcPr>
            <w:tcW w:w="2653" w:type="dxa"/>
            <w:tcBorders>
              <w:left w:val="single" w:sz="8" w:space="0" w:color="auto"/>
              <w:bottom w:val="nil"/>
              <w:right w:val="single" w:sz="8" w:space="0" w:color="auto"/>
            </w:tcBorders>
            <w:shd w:val="clear" w:color="auto" w:fill="FFFFFF" w:themeFill="background1"/>
          </w:tcPr>
          <w:p w14:paraId="4D30EE04" w14:textId="79C763B7" w:rsidR="004B686E" w:rsidRPr="005A6665" w:rsidRDefault="004B686E"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c>
          <w:tcPr>
            <w:tcW w:w="2069" w:type="dxa"/>
            <w:tcBorders>
              <w:left w:val="single" w:sz="8" w:space="0" w:color="auto"/>
              <w:bottom w:val="nil"/>
              <w:right w:val="single" w:sz="8" w:space="0" w:color="auto"/>
            </w:tcBorders>
            <w:shd w:val="clear" w:color="auto" w:fill="FFFFFF" w:themeFill="background1"/>
          </w:tcPr>
          <w:p w14:paraId="30108EA8" w14:textId="391A99CE" w:rsidR="004B686E" w:rsidRPr="005A6665" w:rsidRDefault="004B686E"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r>
      <w:tr w:rsidR="005A6665" w:rsidRPr="00EE4F28" w14:paraId="17B71209"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113189BD" w14:textId="08865035" w:rsidR="005A6665" w:rsidRPr="005A6665" w:rsidRDefault="005A6665" w:rsidP="005A6665">
            <w:pPr>
              <w:ind w:left="720"/>
              <w:rPr>
                <w:b w:val="0"/>
                <w:sz w:val="20"/>
                <w:szCs w:val="24"/>
              </w:rPr>
            </w:pPr>
            <w:r w:rsidRPr="005A6665">
              <w:rPr>
                <w:b w:val="0"/>
                <w:color w:val="auto"/>
                <w:sz w:val="20"/>
                <w:szCs w:val="24"/>
              </w:rPr>
              <w:t>0</w:t>
            </w:r>
          </w:p>
        </w:tc>
        <w:tc>
          <w:tcPr>
            <w:tcW w:w="2653" w:type="dxa"/>
            <w:tcBorders>
              <w:top w:val="nil"/>
              <w:left w:val="single" w:sz="8" w:space="0" w:color="auto"/>
              <w:bottom w:val="nil"/>
              <w:right w:val="single" w:sz="8" w:space="0" w:color="auto"/>
            </w:tcBorders>
            <w:shd w:val="clear" w:color="auto" w:fill="FFFFFF" w:themeFill="background1"/>
          </w:tcPr>
          <w:p w14:paraId="347DD4F4" w14:textId="6DD81218"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18 (23)</w:t>
            </w:r>
          </w:p>
        </w:tc>
        <w:tc>
          <w:tcPr>
            <w:tcW w:w="2069" w:type="dxa"/>
            <w:tcBorders>
              <w:top w:val="nil"/>
              <w:left w:val="single" w:sz="8" w:space="0" w:color="auto"/>
              <w:bottom w:val="nil"/>
              <w:right w:val="single" w:sz="8" w:space="0" w:color="auto"/>
            </w:tcBorders>
            <w:shd w:val="clear" w:color="auto" w:fill="FFFFFF" w:themeFill="background1"/>
          </w:tcPr>
          <w:p w14:paraId="5A5F5E72" w14:textId="6D25E62C"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12 (32)</w:t>
            </w:r>
          </w:p>
        </w:tc>
      </w:tr>
      <w:tr w:rsidR="005A6665" w:rsidRPr="00EE4F28" w14:paraId="22B17DC1"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10045430" w14:textId="30AC4839" w:rsidR="005A6665" w:rsidRPr="005A6665" w:rsidRDefault="005A6665" w:rsidP="005A6665">
            <w:pPr>
              <w:ind w:left="720"/>
              <w:rPr>
                <w:b w:val="0"/>
                <w:sz w:val="20"/>
                <w:szCs w:val="24"/>
              </w:rPr>
            </w:pPr>
            <w:r w:rsidRPr="005A6665">
              <w:rPr>
                <w:b w:val="0"/>
                <w:color w:val="auto"/>
                <w:sz w:val="20"/>
                <w:szCs w:val="24"/>
              </w:rPr>
              <w:t>1+</w:t>
            </w:r>
          </w:p>
        </w:tc>
        <w:tc>
          <w:tcPr>
            <w:tcW w:w="2653" w:type="dxa"/>
            <w:tcBorders>
              <w:top w:val="nil"/>
              <w:left w:val="single" w:sz="8" w:space="0" w:color="auto"/>
              <w:bottom w:val="nil"/>
              <w:right w:val="single" w:sz="8" w:space="0" w:color="auto"/>
            </w:tcBorders>
            <w:shd w:val="clear" w:color="auto" w:fill="FFFFFF" w:themeFill="background1"/>
          </w:tcPr>
          <w:p w14:paraId="111E6146" w14:textId="0C12D9D7"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49 (64)</w:t>
            </w:r>
          </w:p>
        </w:tc>
        <w:tc>
          <w:tcPr>
            <w:tcW w:w="2069" w:type="dxa"/>
            <w:tcBorders>
              <w:top w:val="nil"/>
              <w:left w:val="single" w:sz="8" w:space="0" w:color="auto"/>
              <w:bottom w:val="nil"/>
              <w:right w:val="single" w:sz="8" w:space="0" w:color="auto"/>
            </w:tcBorders>
            <w:shd w:val="clear" w:color="auto" w:fill="FFFFFF" w:themeFill="background1"/>
          </w:tcPr>
          <w:p w14:paraId="558677DF" w14:textId="5125909D"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23 (61)</w:t>
            </w:r>
          </w:p>
        </w:tc>
      </w:tr>
      <w:tr w:rsidR="005A6665" w:rsidRPr="00EE4F28" w14:paraId="6B777BCD"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right w:val="single" w:sz="8" w:space="0" w:color="auto"/>
            </w:tcBorders>
            <w:shd w:val="clear" w:color="auto" w:fill="FFFFFF" w:themeFill="background1"/>
          </w:tcPr>
          <w:p w14:paraId="54541FD4" w14:textId="32F9B548" w:rsidR="005A6665" w:rsidRPr="005A6665" w:rsidRDefault="005A6665" w:rsidP="005A6665">
            <w:pPr>
              <w:ind w:left="720"/>
              <w:rPr>
                <w:b w:val="0"/>
                <w:sz w:val="20"/>
                <w:szCs w:val="24"/>
              </w:rPr>
            </w:pPr>
            <w:r w:rsidRPr="005A6665">
              <w:rPr>
                <w:b w:val="0"/>
                <w:color w:val="auto"/>
                <w:sz w:val="20"/>
                <w:szCs w:val="24"/>
              </w:rPr>
              <w:t>2+</w:t>
            </w:r>
          </w:p>
        </w:tc>
        <w:tc>
          <w:tcPr>
            <w:tcW w:w="2653" w:type="dxa"/>
            <w:tcBorders>
              <w:top w:val="nil"/>
              <w:left w:val="single" w:sz="8" w:space="0" w:color="auto"/>
              <w:right w:val="single" w:sz="8" w:space="0" w:color="auto"/>
            </w:tcBorders>
            <w:shd w:val="clear" w:color="auto" w:fill="FFFFFF" w:themeFill="background1"/>
          </w:tcPr>
          <w:p w14:paraId="3A55F87C" w14:textId="520E5D01"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10 (13)</w:t>
            </w:r>
          </w:p>
        </w:tc>
        <w:tc>
          <w:tcPr>
            <w:tcW w:w="2069" w:type="dxa"/>
            <w:tcBorders>
              <w:top w:val="nil"/>
              <w:left w:val="single" w:sz="8" w:space="0" w:color="auto"/>
              <w:right w:val="single" w:sz="8" w:space="0" w:color="auto"/>
            </w:tcBorders>
            <w:shd w:val="clear" w:color="auto" w:fill="FFFFFF" w:themeFill="background1"/>
          </w:tcPr>
          <w:p w14:paraId="0F2A792D" w14:textId="14886F61"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3 (8)</w:t>
            </w:r>
          </w:p>
        </w:tc>
      </w:tr>
      <w:tr w:rsidR="004B686E" w:rsidRPr="00EE4F28" w14:paraId="58396D17"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none" w:sz="0" w:space="0" w:color="auto"/>
              <w:bottom w:val="single" w:sz="8" w:space="0" w:color="auto"/>
              <w:right w:val="none" w:sz="0" w:space="0" w:color="auto"/>
            </w:tcBorders>
            <w:shd w:val="clear" w:color="auto" w:fill="FFFFFF" w:themeFill="background1"/>
          </w:tcPr>
          <w:p w14:paraId="02EEDD40" w14:textId="77777777" w:rsidR="004B686E" w:rsidRPr="005A6665" w:rsidRDefault="004B686E" w:rsidP="005A6665">
            <w:pPr>
              <w:rPr>
                <w:b w:val="0"/>
                <w:color w:val="auto"/>
                <w:sz w:val="20"/>
                <w:szCs w:val="24"/>
                <w:vertAlign w:val="superscript"/>
              </w:rPr>
            </w:pPr>
            <w:r w:rsidRPr="005A6665">
              <w:rPr>
                <w:b w:val="0"/>
                <w:color w:val="auto"/>
                <w:sz w:val="20"/>
                <w:szCs w:val="24"/>
              </w:rPr>
              <w:t>Intraocular pressure</w:t>
            </w:r>
            <w:r w:rsidR="005E2ECA" w:rsidRPr="005A6665">
              <w:rPr>
                <w:b w:val="0"/>
                <w:color w:val="auto"/>
                <w:sz w:val="20"/>
                <w:szCs w:val="24"/>
              </w:rPr>
              <w:t xml:space="preserve"> mmHg</w:t>
            </w:r>
            <w:r w:rsidR="005E2ECA" w:rsidRPr="005A6665">
              <w:rPr>
                <w:b w:val="0"/>
                <w:color w:val="auto"/>
                <w:sz w:val="20"/>
                <w:szCs w:val="24"/>
                <w:vertAlign w:val="superscript"/>
              </w:rPr>
              <w:t>*</w:t>
            </w:r>
          </w:p>
        </w:tc>
        <w:tc>
          <w:tcPr>
            <w:tcW w:w="2653" w:type="dxa"/>
            <w:tcBorders>
              <w:left w:val="none" w:sz="0" w:space="0" w:color="auto"/>
              <w:bottom w:val="single" w:sz="8" w:space="0" w:color="auto"/>
              <w:right w:val="none" w:sz="0" w:space="0" w:color="auto"/>
            </w:tcBorders>
            <w:shd w:val="clear" w:color="auto" w:fill="FFFFFF" w:themeFill="background1"/>
          </w:tcPr>
          <w:p w14:paraId="20AA965A" w14:textId="77777777" w:rsidR="004B686E" w:rsidRPr="005A6665" w:rsidRDefault="004B686E"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14.76 ± 3.85</w:t>
            </w:r>
          </w:p>
        </w:tc>
        <w:tc>
          <w:tcPr>
            <w:tcW w:w="2069" w:type="dxa"/>
            <w:tcBorders>
              <w:left w:val="none" w:sz="0" w:space="0" w:color="auto"/>
              <w:bottom w:val="single" w:sz="8" w:space="0" w:color="auto"/>
              <w:right w:val="none" w:sz="0" w:space="0" w:color="auto"/>
            </w:tcBorders>
            <w:shd w:val="clear" w:color="auto" w:fill="FFFFFF" w:themeFill="background1"/>
          </w:tcPr>
          <w:p w14:paraId="4B56B3B8" w14:textId="77777777" w:rsidR="004B686E" w:rsidRPr="005A6665" w:rsidRDefault="004B686E"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14.11 ± 4.27</w:t>
            </w:r>
          </w:p>
        </w:tc>
      </w:tr>
      <w:tr w:rsidR="004B686E" w:rsidRPr="00EE4F28" w14:paraId="6B01F238"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bottom w:val="nil"/>
              <w:right w:val="single" w:sz="8" w:space="0" w:color="auto"/>
            </w:tcBorders>
            <w:shd w:val="clear" w:color="auto" w:fill="FFFFFF" w:themeFill="background1"/>
          </w:tcPr>
          <w:p w14:paraId="684B923F" w14:textId="3C6ECB9E" w:rsidR="004B686E" w:rsidRPr="005A6665" w:rsidRDefault="00045E55" w:rsidP="005A6665">
            <w:pPr>
              <w:rPr>
                <w:color w:val="auto"/>
                <w:sz w:val="20"/>
                <w:szCs w:val="24"/>
              </w:rPr>
            </w:pPr>
            <w:r w:rsidRPr="005A6665">
              <w:rPr>
                <w:b w:val="0"/>
                <w:color w:val="auto"/>
                <w:sz w:val="20"/>
                <w:szCs w:val="24"/>
              </w:rPr>
              <w:t xml:space="preserve">Vitreous Haze Grading – </w:t>
            </w:r>
            <w:proofErr w:type="gramStart"/>
            <w:r w:rsidRPr="005A6665">
              <w:rPr>
                <w:b w:val="0"/>
                <w:color w:val="auto"/>
                <w:sz w:val="20"/>
                <w:szCs w:val="24"/>
              </w:rPr>
              <w:t>N</w:t>
            </w:r>
            <w:r w:rsidR="004B686E" w:rsidRPr="005A6665">
              <w:rPr>
                <w:b w:val="0"/>
                <w:color w:val="auto"/>
                <w:sz w:val="20"/>
                <w:szCs w:val="24"/>
              </w:rPr>
              <w:t>(</w:t>
            </w:r>
            <w:proofErr w:type="gramEnd"/>
            <w:r w:rsidR="004B686E" w:rsidRPr="005A6665">
              <w:rPr>
                <w:b w:val="0"/>
                <w:color w:val="auto"/>
                <w:sz w:val="20"/>
                <w:szCs w:val="24"/>
              </w:rPr>
              <w:t>%)</w:t>
            </w:r>
          </w:p>
        </w:tc>
        <w:tc>
          <w:tcPr>
            <w:tcW w:w="2653" w:type="dxa"/>
            <w:tcBorders>
              <w:left w:val="single" w:sz="8" w:space="0" w:color="auto"/>
              <w:bottom w:val="nil"/>
              <w:right w:val="single" w:sz="8" w:space="0" w:color="auto"/>
            </w:tcBorders>
            <w:shd w:val="clear" w:color="auto" w:fill="FFFFFF" w:themeFill="background1"/>
          </w:tcPr>
          <w:p w14:paraId="64444239" w14:textId="4F1E7D09" w:rsidR="00EF4545" w:rsidRPr="005A6665" w:rsidRDefault="00EF4545"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p>
        </w:tc>
        <w:tc>
          <w:tcPr>
            <w:tcW w:w="2069" w:type="dxa"/>
            <w:tcBorders>
              <w:left w:val="single" w:sz="8" w:space="0" w:color="auto"/>
              <w:bottom w:val="nil"/>
              <w:right w:val="single" w:sz="8" w:space="0" w:color="auto"/>
            </w:tcBorders>
            <w:shd w:val="clear" w:color="auto" w:fill="FFFFFF" w:themeFill="background1"/>
          </w:tcPr>
          <w:p w14:paraId="2B0B4926" w14:textId="5C1C1E5C" w:rsidR="00EF4545" w:rsidRPr="005A6665" w:rsidRDefault="00EF4545"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p>
        </w:tc>
      </w:tr>
      <w:tr w:rsidR="005A6665" w:rsidRPr="00EE4F28" w14:paraId="6F32A44A"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1CD98861" w14:textId="50000F20" w:rsidR="005A6665" w:rsidRPr="005A6665" w:rsidRDefault="005A6665" w:rsidP="005A6665">
            <w:pPr>
              <w:pStyle w:val="ListParagraph"/>
              <w:rPr>
                <w:b w:val="0"/>
                <w:sz w:val="20"/>
                <w:szCs w:val="24"/>
              </w:rPr>
            </w:pPr>
            <w:r w:rsidRPr="005A6665">
              <w:rPr>
                <w:b w:val="0"/>
                <w:color w:val="auto"/>
                <w:sz w:val="20"/>
                <w:szCs w:val="24"/>
              </w:rPr>
              <w:t>0</w:t>
            </w:r>
          </w:p>
        </w:tc>
        <w:tc>
          <w:tcPr>
            <w:tcW w:w="2653" w:type="dxa"/>
            <w:tcBorders>
              <w:top w:val="nil"/>
              <w:left w:val="single" w:sz="8" w:space="0" w:color="auto"/>
              <w:bottom w:val="nil"/>
              <w:right w:val="single" w:sz="8" w:space="0" w:color="auto"/>
            </w:tcBorders>
            <w:shd w:val="clear" w:color="auto" w:fill="FFFFFF" w:themeFill="background1"/>
          </w:tcPr>
          <w:p w14:paraId="6051A2D7" w14:textId="5029258D"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65 (84)</w:t>
            </w:r>
          </w:p>
        </w:tc>
        <w:tc>
          <w:tcPr>
            <w:tcW w:w="2069" w:type="dxa"/>
            <w:tcBorders>
              <w:top w:val="nil"/>
              <w:left w:val="single" w:sz="8" w:space="0" w:color="auto"/>
              <w:bottom w:val="nil"/>
              <w:right w:val="single" w:sz="8" w:space="0" w:color="auto"/>
            </w:tcBorders>
            <w:shd w:val="clear" w:color="auto" w:fill="FFFFFF" w:themeFill="background1"/>
          </w:tcPr>
          <w:p w14:paraId="36E0F563" w14:textId="7183E8BC"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32 (84)</w:t>
            </w:r>
          </w:p>
        </w:tc>
      </w:tr>
      <w:tr w:rsidR="005A6665" w:rsidRPr="00EE4F28" w14:paraId="268A6BB8"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4B293AF8" w14:textId="7FC0D314" w:rsidR="005A6665" w:rsidRPr="005A6665" w:rsidRDefault="005A6665" w:rsidP="005A6665">
            <w:pPr>
              <w:pStyle w:val="ListParagraph"/>
              <w:rPr>
                <w:b w:val="0"/>
                <w:sz w:val="20"/>
                <w:szCs w:val="24"/>
              </w:rPr>
            </w:pPr>
            <w:r w:rsidRPr="005A6665">
              <w:rPr>
                <w:b w:val="0"/>
                <w:color w:val="auto"/>
                <w:sz w:val="20"/>
                <w:szCs w:val="24"/>
              </w:rPr>
              <w:t>0.5+</w:t>
            </w:r>
          </w:p>
        </w:tc>
        <w:tc>
          <w:tcPr>
            <w:tcW w:w="2653" w:type="dxa"/>
            <w:tcBorders>
              <w:top w:val="nil"/>
              <w:left w:val="single" w:sz="8" w:space="0" w:color="auto"/>
              <w:bottom w:val="nil"/>
              <w:right w:val="single" w:sz="8" w:space="0" w:color="auto"/>
            </w:tcBorders>
            <w:shd w:val="clear" w:color="auto" w:fill="FFFFFF" w:themeFill="background1"/>
          </w:tcPr>
          <w:p w14:paraId="07C8193C" w14:textId="07726C2D"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8 (10)</w:t>
            </w:r>
          </w:p>
        </w:tc>
        <w:tc>
          <w:tcPr>
            <w:tcW w:w="2069" w:type="dxa"/>
            <w:tcBorders>
              <w:top w:val="nil"/>
              <w:left w:val="single" w:sz="8" w:space="0" w:color="auto"/>
              <w:bottom w:val="nil"/>
              <w:right w:val="single" w:sz="8" w:space="0" w:color="auto"/>
            </w:tcBorders>
            <w:shd w:val="clear" w:color="auto" w:fill="FFFFFF" w:themeFill="background1"/>
          </w:tcPr>
          <w:p w14:paraId="227CBDCF" w14:textId="0AC48370"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4 (11)</w:t>
            </w:r>
          </w:p>
        </w:tc>
      </w:tr>
      <w:tr w:rsidR="005A6665" w:rsidRPr="00EE4F28" w14:paraId="48B90F09"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5D3909C2" w14:textId="15B080E0" w:rsidR="005A6665" w:rsidRPr="005A6665" w:rsidRDefault="005A6665" w:rsidP="005A6665">
            <w:pPr>
              <w:pStyle w:val="ListParagraph"/>
              <w:rPr>
                <w:b w:val="0"/>
                <w:sz w:val="20"/>
                <w:szCs w:val="24"/>
              </w:rPr>
            </w:pPr>
            <w:r w:rsidRPr="005A6665">
              <w:rPr>
                <w:b w:val="0"/>
                <w:color w:val="auto"/>
                <w:sz w:val="20"/>
                <w:szCs w:val="24"/>
              </w:rPr>
              <w:t>1+</w:t>
            </w:r>
          </w:p>
        </w:tc>
        <w:tc>
          <w:tcPr>
            <w:tcW w:w="2653" w:type="dxa"/>
            <w:tcBorders>
              <w:top w:val="nil"/>
              <w:left w:val="single" w:sz="8" w:space="0" w:color="auto"/>
              <w:bottom w:val="nil"/>
              <w:right w:val="single" w:sz="8" w:space="0" w:color="auto"/>
            </w:tcBorders>
            <w:shd w:val="clear" w:color="auto" w:fill="FFFFFF" w:themeFill="background1"/>
          </w:tcPr>
          <w:p w14:paraId="703837D5" w14:textId="399926FE"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3 (4)</w:t>
            </w:r>
          </w:p>
        </w:tc>
        <w:tc>
          <w:tcPr>
            <w:tcW w:w="2069" w:type="dxa"/>
            <w:tcBorders>
              <w:top w:val="nil"/>
              <w:left w:val="single" w:sz="8" w:space="0" w:color="auto"/>
              <w:bottom w:val="nil"/>
              <w:right w:val="single" w:sz="8" w:space="0" w:color="auto"/>
            </w:tcBorders>
            <w:shd w:val="clear" w:color="auto" w:fill="FFFFFF" w:themeFill="background1"/>
          </w:tcPr>
          <w:p w14:paraId="37C2D6D9" w14:textId="165A0352"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2 (5)</w:t>
            </w:r>
          </w:p>
        </w:tc>
      </w:tr>
      <w:tr w:rsidR="005A6665" w:rsidRPr="00EE4F28" w14:paraId="332C217F"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right w:val="single" w:sz="8" w:space="0" w:color="auto"/>
            </w:tcBorders>
            <w:shd w:val="clear" w:color="auto" w:fill="FFFFFF" w:themeFill="background1"/>
          </w:tcPr>
          <w:p w14:paraId="7C70039A" w14:textId="359AFB89" w:rsidR="005A6665" w:rsidRPr="005A6665" w:rsidRDefault="005A6665" w:rsidP="005A6665">
            <w:pPr>
              <w:pStyle w:val="ListParagraph"/>
              <w:rPr>
                <w:b w:val="0"/>
                <w:sz w:val="20"/>
                <w:szCs w:val="24"/>
              </w:rPr>
            </w:pPr>
            <w:r w:rsidRPr="005A6665">
              <w:rPr>
                <w:b w:val="0"/>
                <w:color w:val="auto"/>
                <w:sz w:val="20"/>
                <w:szCs w:val="24"/>
              </w:rPr>
              <w:t>2+</w:t>
            </w:r>
          </w:p>
        </w:tc>
        <w:tc>
          <w:tcPr>
            <w:tcW w:w="2653" w:type="dxa"/>
            <w:tcBorders>
              <w:top w:val="nil"/>
              <w:left w:val="single" w:sz="8" w:space="0" w:color="auto"/>
              <w:right w:val="single" w:sz="8" w:space="0" w:color="auto"/>
            </w:tcBorders>
            <w:shd w:val="clear" w:color="auto" w:fill="FFFFFF" w:themeFill="background1"/>
          </w:tcPr>
          <w:p w14:paraId="70472467" w14:textId="1E298327"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 (1)</w:t>
            </w:r>
          </w:p>
        </w:tc>
        <w:tc>
          <w:tcPr>
            <w:tcW w:w="2069" w:type="dxa"/>
            <w:tcBorders>
              <w:top w:val="nil"/>
              <w:left w:val="single" w:sz="8" w:space="0" w:color="auto"/>
              <w:right w:val="single" w:sz="8" w:space="0" w:color="auto"/>
            </w:tcBorders>
            <w:shd w:val="clear" w:color="auto" w:fill="FFFFFF" w:themeFill="background1"/>
          </w:tcPr>
          <w:p w14:paraId="744C6E30" w14:textId="7DE35C54"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0 (0)</w:t>
            </w:r>
          </w:p>
        </w:tc>
      </w:tr>
      <w:tr w:rsidR="00EF4545" w:rsidRPr="00EE4F28" w14:paraId="2DC0B898"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none" w:sz="0" w:space="0" w:color="auto"/>
              <w:right w:val="none" w:sz="0" w:space="0" w:color="auto"/>
            </w:tcBorders>
            <w:shd w:val="clear" w:color="auto" w:fill="FFFFFF" w:themeFill="background1"/>
          </w:tcPr>
          <w:p w14:paraId="44B6501F" w14:textId="77777777" w:rsidR="00EF4545" w:rsidRPr="005A6665" w:rsidRDefault="00EF4545" w:rsidP="005A6665">
            <w:pPr>
              <w:rPr>
                <w:color w:val="auto"/>
                <w:sz w:val="20"/>
                <w:szCs w:val="24"/>
                <w:vertAlign w:val="superscript"/>
              </w:rPr>
            </w:pPr>
            <w:r w:rsidRPr="005A6665">
              <w:rPr>
                <w:b w:val="0"/>
                <w:color w:val="auto"/>
                <w:sz w:val="20"/>
                <w:szCs w:val="24"/>
              </w:rPr>
              <w:t>Topical steroid drops</w:t>
            </w:r>
            <w:r w:rsidR="00A47E0D" w:rsidRPr="005A6665">
              <w:rPr>
                <w:color w:val="auto"/>
                <w:sz w:val="20"/>
                <w:szCs w:val="24"/>
                <w:vertAlign w:val="superscript"/>
              </w:rPr>
              <w:t>*</w:t>
            </w:r>
          </w:p>
        </w:tc>
        <w:tc>
          <w:tcPr>
            <w:tcW w:w="2653" w:type="dxa"/>
            <w:tcBorders>
              <w:left w:val="none" w:sz="0" w:space="0" w:color="auto"/>
              <w:right w:val="none" w:sz="0" w:space="0" w:color="auto"/>
            </w:tcBorders>
            <w:shd w:val="clear" w:color="auto" w:fill="FFFFFF" w:themeFill="background1"/>
          </w:tcPr>
          <w:p w14:paraId="212C7FD1" w14:textId="77777777" w:rsidR="00EF4545" w:rsidRPr="005A6665" w:rsidRDefault="00EF4545"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2.31 ± 1.44</w:t>
            </w:r>
          </w:p>
        </w:tc>
        <w:tc>
          <w:tcPr>
            <w:tcW w:w="2069" w:type="dxa"/>
            <w:tcBorders>
              <w:left w:val="none" w:sz="0" w:space="0" w:color="auto"/>
              <w:right w:val="none" w:sz="0" w:space="0" w:color="auto"/>
            </w:tcBorders>
            <w:shd w:val="clear" w:color="auto" w:fill="FFFFFF" w:themeFill="background1"/>
          </w:tcPr>
          <w:p w14:paraId="43304480" w14:textId="77777777" w:rsidR="00EF4545" w:rsidRPr="005A6665" w:rsidRDefault="00EF4545"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2.25 ± 1.54</w:t>
            </w:r>
          </w:p>
        </w:tc>
      </w:tr>
      <w:tr w:rsidR="005A6665" w:rsidRPr="00EE4F28" w14:paraId="74ADE801"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2FA01255" w14:textId="77777777" w:rsidR="005A6665" w:rsidRPr="005A6665" w:rsidRDefault="005A6665" w:rsidP="005A6665">
            <w:pPr>
              <w:rPr>
                <w:sz w:val="20"/>
                <w:szCs w:val="24"/>
              </w:rPr>
            </w:pPr>
          </w:p>
        </w:tc>
        <w:tc>
          <w:tcPr>
            <w:tcW w:w="2653" w:type="dxa"/>
            <w:tcBorders>
              <w:left w:val="single" w:sz="8" w:space="0" w:color="auto"/>
              <w:right w:val="single" w:sz="8" w:space="0" w:color="auto"/>
            </w:tcBorders>
            <w:shd w:val="clear" w:color="auto" w:fill="FFFFFF" w:themeFill="background1"/>
          </w:tcPr>
          <w:p w14:paraId="2AEC128F" w14:textId="77777777"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p>
        </w:tc>
        <w:tc>
          <w:tcPr>
            <w:tcW w:w="2069" w:type="dxa"/>
            <w:tcBorders>
              <w:left w:val="single" w:sz="8" w:space="0" w:color="auto"/>
              <w:right w:val="single" w:sz="8" w:space="0" w:color="auto"/>
            </w:tcBorders>
            <w:shd w:val="clear" w:color="auto" w:fill="FFFFFF" w:themeFill="background1"/>
          </w:tcPr>
          <w:p w14:paraId="3D90BCF5" w14:textId="77777777"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p>
        </w:tc>
      </w:tr>
      <w:tr w:rsidR="00E76F49" w:rsidRPr="00EE4F28" w14:paraId="196B0247"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55766DBE" w14:textId="77777777" w:rsidR="00E76F49" w:rsidRPr="005A6665" w:rsidRDefault="00E76F49" w:rsidP="005A6665">
            <w:pPr>
              <w:rPr>
                <w:color w:val="auto"/>
                <w:sz w:val="20"/>
                <w:szCs w:val="24"/>
              </w:rPr>
            </w:pPr>
            <w:proofErr w:type="spellStart"/>
            <w:r w:rsidRPr="005A6665">
              <w:rPr>
                <w:color w:val="auto"/>
                <w:sz w:val="20"/>
                <w:szCs w:val="24"/>
              </w:rPr>
              <w:t>Opthalmic</w:t>
            </w:r>
            <w:proofErr w:type="spellEnd"/>
            <w:r w:rsidRPr="005A6665">
              <w:rPr>
                <w:color w:val="auto"/>
                <w:sz w:val="20"/>
                <w:szCs w:val="24"/>
              </w:rPr>
              <w:t xml:space="preserve"> Complications </w:t>
            </w:r>
          </w:p>
        </w:tc>
        <w:tc>
          <w:tcPr>
            <w:tcW w:w="2653" w:type="dxa"/>
            <w:tcBorders>
              <w:left w:val="single" w:sz="8" w:space="0" w:color="auto"/>
              <w:right w:val="single" w:sz="8" w:space="0" w:color="auto"/>
            </w:tcBorders>
            <w:shd w:val="clear" w:color="auto" w:fill="FFFFFF" w:themeFill="background1"/>
          </w:tcPr>
          <w:p w14:paraId="3B5CF9A6" w14:textId="77777777" w:rsidR="00E76F49" w:rsidRPr="005A6665" w:rsidRDefault="00E76F49"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c>
          <w:tcPr>
            <w:tcW w:w="2069" w:type="dxa"/>
            <w:tcBorders>
              <w:left w:val="single" w:sz="8" w:space="0" w:color="auto"/>
              <w:right w:val="single" w:sz="8" w:space="0" w:color="auto"/>
            </w:tcBorders>
            <w:shd w:val="clear" w:color="auto" w:fill="FFFFFF" w:themeFill="background1"/>
          </w:tcPr>
          <w:p w14:paraId="78E23728" w14:textId="77777777" w:rsidR="00E76F49" w:rsidRPr="005A6665" w:rsidRDefault="00E76F49"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r>
      <w:tr w:rsidR="00CF2490" w:rsidRPr="00EE4F28" w14:paraId="17910D74" w14:textId="77777777" w:rsidTr="005A6665">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14:paraId="3943244D" w14:textId="7641CAB1" w:rsidR="00CF2490" w:rsidRPr="005A6665" w:rsidRDefault="007B645D" w:rsidP="005A6665">
            <w:pPr>
              <w:rPr>
                <w:b w:val="0"/>
                <w:color w:val="auto"/>
                <w:sz w:val="20"/>
                <w:szCs w:val="24"/>
              </w:rPr>
            </w:pPr>
            <w:r w:rsidRPr="005A6665">
              <w:rPr>
                <w:b w:val="0"/>
                <w:color w:val="auto"/>
                <w:sz w:val="20"/>
                <w:szCs w:val="24"/>
              </w:rPr>
              <w:t>Central band-</w:t>
            </w:r>
            <w:r w:rsidR="00045E55" w:rsidRPr="005A6665">
              <w:rPr>
                <w:b w:val="0"/>
                <w:color w:val="auto"/>
                <w:sz w:val="20"/>
                <w:szCs w:val="24"/>
              </w:rPr>
              <w:t xml:space="preserve">keratopathy – </w:t>
            </w:r>
            <w:proofErr w:type="gramStart"/>
            <w:r w:rsidR="00045E55" w:rsidRPr="005A6665">
              <w:rPr>
                <w:b w:val="0"/>
                <w:color w:val="auto"/>
                <w:sz w:val="20"/>
                <w:szCs w:val="24"/>
              </w:rPr>
              <w:t>N</w:t>
            </w:r>
            <w:r w:rsidR="00CF2490" w:rsidRPr="005A6665">
              <w:rPr>
                <w:b w:val="0"/>
                <w:color w:val="auto"/>
                <w:sz w:val="20"/>
                <w:szCs w:val="24"/>
              </w:rPr>
              <w:t>(</w:t>
            </w:r>
            <w:proofErr w:type="gramEnd"/>
            <w:r w:rsidR="00CF2490" w:rsidRPr="005A6665">
              <w:rPr>
                <w:b w:val="0"/>
                <w:color w:val="auto"/>
                <w:sz w:val="20"/>
                <w:szCs w:val="24"/>
              </w:rPr>
              <w:t>%)</w:t>
            </w:r>
          </w:p>
        </w:tc>
        <w:tc>
          <w:tcPr>
            <w:tcW w:w="2653" w:type="dxa"/>
            <w:shd w:val="clear" w:color="auto" w:fill="FFFFFF" w:themeFill="background1"/>
          </w:tcPr>
          <w:p w14:paraId="5FD474E3" w14:textId="77777777" w:rsidR="00CF2490" w:rsidRPr="005A6665" w:rsidRDefault="009B60C9"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2 (3</w:t>
            </w:r>
            <w:r w:rsidR="00CF2490" w:rsidRPr="005A6665">
              <w:rPr>
                <w:color w:val="auto"/>
                <w:sz w:val="20"/>
                <w:szCs w:val="24"/>
              </w:rPr>
              <w:t>)</w:t>
            </w:r>
          </w:p>
        </w:tc>
        <w:tc>
          <w:tcPr>
            <w:tcW w:w="2069" w:type="dxa"/>
            <w:shd w:val="clear" w:color="auto" w:fill="FFFFFF" w:themeFill="background1"/>
          </w:tcPr>
          <w:p w14:paraId="74951D46" w14:textId="77777777" w:rsidR="00CF2490" w:rsidRPr="005A6665" w:rsidRDefault="00CF2490"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 (0)</w:t>
            </w:r>
          </w:p>
        </w:tc>
      </w:tr>
      <w:tr w:rsidR="00CF2490" w:rsidRPr="00EE4F28" w14:paraId="6E6B15F0"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32BDDAE8" w14:textId="77777777" w:rsidR="00CF2490" w:rsidRPr="005A6665" w:rsidRDefault="00045E55" w:rsidP="005A6665">
            <w:pPr>
              <w:rPr>
                <w:b w:val="0"/>
                <w:color w:val="auto"/>
                <w:sz w:val="20"/>
                <w:szCs w:val="24"/>
              </w:rPr>
            </w:pPr>
            <w:proofErr w:type="spellStart"/>
            <w:r w:rsidRPr="005A6665">
              <w:rPr>
                <w:b w:val="0"/>
                <w:color w:val="auto"/>
                <w:sz w:val="20"/>
                <w:szCs w:val="24"/>
              </w:rPr>
              <w:t>Synchiae</w:t>
            </w:r>
            <w:proofErr w:type="spellEnd"/>
            <w:r w:rsidRPr="005A6665">
              <w:rPr>
                <w:b w:val="0"/>
                <w:color w:val="auto"/>
                <w:sz w:val="20"/>
                <w:szCs w:val="24"/>
              </w:rPr>
              <w:t xml:space="preserve"> – </w:t>
            </w:r>
            <w:proofErr w:type="gramStart"/>
            <w:r w:rsidRPr="005A6665">
              <w:rPr>
                <w:b w:val="0"/>
                <w:color w:val="auto"/>
                <w:sz w:val="20"/>
                <w:szCs w:val="24"/>
              </w:rPr>
              <w:t>N</w:t>
            </w:r>
            <w:r w:rsidR="00CF2490" w:rsidRPr="005A6665">
              <w:rPr>
                <w:b w:val="0"/>
                <w:color w:val="auto"/>
                <w:sz w:val="20"/>
                <w:szCs w:val="24"/>
              </w:rPr>
              <w:t>(</w:t>
            </w:r>
            <w:proofErr w:type="gramEnd"/>
            <w:r w:rsidR="00CF2490" w:rsidRPr="005A6665">
              <w:rPr>
                <w:b w:val="0"/>
                <w:color w:val="auto"/>
                <w:sz w:val="20"/>
                <w:szCs w:val="24"/>
              </w:rPr>
              <w:t>%)</w:t>
            </w:r>
          </w:p>
        </w:tc>
        <w:tc>
          <w:tcPr>
            <w:tcW w:w="2653" w:type="dxa"/>
            <w:tcBorders>
              <w:left w:val="single" w:sz="8" w:space="0" w:color="auto"/>
              <w:right w:val="single" w:sz="8" w:space="0" w:color="auto"/>
            </w:tcBorders>
            <w:shd w:val="clear" w:color="auto" w:fill="FFFFFF" w:themeFill="background1"/>
          </w:tcPr>
          <w:p w14:paraId="3883BFDD" w14:textId="77777777" w:rsidR="00CF2490" w:rsidRPr="005A6665" w:rsidRDefault="009B60C9"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18 (23</w:t>
            </w:r>
            <w:r w:rsidR="00CF2490" w:rsidRPr="005A6665">
              <w:rPr>
                <w:color w:val="auto"/>
                <w:sz w:val="20"/>
                <w:szCs w:val="24"/>
              </w:rPr>
              <w:t>)</w:t>
            </w:r>
          </w:p>
        </w:tc>
        <w:tc>
          <w:tcPr>
            <w:tcW w:w="2069" w:type="dxa"/>
            <w:tcBorders>
              <w:left w:val="single" w:sz="8" w:space="0" w:color="auto"/>
              <w:right w:val="single" w:sz="8" w:space="0" w:color="auto"/>
            </w:tcBorders>
            <w:shd w:val="clear" w:color="auto" w:fill="FFFFFF" w:themeFill="background1"/>
          </w:tcPr>
          <w:p w14:paraId="31644300" w14:textId="77777777" w:rsidR="00CF2490" w:rsidRPr="005A6665" w:rsidRDefault="009B60C9"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6 (16</w:t>
            </w:r>
            <w:r w:rsidR="00CF2490" w:rsidRPr="005A6665">
              <w:rPr>
                <w:color w:val="auto"/>
                <w:sz w:val="20"/>
                <w:szCs w:val="24"/>
              </w:rPr>
              <w:t>)</w:t>
            </w:r>
          </w:p>
        </w:tc>
      </w:tr>
      <w:tr w:rsidR="00CF2490" w:rsidRPr="00EE4F28" w14:paraId="379613A6" w14:textId="77777777" w:rsidTr="005A6665">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14:paraId="1D358835" w14:textId="77777777" w:rsidR="00CF2490" w:rsidRPr="005A6665" w:rsidRDefault="00045E55" w:rsidP="005A6665">
            <w:pPr>
              <w:rPr>
                <w:b w:val="0"/>
                <w:color w:val="auto"/>
                <w:sz w:val="20"/>
                <w:szCs w:val="24"/>
              </w:rPr>
            </w:pPr>
            <w:r w:rsidRPr="005A6665">
              <w:rPr>
                <w:b w:val="0"/>
                <w:color w:val="auto"/>
                <w:sz w:val="20"/>
                <w:szCs w:val="24"/>
              </w:rPr>
              <w:t xml:space="preserve">Iris bombe – </w:t>
            </w:r>
            <w:proofErr w:type="gramStart"/>
            <w:r w:rsidRPr="005A6665">
              <w:rPr>
                <w:b w:val="0"/>
                <w:color w:val="auto"/>
                <w:sz w:val="20"/>
                <w:szCs w:val="24"/>
              </w:rPr>
              <w:t>N</w:t>
            </w:r>
            <w:r w:rsidR="00CF2490" w:rsidRPr="005A6665">
              <w:rPr>
                <w:b w:val="0"/>
                <w:color w:val="auto"/>
                <w:sz w:val="20"/>
                <w:szCs w:val="24"/>
              </w:rPr>
              <w:t>(</w:t>
            </w:r>
            <w:proofErr w:type="gramEnd"/>
            <w:r w:rsidR="00CF2490" w:rsidRPr="005A6665">
              <w:rPr>
                <w:b w:val="0"/>
                <w:color w:val="auto"/>
                <w:sz w:val="20"/>
                <w:szCs w:val="24"/>
              </w:rPr>
              <w:t>%)</w:t>
            </w:r>
          </w:p>
        </w:tc>
        <w:tc>
          <w:tcPr>
            <w:tcW w:w="2653" w:type="dxa"/>
            <w:shd w:val="clear" w:color="auto" w:fill="FFFFFF" w:themeFill="background1"/>
          </w:tcPr>
          <w:p w14:paraId="29B72203" w14:textId="77777777" w:rsidR="00CF2490" w:rsidRPr="005A6665" w:rsidRDefault="00CF2490"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 (0)</w:t>
            </w:r>
          </w:p>
        </w:tc>
        <w:tc>
          <w:tcPr>
            <w:tcW w:w="2069" w:type="dxa"/>
            <w:shd w:val="clear" w:color="auto" w:fill="FFFFFF" w:themeFill="background1"/>
          </w:tcPr>
          <w:p w14:paraId="71A08EE0" w14:textId="77777777" w:rsidR="00CF2490" w:rsidRPr="005A6665" w:rsidRDefault="00CF2490"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 (0)</w:t>
            </w:r>
          </w:p>
        </w:tc>
      </w:tr>
      <w:tr w:rsidR="00CF2490" w:rsidRPr="00EE4F28" w14:paraId="2883B294"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137C8CEB" w14:textId="77777777" w:rsidR="00CF2490" w:rsidRPr="005A6665" w:rsidRDefault="00045E55" w:rsidP="005A6665">
            <w:pPr>
              <w:rPr>
                <w:b w:val="0"/>
                <w:color w:val="auto"/>
                <w:sz w:val="20"/>
                <w:szCs w:val="24"/>
              </w:rPr>
            </w:pPr>
            <w:r w:rsidRPr="005A6665">
              <w:rPr>
                <w:b w:val="0"/>
                <w:color w:val="auto"/>
                <w:sz w:val="20"/>
                <w:szCs w:val="24"/>
              </w:rPr>
              <w:t xml:space="preserve">Membrane formation – </w:t>
            </w:r>
            <w:proofErr w:type="gramStart"/>
            <w:r w:rsidRPr="005A6665">
              <w:rPr>
                <w:b w:val="0"/>
                <w:color w:val="auto"/>
                <w:sz w:val="20"/>
                <w:szCs w:val="24"/>
              </w:rPr>
              <w:t>N</w:t>
            </w:r>
            <w:r w:rsidR="00CF2490" w:rsidRPr="005A6665">
              <w:rPr>
                <w:b w:val="0"/>
                <w:color w:val="auto"/>
                <w:sz w:val="20"/>
                <w:szCs w:val="24"/>
              </w:rPr>
              <w:t>(</w:t>
            </w:r>
            <w:proofErr w:type="gramEnd"/>
            <w:r w:rsidR="00CF2490" w:rsidRPr="005A6665">
              <w:rPr>
                <w:b w:val="0"/>
                <w:color w:val="auto"/>
                <w:sz w:val="20"/>
                <w:szCs w:val="24"/>
              </w:rPr>
              <w:t>%)</w:t>
            </w:r>
          </w:p>
        </w:tc>
        <w:tc>
          <w:tcPr>
            <w:tcW w:w="2653" w:type="dxa"/>
            <w:tcBorders>
              <w:left w:val="single" w:sz="8" w:space="0" w:color="auto"/>
              <w:right w:val="single" w:sz="8" w:space="0" w:color="auto"/>
            </w:tcBorders>
            <w:shd w:val="clear" w:color="auto" w:fill="FFFFFF" w:themeFill="background1"/>
          </w:tcPr>
          <w:p w14:paraId="2C36BD08" w14:textId="77777777" w:rsidR="00CF2490" w:rsidRPr="005A6665" w:rsidRDefault="009B60C9"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2 (3</w:t>
            </w:r>
            <w:r w:rsidR="00CF2490" w:rsidRPr="005A6665">
              <w:rPr>
                <w:color w:val="auto"/>
                <w:sz w:val="20"/>
                <w:szCs w:val="24"/>
              </w:rPr>
              <w:t>)</w:t>
            </w:r>
          </w:p>
        </w:tc>
        <w:tc>
          <w:tcPr>
            <w:tcW w:w="2069" w:type="dxa"/>
            <w:tcBorders>
              <w:left w:val="single" w:sz="8" w:space="0" w:color="auto"/>
              <w:right w:val="single" w:sz="8" w:space="0" w:color="auto"/>
            </w:tcBorders>
            <w:shd w:val="clear" w:color="auto" w:fill="FFFFFF" w:themeFill="background1"/>
          </w:tcPr>
          <w:p w14:paraId="4AFEB572" w14:textId="77777777" w:rsidR="00CF2490" w:rsidRPr="005A6665" w:rsidRDefault="002E1464"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0 (0)</w:t>
            </w:r>
          </w:p>
        </w:tc>
      </w:tr>
      <w:tr w:rsidR="002E1464" w:rsidRPr="00EE4F28" w14:paraId="3DDB6F47" w14:textId="77777777" w:rsidTr="005A6665">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14:paraId="5F669B46" w14:textId="77777777" w:rsidR="002E1464" w:rsidRPr="005A6665" w:rsidRDefault="002E1464" w:rsidP="005A6665">
            <w:pPr>
              <w:rPr>
                <w:b w:val="0"/>
                <w:color w:val="auto"/>
                <w:sz w:val="20"/>
                <w:szCs w:val="24"/>
              </w:rPr>
            </w:pPr>
            <w:r w:rsidRPr="005A6665">
              <w:rPr>
                <w:b w:val="0"/>
                <w:color w:val="auto"/>
                <w:sz w:val="20"/>
                <w:szCs w:val="24"/>
              </w:rPr>
              <w:t>N</w:t>
            </w:r>
            <w:r w:rsidR="00045E55" w:rsidRPr="005A6665">
              <w:rPr>
                <w:b w:val="0"/>
                <w:color w:val="auto"/>
                <w:sz w:val="20"/>
                <w:szCs w:val="24"/>
              </w:rPr>
              <w:t xml:space="preserve">eovascularisation – </w:t>
            </w:r>
            <w:proofErr w:type="gramStart"/>
            <w:r w:rsidR="00045E55" w:rsidRPr="005A6665">
              <w:rPr>
                <w:b w:val="0"/>
                <w:color w:val="auto"/>
                <w:sz w:val="20"/>
                <w:szCs w:val="24"/>
              </w:rPr>
              <w:t>N</w:t>
            </w:r>
            <w:r w:rsidRPr="005A6665">
              <w:rPr>
                <w:b w:val="0"/>
                <w:color w:val="auto"/>
                <w:sz w:val="20"/>
                <w:szCs w:val="24"/>
              </w:rPr>
              <w:t>(</w:t>
            </w:r>
            <w:proofErr w:type="gramEnd"/>
            <w:r w:rsidRPr="005A6665">
              <w:rPr>
                <w:b w:val="0"/>
                <w:color w:val="auto"/>
                <w:sz w:val="20"/>
                <w:szCs w:val="24"/>
              </w:rPr>
              <w:t>%)</w:t>
            </w:r>
          </w:p>
        </w:tc>
        <w:tc>
          <w:tcPr>
            <w:tcW w:w="2653" w:type="dxa"/>
            <w:shd w:val="clear" w:color="auto" w:fill="FFFFFF" w:themeFill="background1"/>
          </w:tcPr>
          <w:p w14:paraId="7E5FBF84" w14:textId="77777777" w:rsidR="002E1464" w:rsidRPr="005A6665" w:rsidRDefault="002E1464"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 (0)</w:t>
            </w:r>
          </w:p>
        </w:tc>
        <w:tc>
          <w:tcPr>
            <w:tcW w:w="2069" w:type="dxa"/>
            <w:shd w:val="clear" w:color="auto" w:fill="FFFFFF" w:themeFill="background1"/>
          </w:tcPr>
          <w:p w14:paraId="3A432B28" w14:textId="77777777" w:rsidR="002E1464" w:rsidRPr="005A6665" w:rsidRDefault="002E1464"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 (0)</w:t>
            </w:r>
          </w:p>
        </w:tc>
      </w:tr>
      <w:tr w:rsidR="002E1464" w:rsidRPr="00EE4F28" w14:paraId="250D2068"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2648D727" w14:textId="77777777" w:rsidR="002E1464" w:rsidRPr="005A6665" w:rsidRDefault="002E1464" w:rsidP="005A6665">
            <w:pPr>
              <w:rPr>
                <w:b w:val="0"/>
                <w:color w:val="auto"/>
                <w:sz w:val="20"/>
                <w:szCs w:val="24"/>
              </w:rPr>
            </w:pPr>
          </w:p>
        </w:tc>
        <w:tc>
          <w:tcPr>
            <w:tcW w:w="2653" w:type="dxa"/>
            <w:tcBorders>
              <w:left w:val="single" w:sz="8" w:space="0" w:color="auto"/>
              <w:right w:val="single" w:sz="8" w:space="0" w:color="auto"/>
            </w:tcBorders>
            <w:shd w:val="clear" w:color="auto" w:fill="FFFFFF" w:themeFill="background1"/>
          </w:tcPr>
          <w:p w14:paraId="5372BD45" w14:textId="77777777" w:rsidR="002E1464" w:rsidRPr="005A6665" w:rsidRDefault="002E1464"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c>
          <w:tcPr>
            <w:tcW w:w="2069" w:type="dxa"/>
            <w:tcBorders>
              <w:left w:val="single" w:sz="8" w:space="0" w:color="auto"/>
              <w:right w:val="single" w:sz="8" w:space="0" w:color="auto"/>
            </w:tcBorders>
            <w:shd w:val="clear" w:color="auto" w:fill="FFFFFF" w:themeFill="background1"/>
          </w:tcPr>
          <w:p w14:paraId="73D3F28E" w14:textId="77777777" w:rsidR="002E1464" w:rsidRPr="005A6665" w:rsidRDefault="002E1464"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r>
      <w:tr w:rsidR="002E1464" w:rsidRPr="00EE4F28" w14:paraId="3EEB5D35" w14:textId="77777777" w:rsidTr="005A6665">
        <w:tc>
          <w:tcPr>
            <w:cnfStyle w:val="001000000000" w:firstRow="0" w:lastRow="0" w:firstColumn="1" w:lastColumn="0" w:oddVBand="0" w:evenVBand="0" w:oddHBand="0" w:evenHBand="0" w:firstRowFirstColumn="0" w:firstRowLastColumn="0" w:lastRowFirstColumn="0" w:lastRowLastColumn="0"/>
            <w:tcW w:w="3936" w:type="dxa"/>
            <w:tcBorders>
              <w:bottom w:val="single" w:sz="8" w:space="0" w:color="auto"/>
            </w:tcBorders>
            <w:shd w:val="clear" w:color="auto" w:fill="FFFFFF" w:themeFill="background1"/>
          </w:tcPr>
          <w:p w14:paraId="03A10223" w14:textId="77777777" w:rsidR="002E1464" w:rsidRPr="005A6665" w:rsidRDefault="002E1464" w:rsidP="005A6665">
            <w:pPr>
              <w:rPr>
                <w:color w:val="auto"/>
                <w:sz w:val="20"/>
                <w:szCs w:val="24"/>
              </w:rPr>
            </w:pPr>
            <w:r w:rsidRPr="005A6665">
              <w:rPr>
                <w:color w:val="auto"/>
                <w:sz w:val="20"/>
                <w:szCs w:val="24"/>
              </w:rPr>
              <w:t>Rheumatology Ch</w:t>
            </w:r>
            <w:r w:rsidR="009A1816" w:rsidRPr="005A6665">
              <w:rPr>
                <w:color w:val="auto"/>
                <w:sz w:val="20"/>
                <w:szCs w:val="24"/>
              </w:rPr>
              <w:t>a</w:t>
            </w:r>
            <w:r w:rsidRPr="005A6665">
              <w:rPr>
                <w:color w:val="auto"/>
                <w:sz w:val="20"/>
                <w:szCs w:val="24"/>
              </w:rPr>
              <w:t>racteristics</w:t>
            </w:r>
          </w:p>
        </w:tc>
        <w:tc>
          <w:tcPr>
            <w:tcW w:w="2653" w:type="dxa"/>
            <w:tcBorders>
              <w:bottom w:val="single" w:sz="8" w:space="0" w:color="auto"/>
            </w:tcBorders>
            <w:shd w:val="clear" w:color="auto" w:fill="FFFFFF" w:themeFill="background1"/>
          </w:tcPr>
          <w:p w14:paraId="52DBAFB6" w14:textId="77777777" w:rsidR="002E1464" w:rsidRPr="005A6665" w:rsidRDefault="002E1464" w:rsidP="005A6665">
            <w:pPr>
              <w:cnfStyle w:val="000000000000" w:firstRow="0" w:lastRow="0" w:firstColumn="0" w:lastColumn="0" w:oddVBand="0" w:evenVBand="0" w:oddHBand="0" w:evenHBand="0" w:firstRowFirstColumn="0" w:firstRowLastColumn="0" w:lastRowFirstColumn="0" w:lastRowLastColumn="0"/>
              <w:rPr>
                <w:b/>
                <w:color w:val="auto"/>
                <w:sz w:val="20"/>
                <w:szCs w:val="24"/>
              </w:rPr>
            </w:pPr>
            <w:r w:rsidRPr="005A6665">
              <w:rPr>
                <w:b/>
                <w:color w:val="auto"/>
                <w:sz w:val="20"/>
                <w:szCs w:val="24"/>
              </w:rPr>
              <w:t>Adalimumab (N=60)</w:t>
            </w:r>
          </w:p>
        </w:tc>
        <w:tc>
          <w:tcPr>
            <w:tcW w:w="2069" w:type="dxa"/>
            <w:tcBorders>
              <w:bottom w:val="single" w:sz="8" w:space="0" w:color="auto"/>
            </w:tcBorders>
            <w:shd w:val="clear" w:color="auto" w:fill="FFFFFF" w:themeFill="background1"/>
          </w:tcPr>
          <w:p w14:paraId="50F0BF65" w14:textId="77777777" w:rsidR="002E1464" w:rsidRPr="005A6665" w:rsidRDefault="002E1464" w:rsidP="005A6665">
            <w:pPr>
              <w:cnfStyle w:val="000000000000" w:firstRow="0" w:lastRow="0" w:firstColumn="0" w:lastColumn="0" w:oddVBand="0" w:evenVBand="0" w:oddHBand="0" w:evenHBand="0" w:firstRowFirstColumn="0" w:firstRowLastColumn="0" w:lastRowFirstColumn="0" w:lastRowLastColumn="0"/>
              <w:rPr>
                <w:b/>
                <w:color w:val="auto"/>
                <w:sz w:val="20"/>
                <w:szCs w:val="24"/>
              </w:rPr>
            </w:pPr>
            <w:r w:rsidRPr="005A6665">
              <w:rPr>
                <w:b/>
                <w:color w:val="auto"/>
                <w:sz w:val="20"/>
                <w:szCs w:val="24"/>
              </w:rPr>
              <w:t>Placebo (N=30)</w:t>
            </w:r>
          </w:p>
        </w:tc>
      </w:tr>
      <w:tr w:rsidR="002E1464" w:rsidRPr="00EE4F28" w14:paraId="280C4511"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bottom w:val="nil"/>
              <w:right w:val="single" w:sz="8" w:space="0" w:color="auto"/>
            </w:tcBorders>
            <w:shd w:val="clear" w:color="auto" w:fill="FFFFFF" w:themeFill="background1"/>
          </w:tcPr>
          <w:p w14:paraId="289297BE" w14:textId="2BA1BFB6" w:rsidR="002E1464" w:rsidRPr="005A6665" w:rsidRDefault="002E1464" w:rsidP="005A6665">
            <w:pPr>
              <w:rPr>
                <w:b w:val="0"/>
                <w:color w:val="auto"/>
                <w:sz w:val="20"/>
                <w:szCs w:val="24"/>
              </w:rPr>
            </w:pPr>
            <w:r w:rsidRPr="005A6665">
              <w:rPr>
                <w:b w:val="0"/>
                <w:color w:val="auto"/>
                <w:sz w:val="20"/>
                <w:szCs w:val="24"/>
              </w:rPr>
              <w:t>Type of JIA</w:t>
            </w:r>
            <w:r w:rsidR="003529ED" w:rsidRPr="005A6665">
              <w:rPr>
                <w:b w:val="0"/>
                <w:color w:val="auto"/>
                <w:sz w:val="20"/>
                <w:szCs w:val="24"/>
              </w:rPr>
              <w:t xml:space="preserve"> (ILAR </w:t>
            </w:r>
            <w:r w:rsidR="00E637AD" w:rsidRPr="005A6665">
              <w:rPr>
                <w:b w:val="0"/>
                <w:color w:val="auto"/>
                <w:sz w:val="20"/>
                <w:szCs w:val="24"/>
              </w:rPr>
              <w:t xml:space="preserve">classification) </w:t>
            </w:r>
            <w:r w:rsidR="004F3AA0" w:rsidRPr="005A6665">
              <w:rPr>
                <w:b w:val="0"/>
                <w:color w:val="auto"/>
                <w:sz w:val="20"/>
                <w:szCs w:val="24"/>
              </w:rPr>
              <w:t>–</w:t>
            </w:r>
            <w:r w:rsidR="00045E55" w:rsidRPr="005A6665">
              <w:rPr>
                <w:b w:val="0"/>
                <w:color w:val="auto"/>
                <w:sz w:val="20"/>
                <w:szCs w:val="24"/>
              </w:rPr>
              <w:t xml:space="preserve"> N</w:t>
            </w:r>
            <w:r w:rsidR="004F3AA0" w:rsidRPr="005A6665">
              <w:rPr>
                <w:b w:val="0"/>
                <w:color w:val="auto"/>
                <w:sz w:val="20"/>
                <w:szCs w:val="24"/>
              </w:rPr>
              <w:t xml:space="preserve"> </w:t>
            </w:r>
            <w:r w:rsidRPr="005A6665">
              <w:rPr>
                <w:b w:val="0"/>
                <w:color w:val="auto"/>
                <w:sz w:val="20"/>
                <w:szCs w:val="24"/>
              </w:rPr>
              <w:t>(%)</w:t>
            </w:r>
          </w:p>
        </w:tc>
        <w:tc>
          <w:tcPr>
            <w:tcW w:w="2653" w:type="dxa"/>
            <w:tcBorders>
              <w:left w:val="single" w:sz="8" w:space="0" w:color="auto"/>
              <w:bottom w:val="nil"/>
              <w:right w:val="single" w:sz="8" w:space="0" w:color="auto"/>
            </w:tcBorders>
            <w:shd w:val="clear" w:color="auto" w:fill="FFFFFF" w:themeFill="background1"/>
          </w:tcPr>
          <w:p w14:paraId="13DA4ADB" w14:textId="0AD704D3" w:rsidR="002E1464" w:rsidRPr="005A6665" w:rsidRDefault="002E1464"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c>
          <w:tcPr>
            <w:tcW w:w="2069" w:type="dxa"/>
            <w:tcBorders>
              <w:left w:val="single" w:sz="8" w:space="0" w:color="auto"/>
              <w:bottom w:val="nil"/>
              <w:right w:val="single" w:sz="8" w:space="0" w:color="auto"/>
            </w:tcBorders>
            <w:shd w:val="clear" w:color="auto" w:fill="FFFFFF" w:themeFill="background1"/>
          </w:tcPr>
          <w:p w14:paraId="11529434" w14:textId="03F35510" w:rsidR="002E1464" w:rsidRPr="005A6665" w:rsidRDefault="002E1464"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p>
        </w:tc>
      </w:tr>
      <w:tr w:rsidR="005A6665" w:rsidRPr="00EE4F28" w14:paraId="5F40049C" w14:textId="77777777" w:rsidTr="005A6665">
        <w:trPr>
          <w:trHeight w:val="238"/>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1B4AF099" w14:textId="1EAE3D6E" w:rsidR="005A6665" w:rsidRPr="005A6665" w:rsidRDefault="005A6665" w:rsidP="005A6665">
            <w:pPr>
              <w:ind w:left="720"/>
              <w:rPr>
                <w:b w:val="0"/>
                <w:sz w:val="20"/>
                <w:szCs w:val="24"/>
              </w:rPr>
            </w:pPr>
            <w:r w:rsidRPr="005A6665">
              <w:rPr>
                <w:b w:val="0"/>
                <w:color w:val="auto"/>
                <w:sz w:val="20"/>
                <w:szCs w:val="24"/>
              </w:rPr>
              <w:t xml:space="preserve">Extended </w:t>
            </w:r>
            <w:proofErr w:type="spellStart"/>
            <w:r w:rsidRPr="005A6665">
              <w:rPr>
                <w:b w:val="0"/>
                <w:color w:val="auto"/>
                <w:sz w:val="20"/>
                <w:szCs w:val="24"/>
              </w:rPr>
              <w:t>oligoarthritis</w:t>
            </w:r>
            <w:proofErr w:type="spellEnd"/>
          </w:p>
        </w:tc>
        <w:tc>
          <w:tcPr>
            <w:tcW w:w="2653" w:type="dxa"/>
            <w:tcBorders>
              <w:top w:val="nil"/>
              <w:left w:val="single" w:sz="8" w:space="0" w:color="auto"/>
              <w:bottom w:val="nil"/>
              <w:right w:val="single" w:sz="8" w:space="0" w:color="auto"/>
            </w:tcBorders>
            <w:shd w:val="clear" w:color="auto" w:fill="FFFFFF" w:themeFill="background1"/>
          </w:tcPr>
          <w:p w14:paraId="24FCDD6C" w14:textId="0BE8C8E8"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b/>
                <w:sz w:val="20"/>
                <w:szCs w:val="24"/>
              </w:rPr>
            </w:pPr>
            <w:r w:rsidRPr="005A6665">
              <w:rPr>
                <w:color w:val="auto"/>
                <w:sz w:val="20"/>
                <w:szCs w:val="24"/>
              </w:rPr>
              <w:t>14 (23)</w:t>
            </w:r>
          </w:p>
        </w:tc>
        <w:tc>
          <w:tcPr>
            <w:tcW w:w="2069" w:type="dxa"/>
            <w:tcBorders>
              <w:top w:val="nil"/>
              <w:left w:val="single" w:sz="8" w:space="0" w:color="auto"/>
              <w:bottom w:val="nil"/>
              <w:right w:val="single" w:sz="8" w:space="0" w:color="auto"/>
            </w:tcBorders>
            <w:shd w:val="clear" w:color="auto" w:fill="FFFFFF" w:themeFill="background1"/>
          </w:tcPr>
          <w:p w14:paraId="13C748C9" w14:textId="7072161F"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7 (23)</w:t>
            </w:r>
          </w:p>
        </w:tc>
      </w:tr>
      <w:tr w:rsidR="005A6665" w:rsidRPr="00EE4F28" w14:paraId="56CFEB78" w14:textId="77777777" w:rsidTr="005A666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6E6BAF2C" w14:textId="36515B79" w:rsidR="005A6665" w:rsidRPr="005A6665" w:rsidRDefault="005A6665" w:rsidP="005A6665">
            <w:pPr>
              <w:ind w:left="720"/>
              <w:rPr>
                <w:b w:val="0"/>
                <w:sz w:val="20"/>
                <w:szCs w:val="24"/>
              </w:rPr>
            </w:pPr>
            <w:r w:rsidRPr="005A6665">
              <w:rPr>
                <w:b w:val="0"/>
                <w:color w:val="auto"/>
                <w:sz w:val="20"/>
                <w:szCs w:val="24"/>
              </w:rPr>
              <w:t xml:space="preserve">Persistent </w:t>
            </w:r>
            <w:proofErr w:type="spellStart"/>
            <w:r w:rsidRPr="005A6665">
              <w:rPr>
                <w:b w:val="0"/>
                <w:color w:val="auto"/>
                <w:sz w:val="20"/>
                <w:szCs w:val="24"/>
              </w:rPr>
              <w:t>oligoarthritis</w:t>
            </w:r>
            <w:proofErr w:type="spellEnd"/>
          </w:p>
        </w:tc>
        <w:tc>
          <w:tcPr>
            <w:tcW w:w="2653" w:type="dxa"/>
            <w:tcBorders>
              <w:top w:val="nil"/>
              <w:left w:val="single" w:sz="8" w:space="0" w:color="auto"/>
              <w:bottom w:val="nil"/>
              <w:right w:val="single" w:sz="8" w:space="0" w:color="auto"/>
            </w:tcBorders>
            <w:shd w:val="clear" w:color="auto" w:fill="FFFFFF" w:themeFill="background1"/>
          </w:tcPr>
          <w:p w14:paraId="342C0FD7" w14:textId="0E27008F"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36 (60)</w:t>
            </w:r>
          </w:p>
        </w:tc>
        <w:tc>
          <w:tcPr>
            <w:tcW w:w="2069" w:type="dxa"/>
            <w:tcBorders>
              <w:top w:val="nil"/>
              <w:left w:val="single" w:sz="8" w:space="0" w:color="auto"/>
              <w:bottom w:val="nil"/>
              <w:right w:val="single" w:sz="8" w:space="0" w:color="auto"/>
            </w:tcBorders>
            <w:shd w:val="clear" w:color="auto" w:fill="FFFFFF" w:themeFill="background1"/>
          </w:tcPr>
          <w:p w14:paraId="19687151" w14:textId="2BD94147"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17 (57)</w:t>
            </w:r>
          </w:p>
        </w:tc>
      </w:tr>
      <w:tr w:rsidR="005A6665" w:rsidRPr="00EE4F28" w14:paraId="7531B0B0" w14:textId="77777777" w:rsidTr="005A6665">
        <w:trPr>
          <w:trHeight w:val="1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188E4167" w14:textId="756A1584" w:rsidR="005A6665" w:rsidRPr="005A6665" w:rsidRDefault="005A6665" w:rsidP="005A6665">
            <w:pPr>
              <w:ind w:left="720"/>
              <w:rPr>
                <w:b w:val="0"/>
                <w:sz w:val="20"/>
                <w:szCs w:val="24"/>
              </w:rPr>
            </w:pPr>
            <w:r w:rsidRPr="005A6665">
              <w:rPr>
                <w:b w:val="0"/>
                <w:color w:val="auto"/>
                <w:sz w:val="20"/>
                <w:szCs w:val="24"/>
              </w:rPr>
              <w:t>Polyarthritis RF negative</w:t>
            </w:r>
          </w:p>
        </w:tc>
        <w:tc>
          <w:tcPr>
            <w:tcW w:w="2653" w:type="dxa"/>
            <w:tcBorders>
              <w:top w:val="nil"/>
              <w:left w:val="single" w:sz="8" w:space="0" w:color="auto"/>
              <w:bottom w:val="nil"/>
              <w:right w:val="single" w:sz="8" w:space="0" w:color="auto"/>
            </w:tcBorders>
            <w:shd w:val="clear" w:color="auto" w:fill="FFFFFF" w:themeFill="background1"/>
          </w:tcPr>
          <w:p w14:paraId="246FBD5A" w14:textId="237DCD5F"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8 (13)</w:t>
            </w:r>
          </w:p>
        </w:tc>
        <w:tc>
          <w:tcPr>
            <w:tcW w:w="2069" w:type="dxa"/>
            <w:tcBorders>
              <w:top w:val="nil"/>
              <w:left w:val="single" w:sz="8" w:space="0" w:color="auto"/>
              <w:bottom w:val="nil"/>
              <w:right w:val="single" w:sz="8" w:space="0" w:color="auto"/>
            </w:tcBorders>
            <w:shd w:val="clear" w:color="auto" w:fill="FFFFFF" w:themeFill="background1"/>
          </w:tcPr>
          <w:p w14:paraId="6DBFE143" w14:textId="025823F0"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4 (13)</w:t>
            </w:r>
          </w:p>
        </w:tc>
      </w:tr>
      <w:tr w:rsidR="005A6665" w:rsidRPr="00EE4F28" w14:paraId="44942113" w14:textId="77777777" w:rsidTr="005A666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bottom w:val="nil"/>
              <w:right w:val="single" w:sz="8" w:space="0" w:color="auto"/>
            </w:tcBorders>
            <w:shd w:val="clear" w:color="auto" w:fill="FFFFFF" w:themeFill="background1"/>
          </w:tcPr>
          <w:p w14:paraId="00514E69" w14:textId="219DBE67" w:rsidR="005A6665" w:rsidRPr="005A6665" w:rsidRDefault="005A6665" w:rsidP="005A6665">
            <w:pPr>
              <w:ind w:left="720"/>
              <w:rPr>
                <w:b w:val="0"/>
                <w:sz w:val="20"/>
                <w:szCs w:val="24"/>
              </w:rPr>
            </w:pPr>
            <w:r w:rsidRPr="005A6665">
              <w:rPr>
                <w:b w:val="0"/>
                <w:color w:val="auto"/>
                <w:sz w:val="20"/>
                <w:szCs w:val="24"/>
              </w:rPr>
              <w:t>Polyarthritis RF positive</w:t>
            </w:r>
          </w:p>
        </w:tc>
        <w:tc>
          <w:tcPr>
            <w:tcW w:w="2653" w:type="dxa"/>
            <w:tcBorders>
              <w:top w:val="nil"/>
              <w:left w:val="single" w:sz="8" w:space="0" w:color="auto"/>
              <w:bottom w:val="nil"/>
              <w:right w:val="single" w:sz="8" w:space="0" w:color="auto"/>
            </w:tcBorders>
            <w:shd w:val="clear" w:color="auto" w:fill="FFFFFF" w:themeFill="background1"/>
          </w:tcPr>
          <w:p w14:paraId="4A39D2A8" w14:textId="377285AC"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1 (2)</w:t>
            </w:r>
          </w:p>
        </w:tc>
        <w:tc>
          <w:tcPr>
            <w:tcW w:w="2069" w:type="dxa"/>
            <w:tcBorders>
              <w:top w:val="nil"/>
              <w:left w:val="single" w:sz="8" w:space="0" w:color="auto"/>
              <w:bottom w:val="nil"/>
              <w:right w:val="single" w:sz="8" w:space="0" w:color="auto"/>
            </w:tcBorders>
            <w:shd w:val="clear" w:color="auto" w:fill="FFFFFF" w:themeFill="background1"/>
          </w:tcPr>
          <w:p w14:paraId="27535FEF" w14:textId="3867D888" w:rsidR="005A6665" w:rsidRPr="005A6665" w:rsidRDefault="005A6665" w:rsidP="005A6665">
            <w:pPr>
              <w:cnfStyle w:val="000000100000" w:firstRow="0" w:lastRow="0" w:firstColumn="0" w:lastColumn="0" w:oddVBand="0" w:evenVBand="0" w:oddHBand="1" w:evenHBand="0" w:firstRowFirstColumn="0" w:firstRowLastColumn="0" w:lastRowFirstColumn="0" w:lastRowLastColumn="0"/>
              <w:rPr>
                <w:sz w:val="20"/>
                <w:szCs w:val="24"/>
              </w:rPr>
            </w:pPr>
            <w:r w:rsidRPr="005A6665">
              <w:rPr>
                <w:color w:val="auto"/>
                <w:sz w:val="20"/>
                <w:szCs w:val="24"/>
              </w:rPr>
              <w:t>1 (3)</w:t>
            </w:r>
          </w:p>
        </w:tc>
      </w:tr>
      <w:tr w:rsidR="005A6665" w:rsidRPr="00EE4F28" w14:paraId="3424B2BA" w14:textId="77777777" w:rsidTr="005A6665">
        <w:trPr>
          <w:trHeight w:val="67"/>
        </w:trPr>
        <w:tc>
          <w:tcPr>
            <w:cnfStyle w:val="001000000000" w:firstRow="0" w:lastRow="0" w:firstColumn="1" w:lastColumn="0" w:oddVBand="0" w:evenVBand="0" w:oddHBand="0" w:evenHBand="0" w:firstRowFirstColumn="0" w:firstRowLastColumn="0" w:lastRowFirstColumn="0" w:lastRowLastColumn="0"/>
            <w:tcW w:w="3936" w:type="dxa"/>
            <w:tcBorders>
              <w:top w:val="nil"/>
              <w:left w:val="single" w:sz="8" w:space="0" w:color="auto"/>
              <w:right w:val="single" w:sz="8" w:space="0" w:color="auto"/>
            </w:tcBorders>
            <w:shd w:val="clear" w:color="auto" w:fill="FFFFFF" w:themeFill="background1"/>
          </w:tcPr>
          <w:p w14:paraId="3F062948" w14:textId="049D4CF3" w:rsidR="005A6665" w:rsidRPr="005A6665" w:rsidRDefault="005A6665" w:rsidP="005A6665">
            <w:pPr>
              <w:ind w:left="720"/>
              <w:rPr>
                <w:b w:val="0"/>
                <w:sz w:val="20"/>
                <w:szCs w:val="24"/>
              </w:rPr>
            </w:pPr>
            <w:r w:rsidRPr="005A6665">
              <w:rPr>
                <w:b w:val="0"/>
                <w:color w:val="auto"/>
                <w:sz w:val="20"/>
                <w:szCs w:val="24"/>
              </w:rPr>
              <w:t>Psoriatic arthritis</w:t>
            </w:r>
          </w:p>
        </w:tc>
        <w:tc>
          <w:tcPr>
            <w:tcW w:w="2653" w:type="dxa"/>
            <w:tcBorders>
              <w:top w:val="nil"/>
              <w:left w:val="single" w:sz="8" w:space="0" w:color="auto"/>
              <w:right w:val="single" w:sz="8" w:space="0" w:color="auto"/>
            </w:tcBorders>
            <w:shd w:val="clear" w:color="auto" w:fill="FFFFFF" w:themeFill="background1"/>
          </w:tcPr>
          <w:p w14:paraId="6A6A8313" w14:textId="1BBCDCE2"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 (2)</w:t>
            </w:r>
          </w:p>
        </w:tc>
        <w:tc>
          <w:tcPr>
            <w:tcW w:w="2069" w:type="dxa"/>
            <w:tcBorders>
              <w:top w:val="nil"/>
              <w:left w:val="single" w:sz="8" w:space="0" w:color="auto"/>
              <w:right w:val="single" w:sz="8" w:space="0" w:color="auto"/>
            </w:tcBorders>
            <w:shd w:val="clear" w:color="auto" w:fill="FFFFFF" w:themeFill="background1"/>
          </w:tcPr>
          <w:p w14:paraId="13335A87" w14:textId="404F2C6B" w:rsidR="005A6665" w:rsidRPr="005A6665" w:rsidRDefault="005A6665" w:rsidP="005A6665">
            <w:pPr>
              <w:cnfStyle w:val="000000000000" w:firstRow="0" w:lastRow="0" w:firstColumn="0" w:lastColumn="0" w:oddVBand="0" w:evenVBand="0" w:oddHBand="0" w:evenHBand="0" w:firstRowFirstColumn="0" w:firstRowLastColumn="0" w:lastRowFirstColumn="0" w:lastRowLastColumn="0"/>
              <w:rPr>
                <w:sz w:val="20"/>
                <w:szCs w:val="24"/>
              </w:rPr>
            </w:pPr>
            <w:r w:rsidRPr="005A6665">
              <w:rPr>
                <w:color w:val="auto"/>
                <w:sz w:val="20"/>
                <w:szCs w:val="24"/>
              </w:rPr>
              <w:t>1 (3)</w:t>
            </w:r>
          </w:p>
        </w:tc>
      </w:tr>
      <w:tr w:rsidR="002E1464" w:rsidRPr="00EE4F28" w14:paraId="7A6B7897"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none" w:sz="0" w:space="0" w:color="auto"/>
              <w:right w:val="none" w:sz="0" w:space="0" w:color="auto"/>
            </w:tcBorders>
            <w:shd w:val="clear" w:color="auto" w:fill="FFFFFF" w:themeFill="background1"/>
          </w:tcPr>
          <w:p w14:paraId="79C25D29" w14:textId="77777777" w:rsidR="002E1464" w:rsidRPr="005A6665" w:rsidRDefault="00581E6E" w:rsidP="005A6665">
            <w:pPr>
              <w:rPr>
                <w:b w:val="0"/>
                <w:color w:val="auto"/>
                <w:sz w:val="20"/>
                <w:szCs w:val="24"/>
              </w:rPr>
            </w:pPr>
            <w:r w:rsidRPr="005A6665">
              <w:rPr>
                <w:b w:val="0"/>
                <w:color w:val="auto"/>
                <w:sz w:val="20"/>
                <w:szCs w:val="24"/>
              </w:rPr>
              <w:t xml:space="preserve">JIA Disease duration </w:t>
            </w:r>
            <w:r w:rsidR="00D7010D" w:rsidRPr="005A6665">
              <w:rPr>
                <w:b w:val="0"/>
                <w:color w:val="auto"/>
                <w:sz w:val="20"/>
                <w:szCs w:val="24"/>
              </w:rPr>
              <w:t>(years)</w:t>
            </w:r>
          </w:p>
        </w:tc>
        <w:tc>
          <w:tcPr>
            <w:tcW w:w="2653" w:type="dxa"/>
            <w:tcBorders>
              <w:left w:val="none" w:sz="0" w:space="0" w:color="auto"/>
              <w:right w:val="none" w:sz="0" w:space="0" w:color="auto"/>
            </w:tcBorders>
            <w:shd w:val="clear" w:color="auto" w:fill="FFFFFF" w:themeFill="background1"/>
          </w:tcPr>
          <w:p w14:paraId="307CF2BE" w14:textId="77777777" w:rsidR="002E1464" w:rsidRPr="005A6665" w:rsidRDefault="0037530C"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5.58 ± 3.69</w:t>
            </w:r>
          </w:p>
        </w:tc>
        <w:tc>
          <w:tcPr>
            <w:tcW w:w="2069" w:type="dxa"/>
            <w:tcBorders>
              <w:left w:val="none" w:sz="0" w:space="0" w:color="auto"/>
              <w:right w:val="none" w:sz="0" w:space="0" w:color="auto"/>
            </w:tcBorders>
            <w:shd w:val="clear" w:color="auto" w:fill="FFFFFF" w:themeFill="background1"/>
          </w:tcPr>
          <w:p w14:paraId="44793ED0" w14:textId="77777777" w:rsidR="002E1464" w:rsidRPr="005A6665" w:rsidRDefault="0037530C"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4.81 ± 3.19</w:t>
            </w:r>
          </w:p>
        </w:tc>
      </w:tr>
      <w:tr w:rsidR="00581E6E" w:rsidRPr="00EE4F28" w14:paraId="0E2ACF10" w14:textId="77777777" w:rsidTr="005A6665">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07FE408E" w14:textId="77777777" w:rsidR="00581E6E" w:rsidRPr="005A6665" w:rsidRDefault="00581E6E" w:rsidP="005A6665">
            <w:pPr>
              <w:rPr>
                <w:b w:val="0"/>
                <w:color w:val="auto"/>
                <w:sz w:val="20"/>
                <w:szCs w:val="24"/>
              </w:rPr>
            </w:pPr>
            <w:r w:rsidRPr="005A6665">
              <w:rPr>
                <w:b w:val="0"/>
                <w:color w:val="auto"/>
                <w:sz w:val="20"/>
                <w:szCs w:val="24"/>
              </w:rPr>
              <w:t>Physical global assessment of disease activity</w:t>
            </w:r>
            <w:r w:rsidR="00BB4205" w:rsidRPr="005A6665">
              <w:rPr>
                <w:b w:val="0"/>
                <w:color w:val="auto"/>
                <w:sz w:val="20"/>
                <w:szCs w:val="24"/>
                <w:vertAlign w:val="superscript"/>
              </w:rPr>
              <w:t>*</w:t>
            </w:r>
            <w:r w:rsidRPr="005A6665">
              <w:rPr>
                <w:b w:val="0"/>
                <w:color w:val="auto"/>
                <w:sz w:val="20"/>
                <w:szCs w:val="24"/>
              </w:rPr>
              <w:t xml:space="preserve"> </w:t>
            </w:r>
          </w:p>
        </w:tc>
        <w:tc>
          <w:tcPr>
            <w:tcW w:w="2653" w:type="dxa"/>
            <w:tcBorders>
              <w:left w:val="single" w:sz="8" w:space="0" w:color="auto"/>
              <w:right w:val="single" w:sz="8" w:space="0" w:color="auto"/>
            </w:tcBorders>
            <w:shd w:val="clear" w:color="auto" w:fill="FFFFFF" w:themeFill="background1"/>
          </w:tcPr>
          <w:p w14:paraId="3FFF3944" w14:textId="77777777" w:rsidR="00581E6E" w:rsidRPr="005A6665" w:rsidRDefault="00BB4205"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0.76 ± 1.48</w:t>
            </w:r>
          </w:p>
        </w:tc>
        <w:tc>
          <w:tcPr>
            <w:tcW w:w="2069" w:type="dxa"/>
            <w:tcBorders>
              <w:left w:val="single" w:sz="8" w:space="0" w:color="auto"/>
              <w:right w:val="single" w:sz="8" w:space="0" w:color="auto"/>
            </w:tcBorders>
            <w:shd w:val="clear" w:color="auto" w:fill="FFFFFF" w:themeFill="background1"/>
          </w:tcPr>
          <w:p w14:paraId="3D44A997" w14:textId="77777777" w:rsidR="00581E6E" w:rsidRPr="005A6665" w:rsidRDefault="00BB4205"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0.83 ± 1.09</w:t>
            </w:r>
          </w:p>
        </w:tc>
      </w:tr>
      <w:tr w:rsidR="0037530C" w:rsidRPr="00EE4F28" w14:paraId="311AC91A"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none" w:sz="0" w:space="0" w:color="auto"/>
              <w:right w:val="none" w:sz="0" w:space="0" w:color="auto"/>
            </w:tcBorders>
            <w:shd w:val="clear" w:color="auto" w:fill="FFFFFF" w:themeFill="background1"/>
          </w:tcPr>
          <w:p w14:paraId="1B565E0C" w14:textId="6E0AFE2C" w:rsidR="0037530C" w:rsidRPr="005A6665" w:rsidRDefault="0037530C" w:rsidP="005A6665">
            <w:pPr>
              <w:rPr>
                <w:b w:val="0"/>
                <w:color w:val="auto"/>
                <w:sz w:val="20"/>
                <w:szCs w:val="24"/>
              </w:rPr>
            </w:pPr>
            <w:r w:rsidRPr="005A6665">
              <w:rPr>
                <w:b w:val="0"/>
                <w:color w:val="auto"/>
                <w:sz w:val="20"/>
                <w:szCs w:val="24"/>
              </w:rPr>
              <w:t>Rheu</w:t>
            </w:r>
            <w:r w:rsidR="00A47E0D" w:rsidRPr="005A6665">
              <w:rPr>
                <w:b w:val="0"/>
                <w:color w:val="auto"/>
                <w:sz w:val="20"/>
                <w:szCs w:val="24"/>
              </w:rPr>
              <w:t xml:space="preserve">matoid factor – </w:t>
            </w:r>
            <w:proofErr w:type="gramStart"/>
            <w:r w:rsidR="00A47E0D" w:rsidRPr="005A6665">
              <w:rPr>
                <w:b w:val="0"/>
                <w:color w:val="auto"/>
                <w:sz w:val="20"/>
                <w:szCs w:val="24"/>
              </w:rPr>
              <w:t>N</w:t>
            </w:r>
            <w:r w:rsidRPr="005A6665">
              <w:rPr>
                <w:b w:val="0"/>
                <w:color w:val="auto"/>
                <w:sz w:val="20"/>
                <w:szCs w:val="24"/>
              </w:rPr>
              <w:t>(</w:t>
            </w:r>
            <w:proofErr w:type="gramEnd"/>
            <w:r w:rsidRPr="005A6665">
              <w:rPr>
                <w:b w:val="0"/>
                <w:color w:val="auto"/>
                <w:sz w:val="20"/>
                <w:szCs w:val="24"/>
              </w:rPr>
              <w:t>%)</w:t>
            </w:r>
            <w:r w:rsidR="00F35094" w:rsidRPr="005A6665">
              <w:rPr>
                <w:b w:val="0"/>
                <w:color w:val="auto"/>
                <w:sz w:val="20"/>
                <w:szCs w:val="24"/>
                <w:vertAlign w:val="superscript"/>
              </w:rPr>
              <w:t>**</w:t>
            </w:r>
          </w:p>
        </w:tc>
        <w:tc>
          <w:tcPr>
            <w:tcW w:w="2653" w:type="dxa"/>
            <w:tcBorders>
              <w:left w:val="none" w:sz="0" w:space="0" w:color="auto"/>
              <w:right w:val="none" w:sz="0" w:space="0" w:color="auto"/>
            </w:tcBorders>
            <w:shd w:val="clear" w:color="auto" w:fill="FFFFFF" w:themeFill="background1"/>
          </w:tcPr>
          <w:p w14:paraId="5B62C5E7" w14:textId="77777777" w:rsidR="0037530C" w:rsidRPr="005A6665" w:rsidRDefault="009B60C9" w:rsidP="005A6665">
            <w:pPr>
              <w:cnfStyle w:val="000000100000" w:firstRow="0" w:lastRow="0" w:firstColumn="0" w:lastColumn="0" w:oddVBand="0" w:evenVBand="0" w:oddHBand="1" w:evenHBand="0" w:firstRowFirstColumn="0" w:firstRowLastColumn="0" w:lastRowFirstColumn="0" w:lastRowLastColumn="0"/>
              <w:rPr>
                <w:b/>
                <w:color w:val="auto"/>
                <w:sz w:val="20"/>
                <w:szCs w:val="24"/>
                <w:vertAlign w:val="superscript"/>
              </w:rPr>
            </w:pPr>
            <w:r w:rsidRPr="005A6665">
              <w:rPr>
                <w:color w:val="auto"/>
                <w:sz w:val="20"/>
                <w:szCs w:val="24"/>
              </w:rPr>
              <w:t>1 (2</w:t>
            </w:r>
            <w:r w:rsidR="0037530C" w:rsidRPr="005A6665">
              <w:rPr>
                <w:color w:val="auto"/>
                <w:sz w:val="20"/>
                <w:szCs w:val="24"/>
              </w:rPr>
              <w:t>)</w:t>
            </w:r>
          </w:p>
        </w:tc>
        <w:tc>
          <w:tcPr>
            <w:tcW w:w="2069" w:type="dxa"/>
            <w:tcBorders>
              <w:left w:val="none" w:sz="0" w:space="0" w:color="auto"/>
              <w:right w:val="none" w:sz="0" w:space="0" w:color="auto"/>
            </w:tcBorders>
            <w:shd w:val="clear" w:color="auto" w:fill="FFFFFF" w:themeFill="background1"/>
          </w:tcPr>
          <w:p w14:paraId="774F1D0F" w14:textId="77777777" w:rsidR="0037530C" w:rsidRPr="005A6665" w:rsidRDefault="0037530C" w:rsidP="005A6665">
            <w:pPr>
              <w:cnfStyle w:val="000000100000" w:firstRow="0" w:lastRow="0" w:firstColumn="0" w:lastColumn="0" w:oddVBand="0" w:evenVBand="0" w:oddHBand="1" w:evenHBand="0" w:firstRowFirstColumn="0" w:firstRowLastColumn="0" w:lastRowFirstColumn="0" w:lastRowLastColumn="0"/>
              <w:rPr>
                <w:color w:val="auto"/>
                <w:sz w:val="20"/>
                <w:szCs w:val="24"/>
                <w:vertAlign w:val="superscript"/>
              </w:rPr>
            </w:pPr>
            <w:r w:rsidRPr="005A6665">
              <w:rPr>
                <w:color w:val="auto"/>
                <w:sz w:val="20"/>
                <w:szCs w:val="24"/>
              </w:rPr>
              <w:t>3 (10)</w:t>
            </w:r>
          </w:p>
        </w:tc>
      </w:tr>
      <w:tr w:rsidR="009351B6" w:rsidRPr="00EE4F28" w14:paraId="395EAC75" w14:textId="77777777" w:rsidTr="005A6665">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6BA1BFA3" w14:textId="36C5E322" w:rsidR="009351B6" w:rsidRPr="005A6665" w:rsidRDefault="00A47E0D" w:rsidP="005A6665">
            <w:pPr>
              <w:rPr>
                <w:b w:val="0"/>
                <w:color w:val="auto"/>
                <w:sz w:val="20"/>
                <w:szCs w:val="24"/>
              </w:rPr>
            </w:pPr>
            <w:r w:rsidRPr="005A6665">
              <w:rPr>
                <w:b w:val="0"/>
                <w:color w:val="auto"/>
                <w:sz w:val="20"/>
                <w:szCs w:val="24"/>
              </w:rPr>
              <w:t xml:space="preserve">Anti-nuclear antibody – </w:t>
            </w:r>
            <w:proofErr w:type="gramStart"/>
            <w:r w:rsidRPr="005A6665">
              <w:rPr>
                <w:b w:val="0"/>
                <w:color w:val="auto"/>
                <w:sz w:val="20"/>
                <w:szCs w:val="24"/>
              </w:rPr>
              <w:t>N</w:t>
            </w:r>
            <w:r w:rsidR="009351B6" w:rsidRPr="005A6665">
              <w:rPr>
                <w:b w:val="0"/>
                <w:color w:val="auto"/>
                <w:sz w:val="20"/>
                <w:szCs w:val="24"/>
              </w:rPr>
              <w:t>(</w:t>
            </w:r>
            <w:proofErr w:type="gramEnd"/>
            <w:r w:rsidR="009351B6" w:rsidRPr="005A6665">
              <w:rPr>
                <w:b w:val="0"/>
                <w:color w:val="auto"/>
                <w:sz w:val="20"/>
                <w:szCs w:val="24"/>
              </w:rPr>
              <w:t>%)</w:t>
            </w:r>
            <w:r w:rsidR="00F35094" w:rsidRPr="005A6665">
              <w:rPr>
                <w:b w:val="0"/>
                <w:color w:val="auto"/>
                <w:sz w:val="20"/>
                <w:szCs w:val="24"/>
                <w:vertAlign w:val="superscript"/>
              </w:rPr>
              <w:t>**</w:t>
            </w:r>
          </w:p>
        </w:tc>
        <w:tc>
          <w:tcPr>
            <w:tcW w:w="2653" w:type="dxa"/>
            <w:tcBorders>
              <w:left w:val="single" w:sz="8" w:space="0" w:color="auto"/>
              <w:right w:val="single" w:sz="8" w:space="0" w:color="auto"/>
            </w:tcBorders>
            <w:shd w:val="clear" w:color="auto" w:fill="FFFFFF" w:themeFill="background1"/>
          </w:tcPr>
          <w:p w14:paraId="3741BE36" w14:textId="77777777" w:rsidR="009351B6" w:rsidRPr="005A6665" w:rsidRDefault="009351B6" w:rsidP="005A6665">
            <w:pPr>
              <w:cnfStyle w:val="000000000000" w:firstRow="0" w:lastRow="0" w:firstColumn="0" w:lastColumn="0" w:oddVBand="0" w:evenVBand="0" w:oddHBand="0" w:evenHBand="0" w:firstRowFirstColumn="0" w:firstRowLastColumn="0" w:lastRowFirstColumn="0" w:lastRowLastColumn="0"/>
              <w:rPr>
                <w:b/>
                <w:color w:val="auto"/>
                <w:sz w:val="20"/>
                <w:szCs w:val="24"/>
                <w:vertAlign w:val="superscript"/>
              </w:rPr>
            </w:pPr>
            <w:r w:rsidRPr="005A6665">
              <w:rPr>
                <w:color w:val="auto"/>
                <w:sz w:val="20"/>
                <w:szCs w:val="24"/>
              </w:rPr>
              <w:t>33 (55)</w:t>
            </w:r>
          </w:p>
        </w:tc>
        <w:tc>
          <w:tcPr>
            <w:tcW w:w="2069" w:type="dxa"/>
            <w:tcBorders>
              <w:left w:val="single" w:sz="8" w:space="0" w:color="auto"/>
              <w:right w:val="single" w:sz="8" w:space="0" w:color="auto"/>
            </w:tcBorders>
            <w:shd w:val="clear" w:color="auto" w:fill="FFFFFF" w:themeFill="background1"/>
          </w:tcPr>
          <w:p w14:paraId="702AE9F7" w14:textId="77777777" w:rsidR="009351B6" w:rsidRPr="005A6665" w:rsidRDefault="009351B6" w:rsidP="005A6665">
            <w:pPr>
              <w:cnfStyle w:val="000000000000" w:firstRow="0" w:lastRow="0" w:firstColumn="0" w:lastColumn="0" w:oddVBand="0" w:evenVBand="0" w:oddHBand="0" w:evenHBand="0" w:firstRowFirstColumn="0" w:firstRowLastColumn="0" w:lastRowFirstColumn="0" w:lastRowLastColumn="0"/>
              <w:rPr>
                <w:color w:val="auto"/>
                <w:sz w:val="20"/>
                <w:szCs w:val="24"/>
                <w:vertAlign w:val="superscript"/>
              </w:rPr>
            </w:pPr>
            <w:r w:rsidRPr="005A6665">
              <w:rPr>
                <w:color w:val="auto"/>
                <w:sz w:val="20"/>
                <w:szCs w:val="24"/>
              </w:rPr>
              <w:t>15 (50)</w:t>
            </w:r>
          </w:p>
        </w:tc>
      </w:tr>
      <w:tr w:rsidR="009351B6" w:rsidRPr="00EE4F28" w14:paraId="48149B34" w14:textId="77777777" w:rsidTr="005A6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left w:val="none" w:sz="0" w:space="0" w:color="auto"/>
              <w:right w:val="none" w:sz="0" w:space="0" w:color="auto"/>
            </w:tcBorders>
            <w:shd w:val="clear" w:color="auto" w:fill="FFFFFF" w:themeFill="background1"/>
          </w:tcPr>
          <w:p w14:paraId="000AC492" w14:textId="2B082AB9" w:rsidR="009351B6" w:rsidRPr="005A6665" w:rsidRDefault="009351B6" w:rsidP="005A6665">
            <w:pPr>
              <w:tabs>
                <w:tab w:val="left" w:pos="2552"/>
              </w:tabs>
              <w:rPr>
                <w:b w:val="0"/>
                <w:color w:val="auto"/>
                <w:sz w:val="20"/>
                <w:szCs w:val="24"/>
              </w:rPr>
            </w:pPr>
            <w:r w:rsidRPr="005A6665">
              <w:rPr>
                <w:b w:val="0"/>
                <w:color w:val="auto"/>
                <w:sz w:val="20"/>
                <w:szCs w:val="24"/>
              </w:rPr>
              <w:t>Active joint count</w:t>
            </w:r>
            <w:r w:rsidR="00110E34" w:rsidRPr="005A6665">
              <w:rPr>
                <w:b w:val="0"/>
                <w:color w:val="auto"/>
                <w:sz w:val="20"/>
                <w:szCs w:val="24"/>
                <w:vertAlign w:val="superscript"/>
              </w:rPr>
              <w:t>*</w:t>
            </w:r>
            <w:r w:rsidR="00CD601D" w:rsidRPr="005A6665">
              <w:rPr>
                <w:b w:val="0"/>
                <w:color w:val="auto"/>
                <w:sz w:val="20"/>
                <w:szCs w:val="24"/>
                <w:vertAlign w:val="superscript"/>
              </w:rPr>
              <w:t>**</w:t>
            </w:r>
            <w:r w:rsidRPr="005A6665">
              <w:rPr>
                <w:b w:val="0"/>
                <w:color w:val="auto"/>
                <w:sz w:val="20"/>
                <w:szCs w:val="24"/>
              </w:rPr>
              <w:t xml:space="preserve"> </w:t>
            </w:r>
            <w:r w:rsidR="00100CA2" w:rsidRPr="005A6665">
              <w:rPr>
                <w:b w:val="0"/>
                <w:color w:val="auto"/>
                <w:sz w:val="20"/>
                <w:szCs w:val="24"/>
              </w:rPr>
              <w:tab/>
            </w:r>
          </w:p>
        </w:tc>
        <w:tc>
          <w:tcPr>
            <w:tcW w:w="2653" w:type="dxa"/>
            <w:tcBorders>
              <w:left w:val="none" w:sz="0" w:space="0" w:color="auto"/>
              <w:right w:val="none" w:sz="0" w:space="0" w:color="auto"/>
            </w:tcBorders>
            <w:shd w:val="clear" w:color="auto" w:fill="FFFFFF" w:themeFill="background1"/>
          </w:tcPr>
          <w:p w14:paraId="3823D421" w14:textId="71B23F9D" w:rsidR="009351B6" w:rsidRPr="005A6665" w:rsidRDefault="001E38D4"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0</w:t>
            </w:r>
            <w:r w:rsidR="003729DC" w:rsidRPr="005A6665">
              <w:rPr>
                <w:color w:val="auto"/>
                <w:sz w:val="20"/>
                <w:szCs w:val="24"/>
              </w:rPr>
              <w:t>.00</w:t>
            </w:r>
            <w:r w:rsidRPr="005A6665">
              <w:rPr>
                <w:color w:val="auto"/>
                <w:sz w:val="20"/>
                <w:szCs w:val="24"/>
              </w:rPr>
              <w:t xml:space="preserve"> [0</w:t>
            </w:r>
            <w:r w:rsidR="003729DC" w:rsidRPr="005A6665">
              <w:rPr>
                <w:color w:val="auto"/>
                <w:sz w:val="20"/>
                <w:szCs w:val="24"/>
              </w:rPr>
              <w:t>.00</w:t>
            </w:r>
            <w:r w:rsidRPr="005A6665">
              <w:rPr>
                <w:color w:val="auto"/>
                <w:sz w:val="20"/>
                <w:szCs w:val="24"/>
              </w:rPr>
              <w:t>,</w:t>
            </w:r>
            <w:r w:rsidR="00FF7C44" w:rsidRPr="005A6665">
              <w:rPr>
                <w:color w:val="auto"/>
                <w:sz w:val="20"/>
                <w:szCs w:val="24"/>
              </w:rPr>
              <w:t xml:space="preserve"> 0</w:t>
            </w:r>
            <w:r w:rsidR="003729DC" w:rsidRPr="005A6665">
              <w:rPr>
                <w:color w:val="auto"/>
                <w:sz w:val="20"/>
                <w:szCs w:val="24"/>
              </w:rPr>
              <w:t>.00</w:t>
            </w:r>
            <w:r w:rsidRPr="005A6665">
              <w:rPr>
                <w:color w:val="auto"/>
                <w:sz w:val="20"/>
                <w:szCs w:val="24"/>
              </w:rPr>
              <w:t>]</w:t>
            </w:r>
          </w:p>
        </w:tc>
        <w:tc>
          <w:tcPr>
            <w:tcW w:w="2069" w:type="dxa"/>
            <w:tcBorders>
              <w:left w:val="none" w:sz="0" w:space="0" w:color="auto"/>
              <w:right w:val="none" w:sz="0" w:space="0" w:color="auto"/>
            </w:tcBorders>
            <w:shd w:val="clear" w:color="auto" w:fill="FFFFFF" w:themeFill="background1"/>
          </w:tcPr>
          <w:p w14:paraId="518DCD95" w14:textId="263DE466" w:rsidR="009351B6" w:rsidRPr="005A6665" w:rsidRDefault="001E38D4" w:rsidP="005A6665">
            <w:pPr>
              <w:cnfStyle w:val="000000100000" w:firstRow="0" w:lastRow="0" w:firstColumn="0" w:lastColumn="0" w:oddVBand="0" w:evenVBand="0" w:oddHBand="1" w:evenHBand="0" w:firstRowFirstColumn="0" w:firstRowLastColumn="0" w:lastRowFirstColumn="0" w:lastRowLastColumn="0"/>
              <w:rPr>
                <w:color w:val="auto"/>
                <w:sz w:val="20"/>
                <w:szCs w:val="24"/>
              </w:rPr>
            </w:pPr>
            <w:r w:rsidRPr="005A6665">
              <w:rPr>
                <w:color w:val="auto"/>
                <w:sz w:val="20"/>
                <w:szCs w:val="24"/>
              </w:rPr>
              <w:t>0</w:t>
            </w:r>
            <w:r w:rsidR="003729DC" w:rsidRPr="005A6665">
              <w:rPr>
                <w:color w:val="auto"/>
                <w:sz w:val="20"/>
                <w:szCs w:val="24"/>
              </w:rPr>
              <w:t>.00</w:t>
            </w:r>
            <w:r w:rsidRPr="005A6665">
              <w:rPr>
                <w:color w:val="auto"/>
                <w:sz w:val="20"/>
                <w:szCs w:val="24"/>
              </w:rPr>
              <w:t xml:space="preserve"> [0</w:t>
            </w:r>
            <w:r w:rsidR="003729DC" w:rsidRPr="005A6665">
              <w:rPr>
                <w:color w:val="auto"/>
                <w:sz w:val="20"/>
                <w:szCs w:val="24"/>
              </w:rPr>
              <w:t>.00</w:t>
            </w:r>
            <w:r w:rsidRPr="005A6665">
              <w:rPr>
                <w:color w:val="auto"/>
                <w:sz w:val="20"/>
                <w:szCs w:val="24"/>
              </w:rPr>
              <w:t>,</w:t>
            </w:r>
            <w:r w:rsidR="00FF7C44" w:rsidRPr="005A6665">
              <w:rPr>
                <w:color w:val="auto"/>
                <w:sz w:val="20"/>
                <w:szCs w:val="24"/>
              </w:rPr>
              <w:t xml:space="preserve"> 2</w:t>
            </w:r>
            <w:r w:rsidR="003729DC" w:rsidRPr="005A6665">
              <w:rPr>
                <w:color w:val="auto"/>
                <w:sz w:val="20"/>
                <w:szCs w:val="24"/>
              </w:rPr>
              <w:t>.00</w:t>
            </w:r>
            <w:r w:rsidRPr="005A6665">
              <w:rPr>
                <w:color w:val="auto"/>
                <w:sz w:val="20"/>
                <w:szCs w:val="24"/>
              </w:rPr>
              <w:t>]</w:t>
            </w:r>
          </w:p>
        </w:tc>
      </w:tr>
      <w:tr w:rsidR="009351B6" w:rsidRPr="00EE4F28" w14:paraId="52BA524F" w14:textId="77777777" w:rsidTr="005A6665">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tcPr>
          <w:p w14:paraId="5992FE12" w14:textId="09F24968" w:rsidR="009351B6" w:rsidRPr="005A6665" w:rsidRDefault="009351B6" w:rsidP="005A6665">
            <w:pPr>
              <w:rPr>
                <w:b w:val="0"/>
                <w:color w:val="auto"/>
                <w:sz w:val="20"/>
                <w:szCs w:val="24"/>
                <w:vertAlign w:val="superscript"/>
              </w:rPr>
            </w:pPr>
            <w:r w:rsidRPr="005A6665">
              <w:rPr>
                <w:b w:val="0"/>
                <w:color w:val="auto"/>
                <w:sz w:val="20"/>
                <w:szCs w:val="24"/>
              </w:rPr>
              <w:t>Swollen joint count</w:t>
            </w:r>
            <w:r w:rsidR="00110E34" w:rsidRPr="005A6665">
              <w:rPr>
                <w:b w:val="0"/>
                <w:color w:val="auto"/>
                <w:sz w:val="20"/>
                <w:szCs w:val="24"/>
                <w:vertAlign w:val="superscript"/>
              </w:rPr>
              <w:t>*</w:t>
            </w:r>
            <w:r w:rsidR="00CD601D" w:rsidRPr="005A6665">
              <w:rPr>
                <w:b w:val="0"/>
                <w:color w:val="auto"/>
                <w:sz w:val="20"/>
                <w:szCs w:val="24"/>
                <w:vertAlign w:val="superscript"/>
              </w:rPr>
              <w:t>**</w:t>
            </w:r>
          </w:p>
        </w:tc>
        <w:tc>
          <w:tcPr>
            <w:tcW w:w="2653" w:type="dxa"/>
            <w:tcBorders>
              <w:left w:val="single" w:sz="8" w:space="0" w:color="auto"/>
              <w:right w:val="single" w:sz="8" w:space="0" w:color="auto"/>
            </w:tcBorders>
            <w:shd w:val="clear" w:color="auto" w:fill="FFFFFF" w:themeFill="background1"/>
          </w:tcPr>
          <w:p w14:paraId="7729CCC1" w14:textId="412C1FDF" w:rsidR="009351B6" w:rsidRPr="005A6665" w:rsidRDefault="00FF7C44"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w:t>
            </w:r>
            <w:r w:rsidR="003729DC" w:rsidRPr="005A6665">
              <w:rPr>
                <w:color w:val="auto"/>
                <w:sz w:val="20"/>
                <w:szCs w:val="24"/>
              </w:rPr>
              <w:t>.00</w:t>
            </w:r>
            <w:r w:rsidRPr="005A6665">
              <w:rPr>
                <w:color w:val="auto"/>
                <w:sz w:val="20"/>
                <w:szCs w:val="24"/>
              </w:rPr>
              <w:t xml:space="preserve"> [0</w:t>
            </w:r>
            <w:r w:rsidR="003729DC" w:rsidRPr="005A6665">
              <w:rPr>
                <w:color w:val="auto"/>
                <w:sz w:val="20"/>
                <w:szCs w:val="24"/>
              </w:rPr>
              <w:t>.00</w:t>
            </w:r>
            <w:r w:rsidRPr="005A6665">
              <w:rPr>
                <w:color w:val="auto"/>
                <w:sz w:val="20"/>
                <w:szCs w:val="24"/>
              </w:rPr>
              <w:t>, 0</w:t>
            </w:r>
            <w:r w:rsidR="003729DC" w:rsidRPr="005A6665">
              <w:rPr>
                <w:color w:val="auto"/>
                <w:sz w:val="20"/>
                <w:szCs w:val="24"/>
              </w:rPr>
              <w:t>.00</w:t>
            </w:r>
            <w:r w:rsidRPr="005A6665">
              <w:rPr>
                <w:color w:val="auto"/>
                <w:sz w:val="20"/>
                <w:szCs w:val="24"/>
              </w:rPr>
              <w:t>]</w:t>
            </w:r>
          </w:p>
        </w:tc>
        <w:tc>
          <w:tcPr>
            <w:tcW w:w="2069" w:type="dxa"/>
            <w:tcBorders>
              <w:left w:val="single" w:sz="8" w:space="0" w:color="auto"/>
              <w:right w:val="single" w:sz="8" w:space="0" w:color="auto"/>
            </w:tcBorders>
            <w:shd w:val="clear" w:color="auto" w:fill="FFFFFF" w:themeFill="background1"/>
          </w:tcPr>
          <w:p w14:paraId="19A10E9D" w14:textId="1DDA0369" w:rsidR="009351B6" w:rsidRPr="005A6665" w:rsidRDefault="00FF7C44" w:rsidP="005A6665">
            <w:pPr>
              <w:cnfStyle w:val="000000000000" w:firstRow="0" w:lastRow="0" w:firstColumn="0" w:lastColumn="0" w:oddVBand="0" w:evenVBand="0" w:oddHBand="0" w:evenHBand="0" w:firstRowFirstColumn="0" w:firstRowLastColumn="0" w:lastRowFirstColumn="0" w:lastRowLastColumn="0"/>
              <w:rPr>
                <w:color w:val="auto"/>
                <w:sz w:val="20"/>
                <w:szCs w:val="24"/>
              </w:rPr>
            </w:pPr>
            <w:r w:rsidRPr="005A6665">
              <w:rPr>
                <w:color w:val="auto"/>
                <w:sz w:val="20"/>
                <w:szCs w:val="24"/>
              </w:rPr>
              <w:t>0</w:t>
            </w:r>
            <w:r w:rsidR="003729DC" w:rsidRPr="005A6665">
              <w:rPr>
                <w:color w:val="auto"/>
                <w:sz w:val="20"/>
                <w:szCs w:val="24"/>
              </w:rPr>
              <w:t>.00</w:t>
            </w:r>
            <w:r w:rsidRPr="005A6665">
              <w:rPr>
                <w:color w:val="auto"/>
                <w:sz w:val="20"/>
                <w:szCs w:val="24"/>
              </w:rPr>
              <w:t xml:space="preserve"> [0</w:t>
            </w:r>
            <w:r w:rsidR="003729DC" w:rsidRPr="005A6665">
              <w:rPr>
                <w:color w:val="auto"/>
                <w:sz w:val="20"/>
                <w:szCs w:val="24"/>
              </w:rPr>
              <w:t>.00</w:t>
            </w:r>
            <w:r w:rsidRPr="005A6665">
              <w:rPr>
                <w:color w:val="auto"/>
                <w:sz w:val="20"/>
                <w:szCs w:val="24"/>
              </w:rPr>
              <w:t>, 2</w:t>
            </w:r>
            <w:r w:rsidR="003729DC" w:rsidRPr="005A6665">
              <w:rPr>
                <w:color w:val="auto"/>
                <w:sz w:val="20"/>
                <w:szCs w:val="24"/>
              </w:rPr>
              <w:t>.00</w:t>
            </w:r>
            <w:r w:rsidRPr="005A6665">
              <w:rPr>
                <w:color w:val="auto"/>
                <w:sz w:val="20"/>
                <w:szCs w:val="24"/>
              </w:rPr>
              <w:t>]</w:t>
            </w:r>
          </w:p>
        </w:tc>
      </w:tr>
    </w:tbl>
    <w:p w14:paraId="4EAA68DF" w14:textId="77777777" w:rsidR="005A6665" w:rsidRDefault="005A6665" w:rsidP="005A6665">
      <w:pPr>
        <w:pStyle w:val="NoSpacing"/>
      </w:pPr>
    </w:p>
    <w:p w14:paraId="4EE5681B" w14:textId="4D792A97" w:rsidR="00453469" w:rsidRPr="00EE4F28" w:rsidRDefault="00D7010D" w:rsidP="005A6665">
      <w:pPr>
        <w:spacing w:line="240" w:lineRule="auto"/>
        <w:rPr>
          <w:rFonts w:eastAsia="Times New Roman" w:cs="Times New Roman"/>
          <w:b/>
          <w:bCs/>
          <w:sz w:val="24"/>
          <w:szCs w:val="24"/>
          <w:lang w:eastAsia="en-GB"/>
        </w:rPr>
      </w:pPr>
      <w:r w:rsidRPr="005A6665">
        <w:rPr>
          <w:sz w:val="20"/>
          <w:szCs w:val="24"/>
        </w:rPr>
        <w:t>N = N</w:t>
      </w:r>
      <w:r w:rsidR="00A15A8E" w:rsidRPr="005A6665">
        <w:rPr>
          <w:sz w:val="20"/>
          <w:szCs w:val="24"/>
        </w:rPr>
        <w:t xml:space="preserve">umber; </w:t>
      </w:r>
      <w:r w:rsidR="00536079" w:rsidRPr="005A6665">
        <w:rPr>
          <w:sz w:val="20"/>
          <w:szCs w:val="24"/>
        </w:rPr>
        <w:t>*</w:t>
      </w:r>
      <w:r w:rsidR="003529ED" w:rsidRPr="005A6665">
        <w:rPr>
          <w:sz w:val="20"/>
          <w:szCs w:val="24"/>
        </w:rPr>
        <w:t>=</w:t>
      </w:r>
      <w:r w:rsidR="00536079" w:rsidRPr="005A6665">
        <w:rPr>
          <w:sz w:val="20"/>
          <w:szCs w:val="24"/>
        </w:rPr>
        <w:t xml:space="preserve"> </w:t>
      </w:r>
      <w:r w:rsidRPr="005A6665">
        <w:rPr>
          <w:sz w:val="20"/>
          <w:szCs w:val="24"/>
        </w:rPr>
        <w:t>M</w:t>
      </w:r>
      <w:r w:rsidR="00536079" w:rsidRPr="005A6665">
        <w:rPr>
          <w:sz w:val="20"/>
          <w:szCs w:val="24"/>
        </w:rPr>
        <w:t>ean +/- SD</w:t>
      </w:r>
      <w:r w:rsidR="003529ED" w:rsidRPr="005A6665">
        <w:rPr>
          <w:sz w:val="20"/>
          <w:szCs w:val="24"/>
        </w:rPr>
        <w:t>;</w:t>
      </w:r>
      <w:r w:rsidR="002A7FAD" w:rsidRPr="005A6665">
        <w:rPr>
          <w:sz w:val="20"/>
          <w:szCs w:val="24"/>
        </w:rPr>
        <w:t xml:space="preserve"> </w:t>
      </w:r>
      <w:r w:rsidR="003529ED" w:rsidRPr="005A6665">
        <w:rPr>
          <w:sz w:val="20"/>
          <w:szCs w:val="24"/>
        </w:rPr>
        <w:t xml:space="preserve">α = </w:t>
      </w:r>
      <w:r w:rsidR="004F3AA0" w:rsidRPr="005A6665">
        <w:rPr>
          <w:sz w:val="20"/>
          <w:szCs w:val="24"/>
        </w:rPr>
        <w:t>Refers to the total number of eyes</w:t>
      </w:r>
      <w:r w:rsidR="002A7FAD" w:rsidRPr="005A6665">
        <w:rPr>
          <w:sz w:val="20"/>
          <w:szCs w:val="24"/>
        </w:rPr>
        <w:t xml:space="preserve">; </w:t>
      </w:r>
      <w:r w:rsidR="00F35094" w:rsidRPr="005A6665">
        <w:rPr>
          <w:sz w:val="20"/>
          <w:szCs w:val="24"/>
        </w:rPr>
        <w:t xml:space="preserve">** </w:t>
      </w:r>
      <w:proofErr w:type="spellStart"/>
      <w:r w:rsidR="002A7FAD" w:rsidRPr="005A6665">
        <w:rPr>
          <w:sz w:val="20"/>
          <w:szCs w:val="24"/>
        </w:rPr>
        <w:t>RhF</w:t>
      </w:r>
      <w:proofErr w:type="spellEnd"/>
      <w:r w:rsidR="002A7FAD" w:rsidRPr="005A6665">
        <w:rPr>
          <w:sz w:val="20"/>
          <w:szCs w:val="24"/>
        </w:rPr>
        <w:t xml:space="preserve"> not available in 13 and 7 patients, and ANA in 3 and 5 patients respectively, on clinical grounds</w:t>
      </w:r>
      <w:r w:rsidR="00FF7C44" w:rsidRPr="005A6665">
        <w:rPr>
          <w:sz w:val="20"/>
          <w:szCs w:val="24"/>
        </w:rPr>
        <w:t>; ***= Median [Lower quartile, Upper quartile]</w:t>
      </w:r>
      <w:bookmarkStart w:id="5" w:name="_Ref435625737"/>
      <w:bookmarkStart w:id="6" w:name="_Toc436813524"/>
    </w:p>
    <w:p w14:paraId="51D7AB06" w14:textId="77777777" w:rsidR="00F37117" w:rsidRPr="00EE4F28" w:rsidRDefault="00F37117" w:rsidP="00F37117">
      <w:pPr>
        <w:spacing w:line="480" w:lineRule="auto"/>
        <w:rPr>
          <w:rFonts w:cs="Times"/>
          <w:sz w:val="24"/>
          <w:szCs w:val="24"/>
          <w:lang w:val="en-US"/>
        </w:rPr>
        <w:sectPr w:rsidR="00F37117" w:rsidRPr="00EE4F28" w:rsidSect="005A6665">
          <w:footerReference w:type="even" r:id="rId9"/>
          <w:footerReference w:type="default" r:id="rId10"/>
          <w:pgSz w:w="11906" w:h="16838"/>
          <w:pgMar w:top="1440" w:right="1440" w:bottom="1440" w:left="1440" w:header="708" w:footer="708" w:gutter="0"/>
          <w:cols w:space="708"/>
          <w:docGrid w:linePitch="360"/>
        </w:sectPr>
      </w:pPr>
    </w:p>
    <w:p w14:paraId="541FEE64" w14:textId="6530D5C0" w:rsidR="000D5F99" w:rsidRPr="00EE4F28" w:rsidRDefault="000D5F99" w:rsidP="000D5F99">
      <w:pPr>
        <w:pStyle w:val="Caption"/>
        <w:rPr>
          <w:color w:val="auto"/>
          <w:sz w:val="24"/>
          <w:szCs w:val="24"/>
        </w:rPr>
      </w:pPr>
      <w:bookmarkStart w:id="7" w:name="_Ref451428632"/>
      <w:bookmarkEnd w:id="5"/>
      <w:bookmarkEnd w:id="6"/>
      <w:r w:rsidRPr="00EE4F28">
        <w:rPr>
          <w:color w:val="auto"/>
          <w:sz w:val="24"/>
          <w:szCs w:val="24"/>
        </w:rPr>
        <w:lastRenderedPageBreak/>
        <w:t xml:space="preserve">Table </w:t>
      </w:r>
      <w:r w:rsidRPr="00EE4F28">
        <w:rPr>
          <w:noProof/>
          <w:color w:val="auto"/>
          <w:sz w:val="24"/>
          <w:szCs w:val="24"/>
        </w:rPr>
        <w:t>2</w:t>
      </w:r>
      <w:bookmarkEnd w:id="7"/>
      <w:r w:rsidRPr="00EE4F28">
        <w:rPr>
          <w:color w:val="auto"/>
          <w:sz w:val="24"/>
          <w:szCs w:val="24"/>
        </w:rPr>
        <w:t>: Number and percentage of patients with adverse events in the adalimumab Group, for events experienced by &gt;= 5% patients (placebo included for comparison)</w:t>
      </w:r>
    </w:p>
    <w:tbl>
      <w:tblPr>
        <w:tblW w:w="91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606"/>
        <w:gridCol w:w="1606"/>
      </w:tblGrid>
      <w:tr w:rsidR="000D5F99" w:rsidRPr="00EE4F28" w14:paraId="4A0DA3B7" w14:textId="77777777" w:rsidTr="005327D7">
        <w:trPr>
          <w:trHeight w:val="77"/>
          <w:tblHeader/>
        </w:trPr>
        <w:tc>
          <w:tcPr>
            <w:tcW w:w="5969" w:type="dxa"/>
            <w:shd w:val="clear" w:color="auto" w:fill="auto"/>
            <w:vAlign w:val="bottom"/>
          </w:tcPr>
          <w:p w14:paraId="680956A8" w14:textId="77777777" w:rsidR="000D5F99" w:rsidRPr="005327D7" w:rsidRDefault="000D5F99" w:rsidP="005A6665">
            <w:pPr>
              <w:spacing w:after="0" w:line="240" w:lineRule="auto"/>
              <w:rPr>
                <w:rFonts w:eastAsia="Times New Roman" w:cs="Times New Roman"/>
                <w:b/>
                <w:bCs/>
                <w:color w:val="000000"/>
                <w:sz w:val="20"/>
                <w:lang w:eastAsia="en-GB"/>
              </w:rPr>
            </w:pPr>
          </w:p>
        </w:tc>
        <w:tc>
          <w:tcPr>
            <w:tcW w:w="1606" w:type="dxa"/>
            <w:shd w:val="clear" w:color="auto" w:fill="auto"/>
            <w:vAlign w:val="bottom"/>
          </w:tcPr>
          <w:p w14:paraId="494E4D30" w14:textId="77777777" w:rsidR="000D5F99" w:rsidRPr="005327D7" w:rsidRDefault="000D5F99" w:rsidP="005A6665">
            <w:pPr>
              <w:spacing w:after="0" w:line="240" w:lineRule="auto"/>
              <w:rPr>
                <w:rFonts w:eastAsia="Times New Roman" w:cs="Times New Roman"/>
                <w:b/>
                <w:bCs/>
                <w:color w:val="000000"/>
                <w:sz w:val="20"/>
                <w:lang w:eastAsia="en-GB"/>
              </w:rPr>
            </w:pPr>
            <w:r w:rsidRPr="005327D7">
              <w:rPr>
                <w:rFonts w:eastAsia="Times New Roman" w:cs="Times New Roman"/>
                <w:b/>
                <w:bCs/>
                <w:color w:val="000000"/>
                <w:sz w:val="20"/>
                <w:lang w:eastAsia="en-GB"/>
              </w:rPr>
              <w:t>Adalimumab</w:t>
            </w:r>
          </w:p>
          <w:p w14:paraId="5BF40254" w14:textId="77777777" w:rsidR="000D5F99" w:rsidRPr="005327D7" w:rsidRDefault="000D5F99" w:rsidP="005A6665">
            <w:pPr>
              <w:spacing w:after="0" w:line="240" w:lineRule="auto"/>
              <w:rPr>
                <w:rFonts w:eastAsia="Times New Roman" w:cs="Times New Roman"/>
                <w:b/>
                <w:bCs/>
                <w:color w:val="000000"/>
                <w:sz w:val="20"/>
                <w:lang w:eastAsia="en-GB"/>
              </w:rPr>
            </w:pPr>
            <w:r w:rsidRPr="005327D7">
              <w:rPr>
                <w:rFonts w:eastAsia="Times New Roman" w:cs="Times New Roman"/>
                <w:b/>
                <w:bCs/>
                <w:color w:val="000000"/>
                <w:sz w:val="20"/>
                <w:lang w:eastAsia="en-GB"/>
              </w:rPr>
              <w:t>N=60</w:t>
            </w:r>
          </w:p>
        </w:tc>
        <w:tc>
          <w:tcPr>
            <w:tcW w:w="1606" w:type="dxa"/>
            <w:shd w:val="clear" w:color="auto" w:fill="auto"/>
            <w:vAlign w:val="bottom"/>
          </w:tcPr>
          <w:p w14:paraId="3B0A2CD4" w14:textId="77777777" w:rsidR="000D5F99" w:rsidRPr="005327D7" w:rsidRDefault="000D5F99" w:rsidP="005A6665">
            <w:pPr>
              <w:spacing w:after="0" w:line="240" w:lineRule="auto"/>
              <w:rPr>
                <w:rFonts w:eastAsia="Times New Roman" w:cs="Times New Roman"/>
                <w:b/>
                <w:bCs/>
                <w:color w:val="000000"/>
                <w:sz w:val="20"/>
                <w:lang w:eastAsia="en-GB"/>
              </w:rPr>
            </w:pPr>
            <w:r w:rsidRPr="005327D7">
              <w:rPr>
                <w:rFonts w:eastAsia="Times New Roman" w:cs="Times New Roman"/>
                <w:b/>
                <w:bCs/>
                <w:color w:val="000000"/>
                <w:sz w:val="20"/>
                <w:lang w:eastAsia="en-GB"/>
              </w:rPr>
              <w:t>Placebo</w:t>
            </w:r>
          </w:p>
          <w:p w14:paraId="10669277" w14:textId="77777777" w:rsidR="000D5F99" w:rsidRPr="005327D7" w:rsidRDefault="000D5F99" w:rsidP="005A6665">
            <w:pPr>
              <w:spacing w:after="0" w:line="240" w:lineRule="auto"/>
              <w:rPr>
                <w:rFonts w:eastAsia="Times New Roman" w:cs="Times New Roman"/>
                <w:b/>
                <w:bCs/>
                <w:color w:val="000000"/>
                <w:sz w:val="20"/>
                <w:lang w:eastAsia="en-GB"/>
              </w:rPr>
            </w:pPr>
            <w:r w:rsidRPr="005327D7">
              <w:rPr>
                <w:rFonts w:eastAsia="Times New Roman" w:cs="Times New Roman"/>
                <w:b/>
                <w:bCs/>
                <w:color w:val="000000"/>
                <w:sz w:val="20"/>
                <w:lang w:eastAsia="en-GB"/>
              </w:rPr>
              <w:t>N=30</w:t>
            </w:r>
          </w:p>
        </w:tc>
      </w:tr>
      <w:tr w:rsidR="000D5F99" w:rsidRPr="00EE4F28" w14:paraId="152EE03B" w14:textId="77777777" w:rsidTr="005327D7">
        <w:trPr>
          <w:trHeight w:val="77"/>
        </w:trPr>
        <w:tc>
          <w:tcPr>
            <w:tcW w:w="5969" w:type="dxa"/>
            <w:tcBorders>
              <w:bottom w:val="single" w:sz="4" w:space="0" w:color="auto"/>
            </w:tcBorders>
            <w:shd w:val="clear" w:color="auto" w:fill="auto"/>
            <w:vAlign w:val="bottom"/>
          </w:tcPr>
          <w:p w14:paraId="084E7E13" w14:textId="77777777" w:rsidR="000D5F99" w:rsidRPr="005327D7" w:rsidRDefault="000D5F99" w:rsidP="005A6665">
            <w:pPr>
              <w:spacing w:after="0" w:line="240" w:lineRule="auto"/>
              <w:rPr>
                <w:rFonts w:eastAsia="Times New Roman" w:cs="Times New Roman"/>
                <w:b/>
                <w:bCs/>
                <w:color w:val="000000"/>
                <w:sz w:val="20"/>
                <w:lang w:eastAsia="en-GB"/>
              </w:rPr>
            </w:pPr>
          </w:p>
        </w:tc>
        <w:tc>
          <w:tcPr>
            <w:tcW w:w="1606" w:type="dxa"/>
            <w:tcBorders>
              <w:bottom w:val="single" w:sz="4" w:space="0" w:color="auto"/>
            </w:tcBorders>
            <w:shd w:val="clear" w:color="auto" w:fill="auto"/>
            <w:vAlign w:val="bottom"/>
          </w:tcPr>
          <w:p w14:paraId="4647432B" w14:textId="77777777" w:rsidR="000D5F99" w:rsidRPr="005327D7" w:rsidRDefault="000D5F99" w:rsidP="005A6665">
            <w:pPr>
              <w:spacing w:after="0" w:line="240" w:lineRule="auto"/>
              <w:rPr>
                <w:rFonts w:eastAsia="Times New Roman" w:cs="Times New Roman"/>
                <w:b/>
                <w:bCs/>
                <w:color w:val="000000"/>
                <w:sz w:val="20"/>
                <w:lang w:eastAsia="en-GB"/>
              </w:rPr>
            </w:pPr>
          </w:p>
        </w:tc>
        <w:tc>
          <w:tcPr>
            <w:tcW w:w="1606" w:type="dxa"/>
            <w:tcBorders>
              <w:bottom w:val="single" w:sz="4" w:space="0" w:color="auto"/>
            </w:tcBorders>
            <w:shd w:val="clear" w:color="auto" w:fill="auto"/>
            <w:vAlign w:val="bottom"/>
          </w:tcPr>
          <w:p w14:paraId="36E89F2A" w14:textId="77777777" w:rsidR="000D5F99" w:rsidRPr="005327D7" w:rsidRDefault="000D5F99" w:rsidP="005A6665">
            <w:pPr>
              <w:spacing w:after="0" w:line="240" w:lineRule="auto"/>
              <w:rPr>
                <w:rFonts w:eastAsia="Times New Roman" w:cs="Times New Roman"/>
                <w:b/>
                <w:bCs/>
                <w:color w:val="000000"/>
                <w:sz w:val="20"/>
                <w:lang w:eastAsia="en-GB"/>
              </w:rPr>
            </w:pPr>
          </w:p>
        </w:tc>
      </w:tr>
      <w:tr w:rsidR="000D5F99" w:rsidRPr="00EE4F28" w14:paraId="7AA9845C" w14:textId="77777777" w:rsidTr="005327D7">
        <w:trPr>
          <w:trHeight w:val="77"/>
        </w:trPr>
        <w:tc>
          <w:tcPr>
            <w:tcW w:w="5969" w:type="dxa"/>
            <w:tcBorders>
              <w:bottom w:val="nil"/>
            </w:tcBorders>
            <w:shd w:val="clear" w:color="auto" w:fill="auto"/>
            <w:vAlign w:val="bottom"/>
          </w:tcPr>
          <w:p w14:paraId="425D0655"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Blood and lymphatic system disorders</w:t>
            </w:r>
          </w:p>
        </w:tc>
        <w:tc>
          <w:tcPr>
            <w:tcW w:w="1606" w:type="dxa"/>
            <w:tcBorders>
              <w:bottom w:val="nil"/>
            </w:tcBorders>
            <w:shd w:val="clear" w:color="auto" w:fill="auto"/>
            <w:vAlign w:val="bottom"/>
          </w:tcPr>
          <w:p w14:paraId="05C8CEFD"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03B966CD"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7C3CFD43" w14:textId="77777777" w:rsidTr="005327D7">
        <w:trPr>
          <w:trHeight w:val="87"/>
        </w:trPr>
        <w:tc>
          <w:tcPr>
            <w:tcW w:w="5969" w:type="dxa"/>
            <w:tcBorders>
              <w:top w:val="nil"/>
              <w:bottom w:val="single" w:sz="4" w:space="0" w:color="auto"/>
            </w:tcBorders>
            <w:shd w:val="clear" w:color="auto" w:fill="auto"/>
            <w:vAlign w:val="bottom"/>
          </w:tcPr>
          <w:p w14:paraId="5447BEF9"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Lymphadenopathy</w:t>
            </w:r>
          </w:p>
        </w:tc>
        <w:tc>
          <w:tcPr>
            <w:tcW w:w="1606" w:type="dxa"/>
            <w:tcBorders>
              <w:top w:val="nil"/>
              <w:bottom w:val="single" w:sz="4" w:space="0" w:color="auto"/>
            </w:tcBorders>
            <w:shd w:val="clear" w:color="auto" w:fill="auto"/>
            <w:vAlign w:val="bottom"/>
          </w:tcPr>
          <w:p w14:paraId="5F76328B"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single" w:sz="4" w:space="0" w:color="auto"/>
            </w:tcBorders>
            <w:shd w:val="clear" w:color="auto" w:fill="auto"/>
            <w:vAlign w:val="bottom"/>
          </w:tcPr>
          <w:p w14:paraId="547DE16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7612D814" w14:textId="77777777" w:rsidTr="005327D7">
        <w:trPr>
          <w:trHeight w:val="77"/>
        </w:trPr>
        <w:tc>
          <w:tcPr>
            <w:tcW w:w="5969" w:type="dxa"/>
            <w:tcBorders>
              <w:bottom w:val="nil"/>
            </w:tcBorders>
            <w:shd w:val="clear" w:color="auto" w:fill="auto"/>
            <w:vAlign w:val="bottom"/>
          </w:tcPr>
          <w:p w14:paraId="4ACCF32B"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Eye disorders</w:t>
            </w:r>
          </w:p>
        </w:tc>
        <w:tc>
          <w:tcPr>
            <w:tcW w:w="1606" w:type="dxa"/>
            <w:tcBorders>
              <w:bottom w:val="nil"/>
            </w:tcBorders>
            <w:shd w:val="clear" w:color="auto" w:fill="auto"/>
            <w:vAlign w:val="bottom"/>
          </w:tcPr>
          <w:p w14:paraId="33998DF7"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24E8124D"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43432C80" w14:textId="77777777" w:rsidTr="005327D7">
        <w:trPr>
          <w:trHeight w:val="87"/>
        </w:trPr>
        <w:tc>
          <w:tcPr>
            <w:tcW w:w="5969" w:type="dxa"/>
            <w:tcBorders>
              <w:top w:val="nil"/>
              <w:bottom w:val="single" w:sz="4" w:space="0" w:color="auto"/>
            </w:tcBorders>
            <w:shd w:val="clear" w:color="auto" w:fill="auto"/>
            <w:vAlign w:val="bottom"/>
          </w:tcPr>
          <w:p w14:paraId="4BF87BBD"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Eye pain</w:t>
            </w:r>
          </w:p>
        </w:tc>
        <w:tc>
          <w:tcPr>
            <w:tcW w:w="1606" w:type="dxa"/>
            <w:tcBorders>
              <w:top w:val="nil"/>
              <w:bottom w:val="single" w:sz="4" w:space="0" w:color="auto"/>
            </w:tcBorders>
            <w:shd w:val="clear" w:color="auto" w:fill="auto"/>
            <w:vAlign w:val="bottom"/>
          </w:tcPr>
          <w:p w14:paraId="16AFE0E6"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4 (7%)</w:t>
            </w:r>
          </w:p>
        </w:tc>
        <w:tc>
          <w:tcPr>
            <w:tcW w:w="1606" w:type="dxa"/>
            <w:tcBorders>
              <w:top w:val="nil"/>
              <w:bottom w:val="single" w:sz="4" w:space="0" w:color="auto"/>
            </w:tcBorders>
            <w:shd w:val="clear" w:color="auto" w:fill="auto"/>
            <w:vAlign w:val="bottom"/>
          </w:tcPr>
          <w:p w14:paraId="745385D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6FF9EA12" w14:textId="77777777" w:rsidTr="005327D7">
        <w:trPr>
          <w:trHeight w:val="77"/>
        </w:trPr>
        <w:tc>
          <w:tcPr>
            <w:tcW w:w="5969" w:type="dxa"/>
            <w:tcBorders>
              <w:bottom w:val="nil"/>
            </w:tcBorders>
            <w:shd w:val="clear" w:color="auto" w:fill="auto"/>
            <w:vAlign w:val="bottom"/>
          </w:tcPr>
          <w:p w14:paraId="030F13C7"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Gastrointestinal disorders</w:t>
            </w:r>
          </w:p>
        </w:tc>
        <w:tc>
          <w:tcPr>
            <w:tcW w:w="1606" w:type="dxa"/>
            <w:tcBorders>
              <w:bottom w:val="nil"/>
            </w:tcBorders>
            <w:shd w:val="clear" w:color="auto" w:fill="auto"/>
            <w:vAlign w:val="bottom"/>
          </w:tcPr>
          <w:p w14:paraId="747674A2"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7F6565A8"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22148814" w14:textId="77777777" w:rsidTr="005327D7">
        <w:trPr>
          <w:trHeight w:val="87"/>
        </w:trPr>
        <w:tc>
          <w:tcPr>
            <w:tcW w:w="5969" w:type="dxa"/>
            <w:tcBorders>
              <w:top w:val="nil"/>
              <w:bottom w:val="nil"/>
            </w:tcBorders>
            <w:shd w:val="clear" w:color="auto" w:fill="auto"/>
            <w:vAlign w:val="bottom"/>
          </w:tcPr>
          <w:p w14:paraId="6195A11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Abdominal pain</w:t>
            </w:r>
          </w:p>
        </w:tc>
        <w:tc>
          <w:tcPr>
            <w:tcW w:w="1606" w:type="dxa"/>
            <w:tcBorders>
              <w:top w:val="nil"/>
              <w:bottom w:val="nil"/>
            </w:tcBorders>
            <w:shd w:val="clear" w:color="auto" w:fill="auto"/>
            <w:vAlign w:val="bottom"/>
          </w:tcPr>
          <w:p w14:paraId="445290A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2E843C92"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0408694C" w14:textId="77777777" w:rsidTr="005327D7">
        <w:trPr>
          <w:trHeight w:val="87"/>
        </w:trPr>
        <w:tc>
          <w:tcPr>
            <w:tcW w:w="5969" w:type="dxa"/>
            <w:tcBorders>
              <w:top w:val="nil"/>
              <w:bottom w:val="nil"/>
            </w:tcBorders>
            <w:shd w:val="clear" w:color="auto" w:fill="auto"/>
            <w:vAlign w:val="bottom"/>
          </w:tcPr>
          <w:p w14:paraId="08B53558"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color w:val="000000"/>
                <w:sz w:val="20"/>
              </w:rPr>
              <w:t>Diarrhoea</w:t>
            </w:r>
          </w:p>
        </w:tc>
        <w:tc>
          <w:tcPr>
            <w:tcW w:w="1606" w:type="dxa"/>
            <w:tcBorders>
              <w:top w:val="nil"/>
              <w:bottom w:val="nil"/>
            </w:tcBorders>
            <w:shd w:val="clear" w:color="auto" w:fill="auto"/>
            <w:vAlign w:val="bottom"/>
          </w:tcPr>
          <w:p w14:paraId="2ACC2EC9"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8 (13%)</w:t>
            </w:r>
          </w:p>
        </w:tc>
        <w:tc>
          <w:tcPr>
            <w:tcW w:w="1606" w:type="dxa"/>
            <w:tcBorders>
              <w:top w:val="nil"/>
              <w:bottom w:val="nil"/>
            </w:tcBorders>
            <w:shd w:val="clear" w:color="auto" w:fill="auto"/>
            <w:vAlign w:val="bottom"/>
          </w:tcPr>
          <w:p w14:paraId="762BA93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5B151CE5" w14:textId="77777777" w:rsidTr="005327D7">
        <w:trPr>
          <w:trHeight w:val="87"/>
        </w:trPr>
        <w:tc>
          <w:tcPr>
            <w:tcW w:w="5969" w:type="dxa"/>
            <w:tcBorders>
              <w:top w:val="nil"/>
              <w:bottom w:val="nil"/>
            </w:tcBorders>
            <w:shd w:val="clear" w:color="auto" w:fill="auto"/>
            <w:vAlign w:val="bottom"/>
          </w:tcPr>
          <w:p w14:paraId="51BC3DE2"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Nausea</w:t>
            </w:r>
          </w:p>
        </w:tc>
        <w:tc>
          <w:tcPr>
            <w:tcW w:w="1606" w:type="dxa"/>
            <w:tcBorders>
              <w:top w:val="nil"/>
              <w:bottom w:val="nil"/>
            </w:tcBorders>
            <w:shd w:val="clear" w:color="auto" w:fill="auto"/>
            <w:vAlign w:val="bottom"/>
          </w:tcPr>
          <w:p w14:paraId="3D9EE690"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5 (8%)</w:t>
            </w:r>
          </w:p>
        </w:tc>
        <w:tc>
          <w:tcPr>
            <w:tcW w:w="1606" w:type="dxa"/>
            <w:tcBorders>
              <w:top w:val="nil"/>
              <w:bottom w:val="nil"/>
            </w:tcBorders>
            <w:shd w:val="clear" w:color="auto" w:fill="auto"/>
            <w:vAlign w:val="bottom"/>
          </w:tcPr>
          <w:p w14:paraId="13FFE58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2 (7%)</w:t>
            </w:r>
          </w:p>
        </w:tc>
      </w:tr>
      <w:tr w:rsidR="000D5F99" w:rsidRPr="00EE4F28" w14:paraId="3F641B71" w14:textId="77777777" w:rsidTr="005327D7">
        <w:trPr>
          <w:trHeight w:val="87"/>
        </w:trPr>
        <w:tc>
          <w:tcPr>
            <w:tcW w:w="5969" w:type="dxa"/>
            <w:tcBorders>
              <w:top w:val="nil"/>
              <w:bottom w:val="single" w:sz="4" w:space="0" w:color="auto"/>
            </w:tcBorders>
            <w:shd w:val="clear" w:color="auto" w:fill="auto"/>
            <w:vAlign w:val="bottom"/>
          </w:tcPr>
          <w:p w14:paraId="54026784"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Vomiting</w:t>
            </w:r>
          </w:p>
        </w:tc>
        <w:tc>
          <w:tcPr>
            <w:tcW w:w="1606" w:type="dxa"/>
            <w:tcBorders>
              <w:top w:val="nil"/>
              <w:bottom w:val="single" w:sz="4" w:space="0" w:color="auto"/>
            </w:tcBorders>
            <w:shd w:val="clear" w:color="auto" w:fill="auto"/>
            <w:vAlign w:val="bottom"/>
          </w:tcPr>
          <w:p w14:paraId="7B4A0320"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18 (30%)</w:t>
            </w:r>
          </w:p>
        </w:tc>
        <w:tc>
          <w:tcPr>
            <w:tcW w:w="1606" w:type="dxa"/>
            <w:tcBorders>
              <w:top w:val="nil"/>
              <w:bottom w:val="single" w:sz="4" w:space="0" w:color="auto"/>
            </w:tcBorders>
            <w:shd w:val="clear" w:color="auto" w:fill="auto"/>
            <w:vAlign w:val="bottom"/>
          </w:tcPr>
          <w:p w14:paraId="6166CA19"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5 (17%)</w:t>
            </w:r>
          </w:p>
        </w:tc>
      </w:tr>
      <w:tr w:rsidR="000D5F99" w:rsidRPr="00EE4F28" w14:paraId="4B191B62" w14:textId="77777777" w:rsidTr="005327D7">
        <w:trPr>
          <w:trHeight w:val="77"/>
        </w:trPr>
        <w:tc>
          <w:tcPr>
            <w:tcW w:w="5969" w:type="dxa"/>
            <w:tcBorders>
              <w:bottom w:val="nil"/>
            </w:tcBorders>
            <w:shd w:val="clear" w:color="auto" w:fill="auto"/>
            <w:vAlign w:val="bottom"/>
          </w:tcPr>
          <w:p w14:paraId="7E7D8946"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General disorders and administration site conditions</w:t>
            </w:r>
          </w:p>
        </w:tc>
        <w:tc>
          <w:tcPr>
            <w:tcW w:w="1606" w:type="dxa"/>
            <w:tcBorders>
              <w:bottom w:val="nil"/>
            </w:tcBorders>
            <w:shd w:val="clear" w:color="auto" w:fill="auto"/>
            <w:vAlign w:val="bottom"/>
          </w:tcPr>
          <w:p w14:paraId="310850B8"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270D7A49"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0D928A03" w14:textId="77777777" w:rsidTr="005327D7">
        <w:trPr>
          <w:trHeight w:val="77"/>
        </w:trPr>
        <w:tc>
          <w:tcPr>
            <w:tcW w:w="5969" w:type="dxa"/>
            <w:tcBorders>
              <w:top w:val="nil"/>
              <w:bottom w:val="nil"/>
            </w:tcBorders>
            <w:shd w:val="clear" w:color="auto" w:fill="auto"/>
            <w:vAlign w:val="bottom"/>
          </w:tcPr>
          <w:p w14:paraId="1D3C68C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Injection site erythema</w:t>
            </w:r>
          </w:p>
        </w:tc>
        <w:tc>
          <w:tcPr>
            <w:tcW w:w="1606" w:type="dxa"/>
            <w:tcBorders>
              <w:top w:val="nil"/>
              <w:bottom w:val="nil"/>
            </w:tcBorders>
            <w:shd w:val="clear" w:color="auto" w:fill="auto"/>
            <w:vAlign w:val="bottom"/>
          </w:tcPr>
          <w:p w14:paraId="318C5C88"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70C696C2"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22A02F52" w14:textId="77777777" w:rsidTr="005327D7">
        <w:trPr>
          <w:trHeight w:val="77"/>
        </w:trPr>
        <w:tc>
          <w:tcPr>
            <w:tcW w:w="5969" w:type="dxa"/>
            <w:tcBorders>
              <w:top w:val="nil"/>
              <w:bottom w:val="nil"/>
            </w:tcBorders>
            <w:shd w:val="clear" w:color="auto" w:fill="auto"/>
            <w:vAlign w:val="bottom"/>
          </w:tcPr>
          <w:p w14:paraId="49C5608B"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Injection site mass</w:t>
            </w:r>
          </w:p>
        </w:tc>
        <w:tc>
          <w:tcPr>
            <w:tcW w:w="1606" w:type="dxa"/>
            <w:tcBorders>
              <w:top w:val="nil"/>
              <w:bottom w:val="nil"/>
            </w:tcBorders>
            <w:shd w:val="clear" w:color="auto" w:fill="auto"/>
            <w:vAlign w:val="bottom"/>
          </w:tcPr>
          <w:p w14:paraId="34158AF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3980F0B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1DA1C770" w14:textId="77777777" w:rsidTr="005327D7">
        <w:trPr>
          <w:trHeight w:val="77"/>
        </w:trPr>
        <w:tc>
          <w:tcPr>
            <w:tcW w:w="5969" w:type="dxa"/>
            <w:tcBorders>
              <w:top w:val="nil"/>
              <w:bottom w:val="nil"/>
            </w:tcBorders>
            <w:shd w:val="clear" w:color="auto" w:fill="auto"/>
            <w:vAlign w:val="bottom"/>
          </w:tcPr>
          <w:p w14:paraId="76441A2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Injection site pain</w:t>
            </w:r>
          </w:p>
        </w:tc>
        <w:tc>
          <w:tcPr>
            <w:tcW w:w="1606" w:type="dxa"/>
            <w:tcBorders>
              <w:top w:val="nil"/>
              <w:bottom w:val="nil"/>
            </w:tcBorders>
            <w:shd w:val="clear" w:color="auto" w:fill="auto"/>
            <w:vAlign w:val="bottom"/>
          </w:tcPr>
          <w:p w14:paraId="2DAC414E"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5 (8%)</w:t>
            </w:r>
          </w:p>
        </w:tc>
        <w:tc>
          <w:tcPr>
            <w:tcW w:w="1606" w:type="dxa"/>
            <w:tcBorders>
              <w:top w:val="nil"/>
              <w:bottom w:val="nil"/>
            </w:tcBorders>
            <w:shd w:val="clear" w:color="auto" w:fill="auto"/>
            <w:vAlign w:val="bottom"/>
          </w:tcPr>
          <w:p w14:paraId="44521FFB"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2 (7%)</w:t>
            </w:r>
          </w:p>
        </w:tc>
      </w:tr>
      <w:tr w:rsidR="000D5F99" w:rsidRPr="00EE4F28" w14:paraId="596C2EA5" w14:textId="77777777" w:rsidTr="005327D7">
        <w:trPr>
          <w:trHeight w:val="77"/>
        </w:trPr>
        <w:tc>
          <w:tcPr>
            <w:tcW w:w="5969" w:type="dxa"/>
            <w:tcBorders>
              <w:top w:val="nil"/>
              <w:bottom w:val="nil"/>
            </w:tcBorders>
            <w:shd w:val="clear" w:color="auto" w:fill="auto"/>
            <w:vAlign w:val="bottom"/>
          </w:tcPr>
          <w:p w14:paraId="626CD2B3"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Injection site pruritus</w:t>
            </w:r>
          </w:p>
        </w:tc>
        <w:tc>
          <w:tcPr>
            <w:tcW w:w="1606" w:type="dxa"/>
            <w:tcBorders>
              <w:top w:val="nil"/>
              <w:bottom w:val="nil"/>
            </w:tcBorders>
            <w:shd w:val="clear" w:color="auto" w:fill="auto"/>
            <w:vAlign w:val="bottom"/>
          </w:tcPr>
          <w:p w14:paraId="03DC1404"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2CF8A204"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74C08015" w14:textId="77777777" w:rsidTr="005327D7">
        <w:trPr>
          <w:trHeight w:val="77"/>
        </w:trPr>
        <w:tc>
          <w:tcPr>
            <w:tcW w:w="5969" w:type="dxa"/>
            <w:tcBorders>
              <w:top w:val="nil"/>
              <w:bottom w:val="nil"/>
            </w:tcBorders>
            <w:shd w:val="clear" w:color="auto" w:fill="auto"/>
            <w:vAlign w:val="bottom"/>
          </w:tcPr>
          <w:p w14:paraId="26465CD0"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eastAsia="Times New Roman" w:cs="Times New Roman"/>
                <w:color w:val="000000"/>
                <w:sz w:val="20"/>
                <w:szCs w:val="24"/>
                <w:lang w:eastAsia="en-GB"/>
              </w:rPr>
              <w:t>Injection site reaction</w:t>
            </w:r>
          </w:p>
        </w:tc>
        <w:tc>
          <w:tcPr>
            <w:tcW w:w="1606" w:type="dxa"/>
            <w:tcBorders>
              <w:top w:val="nil"/>
              <w:bottom w:val="nil"/>
            </w:tcBorders>
            <w:shd w:val="clear" w:color="auto" w:fill="auto"/>
            <w:vAlign w:val="bottom"/>
          </w:tcPr>
          <w:p w14:paraId="74636E7A"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7 (12%)</w:t>
            </w:r>
          </w:p>
        </w:tc>
        <w:tc>
          <w:tcPr>
            <w:tcW w:w="1606" w:type="dxa"/>
            <w:tcBorders>
              <w:top w:val="nil"/>
              <w:bottom w:val="nil"/>
            </w:tcBorders>
            <w:shd w:val="clear" w:color="auto" w:fill="auto"/>
            <w:vAlign w:val="bottom"/>
          </w:tcPr>
          <w:p w14:paraId="25923323"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7734306D" w14:textId="77777777" w:rsidTr="005327D7">
        <w:trPr>
          <w:trHeight w:val="77"/>
        </w:trPr>
        <w:tc>
          <w:tcPr>
            <w:tcW w:w="5969" w:type="dxa"/>
            <w:tcBorders>
              <w:top w:val="nil"/>
              <w:bottom w:val="nil"/>
            </w:tcBorders>
            <w:shd w:val="clear" w:color="auto" w:fill="auto"/>
            <w:vAlign w:val="bottom"/>
          </w:tcPr>
          <w:p w14:paraId="17FE9294"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Injection site swelling</w:t>
            </w:r>
          </w:p>
        </w:tc>
        <w:tc>
          <w:tcPr>
            <w:tcW w:w="1606" w:type="dxa"/>
            <w:tcBorders>
              <w:top w:val="nil"/>
              <w:bottom w:val="nil"/>
            </w:tcBorders>
            <w:shd w:val="clear" w:color="auto" w:fill="auto"/>
            <w:vAlign w:val="bottom"/>
          </w:tcPr>
          <w:p w14:paraId="1C49EF71"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4 (7%)</w:t>
            </w:r>
          </w:p>
        </w:tc>
        <w:tc>
          <w:tcPr>
            <w:tcW w:w="1606" w:type="dxa"/>
            <w:tcBorders>
              <w:top w:val="nil"/>
              <w:bottom w:val="nil"/>
            </w:tcBorders>
            <w:shd w:val="clear" w:color="auto" w:fill="auto"/>
            <w:vAlign w:val="bottom"/>
          </w:tcPr>
          <w:p w14:paraId="5B7373F4"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09ED69F4" w14:textId="77777777" w:rsidTr="005327D7">
        <w:trPr>
          <w:trHeight w:val="87"/>
        </w:trPr>
        <w:tc>
          <w:tcPr>
            <w:tcW w:w="5969" w:type="dxa"/>
            <w:tcBorders>
              <w:top w:val="nil"/>
              <w:bottom w:val="single" w:sz="4" w:space="0" w:color="auto"/>
            </w:tcBorders>
            <w:shd w:val="clear" w:color="auto" w:fill="auto"/>
            <w:vAlign w:val="bottom"/>
          </w:tcPr>
          <w:p w14:paraId="2832CF2B"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Pyrexia</w:t>
            </w:r>
          </w:p>
        </w:tc>
        <w:tc>
          <w:tcPr>
            <w:tcW w:w="1606" w:type="dxa"/>
            <w:tcBorders>
              <w:top w:val="nil"/>
              <w:bottom w:val="single" w:sz="4" w:space="0" w:color="auto"/>
            </w:tcBorders>
            <w:shd w:val="clear" w:color="auto" w:fill="auto"/>
            <w:vAlign w:val="bottom"/>
          </w:tcPr>
          <w:p w14:paraId="40426AFB"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12 (20%)</w:t>
            </w:r>
          </w:p>
        </w:tc>
        <w:tc>
          <w:tcPr>
            <w:tcW w:w="1606" w:type="dxa"/>
            <w:tcBorders>
              <w:top w:val="nil"/>
              <w:bottom w:val="single" w:sz="4" w:space="0" w:color="auto"/>
            </w:tcBorders>
            <w:shd w:val="clear" w:color="auto" w:fill="auto"/>
            <w:vAlign w:val="bottom"/>
          </w:tcPr>
          <w:p w14:paraId="4F0EE82A"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2 (7%)</w:t>
            </w:r>
          </w:p>
        </w:tc>
      </w:tr>
      <w:tr w:rsidR="000D5F99" w:rsidRPr="00EE4F28" w14:paraId="334EF97B" w14:textId="77777777" w:rsidTr="005327D7">
        <w:trPr>
          <w:trHeight w:val="77"/>
        </w:trPr>
        <w:tc>
          <w:tcPr>
            <w:tcW w:w="5969" w:type="dxa"/>
            <w:tcBorders>
              <w:bottom w:val="nil"/>
            </w:tcBorders>
            <w:shd w:val="clear" w:color="auto" w:fill="auto"/>
            <w:vAlign w:val="bottom"/>
          </w:tcPr>
          <w:p w14:paraId="74066F2F"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Infections and infestations</w:t>
            </w:r>
          </w:p>
        </w:tc>
        <w:tc>
          <w:tcPr>
            <w:tcW w:w="1606" w:type="dxa"/>
            <w:tcBorders>
              <w:bottom w:val="nil"/>
            </w:tcBorders>
            <w:shd w:val="clear" w:color="auto" w:fill="auto"/>
            <w:vAlign w:val="bottom"/>
          </w:tcPr>
          <w:p w14:paraId="35E44B19"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1221BCA6"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3E43089F" w14:textId="77777777" w:rsidTr="005327D7">
        <w:trPr>
          <w:trHeight w:val="77"/>
        </w:trPr>
        <w:tc>
          <w:tcPr>
            <w:tcW w:w="5969" w:type="dxa"/>
            <w:tcBorders>
              <w:top w:val="nil"/>
              <w:bottom w:val="nil"/>
            </w:tcBorders>
            <w:shd w:val="clear" w:color="auto" w:fill="auto"/>
            <w:vAlign w:val="bottom"/>
          </w:tcPr>
          <w:p w14:paraId="77C5C0F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Ear infection</w:t>
            </w:r>
          </w:p>
        </w:tc>
        <w:tc>
          <w:tcPr>
            <w:tcW w:w="1606" w:type="dxa"/>
            <w:tcBorders>
              <w:top w:val="nil"/>
              <w:bottom w:val="nil"/>
            </w:tcBorders>
            <w:shd w:val="clear" w:color="auto" w:fill="auto"/>
            <w:vAlign w:val="bottom"/>
          </w:tcPr>
          <w:p w14:paraId="7888C966"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6 (10%)</w:t>
            </w:r>
          </w:p>
        </w:tc>
        <w:tc>
          <w:tcPr>
            <w:tcW w:w="1606" w:type="dxa"/>
            <w:tcBorders>
              <w:top w:val="nil"/>
              <w:bottom w:val="nil"/>
            </w:tcBorders>
            <w:shd w:val="clear" w:color="auto" w:fill="auto"/>
            <w:vAlign w:val="bottom"/>
          </w:tcPr>
          <w:p w14:paraId="32A3500E"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2 (7%)</w:t>
            </w:r>
          </w:p>
        </w:tc>
      </w:tr>
      <w:tr w:rsidR="000D5F99" w:rsidRPr="00EE4F28" w14:paraId="6F16FD3A" w14:textId="77777777" w:rsidTr="005327D7">
        <w:trPr>
          <w:trHeight w:val="77"/>
        </w:trPr>
        <w:tc>
          <w:tcPr>
            <w:tcW w:w="5969" w:type="dxa"/>
            <w:tcBorders>
              <w:top w:val="nil"/>
              <w:bottom w:val="nil"/>
            </w:tcBorders>
            <w:shd w:val="clear" w:color="auto" w:fill="auto"/>
            <w:vAlign w:val="bottom"/>
          </w:tcPr>
          <w:p w14:paraId="2CAE85F1"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Impetigo</w:t>
            </w:r>
          </w:p>
        </w:tc>
        <w:tc>
          <w:tcPr>
            <w:tcW w:w="1606" w:type="dxa"/>
            <w:tcBorders>
              <w:top w:val="nil"/>
              <w:bottom w:val="nil"/>
            </w:tcBorders>
            <w:shd w:val="clear" w:color="auto" w:fill="auto"/>
            <w:vAlign w:val="bottom"/>
          </w:tcPr>
          <w:p w14:paraId="3E5541A6"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67C441A3"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702D9FE4" w14:textId="77777777" w:rsidTr="005327D7">
        <w:trPr>
          <w:trHeight w:val="77"/>
        </w:trPr>
        <w:tc>
          <w:tcPr>
            <w:tcW w:w="5969" w:type="dxa"/>
            <w:tcBorders>
              <w:top w:val="nil"/>
              <w:bottom w:val="nil"/>
            </w:tcBorders>
            <w:shd w:val="clear" w:color="auto" w:fill="auto"/>
            <w:vAlign w:val="bottom"/>
          </w:tcPr>
          <w:p w14:paraId="5FFD934D"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Lower respiratory tract infection</w:t>
            </w:r>
          </w:p>
        </w:tc>
        <w:tc>
          <w:tcPr>
            <w:tcW w:w="1606" w:type="dxa"/>
            <w:tcBorders>
              <w:top w:val="nil"/>
              <w:bottom w:val="nil"/>
            </w:tcBorders>
            <w:shd w:val="clear" w:color="auto" w:fill="auto"/>
            <w:vAlign w:val="bottom"/>
          </w:tcPr>
          <w:p w14:paraId="1E08ED48"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8 (13%)</w:t>
            </w:r>
          </w:p>
        </w:tc>
        <w:tc>
          <w:tcPr>
            <w:tcW w:w="1606" w:type="dxa"/>
            <w:tcBorders>
              <w:top w:val="nil"/>
              <w:bottom w:val="nil"/>
            </w:tcBorders>
            <w:shd w:val="clear" w:color="auto" w:fill="auto"/>
            <w:vAlign w:val="bottom"/>
          </w:tcPr>
          <w:p w14:paraId="5783A3BE"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2 (7%)</w:t>
            </w:r>
          </w:p>
        </w:tc>
      </w:tr>
      <w:tr w:rsidR="000D5F99" w:rsidRPr="00EE4F28" w14:paraId="06D11D9D" w14:textId="77777777" w:rsidTr="005327D7">
        <w:trPr>
          <w:trHeight w:val="77"/>
        </w:trPr>
        <w:tc>
          <w:tcPr>
            <w:tcW w:w="5969" w:type="dxa"/>
            <w:tcBorders>
              <w:top w:val="nil"/>
              <w:bottom w:val="nil"/>
            </w:tcBorders>
            <w:shd w:val="clear" w:color="auto" w:fill="auto"/>
            <w:vAlign w:val="bottom"/>
          </w:tcPr>
          <w:p w14:paraId="215BCEF0" w14:textId="77777777" w:rsidR="000D5F99" w:rsidRPr="005327D7" w:rsidRDefault="000D5F99" w:rsidP="005A6665">
            <w:pPr>
              <w:spacing w:after="0" w:line="240" w:lineRule="auto"/>
              <w:rPr>
                <w:rFonts w:eastAsia="Times New Roman" w:cs="Times New Roman"/>
                <w:color w:val="000000"/>
                <w:sz w:val="20"/>
                <w:lang w:eastAsia="en-GB"/>
              </w:rPr>
            </w:pPr>
            <w:proofErr w:type="spellStart"/>
            <w:r w:rsidRPr="005327D7">
              <w:rPr>
                <w:rFonts w:ascii="Calibri" w:hAnsi="Calibri"/>
                <w:color w:val="000000"/>
                <w:sz w:val="20"/>
              </w:rPr>
              <w:t>Nasopharyngitis</w:t>
            </w:r>
            <w:proofErr w:type="spellEnd"/>
          </w:p>
        </w:tc>
        <w:tc>
          <w:tcPr>
            <w:tcW w:w="1606" w:type="dxa"/>
            <w:tcBorders>
              <w:top w:val="nil"/>
              <w:bottom w:val="nil"/>
            </w:tcBorders>
            <w:shd w:val="clear" w:color="auto" w:fill="auto"/>
            <w:vAlign w:val="bottom"/>
          </w:tcPr>
          <w:p w14:paraId="5A1E903F"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15 (25%)</w:t>
            </w:r>
          </w:p>
        </w:tc>
        <w:tc>
          <w:tcPr>
            <w:tcW w:w="1606" w:type="dxa"/>
            <w:tcBorders>
              <w:top w:val="nil"/>
              <w:bottom w:val="nil"/>
            </w:tcBorders>
            <w:shd w:val="clear" w:color="auto" w:fill="auto"/>
            <w:vAlign w:val="bottom"/>
          </w:tcPr>
          <w:p w14:paraId="6190B08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7 (23%)</w:t>
            </w:r>
          </w:p>
        </w:tc>
      </w:tr>
      <w:tr w:rsidR="000D5F99" w:rsidRPr="00EE4F28" w14:paraId="1285D8FA" w14:textId="77777777" w:rsidTr="005327D7">
        <w:trPr>
          <w:trHeight w:val="77"/>
        </w:trPr>
        <w:tc>
          <w:tcPr>
            <w:tcW w:w="5969" w:type="dxa"/>
            <w:tcBorders>
              <w:top w:val="nil"/>
              <w:bottom w:val="nil"/>
            </w:tcBorders>
            <w:shd w:val="clear" w:color="auto" w:fill="auto"/>
            <w:vAlign w:val="bottom"/>
          </w:tcPr>
          <w:p w14:paraId="1F69B919"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Oral herpes</w:t>
            </w:r>
          </w:p>
        </w:tc>
        <w:tc>
          <w:tcPr>
            <w:tcW w:w="1606" w:type="dxa"/>
            <w:tcBorders>
              <w:top w:val="nil"/>
              <w:bottom w:val="nil"/>
            </w:tcBorders>
            <w:shd w:val="clear" w:color="auto" w:fill="auto"/>
            <w:vAlign w:val="bottom"/>
          </w:tcPr>
          <w:p w14:paraId="35EEBC3D"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22B846EE"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0BEFBFFE" w14:textId="77777777" w:rsidTr="005327D7">
        <w:trPr>
          <w:trHeight w:val="77"/>
        </w:trPr>
        <w:tc>
          <w:tcPr>
            <w:tcW w:w="5969" w:type="dxa"/>
            <w:tcBorders>
              <w:top w:val="nil"/>
              <w:bottom w:val="nil"/>
            </w:tcBorders>
            <w:shd w:val="clear" w:color="auto" w:fill="auto"/>
            <w:vAlign w:val="bottom"/>
          </w:tcPr>
          <w:p w14:paraId="33E1B15C"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color w:val="000000"/>
                <w:sz w:val="20"/>
              </w:rPr>
              <w:t>Paronychia</w:t>
            </w:r>
          </w:p>
        </w:tc>
        <w:tc>
          <w:tcPr>
            <w:tcW w:w="1606" w:type="dxa"/>
            <w:tcBorders>
              <w:top w:val="nil"/>
              <w:bottom w:val="nil"/>
            </w:tcBorders>
            <w:shd w:val="clear" w:color="auto" w:fill="auto"/>
            <w:vAlign w:val="bottom"/>
          </w:tcPr>
          <w:p w14:paraId="745DD549"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4ECC3A92"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0B1865ED" w14:textId="77777777" w:rsidTr="005327D7">
        <w:trPr>
          <w:trHeight w:val="87"/>
        </w:trPr>
        <w:tc>
          <w:tcPr>
            <w:tcW w:w="5969" w:type="dxa"/>
            <w:tcBorders>
              <w:top w:val="nil"/>
              <w:bottom w:val="nil"/>
            </w:tcBorders>
            <w:shd w:val="clear" w:color="auto" w:fill="auto"/>
            <w:vAlign w:val="bottom"/>
          </w:tcPr>
          <w:p w14:paraId="07A53BA8"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Pharyngitis</w:t>
            </w:r>
          </w:p>
        </w:tc>
        <w:tc>
          <w:tcPr>
            <w:tcW w:w="1606" w:type="dxa"/>
            <w:tcBorders>
              <w:top w:val="nil"/>
              <w:bottom w:val="nil"/>
            </w:tcBorders>
            <w:shd w:val="clear" w:color="auto" w:fill="auto"/>
            <w:vAlign w:val="bottom"/>
          </w:tcPr>
          <w:p w14:paraId="68EE6156"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4 (7%)</w:t>
            </w:r>
          </w:p>
        </w:tc>
        <w:tc>
          <w:tcPr>
            <w:tcW w:w="1606" w:type="dxa"/>
            <w:tcBorders>
              <w:top w:val="nil"/>
              <w:bottom w:val="nil"/>
            </w:tcBorders>
            <w:shd w:val="clear" w:color="auto" w:fill="auto"/>
            <w:vAlign w:val="bottom"/>
          </w:tcPr>
          <w:p w14:paraId="1C19211F"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5F8710B3" w14:textId="77777777" w:rsidTr="005327D7">
        <w:trPr>
          <w:trHeight w:val="87"/>
        </w:trPr>
        <w:tc>
          <w:tcPr>
            <w:tcW w:w="5969" w:type="dxa"/>
            <w:tcBorders>
              <w:top w:val="nil"/>
              <w:bottom w:val="nil"/>
            </w:tcBorders>
            <w:shd w:val="clear" w:color="auto" w:fill="auto"/>
            <w:vAlign w:val="bottom"/>
          </w:tcPr>
          <w:p w14:paraId="420AE966"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Tonsillitis</w:t>
            </w:r>
          </w:p>
        </w:tc>
        <w:tc>
          <w:tcPr>
            <w:tcW w:w="1606" w:type="dxa"/>
            <w:tcBorders>
              <w:top w:val="nil"/>
              <w:bottom w:val="nil"/>
            </w:tcBorders>
            <w:shd w:val="clear" w:color="auto" w:fill="auto"/>
            <w:vAlign w:val="bottom"/>
          </w:tcPr>
          <w:p w14:paraId="37A8BFA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12 (20%)</w:t>
            </w:r>
          </w:p>
        </w:tc>
        <w:tc>
          <w:tcPr>
            <w:tcW w:w="1606" w:type="dxa"/>
            <w:tcBorders>
              <w:top w:val="nil"/>
              <w:bottom w:val="nil"/>
            </w:tcBorders>
            <w:shd w:val="clear" w:color="auto" w:fill="auto"/>
            <w:vAlign w:val="bottom"/>
          </w:tcPr>
          <w:p w14:paraId="5FCD3C16"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30C70C9F" w14:textId="77777777" w:rsidTr="005327D7">
        <w:trPr>
          <w:trHeight w:val="77"/>
        </w:trPr>
        <w:tc>
          <w:tcPr>
            <w:tcW w:w="5969" w:type="dxa"/>
            <w:tcBorders>
              <w:top w:val="nil"/>
              <w:bottom w:val="nil"/>
            </w:tcBorders>
            <w:shd w:val="clear" w:color="auto" w:fill="auto"/>
            <w:vAlign w:val="bottom"/>
          </w:tcPr>
          <w:p w14:paraId="5B9894C4"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Upper respiratory tract infection</w:t>
            </w:r>
          </w:p>
        </w:tc>
        <w:tc>
          <w:tcPr>
            <w:tcW w:w="1606" w:type="dxa"/>
            <w:tcBorders>
              <w:top w:val="nil"/>
              <w:bottom w:val="nil"/>
            </w:tcBorders>
            <w:shd w:val="clear" w:color="auto" w:fill="auto"/>
            <w:vAlign w:val="bottom"/>
          </w:tcPr>
          <w:p w14:paraId="07901912"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4 (7%)</w:t>
            </w:r>
          </w:p>
        </w:tc>
        <w:tc>
          <w:tcPr>
            <w:tcW w:w="1606" w:type="dxa"/>
            <w:tcBorders>
              <w:top w:val="nil"/>
              <w:bottom w:val="nil"/>
            </w:tcBorders>
            <w:shd w:val="clear" w:color="auto" w:fill="auto"/>
            <w:vAlign w:val="bottom"/>
          </w:tcPr>
          <w:p w14:paraId="3E1E704D"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71836816" w14:textId="77777777" w:rsidTr="005327D7">
        <w:trPr>
          <w:trHeight w:val="87"/>
        </w:trPr>
        <w:tc>
          <w:tcPr>
            <w:tcW w:w="5969" w:type="dxa"/>
            <w:tcBorders>
              <w:top w:val="nil"/>
              <w:bottom w:val="nil"/>
            </w:tcBorders>
            <w:shd w:val="clear" w:color="auto" w:fill="auto"/>
            <w:vAlign w:val="bottom"/>
          </w:tcPr>
          <w:p w14:paraId="5F3BF0A6"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Urinary tract infection</w:t>
            </w:r>
          </w:p>
        </w:tc>
        <w:tc>
          <w:tcPr>
            <w:tcW w:w="1606" w:type="dxa"/>
            <w:tcBorders>
              <w:top w:val="nil"/>
              <w:bottom w:val="nil"/>
            </w:tcBorders>
            <w:shd w:val="clear" w:color="auto" w:fill="auto"/>
            <w:vAlign w:val="bottom"/>
          </w:tcPr>
          <w:p w14:paraId="198BF5AF"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9 (15%)</w:t>
            </w:r>
          </w:p>
        </w:tc>
        <w:tc>
          <w:tcPr>
            <w:tcW w:w="1606" w:type="dxa"/>
            <w:tcBorders>
              <w:top w:val="nil"/>
              <w:bottom w:val="nil"/>
            </w:tcBorders>
            <w:shd w:val="clear" w:color="auto" w:fill="auto"/>
            <w:vAlign w:val="bottom"/>
          </w:tcPr>
          <w:p w14:paraId="295D0B33"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(10%)</w:t>
            </w:r>
          </w:p>
        </w:tc>
      </w:tr>
      <w:tr w:rsidR="000D5F99" w:rsidRPr="00EE4F28" w14:paraId="60FC616D" w14:textId="77777777" w:rsidTr="005327D7">
        <w:trPr>
          <w:trHeight w:val="87"/>
        </w:trPr>
        <w:tc>
          <w:tcPr>
            <w:tcW w:w="5969" w:type="dxa"/>
            <w:tcBorders>
              <w:top w:val="nil"/>
              <w:bottom w:val="nil"/>
            </w:tcBorders>
            <w:shd w:val="clear" w:color="auto" w:fill="auto"/>
            <w:vAlign w:val="bottom"/>
          </w:tcPr>
          <w:p w14:paraId="593CF58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Varicella</w:t>
            </w:r>
          </w:p>
        </w:tc>
        <w:tc>
          <w:tcPr>
            <w:tcW w:w="1606" w:type="dxa"/>
            <w:tcBorders>
              <w:top w:val="nil"/>
              <w:bottom w:val="nil"/>
            </w:tcBorders>
            <w:shd w:val="clear" w:color="auto" w:fill="auto"/>
            <w:vAlign w:val="bottom"/>
          </w:tcPr>
          <w:p w14:paraId="12A4E8E2"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5B86E49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2A4C7E45" w14:textId="77777777" w:rsidTr="005327D7">
        <w:trPr>
          <w:trHeight w:val="77"/>
        </w:trPr>
        <w:tc>
          <w:tcPr>
            <w:tcW w:w="5969" w:type="dxa"/>
            <w:tcBorders>
              <w:top w:val="nil"/>
              <w:bottom w:val="single" w:sz="4" w:space="0" w:color="auto"/>
            </w:tcBorders>
            <w:shd w:val="clear" w:color="auto" w:fill="auto"/>
            <w:vAlign w:val="bottom"/>
          </w:tcPr>
          <w:p w14:paraId="4D327401"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Viral infection</w:t>
            </w:r>
          </w:p>
        </w:tc>
        <w:tc>
          <w:tcPr>
            <w:tcW w:w="1606" w:type="dxa"/>
            <w:tcBorders>
              <w:top w:val="nil"/>
              <w:bottom w:val="single" w:sz="4" w:space="0" w:color="auto"/>
            </w:tcBorders>
            <w:shd w:val="clear" w:color="auto" w:fill="auto"/>
            <w:vAlign w:val="bottom"/>
          </w:tcPr>
          <w:p w14:paraId="2399294D"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13 (22%)</w:t>
            </w:r>
          </w:p>
        </w:tc>
        <w:tc>
          <w:tcPr>
            <w:tcW w:w="1606" w:type="dxa"/>
            <w:tcBorders>
              <w:top w:val="nil"/>
              <w:bottom w:val="single" w:sz="4" w:space="0" w:color="auto"/>
            </w:tcBorders>
            <w:shd w:val="clear" w:color="auto" w:fill="auto"/>
            <w:vAlign w:val="bottom"/>
          </w:tcPr>
          <w:p w14:paraId="45D227C5"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03B8DBD5" w14:textId="77777777" w:rsidTr="005327D7">
        <w:trPr>
          <w:trHeight w:val="77"/>
        </w:trPr>
        <w:tc>
          <w:tcPr>
            <w:tcW w:w="5969" w:type="dxa"/>
            <w:tcBorders>
              <w:bottom w:val="nil"/>
            </w:tcBorders>
            <w:shd w:val="clear" w:color="auto" w:fill="auto"/>
            <w:vAlign w:val="bottom"/>
          </w:tcPr>
          <w:p w14:paraId="5394DE67"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Injury, poisoning and procedural complications</w:t>
            </w:r>
          </w:p>
        </w:tc>
        <w:tc>
          <w:tcPr>
            <w:tcW w:w="1606" w:type="dxa"/>
            <w:tcBorders>
              <w:bottom w:val="nil"/>
            </w:tcBorders>
            <w:shd w:val="clear" w:color="auto" w:fill="auto"/>
            <w:vAlign w:val="bottom"/>
          </w:tcPr>
          <w:p w14:paraId="1124FE3F"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533A6EC8"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68542495" w14:textId="77777777" w:rsidTr="005327D7">
        <w:trPr>
          <w:trHeight w:val="87"/>
        </w:trPr>
        <w:tc>
          <w:tcPr>
            <w:tcW w:w="5969" w:type="dxa"/>
            <w:tcBorders>
              <w:top w:val="nil"/>
              <w:bottom w:val="single" w:sz="4" w:space="0" w:color="auto"/>
            </w:tcBorders>
            <w:shd w:val="clear" w:color="auto" w:fill="auto"/>
            <w:vAlign w:val="bottom"/>
          </w:tcPr>
          <w:p w14:paraId="65D62071"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Fall</w:t>
            </w:r>
          </w:p>
        </w:tc>
        <w:tc>
          <w:tcPr>
            <w:tcW w:w="1606" w:type="dxa"/>
            <w:tcBorders>
              <w:top w:val="nil"/>
              <w:bottom w:val="single" w:sz="4" w:space="0" w:color="auto"/>
            </w:tcBorders>
            <w:shd w:val="clear" w:color="auto" w:fill="auto"/>
            <w:vAlign w:val="bottom"/>
          </w:tcPr>
          <w:p w14:paraId="62A77361"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single" w:sz="4" w:space="0" w:color="auto"/>
            </w:tcBorders>
            <w:shd w:val="clear" w:color="auto" w:fill="auto"/>
            <w:vAlign w:val="bottom"/>
          </w:tcPr>
          <w:p w14:paraId="4D023265"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51357C01" w14:textId="77777777" w:rsidTr="005327D7">
        <w:trPr>
          <w:trHeight w:val="77"/>
        </w:trPr>
        <w:tc>
          <w:tcPr>
            <w:tcW w:w="5969" w:type="dxa"/>
            <w:tcBorders>
              <w:bottom w:val="nil"/>
            </w:tcBorders>
            <w:shd w:val="clear" w:color="auto" w:fill="auto"/>
            <w:vAlign w:val="bottom"/>
          </w:tcPr>
          <w:p w14:paraId="7F0C4470"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Investigations</w:t>
            </w:r>
          </w:p>
        </w:tc>
        <w:tc>
          <w:tcPr>
            <w:tcW w:w="1606" w:type="dxa"/>
            <w:tcBorders>
              <w:bottom w:val="nil"/>
            </w:tcBorders>
            <w:shd w:val="clear" w:color="auto" w:fill="auto"/>
            <w:vAlign w:val="bottom"/>
          </w:tcPr>
          <w:p w14:paraId="14AA7480"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6A44170F"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37B8AC1F" w14:textId="77777777" w:rsidTr="005327D7">
        <w:trPr>
          <w:trHeight w:val="77"/>
        </w:trPr>
        <w:tc>
          <w:tcPr>
            <w:tcW w:w="5969" w:type="dxa"/>
            <w:tcBorders>
              <w:top w:val="nil"/>
              <w:bottom w:val="nil"/>
            </w:tcBorders>
            <w:shd w:val="clear" w:color="auto" w:fill="auto"/>
            <w:vAlign w:val="bottom"/>
          </w:tcPr>
          <w:p w14:paraId="0BE31F3D"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Alanine aminotransferase increased</w:t>
            </w:r>
          </w:p>
        </w:tc>
        <w:tc>
          <w:tcPr>
            <w:tcW w:w="1606" w:type="dxa"/>
            <w:tcBorders>
              <w:top w:val="nil"/>
              <w:bottom w:val="nil"/>
            </w:tcBorders>
            <w:shd w:val="clear" w:color="auto" w:fill="auto"/>
            <w:vAlign w:val="bottom"/>
          </w:tcPr>
          <w:p w14:paraId="233217B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4 (7%)</w:t>
            </w:r>
          </w:p>
        </w:tc>
        <w:tc>
          <w:tcPr>
            <w:tcW w:w="1606" w:type="dxa"/>
            <w:tcBorders>
              <w:top w:val="nil"/>
              <w:bottom w:val="nil"/>
            </w:tcBorders>
            <w:shd w:val="clear" w:color="auto" w:fill="auto"/>
            <w:vAlign w:val="bottom"/>
          </w:tcPr>
          <w:p w14:paraId="53C495EE"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4BE1CC37" w14:textId="77777777" w:rsidTr="005327D7">
        <w:trPr>
          <w:trHeight w:val="77"/>
        </w:trPr>
        <w:tc>
          <w:tcPr>
            <w:tcW w:w="5969" w:type="dxa"/>
            <w:tcBorders>
              <w:top w:val="nil"/>
              <w:bottom w:val="nil"/>
            </w:tcBorders>
            <w:shd w:val="clear" w:color="auto" w:fill="auto"/>
            <w:vAlign w:val="bottom"/>
          </w:tcPr>
          <w:p w14:paraId="42AFE0E0"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Aspartate aminotransferase increased</w:t>
            </w:r>
          </w:p>
        </w:tc>
        <w:tc>
          <w:tcPr>
            <w:tcW w:w="1606" w:type="dxa"/>
            <w:tcBorders>
              <w:top w:val="nil"/>
              <w:bottom w:val="nil"/>
            </w:tcBorders>
            <w:shd w:val="clear" w:color="auto" w:fill="auto"/>
            <w:vAlign w:val="bottom"/>
          </w:tcPr>
          <w:p w14:paraId="7052D361"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3484208F"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r w:rsidR="000D5F99" w:rsidRPr="00EE4F28" w14:paraId="3F0F38D2" w14:textId="77777777" w:rsidTr="005327D7">
        <w:trPr>
          <w:trHeight w:val="77"/>
        </w:trPr>
        <w:tc>
          <w:tcPr>
            <w:tcW w:w="5969" w:type="dxa"/>
            <w:tcBorders>
              <w:top w:val="nil"/>
              <w:bottom w:val="single" w:sz="4" w:space="0" w:color="auto"/>
            </w:tcBorders>
            <w:shd w:val="clear" w:color="auto" w:fill="auto"/>
            <w:vAlign w:val="bottom"/>
          </w:tcPr>
          <w:p w14:paraId="306431A6"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Intraocular pressure increased</w:t>
            </w:r>
          </w:p>
        </w:tc>
        <w:tc>
          <w:tcPr>
            <w:tcW w:w="1606" w:type="dxa"/>
            <w:tcBorders>
              <w:top w:val="nil"/>
              <w:bottom w:val="single" w:sz="4" w:space="0" w:color="auto"/>
            </w:tcBorders>
            <w:shd w:val="clear" w:color="auto" w:fill="auto"/>
            <w:vAlign w:val="bottom"/>
          </w:tcPr>
          <w:p w14:paraId="0ED174B7"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4 (7%)</w:t>
            </w:r>
          </w:p>
        </w:tc>
        <w:tc>
          <w:tcPr>
            <w:tcW w:w="1606" w:type="dxa"/>
            <w:tcBorders>
              <w:top w:val="nil"/>
              <w:bottom w:val="single" w:sz="4" w:space="0" w:color="auto"/>
            </w:tcBorders>
            <w:shd w:val="clear" w:color="auto" w:fill="auto"/>
            <w:vAlign w:val="bottom"/>
          </w:tcPr>
          <w:p w14:paraId="147747EE"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485FA4DD" w14:textId="77777777" w:rsidTr="005327D7">
        <w:trPr>
          <w:trHeight w:val="77"/>
        </w:trPr>
        <w:tc>
          <w:tcPr>
            <w:tcW w:w="5969" w:type="dxa"/>
            <w:tcBorders>
              <w:bottom w:val="nil"/>
            </w:tcBorders>
            <w:shd w:val="clear" w:color="auto" w:fill="auto"/>
            <w:vAlign w:val="bottom"/>
          </w:tcPr>
          <w:p w14:paraId="4603B571"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Musculoskeletal and connective tissue disorders</w:t>
            </w:r>
          </w:p>
        </w:tc>
        <w:tc>
          <w:tcPr>
            <w:tcW w:w="1606" w:type="dxa"/>
            <w:tcBorders>
              <w:bottom w:val="nil"/>
            </w:tcBorders>
            <w:shd w:val="clear" w:color="auto" w:fill="auto"/>
            <w:vAlign w:val="bottom"/>
          </w:tcPr>
          <w:p w14:paraId="17549222"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2276F347"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597C5080" w14:textId="77777777" w:rsidTr="005327D7">
        <w:trPr>
          <w:trHeight w:val="77"/>
        </w:trPr>
        <w:tc>
          <w:tcPr>
            <w:tcW w:w="5969" w:type="dxa"/>
            <w:tcBorders>
              <w:top w:val="nil"/>
              <w:bottom w:val="single" w:sz="4" w:space="0" w:color="auto"/>
            </w:tcBorders>
            <w:shd w:val="clear" w:color="auto" w:fill="auto"/>
            <w:vAlign w:val="bottom"/>
          </w:tcPr>
          <w:p w14:paraId="1844835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Arthralgia</w:t>
            </w:r>
          </w:p>
        </w:tc>
        <w:tc>
          <w:tcPr>
            <w:tcW w:w="1606" w:type="dxa"/>
            <w:tcBorders>
              <w:top w:val="nil"/>
              <w:bottom w:val="single" w:sz="4" w:space="0" w:color="auto"/>
            </w:tcBorders>
            <w:shd w:val="clear" w:color="auto" w:fill="auto"/>
            <w:vAlign w:val="bottom"/>
          </w:tcPr>
          <w:p w14:paraId="1770286E"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12 (20%)</w:t>
            </w:r>
          </w:p>
        </w:tc>
        <w:tc>
          <w:tcPr>
            <w:tcW w:w="1606" w:type="dxa"/>
            <w:tcBorders>
              <w:top w:val="nil"/>
              <w:bottom w:val="single" w:sz="4" w:space="0" w:color="auto"/>
            </w:tcBorders>
            <w:shd w:val="clear" w:color="auto" w:fill="auto"/>
            <w:vAlign w:val="bottom"/>
          </w:tcPr>
          <w:p w14:paraId="44CBCCCB"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2 (7%)</w:t>
            </w:r>
          </w:p>
        </w:tc>
      </w:tr>
      <w:tr w:rsidR="000D5F99" w:rsidRPr="00EE4F28" w14:paraId="60A38407" w14:textId="77777777" w:rsidTr="005327D7">
        <w:trPr>
          <w:trHeight w:val="77"/>
        </w:trPr>
        <w:tc>
          <w:tcPr>
            <w:tcW w:w="5969" w:type="dxa"/>
            <w:tcBorders>
              <w:bottom w:val="nil"/>
            </w:tcBorders>
            <w:shd w:val="clear" w:color="auto" w:fill="auto"/>
            <w:vAlign w:val="bottom"/>
          </w:tcPr>
          <w:p w14:paraId="112926A7"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Neoplasms benign, malignant and unspecified (</w:t>
            </w:r>
            <w:proofErr w:type="spellStart"/>
            <w:r w:rsidRPr="005327D7">
              <w:rPr>
                <w:rFonts w:ascii="Calibri" w:hAnsi="Calibri"/>
                <w:b/>
                <w:color w:val="000000"/>
                <w:sz w:val="20"/>
              </w:rPr>
              <w:t>incl</w:t>
            </w:r>
            <w:proofErr w:type="spellEnd"/>
            <w:r w:rsidRPr="005327D7">
              <w:rPr>
                <w:rFonts w:ascii="Calibri" w:hAnsi="Calibri"/>
                <w:b/>
                <w:color w:val="000000"/>
                <w:sz w:val="20"/>
              </w:rPr>
              <w:t xml:space="preserve"> cysts and polyps)</w:t>
            </w:r>
          </w:p>
        </w:tc>
        <w:tc>
          <w:tcPr>
            <w:tcW w:w="1606" w:type="dxa"/>
            <w:tcBorders>
              <w:bottom w:val="nil"/>
            </w:tcBorders>
            <w:shd w:val="clear" w:color="auto" w:fill="auto"/>
            <w:vAlign w:val="bottom"/>
          </w:tcPr>
          <w:p w14:paraId="72BC9A93"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4882E54D"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0C06E9BB" w14:textId="77777777" w:rsidTr="005327D7">
        <w:trPr>
          <w:trHeight w:val="87"/>
        </w:trPr>
        <w:tc>
          <w:tcPr>
            <w:tcW w:w="5969" w:type="dxa"/>
            <w:tcBorders>
              <w:top w:val="nil"/>
              <w:bottom w:val="single" w:sz="4" w:space="0" w:color="auto"/>
            </w:tcBorders>
            <w:shd w:val="clear" w:color="auto" w:fill="auto"/>
            <w:vAlign w:val="bottom"/>
          </w:tcPr>
          <w:p w14:paraId="7C0CDE33"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Skin papilloma</w:t>
            </w:r>
          </w:p>
        </w:tc>
        <w:tc>
          <w:tcPr>
            <w:tcW w:w="1606" w:type="dxa"/>
            <w:tcBorders>
              <w:top w:val="nil"/>
              <w:bottom w:val="single" w:sz="4" w:space="0" w:color="auto"/>
            </w:tcBorders>
            <w:shd w:val="clear" w:color="auto" w:fill="auto"/>
            <w:vAlign w:val="bottom"/>
          </w:tcPr>
          <w:p w14:paraId="14B54CAE"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5 (8%)</w:t>
            </w:r>
          </w:p>
        </w:tc>
        <w:tc>
          <w:tcPr>
            <w:tcW w:w="1606" w:type="dxa"/>
            <w:tcBorders>
              <w:top w:val="nil"/>
              <w:bottom w:val="single" w:sz="4" w:space="0" w:color="auto"/>
            </w:tcBorders>
            <w:shd w:val="clear" w:color="auto" w:fill="auto"/>
            <w:vAlign w:val="bottom"/>
          </w:tcPr>
          <w:p w14:paraId="0A4B7652"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1DE819D1" w14:textId="77777777" w:rsidTr="005327D7">
        <w:trPr>
          <w:trHeight w:val="77"/>
        </w:trPr>
        <w:tc>
          <w:tcPr>
            <w:tcW w:w="5969" w:type="dxa"/>
            <w:tcBorders>
              <w:bottom w:val="nil"/>
            </w:tcBorders>
            <w:shd w:val="clear" w:color="auto" w:fill="auto"/>
            <w:vAlign w:val="bottom"/>
          </w:tcPr>
          <w:p w14:paraId="0041586B"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Nervous system disorders</w:t>
            </w:r>
          </w:p>
        </w:tc>
        <w:tc>
          <w:tcPr>
            <w:tcW w:w="1606" w:type="dxa"/>
            <w:tcBorders>
              <w:bottom w:val="nil"/>
            </w:tcBorders>
            <w:shd w:val="clear" w:color="auto" w:fill="auto"/>
            <w:vAlign w:val="bottom"/>
          </w:tcPr>
          <w:p w14:paraId="65E9BE29"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53311B10"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14B08FC3" w14:textId="77777777" w:rsidTr="005327D7">
        <w:trPr>
          <w:trHeight w:val="77"/>
        </w:trPr>
        <w:tc>
          <w:tcPr>
            <w:tcW w:w="5969" w:type="dxa"/>
            <w:tcBorders>
              <w:top w:val="nil"/>
              <w:bottom w:val="single" w:sz="4" w:space="0" w:color="auto"/>
            </w:tcBorders>
            <w:shd w:val="clear" w:color="auto" w:fill="auto"/>
            <w:vAlign w:val="bottom"/>
          </w:tcPr>
          <w:p w14:paraId="6C333B11"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Headache</w:t>
            </w:r>
          </w:p>
        </w:tc>
        <w:tc>
          <w:tcPr>
            <w:tcW w:w="1606" w:type="dxa"/>
            <w:tcBorders>
              <w:top w:val="nil"/>
              <w:bottom w:val="single" w:sz="4" w:space="0" w:color="auto"/>
            </w:tcBorders>
            <w:shd w:val="clear" w:color="auto" w:fill="auto"/>
            <w:vAlign w:val="bottom"/>
          </w:tcPr>
          <w:p w14:paraId="046DFAB5"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12 (20%)</w:t>
            </w:r>
          </w:p>
        </w:tc>
        <w:tc>
          <w:tcPr>
            <w:tcW w:w="1606" w:type="dxa"/>
            <w:tcBorders>
              <w:top w:val="nil"/>
              <w:bottom w:val="single" w:sz="4" w:space="0" w:color="auto"/>
            </w:tcBorders>
            <w:shd w:val="clear" w:color="auto" w:fill="auto"/>
            <w:vAlign w:val="bottom"/>
          </w:tcPr>
          <w:p w14:paraId="0A37AB3A"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4 (13%)</w:t>
            </w:r>
          </w:p>
        </w:tc>
      </w:tr>
      <w:tr w:rsidR="000D5F99" w:rsidRPr="00EE4F28" w14:paraId="19462938" w14:textId="77777777" w:rsidTr="005327D7">
        <w:trPr>
          <w:trHeight w:val="77"/>
        </w:trPr>
        <w:tc>
          <w:tcPr>
            <w:tcW w:w="5969" w:type="dxa"/>
            <w:tcBorders>
              <w:bottom w:val="nil"/>
            </w:tcBorders>
            <w:shd w:val="clear" w:color="auto" w:fill="auto"/>
            <w:vAlign w:val="bottom"/>
          </w:tcPr>
          <w:p w14:paraId="5487EE73"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Respiratory, thoracic and mediastinal disorders</w:t>
            </w:r>
          </w:p>
        </w:tc>
        <w:tc>
          <w:tcPr>
            <w:tcW w:w="1606" w:type="dxa"/>
            <w:tcBorders>
              <w:bottom w:val="nil"/>
            </w:tcBorders>
            <w:shd w:val="clear" w:color="auto" w:fill="auto"/>
            <w:vAlign w:val="bottom"/>
          </w:tcPr>
          <w:p w14:paraId="7DD39DF8"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3A603E63"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197EC7E4" w14:textId="77777777" w:rsidTr="005327D7">
        <w:trPr>
          <w:trHeight w:val="77"/>
        </w:trPr>
        <w:tc>
          <w:tcPr>
            <w:tcW w:w="5969" w:type="dxa"/>
            <w:tcBorders>
              <w:top w:val="nil"/>
              <w:bottom w:val="nil"/>
            </w:tcBorders>
            <w:shd w:val="clear" w:color="auto" w:fill="auto"/>
            <w:vAlign w:val="bottom"/>
          </w:tcPr>
          <w:p w14:paraId="33A8073C"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color w:val="000000"/>
                <w:sz w:val="20"/>
              </w:rPr>
              <w:t>Cough</w:t>
            </w:r>
          </w:p>
        </w:tc>
        <w:tc>
          <w:tcPr>
            <w:tcW w:w="1606" w:type="dxa"/>
            <w:tcBorders>
              <w:top w:val="nil"/>
              <w:bottom w:val="nil"/>
            </w:tcBorders>
            <w:shd w:val="clear" w:color="auto" w:fill="auto"/>
            <w:vAlign w:val="bottom"/>
          </w:tcPr>
          <w:p w14:paraId="502A63F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22 (37%)</w:t>
            </w:r>
          </w:p>
        </w:tc>
        <w:tc>
          <w:tcPr>
            <w:tcW w:w="1606" w:type="dxa"/>
            <w:tcBorders>
              <w:top w:val="nil"/>
              <w:bottom w:val="nil"/>
            </w:tcBorders>
            <w:shd w:val="clear" w:color="auto" w:fill="auto"/>
            <w:vAlign w:val="bottom"/>
          </w:tcPr>
          <w:p w14:paraId="054A9690"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(10%)</w:t>
            </w:r>
          </w:p>
        </w:tc>
      </w:tr>
      <w:tr w:rsidR="000D5F99" w:rsidRPr="00EE4F28" w14:paraId="3A3F9CF2" w14:textId="77777777" w:rsidTr="005327D7">
        <w:trPr>
          <w:trHeight w:val="77"/>
        </w:trPr>
        <w:tc>
          <w:tcPr>
            <w:tcW w:w="5969" w:type="dxa"/>
            <w:tcBorders>
              <w:top w:val="nil"/>
              <w:bottom w:val="nil"/>
            </w:tcBorders>
            <w:shd w:val="clear" w:color="auto" w:fill="auto"/>
            <w:vAlign w:val="bottom"/>
          </w:tcPr>
          <w:p w14:paraId="2FC7246F"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Epistaxis</w:t>
            </w:r>
          </w:p>
        </w:tc>
        <w:tc>
          <w:tcPr>
            <w:tcW w:w="1606" w:type="dxa"/>
            <w:tcBorders>
              <w:top w:val="nil"/>
              <w:bottom w:val="nil"/>
            </w:tcBorders>
            <w:shd w:val="clear" w:color="auto" w:fill="auto"/>
            <w:vAlign w:val="bottom"/>
          </w:tcPr>
          <w:p w14:paraId="05CD8F6B"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bottom w:val="nil"/>
            </w:tcBorders>
            <w:shd w:val="clear" w:color="auto" w:fill="auto"/>
            <w:vAlign w:val="bottom"/>
          </w:tcPr>
          <w:p w14:paraId="3A03AE39"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0 (0%)</w:t>
            </w:r>
          </w:p>
        </w:tc>
      </w:tr>
      <w:tr w:rsidR="000D5F99" w:rsidRPr="00EE4F28" w14:paraId="510ABACD" w14:textId="77777777" w:rsidTr="005327D7">
        <w:trPr>
          <w:trHeight w:val="77"/>
        </w:trPr>
        <w:tc>
          <w:tcPr>
            <w:tcW w:w="5969" w:type="dxa"/>
            <w:tcBorders>
              <w:top w:val="nil"/>
              <w:bottom w:val="single" w:sz="4" w:space="0" w:color="auto"/>
            </w:tcBorders>
            <w:shd w:val="clear" w:color="auto" w:fill="auto"/>
            <w:vAlign w:val="bottom"/>
          </w:tcPr>
          <w:p w14:paraId="3574BA65"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color w:val="000000"/>
                <w:sz w:val="20"/>
              </w:rPr>
              <w:t>Oropharyngeal pain</w:t>
            </w:r>
          </w:p>
        </w:tc>
        <w:tc>
          <w:tcPr>
            <w:tcW w:w="1606" w:type="dxa"/>
            <w:tcBorders>
              <w:top w:val="nil"/>
              <w:bottom w:val="single" w:sz="4" w:space="0" w:color="auto"/>
            </w:tcBorders>
            <w:shd w:val="clear" w:color="auto" w:fill="auto"/>
            <w:vAlign w:val="bottom"/>
          </w:tcPr>
          <w:p w14:paraId="5A1F7D4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16 (27%)</w:t>
            </w:r>
          </w:p>
        </w:tc>
        <w:tc>
          <w:tcPr>
            <w:tcW w:w="1606" w:type="dxa"/>
            <w:tcBorders>
              <w:top w:val="nil"/>
              <w:bottom w:val="single" w:sz="4" w:space="0" w:color="auto"/>
            </w:tcBorders>
            <w:shd w:val="clear" w:color="auto" w:fill="auto"/>
            <w:vAlign w:val="bottom"/>
          </w:tcPr>
          <w:p w14:paraId="0516A6D4"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2 (7%)</w:t>
            </w:r>
          </w:p>
        </w:tc>
      </w:tr>
      <w:tr w:rsidR="000D5F99" w:rsidRPr="00EE4F28" w14:paraId="74B9D000" w14:textId="77777777" w:rsidTr="005327D7">
        <w:trPr>
          <w:trHeight w:val="77"/>
        </w:trPr>
        <w:tc>
          <w:tcPr>
            <w:tcW w:w="5969" w:type="dxa"/>
            <w:tcBorders>
              <w:bottom w:val="nil"/>
            </w:tcBorders>
            <w:shd w:val="clear" w:color="auto" w:fill="auto"/>
            <w:vAlign w:val="bottom"/>
          </w:tcPr>
          <w:p w14:paraId="23AD359F"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b/>
                <w:color w:val="000000"/>
                <w:sz w:val="20"/>
              </w:rPr>
              <w:t>Skin and subcutaneous tissue disorders</w:t>
            </w:r>
          </w:p>
        </w:tc>
        <w:tc>
          <w:tcPr>
            <w:tcW w:w="1606" w:type="dxa"/>
            <w:tcBorders>
              <w:bottom w:val="nil"/>
            </w:tcBorders>
            <w:shd w:val="clear" w:color="auto" w:fill="auto"/>
            <w:vAlign w:val="bottom"/>
          </w:tcPr>
          <w:p w14:paraId="46EEE4DC" w14:textId="77777777" w:rsidR="000D5F99" w:rsidRPr="005327D7" w:rsidRDefault="000D5F99" w:rsidP="005A6665">
            <w:pPr>
              <w:spacing w:after="0" w:line="240" w:lineRule="auto"/>
              <w:rPr>
                <w:rFonts w:eastAsia="Times New Roman" w:cs="Times New Roman"/>
                <w:color w:val="000000"/>
                <w:sz w:val="20"/>
                <w:lang w:eastAsia="en-GB"/>
              </w:rPr>
            </w:pPr>
          </w:p>
        </w:tc>
        <w:tc>
          <w:tcPr>
            <w:tcW w:w="1606" w:type="dxa"/>
            <w:tcBorders>
              <w:bottom w:val="nil"/>
            </w:tcBorders>
            <w:shd w:val="clear" w:color="auto" w:fill="auto"/>
            <w:vAlign w:val="bottom"/>
          </w:tcPr>
          <w:p w14:paraId="55CEAC6E" w14:textId="77777777" w:rsidR="000D5F99" w:rsidRPr="005327D7" w:rsidRDefault="000D5F99" w:rsidP="005A6665">
            <w:pPr>
              <w:spacing w:after="0" w:line="240" w:lineRule="auto"/>
              <w:rPr>
                <w:rFonts w:eastAsia="Times New Roman" w:cs="Times New Roman"/>
                <w:color w:val="000000"/>
                <w:sz w:val="20"/>
                <w:lang w:eastAsia="en-GB"/>
              </w:rPr>
            </w:pPr>
          </w:p>
        </w:tc>
      </w:tr>
      <w:tr w:rsidR="000D5F99" w:rsidRPr="00EE4F28" w14:paraId="450AB4FD" w14:textId="77777777" w:rsidTr="005327D7">
        <w:trPr>
          <w:trHeight w:val="77"/>
        </w:trPr>
        <w:tc>
          <w:tcPr>
            <w:tcW w:w="5969" w:type="dxa"/>
            <w:tcBorders>
              <w:top w:val="nil"/>
            </w:tcBorders>
            <w:shd w:val="clear" w:color="auto" w:fill="auto"/>
            <w:vAlign w:val="bottom"/>
          </w:tcPr>
          <w:p w14:paraId="176D7A40" w14:textId="77777777" w:rsidR="000D5F99" w:rsidRPr="005327D7" w:rsidRDefault="000D5F99" w:rsidP="005A6665">
            <w:pPr>
              <w:spacing w:after="0" w:line="240" w:lineRule="auto"/>
              <w:rPr>
                <w:rFonts w:eastAsia="Times New Roman" w:cs="Times New Roman"/>
                <w:b/>
                <w:color w:val="000000"/>
                <w:sz w:val="20"/>
                <w:lang w:eastAsia="en-GB"/>
              </w:rPr>
            </w:pPr>
            <w:r w:rsidRPr="005327D7">
              <w:rPr>
                <w:rFonts w:ascii="Calibri" w:hAnsi="Calibri"/>
                <w:color w:val="000000"/>
                <w:sz w:val="20"/>
              </w:rPr>
              <w:t>Rash</w:t>
            </w:r>
          </w:p>
        </w:tc>
        <w:tc>
          <w:tcPr>
            <w:tcW w:w="1606" w:type="dxa"/>
            <w:tcBorders>
              <w:top w:val="nil"/>
            </w:tcBorders>
            <w:shd w:val="clear" w:color="auto" w:fill="auto"/>
            <w:vAlign w:val="bottom"/>
          </w:tcPr>
          <w:p w14:paraId="5DF7B29A"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3 (5%)</w:t>
            </w:r>
          </w:p>
        </w:tc>
        <w:tc>
          <w:tcPr>
            <w:tcW w:w="1606" w:type="dxa"/>
            <w:tcBorders>
              <w:top w:val="nil"/>
            </w:tcBorders>
            <w:shd w:val="clear" w:color="auto" w:fill="auto"/>
            <w:vAlign w:val="bottom"/>
          </w:tcPr>
          <w:p w14:paraId="028BB77C" w14:textId="77777777" w:rsidR="000D5F99" w:rsidRPr="005327D7" w:rsidRDefault="000D5F99" w:rsidP="005A6665">
            <w:pPr>
              <w:spacing w:after="0" w:line="240" w:lineRule="auto"/>
              <w:rPr>
                <w:rFonts w:eastAsia="Times New Roman" w:cs="Times New Roman"/>
                <w:color w:val="000000"/>
                <w:sz w:val="20"/>
                <w:lang w:eastAsia="en-GB"/>
              </w:rPr>
            </w:pPr>
            <w:r w:rsidRPr="005327D7">
              <w:rPr>
                <w:rFonts w:ascii="Calibri" w:hAnsi="Calibri"/>
                <w:color w:val="000000"/>
                <w:sz w:val="20"/>
              </w:rPr>
              <w:t>1 (3%)</w:t>
            </w:r>
          </w:p>
        </w:tc>
      </w:tr>
    </w:tbl>
    <w:p w14:paraId="65D2203A" w14:textId="77777777" w:rsidR="00453469" w:rsidRPr="00EE4F28" w:rsidRDefault="00453469" w:rsidP="006108E2">
      <w:pPr>
        <w:spacing w:line="480" w:lineRule="auto"/>
        <w:rPr>
          <w:rFonts w:cs="Times"/>
          <w:sz w:val="24"/>
          <w:szCs w:val="24"/>
          <w:lang w:val="en-US"/>
        </w:rPr>
      </w:pPr>
    </w:p>
    <w:p w14:paraId="1833DD28" w14:textId="1052ED62" w:rsidR="001F310A" w:rsidRPr="00EE4F28" w:rsidRDefault="008B4A9F" w:rsidP="008B4A9F">
      <w:pPr>
        <w:pStyle w:val="Caption"/>
        <w:rPr>
          <w:rFonts w:cs="Times"/>
          <w:b w:val="0"/>
          <w:color w:val="auto"/>
          <w:sz w:val="24"/>
          <w:szCs w:val="24"/>
          <w:lang w:val="en-US"/>
        </w:rPr>
      </w:pPr>
      <w:bookmarkStart w:id="8" w:name="_Ref451428661"/>
      <w:r w:rsidRPr="00EE4F28">
        <w:rPr>
          <w:color w:val="auto"/>
          <w:sz w:val="24"/>
          <w:szCs w:val="24"/>
        </w:rPr>
        <w:lastRenderedPageBreak/>
        <w:t xml:space="preserve">Table </w:t>
      </w:r>
      <w:r w:rsidR="00722B65" w:rsidRPr="00EE4F28">
        <w:rPr>
          <w:noProof/>
          <w:color w:val="auto"/>
          <w:sz w:val="24"/>
          <w:szCs w:val="24"/>
        </w:rPr>
        <w:t>3</w:t>
      </w:r>
      <w:bookmarkEnd w:id="8"/>
      <w:r w:rsidRPr="00EE4F28">
        <w:rPr>
          <w:color w:val="auto"/>
          <w:sz w:val="24"/>
          <w:szCs w:val="24"/>
        </w:rPr>
        <w:t>:</w:t>
      </w:r>
      <w:r w:rsidR="001F310A" w:rsidRPr="00EE4F28">
        <w:rPr>
          <w:rFonts w:cs="Times"/>
          <w:b w:val="0"/>
          <w:color w:val="auto"/>
          <w:sz w:val="24"/>
          <w:szCs w:val="24"/>
          <w:lang w:val="en-US"/>
        </w:rPr>
        <w:t xml:space="preserve"> </w:t>
      </w:r>
      <w:r w:rsidR="001F310A" w:rsidRPr="00EE4F28">
        <w:rPr>
          <w:rFonts w:cs="Times"/>
          <w:color w:val="auto"/>
          <w:sz w:val="24"/>
          <w:szCs w:val="24"/>
          <w:lang w:val="en-US"/>
        </w:rPr>
        <w:t>S</w:t>
      </w:r>
      <w:r w:rsidR="001B5E99" w:rsidRPr="00EE4F28">
        <w:rPr>
          <w:rFonts w:cs="Times"/>
          <w:color w:val="auto"/>
          <w:sz w:val="24"/>
          <w:szCs w:val="24"/>
          <w:lang w:val="en-US"/>
        </w:rPr>
        <w:t xml:space="preserve">erious adverse events </w:t>
      </w:r>
      <w:r w:rsidR="001F310A" w:rsidRPr="00EE4F28">
        <w:rPr>
          <w:rFonts w:cs="Times"/>
          <w:color w:val="auto"/>
          <w:sz w:val="24"/>
          <w:szCs w:val="24"/>
          <w:lang w:val="en-US"/>
        </w:rPr>
        <w:t>by treatment group</w:t>
      </w:r>
      <w:r w:rsidR="001F310A" w:rsidRPr="00EE4F28">
        <w:rPr>
          <w:rFonts w:cs="Times"/>
          <w:b w:val="0"/>
          <w:color w:val="auto"/>
          <w:sz w:val="24"/>
          <w:szCs w:val="24"/>
          <w:lang w:val="en-US"/>
        </w:rPr>
        <w:t xml:space="preserve"> </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2032"/>
        <w:gridCol w:w="1843"/>
        <w:gridCol w:w="1525"/>
      </w:tblGrid>
      <w:tr w:rsidR="001F310A" w:rsidRPr="00EE4F28" w14:paraId="5BAA6D23" w14:textId="77777777" w:rsidTr="005327D7">
        <w:trPr>
          <w:trHeight w:val="300"/>
        </w:trPr>
        <w:tc>
          <w:tcPr>
            <w:tcW w:w="3795" w:type="dxa"/>
            <w:shd w:val="clear" w:color="auto" w:fill="auto"/>
            <w:vAlign w:val="bottom"/>
            <w:hideMark/>
          </w:tcPr>
          <w:p w14:paraId="18B7FBD5"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hideMark/>
          </w:tcPr>
          <w:p w14:paraId="6544EBF9" w14:textId="77777777" w:rsidR="001F310A" w:rsidRPr="00EE4F28" w:rsidRDefault="001F310A" w:rsidP="005327D7">
            <w:pPr>
              <w:spacing w:after="0" w:line="240" w:lineRule="auto"/>
              <w:jc w:val="center"/>
              <w:rPr>
                <w:rFonts w:ascii="Calibri" w:eastAsia="Times New Roman" w:hAnsi="Calibri" w:cs="Times New Roman"/>
                <w:b/>
                <w:color w:val="000000"/>
                <w:lang w:eastAsia="en-GB"/>
              </w:rPr>
            </w:pPr>
            <w:r w:rsidRPr="00EE4F28">
              <w:rPr>
                <w:rFonts w:ascii="Calibri" w:eastAsia="Times New Roman" w:hAnsi="Calibri" w:cs="Times New Roman"/>
                <w:b/>
                <w:color w:val="000000"/>
                <w:lang w:eastAsia="en-GB"/>
              </w:rPr>
              <w:t>Adalimumab</w:t>
            </w:r>
          </w:p>
          <w:p w14:paraId="201DA83E" w14:textId="77777777" w:rsidR="001F310A" w:rsidRPr="00EE4F28" w:rsidRDefault="007008BF" w:rsidP="005327D7">
            <w:pPr>
              <w:spacing w:after="0" w:line="240" w:lineRule="auto"/>
              <w:jc w:val="center"/>
              <w:rPr>
                <w:rFonts w:ascii="Calibri" w:eastAsia="Times New Roman" w:hAnsi="Calibri" w:cs="Times New Roman"/>
                <w:b/>
                <w:color w:val="000000"/>
                <w:vertAlign w:val="superscript"/>
                <w:lang w:eastAsia="en-GB"/>
              </w:rPr>
            </w:pPr>
            <w:r w:rsidRPr="00EE4F28">
              <w:rPr>
                <w:rFonts w:ascii="Calibri" w:eastAsia="Times New Roman" w:hAnsi="Calibri" w:cs="Times New Roman"/>
                <w:b/>
                <w:color w:val="000000"/>
                <w:lang w:eastAsia="en-GB"/>
              </w:rPr>
              <w:t>Events [Patients] (%)</w:t>
            </w:r>
            <w:r w:rsidRPr="00EE4F28">
              <w:rPr>
                <w:rFonts w:ascii="Calibri" w:eastAsia="Times New Roman" w:hAnsi="Calibri" w:cs="Times New Roman"/>
                <w:b/>
                <w:color w:val="000000"/>
                <w:vertAlign w:val="superscript"/>
                <w:lang w:eastAsia="en-GB"/>
              </w:rPr>
              <w:t>*</w:t>
            </w:r>
          </w:p>
        </w:tc>
        <w:tc>
          <w:tcPr>
            <w:tcW w:w="1843" w:type="dxa"/>
            <w:shd w:val="clear" w:color="auto" w:fill="auto"/>
            <w:hideMark/>
          </w:tcPr>
          <w:p w14:paraId="2CCC24DF" w14:textId="77777777" w:rsidR="001F310A" w:rsidRPr="00EE4F28" w:rsidRDefault="001F310A" w:rsidP="005327D7">
            <w:pPr>
              <w:spacing w:after="0" w:line="240" w:lineRule="auto"/>
              <w:jc w:val="center"/>
              <w:rPr>
                <w:rFonts w:ascii="Calibri" w:eastAsia="Times New Roman" w:hAnsi="Calibri" w:cs="Times New Roman"/>
                <w:b/>
                <w:color w:val="000000"/>
                <w:lang w:eastAsia="en-GB"/>
              </w:rPr>
            </w:pPr>
            <w:r w:rsidRPr="00EE4F28">
              <w:rPr>
                <w:rFonts w:ascii="Calibri" w:eastAsia="Times New Roman" w:hAnsi="Calibri" w:cs="Times New Roman"/>
                <w:b/>
                <w:color w:val="000000"/>
                <w:lang w:eastAsia="en-GB"/>
              </w:rPr>
              <w:t>Placebo</w:t>
            </w:r>
          </w:p>
          <w:p w14:paraId="2EAF4A64" w14:textId="77777777" w:rsidR="001F310A" w:rsidRPr="00EE4F28" w:rsidRDefault="007008BF" w:rsidP="005327D7">
            <w:pPr>
              <w:spacing w:after="0" w:line="240" w:lineRule="auto"/>
              <w:jc w:val="center"/>
              <w:rPr>
                <w:rFonts w:ascii="Calibri" w:eastAsia="Times New Roman" w:hAnsi="Calibri" w:cs="Times New Roman"/>
                <w:b/>
                <w:color w:val="000000"/>
                <w:vertAlign w:val="superscript"/>
                <w:lang w:eastAsia="en-GB"/>
              </w:rPr>
            </w:pPr>
            <w:r w:rsidRPr="00EE4F28">
              <w:rPr>
                <w:rFonts w:ascii="Calibri" w:eastAsia="Times New Roman" w:hAnsi="Calibri" w:cs="Times New Roman"/>
                <w:b/>
                <w:color w:val="000000"/>
                <w:lang w:eastAsia="en-GB"/>
              </w:rPr>
              <w:t>Events [Patients] (%)</w:t>
            </w:r>
            <w:r w:rsidRPr="00EE4F28">
              <w:rPr>
                <w:rFonts w:ascii="Calibri" w:eastAsia="Times New Roman" w:hAnsi="Calibri" w:cs="Times New Roman"/>
                <w:b/>
                <w:color w:val="000000"/>
                <w:vertAlign w:val="superscript"/>
                <w:lang w:eastAsia="en-GB"/>
              </w:rPr>
              <w:t>*</w:t>
            </w:r>
          </w:p>
        </w:tc>
        <w:tc>
          <w:tcPr>
            <w:tcW w:w="1525" w:type="dxa"/>
            <w:shd w:val="clear" w:color="auto" w:fill="auto"/>
            <w:hideMark/>
          </w:tcPr>
          <w:p w14:paraId="15C5ADD4" w14:textId="77777777" w:rsidR="001F310A" w:rsidRPr="00EE4F28" w:rsidRDefault="001F310A" w:rsidP="005327D7">
            <w:pPr>
              <w:spacing w:after="0" w:line="240" w:lineRule="auto"/>
              <w:jc w:val="center"/>
              <w:rPr>
                <w:rFonts w:ascii="Calibri" w:eastAsia="Times New Roman" w:hAnsi="Calibri" w:cs="Times New Roman"/>
                <w:b/>
                <w:color w:val="000000"/>
                <w:vertAlign w:val="superscript"/>
                <w:lang w:eastAsia="en-GB"/>
              </w:rPr>
            </w:pPr>
            <w:r w:rsidRPr="00EE4F28">
              <w:rPr>
                <w:rFonts w:ascii="Calibri" w:eastAsia="Times New Roman" w:hAnsi="Calibri" w:cs="Times New Roman"/>
                <w:b/>
                <w:color w:val="000000"/>
                <w:lang w:eastAsia="en-GB"/>
              </w:rPr>
              <w:t>Total</w:t>
            </w:r>
            <w:r w:rsidR="007008BF" w:rsidRPr="00EE4F28">
              <w:rPr>
                <w:rFonts w:ascii="Calibri" w:eastAsia="Times New Roman" w:hAnsi="Calibri" w:cs="Times New Roman"/>
                <w:b/>
                <w:color w:val="000000"/>
                <w:lang w:eastAsia="en-GB"/>
              </w:rPr>
              <w:t xml:space="preserve"> Events [Total Patients] (%)</w:t>
            </w:r>
            <w:r w:rsidR="007008BF" w:rsidRPr="00EE4F28">
              <w:rPr>
                <w:rFonts w:ascii="Calibri" w:eastAsia="Times New Roman" w:hAnsi="Calibri" w:cs="Times New Roman"/>
                <w:b/>
                <w:color w:val="000000"/>
                <w:vertAlign w:val="superscript"/>
                <w:lang w:eastAsia="en-GB"/>
              </w:rPr>
              <w:t>*</w:t>
            </w:r>
          </w:p>
        </w:tc>
      </w:tr>
      <w:tr w:rsidR="001F310A" w:rsidRPr="00EE4F28" w14:paraId="0AEC5F22" w14:textId="77777777" w:rsidTr="005327D7">
        <w:trPr>
          <w:trHeight w:val="300"/>
        </w:trPr>
        <w:tc>
          <w:tcPr>
            <w:tcW w:w="3795" w:type="dxa"/>
            <w:shd w:val="clear" w:color="auto" w:fill="auto"/>
            <w:vAlign w:val="bottom"/>
          </w:tcPr>
          <w:p w14:paraId="3429D0BA"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vAlign w:val="bottom"/>
          </w:tcPr>
          <w:p w14:paraId="43393075"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843" w:type="dxa"/>
            <w:shd w:val="clear" w:color="auto" w:fill="auto"/>
            <w:vAlign w:val="bottom"/>
          </w:tcPr>
          <w:p w14:paraId="0404DDE3"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525" w:type="dxa"/>
            <w:shd w:val="clear" w:color="auto" w:fill="auto"/>
            <w:vAlign w:val="bottom"/>
          </w:tcPr>
          <w:p w14:paraId="49C0F7B9" w14:textId="77777777" w:rsidR="001F310A" w:rsidRPr="00EE4F28" w:rsidRDefault="001F310A" w:rsidP="005327D7">
            <w:pPr>
              <w:spacing w:after="0" w:line="240" w:lineRule="auto"/>
              <w:rPr>
                <w:rFonts w:ascii="Calibri" w:eastAsia="Times New Roman" w:hAnsi="Calibri" w:cs="Times New Roman"/>
                <w:color w:val="000000"/>
                <w:lang w:eastAsia="en-GB"/>
              </w:rPr>
            </w:pPr>
          </w:p>
        </w:tc>
      </w:tr>
      <w:tr w:rsidR="001F310A" w:rsidRPr="00EE4F28" w14:paraId="16AC9CDC" w14:textId="77777777" w:rsidTr="005327D7">
        <w:trPr>
          <w:trHeight w:val="300"/>
        </w:trPr>
        <w:tc>
          <w:tcPr>
            <w:tcW w:w="3795" w:type="dxa"/>
            <w:shd w:val="clear" w:color="auto" w:fill="auto"/>
            <w:vAlign w:val="bottom"/>
            <w:hideMark/>
          </w:tcPr>
          <w:p w14:paraId="290A568C" w14:textId="1FF11D8F"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Eye disorders</w:t>
            </w:r>
            <w:r w:rsidR="007D185F">
              <w:rPr>
                <w:rFonts w:ascii="Calibri" w:eastAsia="Times New Roman" w:hAnsi="Calibri" w:cs="Times New Roman"/>
                <w:color w:val="000000"/>
                <w:lang w:eastAsia="en-GB"/>
              </w:rPr>
              <w:t xml:space="preserve"> **</w:t>
            </w:r>
          </w:p>
        </w:tc>
        <w:tc>
          <w:tcPr>
            <w:tcW w:w="2032" w:type="dxa"/>
            <w:shd w:val="clear" w:color="auto" w:fill="auto"/>
            <w:vAlign w:val="bottom"/>
            <w:hideMark/>
          </w:tcPr>
          <w:p w14:paraId="0CA6FF5F"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1</w:t>
            </w:r>
            <w:r w:rsidR="007008BF" w:rsidRPr="00EE4F28">
              <w:rPr>
                <w:rFonts w:ascii="Calibri" w:eastAsia="Times New Roman" w:hAnsi="Calibri" w:cs="Times New Roman"/>
                <w:color w:val="000000"/>
                <w:lang w:eastAsia="en-GB"/>
              </w:rPr>
              <w:t>[1] (2</w:t>
            </w:r>
            <w:r w:rsidRPr="00EE4F28">
              <w:rPr>
                <w:rFonts w:ascii="Calibri" w:eastAsia="Times New Roman" w:hAnsi="Calibri" w:cs="Times New Roman"/>
                <w:color w:val="000000"/>
                <w:lang w:eastAsia="en-GB"/>
              </w:rPr>
              <w:t>%)</w:t>
            </w:r>
          </w:p>
        </w:tc>
        <w:tc>
          <w:tcPr>
            <w:tcW w:w="1843" w:type="dxa"/>
            <w:shd w:val="clear" w:color="auto" w:fill="auto"/>
            <w:vAlign w:val="bottom"/>
            <w:hideMark/>
          </w:tcPr>
          <w:p w14:paraId="7D9F9010" w14:textId="77777777" w:rsidR="001F310A" w:rsidRPr="00EE4F28" w:rsidRDefault="007008BF"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3[2] (7</w:t>
            </w:r>
            <w:r w:rsidR="001F310A" w:rsidRPr="00EE4F28">
              <w:rPr>
                <w:rFonts w:ascii="Calibri" w:eastAsia="Times New Roman" w:hAnsi="Calibri" w:cs="Times New Roman"/>
                <w:color w:val="000000"/>
                <w:lang w:eastAsia="en-GB"/>
              </w:rPr>
              <w:t>%)</w:t>
            </w:r>
          </w:p>
        </w:tc>
        <w:tc>
          <w:tcPr>
            <w:tcW w:w="1525" w:type="dxa"/>
            <w:shd w:val="clear" w:color="auto" w:fill="auto"/>
            <w:vAlign w:val="bottom"/>
            <w:hideMark/>
          </w:tcPr>
          <w:p w14:paraId="6D66AAA0" w14:textId="77777777" w:rsidR="001F310A" w:rsidRPr="00EE4F28" w:rsidRDefault="007008BF"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4[3] (3</w:t>
            </w:r>
            <w:r w:rsidR="001F310A" w:rsidRPr="00EE4F28">
              <w:rPr>
                <w:rFonts w:ascii="Calibri" w:eastAsia="Times New Roman" w:hAnsi="Calibri" w:cs="Times New Roman"/>
                <w:color w:val="000000"/>
                <w:lang w:eastAsia="en-GB"/>
              </w:rPr>
              <w:t>%)</w:t>
            </w:r>
          </w:p>
        </w:tc>
      </w:tr>
      <w:tr w:rsidR="001F310A" w:rsidRPr="00EE4F28" w14:paraId="2613E538" w14:textId="77777777" w:rsidTr="005327D7">
        <w:trPr>
          <w:trHeight w:val="300"/>
        </w:trPr>
        <w:tc>
          <w:tcPr>
            <w:tcW w:w="3795" w:type="dxa"/>
            <w:shd w:val="clear" w:color="auto" w:fill="auto"/>
            <w:vAlign w:val="bottom"/>
          </w:tcPr>
          <w:p w14:paraId="770A6A94"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vAlign w:val="bottom"/>
          </w:tcPr>
          <w:p w14:paraId="65A7949E"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843" w:type="dxa"/>
            <w:shd w:val="clear" w:color="auto" w:fill="auto"/>
            <w:vAlign w:val="bottom"/>
          </w:tcPr>
          <w:p w14:paraId="68FD5E1E"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525" w:type="dxa"/>
            <w:shd w:val="clear" w:color="auto" w:fill="auto"/>
            <w:vAlign w:val="bottom"/>
          </w:tcPr>
          <w:p w14:paraId="5B10943E" w14:textId="77777777" w:rsidR="001F310A" w:rsidRPr="00EE4F28" w:rsidRDefault="001F310A" w:rsidP="005327D7">
            <w:pPr>
              <w:spacing w:after="0" w:line="240" w:lineRule="auto"/>
              <w:rPr>
                <w:rFonts w:ascii="Calibri" w:eastAsia="Times New Roman" w:hAnsi="Calibri" w:cs="Times New Roman"/>
                <w:color w:val="000000"/>
                <w:lang w:eastAsia="en-GB"/>
              </w:rPr>
            </w:pPr>
          </w:p>
        </w:tc>
      </w:tr>
      <w:tr w:rsidR="001F310A" w:rsidRPr="00EE4F28" w14:paraId="67DD651B" w14:textId="77777777" w:rsidTr="005327D7">
        <w:trPr>
          <w:trHeight w:val="300"/>
        </w:trPr>
        <w:tc>
          <w:tcPr>
            <w:tcW w:w="3795" w:type="dxa"/>
            <w:shd w:val="clear" w:color="auto" w:fill="auto"/>
            <w:vAlign w:val="bottom"/>
            <w:hideMark/>
          </w:tcPr>
          <w:p w14:paraId="644D4EE3"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Gastrointestinal disorders</w:t>
            </w:r>
          </w:p>
        </w:tc>
        <w:tc>
          <w:tcPr>
            <w:tcW w:w="2032" w:type="dxa"/>
            <w:shd w:val="clear" w:color="auto" w:fill="auto"/>
            <w:vAlign w:val="bottom"/>
            <w:hideMark/>
          </w:tcPr>
          <w:p w14:paraId="04D8477D"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2[2] (3</w:t>
            </w:r>
            <w:r w:rsidR="001F310A" w:rsidRPr="00EE4F28">
              <w:rPr>
                <w:rFonts w:ascii="Calibri" w:eastAsia="Times New Roman" w:hAnsi="Calibri" w:cs="Times New Roman"/>
                <w:color w:val="000000"/>
                <w:lang w:eastAsia="en-GB"/>
              </w:rPr>
              <w:t>%)</w:t>
            </w:r>
          </w:p>
        </w:tc>
        <w:tc>
          <w:tcPr>
            <w:tcW w:w="1843" w:type="dxa"/>
            <w:shd w:val="clear" w:color="auto" w:fill="auto"/>
            <w:vAlign w:val="bottom"/>
            <w:hideMark/>
          </w:tcPr>
          <w:p w14:paraId="783B44E6"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0[0] (0%)</w:t>
            </w:r>
          </w:p>
        </w:tc>
        <w:tc>
          <w:tcPr>
            <w:tcW w:w="1525" w:type="dxa"/>
            <w:shd w:val="clear" w:color="auto" w:fill="auto"/>
            <w:vAlign w:val="bottom"/>
            <w:hideMark/>
          </w:tcPr>
          <w:p w14:paraId="14CF1821"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2[2] (2</w:t>
            </w:r>
            <w:r w:rsidR="001F310A" w:rsidRPr="00EE4F28">
              <w:rPr>
                <w:rFonts w:ascii="Calibri" w:eastAsia="Times New Roman" w:hAnsi="Calibri" w:cs="Times New Roman"/>
                <w:color w:val="000000"/>
                <w:lang w:eastAsia="en-GB"/>
              </w:rPr>
              <w:t>%)</w:t>
            </w:r>
          </w:p>
        </w:tc>
      </w:tr>
      <w:tr w:rsidR="001F310A" w:rsidRPr="00EE4F28" w14:paraId="2C8F88A2" w14:textId="77777777" w:rsidTr="005327D7">
        <w:trPr>
          <w:trHeight w:val="300"/>
        </w:trPr>
        <w:tc>
          <w:tcPr>
            <w:tcW w:w="3795" w:type="dxa"/>
            <w:shd w:val="clear" w:color="auto" w:fill="auto"/>
            <w:vAlign w:val="bottom"/>
          </w:tcPr>
          <w:p w14:paraId="337CA2B6"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vAlign w:val="bottom"/>
          </w:tcPr>
          <w:p w14:paraId="4F7AFB28"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843" w:type="dxa"/>
            <w:shd w:val="clear" w:color="auto" w:fill="auto"/>
            <w:vAlign w:val="bottom"/>
          </w:tcPr>
          <w:p w14:paraId="3C01FB9B"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525" w:type="dxa"/>
            <w:shd w:val="clear" w:color="auto" w:fill="auto"/>
            <w:vAlign w:val="bottom"/>
          </w:tcPr>
          <w:p w14:paraId="331E4D7D" w14:textId="77777777" w:rsidR="001F310A" w:rsidRPr="00EE4F28" w:rsidRDefault="001F310A" w:rsidP="005327D7">
            <w:pPr>
              <w:spacing w:after="0" w:line="240" w:lineRule="auto"/>
              <w:rPr>
                <w:rFonts w:ascii="Calibri" w:eastAsia="Times New Roman" w:hAnsi="Calibri" w:cs="Times New Roman"/>
                <w:color w:val="000000"/>
                <w:lang w:eastAsia="en-GB"/>
              </w:rPr>
            </w:pPr>
          </w:p>
        </w:tc>
      </w:tr>
      <w:tr w:rsidR="001F310A" w:rsidRPr="00EE4F28" w14:paraId="44440C46" w14:textId="77777777" w:rsidTr="005327D7">
        <w:trPr>
          <w:trHeight w:val="300"/>
        </w:trPr>
        <w:tc>
          <w:tcPr>
            <w:tcW w:w="3795" w:type="dxa"/>
            <w:shd w:val="clear" w:color="auto" w:fill="auto"/>
            <w:vAlign w:val="bottom"/>
            <w:hideMark/>
          </w:tcPr>
          <w:p w14:paraId="197968A0"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Infections and infestations</w:t>
            </w:r>
          </w:p>
        </w:tc>
        <w:tc>
          <w:tcPr>
            <w:tcW w:w="2032" w:type="dxa"/>
            <w:shd w:val="clear" w:color="auto" w:fill="auto"/>
            <w:vAlign w:val="bottom"/>
            <w:hideMark/>
          </w:tcPr>
          <w:p w14:paraId="61AF7753"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10[8] (13</w:t>
            </w:r>
            <w:r w:rsidR="001F310A" w:rsidRPr="00EE4F28">
              <w:rPr>
                <w:rFonts w:ascii="Calibri" w:eastAsia="Times New Roman" w:hAnsi="Calibri" w:cs="Times New Roman"/>
                <w:color w:val="000000"/>
                <w:lang w:eastAsia="en-GB"/>
              </w:rPr>
              <w:t>%)</w:t>
            </w:r>
          </w:p>
        </w:tc>
        <w:tc>
          <w:tcPr>
            <w:tcW w:w="1843" w:type="dxa"/>
            <w:shd w:val="clear" w:color="auto" w:fill="auto"/>
            <w:vAlign w:val="bottom"/>
            <w:hideMark/>
          </w:tcPr>
          <w:p w14:paraId="238183A5"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0[0] (0%)</w:t>
            </w:r>
          </w:p>
        </w:tc>
        <w:tc>
          <w:tcPr>
            <w:tcW w:w="1525" w:type="dxa"/>
            <w:shd w:val="clear" w:color="auto" w:fill="auto"/>
            <w:vAlign w:val="bottom"/>
            <w:hideMark/>
          </w:tcPr>
          <w:p w14:paraId="3AA41846"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10[8] (9</w:t>
            </w:r>
            <w:r w:rsidR="001F310A" w:rsidRPr="00EE4F28">
              <w:rPr>
                <w:rFonts w:ascii="Calibri" w:eastAsia="Times New Roman" w:hAnsi="Calibri" w:cs="Times New Roman"/>
                <w:color w:val="000000"/>
                <w:lang w:eastAsia="en-GB"/>
              </w:rPr>
              <w:t>%)</w:t>
            </w:r>
          </w:p>
        </w:tc>
      </w:tr>
      <w:tr w:rsidR="001F310A" w:rsidRPr="00EE4F28" w14:paraId="23398BC7" w14:textId="77777777" w:rsidTr="005327D7">
        <w:trPr>
          <w:trHeight w:val="300"/>
        </w:trPr>
        <w:tc>
          <w:tcPr>
            <w:tcW w:w="3795" w:type="dxa"/>
            <w:shd w:val="clear" w:color="auto" w:fill="auto"/>
            <w:vAlign w:val="bottom"/>
          </w:tcPr>
          <w:p w14:paraId="0197A0EA"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vAlign w:val="bottom"/>
          </w:tcPr>
          <w:p w14:paraId="3104EF6D"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843" w:type="dxa"/>
            <w:shd w:val="clear" w:color="auto" w:fill="auto"/>
            <w:vAlign w:val="bottom"/>
          </w:tcPr>
          <w:p w14:paraId="2561E7D7"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525" w:type="dxa"/>
            <w:shd w:val="clear" w:color="auto" w:fill="auto"/>
            <w:vAlign w:val="bottom"/>
          </w:tcPr>
          <w:p w14:paraId="3807EDC6" w14:textId="77777777" w:rsidR="001F310A" w:rsidRPr="00EE4F28" w:rsidRDefault="001F310A" w:rsidP="005327D7">
            <w:pPr>
              <w:spacing w:after="0" w:line="240" w:lineRule="auto"/>
              <w:rPr>
                <w:rFonts w:ascii="Calibri" w:eastAsia="Times New Roman" w:hAnsi="Calibri" w:cs="Times New Roman"/>
                <w:color w:val="000000"/>
                <w:lang w:eastAsia="en-GB"/>
              </w:rPr>
            </w:pPr>
          </w:p>
        </w:tc>
      </w:tr>
      <w:tr w:rsidR="001F310A" w:rsidRPr="00EE4F28" w14:paraId="72E55ACE" w14:textId="77777777" w:rsidTr="005327D7">
        <w:trPr>
          <w:trHeight w:val="300"/>
        </w:trPr>
        <w:tc>
          <w:tcPr>
            <w:tcW w:w="3795" w:type="dxa"/>
            <w:shd w:val="clear" w:color="auto" w:fill="auto"/>
            <w:vAlign w:val="bottom"/>
            <w:hideMark/>
          </w:tcPr>
          <w:p w14:paraId="71B40DFB"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Nervous system disorders</w:t>
            </w:r>
          </w:p>
        </w:tc>
        <w:tc>
          <w:tcPr>
            <w:tcW w:w="2032" w:type="dxa"/>
            <w:shd w:val="clear" w:color="auto" w:fill="auto"/>
            <w:vAlign w:val="bottom"/>
            <w:hideMark/>
          </w:tcPr>
          <w:p w14:paraId="23895B55"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1[1] (2</w:t>
            </w:r>
            <w:r w:rsidR="001F310A" w:rsidRPr="00EE4F28">
              <w:rPr>
                <w:rFonts w:ascii="Calibri" w:eastAsia="Times New Roman" w:hAnsi="Calibri" w:cs="Times New Roman"/>
                <w:color w:val="000000"/>
                <w:lang w:eastAsia="en-GB"/>
              </w:rPr>
              <w:t>%)</w:t>
            </w:r>
          </w:p>
        </w:tc>
        <w:tc>
          <w:tcPr>
            <w:tcW w:w="1843" w:type="dxa"/>
            <w:shd w:val="clear" w:color="auto" w:fill="auto"/>
            <w:vAlign w:val="bottom"/>
            <w:hideMark/>
          </w:tcPr>
          <w:p w14:paraId="67819D2D"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0[0] (0%)</w:t>
            </w:r>
          </w:p>
        </w:tc>
        <w:tc>
          <w:tcPr>
            <w:tcW w:w="1525" w:type="dxa"/>
            <w:shd w:val="clear" w:color="auto" w:fill="auto"/>
            <w:vAlign w:val="bottom"/>
            <w:hideMark/>
          </w:tcPr>
          <w:p w14:paraId="7277A442"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1[1]</w:t>
            </w:r>
            <w:r w:rsidR="00252F82" w:rsidRPr="00EE4F28">
              <w:rPr>
                <w:rFonts w:ascii="Calibri" w:eastAsia="Times New Roman" w:hAnsi="Calibri" w:cs="Times New Roman"/>
                <w:color w:val="000000"/>
                <w:lang w:eastAsia="en-GB"/>
              </w:rPr>
              <w:t xml:space="preserve"> (1</w:t>
            </w:r>
            <w:r w:rsidRPr="00EE4F28">
              <w:rPr>
                <w:rFonts w:ascii="Calibri" w:eastAsia="Times New Roman" w:hAnsi="Calibri" w:cs="Times New Roman"/>
                <w:color w:val="000000"/>
                <w:lang w:eastAsia="en-GB"/>
              </w:rPr>
              <w:t>%)</w:t>
            </w:r>
          </w:p>
        </w:tc>
      </w:tr>
      <w:tr w:rsidR="001F310A" w:rsidRPr="00EE4F28" w14:paraId="4AA8B3EA" w14:textId="77777777" w:rsidTr="005327D7">
        <w:trPr>
          <w:trHeight w:val="300"/>
        </w:trPr>
        <w:tc>
          <w:tcPr>
            <w:tcW w:w="3795" w:type="dxa"/>
            <w:shd w:val="clear" w:color="auto" w:fill="auto"/>
            <w:vAlign w:val="bottom"/>
          </w:tcPr>
          <w:p w14:paraId="63D98127"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vAlign w:val="bottom"/>
          </w:tcPr>
          <w:p w14:paraId="2A3C99CC"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843" w:type="dxa"/>
            <w:shd w:val="clear" w:color="auto" w:fill="auto"/>
            <w:vAlign w:val="bottom"/>
          </w:tcPr>
          <w:p w14:paraId="71E4FEC6"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525" w:type="dxa"/>
            <w:shd w:val="clear" w:color="auto" w:fill="auto"/>
            <w:vAlign w:val="bottom"/>
          </w:tcPr>
          <w:p w14:paraId="790EDFB2" w14:textId="77777777" w:rsidR="001F310A" w:rsidRPr="00EE4F28" w:rsidRDefault="001F310A" w:rsidP="005327D7">
            <w:pPr>
              <w:spacing w:after="0" w:line="240" w:lineRule="auto"/>
              <w:rPr>
                <w:rFonts w:ascii="Calibri" w:eastAsia="Times New Roman" w:hAnsi="Calibri" w:cs="Times New Roman"/>
                <w:color w:val="000000"/>
                <w:lang w:eastAsia="en-GB"/>
              </w:rPr>
            </w:pPr>
          </w:p>
        </w:tc>
      </w:tr>
      <w:tr w:rsidR="001F310A" w:rsidRPr="00EE4F28" w14:paraId="0FC4C1D9" w14:textId="77777777" w:rsidTr="005327D7">
        <w:trPr>
          <w:trHeight w:val="300"/>
        </w:trPr>
        <w:tc>
          <w:tcPr>
            <w:tcW w:w="3795" w:type="dxa"/>
            <w:shd w:val="clear" w:color="auto" w:fill="auto"/>
            <w:vAlign w:val="bottom"/>
            <w:hideMark/>
          </w:tcPr>
          <w:p w14:paraId="450AE269"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Respiratory, thoracic and mediastinal disorders</w:t>
            </w:r>
          </w:p>
        </w:tc>
        <w:tc>
          <w:tcPr>
            <w:tcW w:w="2032" w:type="dxa"/>
            <w:shd w:val="clear" w:color="auto" w:fill="auto"/>
            <w:vAlign w:val="bottom"/>
            <w:hideMark/>
          </w:tcPr>
          <w:p w14:paraId="4D9CBE25"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1[1] (2</w:t>
            </w:r>
            <w:r w:rsidR="001F310A" w:rsidRPr="00EE4F28">
              <w:rPr>
                <w:rFonts w:ascii="Calibri" w:eastAsia="Times New Roman" w:hAnsi="Calibri" w:cs="Times New Roman"/>
                <w:color w:val="000000"/>
                <w:lang w:eastAsia="en-GB"/>
              </w:rPr>
              <w:t>%)</w:t>
            </w:r>
          </w:p>
        </w:tc>
        <w:tc>
          <w:tcPr>
            <w:tcW w:w="1843" w:type="dxa"/>
            <w:shd w:val="clear" w:color="auto" w:fill="auto"/>
            <w:vAlign w:val="bottom"/>
            <w:hideMark/>
          </w:tcPr>
          <w:p w14:paraId="11376FC8"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0[0] (0%)</w:t>
            </w:r>
          </w:p>
        </w:tc>
        <w:tc>
          <w:tcPr>
            <w:tcW w:w="1525" w:type="dxa"/>
            <w:shd w:val="clear" w:color="auto" w:fill="auto"/>
            <w:vAlign w:val="bottom"/>
            <w:hideMark/>
          </w:tcPr>
          <w:p w14:paraId="16C7F312"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1[1] (1</w:t>
            </w:r>
            <w:r w:rsidR="001F310A" w:rsidRPr="00EE4F28">
              <w:rPr>
                <w:rFonts w:ascii="Calibri" w:eastAsia="Times New Roman" w:hAnsi="Calibri" w:cs="Times New Roman"/>
                <w:color w:val="000000"/>
                <w:lang w:eastAsia="en-GB"/>
              </w:rPr>
              <w:t>%)</w:t>
            </w:r>
          </w:p>
        </w:tc>
      </w:tr>
      <w:tr w:rsidR="001F310A" w:rsidRPr="00EE4F28" w14:paraId="2143B9B3" w14:textId="77777777" w:rsidTr="005327D7">
        <w:trPr>
          <w:trHeight w:val="300"/>
        </w:trPr>
        <w:tc>
          <w:tcPr>
            <w:tcW w:w="3795" w:type="dxa"/>
            <w:shd w:val="clear" w:color="auto" w:fill="auto"/>
            <w:vAlign w:val="bottom"/>
          </w:tcPr>
          <w:p w14:paraId="0A4D602D"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vAlign w:val="bottom"/>
          </w:tcPr>
          <w:p w14:paraId="556F569E"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843" w:type="dxa"/>
            <w:shd w:val="clear" w:color="auto" w:fill="auto"/>
            <w:vAlign w:val="bottom"/>
          </w:tcPr>
          <w:p w14:paraId="2B5AD50D"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525" w:type="dxa"/>
            <w:shd w:val="clear" w:color="auto" w:fill="auto"/>
            <w:vAlign w:val="bottom"/>
          </w:tcPr>
          <w:p w14:paraId="56AC0B8B" w14:textId="77777777" w:rsidR="001F310A" w:rsidRPr="00EE4F28" w:rsidRDefault="001F310A" w:rsidP="005327D7">
            <w:pPr>
              <w:spacing w:after="0" w:line="240" w:lineRule="auto"/>
              <w:rPr>
                <w:rFonts w:ascii="Calibri" w:eastAsia="Times New Roman" w:hAnsi="Calibri" w:cs="Times New Roman"/>
                <w:color w:val="000000"/>
                <w:lang w:eastAsia="en-GB"/>
              </w:rPr>
            </w:pPr>
          </w:p>
        </w:tc>
      </w:tr>
      <w:tr w:rsidR="001F310A" w:rsidRPr="00EE4F28" w14:paraId="2CAE950F" w14:textId="77777777" w:rsidTr="005327D7">
        <w:trPr>
          <w:trHeight w:val="300"/>
        </w:trPr>
        <w:tc>
          <w:tcPr>
            <w:tcW w:w="3795" w:type="dxa"/>
            <w:shd w:val="clear" w:color="auto" w:fill="auto"/>
            <w:vAlign w:val="bottom"/>
            <w:hideMark/>
          </w:tcPr>
          <w:p w14:paraId="3E37D893"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Surgical and medical procedures</w:t>
            </w:r>
          </w:p>
        </w:tc>
        <w:tc>
          <w:tcPr>
            <w:tcW w:w="2032" w:type="dxa"/>
            <w:shd w:val="clear" w:color="auto" w:fill="auto"/>
            <w:vAlign w:val="bottom"/>
            <w:hideMark/>
          </w:tcPr>
          <w:p w14:paraId="7F7C635A"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2[2] (3</w:t>
            </w:r>
            <w:r w:rsidR="001F310A" w:rsidRPr="00EE4F28">
              <w:rPr>
                <w:rFonts w:ascii="Calibri" w:eastAsia="Times New Roman" w:hAnsi="Calibri" w:cs="Times New Roman"/>
                <w:color w:val="000000"/>
                <w:lang w:eastAsia="en-GB"/>
              </w:rPr>
              <w:t>%)</w:t>
            </w:r>
          </w:p>
        </w:tc>
        <w:tc>
          <w:tcPr>
            <w:tcW w:w="1843" w:type="dxa"/>
            <w:shd w:val="clear" w:color="auto" w:fill="auto"/>
            <w:vAlign w:val="bottom"/>
            <w:hideMark/>
          </w:tcPr>
          <w:p w14:paraId="61FC7FBC"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0[0] (0%)</w:t>
            </w:r>
          </w:p>
        </w:tc>
        <w:tc>
          <w:tcPr>
            <w:tcW w:w="1525" w:type="dxa"/>
            <w:shd w:val="clear" w:color="auto" w:fill="auto"/>
            <w:vAlign w:val="bottom"/>
            <w:hideMark/>
          </w:tcPr>
          <w:p w14:paraId="2EBD3BDF"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2[2] (2</w:t>
            </w:r>
            <w:r w:rsidR="001F310A" w:rsidRPr="00EE4F28">
              <w:rPr>
                <w:rFonts w:ascii="Calibri" w:eastAsia="Times New Roman" w:hAnsi="Calibri" w:cs="Times New Roman"/>
                <w:color w:val="000000"/>
                <w:lang w:eastAsia="en-GB"/>
              </w:rPr>
              <w:t>%)</w:t>
            </w:r>
          </w:p>
        </w:tc>
      </w:tr>
      <w:tr w:rsidR="001F310A" w:rsidRPr="00EE4F28" w14:paraId="632B2347" w14:textId="77777777" w:rsidTr="005327D7">
        <w:trPr>
          <w:trHeight w:val="300"/>
        </w:trPr>
        <w:tc>
          <w:tcPr>
            <w:tcW w:w="3795" w:type="dxa"/>
            <w:shd w:val="clear" w:color="auto" w:fill="auto"/>
            <w:vAlign w:val="bottom"/>
          </w:tcPr>
          <w:p w14:paraId="40991905"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vAlign w:val="bottom"/>
          </w:tcPr>
          <w:p w14:paraId="4C61B3FA"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843" w:type="dxa"/>
            <w:shd w:val="clear" w:color="auto" w:fill="auto"/>
            <w:vAlign w:val="bottom"/>
          </w:tcPr>
          <w:p w14:paraId="5B424B85"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525" w:type="dxa"/>
            <w:shd w:val="clear" w:color="auto" w:fill="auto"/>
            <w:vAlign w:val="bottom"/>
          </w:tcPr>
          <w:p w14:paraId="19581505" w14:textId="77777777" w:rsidR="001F310A" w:rsidRPr="00EE4F28" w:rsidRDefault="001F310A" w:rsidP="005327D7">
            <w:pPr>
              <w:spacing w:after="0" w:line="240" w:lineRule="auto"/>
              <w:rPr>
                <w:rFonts w:ascii="Calibri" w:eastAsia="Times New Roman" w:hAnsi="Calibri" w:cs="Times New Roman"/>
                <w:color w:val="000000"/>
                <w:lang w:eastAsia="en-GB"/>
              </w:rPr>
            </w:pPr>
          </w:p>
        </w:tc>
      </w:tr>
      <w:tr w:rsidR="001F310A" w:rsidRPr="00EE4F28" w14:paraId="350317BA" w14:textId="77777777" w:rsidTr="005327D7">
        <w:trPr>
          <w:trHeight w:val="300"/>
        </w:trPr>
        <w:tc>
          <w:tcPr>
            <w:tcW w:w="3795" w:type="dxa"/>
            <w:shd w:val="clear" w:color="auto" w:fill="auto"/>
            <w:vAlign w:val="bottom"/>
            <w:hideMark/>
          </w:tcPr>
          <w:p w14:paraId="08F5390E" w14:textId="77777777" w:rsidR="001F310A" w:rsidRPr="00EE4F28" w:rsidRDefault="001F310A"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Total</w:t>
            </w:r>
          </w:p>
        </w:tc>
        <w:tc>
          <w:tcPr>
            <w:tcW w:w="2032" w:type="dxa"/>
            <w:shd w:val="clear" w:color="auto" w:fill="auto"/>
            <w:vAlign w:val="bottom"/>
            <w:hideMark/>
          </w:tcPr>
          <w:p w14:paraId="429A94E5"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17[13] (22</w:t>
            </w:r>
            <w:r w:rsidR="001F310A" w:rsidRPr="00EE4F28">
              <w:rPr>
                <w:rFonts w:ascii="Calibri" w:eastAsia="Times New Roman" w:hAnsi="Calibri" w:cs="Times New Roman"/>
                <w:color w:val="000000"/>
                <w:lang w:eastAsia="en-GB"/>
              </w:rPr>
              <w:t>%)</w:t>
            </w:r>
          </w:p>
        </w:tc>
        <w:tc>
          <w:tcPr>
            <w:tcW w:w="1843" w:type="dxa"/>
            <w:shd w:val="clear" w:color="auto" w:fill="auto"/>
            <w:vAlign w:val="bottom"/>
            <w:hideMark/>
          </w:tcPr>
          <w:p w14:paraId="3F4EE19E"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3[2] (7</w:t>
            </w:r>
            <w:r w:rsidR="001F310A" w:rsidRPr="00EE4F28">
              <w:rPr>
                <w:rFonts w:ascii="Calibri" w:eastAsia="Times New Roman" w:hAnsi="Calibri" w:cs="Times New Roman"/>
                <w:color w:val="000000"/>
                <w:lang w:eastAsia="en-GB"/>
              </w:rPr>
              <w:t>%)</w:t>
            </w:r>
          </w:p>
        </w:tc>
        <w:tc>
          <w:tcPr>
            <w:tcW w:w="1525" w:type="dxa"/>
            <w:shd w:val="clear" w:color="auto" w:fill="auto"/>
            <w:vAlign w:val="bottom"/>
            <w:hideMark/>
          </w:tcPr>
          <w:p w14:paraId="50324EBA" w14:textId="77777777" w:rsidR="001F310A" w:rsidRPr="00EE4F28" w:rsidRDefault="00252F82" w:rsidP="005327D7">
            <w:pPr>
              <w:spacing w:after="0" w:line="240" w:lineRule="auto"/>
              <w:rPr>
                <w:rFonts w:ascii="Calibri" w:eastAsia="Times New Roman" w:hAnsi="Calibri" w:cs="Times New Roman"/>
                <w:color w:val="000000"/>
                <w:lang w:eastAsia="en-GB"/>
              </w:rPr>
            </w:pPr>
            <w:r w:rsidRPr="00EE4F28">
              <w:rPr>
                <w:rFonts w:ascii="Calibri" w:eastAsia="Times New Roman" w:hAnsi="Calibri" w:cs="Times New Roman"/>
                <w:color w:val="000000"/>
                <w:lang w:eastAsia="en-GB"/>
              </w:rPr>
              <w:t>20[15] (17</w:t>
            </w:r>
            <w:r w:rsidR="001F310A" w:rsidRPr="00EE4F28">
              <w:rPr>
                <w:rFonts w:ascii="Calibri" w:eastAsia="Times New Roman" w:hAnsi="Calibri" w:cs="Times New Roman"/>
                <w:color w:val="000000"/>
                <w:lang w:eastAsia="en-GB"/>
              </w:rPr>
              <w:t>%)</w:t>
            </w:r>
          </w:p>
        </w:tc>
      </w:tr>
      <w:tr w:rsidR="001F310A" w:rsidRPr="00EE4F28" w14:paraId="373757D4" w14:textId="77777777" w:rsidTr="005327D7">
        <w:trPr>
          <w:trHeight w:val="300"/>
        </w:trPr>
        <w:tc>
          <w:tcPr>
            <w:tcW w:w="3795" w:type="dxa"/>
            <w:shd w:val="clear" w:color="auto" w:fill="auto"/>
            <w:vAlign w:val="bottom"/>
          </w:tcPr>
          <w:p w14:paraId="52B21276"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2032" w:type="dxa"/>
            <w:shd w:val="clear" w:color="auto" w:fill="auto"/>
            <w:vAlign w:val="bottom"/>
          </w:tcPr>
          <w:p w14:paraId="147B152F"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843" w:type="dxa"/>
            <w:shd w:val="clear" w:color="auto" w:fill="auto"/>
            <w:vAlign w:val="bottom"/>
          </w:tcPr>
          <w:p w14:paraId="50E85728" w14:textId="77777777" w:rsidR="001F310A" w:rsidRPr="00EE4F28" w:rsidRDefault="001F310A" w:rsidP="005327D7">
            <w:pPr>
              <w:spacing w:after="0" w:line="240" w:lineRule="auto"/>
              <w:rPr>
                <w:rFonts w:ascii="Calibri" w:eastAsia="Times New Roman" w:hAnsi="Calibri" w:cs="Times New Roman"/>
                <w:color w:val="000000"/>
                <w:lang w:eastAsia="en-GB"/>
              </w:rPr>
            </w:pPr>
          </w:p>
        </w:tc>
        <w:tc>
          <w:tcPr>
            <w:tcW w:w="1525" w:type="dxa"/>
            <w:shd w:val="clear" w:color="auto" w:fill="auto"/>
            <w:vAlign w:val="bottom"/>
          </w:tcPr>
          <w:p w14:paraId="7C648460" w14:textId="77777777" w:rsidR="001F310A" w:rsidRPr="00EE4F28" w:rsidRDefault="001F310A" w:rsidP="005327D7">
            <w:pPr>
              <w:spacing w:after="0" w:line="240" w:lineRule="auto"/>
              <w:rPr>
                <w:rFonts w:ascii="Calibri" w:eastAsia="Times New Roman" w:hAnsi="Calibri" w:cs="Times New Roman"/>
                <w:color w:val="000000"/>
                <w:lang w:eastAsia="en-GB"/>
              </w:rPr>
            </w:pPr>
          </w:p>
        </w:tc>
      </w:tr>
    </w:tbl>
    <w:p w14:paraId="042DB9BB" w14:textId="77777777" w:rsidR="005327D7" w:rsidRDefault="005327D7" w:rsidP="005327D7">
      <w:pPr>
        <w:pStyle w:val="NoSpacing"/>
        <w:rPr>
          <w:lang w:val="en-US"/>
        </w:rPr>
      </w:pPr>
    </w:p>
    <w:p w14:paraId="61312AB8" w14:textId="77777777" w:rsidR="001F310A" w:rsidRPr="005327D7" w:rsidRDefault="007008BF" w:rsidP="007008BF">
      <w:pPr>
        <w:spacing w:line="480" w:lineRule="auto"/>
        <w:rPr>
          <w:rFonts w:cs="Times"/>
          <w:szCs w:val="24"/>
          <w:lang w:val="en-US"/>
        </w:rPr>
      </w:pPr>
      <w:r w:rsidRPr="005327D7">
        <w:rPr>
          <w:rFonts w:cs="Times"/>
          <w:szCs w:val="24"/>
          <w:lang w:val="en-US"/>
        </w:rPr>
        <w:t xml:space="preserve">* Percentage calculated by dividing by the total number </w:t>
      </w:r>
      <w:r w:rsidR="0086397C" w:rsidRPr="005327D7">
        <w:rPr>
          <w:rFonts w:cs="Times"/>
          <w:szCs w:val="24"/>
          <w:lang w:val="en-US"/>
        </w:rPr>
        <w:t xml:space="preserve">of patients </w:t>
      </w:r>
      <w:r w:rsidRPr="005327D7">
        <w:rPr>
          <w:rFonts w:cs="Times"/>
          <w:szCs w:val="24"/>
          <w:lang w:val="en-US"/>
        </w:rPr>
        <w:t>within group</w:t>
      </w:r>
    </w:p>
    <w:p w14:paraId="0007B0B9" w14:textId="54884B3F" w:rsidR="007D185F" w:rsidRPr="005327D7" w:rsidRDefault="007D185F" w:rsidP="007008BF">
      <w:pPr>
        <w:spacing w:line="480" w:lineRule="auto"/>
        <w:rPr>
          <w:rFonts w:cs="Times"/>
          <w:szCs w:val="24"/>
          <w:lang w:val="en-US"/>
        </w:rPr>
      </w:pPr>
      <w:r w:rsidRPr="005327D7">
        <w:rPr>
          <w:rFonts w:cs="Times"/>
          <w:szCs w:val="24"/>
          <w:lang w:val="en-US"/>
        </w:rPr>
        <w:t xml:space="preserve">** One adalimumab event and two of the placebo events were ‘uveitis flare requiring </w:t>
      </w:r>
      <w:r w:rsidR="005327D7" w:rsidRPr="005327D7">
        <w:rPr>
          <w:rFonts w:cs="Times"/>
          <w:szCs w:val="24"/>
          <w:lang w:val="en-US"/>
        </w:rPr>
        <w:t>hospitalizations</w:t>
      </w:r>
      <w:r w:rsidRPr="005327D7">
        <w:rPr>
          <w:rFonts w:cs="Times"/>
          <w:szCs w:val="24"/>
          <w:lang w:val="en-US"/>
        </w:rPr>
        <w:t xml:space="preserve"> and treatment’. One placebo event was ‘worsening of vision with fla</w:t>
      </w:r>
      <w:r w:rsidR="005327D7">
        <w:rPr>
          <w:rFonts w:cs="Times"/>
          <w:szCs w:val="24"/>
          <w:lang w:val="en-US"/>
        </w:rPr>
        <w:t xml:space="preserve">re of uveitis and macular </w:t>
      </w:r>
      <w:r w:rsidRPr="005327D7">
        <w:rPr>
          <w:rFonts w:cs="Times"/>
          <w:szCs w:val="24"/>
          <w:lang w:val="en-US"/>
        </w:rPr>
        <w:t>edema’.</w:t>
      </w:r>
    </w:p>
    <w:p w14:paraId="51C0BB1E" w14:textId="7E12D1B6" w:rsidR="0093724E" w:rsidRPr="006108E2" w:rsidRDefault="0093724E" w:rsidP="006108E2">
      <w:pPr>
        <w:spacing w:line="480" w:lineRule="auto"/>
        <w:rPr>
          <w:b/>
          <w:sz w:val="24"/>
          <w:szCs w:val="24"/>
        </w:rPr>
      </w:pPr>
    </w:p>
    <w:sectPr w:rsidR="0093724E" w:rsidRPr="006108E2" w:rsidSect="005A66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A4536" w14:textId="77777777" w:rsidR="00260DAB" w:rsidRDefault="00260DAB" w:rsidP="003D284E">
      <w:pPr>
        <w:spacing w:after="0" w:line="240" w:lineRule="auto"/>
      </w:pPr>
      <w:r>
        <w:separator/>
      </w:r>
    </w:p>
  </w:endnote>
  <w:endnote w:type="continuationSeparator" w:id="0">
    <w:p w14:paraId="34DA8109" w14:textId="77777777" w:rsidR="00260DAB" w:rsidRDefault="00260DAB" w:rsidP="003D284E">
      <w:pPr>
        <w:spacing w:after="0" w:line="240" w:lineRule="auto"/>
      </w:pPr>
      <w:r>
        <w:continuationSeparator/>
      </w:r>
    </w:p>
  </w:endnote>
  <w:endnote w:type="continuationNotice" w:id="1">
    <w:p w14:paraId="1B1C0DE6" w14:textId="77777777" w:rsidR="00260DAB" w:rsidRDefault="00260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0BEC" w14:textId="77777777" w:rsidR="00F57657" w:rsidRDefault="00F57657" w:rsidP="003E7E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A2676" w14:textId="77777777" w:rsidR="00F57657" w:rsidRDefault="00F57657" w:rsidP="00984F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FECD" w14:textId="77777777" w:rsidR="00F57657" w:rsidRDefault="00F57657" w:rsidP="003E7E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1B3">
      <w:rPr>
        <w:rStyle w:val="PageNumber"/>
        <w:noProof/>
      </w:rPr>
      <w:t>12</w:t>
    </w:r>
    <w:r>
      <w:rPr>
        <w:rStyle w:val="PageNumber"/>
      </w:rPr>
      <w:fldChar w:fldCharType="end"/>
    </w:r>
  </w:p>
  <w:p w14:paraId="1F54C8E1" w14:textId="77777777" w:rsidR="00F57657" w:rsidRDefault="00F57657" w:rsidP="00984F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5E7F" w14:textId="77777777" w:rsidR="00260DAB" w:rsidRDefault="00260DAB" w:rsidP="003D284E">
      <w:pPr>
        <w:spacing w:after="0" w:line="240" w:lineRule="auto"/>
      </w:pPr>
      <w:r>
        <w:separator/>
      </w:r>
    </w:p>
  </w:footnote>
  <w:footnote w:type="continuationSeparator" w:id="0">
    <w:p w14:paraId="447F8CEA" w14:textId="77777777" w:rsidR="00260DAB" w:rsidRDefault="00260DAB" w:rsidP="003D284E">
      <w:pPr>
        <w:spacing w:after="0" w:line="240" w:lineRule="auto"/>
      </w:pPr>
      <w:r>
        <w:continuationSeparator/>
      </w:r>
    </w:p>
  </w:footnote>
  <w:footnote w:type="continuationNotice" w:id="1">
    <w:p w14:paraId="7D065931" w14:textId="77777777" w:rsidR="00260DAB" w:rsidRDefault="00260DA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32586"/>
    <w:multiLevelType w:val="hybridMultilevel"/>
    <w:tmpl w:val="C462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787E"/>
    <w:multiLevelType w:val="hybridMultilevel"/>
    <w:tmpl w:val="3BD83246"/>
    <w:lvl w:ilvl="0" w:tplc="349A5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12416"/>
    <w:multiLevelType w:val="hybridMultilevel"/>
    <w:tmpl w:val="103E7A9A"/>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1AA4F4E"/>
    <w:multiLevelType w:val="hybridMultilevel"/>
    <w:tmpl w:val="79F4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8011C"/>
    <w:multiLevelType w:val="hybridMultilevel"/>
    <w:tmpl w:val="97B6BAAA"/>
    <w:lvl w:ilvl="0" w:tplc="9C76EB1C">
      <w:start w:val="1"/>
      <w:numFmt w:val="bullet"/>
      <w:lvlText w:val="•"/>
      <w:lvlJc w:val="left"/>
      <w:pPr>
        <w:tabs>
          <w:tab w:val="num" w:pos="720"/>
        </w:tabs>
        <w:ind w:left="720" w:hanging="360"/>
      </w:pPr>
      <w:rPr>
        <w:rFonts w:ascii="Arial" w:hAnsi="Arial" w:hint="default"/>
      </w:rPr>
    </w:lvl>
    <w:lvl w:ilvl="1" w:tplc="37D8AFE8" w:tentative="1">
      <w:start w:val="1"/>
      <w:numFmt w:val="bullet"/>
      <w:lvlText w:val="•"/>
      <w:lvlJc w:val="left"/>
      <w:pPr>
        <w:tabs>
          <w:tab w:val="num" w:pos="1440"/>
        </w:tabs>
        <w:ind w:left="1440" w:hanging="360"/>
      </w:pPr>
      <w:rPr>
        <w:rFonts w:ascii="Arial" w:hAnsi="Arial" w:hint="default"/>
      </w:rPr>
    </w:lvl>
    <w:lvl w:ilvl="2" w:tplc="DB90C960">
      <w:start w:val="1"/>
      <w:numFmt w:val="bullet"/>
      <w:lvlText w:val="•"/>
      <w:lvlJc w:val="left"/>
      <w:pPr>
        <w:tabs>
          <w:tab w:val="num" w:pos="2160"/>
        </w:tabs>
        <w:ind w:left="2160" w:hanging="360"/>
      </w:pPr>
      <w:rPr>
        <w:rFonts w:ascii="Arial" w:hAnsi="Arial" w:hint="default"/>
      </w:rPr>
    </w:lvl>
    <w:lvl w:ilvl="3" w:tplc="F8CEA638" w:tentative="1">
      <w:start w:val="1"/>
      <w:numFmt w:val="bullet"/>
      <w:lvlText w:val="•"/>
      <w:lvlJc w:val="left"/>
      <w:pPr>
        <w:tabs>
          <w:tab w:val="num" w:pos="2880"/>
        </w:tabs>
        <w:ind w:left="2880" w:hanging="360"/>
      </w:pPr>
      <w:rPr>
        <w:rFonts w:ascii="Arial" w:hAnsi="Arial" w:hint="default"/>
      </w:rPr>
    </w:lvl>
    <w:lvl w:ilvl="4" w:tplc="45809F46" w:tentative="1">
      <w:start w:val="1"/>
      <w:numFmt w:val="bullet"/>
      <w:lvlText w:val="•"/>
      <w:lvlJc w:val="left"/>
      <w:pPr>
        <w:tabs>
          <w:tab w:val="num" w:pos="3600"/>
        </w:tabs>
        <w:ind w:left="3600" w:hanging="360"/>
      </w:pPr>
      <w:rPr>
        <w:rFonts w:ascii="Arial" w:hAnsi="Arial" w:hint="default"/>
      </w:rPr>
    </w:lvl>
    <w:lvl w:ilvl="5" w:tplc="B75E062E" w:tentative="1">
      <w:start w:val="1"/>
      <w:numFmt w:val="bullet"/>
      <w:lvlText w:val="•"/>
      <w:lvlJc w:val="left"/>
      <w:pPr>
        <w:tabs>
          <w:tab w:val="num" w:pos="4320"/>
        </w:tabs>
        <w:ind w:left="4320" w:hanging="360"/>
      </w:pPr>
      <w:rPr>
        <w:rFonts w:ascii="Arial" w:hAnsi="Arial" w:hint="default"/>
      </w:rPr>
    </w:lvl>
    <w:lvl w:ilvl="6" w:tplc="686C7130" w:tentative="1">
      <w:start w:val="1"/>
      <w:numFmt w:val="bullet"/>
      <w:lvlText w:val="•"/>
      <w:lvlJc w:val="left"/>
      <w:pPr>
        <w:tabs>
          <w:tab w:val="num" w:pos="5040"/>
        </w:tabs>
        <w:ind w:left="5040" w:hanging="360"/>
      </w:pPr>
      <w:rPr>
        <w:rFonts w:ascii="Arial" w:hAnsi="Arial" w:hint="default"/>
      </w:rPr>
    </w:lvl>
    <w:lvl w:ilvl="7" w:tplc="AAF61576" w:tentative="1">
      <w:start w:val="1"/>
      <w:numFmt w:val="bullet"/>
      <w:lvlText w:val="•"/>
      <w:lvlJc w:val="left"/>
      <w:pPr>
        <w:tabs>
          <w:tab w:val="num" w:pos="5760"/>
        </w:tabs>
        <w:ind w:left="5760" w:hanging="360"/>
      </w:pPr>
      <w:rPr>
        <w:rFonts w:ascii="Arial" w:hAnsi="Arial" w:hint="default"/>
      </w:rPr>
    </w:lvl>
    <w:lvl w:ilvl="8" w:tplc="9A4A8DDA" w:tentative="1">
      <w:start w:val="1"/>
      <w:numFmt w:val="bullet"/>
      <w:lvlText w:val="•"/>
      <w:lvlJc w:val="left"/>
      <w:pPr>
        <w:tabs>
          <w:tab w:val="num" w:pos="6480"/>
        </w:tabs>
        <w:ind w:left="6480" w:hanging="360"/>
      </w:pPr>
      <w:rPr>
        <w:rFonts w:ascii="Arial" w:hAnsi="Arial" w:hint="default"/>
      </w:rPr>
    </w:lvl>
  </w:abstractNum>
  <w:abstractNum w:abstractNumId="6">
    <w:nsid w:val="152A2C25"/>
    <w:multiLevelType w:val="hybridMultilevel"/>
    <w:tmpl w:val="B52A84C0"/>
    <w:lvl w:ilvl="0" w:tplc="4A5633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45CF6"/>
    <w:multiLevelType w:val="multilevel"/>
    <w:tmpl w:val="7076E364"/>
    <w:lvl w:ilvl="0">
      <w:start w:val="1"/>
      <w:numFmt w:val="decimal"/>
      <w:pStyle w:val="Heading1"/>
      <w:lvlText w:val="%1"/>
      <w:lvlJc w:val="left"/>
      <w:pPr>
        <w:ind w:left="432" w:hanging="432"/>
      </w:pPr>
      <w:rPr>
        <w:rFonts w:cs="Times New Roman"/>
        <w:color w:val="auto"/>
      </w:rPr>
    </w:lvl>
    <w:lvl w:ilvl="1">
      <w:start w:val="1"/>
      <w:numFmt w:val="decimal"/>
      <w:pStyle w:val="Heading2"/>
      <w:lvlText w:val="%1.%2"/>
      <w:lvlJc w:val="left"/>
      <w:pPr>
        <w:ind w:left="576" w:hanging="576"/>
      </w:pPr>
      <w:rPr>
        <w:rFonts w:ascii="Arial" w:hAnsi="Arial" w:cs="Courier New" w:hint="default"/>
        <w:color w:val="auto"/>
        <w:sz w:val="28"/>
        <w:szCs w:val="28"/>
      </w:rPr>
    </w:lvl>
    <w:lvl w:ilvl="2">
      <w:start w:val="1"/>
      <w:numFmt w:val="decimal"/>
      <w:pStyle w:val="Heading3"/>
      <w:lvlText w:val="%1.%2.%3"/>
      <w:lvlJc w:val="left"/>
      <w:pPr>
        <w:ind w:left="127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16200308"/>
    <w:multiLevelType w:val="hybridMultilevel"/>
    <w:tmpl w:val="0620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F17E2F"/>
    <w:multiLevelType w:val="hybridMultilevel"/>
    <w:tmpl w:val="F98638B0"/>
    <w:lvl w:ilvl="0" w:tplc="2B3CE3DC">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C66B3"/>
    <w:multiLevelType w:val="hybridMultilevel"/>
    <w:tmpl w:val="69E6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47F73"/>
    <w:multiLevelType w:val="hybridMultilevel"/>
    <w:tmpl w:val="55144AE2"/>
    <w:lvl w:ilvl="0" w:tplc="0AB28802">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F3BAF"/>
    <w:multiLevelType w:val="hybridMultilevel"/>
    <w:tmpl w:val="AD84516C"/>
    <w:lvl w:ilvl="0" w:tplc="FD4CD986">
      <w:start w:val="1"/>
      <w:numFmt w:val="decimal"/>
      <w:lvlText w:val="%1)"/>
      <w:lvlJc w:val="left"/>
      <w:pPr>
        <w:tabs>
          <w:tab w:val="num" w:pos="720"/>
        </w:tabs>
        <w:ind w:left="720" w:hanging="360"/>
      </w:pPr>
    </w:lvl>
    <w:lvl w:ilvl="1" w:tplc="A8D8D7A0">
      <w:start w:val="1"/>
      <w:numFmt w:val="decimal"/>
      <w:lvlText w:val="%2)"/>
      <w:lvlJc w:val="left"/>
      <w:pPr>
        <w:tabs>
          <w:tab w:val="num" w:pos="1440"/>
        </w:tabs>
        <w:ind w:left="1440" w:hanging="360"/>
      </w:pPr>
    </w:lvl>
    <w:lvl w:ilvl="2" w:tplc="B860B2DC" w:tentative="1">
      <w:start w:val="1"/>
      <w:numFmt w:val="decimal"/>
      <w:lvlText w:val="%3)"/>
      <w:lvlJc w:val="left"/>
      <w:pPr>
        <w:tabs>
          <w:tab w:val="num" w:pos="2160"/>
        </w:tabs>
        <w:ind w:left="2160" w:hanging="360"/>
      </w:pPr>
    </w:lvl>
    <w:lvl w:ilvl="3" w:tplc="4190AE00" w:tentative="1">
      <w:start w:val="1"/>
      <w:numFmt w:val="decimal"/>
      <w:lvlText w:val="%4)"/>
      <w:lvlJc w:val="left"/>
      <w:pPr>
        <w:tabs>
          <w:tab w:val="num" w:pos="2880"/>
        </w:tabs>
        <w:ind w:left="2880" w:hanging="360"/>
      </w:pPr>
    </w:lvl>
    <w:lvl w:ilvl="4" w:tplc="C6900214" w:tentative="1">
      <w:start w:val="1"/>
      <w:numFmt w:val="decimal"/>
      <w:lvlText w:val="%5)"/>
      <w:lvlJc w:val="left"/>
      <w:pPr>
        <w:tabs>
          <w:tab w:val="num" w:pos="3600"/>
        </w:tabs>
        <w:ind w:left="3600" w:hanging="360"/>
      </w:pPr>
    </w:lvl>
    <w:lvl w:ilvl="5" w:tplc="F1BC6DF4" w:tentative="1">
      <w:start w:val="1"/>
      <w:numFmt w:val="decimal"/>
      <w:lvlText w:val="%6)"/>
      <w:lvlJc w:val="left"/>
      <w:pPr>
        <w:tabs>
          <w:tab w:val="num" w:pos="4320"/>
        </w:tabs>
        <w:ind w:left="4320" w:hanging="360"/>
      </w:pPr>
    </w:lvl>
    <w:lvl w:ilvl="6" w:tplc="A5E24CB8" w:tentative="1">
      <w:start w:val="1"/>
      <w:numFmt w:val="decimal"/>
      <w:lvlText w:val="%7)"/>
      <w:lvlJc w:val="left"/>
      <w:pPr>
        <w:tabs>
          <w:tab w:val="num" w:pos="5040"/>
        </w:tabs>
        <w:ind w:left="5040" w:hanging="360"/>
      </w:pPr>
    </w:lvl>
    <w:lvl w:ilvl="7" w:tplc="8CB0C518" w:tentative="1">
      <w:start w:val="1"/>
      <w:numFmt w:val="decimal"/>
      <w:lvlText w:val="%8)"/>
      <w:lvlJc w:val="left"/>
      <w:pPr>
        <w:tabs>
          <w:tab w:val="num" w:pos="5760"/>
        </w:tabs>
        <w:ind w:left="5760" w:hanging="360"/>
      </w:pPr>
    </w:lvl>
    <w:lvl w:ilvl="8" w:tplc="A1827782" w:tentative="1">
      <w:start w:val="1"/>
      <w:numFmt w:val="decimal"/>
      <w:lvlText w:val="%9)"/>
      <w:lvlJc w:val="left"/>
      <w:pPr>
        <w:tabs>
          <w:tab w:val="num" w:pos="6480"/>
        </w:tabs>
        <w:ind w:left="6480" w:hanging="360"/>
      </w:pPr>
    </w:lvl>
  </w:abstractNum>
  <w:abstractNum w:abstractNumId="13">
    <w:nsid w:val="35996C18"/>
    <w:multiLevelType w:val="multilevel"/>
    <w:tmpl w:val="2632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306647"/>
    <w:multiLevelType w:val="hybridMultilevel"/>
    <w:tmpl w:val="030655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3D7A6D"/>
    <w:multiLevelType w:val="hybridMultilevel"/>
    <w:tmpl w:val="DF3EF3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AD3CFA"/>
    <w:multiLevelType w:val="hybridMultilevel"/>
    <w:tmpl w:val="F70ADE94"/>
    <w:lvl w:ilvl="0" w:tplc="48380228">
      <w:start w:val="11"/>
      <w:numFmt w:val="bullet"/>
      <w:lvlText w:val=""/>
      <w:lvlJc w:val="left"/>
      <w:pPr>
        <w:ind w:left="720" w:hanging="360"/>
      </w:pPr>
      <w:rPr>
        <w:rFonts w:ascii="Symbol" w:eastAsiaTheme="minorHAnsi" w:hAnsi="Symbol"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0496E"/>
    <w:multiLevelType w:val="hybridMultilevel"/>
    <w:tmpl w:val="A8320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2610F6"/>
    <w:multiLevelType w:val="hybridMultilevel"/>
    <w:tmpl w:val="CB3A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2E6E0D"/>
    <w:multiLevelType w:val="hybridMultilevel"/>
    <w:tmpl w:val="DDD830A2"/>
    <w:lvl w:ilvl="0" w:tplc="0A7A371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E111DD"/>
    <w:multiLevelType w:val="hybridMultilevel"/>
    <w:tmpl w:val="615C83D0"/>
    <w:lvl w:ilvl="0" w:tplc="E9C6E810">
      <w:start w:val="11"/>
      <w:numFmt w:val="bullet"/>
      <w:lvlText w:val=""/>
      <w:lvlJc w:val="left"/>
      <w:pPr>
        <w:ind w:left="720" w:hanging="360"/>
      </w:pPr>
      <w:rPr>
        <w:rFonts w:ascii="Symbol" w:eastAsiaTheme="minorHAnsi" w:hAnsi="Symbol"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E11B52"/>
    <w:multiLevelType w:val="hybridMultilevel"/>
    <w:tmpl w:val="C32C2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4"/>
  </w:num>
  <w:num w:numId="5">
    <w:abstractNumId w:val="11"/>
  </w:num>
  <w:num w:numId="6">
    <w:abstractNumId w:val="9"/>
  </w:num>
  <w:num w:numId="7">
    <w:abstractNumId w:val="18"/>
  </w:num>
  <w:num w:numId="8">
    <w:abstractNumId w:val="10"/>
  </w:num>
  <w:num w:numId="9">
    <w:abstractNumId w:val="8"/>
  </w:num>
  <w:num w:numId="10">
    <w:abstractNumId w:val="19"/>
  </w:num>
  <w:num w:numId="11">
    <w:abstractNumId w:val="6"/>
  </w:num>
  <w:num w:numId="12">
    <w:abstractNumId w:val="3"/>
  </w:num>
  <w:num w:numId="13">
    <w:abstractNumId w:val="17"/>
  </w:num>
  <w:num w:numId="14">
    <w:abstractNumId w:val="4"/>
  </w:num>
  <w:num w:numId="15">
    <w:abstractNumId w:val="13"/>
  </w:num>
  <w:num w:numId="16">
    <w:abstractNumId w:val="20"/>
  </w:num>
  <w:num w:numId="17">
    <w:abstractNumId w:val="16"/>
  </w:num>
  <w:num w:numId="18">
    <w:abstractNumId w:val="7"/>
  </w:num>
  <w:num w:numId="19">
    <w:abstractNumId w:val="15"/>
  </w:num>
  <w:num w:numId="20">
    <w:abstractNumId w:val="21"/>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x2w0wzsp2dwdefdx2p2z992ffz2vs0wvpr&quot;&gt;CSR&lt;record-ids&gt;&lt;item&gt;10&lt;/item&gt;&lt;item&gt;11&lt;/item&gt;&lt;item&gt;12&lt;/item&gt;&lt;item&gt;14&lt;/item&gt;&lt;item&gt;15&lt;/item&gt;&lt;item&gt;18&lt;/item&gt;&lt;item&gt;20&lt;/item&gt;&lt;item&gt;22&lt;/item&gt;&lt;item&gt;23&lt;/item&gt;&lt;item&gt;26&lt;/item&gt;&lt;item&gt;27&lt;/item&gt;&lt;item&gt;28&lt;/item&gt;&lt;item&gt;31&lt;/item&gt;&lt;item&gt;32&lt;/item&gt;&lt;item&gt;33&lt;/item&gt;&lt;item&gt;34&lt;/item&gt;&lt;item&gt;35&lt;/item&gt;&lt;item&gt;36&lt;/item&gt;&lt;item&gt;37&lt;/item&gt;&lt;item&gt;38&lt;/item&gt;&lt;item&gt;39&lt;/item&gt;&lt;item&gt;43&lt;/item&gt;&lt;item&gt;44&lt;/item&gt;&lt;item&gt;45&lt;/item&gt;&lt;item&gt;46&lt;/item&gt;&lt;item&gt;47&lt;/item&gt;&lt;item&gt;48&lt;/item&gt;&lt;item&gt;49&lt;/item&gt;&lt;item&gt;50&lt;/item&gt;&lt;item&gt;51&lt;/item&gt;&lt;item&gt;52&lt;/item&gt;&lt;item&gt;60&lt;/item&gt;&lt;item&gt;61&lt;/item&gt;&lt;item&gt;62&lt;/item&gt;&lt;item&gt;64&lt;/item&gt;&lt;item&gt;65&lt;/item&gt;&lt;item&gt;66&lt;/item&gt;&lt;item&gt;67&lt;/item&gt;&lt;item&gt;68&lt;/item&gt;&lt;/record-ids&gt;&lt;/item&gt;&lt;/Libraries&gt;"/>
  </w:docVars>
  <w:rsids>
    <w:rsidRoot w:val="007A0F82"/>
    <w:rsid w:val="000005E0"/>
    <w:rsid w:val="00003CCD"/>
    <w:rsid w:val="00004E70"/>
    <w:rsid w:val="00005008"/>
    <w:rsid w:val="00007459"/>
    <w:rsid w:val="00011016"/>
    <w:rsid w:val="00011F2A"/>
    <w:rsid w:val="00012F55"/>
    <w:rsid w:val="00014FEB"/>
    <w:rsid w:val="00015900"/>
    <w:rsid w:val="000169BD"/>
    <w:rsid w:val="0001709C"/>
    <w:rsid w:val="000201A2"/>
    <w:rsid w:val="0002056C"/>
    <w:rsid w:val="00021B48"/>
    <w:rsid w:val="00023604"/>
    <w:rsid w:val="000246E2"/>
    <w:rsid w:val="00030894"/>
    <w:rsid w:val="000309D3"/>
    <w:rsid w:val="00033D7B"/>
    <w:rsid w:val="00035081"/>
    <w:rsid w:val="00037808"/>
    <w:rsid w:val="00041482"/>
    <w:rsid w:val="0004447E"/>
    <w:rsid w:val="00045E55"/>
    <w:rsid w:val="000460C6"/>
    <w:rsid w:val="00047C27"/>
    <w:rsid w:val="00052CCC"/>
    <w:rsid w:val="0006350A"/>
    <w:rsid w:val="000641E0"/>
    <w:rsid w:val="00064B5E"/>
    <w:rsid w:val="00064C05"/>
    <w:rsid w:val="000654CD"/>
    <w:rsid w:val="000655DE"/>
    <w:rsid w:val="00065CEE"/>
    <w:rsid w:val="00073ACB"/>
    <w:rsid w:val="00074DCE"/>
    <w:rsid w:val="00081222"/>
    <w:rsid w:val="000827F6"/>
    <w:rsid w:val="0008284A"/>
    <w:rsid w:val="000837D4"/>
    <w:rsid w:val="000837EB"/>
    <w:rsid w:val="000842EB"/>
    <w:rsid w:val="000934B7"/>
    <w:rsid w:val="0009361E"/>
    <w:rsid w:val="000940A2"/>
    <w:rsid w:val="00094F14"/>
    <w:rsid w:val="000A3111"/>
    <w:rsid w:val="000A3F32"/>
    <w:rsid w:val="000A7F70"/>
    <w:rsid w:val="000B3FD4"/>
    <w:rsid w:val="000B45FB"/>
    <w:rsid w:val="000B520E"/>
    <w:rsid w:val="000C1100"/>
    <w:rsid w:val="000C2703"/>
    <w:rsid w:val="000C616C"/>
    <w:rsid w:val="000C6500"/>
    <w:rsid w:val="000C7ED4"/>
    <w:rsid w:val="000D02B5"/>
    <w:rsid w:val="000D1175"/>
    <w:rsid w:val="000D1A21"/>
    <w:rsid w:val="000D2355"/>
    <w:rsid w:val="000D3AAA"/>
    <w:rsid w:val="000D4123"/>
    <w:rsid w:val="000D4EC6"/>
    <w:rsid w:val="000D5F99"/>
    <w:rsid w:val="000D7D71"/>
    <w:rsid w:val="000E4117"/>
    <w:rsid w:val="000E469C"/>
    <w:rsid w:val="000E48FA"/>
    <w:rsid w:val="000E4DBB"/>
    <w:rsid w:val="000E7DAE"/>
    <w:rsid w:val="000F1703"/>
    <w:rsid w:val="000F2926"/>
    <w:rsid w:val="000F47C7"/>
    <w:rsid w:val="000F4B26"/>
    <w:rsid w:val="001002D3"/>
    <w:rsid w:val="00100CA2"/>
    <w:rsid w:val="00102107"/>
    <w:rsid w:val="00102806"/>
    <w:rsid w:val="00103613"/>
    <w:rsid w:val="00104659"/>
    <w:rsid w:val="00105A2B"/>
    <w:rsid w:val="00110E34"/>
    <w:rsid w:val="001163BF"/>
    <w:rsid w:val="00117A7D"/>
    <w:rsid w:val="00121212"/>
    <w:rsid w:val="001241BC"/>
    <w:rsid w:val="0012555B"/>
    <w:rsid w:val="00126FF5"/>
    <w:rsid w:val="00130EEA"/>
    <w:rsid w:val="00131697"/>
    <w:rsid w:val="0013415E"/>
    <w:rsid w:val="00134A49"/>
    <w:rsid w:val="00134D26"/>
    <w:rsid w:val="00136524"/>
    <w:rsid w:val="00141A6E"/>
    <w:rsid w:val="00145CA5"/>
    <w:rsid w:val="00152DB1"/>
    <w:rsid w:val="00155D40"/>
    <w:rsid w:val="0015621D"/>
    <w:rsid w:val="0015778F"/>
    <w:rsid w:val="001627D4"/>
    <w:rsid w:val="0016293C"/>
    <w:rsid w:val="0018121F"/>
    <w:rsid w:val="001827D5"/>
    <w:rsid w:val="00183228"/>
    <w:rsid w:val="0018698F"/>
    <w:rsid w:val="00187A32"/>
    <w:rsid w:val="00194E0C"/>
    <w:rsid w:val="00197894"/>
    <w:rsid w:val="001A0C6E"/>
    <w:rsid w:val="001A0EA5"/>
    <w:rsid w:val="001A248F"/>
    <w:rsid w:val="001A33E8"/>
    <w:rsid w:val="001B38DB"/>
    <w:rsid w:val="001B5E99"/>
    <w:rsid w:val="001C5E81"/>
    <w:rsid w:val="001C7DB0"/>
    <w:rsid w:val="001D158D"/>
    <w:rsid w:val="001D6574"/>
    <w:rsid w:val="001D67F7"/>
    <w:rsid w:val="001D6DC4"/>
    <w:rsid w:val="001E255E"/>
    <w:rsid w:val="001E38D4"/>
    <w:rsid w:val="001E4294"/>
    <w:rsid w:val="001F310A"/>
    <w:rsid w:val="001F39B4"/>
    <w:rsid w:val="00204B69"/>
    <w:rsid w:val="0020797A"/>
    <w:rsid w:val="002121F6"/>
    <w:rsid w:val="0021489B"/>
    <w:rsid w:val="00214985"/>
    <w:rsid w:val="002214CE"/>
    <w:rsid w:val="0022222C"/>
    <w:rsid w:val="00225E96"/>
    <w:rsid w:val="00226211"/>
    <w:rsid w:val="002304A5"/>
    <w:rsid w:val="00233E5C"/>
    <w:rsid w:val="0023607F"/>
    <w:rsid w:val="00243F74"/>
    <w:rsid w:val="002446AC"/>
    <w:rsid w:val="00245128"/>
    <w:rsid w:val="00252F82"/>
    <w:rsid w:val="0025351A"/>
    <w:rsid w:val="00253E5B"/>
    <w:rsid w:val="00253FAC"/>
    <w:rsid w:val="0025665A"/>
    <w:rsid w:val="00260DAB"/>
    <w:rsid w:val="00260F83"/>
    <w:rsid w:val="0026317A"/>
    <w:rsid w:val="00263825"/>
    <w:rsid w:val="002665C0"/>
    <w:rsid w:val="00267306"/>
    <w:rsid w:val="00267AE8"/>
    <w:rsid w:val="00267BCB"/>
    <w:rsid w:val="00270681"/>
    <w:rsid w:val="002722F1"/>
    <w:rsid w:val="002733A5"/>
    <w:rsid w:val="00273FFC"/>
    <w:rsid w:val="00276A27"/>
    <w:rsid w:val="00281214"/>
    <w:rsid w:val="00283864"/>
    <w:rsid w:val="00290CAC"/>
    <w:rsid w:val="00295973"/>
    <w:rsid w:val="002A0647"/>
    <w:rsid w:val="002A2770"/>
    <w:rsid w:val="002A3C6C"/>
    <w:rsid w:val="002A4F6E"/>
    <w:rsid w:val="002A649E"/>
    <w:rsid w:val="002A7FAD"/>
    <w:rsid w:val="002B0CD5"/>
    <w:rsid w:val="002C0B42"/>
    <w:rsid w:val="002C7AD3"/>
    <w:rsid w:val="002E0E37"/>
    <w:rsid w:val="002E11F7"/>
    <w:rsid w:val="002E1464"/>
    <w:rsid w:val="002E2001"/>
    <w:rsid w:val="002E6FC9"/>
    <w:rsid w:val="002E7714"/>
    <w:rsid w:val="002F7065"/>
    <w:rsid w:val="002F74AC"/>
    <w:rsid w:val="00301AB7"/>
    <w:rsid w:val="00305E5E"/>
    <w:rsid w:val="003063F3"/>
    <w:rsid w:val="00306C61"/>
    <w:rsid w:val="003102E0"/>
    <w:rsid w:val="00312463"/>
    <w:rsid w:val="00313533"/>
    <w:rsid w:val="00322EC9"/>
    <w:rsid w:val="00324CC0"/>
    <w:rsid w:val="00326831"/>
    <w:rsid w:val="00333860"/>
    <w:rsid w:val="00334F91"/>
    <w:rsid w:val="00342440"/>
    <w:rsid w:val="00344570"/>
    <w:rsid w:val="00346E5B"/>
    <w:rsid w:val="00346F38"/>
    <w:rsid w:val="00351692"/>
    <w:rsid w:val="003529ED"/>
    <w:rsid w:val="003608DD"/>
    <w:rsid w:val="00360D8D"/>
    <w:rsid w:val="003621E5"/>
    <w:rsid w:val="003634B9"/>
    <w:rsid w:val="00364A3A"/>
    <w:rsid w:val="00365BD9"/>
    <w:rsid w:val="00366BD8"/>
    <w:rsid w:val="00367AAF"/>
    <w:rsid w:val="003700C0"/>
    <w:rsid w:val="003729DC"/>
    <w:rsid w:val="00373350"/>
    <w:rsid w:val="00373C97"/>
    <w:rsid w:val="003744CE"/>
    <w:rsid w:val="0037530C"/>
    <w:rsid w:val="00375C3B"/>
    <w:rsid w:val="00380BD0"/>
    <w:rsid w:val="00382FE7"/>
    <w:rsid w:val="003839CF"/>
    <w:rsid w:val="00385AC2"/>
    <w:rsid w:val="0038708A"/>
    <w:rsid w:val="00391140"/>
    <w:rsid w:val="00393713"/>
    <w:rsid w:val="00394984"/>
    <w:rsid w:val="00396327"/>
    <w:rsid w:val="003B06D9"/>
    <w:rsid w:val="003B106C"/>
    <w:rsid w:val="003B3327"/>
    <w:rsid w:val="003B676E"/>
    <w:rsid w:val="003B6862"/>
    <w:rsid w:val="003C047B"/>
    <w:rsid w:val="003C6051"/>
    <w:rsid w:val="003D284E"/>
    <w:rsid w:val="003D3F49"/>
    <w:rsid w:val="003D539E"/>
    <w:rsid w:val="003D6780"/>
    <w:rsid w:val="003E0CF6"/>
    <w:rsid w:val="003E20D2"/>
    <w:rsid w:val="003E46F6"/>
    <w:rsid w:val="003E4ECC"/>
    <w:rsid w:val="003E533F"/>
    <w:rsid w:val="003E6CB1"/>
    <w:rsid w:val="003E7E91"/>
    <w:rsid w:val="003F294E"/>
    <w:rsid w:val="003F551F"/>
    <w:rsid w:val="003F5744"/>
    <w:rsid w:val="003F62D5"/>
    <w:rsid w:val="00402A4C"/>
    <w:rsid w:val="0040606F"/>
    <w:rsid w:val="00411145"/>
    <w:rsid w:val="00411941"/>
    <w:rsid w:val="00413051"/>
    <w:rsid w:val="00416143"/>
    <w:rsid w:val="00420878"/>
    <w:rsid w:val="004231B3"/>
    <w:rsid w:val="00425CFD"/>
    <w:rsid w:val="004315BB"/>
    <w:rsid w:val="00432BA3"/>
    <w:rsid w:val="00433FAC"/>
    <w:rsid w:val="00435AC4"/>
    <w:rsid w:val="0044115C"/>
    <w:rsid w:val="00444B0F"/>
    <w:rsid w:val="00447928"/>
    <w:rsid w:val="00453469"/>
    <w:rsid w:val="0045391D"/>
    <w:rsid w:val="0045429C"/>
    <w:rsid w:val="004556AB"/>
    <w:rsid w:val="0045647E"/>
    <w:rsid w:val="0046137C"/>
    <w:rsid w:val="00463DD7"/>
    <w:rsid w:val="00466910"/>
    <w:rsid w:val="004710CC"/>
    <w:rsid w:val="00477EA2"/>
    <w:rsid w:val="0048234F"/>
    <w:rsid w:val="004823F2"/>
    <w:rsid w:val="00483FBB"/>
    <w:rsid w:val="00484D1F"/>
    <w:rsid w:val="00484E90"/>
    <w:rsid w:val="00484FDA"/>
    <w:rsid w:val="004866E2"/>
    <w:rsid w:val="00491A8F"/>
    <w:rsid w:val="0049243A"/>
    <w:rsid w:val="0049334A"/>
    <w:rsid w:val="00493ADD"/>
    <w:rsid w:val="00493CA7"/>
    <w:rsid w:val="004944E1"/>
    <w:rsid w:val="004971DC"/>
    <w:rsid w:val="004A0E84"/>
    <w:rsid w:val="004A12BE"/>
    <w:rsid w:val="004A29E2"/>
    <w:rsid w:val="004B686E"/>
    <w:rsid w:val="004B7F90"/>
    <w:rsid w:val="004C1C04"/>
    <w:rsid w:val="004C311A"/>
    <w:rsid w:val="004C37F4"/>
    <w:rsid w:val="004C3E1C"/>
    <w:rsid w:val="004C4592"/>
    <w:rsid w:val="004C4D77"/>
    <w:rsid w:val="004C5B96"/>
    <w:rsid w:val="004C6104"/>
    <w:rsid w:val="004C6302"/>
    <w:rsid w:val="004D0293"/>
    <w:rsid w:val="004D345E"/>
    <w:rsid w:val="004E16B5"/>
    <w:rsid w:val="004E24A0"/>
    <w:rsid w:val="004E3A06"/>
    <w:rsid w:val="004E43B1"/>
    <w:rsid w:val="004E4FCC"/>
    <w:rsid w:val="004E589F"/>
    <w:rsid w:val="004F020F"/>
    <w:rsid w:val="004F0F5E"/>
    <w:rsid w:val="004F3AA0"/>
    <w:rsid w:val="004F451E"/>
    <w:rsid w:val="005011BA"/>
    <w:rsid w:val="0050592B"/>
    <w:rsid w:val="00511F7F"/>
    <w:rsid w:val="00511FA3"/>
    <w:rsid w:val="00517B0A"/>
    <w:rsid w:val="00520A34"/>
    <w:rsid w:val="00522ECD"/>
    <w:rsid w:val="00523569"/>
    <w:rsid w:val="00525487"/>
    <w:rsid w:val="005255A2"/>
    <w:rsid w:val="00525B56"/>
    <w:rsid w:val="00530B40"/>
    <w:rsid w:val="00530C6E"/>
    <w:rsid w:val="005313A8"/>
    <w:rsid w:val="005327D7"/>
    <w:rsid w:val="00535BC3"/>
    <w:rsid w:val="00536079"/>
    <w:rsid w:val="005364C4"/>
    <w:rsid w:val="005373C9"/>
    <w:rsid w:val="0054064B"/>
    <w:rsid w:val="00546F30"/>
    <w:rsid w:val="00551088"/>
    <w:rsid w:val="00551BD2"/>
    <w:rsid w:val="00554988"/>
    <w:rsid w:val="00561604"/>
    <w:rsid w:val="0056203B"/>
    <w:rsid w:val="00563622"/>
    <w:rsid w:val="005672C3"/>
    <w:rsid w:val="00567323"/>
    <w:rsid w:val="00571D86"/>
    <w:rsid w:val="00573066"/>
    <w:rsid w:val="00573567"/>
    <w:rsid w:val="00573626"/>
    <w:rsid w:val="005740F4"/>
    <w:rsid w:val="005776F3"/>
    <w:rsid w:val="00580210"/>
    <w:rsid w:val="00580710"/>
    <w:rsid w:val="00581E6E"/>
    <w:rsid w:val="0058657F"/>
    <w:rsid w:val="00587DBF"/>
    <w:rsid w:val="00591F6A"/>
    <w:rsid w:val="005926FE"/>
    <w:rsid w:val="00596067"/>
    <w:rsid w:val="005A1650"/>
    <w:rsid w:val="005A4AB8"/>
    <w:rsid w:val="005A6665"/>
    <w:rsid w:val="005A7F41"/>
    <w:rsid w:val="005B008B"/>
    <w:rsid w:val="005B22CD"/>
    <w:rsid w:val="005B26E5"/>
    <w:rsid w:val="005B3331"/>
    <w:rsid w:val="005B3C0B"/>
    <w:rsid w:val="005B6819"/>
    <w:rsid w:val="005C2721"/>
    <w:rsid w:val="005C3AAD"/>
    <w:rsid w:val="005C5496"/>
    <w:rsid w:val="005D0C94"/>
    <w:rsid w:val="005D174C"/>
    <w:rsid w:val="005D2841"/>
    <w:rsid w:val="005D4732"/>
    <w:rsid w:val="005D54AD"/>
    <w:rsid w:val="005D6438"/>
    <w:rsid w:val="005E2ECA"/>
    <w:rsid w:val="005E5839"/>
    <w:rsid w:val="005E7D85"/>
    <w:rsid w:val="005F01A5"/>
    <w:rsid w:val="005F0686"/>
    <w:rsid w:val="005F2CF4"/>
    <w:rsid w:val="005F3E10"/>
    <w:rsid w:val="005F544F"/>
    <w:rsid w:val="005F691E"/>
    <w:rsid w:val="005F6FC9"/>
    <w:rsid w:val="005F71A0"/>
    <w:rsid w:val="005F7541"/>
    <w:rsid w:val="00600F35"/>
    <w:rsid w:val="00602666"/>
    <w:rsid w:val="00602CA2"/>
    <w:rsid w:val="00602D9D"/>
    <w:rsid w:val="00602E53"/>
    <w:rsid w:val="0060604A"/>
    <w:rsid w:val="00606AE2"/>
    <w:rsid w:val="006075DC"/>
    <w:rsid w:val="006108E2"/>
    <w:rsid w:val="0061148F"/>
    <w:rsid w:val="00613918"/>
    <w:rsid w:val="00613C79"/>
    <w:rsid w:val="00614BD5"/>
    <w:rsid w:val="006159F6"/>
    <w:rsid w:val="006164E0"/>
    <w:rsid w:val="00616D27"/>
    <w:rsid w:val="00620286"/>
    <w:rsid w:val="00623556"/>
    <w:rsid w:val="0062407A"/>
    <w:rsid w:val="00625983"/>
    <w:rsid w:val="00625A2D"/>
    <w:rsid w:val="00626E70"/>
    <w:rsid w:val="0063117B"/>
    <w:rsid w:val="00634693"/>
    <w:rsid w:val="006401CE"/>
    <w:rsid w:val="00640E7B"/>
    <w:rsid w:val="00646823"/>
    <w:rsid w:val="00647E08"/>
    <w:rsid w:val="00650E88"/>
    <w:rsid w:val="00654939"/>
    <w:rsid w:val="00657B1F"/>
    <w:rsid w:val="006605DC"/>
    <w:rsid w:val="00662596"/>
    <w:rsid w:val="00663875"/>
    <w:rsid w:val="00663AEB"/>
    <w:rsid w:val="00665D81"/>
    <w:rsid w:val="00673DF8"/>
    <w:rsid w:val="006802DB"/>
    <w:rsid w:val="00680725"/>
    <w:rsid w:val="00682258"/>
    <w:rsid w:val="006859B0"/>
    <w:rsid w:val="00686EBA"/>
    <w:rsid w:val="006905DE"/>
    <w:rsid w:val="00692385"/>
    <w:rsid w:val="00697530"/>
    <w:rsid w:val="006A3F66"/>
    <w:rsid w:val="006A59D9"/>
    <w:rsid w:val="006A62CA"/>
    <w:rsid w:val="006A7BEF"/>
    <w:rsid w:val="006B06EC"/>
    <w:rsid w:val="006B0CC6"/>
    <w:rsid w:val="006B3D3B"/>
    <w:rsid w:val="006B3F21"/>
    <w:rsid w:val="006B5527"/>
    <w:rsid w:val="006C3B7A"/>
    <w:rsid w:val="006C3D81"/>
    <w:rsid w:val="006C49CD"/>
    <w:rsid w:val="006C4DCE"/>
    <w:rsid w:val="006C5343"/>
    <w:rsid w:val="006C736F"/>
    <w:rsid w:val="006D486B"/>
    <w:rsid w:val="006D4969"/>
    <w:rsid w:val="006D4DB4"/>
    <w:rsid w:val="006D6C9B"/>
    <w:rsid w:val="006D6E91"/>
    <w:rsid w:val="006D72CA"/>
    <w:rsid w:val="006E0893"/>
    <w:rsid w:val="006E0C43"/>
    <w:rsid w:val="006E3F3A"/>
    <w:rsid w:val="006E480A"/>
    <w:rsid w:val="006E5FA7"/>
    <w:rsid w:val="006E6A87"/>
    <w:rsid w:val="006E7628"/>
    <w:rsid w:val="006F015C"/>
    <w:rsid w:val="006F20A8"/>
    <w:rsid w:val="006F3216"/>
    <w:rsid w:val="006F3BB4"/>
    <w:rsid w:val="006F6E1E"/>
    <w:rsid w:val="006F70B4"/>
    <w:rsid w:val="007008BF"/>
    <w:rsid w:val="007052A4"/>
    <w:rsid w:val="007058F6"/>
    <w:rsid w:val="00721350"/>
    <w:rsid w:val="0072279B"/>
    <w:rsid w:val="00722B65"/>
    <w:rsid w:val="00722E91"/>
    <w:rsid w:val="00724E08"/>
    <w:rsid w:val="007263A2"/>
    <w:rsid w:val="00730226"/>
    <w:rsid w:val="00732D49"/>
    <w:rsid w:val="00733F92"/>
    <w:rsid w:val="00741E30"/>
    <w:rsid w:val="00743F57"/>
    <w:rsid w:val="00744401"/>
    <w:rsid w:val="00744AA9"/>
    <w:rsid w:val="00744F6C"/>
    <w:rsid w:val="00746094"/>
    <w:rsid w:val="00747917"/>
    <w:rsid w:val="007521D5"/>
    <w:rsid w:val="00753D35"/>
    <w:rsid w:val="00754B34"/>
    <w:rsid w:val="0076607B"/>
    <w:rsid w:val="00770463"/>
    <w:rsid w:val="00772D62"/>
    <w:rsid w:val="00774179"/>
    <w:rsid w:val="00774199"/>
    <w:rsid w:val="00775BCC"/>
    <w:rsid w:val="00775C8A"/>
    <w:rsid w:val="007764A3"/>
    <w:rsid w:val="00777374"/>
    <w:rsid w:val="0078012F"/>
    <w:rsid w:val="00781D97"/>
    <w:rsid w:val="00782A96"/>
    <w:rsid w:val="0078317D"/>
    <w:rsid w:val="007831E6"/>
    <w:rsid w:val="00785139"/>
    <w:rsid w:val="007924D8"/>
    <w:rsid w:val="007925E7"/>
    <w:rsid w:val="007938C9"/>
    <w:rsid w:val="00794FCE"/>
    <w:rsid w:val="007A0137"/>
    <w:rsid w:val="007A0F82"/>
    <w:rsid w:val="007A22C0"/>
    <w:rsid w:val="007A38C2"/>
    <w:rsid w:val="007A639A"/>
    <w:rsid w:val="007A7C17"/>
    <w:rsid w:val="007B22F8"/>
    <w:rsid w:val="007B3976"/>
    <w:rsid w:val="007B4298"/>
    <w:rsid w:val="007B4A48"/>
    <w:rsid w:val="007B4B2E"/>
    <w:rsid w:val="007B4D59"/>
    <w:rsid w:val="007B645D"/>
    <w:rsid w:val="007B7683"/>
    <w:rsid w:val="007D185F"/>
    <w:rsid w:val="007D1C61"/>
    <w:rsid w:val="007D5A01"/>
    <w:rsid w:val="007D66D0"/>
    <w:rsid w:val="007D7668"/>
    <w:rsid w:val="007D7DC0"/>
    <w:rsid w:val="007E1830"/>
    <w:rsid w:val="007E771D"/>
    <w:rsid w:val="007E7AB0"/>
    <w:rsid w:val="007F0EB3"/>
    <w:rsid w:val="007F2A68"/>
    <w:rsid w:val="007F7008"/>
    <w:rsid w:val="007F7B7C"/>
    <w:rsid w:val="00802A58"/>
    <w:rsid w:val="00802B50"/>
    <w:rsid w:val="00817062"/>
    <w:rsid w:val="0082366B"/>
    <w:rsid w:val="0082421E"/>
    <w:rsid w:val="008275E8"/>
    <w:rsid w:val="008300A4"/>
    <w:rsid w:val="00834DC1"/>
    <w:rsid w:val="00836E79"/>
    <w:rsid w:val="00842A65"/>
    <w:rsid w:val="00843375"/>
    <w:rsid w:val="008444F4"/>
    <w:rsid w:val="00845EEC"/>
    <w:rsid w:val="00850AA5"/>
    <w:rsid w:val="00850F63"/>
    <w:rsid w:val="00854F5D"/>
    <w:rsid w:val="0086397C"/>
    <w:rsid w:val="0086489E"/>
    <w:rsid w:val="00872C4F"/>
    <w:rsid w:val="008803C8"/>
    <w:rsid w:val="00883CF3"/>
    <w:rsid w:val="00884D34"/>
    <w:rsid w:val="008877BF"/>
    <w:rsid w:val="00887C05"/>
    <w:rsid w:val="00891CE1"/>
    <w:rsid w:val="008923A2"/>
    <w:rsid w:val="0089626E"/>
    <w:rsid w:val="0089770B"/>
    <w:rsid w:val="008979F6"/>
    <w:rsid w:val="008A3506"/>
    <w:rsid w:val="008A435C"/>
    <w:rsid w:val="008B1C61"/>
    <w:rsid w:val="008B385B"/>
    <w:rsid w:val="008B4A9F"/>
    <w:rsid w:val="008B59A2"/>
    <w:rsid w:val="008B6E99"/>
    <w:rsid w:val="008C248D"/>
    <w:rsid w:val="008C3252"/>
    <w:rsid w:val="008C33CE"/>
    <w:rsid w:val="008C4F91"/>
    <w:rsid w:val="008C591B"/>
    <w:rsid w:val="008C6369"/>
    <w:rsid w:val="008C78E6"/>
    <w:rsid w:val="008D0A51"/>
    <w:rsid w:val="008D0FBE"/>
    <w:rsid w:val="008D1ED0"/>
    <w:rsid w:val="008D2221"/>
    <w:rsid w:val="008D5354"/>
    <w:rsid w:val="008D53BA"/>
    <w:rsid w:val="008D6BC0"/>
    <w:rsid w:val="008E351F"/>
    <w:rsid w:val="008E41EB"/>
    <w:rsid w:val="008F110E"/>
    <w:rsid w:val="008F26ED"/>
    <w:rsid w:val="008F28E7"/>
    <w:rsid w:val="008F3A67"/>
    <w:rsid w:val="008F40B6"/>
    <w:rsid w:val="008F4C03"/>
    <w:rsid w:val="008F6D84"/>
    <w:rsid w:val="0090102C"/>
    <w:rsid w:val="0090413C"/>
    <w:rsid w:val="00905CD0"/>
    <w:rsid w:val="009060A6"/>
    <w:rsid w:val="00907086"/>
    <w:rsid w:val="00913214"/>
    <w:rsid w:val="00914C36"/>
    <w:rsid w:val="00915669"/>
    <w:rsid w:val="00921079"/>
    <w:rsid w:val="00924B1E"/>
    <w:rsid w:val="00924F1E"/>
    <w:rsid w:val="0092519D"/>
    <w:rsid w:val="009258CD"/>
    <w:rsid w:val="00927658"/>
    <w:rsid w:val="0093320E"/>
    <w:rsid w:val="009351B6"/>
    <w:rsid w:val="00936559"/>
    <w:rsid w:val="0093724E"/>
    <w:rsid w:val="00944245"/>
    <w:rsid w:val="0094515F"/>
    <w:rsid w:val="00945774"/>
    <w:rsid w:val="00947B5C"/>
    <w:rsid w:val="00950B45"/>
    <w:rsid w:val="00951371"/>
    <w:rsid w:val="00957F13"/>
    <w:rsid w:val="00960AC7"/>
    <w:rsid w:val="00963683"/>
    <w:rsid w:val="00964F04"/>
    <w:rsid w:val="00966070"/>
    <w:rsid w:val="00970A2C"/>
    <w:rsid w:val="009714D2"/>
    <w:rsid w:val="009745CE"/>
    <w:rsid w:val="0097545D"/>
    <w:rsid w:val="00976E9B"/>
    <w:rsid w:val="00977ABF"/>
    <w:rsid w:val="00977FE9"/>
    <w:rsid w:val="009801DB"/>
    <w:rsid w:val="009803DE"/>
    <w:rsid w:val="00981EEF"/>
    <w:rsid w:val="00984FB8"/>
    <w:rsid w:val="00986664"/>
    <w:rsid w:val="0099032C"/>
    <w:rsid w:val="009907EB"/>
    <w:rsid w:val="00993B5B"/>
    <w:rsid w:val="00997193"/>
    <w:rsid w:val="009A0A56"/>
    <w:rsid w:val="009A1816"/>
    <w:rsid w:val="009A1CE5"/>
    <w:rsid w:val="009A2AD9"/>
    <w:rsid w:val="009A3734"/>
    <w:rsid w:val="009B182B"/>
    <w:rsid w:val="009B289D"/>
    <w:rsid w:val="009B5C34"/>
    <w:rsid w:val="009B5CB3"/>
    <w:rsid w:val="009B5E4A"/>
    <w:rsid w:val="009B60C9"/>
    <w:rsid w:val="009B6E84"/>
    <w:rsid w:val="009C2750"/>
    <w:rsid w:val="009C3A10"/>
    <w:rsid w:val="009C5BEF"/>
    <w:rsid w:val="009C7EAE"/>
    <w:rsid w:val="009D218F"/>
    <w:rsid w:val="009D24B9"/>
    <w:rsid w:val="009D2B96"/>
    <w:rsid w:val="009D380F"/>
    <w:rsid w:val="009E1662"/>
    <w:rsid w:val="009E1FA6"/>
    <w:rsid w:val="009E506D"/>
    <w:rsid w:val="009E623C"/>
    <w:rsid w:val="009F19B0"/>
    <w:rsid w:val="009F5990"/>
    <w:rsid w:val="009F5E11"/>
    <w:rsid w:val="009F5F6B"/>
    <w:rsid w:val="00A114E1"/>
    <w:rsid w:val="00A121AC"/>
    <w:rsid w:val="00A13C2E"/>
    <w:rsid w:val="00A15A8E"/>
    <w:rsid w:val="00A15ED1"/>
    <w:rsid w:val="00A227E2"/>
    <w:rsid w:val="00A24DC1"/>
    <w:rsid w:val="00A26799"/>
    <w:rsid w:val="00A26B10"/>
    <w:rsid w:val="00A30193"/>
    <w:rsid w:val="00A30E38"/>
    <w:rsid w:val="00A313EF"/>
    <w:rsid w:val="00A337F5"/>
    <w:rsid w:val="00A348BB"/>
    <w:rsid w:val="00A36A8A"/>
    <w:rsid w:val="00A41AF6"/>
    <w:rsid w:val="00A443AC"/>
    <w:rsid w:val="00A45957"/>
    <w:rsid w:val="00A45CEE"/>
    <w:rsid w:val="00A47837"/>
    <w:rsid w:val="00A47E0D"/>
    <w:rsid w:val="00A52332"/>
    <w:rsid w:val="00A53F84"/>
    <w:rsid w:val="00A60BDE"/>
    <w:rsid w:val="00A6146A"/>
    <w:rsid w:val="00A644AE"/>
    <w:rsid w:val="00A70D71"/>
    <w:rsid w:val="00A71093"/>
    <w:rsid w:val="00A712B7"/>
    <w:rsid w:val="00A7142D"/>
    <w:rsid w:val="00A72223"/>
    <w:rsid w:val="00A749D7"/>
    <w:rsid w:val="00A74FEE"/>
    <w:rsid w:val="00A823CD"/>
    <w:rsid w:val="00A83A2B"/>
    <w:rsid w:val="00A87D19"/>
    <w:rsid w:val="00A87F89"/>
    <w:rsid w:val="00A907CC"/>
    <w:rsid w:val="00A907DF"/>
    <w:rsid w:val="00A94ED4"/>
    <w:rsid w:val="00A953C4"/>
    <w:rsid w:val="00A95C7E"/>
    <w:rsid w:val="00A97567"/>
    <w:rsid w:val="00AA01C0"/>
    <w:rsid w:val="00AA08E6"/>
    <w:rsid w:val="00AA11B3"/>
    <w:rsid w:val="00AA787B"/>
    <w:rsid w:val="00AB0EE5"/>
    <w:rsid w:val="00AB1F18"/>
    <w:rsid w:val="00AB324F"/>
    <w:rsid w:val="00AB4B37"/>
    <w:rsid w:val="00AC0373"/>
    <w:rsid w:val="00AC1005"/>
    <w:rsid w:val="00AC1AE3"/>
    <w:rsid w:val="00AC59DC"/>
    <w:rsid w:val="00AC5B6C"/>
    <w:rsid w:val="00AC67CE"/>
    <w:rsid w:val="00AC7154"/>
    <w:rsid w:val="00AC753B"/>
    <w:rsid w:val="00AD001A"/>
    <w:rsid w:val="00AD4908"/>
    <w:rsid w:val="00AD4921"/>
    <w:rsid w:val="00AD7A2D"/>
    <w:rsid w:val="00AE0ACE"/>
    <w:rsid w:val="00AE396B"/>
    <w:rsid w:val="00AE5E24"/>
    <w:rsid w:val="00AE666B"/>
    <w:rsid w:val="00AF0778"/>
    <w:rsid w:val="00AF20EC"/>
    <w:rsid w:val="00AF45A9"/>
    <w:rsid w:val="00B024CD"/>
    <w:rsid w:val="00B03937"/>
    <w:rsid w:val="00B03E24"/>
    <w:rsid w:val="00B07536"/>
    <w:rsid w:val="00B11FB6"/>
    <w:rsid w:val="00B13C3C"/>
    <w:rsid w:val="00B15B1D"/>
    <w:rsid w:val="00B15CC7"/>
    <w:rsid w:val="00B16320"/>
    <w:rsid w:val="00B166C2"/>
    <w:rsid w:val="00B17E12"/>
    <w:rsid w:val="00B216DC"/>
    <w:rsid w:val="00B220E2"/>
    <w:rsid w:val="00B22E2E"/>
    <w:rsid w:val="00B251E1"/>
    <w:rsid w:val="00B2767F"/>
    <w:rsid w:val="00B27C30"/>
    <w:rsid w:val="00B30CDC"/>
    <w:rsid w:val="00B33871"/>
    <w:rsid w:val="00B33F58"/>
    <w:rsid w:val="00B34676"/>
    <w:rsid w:val="00B40262"/>
    <w:rsid w:val="00B40A6D"/>
    <w:rsid w:val="00B412EB"/>
    <w:rsid w:val="00B43724"/>
    <w:rsid w:val="00B50D93"/>
    <w:rsid w:val="00B53E4D"/>
    <w:rsid w:val="00B54954"/>
    <w:rsid w:val="00B5622B"/>
    <w:rsid w:val="00B60719"/>
    <w:rsid w:val="00B61A93"/>
    <w:rsid w:val="00B632A6"/>
    <w:rsid w:val="00B73048"/>
    <w:rsid w:val="00B73FD0"/>
    <w:rsid w:val="00B82340"/>
    <w:rsid w:val="00B841FF"/>
    <w:rsid w:val="00B85EBB"/>
    <w:rsid w:val="00B86CC3"/>
    <w:rsid w:val="00BA0563"/>
    <w:rsid w:val="00BA24D9"/>
    <w:rsid w:val="00BA2C77"/>
    <w:rsid w:val="00BA6152"/>
    <w:rsid w:val="00BA69CB"/>
    <w:rsid w:val="00BB20BF"/>
    <w:rsid w:val="00BB28AD"/>
    <w:rsid w:val="00BB4205"/>
    <w:rsid w:val="00BB4ECE"/>
    <w:rsid w:val="00BB5B85"/>
    <w:rsid w:val="00BC084A"/>
    <w:rsid w:val="00BC507B"/>
    <w:rsid w:val="00BD1452"/>
    <w:rsid w:val="00BD17B6"/>
    <w:rsid w:val="00BD3F8E"/>
    <w:rsid w:val="00BD4F8C"/>
    <w:rsid w:val="00BE4C9D"/>
    <w:rsid w:val="00BE65BB"/>
    <w:rsid w:val="00BE679C"/>
    <w:rsid w:val="00BE689B"/>
    <w:rsid w:val="00BE750D"/>
    <w:rsid w:val="00BF3B29"/>
    <w:rsid w:val="00BF3CDD"/>
    <w:rsid w:val="00BF4A33"/>
    <w:rsid w:val="00BF5756"/>
    <w:rsid w:val="00C00F90"/>
    <w:rsid w:val="00C02787"/>
    <w:rsid w:val="00C027E2"/>
    <w:rsid w:val="00C06CE8"/>
    <w:rsid w:val="00C07F52"/>
    <w:rsid w:val="00C07FB7"/>
    <w:rsid w:val="00C12144"/>
    <w:rsid w:val="00C12E26"/>
    <w:rsid w:val="00C1568C"/>
    <w:rsid w:val="00C15950"/>
    <w:rsid w:val="00C212E1"/>
    <w:rsid w:val="00C21821"/>
    <w:rsid w:val="00C21825"/>
    <w:rsid w:val="00C21DCA"/>
    <w:rsid w:val="00C23892"/>
    <w:rsid w:val="00C27711"/>
    <w:rsid w:val="00C30254"/>
    <w:rsid w:val="00C33221"/>
    <w:rsid w:val="00C33892"/>
    <w:rsid w:val="00C411D1"/>
    <w:rsid w:val="00C41826"/>
    <w:rsid w:val="00C44F7F"/>
    <w:rsid w:val="00C459B6"/>
    <w:rsid w:val="00C459E3"/>
    <w:rsid w:val="00C47645"/>
    <w:rsid w:val="00C50EA6"/>
    <w:rsid w:val="00C541B7"/>
    <w:rsid w:val="00C5614E"/>
    <w:rsid w:val="00C60348"/>
    <w:rsid w:val="00C61618"/>
    <w:rsid w:val="00C65638"/>
    <w:rsid w:val="00C82AC9"/>
    <w:rsid w:val="00C85327"/>
    <w:rsid w:val="00C861AF"/>
    <w:rsid w:val="00C86C1F"/>
    <w:rsid w:val="00C93206"/>
    <w:rsid w:val="00C973E3"/>
    <w:rsid w:val="00CA0628"/>
    <w:rsid w:val="00CA1A44"/>
    <w:rsid w:val="00CA248C"/>
    <w:rsid w:val="00CA314E"/>
    <w:rsid w:val="00CA712D"/>
    <w:rsid w:val="00CB17B5"/>
    <w:rsid w:val="00CB57F0"/>
    <w:rsid w:val="00CC3161"/>
    <w:rsid w:val="00CC33B2"/>
    <w:rsid w:val="00CC422D"/>
    <w:rsid w:val="00CD5674"/>
    <w:rsid w:val="00CD601D"/>
    <w:rsid w:val="00CD642C"/>
    <w:rsid w:val="00CE1CE2"/>
    <w:rsid w:val="00CE57D3"/>
    <w:rsid w:val="00CF001E"/>
    <w:rsid w:val="00CF02D5"/>
    <w:rsid w:val="00CF2490"/>
    <w:rsid w:val="00CF3158"/>
    <w:rsid w:val="00CF33C3"/>
    <w:rsid w:val="00CF536A"/>
    <w:rsid w:val="00D00CB3"/>
    <w:rsid w:val="00D01065"/>
    <w:rsid w:val="00D02DC0"/>
    <w:rsid w:val="00D0702C"/>
    <w:rsid w:val="00D07831"/>
    <w:rsid w:val="00D210A7"/>
    <w:rsid w:val="00D221FD"/>
    <w:rsid w:val="00D23127"/>
    <w:rsid w:val="00D26548"/>
    <w:rsid w:val="00D27E8F"/>
    <w:rsid w:val="00D3140C"/>
    <w:rsid w:val="00D31DE0"/>
    <w:rsid w:val="00D33E22"/>
    <w:rsid w:val="00D344CF"/>
    <w:rsid w:val="00D34B74"/>
    <w:rsid w:val="00D3561F"/>
    <w:rsid w:val="00D420D9"/>
    <w:rsid w:val="00D4437B"/>
    <w:rsid w:val="00D46215"/>
    <w:rsid w:val="00D46FC2"/>
    <w:rsid w:val="00D50A41"/>
    <w:rsid w:val="00D53337"/>
    <w:rsid w:val="00D56767"/>
    <w:rsid w:val="00D613A0"/>
    <w:rsid w:val="00D61BBC"/>
    <w:rsid w:val="00D627F5"/>
    <w:rsid w:val="00D66EA1"/>
    <w:rsid w:val="00D7010D"/>
    <w:rsid w:val="00D806D7"/>
    <w:rsid w:val="00D817B1"/>
    <w:rsid w:val="00D842F4"/>
    <w:rsid w:val="00D87035"/>
    <w:rsid w:val="00D952B2"/>
    <w:rsid w:val="00D96DEC"/>
    <w:rsid w:val="00D97923"/>
    <w:rsid w:val="00DA2B35"/>
    <w:rsid w:val="00DB054B"/>
    <w:rsid w:val="00DB1086"/>
    <w:rsid w:val="00DB1F64"/>
    <w:rsid w:val="00DB217D"/>
    <w:rsid w:val="00DB2B12"/>
    <w:rsid w:val="00DC1C26"/>
    <w:rsid w:val="00DC5A18"/>
    <w:rsid w:val="00DC62DF"/>
    <w:rsid w:val="00DD18B8"/>
    <w:rsid w:val="00DD322B"/>
    <w:rsid w:val="00DD3D69"/>
    <w:rsid w:val="00DD49D9"/>
    <w:rsid w:val="00DD5F8C"/>
    <w:rsid w:val="00DD6908"/>
    <w:rsid w:val="00DD7DB9"/>
    <w:rsid w:val="00DE07ED"/>
    <w:rsid w:val="00DE561E"/>
    <w:rsid w:val="00DE58E4"/>
    <w:rsid w:val="00DE62D4"/>
    <w:rsid w:val="00DF2CCA"/>
    <w:rsid w:val="00DF5CC1"/>
    <w:rsid w:val="00DF5D36"/>
    <w:rsid w:val="00DF65B6"/>
    <w:rsid w:val="00E02107"/>
    <w:rsid w:val="00E02427"/>
    <w:rsid w:val="00E04A52"/>
    <w:rsid w:val="00E05113"/>
    <w:rsid w:val="00E12196"/>
    <w:rsid w:val="00E136C2"/>
    <w:rsid w:val="00E14052"/>
    <w:rsid w:val="00E22746"/>
    <w:rsid w:val="00E23A68"/>
    <w:rsid w:val="00E2402C"/>
    <w:rsid w:val="00E251C3"/>
    <w:rsid w:val="00E3196A"/>
    <w:rsid w:val="00E34BED"/>
    <w:rsid w:val="00E36352"/>
    <w:rsid w:val="00E37560"/>
    <w:rsid w:val="00E37BA4"/>
    <w:rsid w:val="00E41FB2"/>
    <w:rsid w:val="00E4377D"/>
    <w:rsid w:val="00E45C7B"/>
    <w:rsid w:val="00E45CDB"/>
    <w:rsid w:val="00E4605F"/>
    <w:rsid w:val="00E53102"/>
    <w:rsid w:val="00E549CB"/>
    <w:rsid w:val="00E557A2"/>
    <w:rsid w:val="00E5672F"/>
    <w:rsid w:val="00E568A1"/>
    <w:rsid w:val="00E62000"/>
    <w:rsid w:val="00E635DF"/>
    <w:rsid w:val="00E637AD"/>
    <w:rsid w:val="00E658A3"/>
    <w:rsid w:val="00E70C87"/>
    <w:rsid w:val="00E72836"/>
    <w:rsid w:val="00E76F49"/>
    <w:rsid w:val="00E77D8D"/>
    <w:rsid w:val="00E80CF4"/>
    <w:rsid w:val="00E83269"/>
    <w:rsid w:val="00E84A8A"/>
    <w:rsid w:val="00E860C4"/>
    <w:rsid w:val="00E9089D"/>
    <w:rsid w:val="00E948F9"/>
    <w:rsid w:val="00E975FA"/>
    <w:rsid w:val="00EA0814"/>
    <w:rsid w:val="00EA12E7"/>
    <w:rsid w:val="00EA189C"/>
    <w:rsid w:val="00EA315A"/>
    <w:rsid w:val="00EB16BB"/>
    <w:rsid w:val="00EB2FA5"/>
    <w:rsid w:val="00EB44F0"/>
    <w:rsid w:val="00EB6C0C"/>
    <w:rsid w:val="00EC1DB7"/>
    <w:rsid w:val="00EC39EE"/>
    <w:rsid w:val="00ED06E1"/>
    <w:rsid w:val="00ED096D"/>
    <w:rsid w:val="00ED4B88"/>
    <w:rsid w:val="00ED649A"/>
    <w:rsid w:val="00EE055C"/>
    <w:rsid w:val="00EE07CB"/>
    <w:rsid w:val="00EE0FB9"/>
    <w:rsid w:val="00EE269D"/>
    <w:rsid w:val="00EE2C7F"/>
    <w:rsid w:val="00EE4F28"/>
    <w:rsid w:val="00EE7AEE"/>
    <w:rsid w:val="00EF0F6B"/>
    <w:rsid w:val="00EF196E"/>
    <w:rsid w:val="00EF26DD"/>
    <w:rsid w:val="00EF2767"/>
    <w:rsid w:val="00EF2CB7"/>
    <w:rsid w:val="00EF4545"/>
    <w:rsid w:val="00EF63B7"/>
    <w:rsid w:val="00EF7E8A"/>
    <w:rsid w:val="00F00D20"/>
    <w:rsid w:val="00F013B2"/>
    <w:rsid w:val="00F0216D"/>
    <w:rsid w:val="00F04AD6"/>
    <w:rsid w:val="00F07E36"/>
    <w:rsid w:val="00F11D27"/>
    <w:rsid w:val="00F12779"/>
    <w:rsid w:val="00F12DD8"/>
    <w:rsid w:val="00F15242"/>
    <w:rsid w:val="00F274FD"/>
    <w:rsid w:val="00F3024C"/>
    <w:rsid w:val="00F31277"/>
    <w:rsid w:val="00F3143D"/>
    <w:rsid w:val="00F35094"/>
    <w:rsid w:val="00F362FC"/>
    <w:rsid w:val="00F37117"/>
    <w:rsid w:val="00F37E57"/>
    <w:rsid w:val="00F4134B"/>
    <w:rsid w:val="00F4235E"/>
    <w:rsid w:val="00F43C90"/>
    <w:rsid w:val="00F457A0"/>
    <w:rsid w:val="00F463AF"/>
    <w:rsid w:val="00F50974"/>
    <w:rsid w:val="00F54ADE"/>
    <w:rsid w:val="00F57657"/>
    <w:rsid w:val="00F57B13"/>
    <w:rsid w:val="00F604F1"/>
    <w:rsid w:val="00F639FB"/>
    <w:rsid w:val="00F67670"/>
    <w:rsid w:val="00F74007"/>
    <w:rsid w:val="00F74259"/>
    <w:rsid w:val="00F817B0"/>
    <w:rsid w:val="00F85383"/>
    <w:rsid w:val="00F865B0"/>
    <w:rsid w:val="00F900BD"/>
    <w:rsid w:val="00F9129F"/>
    <w:rsid w:val="00F93374"/>
    <w:rsid w:val="00F93E4A"/>
    <w:rsid w:val="00F948B4"/>
    <w:rsid w:val="00FA540F"/>
    <w:rsid w:val="00FB37DF"/>
    <w:rsid w:val="00FB501E"/>
    <w:rsid w:val="00FB5A9A"/>
    <w:rsid w:val="00FB6AF0"/>
    <w:rsid w:val="00FC2573"/>
    <w:rsid w:val="00FC58EA"/>
    <w:rsid w:val="00FC6FCB"/>
    <w:rsid w:val="00FD2EB5"/>
    <w:rsid w:val="00FD3A51"/>
    <w:rsid w:val="00FE0C9E"/>
    <w:rsid w:val="00FE3E9C"/>
    <w:rsid w:val="00FE40EC"/>
    <w:rsid w:val="00FF2494"/>
    <w:rsid w:val="00FF64CF"/>
    <w:rsid w:val="00FF6C29"/>
    <w:rsid w:val="00FF7C4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26C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B3C0B"/>
    <w:pPr>
      <w:keepNext/>
      <w:pageBreakBefore/>
      <w:numPr>
        <w:numId w:val="18"/>
      </w:numPr>
      <w:spacing w:after="360" w:line="240" w:lineRule="auto"/>
      <w:outlineLvl w:val="0"/>
    </w:pPr>
    <w:rPr>
      <w:rFonts w:ascii="Arial" w:eastAsia="Times New Roman" w:hAnsi="Arial" w:cs="Times New Roman"/>
      <w:b/>
      <w:caps/>
      <w:sz w:val="32"/>
      <w:szCs w:val="20"/>
    </w:rPr>
  </w:style>
  <w:style w:type="paragraph" w:styleId="Heading2">
    <w:name w:val="heading 2"/>
    <w:basedOn w:val="Normal"/>
    <w:next w:val="Normal"/>
    <w:link w:val="Heading2Char"/>
    <w:qFormat/>
    <w:rsid w:val="005B3C0B"/>
    <w:pPr>
      <w:keepNext/>
      <w:numPr>
        <w:ilvl w:val="1"/>
        <w:numId w:val="18"/>
      </w:numPr>
      <w:spacing w:before="480" w:after="240" w:line="240" w:lineRule="auto"/>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B3C0B"/>
    <w:pPr>
      <w:keepNext/>
      <w:numPr>
        <w:ilvl w:val="2"/>
        <w:numId w:val="18"/>
      </w:numPr>
      <w:tabs>
        <w:tab w:val="left" w:pos="1134"/>
      </w:tabs>
      <w:spacing w:before="360" w:after="12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B3C0B"/>
    <w:pPr>
      <w:keepNext/>
      <w:numPr>
        <w:ilvl w:val="3"/>
        <w:numId w:val="18"/>
      </w:numPr>
      <w:spacing w:before="240" w:after="120" w:line="240" w:lineRule="auto"/>
      <w:outlineLvl w:val="3"/>
    </w:pPr>
    <w:rPr>
      <w:rFonts w:ascii="Arial" w:eastAsia="Times New Roman" w:hAnsi="Arial" w:cs="Times New Roman"/>
      <w:i/>
      <w:szCs w:val="20"/>
      <w:u w:val="single"/>
    </w:rPr>
  </w:style>
  <w:style w:type="paragraph" w:styleId="Heading5">
    <w:name w:val="heading 5"/>
    <w:basedOn w:val="Normal"/>
    <w:next w:val="Normal"/>
    <w:link w:val="Heading5Char"/>
    <w:qFormat/>
    <w:rsid w:val="005B3C0B"/>
    <w:pPr>
      <w:keepNext/>
      <w:numPr>
        <w:ilvl w:val="4"/>
        <w:numId w:val="18"/>
      </w:numPr>
      <w:spacing w:after="0" w:line="240" w:lineRule="auto"/>
      <w:outlineLvl w:val="4"/>
    </w:pPr>
    <w:rPr>
      <w:rFonts w:ascii="Arial" w:eastAsia="Times New Roman" w:hAnsi="Arial" w:cs="Times New Roman"/>
      <w:i/>
      <w:szCs w:val="20"/>
    </w:rPr>
  </w:style>
  <w:style w:type="paragraph" w:styleId="Heading6">
    <w:name w:val="heading 6"/>
    <w:basedOn w:val="Normal"/>
    <w:next w:val="Normal"/>
    <w:link w:val="Heading6Char"/>
    <w:qFormat/>
    <w:rsid w:val="005B3C0B"/>
    <w:pPr>
      <w:keepNext/>
      <w:numPr>
        <w:ilvl w:val="5"/>
        <w:numId w:val="18"/>
      </w:numPr>
      <w:spacing w:after="0" w:line="240" w:lineRule="auto"/>
      <w:jc w:val="center"/>
      <w:outlineLvl w:val="5"/>
    </w:pPr>
    <w:rPr>
      <w:rFonts w:ascii="Arial" w:eastAsia="Times New Roman" w:hAnsi="Arial" w:cs="Arial"/>
      <w:b/>
      <w:szCs w:val="20"/>
    </w:rPr>
  </w:style>
  <w:style w:type="paragraph" w:styleId="Heading7">
    <w:name w:val="heading 7"/>
    <w:basedOn w:val="Normal"/>
    <w:next w:val="Normal"/>
    <w:link w:val="Heading7Char"/>
    <w:qFormat/>
    <w:rsid w:val="005B3C0B"/>
    <w:pPr>
      <w:keepNext/>
      <w:numPr>
        <w:ilvl w:val="6"/>
        <w:numId w:val="18"/>
      </w:numPr>
      <w:spacing w:after="0" w:line="240" w:lineRule="auto"/>
      <w:outlineLvl w:val="6"/>
    </w:pPr>
    <w:rPr>
      <w:rFonts w:ascii="Arial" w:eastAsia="Times New Roman" w:hAnsi="Arial" w:cs="Arial"/>
      <w:sz w:val="24"/>
      <w:szCs w:val="20"/>
      <w:u w:val="single"/>
    </w:rPr>
  </w:style>
  <w:style w:type="paragraph" w:styleId="Heading8">
    <w:name w:val="heading 8"/>
    <w:basedOn w:val="Normal"/>
    <w:next w:val="Normal"/>
    <w:link w:val="Heading8Char"/>
    <w:qFormat/>
    <w:rsid w:val="005B3C0B"/>
    <w:pPr>
      <w:keepNext/>
      <w:framePr w:hSpace="180" w:wrap="around" w:vAnchor="text" w:hAnchor="margin" w:xAlign="center" w:y="22"/>
      <w:numPr>
        <w:ilvl w:val="7"/>
        <w:numId w:val="18"/>
      </w:numPr>
      <w:spacing w:after="0" w:line="240" w:lineRule="auto"/>
      <w:outlineLvl w:val="7"/>
    </w:pPr>
    <w:rPr>
      <w:rFonts w:ascii="Arial" w:eastAsia="Times New Roman" w:hAnsi="Arial" w:cs="Arial"/>
      <w:b/>
      <w:sz w:val="20"/>
      <w:szCs w:val="20"/>
      <w:lang w:eastAsia="en-GB"/>
    </w:rPr>
  </w:style>
  <w:style w:type="paragraph" w:styleId="Heading9">
    <w:name w:val="heading 9"/>
    <w:basedOn w:val="Normal"/>
    <w:next w:val="Normal"/>
    <w:link w:val="Heading9Char"/>
    <w:qFormat/>
    <w:rsid w:val="005B3C0B"/>
    <w:pPr>
      <w:numPr>
        <w:ilvl w:val="8"/>
        <w:numId w:val="18"/>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551BD2"/>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551BD2"/>
    <w:rPr>
      <w:rFonts w:ascii="Times" w:hAnsi="Times"/>
      <w:sz w:val="20"/>
      <w:szCs w:val="20"/>
    </w:rPr>
  </w:style>
  <w:style w:type="character" w:styleId="Hyperlink">
    <w:name w:val="Hyperlink"/>
    <w:basedOn w:val="DefaultParagraphFont"/>
    <w:uiPriority w:val="99"/>
    <w:unhideWhenUsed/>
    <w:rsid w:val="00551BD2"/>
    <w:rPr>
      <w:color w:val="0000FF"/>
      <w:u w:val="single"/>
    </w:rPr>
  </w:style>
  <w:style w:type="paragraph" w:customStyle="1" w:styleId="desc">
    <w:name w:val="desc"/>
    <w:basedOn w:val="Normal"/>
    <w:rsid w:val="00551BD2"/>
    <w:pPr>
      <w:spacing w:before="100" w:beforeAutospacing="1" w:after="100" w:afterAutospacing="1" w:line="240" w:lineRule="auto"/>
    </w:pPr>
    <w:rPr>
      <w:rFonts w:ascii="Times" w:hAnsi="Times"/>
      <w:sz w:val="20"/>
      <w:szCs w:val="20"/>
    </w:rPr>
  </w:style>
  <w:style w:type="paragraph" w:customStyle="1" w:styleId="details">
    <w:name w:val="details"/>
    <w:basedOn w:val="Normal"/>
    <w:rsid w:val="00551BD2"/>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551BD2"/>
  </w:style>
  <w:style w:type="paragraph" w:styleId="ListParagraph">
    <w:name w:val="List Paragraph"/>
    <w:basedOn w:val="Normal"/>
    <w:uiPriority w:val="34"/>
    <w:qFormat/>
    <w:rsid w:val="00551BD2"/>
    <w:pPr>
      <w:ind w:left="720"/>
      <w:contextualSpacing/>
    </w:pPr>
  </w:style>
  <w:style w:type="character" w:styleId="CommentReference">
    <w:name w:val="annotation reference"/>
    <w:basedOn w:val="DefaultParagraphFont"/>
    <w:uiPriority w:val="99"/>
    <w:unhideWhenUsed/>
    <w:rsid w:val="00614BD5"/>
    <w:rPr>
      <w:sz w:val="16"/>
      <w:szCs w:val="16"/>
    </w:rPr>
  </w:style>
  <w:style w:type="paragraph" w:styleId="CommentText">
    <w:name w:val="annotation text"/>
    <w:basedOn w:val="Normal"/>
    <w:link w:val="CommentTextChar"/>
    <w:uiPriority w:val="99"/>
    <w:unhideWhenUsed/>
    <w:rsid w:val="00614BD5"/>
    <w:pPr>
      <w:spacing w:line="240" w:lineRule="auto"/>
    </w:pPr>
    <w:rPr>
      <w:sz w:val="20"/>
      <w:szCs w:val="20"/>
    </w:rPr>
  </w:style>
  <w:style w:type="character" w:customStyle="1" w:styleId="CommentTextChar">
    <w:name w:val="Comment Text Char"/>
    <w:basedOn w:val="DefaultParagraphFont"/>
    <w:link w:val="CommentText"/>
    <w:uiPriority w:val="99"/>
    <w:rsid w:val="00614BD5"/>
    <w:rPr>
      <w:sz w:val="20"/>
      <w:szCs w:val="20"/>
    </w:rPr>
  </w:style>
  <w:style w:type="paragraph" w:styleId="CommentSubject">
    <w:name w:val="annotation subject"/>
    <w:basedOn w:val="CommentText"/>
    <w:next w:val="CommentText"/>
    <w:link w:val="CommentSubjectChar"/>
    <w:uiPriority w:val="99"/>
    <w:semiHidden/>
    <w:unhideWhenUsed/>
    <w:rsid w:val="00614BD5"/>
    <w:rPr>
      <w:b/>
      <w:bCs/>
    </w:rPr>
  </w:style>
  <w:style w:type="character" w:customStyle="1" w:styleId="CommentSubjectChar">
    <w:name w:val="Comment Subject Char"/>
    <w:basedOn w:val="CommentTextChar"/>
    <w:link w:val="CommentSubject"/>
    <w:uiPriority w:val="99"/>
    <w:semiHidden/>
    <w:rsid w:val="00614BD5"/>
    <w:rPr>
      <w:b/>
      <w:bCs/>
      <w:sz w:val="20"/>
      <w:szCs w:val="20"/>
    </w:rPr>
  </w:style>
  <w:style w:type="paragraph" w:styleId="BalloonText">
    <w:name w:val="Balloon Text"/>
    <w:basedOn w:val="Normal"/>
    <w:link w:val="BalloonTextChar"/>
    <w:uiPriority w:val="99"/>
    <w:semiHidden/>
    <w:unhideWhenUsed/>
    <w:rsid w:val="0061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D5"/>
    <w:rPr>
      <w:rFonts w:ascii="Tahoma" w:hAnsi="Tahoma" w:cs="Tahoma"/>
      <w:sz w:val="16"/>
      <w:szCs w:val="16"/>
    </w:rPr>
  </w:style>
  <w:style w:type="paragraph" w:styleId="Caption">
    <w:name w:val="caption"/>
    <w:basedOn w:val="Normal"/>
    <w:next w:val="Normal"/>
    <w:uiPriority w:val="35"/>
    <w:unhideWhenUsed/>
    <w:qFormat/>
    <w:rsid w:val="00E80CF4"/>
    <w:pPr>
      <w:spacing w:line="240" w:lineRule="auto"/>
    </w:pPr>
    <w:rPr>
      <w:b/>
      <w:bCs/>
      <w:color w:val="4F81BD" w:themeColor="accent1"/>
      <w:sz w:val="18"/>
      <w:szCs w:val="18"/>
    </w:rPr>
  </w:style>
  <w:style w:type="table" w:styleId="TableGrid">
    <w:name w:val="Table Grid"/>
    <w:basedOn w:val="TableNormal"/>
    <w:uiPriority w:val="59"/>
    <w:rsid w:val="005802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65D81"/>
    <w:pPr>
      <w:spacing w:after="0" w:line="240" w:lineRule="auto"/>
    </w:pPr>
  </w:style>
  <w:style w:type="table" w:styleId="LightShading-Accent1">
    <w:name w:val="Light Shading Accent 1"/>
    <w:basedOn w:val="TableNormal"/>
    <w:uiPriority w:val="60"/>
    <w:rsid w:val="0053607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rsid w:val="005E583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E5839"/>
    <w:rPr>
      <w:rFonts w:ascii="Calibri" w:hAnsi="Calibri"/>
      <w:noProof/>
      <w:lang w:val="en-US"/>
    </w:rPr>
  </w:style>
  <w:style w:type="paragraph" w:customStyle="1" w:styleId="EndNoteBibliography">
    <w:name w:val="EndNote Bibliography"/>
    <w:basedOn w:val="Normal"/>
    <w:link w:val="EndNoteBibliographyChar"/>
    <w:rsid w:val="005E583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E5839"/>
    <w:rPr>
      <w:rFonts w:ascii="Calibri" w:hAnsi="Calibri"/>
      <w:noProof/>
      <w:lang w:val="en-US"/>
    </w:rPr>
  </w:style>
  <w:style w:type="paragraph" w:styleId="Header">
    <w:name w:val="header"/>
    <w:basedOn w:val="Normal"/>
    <w:link w:val="HeaderChar"/>
    <w:uiPriority w:val="99"/>
    <w:unhideWhenUsed/>
    <w:rsid w:val="003D2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84E"/>
  </w:style>
  <w:style w:type="paragraph" w:styleId="Footer">
    <w:name w:val="footer"/>
    <w:basedOn w:val="Normal"/>
    <w:link w:val="FooterChar"/>
    <w:uiPriority w:val="99"/>
    <w:unhideWhenUsed/>
    <w:rsid w:val="003D2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84E"/>
  </w:style>
  <w:style w:type="paragraph" w:styleId="DocumentMap">
    <w:name w:val="Document Map"/>
    <w:basedOn w:val="Normal"/>
    <w:link w:val="DocumentMapChar"/>
    <w:uiPriority w:val="99"/>
    <w:semiHidden/>
    <w:unhideWhenUsed/>
    <w:rsid w:val="00A53F8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3F84"/>
    <w:rPr>
      <w:rFonts w:ascii="Times New Roman" w:hAnsi="Times New Roman" w:cs="Times New Roman"/>
      <w:sz w:val="24"/>
      <w:szCs w:val="24"/>
    </w:rPr>
  </w:style>
  <w:style w:type="character" w:customStyle="1" w:styleId="Heading1Char">
    <w:name w:val="Heading 1 Char"/>
    <w:basedOn w:val="DefaultParagraphFont"/>
    <w:link w:val="Heading1"/>
    <w:rsid w:val="005B3C0B"/>
    <w:rPr>
      <w:rFonts w:ascii="Arial" w:eastAsia="Times New Roman" w:hAnsi="Arial" w:cs="Times New Roman"/>
      <w:b/>
      <w:caps/>
      <w:sz w:val="32"/>
      <w:szCs w:val="20"/>
    </w:rPr>
  </w:style>
  <w:style w:type="character" w:customStyle="1" w:styleId="Heading2Char">
    <w:name w:val="Heading 2 Char"/>
    <w:basedOn w:val="DefaultParagraphFont"/>
    <w:link w:val="Heading2"/>
    <w:rsid w:val="005B3C0B"/>
    <w:rPr>
      <w:rFonts w:ascii="Arial" w:eastAsia="Times New Roman" w:hAnsi="Arial" w:cs="Times New Roman"/>
      <w:b/>
      <w:sz w:val="28"/>
      <w:szCs w:val="20"/>
    </w:rPr>
  </w:style>
  <w:style w:type="character" w:customStyle="1" w:styleId="Heading3Char">
    <w:name w:val="Heading 3 Char"/>
    <w:basedOn w:val="DefaultParagraphFont"/>
    <w:link w:val="Heading3"/>
    <w:rsid w:val="005B3C0B"/>
    <w:rPr>
      <w:rFonts w:ascii="Arial" w:eastAsia="Times New Roman" w:hAnsi="Arial" w:cs="Arial"/>
      <w:b/>
      <w:bCs/>
      <w:sz w:val="26"/>
      <w:szCs w:val="26"/>
    </w:rPr>
  </w:style>
  <w:style w:type="character" w:customStyle="1" w:styleId="Heading4Char">
    <w:name w:val="Heading 4 Char"/>
    <w:basedOn w:val="DefaultParagraphFont"/>
    <w:link w:val="Heading4"/>
    <w:rsid w:val="005B3C0B"/>
    <w:rPr>
      <w:rFonts w:ascii="Arial" w:eastAsia="Times New Roman" w:hAnsi="Arial" w:cs="Times New Roman"/>
      <w:i/>
      <w:szCs w:val="20"/>
      <w:u w:val="single"/>
    </w:rPr>
  </w:style>
  <w:style w:type="character" w:customStyle="1" w:styleId="Heading5Char">
    <w:name w:val="Heading 5 Char"/>
    <w:basedOn w:val="DefaultParagraphFont"/>
    <w:link w:val="Heading5"/>
    <w:rsid w:val="005B3C0B"/>
    <w:rPr>
      <w:rFonts w:ascii="Arial" w:eastAsia="Times New Roman" w:hAnsi="Arial" w:cs="Times New Roman"/>
      <w:i/>
      <w:szCs w:val="20"/>
    </w:rPr>
  </w:style>
  <w:style w:type="character" w:customStyle="1" w:styleId="Heading6Char">
    <w:name w:val="Heading 6 Char"/>
    <w:basedOn w:val="DefaultParagraphFont"/>
    <w:link w:val="Heading6"/>
    <w:rsid w:val="005B3C0B"/>
    <w:rPr>
      <w:rFonts w:ascii="Arial" w:eastAsia="Times New Roman" w:hAnsi="Arial" w:cs="Arial"/>
      <w:b/>
      <w:szCs w:val="20"/>
    </w:rPr>
  </w:style>
  <w:style w:type="character" w:customStyle="1" w:styleId="Heading7Char">
    <w:name w:val="Heading 7 Char"/>
    <w:basedOn w:val="DefaultParagraphFont"/>
    <w:link w:val="Heading7"/>
    <w:rsid w:val="005B3C0B"/>
    <w:rPr>
      <w:rFonts w:ascii="Arial" w:eastAsia="Times New Roman" w:hAnsi="Arial" w:cs="Arial"/>
      <w:sz w:val="24"/>
      <w:szCs w:val="20"/>
      <w:u w:val="single"/>
    </w:rPr>
  </w:style>
  <w:style w:type="character" w:customStyle="1" w:styleId="Heading8Char">
    <w:name w:val="Heading 8 Char"/>
    <w:basedOn w:val="DefaultParagraphFont"/>
    <w:link w:val="Heading8"/>
    <w:rsid w:val="005B3C0B"/>
    <w:rPr>
      <w:rFonts w:ascii="Arial" w:eastAsia="Times New Roman" w:hAnsi="Arial" w:cs="Arial"/>
      <w:b/>
      <w:sz w:val="20"/>
      <w:szCs w:val="20"/>
      <w:lang w:eastAsia="en-GB"/>
    </w:rPr>
  </w:style>
  <w:style w:type="character" w:customStyle="1" w:styleId="Heading9Char">
    <w:name w:val="Heading 9 Char"/>
    <w:basedOn w:val="DefaultParagraphFont"/>
    <w:link w:val="Heading9"/>
    <w:rsid w:val="005B3C0B"/>
    <w:rPr>
      <w:rFonts w:ascii="Cambria" w:eastAsia="Times New Roman" w:hAnsi="Cambria" w:cs="Times New Roman"/>
    </w:rPr>
  </w:style>
  <w:style w:type="character" w:styleId="PageNumber">
    <w:name w:val="page number"/>
    <w:basedOn w:val="DefaultParagraphFont"/>
    <w:uiPriority w:val="99"/>
    <w:semiHidden/>
    <w:unhideWhenUsed/>
    <w:rsid w:val="00984FB8"/>
  </w:style>
  <w:style w:type="paragraph" w:styleId="NoSpacing">
    <w:name w:val="No Spacing"/>
    <w:uiPriority w:val="1"/>
    <w:qFormat/>
    <w:rsid w:val="00B33871"/>
    <w:pPr>
      <w:spacing w:after="0" w:line="240" w:lineRule="auto"/>
      <w:jc w:val="both"/>
    </w:pPr>
    <w:rPr>
      <w:rFonts w:ascii="Arial" w:eastAsia="Times New Roman" w:hAnsi="Arial" w:cs="Times New Roman"/>
      <w:szCs w:val="24"/>
    </w:rPr>
  </w:style>
  <w:style w:type="paragraph" w:customStyle="1" w:styleId="All">
    <w:name w:val="All"/>
    <w:basedOn w:val="Normal"/>
    <w:link w:val="AllChar"/>
    <w:qFormat/>
    <w:rsid w:val="008D2221"/>
    <w:pPr>
      <w:spacing w:after="0" w:line="360" w:lineRule="auto"/>
      <w:jc w:val="both"/>
    </w:pPr>
    <w:rPr>
      <w:rFonts w:eastAsia="Calibri" w:cs="Calibri"/>
      <w:sz w:val="24"/>
      <w:szCs w:val="24"/>
    </w:rPr>
  </w:style>
  <w:style w:type="character" w:customStyle="1" w:styleId="AllChar">
    <w:name w:val="All Char"/>
    <w:basedOn w:val="DefaultParagraphFont"/>
    <w:link w:val="All"/>
    <w:rsid w:val="008D2221"/>
    <w:rPr>
      <w:rFonts w:eastAsia="Calibri" w:cs="Calibri"/>
      <w:sz w:val="24"/>
      <w:szCs w:val="24"/>
    </w:rPr>
  </w:style>
  <w:style w:type="paragraph" w:customStyle="1" w:styleId="p1">
    <w:name w:val="p1"/>
    <w:basedOn w:val="Normal"/>
    <w:rsid w:val="00732D49"/>
    <w:pPr>
      <w:spacing w:after="0" w:line="240" w:lineRule="auto"/>
    </w:pPr>
    <w:rPr>
      <w:rFonts w:ascii="Helvetica" w:hAnsi="Helvetica" w:cs="Times New Roman"/>
      <w:sz w:val="12"/>
      <w:szCs w:val="12"/>
      <w:lang w:val="en-US"/>
    </w:rPr>
  </w:style>
  <w:style w:type="character" w:customStyle="1" w:styleId="s1">
    <w:name w:val="s1"/>
    <w:basedOn w:val="DefaultParagraphFont"/>
    <w:rsid w:val="00732D49"/>
    <w:rPr>
      <w:rFonts w:ascii="Times" w:hAnsi="Times" w:hint="default"/>
      <w:sz w:val="12"/>
      <w:szCs w:val="12"/>
    </w:rPr>
  </w:style>
  <w:style w:type="paragraph" w:styleId="PlainText">
    <w:name w:val="Plain Text"/>
    <w:basedOn w:val="Normal"/>
    <w:link w:val="PlainTextChar"/>
    <w:uiPriority w:val="99"/>
    <w:unhideWhenUsed/>
    <w:rsid w:val="00F57657"/>
    <w:pPr>
      <w:spacing w:after="0" w:line="240" w:lineRule="auto"/>
    </w:pPr>
    <w:rPr>
      <w:rFonts w:ascii="Times New Roman" w:hAnsi="Times New Roman" w:cs="Times New Roman"/>
      <w:sz w:val="24"/>
      <w:szCs w:val="24"/>
      <w:lang w:val="en-US"/>
    </w:rPr>
  </w:style>
  <w:style w:type="character" w:customStyle="1" w:styleId="PlainTextChar">
    <w:name w:val="Plain Text Char"/>
    <w:basedOn w:val="DefaultParagraphFont"/>
    <w:link w:val="PlainText"/>
    <w:uiPriority w:val="99"/>
    <w:rsid w:val="00F5765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2770">
      <w:bodyDiv w:val="1"/>
      <w:marLeft w:val="0"/>
      <w:marRight w:val="0"/>
      <w:marTop w:val="0"/>
      <w:marBottom w:val="0"/>
      <w:divBdr>
        <w:top w:val="none" w:sz="0" w:space="0" w:color="auto"/>
        <w:left w:val="none" w:sz="0" w:space="0" w:color="auto"/>
        <w:bottom w:val="none" w:sz="0" w:space="0" w:color="auto"/>
        <w:right w:val="none" w:sz="0" w:space="0" w:color="auto"/>
      </w:divBdr>
      <w:divsChild>
        <w:div w:id="1901667938">
          <w:marLeft w:val="0"/>
          <w:marRight w:val="0"/>
          <w:marTop w:val="0"/>
          <w:marBottom w:val="0"/>
          <w:divBdr>
            <w:top w:val="none" w:sz="0" w:space="0" w:color="auto"/>
            <w:left w:val="none" w:sz="0" w:space="0" w:color="auto"/>
            <w:bottom w:val="none" w:sz="0" w:space="0" w:color="auto"/>
            <w:right w:val="none" w:sz="0" w:space="0" w:color="auto"/>
          </w:divBdr>
        </w:div>
      </w:divsChild>
    </w:div>
    <w:div w:id="181287219">
      <w:bodyDiv w:val="1"/>
      <w:marLeft w:val="0"/>
      <w:marRight w:val="0"/>
      <w:marTop w:val="0"/>
      <w:marBottom w:val="0"/>
      <w:divBdr>
        <w:top w:val="none" w:sz="0" w:space="0" w:color="auto"/>
        <w:left w:val="none" w:sz="0" w:space="0" w:color="auto"/>
        <w:bottom w:val="none" w:sz="0" w:space="0" w:color="auto"/>
        <w:right w:val="none" w:sz="0" w:space="0" w:color="auto"/>
      </w:divBdr>
    </w:div>
    <w:div w:id="205872356">
      <w:bodyDiv w:val="1"/>
      <w:marLeft w:val="0"/>
      <w:marRight w:val="0"/>
      <w:marTop w:val="0"/>
      <w:marBottom w:val="0"/>
      <w:divBdr>
        <w:top w:val="none" w:sz="0" w:space="0" w:color="auto"/>
        <w:left w:val="none" w:sz="0" w:space="0" w:color="auto"/>
        <w:bottom w:val="none" w:sz="0" w:space="0" w:color="auto"/>
        <w:right w:val="none" w:sz="0" w:space="0" w:color="auto"/>
      </w:divBdr>
    </w:div>
    <w:div w:id="295530648">
      <w:bodyDiv w:val="1"/>
      <w:marLeft w:val="0"/>
      <w:marRight w:val="0"/>
      <w:marTop w:val="0"/>
      <w:marBottom w:val="0"/>
      <w:divBdr>
        <w:top w:val="none" w:sz="0" w:space="0" w:color="auto"/>
        <w:left w:val="none" w:sz="0" w:space="0" w:color="auto"/>
        <w:bottom w:val="none" w:sz="0" w:space="0" w:color="auto"/>
        <w:right w:val="none" w:sz="0" w:space="0" w:color="auto"/>
      </w:divBdr>
      <w:divsChild>
        <w:div w:id="1088624182">
          <w:marLeft w:val="0"/>
          <w:marRight w:val="0"/>
          <w:marTop w:val="0"/>
          <w:marBottom w:val="0"/>
          <w:divBdr>
            <w:top w:val="none" w:sz="0" w:space="0" w:color="auto"/>
            <w:left w:val="none" w:sz="0" w:space="0" w:color="auto"/>
            <w:bottom w:val="none" w:sz="0" w:space="0" w:color="auto"/>
            <w:right w:val="none" w:sz="0" w:space="0" w:color="auto"/>
          </w:divBdr>
          <w:divsChild>
            <w:div w:id="2136945099">
              <w:marLeft w:val="0"/>
              <w:marRight w:val="0"/>
              <w:marTop w:val="0"/>
              <w:marBottom w:val="0"/>
              <w:divBdr>
                <w:top w:val="none" w:sz="0" w:space="0" w:color="auto"/>
                <w:left w:val="none" w:sz="0" w:space="0" w:color="auto"/>
                <w:bottom w:val="none" w:sz="0" w:space="0" w:color="auto"/>
                <w:right w:val="none" w:sz="0" w:space="0" w:color="auto"/>
              </w:divBdr>
            </w:div>
            <w:div w:id="349989613">
              <w:marLeft w:val="0"/>
              <w:marRight w:val="0"/>
              <w:marTop w:val="0"/>
              <w:marBottom w:val="0"/>
              <w:divBdr>
                <w:top w:val="none" w:sz="0" w:space="0" w:color="auto"/>
                <w:left w:val="none" w:sz="0" w:space="0" w:color="auto"/>
                <w:bottom w:val="none" w:sz="0" w:space="0" w:color="auto"/>
                <w:right w:val="none" w:sz="0" w:space="0" w:color="auto"/>
              </w:divBdr>
              <w:divsChild>
                <w:div w:id="1408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6865">
      <w:bodyDiv w:val="1"/>
      <w:marLeft w:val="0"/>
      <w:marRight w:val="0"/>
      <w:marTop w:val="0"/>
      <w:marBottom w:val="0"/>
      <w:divBdr>
        <w:top w:val="none" w:sz="0" w:space="0" w:color="auto"/>
        <w:left w:val="none" w:sz="0" w:space="0" w:color="auto"/>
        <w:bottom w:val="none" w:sz="0" w:space="0" w:color="auto"/>
        <w:right w:val="none" w:sz="0" w:space="0" w:color="auto"/>
      </w:divBdr>
    </w:div>
    <w:div w:id="526597968">
      <w:bodyDiv w:val="1"/>
      <w:marLeft w:val="0"/>
      <w:marRight w:val="0"/>
      <w:marTop w:val="0"/>
      <w:marBottom w:val="0"/>
      <w:divBdr>
        <w:top w:val="none" w:sz="0" w:space="0" w:color="auto"/>
        <w:left w:val="none" w:sz="0" w:space="0" w:color="auto"/>
        <w:bottom w:val="none" w:sz="0" w:space="0" w:color="auto"/>
        <w:right w:val="none" w:sz="0" w:space="0" w:color="auto"/>
      </w:divBdr>
    </w:div>
    <w:div w:id="751126545">
      <w:bodyDiv w:val="1"/>
      <w:marLeft w:val="0"/>
      <w:marRight w:val="0"/>
      <w:marTop w:val="0"/>
      <w:marBottom w:val="0"/>
      <w:divBdr>
        <w:top w:val="none" w:sz="0" w:space="0" w:color="auto"/>
        <w:left w:val="none" w:sz="0" w:space="0" w:color="auto"/>
        <w:bottom w:val="none" w:sz="0" w:space="0" w:color="auto"/>
        <w:right w:val="none" w:sz="0" w:space="0" w:color="auto"/>
      </w:divBdr>
      <w:divsChild>
        <w:div w:id="2064474573">
          <w:marLeft w:val="0"/>
          <w:marRight w:val="0"/>
          <w:marTop w:val="0"/>
          <w:marBottom w:val="0"/>
          <w:divBdr>
            <w:top w:val="none" w:sz="0" w:space="0" w:color="auto"/>
            <w:left w:val="none" w:sz="0" w:space="0" w:color="auto"/>
            <w:bottom w:val="none" w:sz="0" w:space="0" w:color="auto"/>
            <w:right w:val="none" w:sz="0" w:space="0" w:color="auto"/>
          </w:divBdr>
        </w:div>
      </w:divsChild>
    </w:div>
    <w:div w:id="848250880">
      <w:bodyDiv w:val="1"/>
      <w:marLeft w:val="0"/>
      <w:marRight w:val="0"/>
      <w:marTop w:val="0"/>
      <w:marBottom w:val="0"/>
      <w:divBdr>
        <w:top w:val="none" w:sz="0" w:space="0" w:color="auto"/>
        <w:left w:val="none" w:sz="0" w:space="0" w:color="auto"/>
        <w:bottom w:val="none" w:sz="0" w:space="0" w:color="auto"/>
        <w:right w:val="none" w:sz="0" w:space="0" w:color="auto"/>
      </w:divBdr>
    </w:div>
    <w:div w:id="972832074">
      <w:bodyDiv w:val="1"/>
      <w:marLeft w:val="0"/>
      <w:marRight w:val="0"/>
      <w:marTop w:val="0"/>
      <w:marBottom w:val="0"/>
      <w:divBdr>
        <w:top w:val="none" w:sz="0" w:space="0" w:color="auto"/>
        <w:left w:val="none" w:sz="0" w:space="0" w:color="auto"/>
        <w:bottom w:val="none" w:sz="0" w:space="0" w:color="auto"/>
        <w:right w:val="none" w:sz="0" w:space="0" w:color="auto"/>
      </w:divBdr>
      <w:divsChild>
        <w:div w:id="276760637">
          <w:marLeft w:val="1382"/>
          <w:marRight w:val="0"/>
          <w:marTop w:val="86"/>
          <w:marBottom w:val="0"/>
          <w:divBdr>
            <w:top w:val="none" w:sz="0" w:space="0" w:color="auto"/>
            <w:left w:val="none" w:sz="0" w:space="0" w:color="auto"/>
            <w:bottom w:val="none" w:sz="0" w:space="0" w:color="auto"/>
            <w:right w:val="none" w:sz="0" w:space="0" w:color="auto"/>
          </w:divBdr>
        </w:div>
        <w:div w:id="875387594">
          <w:marLeft w:val="1800"/>
          <w:marRight w:val="0"/>
          <w:marTop w:val="86"/>
          <w:marBottom w:val="0"/>
          <w:divBdr>
            <w:top w:val="none" w:sz="0" w:space="0" w:color="auto"/>
            <w:left w:val="none" w:sz="0" w:space="0" w:color="auto"/>
            <w:bottom w:val="none" w:sz="0" w:space="0" w:color="auto"/>
            <w:right w:val="none" w:sz="0" w:space="0" w:color="auto"/>
          </w:divBdr>
        </w:div>
        <w:div w:id="1254363125">
          <w:marLeft w:val="1800"/>
          <w:marRight w:val="0"/>
          <w:marTop w:val="86"/>
          <w:marBottom w:val="0"/>
          <w:divBdr>
            <w:top w:val="none" w:sz="0" w:space="0" w:color="auto"/>
            <w:left w:val="none" w:sz="0" w:space="0" w:color="auto"/>
            <w:bottom w:val="none" w:sz="0" w:space="0" w:color="auto"/>
            <w:right w:val="none" w:sz="0" w:space="0" w:color="auto"/>
          </w:divBdr>
        </w:div>
        <w:div w:id="1878005776">
          <w:marLeft w:val="1800"/>
          <w:marRight w:val="0"/>
          <w:marTop w:val="86"/>
          <w:marBottom w:val="0"/>
          <w:divBdr>
            <w:top w:val="none" w:sz="0" w:space="0" w:color="auto"/>
            <w:left w:val="none" w:sz="0" w:space="0" w:color="auto"/>
            <w:bottom w:val="none" w:sz="0" w:space="0" w:color="auto"/>
            <w:right w:val="none" w:sz="0" w:space="0" w:color="auto"/>
          </w:divBdr>
        </w:div>
        <w:div w:id="2009213757">
          <w:marLeft w:val="1800"/>
          <w:marRight w:val="0"/>
          <w:marTop w:val="86"/>
          <w:marBottom w:val="0"/>
          <w:divBdr>
            <w:top w:val="none" w:sz="0" w:space="0" w:color="auto"/>
            <w:left w:val="none" w:sz="0" w:space="0" w:color="auto"/>
            <w:bottom w:val="none" w:sz="0" w:space="0" w:color="auto"/>
            <w:right w:val="none" w:sz="0" w:space="0" w:color="auto"/>
          </w:divBdr>
        </w:div>
      </w:divsChild>
    </w:div>
    <w:div w:id="991954611">
      <w:bodyDiv w:val="1"/>
      <w:marLeft w:val="0"/>
      <w:marRight w:val="0"/>
      <w:marTop w:val="0"/>
      <w:marBottom w:val="0"/>
      <w:divBdr>
        <w:top w:val="none" w:sz="0" w:space="0" w:color="auto"/>
        <w:left w:val="none" w:sz="0" w:space="0" w:color="auto"/>
        <w:bottom w:val="none" w:sz="0" w:space="0" w:color="auto"/>
        <w:right w:val="none" w:sz="0" w:space="0" w:color="auto"/>
      </w:divBdr>
      <w:divsChild>
        <w:div w:id="1546216310">
          <w:marLeft w:val="0"/>
          <w:marRight w:val="0"/>
          <w:marTop w:val="0"/>
          <w:marBottom w:val="0"/>
          <w:divBdr>
            <w:top w:val="single" w:sz="2" w:space="0" w:color="CCCCCC"/>
            <w:left w:val="single" w:sz="6" w:space="11" w:color="CCCCCC"/>
            <w:bottom w:val="single" w:sz="6" w:space="0" w:color="CCCCCC"/>
            <w:right w:val="single" w:sz="6" w:space="11" w:color="CCCCCC"/>
          </w:divBdr>
          <w:divsChild>
            <w:div w:id="1858303780">
              <w:marLeft w:val="0"/>
              <w:marRight w:val="0"/>
              <w:marTop w:val="0"/>
              <w:marBottom w:val="0"/>
              <w:divBdr>
                <w:top w:val="none" w:sz="0" w:space="0" w:color="auto"/>
                <w:left w:val="none" w:sz="0" w:space="0" w:color="auto"/>
                <w:bottom w:val="none" w:sz="0" w:space="0" w:color="auto"/>
                <w:right w:val="single" w:sz="6" w:space="0" w:color="CCCCCC"/>
              </w:divBdr>
              <w:divsChild>
                <w:div w:id="542787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8640014">
      <w:bodyDiv w:val="1"/>
      <w:marLeft w:val="0"/>
      <w:marRight w:val="0"/>
      <w:marTop w:val="0"/>
      <w:marBottom w:val="0"/>
      <w:divBdr>
        <w:top w:val="none" w:sz="0" w:space="0" w:color="auto"/>
        <w:left w:val="none" w:sz="0" w:space="0" w:color="auto"/>
        <w:bottom w:val="none" w:sz="0" w:space="0" w:color="auto"/>
        <w:right w:val="none" w:sz="0" w:space="0" w:color="auto"/>
      </w:divBdr>
      <w:divsChild>
        <w:div w:id="689450549">
          <w:marLeft w:val="0"/>
          <w:marRight w:val="0"/>
          <w:marTop w:val="0"/>
          <w:marBottom w:val="0"/>
          <w:divBdr>
            <w:top w:val="none" w:sz="0" w:space="0" w:color="auto"/>
            <w:left w:val="none" w:sz="0" w:space="0" w:color="auto"/>
            <w:bottom w:val="none" w:sz="0" w:space="0" w:color="auto"/>
            <w:right w:val="none" w:sz="0" w:space="0" w:color="auto"/>
          </w:divBdr>
        </w:div>
      </w:divsChild>
    </w:div>
    <w:div w:id="1199514988">
      <w:bodyDiv w:val="1"/>
      <w:marLeft w:val="0"/>
      <w:marRight w:val="0"/>
      <w:marTop w:val="0"/>
      <w:marBottom w:val="0"/>
      <w:divBdr>
        <w:top w:val="none" w:sz="0" w:space="0" w:color="auto"/>
        <w:left w:val="none" w:sz="0" w:space="0" w:color="auto"/>
        <w:bottom w:val="none" w:sz="0" w:space="0" w:color="auto"/>
        <w:right w:val="none" w:sz="0" w:space="0" w:color="auto"/>
      </w:divBdr>
    </w:div>
    <w:div w:id="1357543829">
      <w:bodyDiv w:val="1"/>
      <w:marLeft w:val="0"/>
      <w:marRight w:val="0"/>
      <w:marTop w:val="0"/>
      <w:marBottom w:val="0"/>
      <w:divBdr>
        <w:top w:val="none" w:sz="0" w:space="0" w:color="auto"/>
        <w:left w:val="none" w:sz="0" w:space="0" w:color="auto"/>
        <w:bottom w:val="none" w:sz="0" w:space="0" w:color="auto"/>
        <w:right w:val="none" w:sz="0" w:space="0" w:color="auto"/>
      </w:divBdr>
      <w:divsChild>
        <w:div w:id="1086420846">
          <w:marLeft w:val="0"/>
          <w:marRight w:val="0"/>
          <w:marTop w:val="0"/>
          <w:marBottom w:val="0"/>
          <w:divBdr>
            <w:top w:val="none" w:sz="0" w:space="0" w:color="auto"/>
            <w:left w:val="none" w:sz="0" w:space="0" w:color="auto"/>
            <w:bottom w:val="none" w:sz="0" w:space="0" w:color="auto"/>
            <w:right w:val="none" w:sz="0" w:space="0" w:color="auto"/>
          </w:divBdr>
        </w:div>
      </w:divsChild>
    </w:div>
    <w:div w:id="1409763042">
      <w:bodyDiv w:val="1"/>
      <w:marLeft w:val="0"/>
      <w:marRight w:val="0"/>
      <w:marTop w:val="0"/>
      <w:marBottom w:val="0"/>
      <w:divBdr>
        <w:top w:val="none" w:sz="0" w:space="0" w:color="auto"/>
        <w:left w:val="none" w:sz="0" w:space="0" w:color="auto"/>
        <w:bottom w:val="none" w:sz="0" w:space="0" w:color="auto"/>
        <w:right w:val="none" w:sz="0" w:space="0" w:color="auto"/>
      </w:divBdr>
    </w:div>
    <w:div w:id="1545286918">
      <w:bodyDiv w:val="1"/>
      <w:marLeft w:val="0"/>
      <w:marRight w:val="0"/>
      <w:marTop w:val="0"/>
      <w:marBottom w:val="0"/>
      <w:divBdr>
        <w:top w:val="none" w:sz="0" w:space="0" w:color="auto"/>
        <w:left w:val="none" w:sz="0" w:space="0" w:color="auto"/>
        <w:bottom w:val="none" w:sz="0" w:space="0" w:color="auto"/>
        <w:right w:val="none" w:sz="0" w:space="0" w:color="auto"/>
      </w:divBdr>
    </w:div>
    <w:div w:id="1613586142">
      <w:bodyDiv w:val="1"/>
      <w:marLeft w:val="0"/>
      <w:marRight w:val="0"/>
      <w:marTop w:val="0"/>
      <w:marBottom w:val="0"/>
      <w:divBdr>
        <w:top w:val="none" w:sz="0" w:space="0" w:color="auto"/>
        <w:left w:val="none" w:sz="0" w:space="0" w:color="auto"/>
        <w:bottom w:val="none" w:sz="0" w:space="0" w:color="auto"/>
        <w:right w:val="none" w:sz="0" w:space="0" w:color="auto"/>
      </w:divBdr>
    </w:div>
    <w:div w:id="1781099945">
      <w:bodyDiv w:val="1"/>
      <w:marLeft w:val="0"/>
      <w:marRight w:val="0"/>
      <w:marTop w:val="0"/>
      <w:marBottom w:val="0"/>
      <w:divBdr>
        <w:top w:val="none" w:sz="0" w:space="0" w:color="auto"/>
        <w:left w:val="none" w:sz="0" w:space="0" w:color="auto"/>
        <w:bottom w:val="none" w:sz="0" w:space="0" w:color="auto"/>
        <w:right w:val="none" w:sz="0" w:space="0" w:color="auto"/>
      </w:divBdr>
      <w:divsChild>
        <w:div w:id="116144094">
          <w:marLeft w:val="0"/>
          <w:marRight w:val="0"/>
          <w:marTop w:val="0"/>
          <w:marBottom w:val="0"/>
          <w:divBdr>
            <w:top w:val="none" w:sz="0" w:space="0" w:color="auto"/>
            <w:left w:val="none" w:sz="0" w:space="0" w:color="auto"/>
            <w:bottom w:val="none" w:sz="0" w:space="0" w:color="auto"/>
            <w:right w:val="none" w:sz="0" w:space="0" w:color="auto"/>
          </w:divBdr>
        </w:div>
      </w:divsChild>
    </w:div>
    <w:div w:id="1811745943">
      <w:bodyDiv w:val="1"/>
      <w:marLeft w:val="0"/>
      <w:marRight w:val="0"/>
      <w:marTop w:val="0"/>
      <w:marBottom w:val="0"/>
      <w:divBdr>
        <w:top w:val="none" w:sz="0" w:space="0" w:color="auto"/>
        <w:left w:val="none" w:sz="0" w:space="0" w:color="auto"/>
        <w:bottom w:val="none" w:sz="0" w:space="0" w:color="auto"/>
        <w:right w:val="none" w:sz="0" w:space="0" w:color="auto"/>
      </w:divBdr>
    </w:div>
    <w:div w:id="1866553223">
      <w:bodyDiv w:val="1"/>
      <w:marLeft w:val="0"/>
      <w:marRight w:val="0"/>
      <w:marTop w:val="0"/>
      <w:marBottom w:val="0"/>
      <w:divBdr>
        <w:top w:val="none" w:sz="0" w:space="0" w:color="auto"/>
        <w:left w:val="none" w:sz="0" w:space="0" w:color="auto"/>
        <w:bottom w:val="none" w:sz="0" w:space="0" w:color="auto"/>
        <w:right w:val="none" w:sz="0" w:space="0" w:color="auto"/>
      </w:divBdr>
    </w:div>
    <w:div w:id="1961837613">
      <w:bodyDiv w:val="1"/>
      <w:marLeft w:val="0"/>
      <w:marRight w:val="0"/>
      <w:marTop w:val="0"/>
      <w:marBottom w:val="0"/>
      <w:divBdr>
        <w:top w:val="none" w:sz="0" w:space="0" w:color="auto"/>
        <w:left w:val="none" w:sz="0" w:space="0" w:color="auto"/>
        <w:bottom w:val="none" w:sz="0" w:space="0" w:color="auto"/>
        <w:right w:val="none" w:sz="0" w:space="0" w:color="auto"/>
      </w:divBdr>
    </w:div>
    <w:div w:id="2086103140">
      <w:bodyDiv w:val="1"/>
      <w:marLeft w:val="0"/>
      <w:marRight w:val="0"/>
      <w:marTop w:val="0"/>
      <w:marBottom w:val="0"/>
      <w:divBdr>
        <w:top w:val="none" w:sz="0" w:space="0" w:color="auto"/>
        <w:left w:val="none" w:sz="0" w:space="0" w:color="auto"/>
        <w:bottom w:val="none" w:sz="0" w:space="0" w:color="auto"/>
        <w:right w:val="none" w:sz="0" w:space="0" w:color="auto"/>
      </w:divBdr>
    </w:div>
    <w:div w:id="21106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4794-1D76-3744-BEE0-69B1F2EEB027}">
  <ds:schemaRefs>
    <ds:schemaRef ds:uri="http://schemas.openxmlformats.org/officeDocument/2006/bibliography"/>
  </ds:schemaRefs>
</ds:datastoreItem>
</file>

<file path=customXml/itemProps2.xml><?xml version="1.0" encoding="utf-8"?>
<ds:datastoreItem xmlns:ds="http://schemas.openxmlformats.org/officeDocument/2006/customXml" ds:itemID="{E0F417A1-2C6E-6D4A-B7A1-D1FADF88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4906</Words>
  <Characters>27966</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Hardwick</dc:creator>
  <cp:lastModifiedBy>Beresford, Michael</cp:lastModifiedBy>
  <cp:revision>2</cp:revision>
  <cp:lastPrinted>2016-08-08T10:01:00Z</cp:lastPrinted>
  <dcterms:created xsi:type="dcterms:W3CDTF">2017-06-14T09:03:00Z</dcterms:created>
  <dcterms:modified xsi:type="dcterms:W3CDTF">2017-06-14T09:03:00Z</dcterms:modified>
</cp:coreProperties>
</file>