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17" w:rsidRPr="008625F9" w:rsidRDefault="00586B17" w:rsidP="003F2483">
      <w:pPr>
        <w:spacing w:after="0"/>
        <w:rPr>
          <w:rFonts w:ascii="Arial" w:hAnsi="Arial" w:cs="Arial"/>
          <w:b/>
          <w:sz w:val="20"/>
          <w:szCs w:val="20"/>
        </w:rPr>
      </w:pPr>
      <w:r w:rsidRPr="008625F9">
        <w:rPr>
          <w:rFonts w:ascii="Arial" w:hAnsi="Arial" w:cs="Arial"/>
          <w:b/>
          <w:sz w:val="20"/>
          <w:szCs w:val="20"/>
        </w:rPr>
        <w:t>Implementation of clinical guidelines in Brazil: Should</w:t>
      </w:r>
      <w:r w:rsidR="00DB680F" w:rsidRPr="008625F9">
        <w:rPr>
          <w:rFonts w:ascii="Arial" w:hAnsi="Arial" w:cs="Arial"/>
          <w:b/>
          <w:sz w:val="20"/>
          <w:szCs w:val="20"/>
        </w:rPr>
        <w:t xml:space="preserve"> </w:t>
      </w:r>
      <w:r w:rsidRPr="008625F9">
        <w:rPr>
          <w:rFonts w:ascii="Arial" w:hAnsi="Arial" w:cs="Arial"/>
          <w:b/>
          <w:sz w:val="20"/>
          <w:szCs w:val="20"/>
        </w:rPr>
        <w:t>academic detailing be used?</w:t>
      </w:r>
    </w:p>
    <w:p w:rsidR="00586B17" w:rsidRPr="008625F9" w:rsidRDefault="00586B17" w:rsidP="000F6588">
      <w:pPr>
        <w:pStyle w:val="NoSpacing"/>
        <w:rPr>
          <w:rFonts w:ascii="Arial" w:hAnsi="Arial" w:cs="Arial"/>
          <w:sz w:val="20"/>
          <w:szCs w:val="20"/>
        </w:rPr>
      </w:pPr>
    </w:p>
    <w:p w:rsidR="000F6588" w:rsidRPr="008625F9" w:rsidRDefault="000F6588" w:rsidP="000F6588">
      <w:pPr>
        <w:pStyle w:val="NoSpacing"/>
        <w:rPr>
          <w:rFonts w:ascii="Arial" w:hAnsi="Arial" w:cs="Arial"/>
          <w:sz w:val="20"/>
          <w:szCs w:val="20"/>
        </w:rPr>
      </w:pPr>
      <w:r w:rsidRPr="008625F9">
        <w:rPr>
          <w:rFonts w:ascii="Arial" w:hAnsi="Arial" w:cs="Arial"/>
          <w:sz w:val="20"/>
          <w:szCs w:val="20"/>
        </w:rPr>
        <w:t>Juliana de Oliveira Costa</w:t>
      </w:r>
      <w:r w:rsidRPr="008625F9">
        <w:rPr>
          <w:rFonts w:ascii="Arial" w:hAnsi="Arial" w:cs="Arial"/>
          <w:sz w:val="20"/>
          <w:szCs w:val="20"/>
          <w:vertAlign w:val="superscript"/>
        </w:rPr>
        <w:t>1</w:t>
      </w:r>
      <w:r w:rsidRPr="008625F9">
        <w:rPr>
          <w:rFonts w:ascii="Arial" w:hAnsi="Arial" w:cs="Arial"/>
          <w:sz w:val="20"/>
          <w:szCs w:val="20"/>
        </w:rPr>
        <w:t xml:space="preserve">, </w:t>
      </w:r>
      <w:proofErr w:type="spellStart"/>
      <w:r w:rsidRPr="008625F9">
        <w:rPr>
          <w:rFonts w:ascii="Arial" w:hAnsi="Arial" w:cs="Arial"/>
          <w:sz w:val="20"/>
          <w:szCs w:val="20"/>
        </w:rPr>
        <w:t>Celline</w:t>
      </w:r>
      <w:proofErr w:type="spellEnd"/>
      <w:r w:rsidRPr="008625F9">
        <w:rPr>
          <w:rFonts w:ascii="Arial" w:hAnsi="Arial" w:cs="Arial"/>
          <w:sz w:val="20"/>
          <w:szCs w:val="20"/>
        </w:rPr>
        <w:t xml:space="preserve"> Cardoso Almeida-Brasil</w:t>
      </w:r>
      <w:r w:rsidRPr="008625F9">
        <w:rPr>
          <w:rFonts w:ascii="Arial" w:hAnsi="Arial" w:cs="Arial"/>
          <w:sz w:val="20"/>
          <w:szCs w:val="20"/>
          <w:vertAlign w:val="superscript"/>
        </w:rPr>
        <w:t>1</w:t>
      </w:r>
      <w:r w:rsidRPr="008625F9">
        <w:rPr>
          <w:rFonts w:ascii="Arial" w:hAnsi="Arial" w:cs="Arial"/>
          <w:sz w:val="20"/>
          <w:szCs w:val="20"/>
        </w:rPr>
        <w:t>, *Brian Godman</w:t>
      </w:r>
      <w:r w:rsidRPr="008625F9">
        <w:rPr>
          <w:rFonts w:ascii="Arial" w:hAnsi="Arial" w:cs="Arial"/>
          <w:sz w:val="20"/>
          <w:szCs w:val="20"/>
          <w:vertAlign w:val="superscript"/>
        </w:rPr>
        <w:t>2,3</w:t>
      </w:r>
      <w:r w:rsidRPr="008625F9">
        <w:rPr>
          <w:rFonts w:ascii="Arial" w:hAnsi="Arial" w:cs="Arial"/>
          <w:sz w:val="20"/>
          <w:szCs w:val="20"/>
        </w:rPr>
        <w:t>,  Michael Adam Fischer</w:t>
      </w:r>
      <w:r w:rsidRPr="008625F9">
        <w:rPr>
          <w:rFonts w:ascii="Arial" w:hAnsi="Arial" w:cs="Arial"/>
          <w:sz w:val="20"/>
          <w:szCs w:val="20"/>
          <w:vertAlign w:val="superscript"/>
        </w:rPr>
        <w:t>4,5</w:t>
      </w:r>
      <w:r w:rsidRPr="008625F9">
        <w:rPr>
          <w:rFonts w:ascii="Arial" w:hAnsi="Arial" w:cs="Arial"/>
          <w:sz w:val="20"/>
          <w:szCs w:val="20"/>
        </w:rPr>
        <w:t>, Jonathan Dartnell</w:t>
      </w:r>
      <w:r w:rsidRPr="008625F9">
        <w:rPr>
          <w:rFonts w:ascii="Arial" w:hAnsi="Arial" w:cs="Arial"/>
          <w:sz w:val="20"/>
          <w:szCs w:val="20"/>
          <w:vertAlign w:val="superscript"/>
        </w:rPr>
        <w:t>6</w:t>
      </w:r>
      <w:r w:rsidRPr="008625F9">
        <w:rPr>
          <w:rFonts w:ascii="Arial" w:hAnsi="Arial" w:cs="Arial"/>
          <w:sz w:val="20"/>
          <w:szCs w:val="20"/>
        </w:rPr>
        <w:t xml:space="preserve">, </w:t>
      </w:r>
      <w:proofErr w:type="spellStart"/>
      <w:r w:rsidRPr="008625F9">
        <w:rPr>
          <w:rFonts w:ascii="Arial" w:hAnsi="Arial" w:cs="Arial"/>
          <w:sz w:val="20"/>
          <w:szCs w:val="20"/>
        </w:rPr>
        <w:t>Aine</w:t>
      </w:r>
      <w:proofErr w:type="spellEnd"/>
      <w:r w:rsidRPr="008625F9">
        <w:rPr>
          <w:rFonts w:ascii="Arial" w:hAnsi="Arial" w:cs="Arial"/>
          <w:sz w:val="20"/>
          <w:szCs w:val="20"/>
        </w:rPr>
        <w:t xml:space="preserve"> Heaney</w:t>
      </w:r>
      <w:r w:rsidRPr="008625F9">
        <w:rPr>
          <w:rFonts w:ascii="Arial" w:hAnsi="Arial" w:cs="Arial"/>
          <w:sz w:val="20"/>
          <w:szCs w:val="20"/>
          <w:vertAlign w:val="superscript"/>
        </w:rPr>
        <w:t>6</w:t>
      </w:r>
      <w:r w:rsidRPr="008625F9">
        <w:rPr>
          <w:rFonts w:ascii="Arial" w:hAnsi="Arial" w:cs="Arial"/>
          <w:sz w:val="20"/>
          <w:szCs w:val="20"/>
        </w:rPr>
        <w:t xml:space="preserve">, Carolina Greco </w:t>
      </w:r>
      <w:proofErr w:type="spellStart"/>
      <w:r w:rsidRPr="008625F9">
        <w:rPr>
          <w:rFonts w:ascii="Arial" w:hAnsi="Arial" w:cs="Arial"/>
          <w:sz w:val="20"/>
          <w:szCs w:val="20"/>
        </w:rPr>
        <w:t>Bernardes</w:t>
      </w:r>
      <w:proofErr w:type="spellEnd"/>
      <w:r w:rsidRPr="008625F9">
        <w:rPr>
          <w:rFonts w:ascii="Arial" w:hAnsi="Arial" w:cs="Arial"/>
          <w:sz w:val="20"/>
          <w:szCs w:val="20"/>
        </w:rPr>
        <w:t xml:space="preserve"> dos Santos</w:t>
      </w:r>
      <w:r w:rsidRPr="008625F9">
        <w:rPr>
          <w:rFonts w:ascii="Arial" w:hAnsi="Arial" w:cs="Arial"/>
          <w:sz w:val="20"/>
          <w:szCs w:val="20"/>
          <w:vertAlign w:val="superscript"/>
        </w:rPr>
        <w:t>1</w:t>
      </w:r>
      <w:r w:rsidRPr="008625F9">
        <w:rPr>
          <w:rFonts w:ascii="Arial" w:hAnsi="Arial" w:cs="Arial"/>
          <w:sz w:val="20"/>
          <w:szCs w:val="20"/>
        </w:rPr>
        <w:t>, Francisco de Assis Acúrcio</w:t>
      </w:r>
      <w:r w:rsidRPr="008625F9">
        <w:rPr>
          <w:rFonts w:ascii="Arial" w:hAnsi="Arial" w:cs="Arial"/>
          <w:sz w:val="20"/>
          <w:szCs w:val="20"/>
          <w:vertAlign w:val="superscript"/>
        </w:rPr>
        <w:t>1</w:t>
      </w:r>
      <w:r w:rsidRPr="008625F9">
        <w:rPr>
          <w:rFonts w:ascii="Arial" w:hAnsi="Arial" w:cs="Arial"/>
          <w:sz w:val="20"/>
          <w:szCs w:val="20"/>
        </w:rPr>
        <w:t>, Juliana Álvares</w:t>
      </w:r>
      <w:r w:rsidRPr="008625F9">
        <w:rPr>
          <w:rFonts w:ascii="Arial" w:hAnsi="Arial" w:cs="Arial"/>
          <w:sz w:val="20"/>
          <w:szCs w:val="20"/>
          <w:vertAlign w:val="superscript"/>
        </w:rPr>
        <w:t>1</w:t>
      </w:r>
      <w:r w:rsidRPr="008625F9">
        <w:rPr>
          <w:rFonts w:ascii="Arial" w:hAnsi="Arial" w:cs="Arial"/>
          <w:sz w:val="20"/>
          <w:szCs w:val="20"/>
        </w:rPr>
        <w:t xml:space="preserve">, Augusto </w:t>
      </w:r>
      <w:proofErr w:type="spellStart"/>
      <w:r w:rsidRPr="008625F9">
        <w:rPr>
          <w:rFonts w:ascii="Arial" w:hAnsi="Arial" w:cs="Arial"/>
          <w:sz w:val="20"/>
          <w:szCs w:val="20"/>
        </w:rPr>
        <w:t>Afonso</w:t>
      </w:r>
      <w:proofErr w:type="spellEnd"/>
      <w:r w:rsidRPr="008625F9">
        <w:rPr>
          <w:rFonts w:ascii="Arial" w:hAnsi="Arial" w:cs="Arial"/>
          <w:sz w:val="20"/>
          <w:szCs w:val="20"/>
        </w:rPr>
        <w:t xml:space="preserve"> Guerra Júnior</w:t>
      </w:r>
      <w:r w:rsidRPr="008625F9">
        <w:rPr>
          <w:rFonts w:ascii="Arial" w:hAnsi="Arial" w:cs="Arial"/>
          <w:sz w:val="20"/>
          <w:szCs w:val="20"/>
          <w:vertAlign w:val="superscript"/>
        </w:rPr>
        <w:t>1</w:t>
      </w:r>
    </w:p>
    <w:p w:rsidR="000F6588" w:rsidRPr="008625F9" w:rsidRDefault="000F6588" w:rsidP="000F6588">
      <w:pPr>
        <w:rPr>
          <w:rFonts w:ascii="Arial" w:eastAsia="Arial" w:hAnsi="Arial" w:cs="Arial"/>
          <w:bCs/>
          <w:iCs/>
          <w:color w:val="000000"/>
          <w:sz w:val="20"/>
          <w:szCs w:val="20"/>
          <w:lang w:val="en-GB"/>
        </w:rPr>
      </w:pPr>
    </w:p>
    <w:p w:rsidR="000F6588" w:rsidRPr="008625F9" w:rsidRDefault="000F6588" w:rsidP="000F6588">
      <w:pPr>
        <w:rPr>
          <w:rFonts w:ascii="Arial" w:hAnsi="Arial" w:cs="Arial"/>
          <w:sz w:val="20"/>
          <w:szCs w:val="20"/>
          <w:lang w:val="en-GB"/>
        </w:rPr>
      </w:pPr>
      <w:r w:rsidRPr="008625F9">
        <w:rPr>
          <w:rFonts w:ascii="Arial" w:eastAsia="Arial" w:hAnsi="Arial" w:cs="Arial"/>
          <w:sz w:val="20"/>
          <w:szCs w:val="20"/>
          <w:vertAlign w:val="superscript"/>
          <w:lang w:val="en-GB"/>
        </w:rPr>
        <w:t>1</w:t>
      </w:r>
      <w:r w:rsidRPr="008625F9">
        <w:rPr>
          <w:rFonts w:ascii="Arial" w:eastAsia="Arial" w:hAnsi="Arial" w:cs="Arial"/>
          <w:sz w:val="20"/>
          <w:szCs w:val="20"/>
        </w:rPr>
        <w:t>SUS Collaborating Centre – Health Technology Assessment &amp;</w:t>
      </w:r>
      <w:r w:rsidRPr="008625F9">
        <w:rPr>
          <w:rFonts w:ascii="Arial" w:eastAsia="Arial" w:hAnsi="Arial" w:cs="Arial"/>
          <w:sz w:val="20"/>
          <w:szCs w:val="20"/>
          <w:lang w:val="en-GB"/>
        </w:rPr>
        <w:t xml:space="preserve"> Excellence </w:t>
      </w:r>
      <w:r w:rsidRPr="008625F9">
        <w:rPr>
          <w:rFonts w:ascii="Arial" w:eastAsia="Arial" w:hAnsi="Arial" w:cs="Arial"/>
          <w:sz w:val="20"/>
          <w:szCs w:val="20"/>
        </w:rPr>
        <w:t>in Health,</w:t>
      </w:r>
      <w:r w:rsidRPr="008625F9">
        <w:rPr>
          <w:rFonts w:ascii="Arial" w:eastAsia="Arial" w:hAnsi="Arial" w:cs="Arial"/>
          <w:sz w:val="20"/>
          <w:szCs w:val="20"/>
          <w:lang w:val="en-GB"/>
        </w:rPr>
        <w:t xml:space="preserve"> </w:t>
      </w:r>
      <w:r w:rsidRPr="008625F9">
        <w:rPr>
          <w:rFonts w:ascii="Arial" w:eastAsia="Arial" w:hAnsi="Arial" w:cs="Arial"/>
          <w:sz w:val="20"/>
          <w:szCs w:val="20"/>
        </w:rPr>
        <w:t xml:space="preserve">Department of Social Pharmacy, College of Pharmacy, Federal University of Minas </w:t>
      </w:r>
      <w:proofErr w:type="spellStart"/>
      <w:r w:rsidRPr="008625F9">
        <w:rPr>
          <w:rFonts w:ascii="Arial" w:eastAsia="Arial" w:hAnsi="Arial" w:cs="Arial"/>
          <w:sz w:val="20"/>
          <w:szCs w:val="20"/>
        </w:rPr>
        <w:t>Gerais</w:t>
      </w:r>
      <w:proofErr w:type="spellEnd"/>
      <w:r w:rsidRPr="008625F9">
        <w:rPr>
          <w:rFonts w:ascii="Arial" w:eastAsia="Arial" w:hAnsi="Arial" w:cs="Arial"/>
          <w:sz w:val="20"/>
          <w:szCs w:val="20"/>
          <w:lang w:val="en-GB"/>
        </w:rPr>
        <w:t>,</w:t>
      </w:r>
      <w:r w:rsidRPr="008625F9">
        <w:rPr>
          <w:rFonts w:ascii="Arial" w:eastAsia="Arial" w:hAnsi="Arial" w:cs="Arial"/>
          <w:sz w:val="20"/>
          <w:szCs w:val="20"/>
        </w:rPr>
        <w:t xml:space="preserve"> </w:t>
      </w:r>
      <w:proofErr w:type="spellStart"/>
      <w:r w:rsidRPr="008625F9">
        <w:rPr>
          <w:rFonts w:ascii="Arial" w:hAnsi="Arial" w:cs="Arial"/>
          <w:sz w:val="20"/>
          <w:szCs w:val="20"/>
        </w:rPr>
        <w:t>Rua</w:t>
      </w:r>
      <w:proofErr w:type="spellEnd"/>
      <w:r w:rsidRPr="008625F9">
        <w:rPr>
          <w:rFonts w:ascii="Arial" w:hAnsi="Arial" w:cs="Arial"/>
          <w:sz w:val="20"/>
          <w:szCs w:val="20"/>
        </w:rPr>
        <w:t xml:space="preserve"> </w:t>
      </w:r>
      <w:proofErr w:type="spellStart"/>
      <w:r w:rsidRPr="008625F9">
        <w:rPr>
          <w:rFonts w:ascii="Arial" w:hAnsi="Arial" w:cs="Arial"/>
          <w:sz w:val="20"/>
          <w:szCs w:val="20"/>
        </w:rPr>
        <w:t>Antônio</w:t>
      </w:r>
      <w:proofErr w:type="spellEnd"/>
      <w:r w:rsidRPr="008625F9">
        <w:rPr>
          <w:rFonts w:ascii="Arial" w:hAnsi="Arial" w:cs="Arial"/>
          <w:sz w:val="20"/>
          <w:szCs w:val="20"/>
        </w:rPr>
        <w:t xml:space="preserve"> Carlos, 6627 – </w:t>
      </w:r>
      <w:proofErr w:type="spellStart"/>
      <w:r w:rsidRPr="008625F9">
        <w:rPr>
          <w:rFonts w:ascii="Arial" w:hAnsi="Arial" w:cs="Arial"/>
          <w:sz w:val="20"/>
          <w:szCs w:val="20"/>
        </w:rPr>
        <w:t>Pampulha</w:t>
      </w:r>
      <w:proofErr w:type="spellEnd"/>
      <w:r w:rsidRPr="008625F9">
        <w:rPr>
          <w:rFonts w:ascii="Arial" w:eastAsia="Arial" w:hAnsi="Arial" w:cs="Arial"/>
          <w:sz w:val="20"/>
          <w:szCs w:val="20"/>
          <w:lang w:val="en-GB"/>
        </w:rPr>
        <w:t xml:space="preserve">, Belo Horizonte, </w:t>
      </w:r>
      <w:r w:rsidRPr="008625F9">
        <w:rPr>
          <w:rFonts w:ascii="Arial" w:eastAsia="Arial" w:hAnsi="Arial" w:cs="Arial"/>
          <w:sz w:val="20"/>
          <w:szCs w:val="20"/>
        </w:rPr>
        <w:t>Bra</w:t>
      </w:r>
      <w:r w:rsidRPr="008625F9">
        <w:rPr>
          <w:rFonts w:ascii="Arial" w:eastAsia="Arial" w:hAnsi="Arial" w:cs="Arial"/>
          <w:sz w:val="20"/>
          <w:szCs w:val="20"/>
          <w:lang w:val="en-GB"/>
        </w:rPr>
        <w:t>z</w:t>
      </w:r>
      <w:proofErr w:type="spellStart"/>
      <w:r w:rsidRPr="008625F9">
        <w:rPr>
          <w:rFonts w:ascii="Arial" w:eastAsia="Arial" w:hAnsi="Arial" w:cs="Arial"/>
          <w:sz w:val="20"/>
          <w:szCs w:val="20"/>
        </w:rPr>
        <w:t>il</w:t>
      </w:r>
      <w:proofErr w:type="spellEnd"/>
    </w:p>
    <w:p w:rsidR="000F6588" w:rsidRPr="008625F9" w:rsidRDefault="000F6588" w:rsidP="000F6588">
      <w:pPr>
        <w:pStyle w:val="NoSpacing"/>
        <w:rPr>
          <w:rFonts w:ascii="Arial" w:hAnsi="Arial" w:cs="Arial"/>
          <w:sz w:val="20"/>
          <w:szCs w:val="20"/>
        </w:rPr>
      </w:pPr>
      <w:r w:rsidRPr="008625F9">
        <w:rPr>
          <w:rFonts w:ascii="Arial" w:hAnsi="Arial" w:cs="Arial"/>
          <w:sz w:val="20"/>
          <w:szCs w:val="20"/>
          <w:shd w:val="clear" w:color="auto" w:fill="FFFFFF"/>
          <w:vertAlign w:val="superscript"/>
          <w:lang w:val="en-GB"/>
        </w:rPr>
        <w:t>2</w:t>
      </w:r>
      <w:r w:rsidRPr="008625F9">
        <w:rPr>
          <w:rFonts w:ascii="Arial" w:hAnsi="Arial" w:cs="Arial"/>
          <w:sz w:val="20"/>
          <w:szCs w:val="20"/>
          <w:shd w:val="clear" w:color="auto" w:fill="FFFFFF"/>
          <w:lang w:val="en-GB"/>
        </w:rPr>
        <w:t xml:space="preserve">Strathclyde Institute of Pharmacy and Biomedical Sciences, Strathclyde University, </w:t>
      </w:r>
      <w:r w:rsidRPr="008625F9">
        <w:rPr>
          <w:rFonts w:ascii="Arial" w:hAnsi="Arial" w:cs="Arial"/>
          <w:sz w:val="20"/>
          <w:szCs w:val="20"/>
        </w:rPr>
        <w:t>161 Cathedral St, Glasgow G4 0RE</w:t>
      </w:r>
      <w:r w:rsidRPr="008625F9">
        <w:rPr>
          <w:rFonts w:ascii="Arial" w:hAnsi="Arial" w:cs="Arial"/>
          <w:sz w:val="20"/>
          <w:szCs w:val="20"/>
          <w:shd w:val="clear" w:color="auto" w:fill="FFFFFF"/>
          <w:lang w:val="en-GB"/>
        </w:rPr>
        <w:t>, Glasgow,</w:t>
      </w:r>
      <w:r w:rsidRPr="008625F9">
        <w:rPr>
          <w:rStyle w:val="apple-converted-space"/>
          <w:rFonts w:ascii="Arial" w:hAnsi="Arial" w:cs="Arial"/>
          <w:sz w:val="20"/>
          <w:szCs w:val="20"/>
          <w:shd w:val="clear" w:color="auto" w:fill="FFFFFF"/>
          <w:lang w:val="en-GB"/>
        </w:rPr>
        <w:t> </w:t>
      </w:r>
      <w:r w:rsidRPr="008625F9">
        <w:rPr>
          <w:rFonts w:ascii="Arial" w:hAnsi="Arial" w:cs="Arial"/>
          <w:sz w:val="20"/>
          <w:szCs w:val="20"/>
          <w:shd w:val="clear" w:color="auto" w:fill="FFFFFF"/>
          <w:lang w:val="en-GB"/>
        </w:rPr>
        <w:t>UK</w:t>
      </w:r>
    </w:p>
    <w:p w:rsidR="000F6588" w:rsidRPr="008625F9" w:rsidRDefault="000F6588" w:rsidP="000F6588">
      <w:pPr>
        <w:rPr>
          <w:rFonts w:ascii="Arial" w:eastAsia="Arial" w:hAnsi="Arial" w:cs="Arial"/>
          <w:bCs/>
          <w:sz w:val="20"/>
          <w:szCs w:val="20"/>
          <w:lang w:val="en-GB"/>
        </w:rPr>
      </w:pPr>
      <w:r w:rsidRPr="008625F9">
        <w:rPr>
          <w:rFonts w:ascii="Arial" w:hAnsi="Arial" w:cs="Arial"/>
          <w:sz w:val="20"/>
          <w:szCs w:val="20"/>
          <w:shd w:val="clear" w:color="auto" w:fill="FFFFFF"/>
          <w:vertAlign w:val="superscript"/>
          <w:lang w:val="en-GB"/>
        </w:rPr>
        <w:t>3</w:t>
      </w:r>
      <w:r w:rsidRPr="008625F9">
        <w:rPr>
          <w:rFonts w:ascii="Arial" w:hAnsi="Arial" w:cs="Arial"/>
          <w:sz w:val="20"/>
          <w:szCs w:val="20"/>
          <w:shd w:val="clear" w:color="auto" w:fill="FFFFFF"/>
        </w:rPr>
        <w:t xml:space="preserve">Division of Clinical Pharmacology, </w:t>
      </w:r>
      <w:proofErr w:type="spellStart"/>
      <w:r w:rsidRPr="008625F9">
        <w:rPr>
          <w:rFonts w:ascii="Arial" w:hAnsi="Arial" w:cs="Arial"/>
          <w:sz w:val="20"/>
          <w:szCs w:val="20"/>
          <w:shd w:val="clear" w:color="auto" w:fill="FFFFFF"/>
          <w:lang w:val="en-GB"/>
        </w:rPr>
        <w:t>Karolinska</w:t>
      </w:r>
      <w:proofErr w:type="spellEnd"/>
      <w:r w:rsidRPr="008625F9">
        <w:rPr>
          <w:rFonts w:ascii="Arial" w:hAnsi="Arial" w:cs="Arial"/>
          <w:sz w:val="20"/>
          <w:szCs w:val="20"/>
          <w:shd w:val="clear" w:color="auto" w:fill="FFFFFF"/>
          <w:lang w:val="en-GB"/>
        </w:rPr>
        <w:t xml:space="preserve"> University Hospital Huddinge, </w:t>
      </w:r>
      <w:proofErr w:type="spellStart"/>
      <w:r w:rsidRPr="008625F9">
        <w:rPr>
          <w:rFonts w:ascii="Arial" w:hAnsi="Arial" w:cs="Arial"/>
          <w:sz w:val="20"/>
          <w:szCs w:val="20"/>
          <w:shd w:val="clear" w:color="auto" w:fill="FFFFFF"/>
        </w:rPr>
        <w:t>Karolinska</w:t>
      </w:r>
      <w:proofErr w:type="spellEnd"/>
      <w:r w:rsidRPr="008625F9">
        <w:rPr>
          <w:rFonts w:ascii="Arial" w:hAnsi="Arial" w:cs="Arial"/>
          <w:sz w:val="20"/>
          <w:szCs w:val="20"/>
          <w:shd w:val="clear" w:color="auto" w:fill="FFFFFF"/>
          <w:lang w:val="en-GB"/>
        </w:rPr>
        <w:t xml:space="preserve"> </w:t>
      </w:r>
      <w:proofErr w:type="spellStart"/>
      <w:r w:rsidRPr="008625F9">
        <w:rPr>
          <w:rFonts w:ascii="Arial" w:hAnsi="Arial" w:cs="Arial"/>
          <w:sz w:val="20"/>
          <w:szCs w:val="20"/>
          <w:shd w:val="clear" w:color="auto" w:fill="FFFFFF"/>
        </w:rPr>
        <w:t>Institutet</w:t>
      </w:r>
      <w:proofErr w:type="spellEnd"/>
      <w:r w:rsidRPr="008625F9">
        <w:rPr>
          <w:rFonts w:ascii="Arial" w:hAnsi="Arial" w:cs="Arial"/>
          <w:sz w:val="20"/>
          <w:szCs w:val="20"/>
          <w:shd w:val="clear" w:color="auto" w:fill="FFFFFF"/>
        </w:rPr>
        <w:t>, Stockholm, Sweden</w:t>
      </w:r>
    </w:p>
    <w:p w:rsidR="000F6588" w:rsidRPr="008625F9" w:rsidRDefault="000F6588" w:rsidP="000F6588">
      <w:pPr>
        <w:pStyle w:val="NoSpacing"/>
        <w:rPr>
          <w:rFonts w:ascii="Arial" w:eastAsia="Arial" w:hAnsi="Arial" w:cs="Arial"/>
          <w:sz w:val="20"/>
          <w:szCs w:val="20"/>
          <w:lang w:val="en-GB"/>
        </w:rPr>
      </w:pPr>
      <w:proofErr w:type="gramStart"/>
      <w:r w:rsidRPr="008625F9">
        <w:rPr>
          <w:rFonts w:ascii="Arial" w:eastAsia="Arial" w:hAnsi="Arial" w:cs="Arial"/>
          <w:sz w:val="20"/>
          <w:szCs w:val="20"/>
          <w:vertAlign w:val="superscript"/>
          <w:lang w:val="en-GB"/>
        </w:rPr>
        <w:t>4</w:t>
      </w:r>
      <w:r w:rsidRPr="008625F9">
        <w:rPr>
          <w:rFonts w:ascii="Arial" w:eastAsia="Arial" w:hAnsi="Arial" w:cs="Arial"/>
          <w:sz w:val="20"/>
          <w:szCs w:val="20"/>
        </w:rPr>
        <w:t xml:space="preserve">National Resource Center for Academic Detailing, Division of </w:t>
      </w:r>
      <w:proofErr w:type="spellStart"/>
      <w:r w:rsidRPr="008625F9">
        <w:rPr>
          <w:rFonts w:ascii="Arial" w:eastAsia="Arial" w:hAnsi="Arial" w:cs="Arial"/>
          <w:sz w:val="20"/>
          <w:szCs w:val="20"/>
        </w:rPr>
        <w:t>Pharmacoepidemiology</w:t>
      </w:r>
      <w:proofErr w:type="spellEnd"/>
      <w:r w:rsidRPr="008625F9">
        <w:rPr>
          <w:rFonts w:ascii="Arial" w:eastAsia="Arial" w:hAnsi="Arial" w:cs="Arial"/>
          <w:sz w:val="20"/>
          <w:szCs w:val="20"/>
        </w:rPr>
        <w:t xml:space="preserve"> and </w:t>
      </w:r>
      <w:proofErr w:type="spellStart"/>
      <w:r w:rsidRPr="008625F9">
        <w:rPr>
          <w:rFonts w:ascii="Arial" w:eastAsia="Arial" w:hAnsi="Arial" w:cs="Arial"/>
          <w:sz w:val="20"/>
          <w:szCs w:val="20"/>
        </w:rPr>
        <w:t>Pharmacoeconomics</w:t>
      </w:r>
      <w:proofErr w:type="spellEnd"/>
      <w:r w:rsidRPr="008625F9">
        <w:rPr>
          <w:rFonts w:ascii="Arial" w:eastAsia="Arial" w:hAnsi="Arial" w:cs="Arial"/>
          <w:sz w:val="20"/>
          <w:szCs w:val="20"/>
        </w:rPr>
        <w:t xml:space="preserve">, Department of Medicine, </w:t>
      </w:r>
      <w:r w:rsidRPr="008625F9">
        <w:rPr>
          <w:rFonts w:ascii="Arial" w:hAnsi="Arial" w:cs="Arial"/>
          <w:sz w:val="20"/>
          <w:szCs w:val="20"/>
        </w:rPr>
        <w:t xml:space="preserve">419 Boylston Street Floor 6, </w:t>
      </w:r>
      <w:r w:rsidRPr="008625F9">
        <w:rPr>
          <w:rFonts w:ascii="Arial" w:eastAsia="Arial" w:hAnsi="Arial" w:cs="Arial"/>
          <w:sz w:val="20"/>
          <w:szCs w:val="20"/>
        </w:rPr>
        <w:t>Brigham and Women’s Hospital</w:t>
      </w:r>
      <w:r w:rsidRPr="008625F9">
        <w:rPr>
          <w:rFonts w:ascii="Arial" w:eastAsia="Arial" w:hAnsi="Arial" w:cs="Arial"/>
          <w:sz w:val="20"/>
          <w:szCs w:val="20"/>
          <w:lang w:val="en-GB"/>
        </w:rPr>
        <w:t>, Boston, MA, USA.</w:t>
      </w:r>
      <w:proofErr w:type="gramEnd"/>
      <w:r w:rsidRPr="008625F9">
        <w:rPr>
          <w:rFonts w:ascii="Arial" w:eastAsia="Arial" w:hAnsi="Arial" w:cs="Arial"/>
          <w:sz w:val="20"/>
          <w:szCs w:val="20"/>
          <w:lang w:val="en-GB"/>
        </w:rPr>
        <w:t xml:space="preserve"> </w:t>
      </w:r>
    </w:p>
    <w:p w:rsidR="000F6588" w:rsidRPr="008625F9" w:rsidRDefault="000F6588" w:rsidP="000F6588">
      <w:pPr>
        <w:rPr>
          <w:rFonts w:ascii="Arial" w:eastAsia="Arial" w:hAnsi="Arial" w:cs="Arial"/>
          <w:bCs/>
          <w:sz w:val="20"/>
          <w:szCs w:val="20"/>
          <w:lang w:val="en-GB"/>
        </w:rPr>
      </w:pPr>
      <w:r w:rsidRPr="008625F9">
        <w:rPr>
          <w:rFonts w:ascii="Arial" w:eastAsia="Arial" w:hAnsi="Arial" w:cs="Arial"/>
          <w:sz w:val="20"/>
          <w:szCs w:val="20"/>
          <w:vertAlign w:val="superscript"/>
          <w:lang w:val="en-GB"/>
        </w:rPr>
        <w:t>5</w:t>
      </w:r>
      <w:r w:rsidRPr="008625F9">
        <w:rPr>
          <w:rFonts w:ascii="Arial" w:eastAsia="Arial" w:hAnsi="Arial" w:cs="Arial"/>
          <w:sz w:val="20"/>
          <w:szCs w:val="20"/>
        </w:rPr>
        <w:t>Harvard Medical School</w:t>
      </w:r>
      <w:r w:rsidRPr="008625F9">
        <w:rPr>
          <w:rFonts w:ascii="Arial" w:eastAsia="Arial" w:hAnsi="Arial" w:cs="Arial"/>
          <w:sz w:val="20"/>
          <w:szCs w:val="20"/>
          <w:lang w:val="en-GB"/>
        </w:rPr>
        <w:t xml:space="preserve">, Boston, MA, </w:t>
      </w:r>
      <w:r w:rsidRPr="008625F9">
        <w:rPr>
          <w:rFonts w:ascii="Arial" w:eastAsia="Arial" w:hAnsi="Arial" w:cs="Arial"/>
          <w:sz w:val="20"/>
          <w:szCs w:val="20"/>
        </w:rPr>
        <w:t>U</w:t>
      </w:r>
      <w:r w:rsidRPr="008625F9">
        <w:rPr>
          <w:rFonts w:ascii="Arial" w:eastAsia="Arial" w:hAnsi="Arial" w:cs="Arial"/>
          <w:sz w:val="20"/>
          <w:szCs w:val="20"/>
          <w:lang w:val="en-GB"/>
        </w:rPr>
        <w:t>SA</w:t>
      </w:r>
    </w:p>
    <w:p w:rsidR="000F6588" w:rsidRPr="008625F9" w:rsidRDefault="000F6588" w:rsidP="000F6588">
      <w:pPr>
        <w:rPr>
          <w:rFonts w:ascii="Arial" w:eastAsia="Arial" w:hAnsi="Arial" w:cs="Arial"/>
          <w:bCs/>
          <w:sz w:val="20"/>
          <w:szCs w:val="20"/>
          <w:lang w:val="pt-BR"/>
        </w:rPr>
      </w:pPr>
      <w:r w:rsidRPr="008625F9">
        <w:rPr>
          <w:rFonts w:ascii="Arial" w:eastAsia="Arial" w:hAnsi="Arial" w:cs="Arial"/>
          <w:sz w:val="20"/>
          <w:szCs w:val="20"/>
        </w:rPr>
        <w:t>NPS MedicineWise</w:t>
      </w:r>
      <w:r w:rsidRPr="008625F9">
        <w:rPr>
          <w:rFonts w:ascii="Arial" w:eastAsia="Arial" w:hAnsi="Arial" w:cs="Arial"/>
          <w:sz w:val="20"/>
          <w:szCs w:val="20"/>
          <w:lang w:val="en-GB"/>
        </w:rPr>
        <w:t xml:space="preserve">, </w:t>
      </w:r>
      <w:r w:rsidRPr="008625F9">
        <w:rPr>
          <w:rFonts w:ascii="Arial" w:eastAsia="Arial" w:hAnsi="Arial" w:cs="Arial"/>
          <w:sz w:val="20"/>
          <w:szCs w:val="20"/>
        </w:rPr>
        <w:t>Level 7, 418A Elizabeth St, Surry Hills, NSW 2010</w:t>
      </w:r>
      <w:r w:rsidRPr="008625F9">
        <w:rPr>
          <w:rFonts w:ascii="Arial" w:eastAsia="Arial" w:hAnsi="Arial" w:cs="Arial"/>
          <w:sz w:val="20"/>
          <w:szCs w:val="20"/>
          <w:lang w:val="en-GB"/>
        </w:rPr>
        <w:t xml:space="preserve">, </w:t>
      </w:r>
      <w:proofErr w:type="gramStart"/>
      <w:r w:rsidRPr="008625F9">
        <w:rPr>
          <w:rFonts w:ascii="Arial" w:eastAsia="Arial" w:hAnsi="Arial" w:cs="Arial"/>
          <w:sz w:val="20"/>
          <w:szCs w:val="20"/>
        </w:rPr>
        <w:t>Australia</w:t>
      </w:r>
      <w:proofErr w:type="gramEnd"/>
    </w:p>
    <w:p w:rsidR="000F6588" w:rsidRPr="008625F9" w:rsidRDefault="002A10A3" w:rsidP="000F6588">
      <w:pPr>
        <w:rPr>
          <w:rFonts w:ascii="Arial" w:hAnsi="Arial" w:cs="Arial"/>
          <w:sz w:val="20"/>
          <w:szCs w:val="20"/>
        </w:rPr>
      </w:pPr>
      <w:proofErr w:type="gramStart"/>
      <w:r>
        <w:rPr>
          <w:rFonts w:ascii="Arial" w:hAnsi="Arial" w:cs="Arial"/>
          <w:sz w:val="20"/>
          <w:szCs w:val="20"/>
        </w:rPr>
        <w:t xml:space="preserve">(Accepted for publication in the </w:t>
      </w:r>
      <w:r w:rsidRPr="002A10A3">
        <w:rPr>
          <w:rFonts w:ascii="Arial" w:hAnsi="Arial" w:cs="Arial"/>
          <w:sz w:val="20"/>
          <w:szCs w:val="20"/>
        </w:rPr>
        <w:t>Journal of Pharmaceutical Health Services Research</w:t>
      </w:r>
      <w:r>
        <w:rPr>
          <w:rFonts w:ascii="Arial" w:hAnsi="Arial" w:cs="Arial"/>
          <w:sz w:val="20"/>
          <w:szCs w:val="20"/>
        </w:rPr>
        <w:t>.</w:t>
      </w:r>
      <w:proofErr w:type="gramEnd"/>
      <w:r>
        <w:rPr>
          <w:rFonts w:ascii="Arial" w:hAnsi="Arial" w:cs="Arial"/>
          <w:sz w:val="20"/>
          <w:szCs w:val="20"/>
        </w:rPr>
        <w:t xml:space="preserve"> Please keep CONFIDENTIAL)</w:t>
      </w:r>
    </w:p>
    <w:p w:rsidR="000F6588" w:rsidRPr="008625F9" w:rsidRDefault="000F6588" w:rsidP="000F6588">
      <w:pPr>
        <w:rPr>
          <w:rFonts w:ascii="Arial" w:hAnsi="Arial" w:cs="Arial"/>
          <w:sz w:val="20"/>
          <w:szCs w:val="20"/>
        </w:rPr>
      </w:pPr>
      <w:r w:rsidRPr="008625F9">
        <w:rPr>
          <w:rFonts w:ascii="Arial" w:hAnsi="Arial" w:cs="Arial"/>
          <w:color w:val="131413"/>
          <w:sz w:val="20"/>
          <w:szCs w:val="20"/>
        </w:rPr>
        <w:t>*</w:t>
      </w:r>
      <w:r w:rsidRPr="008625F9">
        <w:rPr>
          <w:rFonts w:ascii="Arial" w:hAnsi="Arial" w:cs="Arial"/>
          <w:sz w:val="20"/>
          <w:szCs w:val="20"/>
        </w:rPr>
        <w:t xml:space="preserve">Author for correspondence – Brian Godman, Department of Laboratory Medicine, Division of Clinical Pharmacology, </w:t>
      </w:r>
      <w:proofErr w:type="spellStart"/>
      <w:r w:rsidRPr="008625F9">
        <w:rPr>
          <w:rFonts w:ascii="Arial" w:hAnsi="Arial" w:cs="Arial"/>
          <w:sz w:val="20"/>
          <w:szCs w:val="20"/>
        </w:rPr>
        <w:t>Karolinska</w:t>
      </w:r>
      <w:proofErr w:type="spellEnd"/>
      <w:r w:rsidRPr="008625F9">
        <w:rPr>
          <w:rFonts w:ascii="Arial" w:hAnsi="Arial" w:cs="Arial"/>
          <w:sz w:val="20"/>
          <w:szCs w:val="20"/>
        </w:rPr>
        <w:t xml:space="preserve"> </w:t>
      </w:r>
      <w:proofErr w:type="spellStart"/>
      <w:r w:rsidRPr="008625F9">
        <w:rPr>
          <w:rFonts w:ascii="Arial" w:hAnsi="Arial" w:cs="Arial"/>
          <w:sz w:val="20"/>
          <w:szCs w:val="20"/>
        </w:rPr>
        <w:t>Institutet</w:t>
      </w:r>
      <w:proofErr w:type="spellEnd"/>
      <w:r w:rsidRPr="008625F9">
        <w:rPr>
          <w:rFonts w:ascii="Arial" w:hAnsi="Arial" w:cs="Arial"/>
          <w:sz w:val="20"/>
          <w:szCs w:val="20"/>
        </w:rPr>
        <w:t xml:space="preserve">, </w:t>
      </w:r>
      <w:proofErr w:type="spellStart"/>
      <w:r w:rsidRPr="008625F9">
        <w:rPr>
          <w:rFonts w:ascii="Arial" w:hAnsi="Arial" w:cs="Arial"/>
          <w:sz w:val="20"/>
          <w:szCs w:val="20"/>
        </w:rPr>
        <w:t>Karolinska</w:t>
      </w:r>
      <w:proofErr w:type="spellEnd"/>
      <w:r w:rsidRPr="008625F9">
        <w:rPr>
          <w:rFonts w:ascii="Arial" w:hAnsi="Arial" w:cs="Arial"/>
          <w:sz w:val="20"/>
          <w:szCs w:val="20"/>
        </w:rPr>
        <w:t xml:space="preserve"> University Hospital Huddinge, SE-141 86, Stockholm, Sweden. Tel: 00468 585 81068. Email: </w:t>
      </w:r>
      <w:hyperlink r:id="rId8" w:history="1">
        <w:r w:rsidRPr="008625F9">
          <w:rPr>
            <w:rStyle w:val="Hyperlink"/>
            <w:rFonts w:ascii="Arial" w:hAnsi="Arial" w:cs="Arial"/>
            <w:sz w:val="20"/>
            <w:szCs w:val="20"/>
          </w:rPr>
          <w:t>Brian.Godman@ki.se</w:t>
        </w:r>
      </w:hyperlink>
    </w:p>
    <w:p w:rsidR="000F6588" w:rsidRPr="008625F9" w:rsidRDefault="000F6588" w:rsidP="003F2483">
      <w:pPr>
        <w:spacing w:after="0"/>
        <w:rPr>
          <w:rFonts w:ascii="Arial" w:hAnsi="Arial" w:cs="Arial"/>
          <w:b/>
          <w:sz w:val="20"/>
          <w:szCs w:val="20"/>
        </w:rPr>
      </w:pPr>
      <w:bookmarkStart w:id="0" w:name="_GoBack"/>
      <w:bookmarkEnd w:id="0"/>
    </w:p>
    <w:p w:rsidR="00586B17" w:rsidRPr="008625F9" w:rsidRDefault="00586B17" w:rsidP="003F2483">
      <w:pPr>
        <w:rPr>
          <w:rFonts w:ascii="Arial" w:hAnsi="Arial" w:cs="Arial"/>
          <w:b/>
          <w:sz w:val="20"/>
          <w:szCs w:val="20"/>
        </w:rPr>
      </w:pPr>
      <w:r w:rsidRPr="008625F9">
        <w:rPr>
          <w:rFonts w:ascii="Arial" w:hAnsi="Arial" w:cs="Arial"/>
          <w:b/>
          <w:sz w:val="20"/>
          <w:szCs w:val="20"/>
        </w:rPr>
        <w:t xml:space="preserve">ABSTRACT </w:t>
      </w:r>
    </w:p>
    <w:p w:rsidR="00586B17" w:rsidRPr="008625F9" w:rsidRDefault="00586B17" w:rsidP="003F2483">
      <w:pPr>
        <w:rPr>
          <w:rFonts w:ascii="Arial" w:hAnsi="Arial" w:cs="Arial"/>
          <w:sz w:val="20"/>
          <w:szCs w:val="20"/>
        </w:rPr>
      </w:pPr>
      <w:r w:rsidRPr="008625F9">
        <w:rPr>
          <w:rFonts w:ascii="Arial" w:hAnsi="Arial" w:cs="Arial"/>
          <w:sz w:val="20"/>
          <w:szCs w:val="20"/>
        </w:rPr>
        <w:t xml:space="preserve">Objective: The Brazilian National Health System provides high cost medicines through the Specialized Component of Pharmaceutical Assistance in accordance with adherence to agreed Clinical Guidelines. However, physician compliance to these Guidelines, as well as the barriers and facilitators related to them and the </w:t>
      </w:r>
      <w:r w:rsidR="00587F84" w:rsidRPr="008625F9">
        <w:rPr>
          <w:rFonts w:ascii="Arial" w:hAnsi="Arial" w:cs="Arial"/>
          <w:sz w:val="20"/>
          <w:szCs w:val="20"/>
        </w:rPr>
        <w:t xml:space="preserve">influence on the </w:t>
      </w:r>
      <w:r w:rsidRPr="008625F9">
        <w:rPr>
          <w:rFonts w:ascii="Arial" w:hAnsi="Arial" w:cs="Arial"/>
          <w:sz w:val="20"/>
          <w:szCs w:val="20"/>
        </w:rPr>
        <w:t>subsequent quality of care provided is unknown. Consequently, the objectives of this paper are to undertake a review of international experiences and scientific publications of a strategy to disseminate and communicate guidelines to physicians</w:t>
      </w:r>
      <w:r w:rsidR="009221DE" w:rsidRPr="008625F9">
        <w:rPr>
          <w:rFonts w:ascii="Arial" w:hAnsi="Arial" w:cs="Arial"/>
          <w:sz w:val="20"/>
          <w:szCs w:val="20"/>
        </w:rPr>
        <w:t xml:space="preserve"> through</w:t>
      </w:r>
      <w:r w:rsidRPr="008625F9">
        <w:rPr>
          <w:rFonts w:ascii="Arial" w:hAnsi="Arial" w:cs="Arial"/>
          <w:sz w:val="20"/>
          <w:szCs w:val="20"/>
        </w:rPr>
        <w:t xml:space="preserve"> Academic Detailing. S</w:t>
      </w:r>
      <w:r w:rsidR="009221DE" w:rsidRPr="008625F9">
        <w:rPr>
          <w:rFonts w:ascii="Arial" w:hAnsi="Arial" w:cs="Arial"/>
          <w:sz w:val="20"/>
          <w:szCs w:val="20"/>
        </w:rPr>
        <w:t>ubsequently use the findings to develop</w:t>
      </w:r>
      <w:r w:rsidRPr="008625F9">
        <w:rPr>
          <w:rFonts w:ascii="Arial" w:hAnsi="Arial" w:cs="Arial"/>
          <w:sz w:val="20"/>
          <w:szCs w:val="20"/>
        </w:rPr>
        <w:t xml:space="preserve"> </w:t>
      </w:r>
      <w:r w:rsidR="009221DE" w:rsidRPr="008625F9">
        <w:rPr>
          <w:rFonts w:ascii="Arial" w:hAnsi="Arial" w:cs="Arial"/>
          <w:sz w:val="20"/>
          <w:szCs w:val="20"/>
        </w:rPr>
        <w:t xml:space="preserve">and conduct </w:t>
      </w:r>
      <w:r w:rsidRPr="008625F9">
        <w:rPr>
          <w:rFonts w:ascii="Arial" w:hAnsi="Arial" w:cs="Arial"/>
          <w:sz w:val="20"/>
          <w:szCs w:val="20"/>
        </w:rPr>
        <w:t xml:space="preserve">a pilot Academic Detailing Program in Brazil targeting specialists who prescribe medicines for patients with Alzheimer’s disease, which are part of the Specialized Component of Pharmaceutical Assistance. Methods: Review international experiences and scientific publications relating to </w:t>
      </w:r>
      <w:r w:rsidR="009221DE" w:rsidRPr="008625F9">
        <w:rPr>
          <w:rFonts w:ascii="Arial" w:hAnsi="Arial" w:cs="Arial"/>
          <w:sz w:val="20"/>
          <w:szCs w:val="20"/>
        </w:rPr>
        <w:t>academic detailing</w:t>
      </w:r>
      <w:r w:rsidR="00E96E24" w:rsidRPr="008625F9">
        <w:rPr>
          <w:rFonts w:ascii="Arial" w:hAnsi="Arial" w:cs="Arial"/>
          <w:sz w:val="20"/>
          <w:szCs w:val="20"/>
        </w:rPr>
        <w:t xml:space="preserve"> based on a thorough review of available literature including publications known to the co-authors</w:t>
      </w:r>
      <w:r w:rsidRPr="008625F9">
        <w:rPr>
          <w:rFonts w:ascii="Arial" w:hAnsi="Arial" w:cs="Arial"/>
          <w:sz w:val="20"/>
          <w:szCs w:val="20"/>
        </w:rPr>
        <w:t xml:space="preserve">. Develop and monitor physician acceptance of academic detailing </w:t>
      </w:r>
      <w:r w:rsidR="009221DE" w:rsidRPr="008625F9">
        <w:rPr>
          <w:rFonts w:ascii="Arial" w:hAnsi="Arial" w:cs="Arial"/>
          <w:sz w:val="20"/>
          <w:szCs w:val="20"/>
        </w:rPr>
        <w:t xml:space="preserve">for patients with </w:t>
      </w:r>
      <w:proofErr w:type="gramStart"/>
      <w:r w:rsidR="009221DE" w:rsidRPr="008625F9">
        <w:rPr>
          <w:rFonts w:ascii="Arial" w:hAnsi="Arial" w:cs="Arial"/>
          <w:sz w:val="20"/>
          <w:szCs w:val="20"/>
        </w:rPr>
        <w:t>Alzheimer’s Disease</w:t>
      </w:r>
      <w:proofErr w:type="gramEnd"/>
      <w:r w:rsidR="009221DE" w:rsidRPr="008625F9">
        <w:rPr>
          <w:rFonts w:ascii="Arial" w:hAnsi="Arial" w:cs="Arial"/>
          <w:sz w:val="20"/>
          <w:szCs w:val="20"/>
        </w:rPr>
        <w:t xml:space="preserve"> </w:t>
      </w:r>
      <w:r w:rsidRPr="008625F9">
        <w:rPr>
          <w:rFonts w:ascii="Arial" w:hAnsi="Arial" w:cs="Arial"/>
          <w:sz w:val="20"/>
          <w:szCs w:val="20"/>
        </w:rPr>
        <w:t xml:space="preserve">and the impact on future prescribing. Key findings: </w:t>
      </w:r>
      <w:r w:rsidR="009221DE" w:rsidRPr="008625F9">
        <w:rPr>
          <w:rFonts w:ascii="Arial" w:hAnsi="Arial" w:cs="Arial"/>
          <w:sz w:val="20"/>
          <w:szCs w:val="20"/>
        </w:rPr>
        <w:t xml:space="preserve">Based on </w:t>
      </w:r>
      <w:r w:rsidRPr="008625F9">
        <w:rPr>
          <w:rFonts w:ascii="Arial" w:hAnsi="Arial" w:cs="Arial"/>
          <w:sz w:val="20"/>
          <w:szCs w:val="20"/>
        </w:rPr>
        <w:t xml:space="preserve">the lessons learnt from the international experience and review, coupled with the initial experiences in Brazil, we conclude that conducting </w:t>
      </w:r>
      <w:r w:rsidR="009221DE" w:rsidRPr="008625F9">
        <w:rPr>
          <w:rFonts w:ascii="Arial" w:hAnsi="Arial" w:cs="Arial"/>
          <w:sz w:val="20"/>
          <w:szCs w:val="20"/>
        </w:rPr>
        <w:t xml:space="preserve">academic </w:t>
      </w:r>
      <w:proofErr w:type="gramStart"/>
      <w:r w:rsidR="009221DE" w:rsidRPr="008625F9">
        <w:rPr>
          <w:rFonts w:ascii="Arial" w:hAnsi="Arial" w:cs="Arial"/>
          <w:sz w:val="20"/>
          <w:szCs w:val="20"/>
        </w:rPr>
        <w:t xml:space="preserve">detailing </w:t>
      </w:r>
      <w:r w:rsidRPr="008625F9">
        <w:rPr>
          <w:rFonts w:ascii="Arial" w:hAnsi="Arial" w:cs="Arial"/>
          <w:sz w:val="20"/>
          <w:szCs w:val="20"/>
        </w:rPr>
        <w:t xml:space="preserve"> </w:t>
      </w:r>
      <w:r w:rsidR="009221DE" w:rsidRPr="008625F9">
        <w:rPr>
          <w:rFonts w:ascii="Arial" w:hAnsi="Arial" w:cs="Arial"/>
          <w:sz w:val="20"/>
          <w:szCs w:val="20"/>
        </w:rPr>
        <w:t>to</w:t>
      </w:r>
      <w:proofErr w:type="gramEnd"/>
      <w:r w:rsidR="009221DE" w:rsidRPr="008625F9">
        <w:rPr>
          <w:rFonts w:ascii="Arial" w:hAnsi="Arial" w:cs="Arial"/>
          <w:sz w:val="20"/>
          <w:szCs w:val="20"/>
        </w:rPr>
        <w:t xml:space="preserve"> enhance the</w:t>
      </w:r>
      <w:r w:rsidRPr="008625F9">
        <w:rPr>
          <w:rFonts w:ascii="Arial" w:hAnsi="Arial" w:cs="Arial"/>
          <w:sz w:val="20"/>
          <w:szCs w:val="20"/>
        </w:rPr>
        <w:t xml:space="preserve"> implementation and dissemination of clinical protocols and therapeutic guidelines in Brazil is worthwhile. We will be closely monitoring the outcome of the pilot </w:t>
      </w:r>
      <w:r w:rsidR="009221DE" w:rsidRPr="008625F9">
        <w:rPr>
          <w:rFonts w:ascii="Arial" w:hAnsi="Arial" w:cs="Arial"/>
          <w:sz w:val="20"/>
          <w:szCs w:val="20"/>
        </w:rPr>
        <w:t>academic detailing</w:t>
      </w:r>
      <w:r w:rsidRPr="008625F9">
        <w:rPr>
          <w:rFonts w:ascii="Arial" w:hAnsi="Arial" w:cs="Arial"/>
          <w:sz w:val="20"/>
          <w:szCs w:val="20"/>
        </w:rPr>
        <w:t xml:space="preserve"> </w:t>
      </w:r>
      <w:proofErr w:type="spellStart"/>
      <w:r w:rsidRPr="008625F9">
        <w:rPr>
          <w:rFonts w:ascii="Arial" w:hAnsi="Arial" w:cs="Arial"/>
          <w:sz w:val="20"/>
          <w:szCs w:val="20"/>
        </w:rPr>
        <w:t>programme</w:t>
      </w:r>
      <w:proofErr w:type="spellEnd"/>
      <w:r w:rsidRPr="008625F9">
        <w:rPr>
          <w:rFonts w:ascii="Arial" w:hAnsi="Arial" w:cs="Arial"/>
          <w:sz w:val="20"/>
          <w:szCs w:val="20"/>
        </w:rPr>
        <w:t xml:space="preserve"> as a basis for developing future </w:t>
      </w:r>
      <w:proofErr w:type="spellStart"/>
      <w:r w:rsidRPr="008625F9">
        <w:rPr>
          <w:rFonts w:ascii="Arial" w:hAnsi="Arial" w:cs="Arial"/>
          <w:sz w:val="20"/>
          <w:szCs w:val="20"/>
        </w:rPr>
        <w:t>programmes</w:t>
      </w:r>
      <w:proofErr w:type="spellEnd"/>
      <w:r w:rsidRPr="008625F9">
        <w:rPr>
          <w:rFonts w:ascii="Arial" w:hAnsi="Arial" w:cs="Arial"/>
          <w:sz w:val="20"/>
          <w:szCs w:val="20"/>
        </w:rPr>
        <w:t xml:space="preserve"> to further improve the quality of prescribing</w:t>
      </w:r>
      <w:r w:rsidR="00FB52FB" w:rsidRPr="008625F9">
        <w:rPr>
          <w:rFonts w:ascii="Arial" w:hAnsi="Arial" w:cs="Arial"/>
          <w:sz w:val="20"/>
          <w:szCs w:val="20"/>
        </w:rPr>
        <w:t xml:space="preserve"> in Brazil</w:t>
      </w:r>
      <w:r w:rsidRPr="008625F9">
        <w:rPr>
          <w:rFonts w:ascii="Arial" w:hAnsi="Arial" w:cs="Arial"/>
          <w:sz w:val="20"/>
          <w:szCs w:val="20"/>
        </w:rPr>
        <w:t>.</w:t>
      </w:r>
      <w:r w:rsidR="009221DE" w:rsidRPr="008625F9">
        <w:rPr>
          <w:rFonts w:ascii="Arial" w:hAnsi="Arial" w:cs="Arial"/>
          <w:sz w:val="20"/>
          <w:szCs w:val="20"/>
        </w:rPr>
        <w:t xml:space="preserve"> Conclusion: Findings from the experiences are encouraging. This will be further explored to provide a basis for this approach in the future.</w:t>
      </w:r>
    </w:p>
    <w:p w:rsidR="00586B17" w:rsidRPr="008625F9" w:rsidRDefault="00586B17" w:rsidP="003F2483">
      <w:pPr>
        <w:rPr>
          <w:rFonts w:ascii="Arial" w:hAnsi="Arial" w:cs="Arial"/>
          <w:sz w:val="20"/>
          <w:szCs w:val="20"/>
        </w:rPr>
      </w:pPr>
    </w:p>
    <w:p w:rsidR="00586B17" w:rsidRPr="008625F9" w:rsidRDefault="00586B17" w:rsidP="003F2483">
      <w:pPr>
        <w:rPr>
          <w:rFonts w:ascii="Arial" w:hAnsi="Arial" w:cs="Arial"/>
          <w:bCs/>
          <w:sz w:val="20"/>
          <w:szCs w:val="20"/>
        </w:rPr>
      </w:pPr>
      <w:r w:rsidRPr="008625F9">
        <w:rPr>
          <w:rFonts w:ascii="Arial" w:hAnsi="Arial" w:cs="Arial"/>
          <w:b/>
          <w:sz w:val="20"/>
          <w:szCs w:val="20"/>
        </w:rPr>
        <w:lastRenderedPageBreak/>
        <w:t xml:space="preserve">Keywords: </w:t>
      </w:r>
      <w:r w:rsidRPr="008625F9">
        <w:rPr>
          <w:rFonts w:ascii="Arial" w:hAnsi="Arial" w:cs="Arial"/>
          <w:bCs/>
          <w:sz w:val="20"/>
          <w:szCs w:val="20"/>
        </w:rPr>
        <w:t>Health Policy;</w:t>
      </w:r>
      <w:r w:rsidR="009221DE" w:rsidRPr="008625F9">
        <w:rPr>
          <w:rFonts w:ascii="Arial" w:hAnsi="Arial" w:cs="Arial"/>
          <w:bCs/>
          <w:sz w:val="20"/>
          <w:szCs w:val="20"/>
        </w:rPr>
        <w:t xml:space="preserve"> </w:t>
      </w:r>
      <w:r w:rsidRPr="008625F9">
        <w:rPr>
          <w:rFonts w:ascii="Arial" w:hAnsi="Arial" w:cs="Arial"/>
          <w:bCs/>
          <w:sz w:val="20"/>
          <w:szCs w:val="20"/>
        </w:rPr>
        <w:t>Guideline Adherence; Academic Detailing</w:t>
      </w:r>
      <w:r w:rsidR="009221DE" w:rsidRPr="008625F9">
        <w:rPr>
          <w:rFonts w:ascii="Arial" w:hAnsi="Arial" w:cs="Arial"/>
          <w:bCs/>
          <w:sz w:val="20"/>
          <w:szCs w:val="20"/>
        </w:rPr>
        <w:t>; Brazil</w:t>
      </w:r>
    </w:p>
    <w:p w:rsidR="00586B17" w:rsidRPr="008625F9" w:rsidRDefault="00586B17" w:rsidP="003F2483">
      <w:pPr>
        <w:rPr>
          <w:rFonts w:ascii="Arial" w:hAnsi="Arial" w:cs="Arial"/>
          <w:b/>
          <w:bCs/>
          <w:sz w:val="20"/>
          <w:szCs w:val="20"/>
        </w:rPr>
      </w:pPr>
    </w:p>
    <w:p w:rsidR="00586B17" w:rsidRPr="008625F9" w:rsidRDefault="00586B17" w:rsidP="003F2483">
      <w:pPr>
        <w:rPr>
          <w:rFonts w:ascii="Arial" w:hAnsi="Arial" w:cs="Arial"/>
          <w:b/>
          <w:sz w:val="20"/>
          <w:szCs w:val="20"/>
        </w:rPr>
      </w:pPr>
      <w:r w:rsidRPr="008625F9">
        <w:rPr>
          <w:rFonts w:ascii="Arial" w:hAnsi="Arial" w:cs="Arial"/>
          <w:b/>
          <w:sz w:val="20"/>
          <w:szCs w:val="20"/>
        </w:rPr>
        <w:t>INTRODUCTION</w:t>
      </w:r>
    </w:p>
    <w:p w:rsidR="00586B17" w:rsidRPr="008625F9" w:rsidRDefault="009221DE" w:rsidP="003F2483">
      <w:pPr>
        <w:pStyle w:val="ListParagraph"/>
        <w:numPr>
          <w:ilvl w:val="0"/>
          <w:numId w:val="1"/>
        </w:numPr>
        <w:spacing w:after="240" w:line="360" w:lineRule="auto"/>
        <w:rPr>
          <w:rFonts w:ascii="Arial" w:hAnsi="Arial" w:cs="Arial"/>
          <w:b/>
          <w:i/>
          <w:sz w:val="20"/>
          <w:szCs w:val="20"/>
        </w:rPr>
      </w:pPr>
      <w:r w:rsidRPr="008625F9">
        <w:rPr>
          <w:rFonts w:ascii="Arial" w:hAnsi="Arial" w:cs="Arial"/>
          <w:b/>
          <w:i/>
          <w:sz w:val="20"/>
          <w:szCs w:val="20"/>
        </w:rPr>
        <w:t xml:space="preserve">The Brazilian Healthcare System, </w:t>
      </w:r>
      <w:r w:rsidR="00586B17" w:rsidRPr="008625F9">
        <w:rPr>
          <w:rFonts w:ascii="Arial" w:hAnsi="Arial" w:cs="Arial"/>
          <w:b/>
          <w:i/>
          <w:sz w:val="20"/>
          <w:szCs w:val="20"/>
        </w:rPr>
        <w:t xml:space="preserve">Clinical Protocols and Therapeutic Guidelines (CPTG) </w:t>
      </w:r>
    </w:p>
    <w:p w:rsidR="00586B17" w:rsidRPr="008625F9" w:rsidRDefault="00586B17" w:rsidP="003F2483">
      <w:pPr>
        <w:spacing w:after="240" w:line="360" w:lineRule="auto"/>
        <w:rPr>
          <w:rFonts w:ascii="Arial" w:hAnsi="Arial" w:cs="Arial"/>
          <w:sz w:val="20"/>
          <w:szCs w:val="20"/>
        </w:rPr>
      </w:pPr>
      <w:r w:rsidRPr="008625F9">
        <w:rPr>
          <w:rFonts w:ascii="Arial" w:hAnsi="Arial" w:cs="Arial"/>
          <w:sz w:val="20"/>
          <w:szCs w:val="20"/>
        </w:rPr>
        <w:t>Pharmaceutical assistance in Brazil is considered a right of the citizen and it’s provided by the Brazilian National Health System (SUS</w:t>
      </w:r>
      <w:proofErr w:type="gramStart"/>
      <w:r w:rsidRPr="008625F9">
        <w:rPr>
          <w:rFonts w:ascii="Arial" w:hAnsi="Arial" w:cs="Arial"/>
          <w:sz w:val="20"/>
          <w:szCs w:val="20"/>
        </w:rPr>
        <w:t>)</w:t>
      </w:r>
      <w:r w:rsidRPr="008625F9">
        <w:rPr>
          <w:rFonts w:ascii="Arial" w:hAnsi="Arial" w:cs="Arial"/>
          <w:noProof/>
          <w:sz w:val="20"/>
          <w:szCs w:val="20"/>
        </w:rPr>
        <w:t>(</w:t>
      </w:r>
      <w:proofErr w:type="gramEnd"/>
      <w:r w:rsidRPr="008625F9">
        <w:rPr>
          <w:rFonts w:ascii="Arial" w:hAnsi="Arial" w:cs="Arial"/>
          <w:noProof/>
          <w:sz w:val="20"/>
          <w:szCs w:val="20"/>
        </w:rPr>
        <w:t>1)</w:t>
      </w:r>
      <w:r w:rsidRPr="008625F9">
        <w:rPr>
          <w:rFonts w:ascii="Arial" w:hAnsi="Arial" w:cs="Arial"/>
          <w:sz w:val="20"/>
          <w:szCs w:val="20"/>
        </w:rPr>
        <w:t xml:space="preserve"> according to the three groups of medicines in which pharmaceutical assistance is organized. </w:t>
      </w:r>
    </w:p>
    <w:p w:rsidR="00586B17" w:rsidRPr="008625F9" w:rsidRDefault="00586B17" w:rsidP="003F2483">
      <w:pPr>
        <w:spacing w:after="240" w:line="360" w:lineRule="auto"/>
        <w:rPr>
          <w:rFonts w:ascii="Arial" w:hAnsi="Arial" w:cs="Arial"/>
          <w:sz w:val="20"/>
          <w:szCs w:val="20"/>
        </w:rPr>
      </w:pPr>
      <w:r w:rsidRPr="008625F9">
        <w:rPr>
          <w:rFonts w:ascii="Arial" w:hAnsi="Arial" w:cs="Arial"/>
          <w:sz w:val="20"/>
          <w:szCs w:val="20"/>
        </w:rPr>
        <w:t xml:space="preserve">The Specialized Component of Pharmaceutical Assistance (CEAF) includes "high cost" </w:t>
      </w:r>
      <w:r w:rsidR="009221DE" w:rsidRPr="008625F9">
        <w:rPr>
          <w:rFonts w:ascii="Arial" w:hAnsi="Arial" w:cs="Arial"/>
          <w:sz w:val="20"/>
          <w:szCs w:val="20"/>
        </w:rPr>
        <w:t>medicines</w:t>
      </w:r>
      <w:r w:rsidRPr="008625F9">
        <w:rPr>
          <w:rFonts w:ascii="Arial" w:hAnsi="Arial" w:cs="Arial"/>
          <w:sz w:val="20"/>
          <w:szCs w:val="20"/>
        </w:rPr>
        <w:t xml:space="preserve"> for </w:t>
      </w:r>
      <w:r w:rsidR="000E56F2" w:rsidRPr="008625F9">
        <w:rPr>
          <w:rFonts w:ascii="Arial" w:hAnsi="Arial" w:cs="Arial"/>
          <w:sz w:val="20"/>
          <w:szCs w:val="20"/>
        </w:rPr>
        <w:t xml:space="preserve">the </w:t>
      </w:r>
      <w:r w:rsidRPr="008625F9">
        <w:rPr>
          <w:rFonts w:ascii="Arial" w:hAnsi="Arial" w:cs="Arial"/>
          <w:sz w:val="20"/>
          <w:szCs w:val="20"/>
        </w:rPr>
        <w:t>treatment of specific diseases that affect a limited number of patients</w:t>
      </w:r>
      <w:r w:rsidR="000E56F2" w:rsidRPr="008625F9">
        <w:rPr>
          <w:rFonts w:ascii="Arial" w:hAnsi="Arial" w:cs="Arial"/>
          <w:sz w:val="20"/>
          <w:szCs w:val="20"/>
        </w:rPr>
        <w:t xml:space="preserve"> </w:t>
      </w:r>
      <w:r w:rsidRPr="008625F9">
        <w:rPr>
          <w:rFonts w:ascii="Arial" w:hAnsi="Arial" w:cs="Arial"/>
          <w:noProof/>
          <w:sz w:val="20"/>
          <w:szCs w:val="20"/>
        </w:rPr>
        <w:t>(2)</w:t>
      </w:r>
      <w:r w:rsidRPr="008625F9">
        <w:rPr>
          <w:rFonts w:ascii="Arial" w:hAnsi="Arial" w:cs="Arial"/>
          <w:sz w:val="20"/>
          <w:szCs w:val="20"/>
        </w:rPr>
        <w:t xml:space="preserve">. Access to medicines in CEAF depends on compliance with the Clinical Protocols and Therapeutic Guidelines (CPTGs) published by the Ministry of Health; otherwise 100% patient co-payment </w:t>
      </w:r>
      <w:r w:rsidR="009221DE" w:rsidRPr="008625F9">
        <w:rPr>
          <w:rFonts w:ascii="Arial" w:hAnsi="Arial" w:cs="Arial"/>
          <w:sz w:val="20"/>
          <w:szCs w:val="20"/>
        </w:rPr>
        <w:t>for the medicines</w:t>
      </w:r>
      <w:r w:rsidR="000E56F2" w:rsidRPr="008625F9">
        <w:rPr>
          <w:rFonts w:ascii="Arial" w:hAnsi="Arial" w:cs="Arial"/>
          <w:sz w:val="20"/>
          <w:szCs w:val="20"/>
        </w:rPr>
        <w:t xml:space="preserve"> </w:t>
      </w:r>
      <w:r w:rsidRPr="008625F9">
        <w:rPr>
          <w:rFonts w:ascii="Arial" w:hAnsi="Arial" w:cs="Arial"/>
          <w:noProof/>
          <w:sz w:val="20"/>
          <w:szCs w:val="20"/>
        </w:rPr>
        <w:t>(2</w:t>
      </w:r>
      <w:r w:rsidR="009221DE" w:rsidRPr="008625F9">
        <w:rPr>
          <w:rFonts w:ascii="Arial" w:hAnsi="Arial" w:cs="Arial"/>
          <w:noProof/>
          <w:sz w:val="20"/>
          <w:szCs w:val="20"/>
        </w:rPr>
        <w:t>,3</w:t>
      </w:r>
      <w:r w:rsidRPr="008625F9">
        <w:rPr>
          <w:rFonts w:ascii="Arial" w:hAnsi="Arial" w:cs="Arial"/>
          <w:noProof/>
          <w:sz w:val="20"/>
          <w:szCs w:val="20"/>
        </w:rPr>
        <w:t>)</w:t>
      </w:r>
      <w:r w:rsidRPr="008625F9">
        <w:rPr>
          <w:rFonts w:ascii="Arial" w:hAnsi="Arial" w:cs="Arial"/>
          <w:sz w:val="20"/>
          <w:szCs w:val="20"/>
        </w:rPr>
        <w:t>.</w:t>
      </w:r>
      <w:r w:rsidR="009221DE" w:rsidRPr="008625F9">
        <w:rPr>
          <w:rFonts w:ascii="Arial" w:hAnsi="Arial" w:cs="Arial"/>
          <w:sz w:val="20"/>
          <w:szCs w:val="20"/>
        </w:rPr>
        <w:t xml:space="preserve"> </w:t>
      </w:r>
      <w:proofErr w:type="gramStart"/>
      <w:r w:rsidR="009221DE" w:rsidRPr="008625F9">
        <w:rPr>
          <w:rFonts w:ascii="Arial" w:hAnsi="Arial" w:cs="Arial"/>
          <w:sz w:val="20"/>
          <w:szCs w:val="20"/>
        </w:rPr>
        <w:t>Requests for access is</w:t>
      </w:r>
      <w:proofErr w:type="gramEnd"/>
      <w:r w:rsidR="009221DE" w:rsidRPr="008625F9">
        <w:rPr>
          <w:rFonts w:ascii="Arial" w:hAnsi="Arial" w:cs="Arial"/>
          <w:sz w:val="20"/>
          <w:szCs w:val="20"/>
        </w:rPr>
        <w:t xml:space="preserve"> checked by </w:t>
      </w:r>
      <w:r w:rsidR="00387813" w:rsidRPr="008625F9">
        <w:rPr>
          <w:rFonts w:ascii="Arial" w:hAnsi="Arial" w:cs="Arial"/>
          <w:sz w:val="20"/>
          <w:szCs w:val="20"/>
        </w:rPr>
        <w:t xml:space="preserve">each State Department of Health </w:t>
      </w:r>
      <w:r w:rsidR="009221DE" w:rsidRPr="008625F9">
        <w:rPr>
          <w:rFonts w:ascii="Arial" w:hAnsi="Arial" w:cs="Arial"/>
          <w:sz w:val="20"/>
          <w:szCs w:val="20"/>
        </w:rPr>
        <w:t xml:space="preserve">or those contracted to them such as </w:t>
      </w:r>
      <w:r w:rsidR="00316BC0" w:rsidRPr="008625F9">
        <w:rPr>
          <w:rFonts w:ascii="Arial" w:hAnsi="Arial" w:cs="Arial"/>
          <w:sz w:val="20"/>
          <w:szCs w:val="20"/>
        </w:rPr>
        <w:t xml:space="preserve">the </w:t>
      </w:r>
      <w:r w:rsidR="00316BC0" w:rsidRPr="008625F9">
        <w:rPr>
          <w:rFonts w:ascii="Arial" w:eastAsia="Arial" w:hAnsi="Arial" w:cs="Arial"/>
          <w:iCs/>
          <w:color w:val="000000"/>
          <w:sz w:val="20"/>
          <w:szCs w:val="20"/>
        </w:rPr>
        <w:t>SUS Collaborating Centre – Health Technology Assessment &amp;</w:t>
      </w:r>
      <w:r w:rsidR="00316BC0" w:rsidRPr="008625F9">
        <w:rPr>
          <w:rFonts w:ascii="Arial" w:eastAsia="Arial" w:hAnsi="Arial" w:cs="Arial"/>
          <w:iCs/>
          <w:color w:val="000000"/>
          <w:sz w:val="20"/>
          <w:szCs w:val="20"/>
          <w:lang w:val="en-GB"/>
        </w:rPr>
        <w:t xml:space="preserve"> Excellence </w:t>
      </w:r>
      <w:r w:rsidR="00316BC0" w:rsidRPr="008625F9">
        <w:rPr>
          <w:rFonts w:ascii="Arial" w:eastAsia="Arial" w:hAnsi="Arial" w:cs="Arial"/>
          <w:iCs/>
          <w:color w:val="000000"/>
          <w:sz w:val="20"/>
          <w:szCs w:val="20"/>
        </w:rPr>
        <w:t xml:space="preserve">at the College of Pharmacy, Federal University of Minas </w:t>
      </w:r>
      <w:proofErr w:type="spellStart"/>
      <w:r w:rsidR="00316BC0" w:rsidRPr="008625F9">
        <w:rPr>
          <w:rFonts w:ascii="Arial" w:eastAsia="Arial" w:hAnsi="Arial" w:cs="Arial"/>
          <w:iCs/>
          <w:color w:val="000000"/>
          <w:sz w:val="20"/>
          <w:szCs w:val="20"/>
        </w:rPr>
        <w:t>Gerais</w:t>
      </w:r>
      <w:proofErr w:type="spellEnd"/>
      <w:r w:rsidR="00316BC0" w:rsidRPr="008625F9">
        <w:rPr>
          <w:rFonts w:ascii="Arial" w:eastAsia="Arial" w:hAnsi="Arial" w:cs="Arial"/>
          <w:iCs/>
          <w:color w:val="000000"/>
          <w:sz w:val="20"/>
          <w:szCs w:val="20"/>
        </w:rPr>
        <w:t xml:space="preserve">. Refusals due to a lack of compliance with the guidelines mean a long wait for both physicians and patients until the correct forms are returned, checked and approved, which is not in the best interest of any key group. </w:t>
      </w:r>
    </w:p>
    <w:p w:rsidR="00586B17" w:rsidRPr="008625F9" w:rsidRDefault="00316BC0" w:rsidP="003F2483">
      <w:pPr>
        <w:spacing w:after="240" w:line="360" w:lineRule="auto"/>
        <w:rPr>
          <w:rFonts w:ascii="Arial" w:hAnsi="Arial" w:cs="Arial"/>
          <w:sz w:val="20"/>
          <w:szCs w:val="20"/>
        </w:rPr>
      </w:pPr>
      <w:r w:rsidRPr="008625F9">
        <w:rPr>
          <w:rFonts w:ascii="Arial" w:hAnsi="Arial" w:cs="Arial"/>
          <w:sz w:val="20"/>
          <w:szCs w:val="20"/>
        </w:rPr>
        <w:t>However, t</w:t>
      </w:r>
      <w:r w:rsidR="00586B17" w:rsidRPr="008625F9">
        <w:rPr>
          <w:rFonts w:ascii="Arial" w:hAnsi="Arial" w:cs="Arial"/>
          <w:sz w:val="20"/>
          <w:szCs w:val="20"/>
        </w:rPr>
        <w:t xml:space="preserve">ranslating scientific evidence of CPTGs into daily practice is complex. Clinical guidelines can improve health care delivery, but there are a number of challenges in guideline adoption and implementation </w:t>
      </w:r>
      <w:r w:rsidR="00586B17" w:rsidRPr="008625F9">
        <w:rPr>
          <w:rFonts w:ascii="Arial" w:hAnsi="Arial" w:cs="Arial"/>
          <w:noProof/>
          <w:sz w:val="20"/>
          <w:szCs w:val="20"/>
        </w:rPr>
        <w:t>(4-6)</w:t>
      </w:r>
      <w:r w:rsidR="00586B17" w:rsidRPr="008625F9">
        <w:rPr>
          <w:rFonts w:ascii="Arial" w:hAnsi="Arial" w:cs="Arial"/>
          <w:sz w:val="20"/>
          <w:szCs w:val="20"/>
        </w:rPr>
        <w:t>. These challenges are heightened if there is mistrust in the guidelines produced</w:t>
      </w:r>
      <w:r w:rsidRPr="008625F9">
        <w:rPr>
          <w:rFonts w:ascii="Arial" w:hAnsi="Arial" w:cs="Arial"/>
          <w:sz w:val="20"/>
          <w:szCs w:val="20"/>
        </w:rPr>
        <w:t>. This can be</w:t>
      </w:r>
      <w:r w:rsidR="00586B17" w:rsidRPr="008625F9">
        <w:rPr>
          <w:rFonts w:ascii="Arial" w:hAnsi="Arial" w:cs="Arial"/>
          <w:sz w:val="20"/>
          <w:szCs w:val="20"/>
        </w:rPr>
        <w:t xml:space="preserve"> addressed by rigorous approaches</w:t>
      </w:r>
      <w:r w:rsidRPr="008625F9">
        <w:rPr>
          <w:rFonts w:ascii="Arial" w:hAnsi="Arial" w:cs="Arial"/>
          <w:sz w:val="20"/>
          <w:szCs w:val="20"/>
        </w:rPr>
        <w:t>,</w:t>
      </w:r>
      <w:r w:rsidR="00586B17" w:rsidRPr="008625F9">
        <w:rPr>
          <w:rFonts w:ascii="Arial" w:hAnsi="Arial" w:cs="Arial"/>
          <w:sz w:val="20"/>
          <w:szCs w:val="20"/>
        </w:rPr>
        <w:t xml:space="preserve"> including robust conflict of interest regulations </w:t>
      </w:r>
      <w:r w:rsidR="00586B17" w:rsidRPr="008625F9">
        <w:rPr>
          <w:rFonts w:ascii="Arial" w:hAnsi="Arial" w:cs="Arial"/>
          <w:noProof/>
          <w:sz w:val="20"/>
          <w:szCs w:val="20"/>
        </w:rPr>
        <w:t>(7, 8)</w:t>
      </w:r>
      <w:r w:rsidR="00586B17" w:rsidRPr="008625F9">
        <w:rPr>
          <w:rFonts w:ascii="Arial" w:hAnsi="Arial" w:cs="Arial"/>
          <w:sz w:val="20"/>
          <w:szCs w:val="20"/>
        </w:rPr>
        <w:t xml:space="preserve">. In addition, physicians </w:t>
      </w:r>
      <w:r w:rsidRPr="008625F9">
        <w:rPr>
          <w:rFonts w:ascii="Arial" w:hAnsi="Arial" w:cs="Arial"/>
          <w:sz w:val="20"/>
          <w:szCs w:val="20"/>
        </w:rPr>
        <w:t xml:space="preserve">can </w:t>
      </w:r>
      <w:r w:rsidR="00586B17" w:rsidRPr="008625F9">
        <w:rPr>
          <w:rFonts w:ascii="Arial" w:hAnsi="Arial" w:cs="Arial"/>
          <w:sz w:val="20"/>
          <w:szCs w:val="20"/>
        </w:rPr>
        <w:t>have guideline overload</w:t>
      </w:r>
      <w:r w:rsidRPr="008625F9">
        <w:rPr>
          <w:rFonts w:ascii="Arial" w:hAnsi="Arial" w:cs="Arial"/>
          <w:sz w:val="20"/>
          <w:szCs w:val="20"/>
        </w:rPr>
        <w:t>. This w</w:t>
      </w:r>
      <w:r w:rsidR="00586B17" w:rsidRPr="008625F9">
        <w:rPr>
          <w:rFonts w:ascii="Arial" w:hAnsi="Arial" w:cs="Arial"/>
          <w:sz w:val="20"/>
          <w:szCs w:val="20"/>
        </w:rPr>
        <w:t xml:space="preserve">as seen </w:t>
      </w:r>
      <w:r w:rsidRPr="008625F9">
        <w:rPr>
          <w:rFonts w:ascii="Arial" w:hAnsi="Arial" w:cs="Arial"/>
          <w:sz w:val="20"/>
          <w:szCs w:val="20"/>
        </w:rPr>
        <w:t xml:space="preserve">in France </w:t>
      </w:r>
      <w:r w:rsidR="00586B17" w:rsidRPr="008625F9">
        <w:rPr>
          <w:rFonts w:ascii="Arial" w:hAnsi="Arial" w:cs="Arial"/>
          <w:sz w:val="20"/>
          <w:szCs w:val="20"/>
        </w:rPr>
        <w:t xml:space="preserve">with the </w:t>
      </w:r>
      <w:r w:rsidR="00586B17" w:rsidRPr="008625F9">
        <w:rPr>
          <w:rFonts w:ascii="Arial" w:hAnsi="Arial" w:cs="Arial"/>
          <w:sz w:val="20"/>
          <w:szCs w:val="20"/>
          <w:lang w:val="en-GB" w:eastAsia="en-GB"/>
        </w:rPr>
        <w:t>RMO (</w:t>
      </w:r>
      <w:proofErr w:type="spellStart"/>
      <w:r w:rsidR="00586B17" w:rsidRPr="008625F9">
        <w:rPr>
          <w:rFonts w:ascii="Arial" w:hAnsi="Arial" w:cs="Arial"/>
          <w:sz w:val="20"/>
          <w:szCs w:val="20"/>
          <w:lang w:val="en-GB" w:eastAsia="en-GB"/>
        </w:rPr>
        <w:t>références</w:t>
      </w:r>
      <w:proofErr w:type="spellEnd"/>
      <w:r w:rsidR="00586B17" w:rsidRPr="008625F9">
        <w:rPr>
          <w:rFonts w:ascii="Arial" w:hAnsi="Arial" w:cs="Arial"/>
          <w:sz w:val="20"/>
          <w:szCs w:val="20"/>
          <w:lang w:val="en-GB" w:eastAsia="en-GB"/>
        </w:rPr>
        <w:t xml:space="preserve"> </w:t>
      </w:r>
      <w:proofErr w:type="spellStart"/>
      <w:r w:rsidR="00586B17" w:rsidRPr="008625F9">
        <w:rPr>
          <w:rFonts w:ascii="Arial" w:hAnsi="Arial" w:cs="Arial"/>
          <w:sz w:val="20"/>
          <w:szCs w:val="20"/>
          <w:lang w:val="en-GB" w:eastAsia="en-GB"/>
        </w:rPr>
        <w:t>médicales</w:t>
      </w:r>
      <w:proofErr w:type="spellEnd"/>
      <w:r w:rsidR="00586B17" w:rsidRPr="008625F9">
        <w:rPr>
          <w:rFonts w:ascii="Arial" w:hAnsi="Arial" w:cs="Arial"/>
          <w:sz w:val="20"/>
          <w:szCs w:val="20"/>
          <w:lang w:val="en-GB" w:eastAsia="en-GB"/>
        </w:rPr>
        <w:t xml:space="preserve"> </w:t>
      </w:r>
      <w:proofErr w:type="spellStart"/>
      <w:r w:rsidR="00586B17" w:rsidRPr="008625F9">
        <w:rPr>
          <w:rFonts w:ascii="Arial" w:hAnsi="Arial" w:cs="Arial"/>
          <w:sz w:val="20"/>
          <w:szCs w:val="20"/>
          <w:lang w:val="en-GB" w:eastAsia="en-GB"/>
        </w:rPr>
        <w:t>opposables</w:t>
      </w:r>
      <w:proofErr w:type="spellEnd"/>
      <w:r w:rsidR="00586B17" w:rsidRPr="008625F9">
        <w:rPr>
          <w:rFonts w:ascii="Arial" w:hAnsi="Arial" w:cs="Arial"/>
          <w:sz w:val="20"/>
          <w:szCs w:val="20"/>
          <w:lang w:val="en-GB" w:eastAsia="en-GB"/>
        </w:rPr>
        <w:t>) guidelines for ambulatory care physicians</w:t>
      </w:r>
      <w:r w:rsidRPr="008625F9">
        <w:rPr>
          <w:rFonts w:ascii="Arial" w:hAnsi="Arial" w:cs="Arial"/>
          <w:sz w:val="20"/>
          <w:szCs w:val="20"/>
          <w:lang w:val="en-GB" w:eastAsia="en-GB"/>
        </w:rPr>
        <w:t xml:space="preserve"> </w:t>
      </w:r>
      <w:r w:rsidR="00586B17" w:rsidRPr="008625F9">
        <w:rPr>
          <w:rFonts w:ascii="Arial" w:hAnsi="Arial" w:cs="Arial"/>
          <w:sz w:val="20"/>
          <w:szCs w:val="20"/>
          <w:lang w:val="en-GB" w:eastAsia="en-GB"/>
        </w:rPr>
        <w:t>where 243 had been developed by the authorities by the time th</w:t>
      </w:r>
      <w:r w:rsidRPr="008625F9">
        <w:rPr>
          <w:rFonts w:ascii="Arial" w:hAnsi="Arial" w:cs="Arial"/>
          <w:sz w:val="20"/>
          <w:szCs w:val="20"/>
          <w:lang w:val="en-GB" w:eastAsia="en-GB"/>
        </w:rPr>
        <w:t>is</w:t>
      </w:r>
      <w:r w:rsidR="00586B17" w:rsidRPr="008625F9">
        <w:rPr>
          <w:rFonts w:ascii="Arial" w:hAnsi="Arial" w:cs="Arial"/>
          <w:sz w:val="20"/>
          <w:szCs w:val="20"/>
          <w:lang w:val="en-GB" w:eastAsia="en-GB"/>
        </w:rPr>
        <w:t xml:space="preserve"> initiative was abandoned </w:t>
      </w:r>
      <w:r w:rsidR="00586B17" w:rsidRPr="008625F9">
        <w:rPr>
          <w:rFonts w:ascii="Arial" w:hAnsi="Arial" w:cs="Arial"/>
          <w:noProof/>
          <w:sz w:val="20"/>
          <w:szCs w:val="20"/>
        </w:rPr>
        <w:t>(9)</w:t>
      </w:r>
      <w:r w:rsidR="00586B17" w:rsidRPr="008625F9">
        <w:rPr>
          <w:rFonts w:ascii="Arial" w:hAnsi="Arial" w:cs="Arial"/>
          <w:sz w:val="20"/>
          <w:szCs w:val="20"/>
        </w:rPr>
        <w:t xml:space="preserve">. A more measured approach was seen in Austria where only one guideline is produced per year involving all key stakeholder groups, with good acceptance and impact </w:t>
      </w:r>
      <w:r w:rsidR="00586B17" w:rsidRPr="008625F9">
        <w:rPr>
          <w:rFonts w:ascii="Arial" w:hAnsi="Arial" w:cs="Arial"/>
          <w:noProof/>
          <w:sz w:val="20"/>
          <w:szCs w:val="20"/>
        </w:rPr>
        <w:t>(10)</w:t>
      </w:r>
      <w:r w:rsidR="00586B17" w:rsidRPr="008625F9">
        <w:rPr>
          <w:rFonts w:ascii="Arial" w:hAnsi="Arial" w:cs="Arial"/>
          <w:sz w:val="20"/>
          <w:szCs w:val="20"/>
        </w:rPr>
        <w:t>.</w:t>
      </w:r>
    </w:p>
    <w:p w:rsidR="00586B17" w:rsidRPr="008625F9" w:rsidRDefault="00586B17" w:rsidP="003F2483">
      <w:pPr>
        <w:autoSpaceDE w:val="0"/>
        <w:autoSpaceDN w:val="0"/>
        <w:adjustRightInd w:val="0"/>
        <w:spacing w:line="360" w:lineRule="auto"/>
        <w:rPr>
          <w:rFonts w:ascii="Arial" w:hAnsi="Arial" w:cs="Arial"/>
          <w:sz w:val="20"/>
          <w:szCs w:val="20"/>
        </w:rPr>
      </w:pPr>
      <w:r w:rsidRPr="008625F9">
        <w:rPr>
          <w:rFonts w:ascii="Arial" w:hAnsi="Arial" w:cs="Arial"/>
          <w:sz w:val="20"/>
          <w:szCs w:val="20"/>
        </w:rPr>
        <w:t xml:space="preserve">Another challenge for CPTG implementation are potential counter-balancing activities </w:t>
      </w:r>
      <w:r w:rsidR="00663718" w:rsidRPr="008625F9">
        <w:rPr>
          <w:rFonts w:ascii="Arial" w:hAnsi="Arial" w:cs="Arial"/>
          <w:sz w:val="20"/>
          <w:szCs w:val="20"/>
        </w:rPr>
        <w:t>by</w:t>
      </w:r>
      <w:r w:rsidRPr="008625F9">
        <w:rPr>
          <w:rFonts w:ascii="Arial" w:hAnsi="Arial" w:cs="Arial"/>
          <w:sz w:val="20"/>
          <w:szCs w:val="20"/>
        </w:rPr>
        <w:t xml:space="preserve"> pharmaceutical companies, </w:t>
      </w:r>
      <w:r w:rsidRPr="008625F9">
        <w:rPr>
          <w:rFonts w:ascii="Arial" w:hAnsi="Arial" w:cs="Arial"/>
          <w:sz w:val="20"/>
          <w:szCs w:val="20"/>
          <w:shd w:val="clear" w:color="auto" w:fill="FFFFFF"/>
        </w:rPr>
        <w:t>with companies spending up to one third of their income on promotional and other marketing expenses</w:t>
      </w:r>
      <w:r w:rsidR="00663718" w:rsidRPr="008625F9">
        <w:rPr>
          <w:rFonts w:ascii="Arial" w:hAnsi="Arial" w:cs="Arial"/>
          <w:sz w:val="20"/>
          <w:szCs w:val="20"/>
          <w:shd w:val="clear" w:color="auto" w:fill="FFFFFF"/>
        </w:rPr>
        <w:t>.</w:t>
      </w:r>
      <w:r w:rsidRPr="008625F9">
        <w:rPr>
          <w:rFonts w:ascii="Arial" w:hAnsi="Arial" w:cs="Arial"/>
          <w:sz w:val="20"/>
          <w:szCs w:val="20"/>
          <w:shd w:val="clear" w:color="auto" w:fill="FFFFFF"/>
        </w:rPr>
        <w:t xml:space="preserve"> </w:t>
      </w:r>
      <w:r w:rsidR="00663718" w:rsidRPr="008625F9">
        <w:rPr>
          <w:rFonts w:ascii="Arial" w:hAnsi="Arial" w:cs="Arial"/>
          <w:sz w:val="20"/>
          <w:szCs w:val="20"/>
          <w:shd w:val="clear" w:color="auto" w:fill="FFFFFF"/>
        </w:rPr>
        <w:t>I</w:t>
      </w:r>
      <w:r w:rsidRPr="008625F9">
        <w:rPr>
          <w:rFonts w:ascii="Arial" w:hAnsi="Arial" w:cs="Arial"/>
          <w:sz w:val="20"/>
          <w:szCs w:val="20"/>
          <w:shd w:val="clear" w:color="auto" w:fill="FFFFFF"/>
        </w:rPr>
        <w:t>n 2012</w:t>
      </w:r>
      <w:r w:rsidR="00663718" w:rsidRPr="008625F9">
        <w:rPr>
          <w:rFonts w:ascii="Arial" w:hAnsi="Arial" w:cs="Arial"/>
          <w:sz w:val="20"/>
          <w:szCs w:val="20"/>
          <w:shd w:val="clear" w:color="auto" w:fill="FFFFFF"/>
        </w:rPr>
        <w:t>, this</w:t>
      </w:r>
      <w:r w:rsidRPr="008625F9">
        <w:rPr>
          <w:rFonts w:ascii="Arial" w:hAnsi="Arial" w:cs="Arial"/>
          <w:sz w:val="20"/>
          <w:szCs w:val="20"/>
          <w:shd w:val="clear" w:color="auto" w:fill="FFFFFF"/>
        </w:rPr>
        <w:t xml:space="preserve"> represented </w:t>
      </w:r>
      <w:hyperlink r:id="rId9" w:history="1">
        <w:r w:rsidRPr="008625F9">
          <w:rPr>
            <w:rStyle w:val="Hyperlink"/>
            <w:rFonts w:ascii="Arial" w:hAnsi="Arial" w:cs="Arial"/>
            <w:color w:val="auto"/>
            <w:sz w:val="20"/>
            <w:szCs w:val="20"/>
            <w:u w:val="none"/>
            <w:shd w:val="clear" w:color="auto" w:fill="FFFFFF"/>
          </w:rPr>
          <w:t>$24 bi</w:t>
        </w:r>
      </w:hyperlink>
      <w:r w:rsidR="00663718" w:rsidRPr="008625F9">
        <w:rPr>
          <w:rStyle w:val="Hyperlink"/>
          <w:rFonts w:ascii="Arial" w:hAnsi="Arial" w:cs="Arial"/>
          <w:color w:val="auto"/>
          <w:sz w:val="20"/>
          <w:szCs w:val="20"/>
          <w:u w:val="none"/>
          <w:shd w:val="clear" w:color="auto" w:fill="FFFFFF"/>
        </w:rPr>
        <w:t>llion</w:t>
      </w:r>
      <w:r w:rsidRPr="008625F9">
        <w:rPr>
          <w:rFonts w:ascii="Arial" w:hAnsi="Arial" w:cs="Arial"/>
          <w:sz w:val="20"/>
          <w:szCs w:val="20"/>
          <w:shd w:val="clear" w:color="auto" w:fill="FFFFFF"/>
        </w:rPr>
        <w:t xml:space="preserve"> in marketing </w:t>
      </w:r>
      <w:r w:rsidR="00663718" w:rsidRPr="008625F9">
        <w:rPr>
          <w:rFonts w:ascii="Arial" w:hAnsi="Arial" w:cs="Arial"/>
          <w:sz w:val="20"/>
          <w:szCs w:val="20"/>
          <w:shd w:val="clear" w:color="auto" w:fill="FFFFFF"/>
        </w:rPr>
        <w:t>costs</w:t>
      </w:r>
      <w:r w:rsidRPr="008625F9">
        <w:rPr>
          <w:rFonts w:ascii="Arial" w:hAnsi="Arial" w:cs="Arial"/>
          <w:sz w:val="20"/>
          <w:szCs w:val="20"/>
          <w:shd w:val="clear" w:color="auto" w:fill="FFFFFF"/>
        </w:rPr>
        <w:t xml:space="preserve"> to health care professionals in the US</w:t>
      </w:r>
      <w:r w:rsidR="00663718" w:rsidRPr="008625F9">
        <w:rPr>
          <w:rFonts w:ascii="Arial" w:hAnsi="Arial" w:cs="Arial"/>
          <w:sz w:val="20"/>
          <w:szCs w:val="20"/>
          <w:shd w:val="clear" w:color="auto" w:fill="FFFFFF"/>
        </w:rPr>
        <w:t xml:space="preserve"> </w:t>
      </w:r>
      <w:r w:rsidRPr="008625F9">
        <w:rPr>
          <w:rFonts w:ascii="Arial" w:hAnsi="Arial" w:cs="Arial"/>
          <w:noProof/>
          <w:sz w:val="20"/>
          <w:szCs w:val="20"/>
          <w:shd w:val="clear" w:color="auto" w:fill="FFFFFF"/>
        </w:rPr>
        <w:t>(11</w:t>
      </w:r>
      <w:r w:rsidR="00663718" w:rsidRPr="008625F9">
        <w:rPr>
          <w:rFonts w:ascii="Arial" w:hAnsi="Arial" w:cs="Arial"/>
          <w:noProof/>
          <w:sz w:val="20"/>
          <w:szCs w:val="20"/>
          <w:shd w:val="clear" w:color="auto" w:fill="FFFFFF"/>
        </w:rPr>
        <w:t>-13</w:t>
      </w:r>
      <w:r w:rsidRPr="008625F9">
        <w:rPr>
          <w:rFonts w:ascii="Arial" w:hAnsi="Arial" w:cs="Arial"/>
          <w:noProof/>
          <w:sz w:val="20"/>
          <w:szCs w:val="20"/>
          <w:shd w:val="clear" w:color="auto" w:fill="FFFFFF"/>
        </w:rPr>
        <w:t>)</w:t>
      </w:r>
      <w:r w:rsidRPr="008625F9">
        <w:rPr>
          <w:rFonts w:ascii="Arial" w:hAnsi="Arial" w:cs="Arial"/>
          <w:sz w:val="20"/>
          <w:szCs w:val="20"/>
        </w:rPr>
        <w:t xml:space="preserve">. A recent meta-analysis of studies of physicians exposed to information from pharmaceutical companies found this exposure was associated with </w:t>
      </w:r>
      <w:r w:rsidR="00663718" w:rsidRPr="008625F9">
        <w:rPr>
          <w:rFonts w:ascii="Arial" w:hAnsi="Arial" w:cs="Arial"/>
          <w:sz w:val="20"/>
          <w:szCs w:val="20"/>
        </w:rPr>
        <w:t xml:space="preserve">a </w:t>
      </w:r>
      <w:r w:rsidRPr="008625F9">
        <w:rPr>
          <w:rFonts w:ascii="Arial" w:hAnsi="Arial" w:cs="Arial"/>
          <w:sz w:val="20"/>
          <w:szCs w:val="20"/>
        </w:rPr>
        <w:t xml:space="preserve">higher prescribing frequency, higher costs, and/or lower prescribing quality </w:t>
      </w:r>
      <w:r w:rsidR="00663718" w:rsidRPr="008625F9">
        <w:rPr>
          <w:rFonts w:ascii="Arial" w:hAnsi="Arial" w:cs="Arial"/>
          <w:sz w:val="20"/>
          <w:szCs w:val="20"/>
        </w:rPr>
        <w:t>with</w:t>
      </w:r>
      <w:r w:rsidRPr="008625F9">
        <w:rPr>
          <w:rFonts w:ascii="Arial" w:hAnsi="Arial" w:cs="Arial"/>
          <w:sz w:val="20"/>
          <w:szCs w:val="20"/>
        </w:rPr>
        <w:t xml:space="preserve"> no improvement in prescribing </w:t>
      </w:r>
      <w:r w:rsidRPr="008625F9">
        <w:rPr>
          <w:rFonts w:ascii="Arial" w:hAnsi="Arial" w:cs="Arial"/>
          <w:noProof/>
          <w:sz w:val="20"/>
          <w:szCs w:val="20"/>
        </w:rPr>
        <w:t>(13)</w:t>
      </w:r>
      <w:r w:rsidRPr="008625F9">
        <w:rPr>
          <w:rFonts w:ascii="Arial" w:hAnsi="Arial" w:cs="Arial"/>
          <w:sz w:val="20"/>
          <w:szCs w:val="20"/>
        </w:rPr>
        <w:t>. Such concerns have resulted in countries introducing measures to limit pharmaceutical company marketing activities</w:t>
      </w:r>
      <w:r w:rsidR="00663718" w:rsidRPr="008625F9">
        <w:rPr>
          <w:rFonts w:ascii="Arial" w:hAnsi="Arial" w:cs="Arial"/>
          <w:sz w:val="20"/>
          <w:szCs w:val="20"/>
        </w:rPr>
        <w:t>. These</w:t>
      </w:r>
      <w:r w:rsidRPr="008625F9">
        <w:rPr>
          <w:rFonts w:ascii="Arial" w:hAnsi="Arial" w:cs="Arial"/>
          <w:sz w:val="20"/>
          <w:szCs w:val="20"/>
        </w:rPr>
        <w:t xml:space="preserve"> includ</w:t>
      </w:r>
      <w:r w:rsidR="00587F84" w:rsidRPr="008625F9">
        <w:rPr>
          <w:rFonts w:ascii="Arial" w:hAnsi="Arial" w:cs="Arial"/>
          <w:sz w:val="20"/>
          <w:szCs w:val="20"/>
        </w:rPr>
        <w:t>e</w:t>
      </w:r>
      <w:r w:rsidRPr="008625F9">
        <w:rPr>
          <w:rFonts w:ascii="Arial" w:hAnsi="Arial" w:cs="Arial"/>
          <w:sz w:val="20"/>
          <w:szCs w:val="20"/>
        </w:rPr>
        <w:t xml:space="preserve"> fines and other measures for abuse </w:t>
      </w:r>
      <w:r w:rsidRPr="008625F9">
        <w:rPr>
          <w:rFonts w:ascii="Arial" w:hAnsi="Arial" w:cs="Arial"/>
          <w:noProof/>
          <w:sz w:val="20"/>
          <w:szCs w:val="20"/>
        </w:rPr>
        <w:t>(14-16)</w:t>
      </w:r>
      <w:r w:rsidR="00663718" w:rsidRPr="008625F9">
        <w:rPr>
          <w:rFonts w:ascii="Arial" w:hAnsi="Arial" w:cs="Arial"/>
          <w:noProof/>
          <w:sz w:val="20"/>
          <w:szCs w:val="20"/>
        </w:rPr>
        <w:t>. Alongside this,</w:t>
      </w:r>
      <w:r w:rsidRPr="008625F9">
        <w:rPr>
          <w:rFonts w:ascii="Arial" w:hAnsi="Arial" w:cs="Arial"/>
          <w:sz w:val="20"/>
          <w:szCs w:val="20"/>
        </w:rPr>
        <w:t xml:space="preserve"> measures to enhance the rational use of medicines, including Academic Detailing. </w:t>
      </w:r>
    </w:p>
    <w:p w:rsidR="00586B17" w:rsidRPr="008625F9" w:rsidRDefault="00586B17" w:rsidP="003F2483">
      <w:pPr>
        <w:spacing w:after="240" w:line="360" w:lineRule="auto"/>
        <w:rPr>
          <w:rFonts w:ascii="Arial" w:hAnsi="Arial" w:cs="Arial"/>
          <w:sz w:val="20"/>
          <w:szCs w:val="20"/>
        </w:rPr>
      </w:pPr>
      <w:r w:rsidRPr="008625F9">
        <w:rPr>
          <w:rFonts w:ascii="Arial" w:hAnsi="Arial" w:cs="Arial"/>
          <w:sz w:val="20"/>
          <w:szCs w:val="20"/>
        </w:rPr>
        <w:lastRenderedPageBreak/>
        <w:t xml:space="preserve">Academic detailing has been described as a relatively strong strategy to disseminate guidelines </w:t>
      </w:r>
      <w:r w:rsidRPr="008625F9">
        <w:rPr>
          <w:rFonts w:ascii="Arial" w:hAnsi="Arial" w:cs="Arial"/>
          <w:noProof/>
          <w:sz w:val="20"/>
          <w:szCs w:val="20"/>
        </w:rPr>
        <w:t>(17)</w:t>
      </w:r>
      <w:r w:rsidRPr="008625F9">
        <w:rPr>
          <w:rFonts w:ascii="Arial" w:hAnsi="Arial" w:cs="Arial"/>
          <w:sz w:val="20"/>
          <w:szCs w:val="20"/>
        </w:rPr>
        <w:t>, addressing concerns with current prescribing practices including the inappropriate use of medicines. Its method combines the interactive marketing approach used by pharmaceutical company sales force</w:t>
      </w:r>
      <w:r w:rsidR="00663718" w:rsidRPr="008625F9">
        <w:rPr>
          <w:rFonts w:ascii="Arial" w:hAnsi="Arial" w:cs="Arial"/>
          <w:sz w:val="20"/>
          <w:szCs w:val="20"/>
        </w:rPr>
        <w:t>s</w:t>
      </w:r>
      <w:r w:rsidRPr="008625F9">
        <w:rPr>
          <w:rFonts w:ascii="Arial" w:hAnsi="Arial" w:cs="Arial"/>
          <w:sz w:val="20"/>
          <w:szCs w:val="20"/>
        </w:rPr>
        <w:t xml:space="preserve"> with evidence-based, unbiased information</w:t>
      </w:r>
      <w:r w:rsidR="00065032" w:rsidRPr="008625F9">
        <w:rPr>
          <w:rFonts w:ascii="Arial" w:hAnsi="Arial" w:cs="Arial"/>
          <w:sz w:val="20"/>
          <w:szCs w:val="20"/>
        </w:rPr>
        <w:t>,</w:t>
      </w:r>
      <w:r w:rsidRPr="008625F9">
        <w:rPr>
          <w:rFonts w:ascii="Arial" w:hAnsi="Arial" w:cs="Arial"/>
          <w:sz w:val="20"/>
          <w:szCs w:val="20"/>
        </w:rPr>
        <w:t xml:space="preserve"> from academic sources. As a result, academic detailing aims to close the gap between the best available </w:t>
      </w:r>
      <w:r w:rsidR="00065032" w:rsidRPr="008625F9">
        <w:rPr>
          <w:rFonts w:ascii="Arial" w:hAnsi="Arial" w:cs="Arial"/>
          <w:sz w:val="20"/>
          <w:szCs w:val="20"/>
        </w:rPr>
        <w:t>evidence</w:t>
      </w:r>
      <w:r w:rsidRPr="008625F9">
        <w:rPr>
          <w:rFonts w:ascii="Arial" w:hAnsi="Arial" w:cs="Arial"/>
          <w:sz w:val="20"/>
          <w:szCs w:val="20"/>
        </w:rPr>
        <w:t xml:space="preserve"> and prescribing in routine clinical practice to improve clinical decision making and enhance the quality and cost-effectiveness of care.</w:t>
      </w:r>
      <w:r w:rsidRPr="008625F9">
        <w:rPr>
          <w:rStyle w:val="FootnoteReference"/>
          <w:rFonts w:ascii="Arial" w:hAnsi="Arial" w:cs="Arial"/>
          <w:sz w:val="20"/>
          <w:szCs w:val="20"/>
        </w:rPr>
        <w:footnoteReference w:id="1"/>
      </w:r>
      <w:proofErr w:type="gramStart"/>
      <w:r w:rsidRPr="008625F9">
        <w:rPr>
          <w:rFonts w:ascii="Arial" w:hAnsi="Arial" w:cs="Arial"/>
          <w:sz w:val="20"/>
          <w:szCs w:val="20"/>
          <w:vertAlign w:val="superscript"/>
        </w:rPr>
        <w:t>,</w:t>
      </w:r>
      <w:r w:rsidRPr="008625F9">
        <w:rPr>
          <w:rFonts w:ascii="Arial" w:hAnsi="Arial" w:cs="Arial"/>
          <w:noProof/>
          <w:sz w:val="20"/>
          <w:szCs w:val="20"/>
        </w:rPr>
        <w:t>(</w:t>
      </w:r>
      <w:proofErr w:type="gramEnd"/>
      <w:r w:rsidRPr="008625F9">
        <w:rPr>
          <w:rFonts w:ascii="Arial" w:hAnsi="Arial" w:cs="Arial"/>
          <w:noProof/>
          <w:sz w:val="20"/>
          <w:szCs w:val="20"/>
        </w:rPr>
        <w:t>18)</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 xml:space="preserve">Accordingly, this study aimed to evaluate the scientific evidence coupled with international experiences to support a proposal </w:t>
      </w:r>
      <w:r w:rsidR="00065032" w:rsidRPr="008625F9">
        <w:rPr>
          <w:rFonts w:ascii="Arial" w:hAnsi="Arial" w:cs="Arial"/>
          <w:sz w:val="20"/>
          <w:szCs w:val="20"/>
        </w:rPr>
        <w:t>for academic detailing</w:t>
      </w:r>
      <w:r w:rsidRPr="008625F9">
        <w:rPr>
          <w:rFonts w:ascii="Arial" w:hAnsi="Arial" w:cs="Arial"/>
          <w:sz w:val="20"/>
          <w:szCs w:val="20"/>
        </w:rPr>
        <w:t xml:space="preserve"> in Brazil, targeting guidelines-based dissemination under the Specialized Component of Pharmaceutical Assistance.</w:t>
      </w:r>
      <w:r w:rsidR="00065032" w:rsidRPr="008625F9">
        <w:rPr>
          <w:rFonts w:ascii="Arial" w:hAnsi="Arial" w:cs="Arial"/>
          <w:sz w:val="20"/>
          <w:szCs w:val="20"/>
        </w:rPr>
        <w:t xml:space="preserve"> The first guidelines are those for </w:t>
      </w:r>
      <w:proofErr w:type="spellStart"/>
      <w:r w:rsidR="00065032" w:rsidRPr="008625F9">
        <w:rPr>
          <w:rFonts w:ascii="Arial" w:hAnsi="Arial" w:cs="Arial"/>
          <w:sz w:val="20"/>
          <w:szCs w:val="20"/>
        </w:rPr>
        <w:t>Alzheimers</w:t>
      </w:r>
      <w:proofErr w:type="spellEnd"/>
      <w:r w:rsidR="00065032" w:rsidRPr="008625F9">
        <w:rPr>
          <w:rFonts w:ascii="Arial" w:hAnsi="Arial" w:cs="Arial"/>
          <w:sz w:val="20"/>
          <w:szCs w:val="20"/>
        </w:rPr>
        <w:t xml:space="preserve">’ Disease. </w:t>
      </w:r>
    </w:p>
    <w:p w:rsidR="00586B17" w:rsidRPr="008625F9" w:rsidRDefault="00586B17" w:rsidP="003F2483">
      <w:pPr>
        <w:pStyle w:val="ListParagraph"/>
        <w:numPr>
          <w:ilvl w:val="0"/>
          <w:numId w:val="1"/>
        </w:numPr>
        <w:spacing w:line="360" w:lineRule="auto"/>
        <w:rPr>
          <w:rFonts w:ascii="Arial" w:hAnsi="Arial" w:cs="Arial"/>
          <w:b/>
          <w:i/>
          <w:sz w:val="20"/>
          <w:szCs w:val="20"/>
        </w:rPr>
      </w:pPr>
      <w:r w:rsidRPr="008625F9">
        <w:rPr>
          <w:rFonts w:ascii="Arial" w:hAnsi="Arial" w:cs="Arial"/>
          <w:b/>
          <w:i/>
          <w:sz w:val="20"/>
          <w:szCs w:val="20"/>
        </w:rPr>
        <w:t>Concepts and terminology surrounding academic detailing</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 xml:space="preserve">Academic detailing, or educational outreach visits, corresponds to the visit of a trained person (health professional or not) to health professionals in their own settings (hospital, nursing home, office) </w:t>
      </w:r>
      <w:r w:rsidRPr="008625F9">
        <w:rPr>
          <w:rFonts w:ascii="Arial" w:hAnsi="Arial" w:cs="Arial"/>
          <w:noProof/>
          <w:sz w:val="20"/>
          <w:szCs w:val="20"/>
        </w:rPr>
        <w:t>(19)</w:t>
      </w:r>
      <w:r w:rsidRPr="008625F9">
        <w:rPr>
          <w:rFonts w:ascii="Arial" w:hAnsi="Arial" w:cs="Arial"/>
          <w:sz w:val="20"/>
          <w:szCs w:val="20"/>
        </w:rPr>
        <w:t xml:space="preserve"> conducted </w:t>
      </w:r>
      <w:r w:rsidR="00065032" w:rsidRPr="008625F9">
        <w:rPr>
          <w:rFonts w:ascii="Arial" w:hAnsi="Arial" w:cs="Arial"/>
          <w:sz w:val="20"/>
          <w:szCs w:val="20"/>
        </w:rPr>
        <w:t>o</w:t>
      </w:r>
      <w:r w:rsidRPr="008625F9">
        <w:rPr>
          <w:rFonts w:ascii="Arial" w:hAnsi="Arial" w:cs="Arial"/>
          <w:sz w:val="20"/>
          <w:szCs w:val="20"/>
        </w:rPr>
        <w:t xml:space="preserve">n </w:t>
      </w:r>
      <w:r w:rsidR="00065032" w:rsidRPr="008625F9">
        <w:rPr>
          <w:rFonts w:ascii="Arial" w:hAnsi="Arial" w:cs="Arial"/>
          <w:sz w:val="20"/>
          <w:szCs w:val="20"/>
        </w:rPr>
        <w:t xml:space="preserve">a </w:t>
      </w:r>
      <w:r w:rsidRPr="008625F9">
        <w:rPr>
          <w:rFonts w:ascii="Arial" w:hAnsi="Arial" w:cs="Arial"/>
          <w:sz w:val="20"/>
          <w:szCs w:val="20"/>
        </w:rPr>
        <w:t>one-on-one</w:t>
      </w:r>
      <w:r w:rsidR="00065032" w:rsidRPr="008625F9">
        <w:rPr>
          <w:rFonts w:ascii="Arial" w:hAnsi="Arial" w:cs="Arial"/>
          <w:sz w:val="20"/>
          <w:szCs w:val="20"/>
        </w:rPr>
        <w:t xml:space="preserve"> basis</w:t>
      </w:r>
      <w:r w:rsidRPr="008625F9">
        <w:rPr>
          <w:rFonts w:ascii="Arial" w:hAnsi="Arial" w:cs="Arial"/>
          <w:sz w:val="20"/>
          <w:szCs w:val="20"/>
        </w:rPr>
        <w:t xml:space="preserve">. </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 xml:space="preserve">Visits are traditionally delivered </w:t>
      </w:r>
      <w:r w:rsidR="00065032" w:rsidRPr="008625F9">
        <w:rPr>
          <w:rFonts w:ascii="Arial" w:hAnsi="Arial" w:cs="Arial"/>
          <w:sz w:val="20"/>
          <w:szCs w:val="20"/>
        </w:rPr>
        <w:t>to</w:t>
      </w:r>
      <w:r w:rsidRPr="008625F9">
        <w:rPr>
          <w:rFonts w:ascii="Arial" w:hAnsi="Arial" w:cs="Arial"/>
          <w:sz w:val="20"/>
          <w:szCs w:val="20"/>
        </w:rPr>
        <w:t xml:space="preserve"> general practitioners</w:t>
      </w:r>
      <w:r w:rsidR="00065032" w:rsidRPr="008625F9">
        <w:rPr>
          <w:rFonts w:ascii="Arial" w:hAnsi="Arial" w:cs="Arial"/>
          <w:sz w:val="20"/>
          <w:szCs w:val="20"/>
        </w:rPr>
        <w:t>; however, they</w:t>
      </w:r>
      <w:r w:rsidRPr="008625F9">
        <w:rPr>
          <w:rFonts w:ascii="Arial" w:hAnsi="Arial" w:cs="Arial"/>
          <w:sz w:val="20"/>
          <w:szCs w:val="20"/>
        </w:rPr>
        <w:t xml:space="preserve"> can be directed to specialists, nurses, or pharmacists. The aim is to provide information with the intent of changing health professionals’ behavior. The visits can have a range of goals</w:t>
      </w:r>
      <w:r w:rsidR="00065032" w:rsidRPr="008625F9">
        <w:rPr>
          <w:rFonts w:ascii="Arial" w:hAnsi="Arial" w:cs="Arial"/>
          <w:sz w:val="20"/>
          <w:szCs w:val="20"/>
        </w:rPr>
        <w:t>. These</w:t>
      </w:r>
      <w:r w:rsidRPr="008625F9">
        <w:rPr>
          <w:rFonts w:ascii="Arial" w:hAnsi="Arial" w:cs="Arial"/>
          <w:sz w:val="20"/>
          <w:szCs w:val="20"/>
        </w:rPr>
        <w:t xml:space="preserve"> include: development and dissemination of CPTGs; changing prescribing patterns</w:t>
      </w:r>
      <w:r w:rsidR="00065032" w:rsidRPr="008625F9">
        <w:rPr>
          <w:rFonts w:ascii="Arial" w:hAnsi="Arial" w:cs="Arial"/>
          <w:sz w:val="20"/>
          <w:szCs w:val="20"/>
        </w:rPr>
        <w:t xml:space="preserve"> including </w:t>
      </w:r>
      <w:proofErr w:type="spellStart"/>
      <w:r w:rsidR="00065032" w:rsidRPr="008625F9">
        <w:rPr>
          <w:rFonts w:ascii="Arial" w:hAnsi="Arial" w:cs="Arial"/>
          <w:sz w:val="20"/>
          <w:szCs w:val="20"/>
        </w:rPr>
        <w:t>utilisation</w:t>
      </w:r>
      <w:proofErr w:type="spellEnd"/>
      <w:r w:rsidRPr="008625F9">
        <w:rPr>
          <w:rFonts w:ascii="Arial" w:hAnsi="Arial" w:cs="Arial"/>
          <w:sz w:val="20"/>
          <w:szCs w:val="20"/>
        </w:rPr>
        <w:t xml:space="preserve">; changing resource patterns, e.g. increased screening for cancer or increased use of </w:t>
      </w:r>
      <w:r w:rsidR="00065032" w:rsidRPr="008625F9">
        <w:rPr>
          <w:rFonts w:ascii="Arial" w:hAnsi="Arial" w:cs="Arial"/>
          <w:sz w:val="20"/>
          <w:szCs w:val="20"/>
        </w:rPr>
        <w:t xml:space="preserve">lower cost </w:t>
      </w:r>
      <w:r w:rsidRPr="008625F9">
        <w:rPr>
          <w:rFonts w:ascii="Arial" w:hAnsi="Arial" w:cs="Arial"/>
          <w:sz w:val="20"/>
          <w:szCs w:val="20"/>
        </w:rPr>
        <w:t xml:space="preserve">generics; and improving the management of </w:t>
      </w:r>
      <w:r w:rsidR="00065032" w:rsidRPr="008625F9">
        <w:rPr>
          <w:rFonts w:ascii="Arial" w:hAnsi="Arial" w:cs="Arial"/>
          <w:sz w:val="20"/>
          <w:szCs w:val="20"/>
        </w:rPr>
        <w:t xml:space="preserve">targeted </w:t>
      </w:r>
      <w:r w:rsidRPr="008625F9">
        <w:rPr>
          <w:rFonts w:ascii="Arial" w:hAnsi="Arial" w:cs="Arial"/>
          <w:sz w:val="20"/>
          <w:szCs w:val="20"/>
        </w:rPr>
        <w:t xml:space="preserve">health conditions </w:t>
      </w:r>
      <w:r w:rsidRPr="008625F9">
        <w:rPr>
          <w:rFonts w:ascii="Arial" w:hAnsi="Arial" w:cs="Arial"/>
          <w:noProof/>
          <w:sz w:val="20"/>
          <w:szCs w:val="20"/>
        </w:rPr>
        <w:t>(19, 20)</w:t>
      </w:r>
      <w:r w:rsidRPr="008625F9">
        <w:rPr>
          <w:rFonts w:ascii="Arial" w:hAnsi="Arial" w:cs="Arial"/>
          <w:sz w:val="20"/>
          <w:szCs w:val="20"/>
        </w:rPr>
        <w:t>.</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 xml:space="preserve">To achieve its objectives, academic detailing is commonly delivered in one or more visits and is often combined with other strategies, as part of a multi-faceted intervention </w:t>
      </w:r>
      <w:r w:rsidRPr="008625F9">
        <w:rPr>
          <w:rFonts w:ascii="Arial" w:hAnsi="Arial" w:cs="Arial"/>
          <w:noProof/>
          <w:sz w:val="20"/>
          <w:szCs w:val="20"/>
        </w:rPr>
        <w:t>(19)</w:t>
      </w:r>
      <w:r w:rsidRPr="008625F9">
        <w:rPr>
          <w:rFonts w:ascii="Arial" w:hAnsi="Arial" w:cs="Arial"/>
          <w:sz w:val="20"/>
          <w:szCs w:val="20"/>
        </w:rPr>
        <w:t xml:space="preserve">. These other strategies can include </w:t>
      </w:r>
      <w:r w:rsidR="00065032" w:rsidRPr="008625F9">
        <w:rPr>
          <w:rFonts w:ascii="Arial" w:hAnsi="Arial" w:cs="Arial"/>
          <w:sz w:val="20"/>
          <w:szCs w:val="20"/>
        </w:rPr>
        <w:t xml:space="preserve">for instance </w:t>
      </w:r>
      <w:r w:rsidRPr="008625F9">
        <w:rPr>
          <w:rFonts w:ascii="Arial" w:hAnsi="Arial" w:cs="Arial"/>
          <w:sz w:val="20"/>
          <w:szCs w:val="20"/>
        </w:rPr>
        <w:t>mailed information, reminders, audits and feedback</w:t>
      </w:r>
      <w:r w:rsidR="00751E5D" w:rsidRPr="008625F9">
        <w:rPr>
          <w:rFonts w:ascii="Arial" w:hAnsi="Arial" w:cs="Arial"/>
          <w:sz w:val="20"/>
          <w:szCs w:val="20"/>
        </w:rPr>
        <w:t xml:space="preserve"> </w:t>
      </w:r>
      <w:r w:rsidRPr="008625F9">
        <w:rPr>
          <w:rFonts w:ascii="Arial" w:hAnsi="Arial" w:cs="Arial"/>
          <w:sz w:val="20"/>
          <w:szCs w:val="20"/>
        </w:rPr>
        <w:t xml:space="preserve">(Table 1).  </w:t>
      </w:r>
    </w:p>
    <w:p w:rsidR="000F6588" w:rsidRDefault="000F6588">
      <w:pPr>
        <w:rPr>
          <w:rFonts w:ascii="Arial" w:hAnsi="Arial" w:cs="Arial"/>
          <w:sz w:val="24"/>
          <w:szCs w:val="24"/>
          <w:lang w:eastAsia="pt-BR"/>
        </w:rPr>
      </w:pPr>
      <w:r>
        <w:rPr>
          <w:rFonts w:ascii="Arial" w:hAnsi="Arial" w:cs="Arial"/>
          <w:sz w:val="24"/>
          <w:szCs w:val="24"/>
          <w:lang w:eastAsia="pt-BR"/>
        </w:rPr>
        <w:br w:type="page"/>
      </w:r>
    </w:p>
    <w:p w:rsidR="000F6588" w:rsidRPr="008625F9" w:rsidRDefault="000F6588" w:rsidP="000F6588">
      <w:pPr>
        <w:rPr>
          <w:rFonts w:ascii="Arial" w:hAnsi="Arial" w:cs="Arial"/>
          <w:b/>
          <w:bCs/>
          <w:sz w:val="20"/>
          <w:szCs w:val="20"/>
          <w:lang w:eastAsia="pt-BR"/>
        </w:rPr>
      </w:pPr>
      <w:r w:rsidRPr="008625F9">
        <w:rPr>
          <w:rFonts w:ascii="Arial" w:hAnsi="Arial" w:cs="Arial"/>
          <w:sz w:val="20"/>
          <w:szCs w:val="20"/>
          <w:lang w:eastAsia="pt-BR"/>
        </w:rPr>
        <w:lastRenderedPageBreak/>
        <w:t xml:space="preserve">Table 1: Types of intervention </w:t>
      </w:r>
    </w:p>
    <w:tbl>
      <w:tblPr>
        <w:tblW w:w="9588" w:type="dxa"/>
        <w:tblBorders>
          <w:top w:val="single" w:sz="4" w:space="0" w:color="auto"/>
          <w:bottom w:val="single" w:sz="4" w:space="0" w:color="auto"/>
        </w:tblBorders>
        <w:tblLook w:val="04A0" w:firstRow="1" w:lastRow="0" w:firstColumn="1" w:lastColumn="0" w:noHBand="0" w:noVBand="1"/>
      </w:tblPr>
      <w:tblGrid>
        <w:gridCol w:w="3179"/>
        <w:gridCol w:w="6409"/>
      </w:tblGrid>
      <w:tr w:rsidR="000F6588" w:rsidRPr="008625F9" w:rsidTr="00454292">
        <w:tc>
          <w:tcPr>
            <w:tcW w:w="3179" w:type="dxa"/>
            <w:tcBorders>
              <w:top w:val="single" w:sz="4" w:space="0" w:color="auto"/>
              <w:bottom w:val="single" w:sz="4" w:space="0" w:color="auto"/>
            </w:tcBorders>
            <w:shd w:val="clear" w:color="auto" w:fill="auto"/>
          </w:tcPr>
          <w:p w:rsidR="000F6588" w:rsidRPr="008625F9" w:rsidRDefault="000F6588" w:rsidP="00454292">
            <w:pPr>
              <w:spacing w:after="0" w:line="240" w:lineRule="auto"/>
              <w:rPr>
                <w:rFonts w:ascii="Arial" w:hAnsi="Arial" w:cs="Arial"/>
                <w:b/>
                <w:sz w:val="20"/>
                <w:szCs w:val="20"/>
                <w:lang w:eastAsia="pt-BR"/>
              </w:rPr>
            </w:pPr>
            <w:r w:rsidRPr="008625F9">
              <w:rPr>
                <w:rFonts w:ascii="Arial" w:hAnsi="Arial" w:cs="Arial"/>
                <w:b/>
                <w:sz w:val="20"/>
                <w:szCs w:val="20"/>
                <w:lang w:eastAsia="pt-BR"/>
              </w:rPr>
              <w:t>Intervention</w:t>
            </w:r>
          </w:p>
        </w:tc>
        <w:tc>
          <w:tcPr>
            <w:tcW w:w="6409" w:type="dxa"/>
            <w:tcBorders>
              <w:top w:val="single" w:sz="4" w:space="0" w:color="auto"/>
              <w:bottom w:val="single" w:sz="4" w:space="0" w:color="auto"/>
            </w:tcBorders>
            <w:shd w:val="clear" w:color="auto" w:fill="auto"/>
          </w:tcPr>
          <w:p w:rsidR="000F6588" w:rsidRPr="008625F9" w:rsidRDefault="000F6588" w:rsidP="00454292">
            <w:pPr>
              <w:spacing w:after="0" w:line="240" w:lineRule="auto"/>
              <w:jc w:val="center"/>
              <w:rPr>
                <w:rFonts w:ascii="Arial" w:hAnsi="Arial" w:cs="Arial"/>
                <w:b/>
                <w:sz w:val="20"/>
                <w:szCs w:val="20"/>
                <w:lang w:eastAsia="pt-BR"/>
              </w:rPr>
            </w:pPr>
            <w:r w:rsidRPr="008625F9">
              <w:rPr>
                <w:rFonts w:ascii="Arial" w:hAnsi="Arial" w:cs="Arial"/>
                <w:b/>
                <w:sz w:val="20"/>
                <w:szCs w:val="20"/>
                <w:lang w:eastAsia="pt-BR"/>
              </w:rPr>
              <w:t>Description</w:t>
            </w:r>
          </w:p>
        </w:tc>
      </w:tr>
      <w:tr w:rsidR="000F6588" w:rsidRPr="008625F9" w:rsidTr="00454292">
        <w:tc>
          <w:tcPr>
            <w:tcW w:w="3179" w:type="dxa"/>
            <w:tcBorders>
              <w:top w:val="single" w:sz="4" w:space="0" w:color="auto"/>
              <w:bottom w:val="single" w:sz="4" w:space="0" w:color="auto"/>
            </w:tcBorders>
            <w:shd w:val="clear" w:color="auto" w:fill="auto"/>
            <w:vAlign w:val="center"/>
          </w:tcPr>
          <w:p w:rsidR="000F6588" w:rsidRPr="008625F9" w:rsidRDefault="000F6588" w:rsidP="00454292">
            <w:pPr>
              <w:spacing w:after="0" w:line="240" w:lineRule="auto"/>
              <w:rPr>
                <w:rFonts w:ascii="Arial" w:hAnsi="Arial" w:cs="Arial"/>
                <w:sz w:val="20"/>
                <w:szCs w:val="20"/>
                <w:lang w:eastAsia="pt-BR"/>
              </w:rPr>
            </w:pPr>
            <w:r w:rsidRPr="008625F9">
              <w:rPr>
                <w:rFonts w:ascii="Arial" w:hAnsi="Arial" w:cs="Arial"/>
                <w:sz w:val="20"/>
                <w:szCs w:val="20"/>
              </w:rPr>
              <w:t>Audit and feedback</w:t>
            </w:r>
          </w:p>
        </w:tc>
        <w:tc>
          <w:tcPr>
            <w:tcW w:w="6409" w:type="dxa"/>
            <w:tcBorders>
              <w:top w:val="single" w:sz="4" w:space="0" w:color="auto"/>
              <w:bottom w:val="single" w:sz="4" w:space="0" w:color="auto"/>
            </w:tcBorders>
            <w:shd w:val="clear" w:color="auto" w:fill="auto"/>
          </w:tcPr>
          <w:p w:rsidR="000F6588" w:rsidRPr="008625F9" w:rsidRDefault="000F6588" w:rsidP="00454292">
            <w:pPr>
              <w:autoSpaceDE w:val="0"/>
              <w:autoSpaceDN w:val="0"/>
              <w:adjustRightInd w:val="0"/>
              <w:spacing w:after="0" w:line="240" w:lineRule="auto"/>
              <w:rPr>
                <w:rFonts w:ascii="Arial" w:hAnsi="Arial" w:cs="Arial"/>
                <w:sz w:val="20"/>
                <w:szCs w:val="20"/>
                <w:lang w:eastAsia="pt-BR"/>
              </w:rPr>
            </w:pPr>
            <w:r w:rsidRPr="008625F9">
              <w:rPr>
                <w:rFonts w:ascii="Arial" w:hAnsi="Arial" w:cs="Arial"/>
                <w:bCs/>
                <w:sz w:val="20"/>
                <w:szCs w:val="20"/>
              </w:rPr>
              <w:t xml:space="preserve">Any summary of clinical performance of health care over a specified period of time, with or without recommendations for clinical action </w:t>
            </w:r>
          </w:p>
        </w:tc>
      </w:tr>
      <w:tr w:rsidR="000F6588" w:rsidRPr="008625F9" w:rsidTr="00454292">
        <w:tc>
          <w:tcPr>
            <w:tcW w:w="3179" w:type="dxa"/>
            <w:tcBorders>
              <w:top w:val="single" w:sz="4" w:space="0" w:color="auto"/>
              <w:bottom w:val="single" w:sz="4" w:space="0" w:color="auto"/>
            </w:tcBorders>
            <w:shd w:val="clear" w:color="auto" w:fill="auto"/>
            <w:vAlign w:val="center"/>
          </w:tcPr>
          <w:p w:rsidR="000F6588" w:rsidRPr="008625F9" w:rsidRDefault="000F6588" w:rsidP="00454292">
            <w:pPr>
              <w:spacing w:after="0" w:line="240" w:lineRule="auto"/>
              <w:rPr>
                <w:rFonts w:ascii="Arial" w:hAnsi="Arial" w:cs="Arial"/>
                <w:sz w:val="20"/>
                <w:szCs w:val="20"/>
                <w:lang w:eastAsia="pt-BR"/>
              </w:rPr>
            </w:pPr>
            <w:r w:rsidRPr="008625F9">
              <w:rPr>
                <w:rFonts w:ascii="Arial" w:hAnsi="Arial" w:cs="Arial"/>
                <w:sz w:val="20"/>
                <w:szCs w:val="20"/>
              </w:rPr>
              <w:t>Conferences and training</w:t>
            </w:r>
          </w:p>
        </w:tc>
        <w:tc>
          <w:tcPr>
            <w:tcW w:w="6409" w:type="dxa"/>
            <w:tcBorders>
              <w:top w:val="single" w:sz="4" w:space="0" w:color="auto"/>
              <w:bottom w:val="single" w:sz="4" w:space="0" w:color="auto"/>
            </w:tcBorders>
            <w:shd w:val="clear" w:color="auto" w:fill="auto"/>
          </w:tcPr>
          <w:p w:rsidR="000F6588" w:rsidRPr="008625F9" w:rsidRDefault="000F6588" w:rsidP="00454292">
            <w:pPr>
              <w:autoSpaceDE w:val="0"/>
              <w:autoSpaceDN w:val="0"/>
              <w:adjustRightInd w:val="0"/>
              <w:spacing w:after="0" w:line="240" w:lineRule="auto"/>
              <w:rPr>
                <w:rFonts w:ascii="Arial" w:hAnsi="Arial" w:cs="Arial"/>
                <w:sz w:val="20"/>
                <w:szCs w:val="20"/>
                <w:lang w:eastAsia="pt-BR"/>
              </w:rPr>
            </w:pPr>
            <w:r w:rsidRPr="008625F9">
              <w:rPr>
                <w:rFonts w:ascii="Arial" w:hAnsi="Arial" w:cs="Arial"/>
                <w:bCs/>
                <w:sz w:val="20"/>
                <w:szCs w:val="20"/>
              </w:rPr>
              <w:t>Participation of health care providers in conferences, lectures, workshops or traineeships outside their practice settings</w:t>
            </w:r>
          </w:p>
        </w:tc>
      </w:tr>
      <w:tr w:rsidR="000F6588" w:rsidRPr="008625F9" w:rsidTr="00454292">
        <w:tc>
          <w:tcPr>
            <w:tcW w:w="3179" w:type="dxa"/>
            <w:tcBorders>
              <w:top w:val="single" w:sz="4" w:space="0" w:color="auto"/>
              <w:bottom w:val="single" w:sz="4" w:space="0" w:color="auto"/>
            </w:tcBorders>
            <w:shd w:val="clear" w:color="auto" w:fill="auto"/>
            <w:vAlign w:val="center"/>
          </w:tcPr>
          <w:p w:rsidR="000F6588" w:rsidRPr="008625F9" w:rsidRDefault="000F6588" w:rsidP="00454292">
            <w:pPr>
              <w:spacing w:after="0" w:line="240" w:lineRule="auto"/>
              <w:rPr>
                <w:rFonts w:ascii="Arial" w:hAnsi="Arial" w:cs="Arial"/>
                <w:sz w:val="20"/>
                <w:szCs w:val="20"/>
                <w:lang w:eastAsia="pt-BR"/>
              </w:rPr>
            </w:pPr>
            <w:r w:rsidRPr="008625F9">
              <w:rPr>
                <w:rFonts w:ascii="Arial" w:hAnsi="Arial" w:cs="Arial"/>
                <w:sz w:val="20"/>
                <w:szCs w:val="20"/>
              </w:rPr>
              <w:t>Educational materials</w:t>
            </w:r>
          </w:p>
        </w:tc>
        <w:tc>
          <w:tcPr>
            <w:tcW w:w="6409" w:type="dxa"/>
            <w:tcBorders>
              <w:top w:val="single" w:sz="4" w:space="0" w:color="auto"/>
              <w:bottom w:val="single" w:sz="4" w:space="0" w:color="auto"/>
            </w:tcBorders>
            <w:shd w:val="clear" w:color="auto" w:fill="auto"/>
          </w:tcPr>
          <w:p w:rsidR="000F6588" w:rsidRPr="008625F9" w:rsidRDefault="000F6588" w:rsidP="00454292">
            <w:pPr>
              <w:autoSpaceDE w:val="0"/>
              <w:autoSpaceDN w:val="0"/>
              <w:adjustRightInd w:val="0"/>
              <w:spacing w:after="0" w:line="240" w:lineRule="auto"/>
              <w:rPr>
                <w:rFonts w:ascii="Arial" w:hAnsi="Arial" w:cs="Arial"/>
                <w:sz w:val="20"/>
                <w:szCs w:val="20"/>
                <w:lang w:eastAsia="pt-BR"/>
              </w:rPr>
            </w:pPr>
            <w:r w:rsidRPr="008625F9">
              <w:rPr>
                <w:rFonts w:ascii="Arial" w:hAnsi="Arial" w:cs="Arial"/>
                <w:bCs/>
                <w:sz w:val="20"/>
                <w:szCs w:val="20"/>
              </w:rPr>
              <w:t>Published or printed recommendations for clinical care, including clinical practice guidelines, audiovisual materials and electronic publications, delivered personally or through mass mailings</w:t>
            </w:r>
          </w:p>
        </w:tc>
      </w:tr>
      <w:tr w:rsidR="000F6588" w:rsidRPr="008625F9" w:rsidTr="00454292">
        <w:tc>
          <w:tcPr>
            <w:tcW w:w="3179" w:type="dxa"/>
            <w:tcBorders>
              <w:top w:val="single" w:sz="4" w:space="0" w:color="auto"/>
              <w:bottom w:val="single" w:sz="4" w:space="0" w:color="auto"/>
            </w:tcBorders>
            <w:shd w:val="clear" w:color="auto" w:fill="auto"/>
            <w:vAlign w:val="center"/>
          </w:tcPr>
          <w:p w:rsidR="000F6588" w:rsidRPr="008625F9" w:rsidRDefault="000F6588" w:rsidP="00454292">
            <w:pPr>
              <w:spacing w:after="0" w:line="240" w:lineRule="auto"/>
              <w:rPr>
                <w:rFonts w:ascii="Arial" w:hAnsi="Arial" w:cs="Arial"/>
                <w:sz w:val="20"/>
                <w:szCs w:val="20"/>
                <w:lang w:eastAsia="pt-BR"/>
              </w:rPr>
            </w:pPr>
            <w:r w:rsidRPr="008625F9">
              <w:rPr>
                <w:rFonts w:ascii="Arial" w:hAnsi="Arial" w:cs="Arial"/>
                <w:sz w:val="20"/>
                <w:szCs w:val="20"/>
              </w:rPr>
              <w:t>Educational outreach visits</w:t>
            </w:r>
          </w:p>
        </w:tc>
        <w:tc>
          <w:tcPr>
            <w:tcW w:w="6409" w:type="dxa"/>
            <w:tcBorders>
              <w:top w:val="single" w:sz="4" w:space="0" w:color="auto"/>
              <w:bottom w:val="single" w:sz="4" w:space="0" w:color="auto"/>
            </w:tcBorders>
            <w:shd w:val="clear" w:color="auto" w:fill="auto"/>
          </w:tcPr>
          <w:p w:rsidR="000F6588" w:rsidRPr="008625F9" w:rsidRDefault="000F6588" w:rsidP="00454292">
            <w:pPr>
              <w:autoSpaceDE w:val="0"/>
              <w:autoSpaceDN w:val="0"/>
              <w:adjustRightInd w:val="0"/>
              <w:spacing w:after="0" w:line="240" w:lineRule="auto"/>
              <w:rPr>
                <w:rFonts w:ascii="Arial" w:hAnsi="Arial" w:cs="Arial"/>
                <w:bCs/>
                <w:sz w:val="20"/>
                <w:szCs w:val="20"/>
              </w:rPr>
            </w:pPr>
            <w:r w:rsidRPr="008625F9">
              <w:rPr>
                <w:rFonts w:ascii="Arial" w:hAnsi="Arial" w:cs="Arial"/>
                <w:bCs/>
                <w:sz w:val="20"/>
                <w:szCs w:val="20"/>
              </w:rPr>
              <w:t>Use of a trained person who meets with providers in their practice settings to provide information with the intent of changing the provider’s practice </w:t>
            </w:r>
          </w:p>
          <w:p w:rsidR="000F6588" w:rsidRPr="008625F9" w:rsidRDefault="000F6588" w:rsidP="00454292">
            <w:pPr>
              <w:autoSpaceDE w:val="0"/>
              <w:autoSpaceDN w:val="0"/>
              <w:adjustRightInd w:val="0"/>
              <w:spacing w:after="0" w:line="240" w:lineRule="auto"/>
              <w:rPr>
                <w:rFonts w:ascii="Arial" w:hAnsi="Arial" w:cs="Arial"/>
                <w:sz w:val="20"/>
                <w:szCs w:val="20"/>
                <w:lang w:eastAsia="pt-BR"/>
              </w:rPr>
            </w:pPr>
            <w:r w:rsidRPr="008625F9">
              <w:rPr>
                <w:rFonts w:ascii="Arial" w:hAnsi="Arial" w:cs="Arial"/>
                <w:bCs/>
                <w:sz w:val="20"/>
                <w:szCs w:val="20"/>
              </w:rPr>
              <w:t>Includes Academic Detailing</w:t>
            </w:r>
          </w:p>
        </w:tc>
      </w:tr>
      <w:tr w:rsidR="000F6588" w:rsidRPr="008625F9" w:rsidTr="00454292">
        <w:tc>
          <w:tcPr>
            <w:tcW w:w="3179" w:type="dxa"/>
            <w:tcBorders>
              <w:top w:val="single" w:sz="4" w:space="0" w:color="auto"/>
              <w:bottom w:val="single" w:sz="4" w:space="0" w:color="auto"/>
            </w:tcBorders>
            <w:shd w:val="clear" w:color="auto" w:fill="auto"/>
            <w:vAlign w:val="center"/>
          </w:tcPr>
          <w:p w:rsidR="000F6588" w:rsidRPr="008625F9" w:rsidRDefault="000F6588" w:rsidP="00454292">
            <w:pPr>
              <w:spacing w:after="0" w:line="240" w:lineRule="auto"/>
              <w:rPr>
                <w:rFonts w:ascii="Arial" w:hAnsi="Arial" w:cs="Arial"/>
                <w:sz w:val="20"/>
                <w:szCs w:val="20"/>
              </w:rPr>
            </w:pPr>
            <w:r w:rsidRPr="008625F9">
              <w:rPr>
                <w:rFonts w:ascii="Arial" w:hAnsi="Arial" w:cs="Arial"/>
                <w:sz w:val="20"/>
                <w:szCs w:val="20"/>
              </w:rPr>
              <w:t>Local opinion leader</w:t>
            </w:r>
          </w:p>
        </w:tc>
        <w:tc>
          <w:tcPr>
            <w:tcW w:w="6409" w:type="dxa"/>
            <w:tcBorders>
              <w:top w:val="single" w:sz="4" w:space="0" w:color="auto"/>
              <w:bottom w:val="single" w:sz="4" w:space="0" w:color="auto"/>
            </w:tcBorders>
            <w:shd w:val="clear" w:color="auto" w:fill="auto"/>
          </w:tcPr>
          <w:p w:rsidR="000F6588" w:rsidRPr="008625F9" w:rsidRDefault="000F6588" w:rsidP="00454292">
            <w:pPr>
              <w:spacing w:after="0" w:line="240" w:lineRule="auto"/>
              <w:rPr>
                <w:rFonts w:ascii="Arial" w:hAnsi="Arial" w:cs="Arial"/>
                <w:sz w:val="20"/>
                <w:szCs w:val="20"/>
                <w:lang w:eastAsia="pt-BR"/>
              </w:rPr>
            </w:pPr>
            <w:r w:rsidRPr="008625F9">
              <w:rPr>
                <w:rFonts w:ascii="Arial" w:hAnsi="Arial" w:cs="Arial"/>
                <w:bCs/>
                <w:sz w:val="20"/>
                <w:szCs w:val="20"/>
              </w:rPr>
              <w:t>Use of providers explicitly nominated by their colleagues to be educationally influential</w:t>
            </w:r>
          </w:p>
        </w:tc>
      </w:tr>
      <w:tr w:rsidR="000F6588" w:rsidRPr="008625F9" w:rsidTr="00454292">
        <w:tc>
          <w:tcPr>
            <w:tcW w:w="3179" w:type="dxa"/>
            <w:tcBorders>
              <w:top w:val="single" w:sz="4" w:space="0" w:color="auto"/>
              <w:bottom w:val="single" w:sz="4" w:space="0" w:color="auto"/>
            </w:tcBorders>
            <w:shd w:val="clear" w:color="auto" w:fill="auto"/>
            <w:vAlign w:val="center"/>
          </w:tcPr>
          <w:p w:rsidR="000F6588" w:rsidRPr="008625F9" w:rsidRDefault="000F6588" w:rsidP="00454292">
            <w:pPr>
              <w:spacing w:after="0" w:line="240" w:lineRule="auto"/>
              <w:rPr>
                <w:rFonts w:ascii="Arial" w:hAnsi="Arial" w:cs="Arial"/>
                <w:sz w:val="20"/>
                <w:szCs w:val="20"/>
              </w:rPr>
            </w:pPr>
            <w:r w:rsidRPr="008625F9">
              <w:rPr>
                <w:rFonts w:ascii="Arial" w:hAnsi="Arial" w:cs="Arial"/>
                <w:sz w:val="20"/>
                <w:szCs w:val="20"/>
              </w:rPr>
              <w:t>Other</w:t>
            </w:r>
          </w:p>
        </w:tc>
        <w:tc>
          <w:tcPr>
            <w:tcW w:w="6409" w:type="dxa"/>
            <w:tcBorders>
              <w:top w:val="single" w:sz="4" w:space="0" w:color="auto"/>
              <w:bottom w:val="single" w:sz="4" w:space="0" w:color="auto"/>
            </w:tcBorders>
            <w:shd w:val="clear" w:color="auto" w:fill="auto"/>
          </w:tcPr>
          <w:p w:rsidR="000F6588" w:rsidRPr="008625F9" w:rsidRDefault="000F6588" w:rsidP="00454292">
            <w:pPr>
              <w:autoSpaceDE w:val="0"/>
              <w:autoSpaceDN w:val="0"/>
              <w:adjustRightInd w:val="0"/>
              <w:spacing w:after="0" w:line="240" w:lineRule="auto"/>
              <w:rPr>
                <w:rFonts w:ascii="Arial" w:hAnsi="Arial" w:cs="Arial"/>
                <w:bCs/>
                <w:sz w:val="20"/>
                <w:szCs w:val="20"/>
              </w:rPr>
            </w:pPr>
            <w:r w:rsidRPr="008625F9">
              <w:rPr>
                <w:rFonts w:ascii="Arial" w:hAnsi="Arial" w:cs="Arial"/>
                <w:bCs/>
                <w:sz w:val="20"/>
                <w:szCs w:val="20"/>
              </w:rPr>
              <w:t>Other professional intervention categories of the EPOC editorial team, such as patient mediated interventions, local consensus processes, mass medias</w:t>
            </w:r>
          </w:p>
        </w:tc>
      </w:tr>
    </w:tbl>
    <w:p w:rsidR="000F6588" w:rsidRDefault="000F6588" w:rsidP="003F2483">
      <w:pPr>
        <w:spacing w:line="360" w:lineRule="auto"/>
        <w:rPr>
          <w:rFonts w:ascii="Arial" w:hAnsi="Arial" w:cs="Arial"/>
          <w:bCs/>
          <w:sz w:val="20"/>
          <w:szCs w:val="20"/>
        </w:rPr>
      </w:pPr>
      <w:r w:rsidRPr="001973BA">
        <w:rPr>
          <w:rFonts w:ascii="Arial" w:hAnsi="Arial" w:cs="Arial"/>
          <w:bCs/>
          <w:sz w:val="20"/>
          <w:szCs w:val="20"/>
        </w:rPr>
        <w:t>Adapted from the Cochrane Effective Practice and Organization of Care Group</w:t>
      </w:r>
      <w:r>
        <w:rPr>
          <w:rFonts w:ascii="Arial" w:hAnsi="Arial" w:cs="Arial"/>
          <w:bCs/>
          <w:sz w:val="20"/>
          <w:szCs w:val="20"/>
        </w:rPr>
        <w:t xml:space="preserve"> (</w:t>
      </w:r>
      <w:r w:rsidRPr="001973BA">
        <w:rPr>
          <w:rFonts w:ascii="Arial" w:hAnsi="Arial" w:cs="Arial"/>
          <w:bCs/>
          <w:sz w:val="20"/>
          <w:szCs w:val="20"/>
        </w:rPr>
        <w:t xml:space="preserve">Available from: </w:t>
      </w:r>
      <w:hyperlink r:id="rId10" w:history="1">
        <w:r w:rsidRPr="00FD170D">
          <w:rPr>
            <w:rStyle w:val="Hyperlink"/>
            <w:rFonts w:ascii="Arial" w:hAnsi="Arial" w:cs="Arial"/>
            <w:bCs/>
            <w:sz w:val="20"/>
            <w:szCs w:val="20"/>
          </w:rPr>
          <w:t>http://epoc.cochrane.org/epoc-taxonomy</w:t>
        </w:r>
      </w:hyperlink>
      <w:r w:rsidRPr="001973BA">
        <w:rPr>
          <w:rFonts w:ascii="Arial" w:hAnsi="Arial" w:cs="Arial"/>
          <w:bCs/>
          <w:sz w:val="20"/>
          <w:szCs w:val="20"/>
        </w:rPr>
        <w:t>)</w:t>
      </w:r>
    </w:p>
    <w:p w:rsidR="000F6588" w:rsidRPr="008625F9" w:rsidRDefault="000F6588" w:rsidP="008625F9">
      <w:pPr>
        <w:pStyle w:val="NoSpacing"/>
        <w:rPr>
          <w:rFonts w:ascii="Arial" w:hAnsi="Arial" w:cs="Arial"/>
          <w:sz w:val="20"/>
          <w:szCs w:val="20"/>
        </w:rPr>
      </w:pPr>
    </w:p>
    <w:p w:rsidR="00586B17" w:rsidRPr="008625F9" w:rsidRDefault="00586B17" w:rsidP="003F2483">
      <w:pPr>
        <w:spacing w:line="360" w:lineRule="auto"/>
        <w:rPr>
          <w:rFonts w:ascii="Arial" w:hAnsi="Arial" w:cs="Arial"/>
          <w:sz w:val="20"/>
          <w:szCs w:val="20"/>
          <w:lang w:eastAsia="pt-BR"/>
        </w:rPr>
      </w:pPr>
      <w:r w:rsidRPr="008625F9">
        <w:rPr>
          <w:rFonts w:ascii="Arial" w:hAnsi="Arial" w:cs="Arial"/>
          <w:sz w:val="20"/>
          <w:szCs w:val="20"/>
        </w:rPr>
        <w:t xml:space="preserve">In general, the process to develop an academic detailing program </w:t>
      </w:r>
      <w:r w:rsidRPr="008625F9">
        <w:rPr>
          <w:rFonts w:ascii="Arial" w:hAnsi="Arial" w:cs="Arial"/>
          <w:sz w:val="20"/>
          <w:szCs w:val="20"/>
          <w:lang w:eastAsia="pt-BR"/>
        </w:rPr>
        <w:t xml:space="preserve">follows the recommendation of </w:t>
      </w:r>
      <w:proofErr w:type="spellStart"/>
      <w:r w:rsidRPr="008625F9">
        <w:rPr>
          <w:rFonts w:ascii="Arial" w:hAnsi="Arial" w:cs="Arial"/>
          <w:sz w:val="20"/>
          <w:szCs w:val="20"/>
          <w:lang w:eastAsia="pt-BR"/>
        </w:rPr>
        <w:t>Soumerai</w:t>
      </w:r>
      <w:proofErr w:type="spellEnd"/>
      <w:r w:rsidRPr="008625F9">
        <w:rPr>
          <w:rFonts w:ascii="Arial" w:hAnsi="Arial" w:cs="Arial"/>
          <w:sz w:val="20"/>
          <w:szCs w:val="20"/>
          <w:lang w:eastAsia="pt-BR"/>
        </w:rPr>
        <w:t xml:space="preserve"> and </w:t>
      </w:r>
      <w:proofErr w:type="spellStart"/>
      <w:r w:rsidRPr="008625F9">
        <w:rPr>
          <w:rFonts w:ascii="Arial" w:hAnsi="Arial" w:cs="Arial"/>
          <w:sz w:val="20"/>
          <w:szCs w:val="20"/>
          <w:lang w:eastAsia="pt-BR"/>
        </w:rPr>
        <w:t>Avorn</w:t>
      </w:r>
      <w:proofErr w:type="spellEnd"/>
      <w:r w:rsidRPr="008625F9">
        <w:rPr>
          <w:rFonts w:ascii="Arial" w:hAnsi="Arial" w:cs="Arial"/>
          <w:sz w:val="20"/>
          <w:szCs w:val="20"/>
          <w:lang w:eastAsia="pt-BR"/>
        </w:rPr>
        <w:t xml:space="preserve"> (1990) </w:t>
      </w:r>
      <w:r w:rsidRPr="008625F9">
        <w:rPr>
          <w:rFonts w:ascii="Arial" w:hAnsi="Arial" w:cs="Arial"/>
          <w:noProof/>
          <w:sz w:val="20"/>
          <w:szCs w:val="20"/>
          <w:lang w:eastAsia="pt-BR"/>
        </w:rPr>
        <w:t>(18)</w:t>
      </w:r>
      <w:r w:rsidRPr="008625F9">
        <w:rPr>
          <w:rFonts w:ascii="Arial" w:hAnsi="Arial" w:cs="Arial"/>
          <w:sz w:val="20"/>
          <w:szCs w:val="20"/>
          <w:lang w:eastAsia="pt-BR"/>
        </w:rPr>
        <w:t>. It includes: (</w:t>
      </w:r>
      <w:proofErr w:type="spellStart"/>
      <w:r w:rsidRPr="008625F9">
        <w:rPr>
          <w:rFonts w:ascii="Arial" w:hAnsi="Arial" w:cs="Arial"/>
          <w:sz w:val="20"/>
          <w:szCs w:val="20"/>
          <w:lang w:eastAsia="pt-BR"/>
        </w:rPr>
        <w:t>i</w:t>
      </w:r>
      <w:proofErr w:type="spellEnd"/>
      <w:proofErr w:type="gramStart"/>
      <w:r w:rsidRPr="008625F9">
        <w:rPr>
          <w:rFonts w:ascii="Arial" w:hAnsi="Arial" w:cs="Arial"/>
          <w:sz w:val="20"/>
          <w:szCs w:val="20"/>
          <w:lang w:eastAsia="pt-BR"/>
        </w:rPr>
        <w:t>) identifying</w:t>
      </w:r>
      <w:proofErr w:type="gramEnd"/>
      <w:r w:rsidRPr="008625F9">
        <w:rPr>
          <w:rFonts w:ascii="Arial" w:hAnsi="Arial" w:cs="Arial"/>
          <w:sz w:val="20"/>
          <w:szCs w:val="20"/>
          <w:lang w:eastAsia="pt-BR"/>
        </w:rPr>
        <w:t xml:space="preserve"> the gap/topic to be addressed. This can be done by conducting interviews to investigate baseline knowledge and motivations for current prescribing patterns</w:t>
      </w:r>
      <w:r w:rsidR="00065032" w:rsidRPr="008625F9">
        <w:rPr>
          <w:rFonts w:ascii="Arial" w:hAnsi="Arial" w:cs="Arial"/>
          <w:sz w:val="20"/>
          <w:szCs w:val="20"/>
          <w:lang w:eastAsia="pt-BR"/>
        </w:rPr>
        <w:t>. Alternatively via</w:t>
      </w:r>
      <w:r w:rsidRPr="008625F9">
        <w:rPr>
          <w:rFonts w:ascii="Arial" w:hAnsi="Arial" w:cs="Arial"/>
          <w:sz w:val="20"/>
          <w:szCs w:val="20"/>
          <w:lang w:eastAsia="pt-BR"/>
        </w:rPr>
        <w:t xml:space="preserve"> telephone enquiries with physicians, expert advisory groups</w:t>
      </w:r>
      <w:r w:rsidR="00065032" w:rsidRPr="008625F9">
        <w:rPr>
          <w:rFonts w:ascii="Arial" w:hAnsi="Arial" w:cs="Arial"/>
          <w:sz w:val="20"/>
          <w:szCs w:val="20"/>
          <w:lang w:eastAsia="pt-BR"/>
        </w:rPr>
        <w:t xml:space="preserve"> with</w:t>
      </w:r>
      <w:r w:rsidRPr="008625F9">
        <w:rPr>
          <w:rFonts w:ascii="Arial" w:hAnsi="Arial" w:cs="Arial"/>
          <w:sz w:val="20"/>
          <w:szCs w:val="20"/>
          <w:lang w:eastAsia="pt-BR"/>
        </w:rPr>
        <w:t xml:space="preserve"> key informants, literature reviews, or analysis of drug </w:t>
      </w:r>
      <w:proofErr w:type="spellStart"/>
      <w:r w:rsidRPr="008625F9">
        <w:rPr>
          <w:rFonts w:ascii="Arial" w:hAnsi="Arial" w:cs="Arial"/>
          <w:sz w:val="20"/>
          <w:szCs w:val="20"/>
          <w:lang w:eastAsia="pt-BR"/>
        </w:rPr>
        <w:t>u</w:t>
      </w:r>
      <w:r w:rsidR="00065032" w:rsidRPr="008625F9">
        <w:rPr>
          <w:rFonts w:ascii="Arial" w:hAnsi="Arial" w:cs="Arial"/>
          <w:sz w:val="20"/>
          <w:szCs w:val="20"/>
          <w:lang w:eastAsia="pt-BR"/>
        </w:rPr>
        <w:t>tilisation</w:t>
      </w:r>
      <w:proofErr w:type="spellEnd"/>
      <w:r w:rsidRPr="008625F9">
        <w:rPr>
          <w:rFonts w:ascii="Arial" w:hAnsi="Arial" w:cs="Arial"/>
          <w:sz w:val="20"/>
          <w:szCs w:val="20"/>
          <w:lang w:eastAsia="pt-BR"/>
        </w:rPr>
        <w:t xml:space="preserve"> data; (ii) planning the activities. This includes selecting which groups of clinicians or other healthcare professionals should be visited, e.g. family practitioners, internists, nurse practitioners, </w:t>
      </w:r>
      <w:r w:rsidR="00065032" w:rsidRPr="008625F9">
        <w:rPr>
          <w:rFonts w:ascii="Arial" w:hAnsi="Arial" w:cs="Arial"/>
          <w:sz w:val="20"/>
          <w:szCs w:val="20"/>
          <w:lang w:eastAsia="pt-BR"/>
        </w:rPr>
        <w:t xml:space="preserve">or </w:t>
      </w:r>
      <w:r w:rsidRPr="008625F9">
        <w:rPr>
          <w:rFonts w:ascii="Arial" w:hAnsi="Arial" w:cs="Arial"/>
          <w:sz w:val="20"/>
          <w:szCs w:val="20"/>
          <w:lang w:eastAsia="pt-BR"/>
        </w:rPr>
        <w:t>physician assistants</w:t>
      </w:r>
      <w:r w:rsidR="00065032" w:rsidRPr="008625F9">
        <w:rPr>
          <w:rFonts w:ascii="Arial" w:hAnsi="Arial" w:cs="Arial"/>
          <w:sz w:val="20"/>
          <w:szCs w:val="20"/>
          <w:lang w:eastAsia="pt-BR"/>
        </w:rPr>
        <w:t>. This typically</w:t>
      </w:r>
      <w:r w:rsidRPr="008625F9">
        <w:rPr>
          <w:rFonts w:ascii="Arial" w:hAnsi="Arial" w:cs="Arial"/>
          <w:sz w:val="20"/>
          <w:szCs w:val="20"/>
          <w:lang w:eastAsia="pt-BR"/>
        </w:rPr>
        <w:t xml:space="preserve"> involves local opinion leaders when developing programs; (iii) developing key messages and printed materials. This includes defining educational and behavioral objectives, establishing credibility through a respected organizational identity, referencing authoritative and unbiased sources of information, and using concise graphic educational materials; (iv) hiring the </w:t>
      </w:r>
      <w:r w:rsidR="00F90B86" w:rsidRPr="008625F9">
        <w:rPr>
          <w:rFonts w:ascii="Arial" w:hAnsi="Arial" w:cs="Arial"/>
          <w:sz w:val="20"/>
          <w:szCs w:val="20"/>
          <w:lang w:eastAsia="pt-BR"/>
        </w:rPr>
        <w:t>detailers</w:t>
      </w:r>
      <w:r w:rsidRPr="008625F9">
        <w:rPr>
          <w:rFonts w:ascii="Arial" w:hAnsi="Arial" w:cs="Arial"/>
          <w:sz w:val="20"/>
          <w:szCs w:val="20"/>
          <w:lang w:eastAsia="pt-BR"/>
        </w:rPr>
        <w:t xml:space="preserve"> and train</w:t>
      </w:r>
      <w:r w:rsidR="00065032" w:rsidRPr="008625F9">
        <w:rPr>
          <w:rFonts w:ascii="Arial" w:hAnsi="Arial" w:cs="Arial"/>
          <w:sz w:val="20"/>
          <w:szCs w:val="20"/>
          <w:lang w:eastAsia="pt-BR"/>
        </w:rPr>
        <w:t>ing</w:t>
      </w:r>
      <w:r w:rsidRPr="008625F9">
        <w:rPr>
          <w:rFonts w:ascii="Arial" w:hAnsi="Arial" w:cs="Arial"/>
          <w:sz w:val="20"/>
          <w:szCs w:val="20"/>
          <w:lang w:eastAsia="pt-BR"/>
        </w:rPr>
        <w:t xml:space="preserve"> them. Typically academic detailers are pharmacists (or other clinicians) who are comfortable with evidence-based-medicine and are trained in the principles of social marketing; (v) visiting the health care provider. This consists of stimulating active physician participation in educational interactions, highlighting and repeating the essential messages, and providing positive reinforcement of improved practices in follow-up visits; and (</w:t>
      </w:r>
      <w:proofErr w:type="gramStart"/>
      <w:r w:rsidRPr="008625F9">
        <w:rPr>
          <w:rFonts w:ascii="Arial" w:hAnsi="Arial" w:cs="Arial"/>
          <w:sz w:val="20"/>
          <w:szCs w:val="20"/>
          <w:lang w:eastAsia="pt-BR"/>
        </w:rPr>
        <w:t>vi</w:t>
      </w:r>
      <w:proofErr w:type="gramEnd"/>
      <w:r w:rsidRPr="008625F9">
        <w:rPr>
          <w:rFonts w:ascii="Arial" w:hAnsi="Arial" w:cs="Arial"/>
          <w:sz w:val="20"/>
          <w:szCs w:val="20"/>
          <w:lang w:eastAsia="pt-BR"/>
        </w:rPr>
        <w:t xml:space="preserve">) evaluating the results of the visit. Physicians and </w:t>
      </w:r>
      <w:r w:rsidR="00F90B86" w:rsidRPr="008625F9">
        <w:rPr>
          <w:rFonts w:ascii="Arial" w:hAnsi="Arial" w:cs="Arial"/>
          <w:sz w:val="20"/>
          <w:szCs w:val="20"/>
          <w:lang w:eastAsia="pt-BR"/>
        </w:rPr>
        <w:t>the academic detailers</w:t>
      </w:r>
      <w:r w:rsidRPr="008625F9">
        <w:rPr>
          <w:rFonts w:ascii="Arial" w:hAnsi="Arial" w:cs="Arial"/>
          <w:sz w:val="20"/>
          <w:szCs w:val="20"/>
          <w:lang w:eastAsia="pt-BR"/>
        </w:rPr>
        <w:t xml:space="preserve"> evaluate the visit and its content. </w:t>
      </w:r>
    </w:p>
    <w:p w:rsidR="00586B17" w:rsidRPr="008625F9" w:rsidRDefault="00586B17" w:rsidP="003F2483">
      <w:pPr>
        <w:pStyle w:val="ListParagraph"/>
        <w:numPr>
          <w:ilvl w:val="0"/>
          <w:numId w:val="1"/>
        </w:numPr>
        <w:rPr>
          <w:rFonts w:ascii="Arial" w:hAnsi="Arial" w:cs="Arial"/>
          <w:b/>
          <w:i/>
          <w:sz w:val="20"/>
          <w:szCs w:val="20"/>
          <w:lang w:eastAsia="pt-BR"/>
        </w:rPr>
      </w:pPr>
      <w:r w:rsidRPr="008625F9">
        <w:rPr>
          <w:rFonts w:ascii="Arial" w:hAnsi="Arial" w:cs="Arial"/>
          <w:b/>
          <w:i/>
          <w:sz w:val="20"/>
          <w:szCs w:val="20"/>
          <w:lang w:eastAsia="pt-BR"/>
        </w:rPr>
        <w:t xml:space="preserve">Scientific evidence of strategies for clinical guideline dissemination </w:t>
      </w:r>
    </w:p>
    <w:p w:rsidR="00586B17" w:rsidRPr="008625F9" w:rsidRDefault="00065032" w:rsidP="003F2483">
      <w:pPr>
        <w:spacing w:line="360" w:lineRule="auto"/>
        <w:rPr>
          <w:rFonts w:ascii="Arial" w:hAnsi="Arial" w:cs="Arial"/>
          <w:sz w:val="20"/>
          <w:szCs w:val="20"/>
        </w:rPr>
      </w:pPr>
      <w:r w:rsidRPr="008625F9">
        <w:rPr>
          <w:rFonts w:ascii="Arial" w:hAnsi="Arial" w:cs="Arial"/>
          <w:sz w:val="20"/>
          <w:szCs w:val="20"/>
          <w:lang w:eastAsia="pt-BR"/>
        </w:rPr>
        <w:t>As mentioned, t</w:t>
      </w:r>
      <w:r w:rsidR="00586B17" w:rsidRPr="008625F9">
        <w:rPr>
          <w:rFonts w:ascii="Arial" w:hAnsi="Arial" w:cs="Arial"/>
          <w:sz w:val="20"/>
          <w:szCs w:val="20"/>
          <w:lang w:eastAsia="pt-BR"/>
        </w:rPr>
        <w:t xml:space="preserve">he dissemination and implementation of </w:t>
      </w:r>
      <w:r w:rsidR="00586B17" w:rsidRPr="008625F9">
        <w:rPr>
          <w:rFonts w:ascii="Arial" w:hAnsi="Arial" w:cs="Arial"/>
          <w:sz w:val="20"/>
          <w:szCs w:val="20"/>
        </w:rPr>
        <w:t>CPTGs</w:t>
      </w:r>
      <w:r w:rsidR="00586B17" w:rsidRPr="008625F9">
        <w:rPr>
          <w:rFonts w:ascii="Arial" w:hAnsi="Arial" w:cs="Arial"/>
          <w:sz w:val="20"/>
          <w:szCs w:val="20"/>
          <w:lang w:eastAsia="pt-BR"/>
        </w:rPr>
        <w:t xml:space="preserve"> is a complex undertaking, and involves not just professionals and </w:t>
      </w:r>
      <w:r w:rsidR="00B6445F" w:rsidRPr="008625F9">
        <w:rPr>
          <w:rFonts w:ascii="Arial" w:hAnsi="Arial" w:cs="Arial"/>
          <w:sz w:val="20"/>
          <w:szCs w:val="20"/>
          <w:lang w:eastAsia="pt-BR"/>
        </w:rPr>
        <w:t>patients</w:t>
      </w:r>
      <w:r w:rsidR="00586B17" w:rsidRPr="008625F9">
        <w:rPr>
          <w:rFonts w:ascii="Arial" w:hAnsi="Arial" w:cs="Arial"/>
          <w:sz w:val="20"/>
          <w:szCs w:val="20"/>
          <w:lang w:eastAsia="pt-BR"/>
        </w:rPr>
        <w:t xml:space="preserve">, but a range of people who need to be influenced such as legislative and administrative personnel, </w:t>
      </w:r>
      <w:r w:rsidR="00B6445F" w:rsidRPr="008625F9">
        <w:rPr>
          <w:rFonts w:ascii="Arial" w:hAnsi="Arial" w:cs="Arial"/>
          <w:sz w:val="20"/>
          <w:szCs w:val="20"/>
          <w:lang w:eastAsia="pt-BR"/>
        </w:rPr>
        <w:t>with</w:t>
      </w:r>
      <w:r w:rsidR="00586B17" w:rsidRPr="008625F9">
        <w:rPr>
          <w:rFonts w:ascii="Arial" w:hAnsi="Arial" w:cs="Arial"/>
          <w:sz w:val="20"/>
          <w:szCs w:val="20"/>
          <w:lang w:eastAsia="pt-BR"/>
        </w:rPr>
        <w:t xml:space="preserve"> each one of them requir</w:t>
      </w:r>
      <w:r w:rsidR="00B6445F" w:rsidRPr="008625F9">
        <w:rPr>
          <w:rFonts w:ascii="Arial" w:hAnsi="Arial" w:cs="Arial"/>
          <w:sz w:val="20"/>
          <w:szCs w:val="20"/>
          <w:lang w:eastAsia="pt-BR"/>
        </w:rPr>
        <w:t>ing</w:t>
      </w:r>
      <w:r w:rsidR="00586B17" w:rsidRPr="008625F9">
        <w:rPr>
          <w:rFonts w:ascii="Arial" w:hAnsi="Arial" w:cs="Arial"/>
          <w:sz w:val="20"/>
          <w:szCs w:val="20"/>
          <w:lang w:eastAsia="pt-BR"/>
        </w:rPr>
        <w:t xml:space="preserve"> different information and activity</w:t>
      </w:r>
      <w:r w:rsidR="001F1AA1" w:rsidRPr="008625F9">
        <w:rPr>
          <w:rFonts w:ascii="Arial" w:hAnsi="Arial" w:cs="Arial"/>
          <w:sz w:val="20"/>
          <w:szCs w:val="20"/>
          <w:lang w:eastAsia="pt-BR"/>
        </w:rPr>
        <w:t xml:space="preserve"> </w:t>
      </w:r>
      <w:r w:rsidR="00586B17" w:rsidRPr="008625F9">
        <w:rPr>
          <w:rFonts w:ascii="Arial" w:hAnsi="Arial" w:cs="Arial"/>
          <w:noProof/>
          <w:sz w:val="20"/>
          <w:szCs w:val="20"/>
          <w:lang w:eastAsia="pt-BR"/>
        </w:rPr>
        <w:t>(21)</w:t>
      </w:r>
      <w:r w:rsidR="00586B17" w:rsidRPr="008625F9">
        <w:rPr>
          <w:rFonts w:ascii="Arial" w:hAnsi="Arial" w:cs="Arial"/>
          <w:sz w:val="20"/>
          <w:szCs w:val="20"/>
          <w:lang w:eastAsia="pt-BR"/>
        </w:rPr>
        <w:t xml:space="preserve">. The target audience for the dissemination of the evidence will </w:t>
      </w:r>
      <w:r w:rsidR="00586B17" w:rsidRPr="008625F9">
        <w:rPr>
          <w:rFonts w:ascii="Arial" w:hAnsi="Arial" w:cs="Arial"/>
          <w:sz w:val="20"/>
          <w:szCs w:val="20"/>
          <w:lang w:eastAsia="pt-BR"/>
        </w:rPr>
        <w:lastRenderedPageBreak/>
        <w:t xml:space="preserve">depend on the problem at hand. Considering SUS, </w:t>
      </w:r>
      <w:r w:rsidR="00586B17" w:rsidRPr="008625F9">
        <w:rPr>
          <w:rFonts w:ascii="Arial" w:hAnsi="Arial" w:cs="Arial"/>
          <w:sz w:val="20"/>
          <w:szCs w:val="20"/>
        </w:rPr>
        <w:t>the provision of medicines depends on CPTG</w:t>
      </w:r>
      <w:r w:rsidR="00B6445F" w:rsidRPr="008625F9">
        <w:rPr>
          <w:rFonts w:ascii="Arial" w:hAnsi="Arial" w:cs="Arial"/>
          <w:sz w:val="20"/>
          <w:szCs w:val="20"/>
        </w:rPr>
        <w:t xml:space="preserve"> </w:t>
      </w:r>
      <w:r w:rsidR="00586B17" w:rsidRPr="008625F9">
        <w:rPr>
          <w:rFonts w:ascii="Arial" w:hAnsi="Arial" w:cs="Arial"/>
          <w:sz w:val="20"/>
          <w:szCs w:val="20"/>
        </w:rPr>
        <w:t xml:space="preserve">compliance by law. </w:t>
      </w:r>
      <w:r w:rsidR="00B6445F" w:rsidRPr="008625F9">
        <w:rPr>
          <w:rFonts w:ascii="Arial" w:hAnsi="Arial" w:cs="Arial"/>
          <w:sz w:val="20"/>
          <w:szCs w:val="20"/>
        </w:rPr>
        <w:t>Consequently</w:t>
      </w:r>
      <w:r w:rsidR="00586B17" w:rsidRPr="008625F9">
        <w:rPr>
          <w:rFonts w:ascii="Arial" w:hAnsi="Arial" w:cs="Arial"/>
          <w:sz w:val="20"/>
          <w:szCs w:val="20"/>
        </w:rPr>
        <w:t xml:space="preserve">, the dissemination of </w:t>
      </w:r>
      <w:r w:rsidR="001F1AA1" w:rsidRPr="008625F9">
        <w:rPr>
          <w:rFonts w:ascii="Arial" w:hAnsi="Arial" w:cs="Arial"/>
          <w:sz w:val="20"/>
          <w:szCs w:val="20"/>
        </w:rPr>
        <w:t>the</w:t>
      </w:r>
      <w:r w:rsidR="00586B17" w:rsidRPr="008625F9">
        <w:rPr>
          <w:rFonts w:ascii="Arial" w:hAnsi="Arial" w:cs="Arial"/>
          <w:sz w:val="20"/>
          <w:szCs w:val="20"/>
        </w:rPr>
        <w:t xml:space="preserve"> evidence is mainly directed to prescribers and patients</w:t>
      </w:r>
      <w:r w:rsidR="001F1AA1" w:rsidRPr="008625F9">
        <w:rPr>
          <w:rFonts w:ascii="Arial" w:hAnsi="Arial" w:cs="Arial"/>
          <w:sz w:val="20"/>
          <w:szCs w:val="20"/>
        </w:rPr>
        <w:t xml:space="preserve"> affected by the law</w:t>
      </w:r>
      <w:r w:rsidR="00586B17" w:rsidRPr="008625F9">
        <w:rPr>
          <w:rFonts w:ascii="Arial" w:hAnsi="Arial" w:cs="Arial"/>
          <w:sz w:val="20"/>
          <w:szCs w:val="20"/>
        </w:rPr>
        <w:t xml:space="preserve">. However, the approaches developed should consider social, political, and economic environments </w:t>
      </w:r>
      <w:r w:rsidR="00586B17" w:rsidRPr="008625F9">
        <w:rPr>
          <w:rFonts w:ascii="Arial" w:hAnsi="Arial" w:cs="Arial"/>
          <w:noProof/>
          <w:sz w:val="20"/>
          <w:szCs w:val="20"/>
        </w:rPr>
        <w:t>(22)</w:t>
      </w:r>
      <w:r w:rsidR="00586B17" w:rsidRPr="008625F9">
        <w:rPr>
          <w:rFonts w:ascii="Arial" w:hAnsi="Arial" w:cs="Arial"/>
          <w:sz w:val="20"/>
          <w:szCs w:val="20"/>
        </w:rPr>
        <w:t>.</w:t>
      </w:r>
    </w:p>
    <w:p w:rsidR="00586B17" w:rsidRPr="008625F9" w:rsidRDefault="00586B17" w:rsidP="003F2483">
      <w:pPr>
        <w:autoSpaceDE w:val="0"/>
        <w:autoSpaceDN w:val="0"/>
        <w:adjustRightInd w:val="0"/>
        <w:spacing w:line="360" w:lineRule="auto"/>
        <w:rPr>
          <w:rFonts w:ascii="Arial" w:hAnsi="Arial" w:cs="Arial"/>
          <w:sz w:val="20"/>
          <w:szCs w:val="20"/>
        </w:rPr>
      </w:pPr>
      <w:r w:rsidRPr="008625F9">
        <w:rPr>
          <w:rFonts w:ascii="Arial" w:hAnsi="Arial" w:cs="Arial"/>
          <w:sz w:val="20"/>
          <w:szCs w:val="20"/>
        </w:rPr>
        <w:t xml:space="preserve">The rationale for academic detailing is that the availability of CPTGs in isolation is typically not enough to promote a voluntary change in physician practice patterns </w:t>
      </w:r>
      <w:r w:rsidRPr="008625F9">
        <w:rPr>
          <w:rFonts w:ascii="Arial" w:hAnsi="Arial" w:cs="Arial"/>
          <w:noProof/>
          <w:sz w:val="20"/>
          <w:szCs w:val="20"/>
        </w:rPr>
        <w:t>(22)</w:t>
      </w:r>
      <w:r w:rsidRPr="008625F9">
        <w:rPr>
          <w:rFonts w:ascii="Arial" w:hAnsi="Arial" w:cs="Arial"/>
          <w:sz w:val="20"/>
          <w:szCs w:val="20"/>
        </w:rPr>
        <w:t xml:space="preserve">, and </w:t>
      </w:r>
      <w:r w:rsidR="006E781D" w:rsidRPr="008625F9">
        <w:rPr>
          <w:rFonts w:ascii="Arial" w:hAnsi="Arial" w:cs="Arial"/>
          <w:sz w:val="20"/>
          <w:szCs w:val="20"/>
        </w:rPr>
        <w:t xml:space="preserve">that </w:t>
      </w:r>
      <w:r w:rsidRPr="008625F9">
        <w:rPr>
          <w:rFonts w:ascii="Arial" w:hAnsi="Arial" w:cs="Arial"/>
          <w:sz w:val="20"/>
          <w:szCs w:val="20"/>
        </w:rPr>
        <w:t xml:space="preserve">multiple approaches are needed to influence future physician prescribing. Interactive techniques </w:t>
      </w:r>
      <w:r w:rsidR="00B6445F" w:rsidRPr="008625F9">
        <w:rPr>
          <w:rFonts w:ascii="Arial" w:hAnsi="Arial" w:cs="Arial"/>
          <w:sz w:val="20"/>
          <w:szCs w:val="20"/>
        </w:rPr>
        <w:t>have</w:t>
      </w:r>
      <w:r w:rsidRPr="008625F9">
        <w:rPr>
          <w:rFonts w:ascii="Arial" w:hAnsi="Arial" w:cs="Arial"/>
          <w:sz w:val="20"/>
          <w:szCs w:val="20"/>
        </w:rPr>
        <w:t xml:space="preserve"> proven to be effective in changing physician care and patient outcomes, whilst just disseminating CPTGs alone </w:t>
      </w:r>
      <w:r w:rsidR="00B6445F" w:rsidRPr="008625F9">
        <w:rPr>
          <w:rFonts w:ascii="Arial" w:hAnsi="Arial" w:cs="Arial"/>
          <w:sz w:val="20"/>
          <w:szCs w:val="20"/>
        </w:rPr>
        <w:t>has</w:t>
      </w:r>
      <w:r w:rsidR="00FB52FB" w:rsidRPr="008625F9">
        <w:rPr>
          <w:rFonts w:ascii="Arial" w:hAnsi="Arial" w:cs="Arial"/>
          <w:sz w:val="20"/>
          <w:szCs w:val="20"/>
        </w:rPr>
        <w:t xml:space="preserve"> been </w:t>
      </w:r>
      <w:r w:rsidRPr="008625F9">
        <w:rPr>
          <w:rFonts w:ascii="Arial" w:hAnsi="Arial" w:cs="Arial"/>
          <w:sz w:val="20"/>
          <w:szCs w:val="20"/>
        </w:rPr>
        <w:t xml:space="preserve">among the least effective interventions, despite being the most common practice identified in 26 systematic reviews </w:t>
      </w:r>
      <w:r w:rsidRPr="008625F9">
        <w:rPr>
          <w:rFonts w:ascii="Arial" w:hAnsi="Arial" w:cs="Arial"/>
          <w:noProof/>
          <w:sz w:val="20"/>
          <w:szCs w:val="20"/>
        </w:rPr>
        <w:t>(22)</w:t>
      </w:r>
      <w:r w:rsidRPr="008625F9">
        <w:rPr>
          <w:rFonts w:ascii="Arial" w:hAnsi="Arial" w:cs="Arial"/>
          <w:sz w:val="20"/>
          <w:szCs w:val="20"/>
        </w:rPr>
        <w:t xml:space="preserve">. Other authors have also documented that multiple policies, including dissemination and follow-up of guidelines, are needed to change prescribing behavior </w:t>
      </w:r>
      <w:r w:rsidRPr="008625F9">
        <w:rPr>
          <w:rFonts w:ascii="Arial" w:hAnsi="Arial" w:cs="Arial"/>
          <w:noProof/>
          <w:sz w:val="20"/>
          <w:szCs w:val="20"/>
        </w:rPr>
        <w:t>(5, 23-25)</w:t>
      </w:r>
      <w:r w:rsidRPr="008625F9">
        <w:rPr>
          <w:rFonts w:ascii="Arial" w:hAnsi="Arial" w:cs="Arial"/>
          <w:sz w:val="20"/>
          <w:szCs w:val="20"/>
        </w:rPr>
        <w:t>.</w:t>
      </w:r>
    </w:p>
    <w:p w:rsidR="00586B17" w:rsidRPr="008625F9" w:rsidRDefault="00586B17" w:rsidP="003F2483">
      <w:pPr>
        <w:autoSpaceDE w:val="0"/>
        <w:autoSpaceDN w:val="0"/>
        <w:adjustRightInd w:val="0"/>
        <w:spacing w:line="360" w:lineRule="auto"/>
        <w:rPr>
          <w:rFonts w:ascii="Arial" w:hAnsi="Arial" w:cs="Arial"/>
          <w:sz w:val="20"/>
          <w:szCs w:val="20"/>
        </w:rPr>
      </w:pPr>
      <w:r w:rsidRPr="008625F9">
        <w:rPr>
          <w:rFonts w:ascii="Arial" w:hAnsi="Arial" w:cs="Arial"/>
          <w:sz w:val="20"/>
          <w:szCs w:val="20"/>
        </w:rPr>
        <w:t>Consequently, there was a perceived need to instigate academic detailing in Brazil alongside dissemination of CPTGs</w:t>
      </w:r>
      <w:r w:rsidR="00B6445F" w:rsidRPr="008625F9">
        <w:rPr>
          <w:rFonts w:ascii="Arial" w:hAnsi="Arial" w:cs="Arial"/>
          <w:sz w:val="20"/>
          <w:szCs w:val="20"/>
        </w:rPr>
        <w:t>. The objective being</w:t>
      </w:r>
      <w:r w:rsidRPr="008625F9">
        <w:rPr>
          <w:rFonts w:ascii="Arial" w:hAnsi="Arial" w:cs="Arial"/>
          <w:sz w:val="20"/>
          <w:szCs w:val="20"/>
        </w:rPr>
        <w:t xml:space="preserve"> to enhance physician adherence to the guidelines to improve future care as well as potentially reduce patient co-payments</w:t>
      </w:r>
      <w:r w:rsidR="00B6445F" w:rsidRPr="008625F9">
        <w:rPr>
          <w:rFonts w:ascii="Arial" w:hAnsi="Arial" w:cs="Arial"/>
          <w:sz w:val="20"/>
          <w:szCs w:val="20"/>
        </w:rPr>
        <w:t>, especially</w:t>
      </w:r>
      <w:r w:rsidRPr="008625F9">
        <w:rPr>
          <w:rFonts w:ascii="Arial" w:hAnsi="Arial" w:cs="Arial"/>
          <w:sz w:val="20"/>
          <w:szCs w:val="20"/>
        </w:rPr>
        <w:t xml:space="preserve"> if prescriptions are denied due to physician non-adherence to the guidelines. </w:t>
      </w:r>
      <w:r w:rsidRPr="008625F9">
        <w:rPr>
          <w:rFonts w:ascii="Arial" w:hAnsi="Arial" w:cs="Arial"/>
          <w:sz w:val="20"/>
          <w:szCs w:val="20"/>
          <w:lang w:eastAsia="pt-BR"/>
        </w:rPr>
        <w:t>We found only one study conducted in Brazil, showing that academic detailing in a hospital setting is a good strategy. Our challenge is to show that this strategy also works in ambulatory care.</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In view of this, the objectives of this paper are to undertake a review of international experiences and scientific publications of a strategy to disseminate and communicate guidelines to physicians</w:t>
      </w:r>
      <w:r w:rsidR="00B6445F" w:rsidRPr="008625F9">
        <w:rPr>
          <w:rFonts w:ascii="Arial" w:hAnsi="Arial" w:cs="Arial"/>
          <w:sz w:val="20"/>
          <w:szCs w:val="20"/>
        </w:rPr>
        <w:t xml:space="preserve"> via a</w:t>
      </w:r>
      <w:r w:rsidRPr="008625F9">
        <w:rPr>
          <w:rFonts w:ascii="Arial" w:hAnsi="Arial" w:cs="Arial"/>
          <w:sz w:val="20"/>
          <w:szCs w:val="20"/>
        </w:rPr>
        <w:t xml:space="preserve">cademic </w:t>
      </w:r>
      <w:r w:rsidR="00B6445F" w:rsidRPr="008625F9">
        <w:rPr>
          <w:rFonts w:ascii="Arial" w:hAnsi="Arial" w:cs="Arial"/>
          <w:sz w:val="20"/>
          <w:szCs w:val="20"/>
        </w:rPr>
        <w:t>d</w:t>
      </w:r>
      <w:r w:rsidRPr="008625F9">
        <w:rPr>
          <w:rFonts w:ascii="Arial" w:hAnsi="Arial" w:cs="Arial"/>
          <w:sz w:val="20"/>
          <w:szCs w:val="20"/>
        </w:rPr>
        <w:t xml:space="preserve">etailing. Secondly, </w:t>
      </w:r>
      <w:r w:rsidR="00B6445F" w:rsidRPr="008625F9">
        <w:rPr>
          <w:rFonts w:ascii="Arial" w:hAnsi="Arial" w:cs="Arial"/>
          <w:sz w:val="20"/>
          <w:szCs w:val="20"/>
        </w:rPr>
        <w:t xml:space="preserve">use the findings to </w:t>
      </w:r>
      <w:r w:rsidRPr="008625F9">
        <w:rPr>
          <w:rFonts w:ascii="Arial" w:hAnsi="Arial" w:cs="Arial"/>
          <w:sz w:val="20"/>
          <w:szCs w:val="20"/>
        </w:rPr>
        <w:t>develop</w:t>
      </w:r>
      <w:r w:rsidR="00B6445F" w:rsidRPr="008625F9">
        <w:rPr>
          <w:rFonts w:ascii="Arial" w:hAnsi="Arial" w:cs="Arial"/>
          <w:sz w:val="20"/>
          <w:szCs w:val="20"/>
        </w:rPr>
        <w:t xml:space="preserve"> </w:t>
      </w:r>
      <w:r w:rsidRPr="008625F9">
        <w:rPr>
          <w:rFonts w:ascii="Arial" w:hAnsi="Arial" w:cs="Arial"/>
          <w:sz w:val="20"/>
          <w:szCs w:val="20"/>
        </w:rPr>
        <w:t xml:space="preserve">a pilot Academic Detailing Program in Brazil targeting specialists who prescribe medicines of the Specialized Component of Pharmaceutical Assistance for </w:t>
      </w:r>
      <w:r w:rsidR="00B6445F" w:rsidRPr="008625F9">
        <w:rPr>
          <w:rFonts w:ascii="Arial" w:hAnsi="Arial" w:cs="Arial"/>
          <w:sz w:val="20"/>
          <w:szCs w:val="20"/>
        </w:rPr>
        <w:t xml:space="preserve">patients with </w:t>
      </w:r>
      <w:r w:rsidRPr="008625F9">
        <w:rPr>
          <w:rFonts w:ascii="Arial" w:hAnsi="Arial" w:cs="Arial"/>
          <w:sz w:val="20"/>
          <w:szCs w:val="20"/>
        </w:rPr>
        <w:t xml:space="preserve">Alzheimer’s disease. </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 xml:space="preserve">Alzheimer's disease </w:t>
      </w:r>
      <w:r w:rsidR="00B6445F" w:rsidRPr="008625F9">
        <w:rPr>
          <w:rFonts w:ascii="Arial" w:hAnsi="Arial" w:cs="Arial"/>
          <w:sz w:val="20"/>
          <w:szCs w:val="20"/>
        </w:rPr>
        <w:t xml:space="preserve">was chosen for this pilot as it </w:t>
      </w:r>
      <w:r w:rsidRPr="008625F9">
        <w:rPr>
          <w:rFonts w:ascii="Arial" w:hAnsi="Arial" w:cs="Arial"/>
          <w:sz w:val="20"/>
          <w:szCs w:val="20"/>
        </w:rPr>
        <w:t xml:space="preserve">is the leading cause of irreversible dementia, accounting for approximately 60% of </w:t>
      </w:r>
      <w:proofErr w:type="gramStart"/>
      <w:r w:rsidRPr="008625F9">
        <w:rPr>
          <w:rFonts w:ascii="Arial" w:hAnsi="Arial" w:cs="Arial"/>
          <w:sz w:val="20"/>
          <w:szCs w:val="20"/>
        </w:rPr>
        <w:t>cases</w:t>
      </w:r>
      <w:r w:rsidRPr="008625F9">
        <w:rPr>
          <w:rFonts w:ascii="Arial" w:hAnsi="Arial" w:cs="Arial"/>
          <w:noProof/>
          <w:sz w:val="20"/>
          <w:szCs w:val="20"/>
        </w:rPr>
        <w:t>(</w:t>
      </w:r>
      <w:proofErr w:type="gramEnd"/>
      <w:r w:rsidRPr="008625F9">
        <w:rPr>
          <w:rFonts w:ascii="Arial" w:hAnsi="Arial" w:cs="Arial"/>
          <w:noProof/>
          <w:sz w:val="20"/>
          <w:szCs w:val="20"/>
        </w:rPr>
        <w:t>26)</w:t>
      </w:r>
      <w:r w:rsidRPr="008625F9">
        <w:rPr>
          <w:rFonts w:ascii="Arial" w:hAnsi="Arial" w:cs="Arial"/>
          <w:sz w:val="20"/>
          <w:szCs w:val="20"/>
        </w:rPr>
        <w:t xml:space="preserve">, </w:t>
      </w:r>
      <w:r w:rsidR="00B6445F" w:rsidRPr="008625F9">
        <w:rPr>
          <w:rFonts w:ascii="Arial" w:hAnsi="Arial" w:cs="Arial"/>
          <w:sz w:val="20"/>
          <w:szCs w:val="20"/>
        </w:rPr>
        <w:t xml:space="preserve">and </w:t>
      </w:r>
      <w:r w:rsidRPr="008625F9">
        <w:rPr>
          <w:rFonts w:ascii="Arial" w:hAnsi="Arial" w:cs="Arial"/>
          <w:sz w:val="20"/>
          <w:szCs w:val="20"/>
        </w:rPr>
        <w:t xml:space="preserve">affects 2.03/million inhabitants in Latin America </w:t>
      </w:r>
      <w:r w:rsidRPr="008625F9">
        <w:rPr>
          <w:rFonts w:ascii="Arial" w:hAnsi="Arial" w:cs="Arial"/>
          <w:noProof/>
          <w:sz w:val="20"/>
          <w:szCs w:val="20"/>
        </w:rPr>
        <w:t>(27)</w:t>
      </w:r>
      <w:r w:rsidR="00B6445F" w:rsidRPr="008625F9">
        <w:rPr>
          <w:rFonts w:ascii="Arial" w:hAnsi="Arial" w:cs="Arial"/>
          <w:sz w:val="20"/>
          <w:szCs w:val="20"/>
        </w:rPr>
        <w:t xml:space="preserve">. Alzheimer’s disease </w:t>
      </w:r>
      <w:r w:rsidRPr="008625F9">
        <w:rPr>
          <w:rFonts w:ascii="Arial" w:hAnsi="Arial" w:cs="Arial"/>
          <w:sz w:val="20"/>
          <w:szCs w:val="20"/>
        </w:rPr>
        <w:t>was responsible for 1.23% (1.08-1.38)</w:t>
      </w:r>
      <w:r w:rsidRPr="008625F9">
        <w:rPr>
          <w:rFonts w:ascii="Arial" w:hAnsi="Arial" w:cs="Arial"/>
          <w:sz w:val="20"/>
          <w:szCs w:val="20"/>
          <w:vertAlign w:val="superscript"/>
        </w:rPr>
        <w:t>.</w:t>
      </w:r>
      <w:r w:rsidRPr="008625F9">
        <w:rPr>
          <w:rFonts w:ascii="Arial" w:hAnsi="Arial" w:cs="Arial"/>
          <w:sz w:val="20"/>
          <w:szCs w:val="20"/>
        </w:rPr>
        <w:t>disability adjusted life years in Brazil in 2013</w:t>
      </w:r>
      <w:r w:rsidRPr="008625F9">
        <w:rPr>
          <w:rFonts w:ascii="Arial" w:hAnsi="Arial" w:cs="Arial"/>
          <w:sz w:val="20"/>
          <w:szCs w:val="20"/>
          <w:vertAlign w:val="superscript"/>
        </w:rPr>
        <w:footnoteReference w:id="2"/>
      </w:r>
      <w:r w:rsidRPr="008625F9">
        <w:rPr>
          <w:rFonts w:ascii="Arial" w:hAnsi="Arial" w:cs="Arial"/>
          <w:sz w:val="20"/>
          <w:szCs w:val="20"/>
        </w:rPr>
        <w:t xml:space="preserve">, with an annual increase of 3%. Its treatment is under the CPTG, with </w:t>
      </w:r>
      <w:r w:rsidR="00B6445F" w:rsidRPr="008625F9">
        <w:rPr>
          <w:rFonts w:ascii="Arial" w:hAnsi="Arial" w:cs="Arial"/>
          <w:sz w:val="20"/>
          <w:szCs w:val="20"/>
        </w:rPr>
        <w:t>a high lev</w:t>
      </w:r>
      <w:r w:rsidR="00FE3256" w:rsidRPr="008625F9">
        <w:rPr>
          <w:rFonts w:ascii="Arial" w:hAnsi="Arial" w:cs="Arial"/>
          <w:sz w:val="20"/>
          <w:szCs w:val="20"/>
        </w:rPr>
        <w:t>el of requests (38</w:t>
      </w:r>
      <w:r w:rsidR="00B6445F" w:rsidRPr="008625F9">
        <w:rPr>
          <w:rFonts w:ascii="Arial" w:hAnsi="Arial" w:cs="Arial"/>
          <w:sz w:val="20"/>
          <w:szCs w:val="20"/>
        </w:rPr>
        <w:t xml:space="preserve">%) </w:t>
      </w:r>
      <w:r w:rsidRPr="008625F9">
        <w:rPr>
          <w:rFonts w:ascii="Arial" w:hAnsi="Arial" w:cs="Arial"/>
          <w:sz w:val="20"/>
          <w:szCs w:val="20"/>
        </w:rPr>
        <w:t xml:space="preserve">being </w:t>
      </w:r>
      <w:r w:rsidR="00B6445F" w:rsidRPr="008625F9">
        <w:rPr>
          <w:rFonts w:ascii="Arial" w:hAnsi="Arial" w:cs="Arial"/>
          <w:sz w:val="20"/>
          <w:szCs w:val="20"/>
        </w:rPr>
        <w:t xml:space="preserve">initially </w:t>
      </w:r>
      <w:r w:rsidRPr="008625F9">
        <w:rPr>
          <w:rFonts w:ascii="Arial" w:hAnsi="Arial" w:cs="Arial"/>
          <w:sz w:val="20"/>
          <w:szCs w:val="20"/>
        </w:rPr>
        <w:t xml:space="preserve">denied in Minas </w:t>
      </w:r>
      <w:proofErr w:type="spellStart"/>
      <w:r w:rsidRPr="008625F9">
        <w:rPr>
          <w:rFonts w:ascii="Arial" w:hAnsi="Arial" w:cs="Arial"/>
          <w:sz w:val="20"/>
          <w:szCs w:val="20"/>
        </w:rPr>
        <w:t>Gerais</w:t>
      </w:r>
      <w:proofErr w:type="spellEnd"/>
      <w:r w:rsidRPr="008625F9">
        <w:rPr>
          <w:rFonts w:ascii="Arial" w:hAnsi="Arial" w:cs="Arial"/>
          <w:sz w:val="20"/>
          <w:szCs w:val="20"/>
        </w:rPr>
        <w:t xml:space="preserve"> because prescribers </w:t>
      </w:r>
      <w:r w:rsidR="00B6445F" w:rsidRPr="008625F9">
        <w:rPr>
          <w:rFonts w:ascii="Arial" w:hAnsi="Arial" w:cs="Arial"/>
          <w:sz w:val="20"/>
          <w:szCs w:val="20"/>
        </w:rPr>
        <w:t xml:space="preserve">were </w:t>
      </w:r>
      <w:r w:rsidRPr="008625F9">
        <w:rPr>
          <w:rFonts w:ascii="Arial" w:hAnsi="Arial" w:cs="Arial"/>
          <w:sz w:val="20"/>
          <w:szCs w:val="20"/>
        </w:rPr>
        <w:t>wrong</w:t>
      </w:r>
      <w:r w:rsidR="00FE3256" w:rsidRPr="008625F9">
        <w:rPr>
          <w:rFonts w:ascii="Arial" w:hAnsi="Arial" w:cs="Arial"/>
          <w:sz w:val="20"/>
          <w:szCs w:val="20"/>
        </w:rPr>
        <w:t>ly completing the forms</w:t>
      </w:r>
      <w:r w:rsidRPr="008625F9">
        <w:rPr>
          <w:rFonts w:ascii="Arial" w:hAnsi="Arial" w:cs="Arial"/>
          <w:sz w:val="20"/>
          <w:szCs w:val="20"/>
        </w:rPr>
        <w:t xml:space="preserve">, leading to potential harm to patients. </w:t>
      </w:r>
    </w:p>
    <w:p w:rsidR="00586B17" w:rsidRPr="008625F9" w:rsidRDefault="00586B17" w:rsidP="003F2483">
      <w:pPr>
        <w:autoSpaceDE w:val="0"/>
        <w:autoSpaceDN w:val="0"/>
        <w:adjustRightInd w:val="0"/>
        <w:spacing w:line="360" w:lineRule="auto"/>
        <w:rPr>
          <w:rFonts w:ascii="Arial" w:hAnsi="Arial" w:cs="Arial"/>
          <w:b/>
          <w:sz w:val="20"/>
          <w:szCs w:val="20"/>
        </w:rPr>
      </w:pPr>
      <w:r w:rsidRPr="008625F9">
        <w:rPr>
          <w:rFonts w:ascii="Arial" w:hAnsi="Arial" w:cs="Arial"/>
          <w:b/>
          <w:sz w:val="20"/>
          <w:szCs w:val="20"/>
        </w:rPr>
        <w:t>METHODS</w:t>
      </w:r>
    </w:p>
    <w:p w:rsidR="00586B17" w:rsidRPr="008625F9" w:rsidRDefault="00385B70" w:rsidP="003F2483">
      <w:pPr>
        <w:autoSpaceDE w:val="0"/>
        <w:autoSpaceDN w:val="0"/>
        <w:adjustRightInd w:val="0"/>
        <w:spacing w:line="360" w:lineRule="auto"/>
        <w:rPr>
          <w:rFonts w:ascii="Arial" w:hAnsi="Arial" w:cs="Arial"/>
          <w:sz w:val="20"/>
          <w:szCs w:val="20"/>
        </w:rPr>
      </w:pPr>
      <w:proofErr w:type="gramStart"/>
      <w:r w:rsidRPr="008625F9">
        <w:rPr>
          <w:rFonts w:ascii="Arial" w:hAnsi="Arial" w:cs="Arial"/>
          <w:sz w:val="20"/>
          <w:szCs w:val="20"/>
        </w:rPr>
        <w:t>To r</w:t>
      </w:r>
      <w:r w:rsidR="00586B17" w:rsidRPr="008625F9">
        <w:rPr>
          <w:rFonts w:ascii="Arial" w:hAnsi="Arial" w:cs="Arial"/>
          <w:sz w:val="20"/>
          <w:szCs w:val="20"/>
        </w:rPr>
        <w:t xml:space="preserve">eview international experiences and scientific publications relating to </w:t>
      </w:r>
      <w:r w:rsidRPr="008625F9">
        <w:rPr>
          <w:rFonts w:ascii="Arial" w:hAnsi="Arial" w:cs="Arial"/>
          <w:sz w:val="20"/>
          <w:szCs w:val="20"/>
        </w:rPr>
        <w:t>academic detailing</w:t>
      </w:r>
      <w:r w:rsidR="00586B17" w:rsidRPr="008625F9">
        <w:rPr>
          <w:rFonts w:ascii="Arial" w:hAnsi="Arial" w:cs="Arial"/>
          <w:sz w:val="20"/>
          <w:szCs w:val="20"/>
        </w:rPr>
        <w:t xml:space="preserve"> among countries actively conducting </w:t>
      </w:r>
      <w:r w:rsidRPr="008625F9">
        <w:rPr>
          <w:rFonts w:ascii="Arial" w:hAnsi="Arial" w:cs="Arial"/>
          <w:sz w:val="20"/>
          <w:szCs w:val="20"/>
        </w:rPr>
        <w:t>such</w:t>
      </w:r>
      <w:r w:rsidR="00586B17" w:rsidRPr="008625F9">
        <w:rPr>
          <w:rFonts w:ascii="Arial" w:hAnsi="Arial" w:cs="Arial"/>
          <w:sz w:val="20"/>
          <w:szCs w:val="20"/>
        </w:rPr>
        <w:t xml:space="preserve"> </w:t>
      </w:r>
      <w:proofErr w:type="spellStart"/>
      <w:r w:rsidR="00586B17" w:rsidRPr="008625F9">
        <w:rPr>
          <w:rFonts w:ascii="Arial" w:hAnsi="Arial" w:cs="Arial"/>
          <w:sz w:val="20"/>
          <w:szCs w:val="20"/>
        </w:rPr>
        <w:t>programmes</w:t>
      </w:r>
      <w:proofErr w:type="spellEnd"/>
      <w:r w:rsidR="00586B17" w:rsidRPr="008625F9">
        <w:rPr>
          <w:rFonts w:ascii="Arial" w:hAnsi="Arial" w:cs="Arial"/>
          <w:sz w:val="20"/>
          <w:szCs w:val="20"/>
        </w:rPr>
        <w:t>, including Australia, USA and Canada.</w:t>
      </w:r>
      <w:proofErr w:type="gramEnd"/>
      <w:r w:rsidR="00586B17" w:rsidRPr="008625F9">
        <w:rPr>
          <w:rFonts w:ascii="Arial" w:hAnsi="Arial" w:cs="Arial"/>
          <w:sz w:val="20"/>
          <w:szCs w:val="20"/>
        </w:rPr>
        <w:t xml:space="preserve"> </w:t>
      </w:r>
      <w:r w:rsidR="0038351A" w:rsidRPr="008625F9">
        <w:rPr>
          <w:rFonts w:ascii="Arial" w:hAnsi="Arial" w:cs="Arial"/>
          <w:sz w:val="20"/>
          <w:szCs w:val="20"/>
        </w:rPr>
        <w:t xml:space="preserve">This was based on a thorough review of available literature including publications known to the co-authors, some of whom have considerable experience with developing and conducting </w:t>
      </w:r>
      <w:r w:rsidR="0038351A" w:rsidRPr="008625F9">
        <w:rPr>
          <w:rFonts w:ascii="Arial" w:hAnsi="Arial" w:cs="Arial"/>
          <w:sz w:val="20"/>
          <w:szCs w:val="20"/>
        </w:rPr>
        <w:lastRenderedPageBreak/>
        <w:t xml:space="preserve">academic detailing </w:t>
      </w:r>
      <w:proofErr w:type="spellStart"/>
      <w:r w:rsidR="0038351A" w:rsidRPr="008625F9">
        <w:rPr>
          <w:rFonts w:ascii="Arial" w:hAnsi="Arial" w:cs="Arial"/>
          <w:sz w:val="20"/>
          <w:szCs w:val="20"/>
        </w:rPr>
        <w:t>programmes</w:t>
      </w:r>
      <w:proofErr w:type="spellEnd"/>
      <w:r w:rsidR="0038351A" w:rsidRPr="008625F9">
        <w:rPr>
          <w:rFonts w:ascii="Arial" w:hAnsi="Arial" w:cs="Arial"/>
          <w:sz w:val="20"/>
          <w:szCs w:val="20"/>
        </w:rPr>
        <w:t>. Following completion, u</w:t>
      </w:r>
      <w:r w:rsidR="00586B17" w:rsidRPr="008625F9">
        <w:rPr>
          <w:rFonts w:ascii="Arial" w:hAnsi="Arial" w:cs="Arial"/>
          <w:sz w:val="20"/>
          <w:szCs w:val="20"/>
        </w:rPr>
        <w:t xml:space="preserve">se the findings to develop a structured approach to academic detailing based on the CPTG for </w:t>
      </w:r>
      <w:proofErr w:type="gramStart"/>
      <w:r w:rsidR="00586B17" w:rsidRPr="008625F9">
        <w:rPr>
          <w:rFonts w:ascii="Arial" w:hAnsi="Arial" w:cs="Arial"/>
          <w:sz w:val="20"/>
          <w:szCs w:val="20"/>
        </w:rPr>
        <w:t>Alzheimer’s Disease</w:t>
      </w:r>
      <w:proofErr w:type="gramEnd"/>
      <w:r w:rsidR="00586B17" w:rsidRPr="008625F9">
        <w:rPr>
          <w:rFonts w:ascii="Arial" w:hAnsi="Arial" w:cs="Arial"/>
          <w:sz w:val="20"/>
          <w:szCs w:val="20"/>
        </w:rPr>
        <w:t xml:space="preserve"> in Brazil.  </w:t>
      </w:r>
    </w:p>
    <w:p w:rsidR="00586B17" w:rsidRPr="008625F9" w:rsidRDefault="00586B17" w:rsidP="003F2483">
      <w:pPr>
        <w:pStyle w:val="NoSpacing"/>
        <w:spacing w:after="200" w:line="360" w:lineRule="auto"/>
        <w:rPr>
          <w:rFonts w:ascii="Arial" w:hAnsi="Arial" w:cs="Arial"/>
          <w:color w:val="000000"/>
          <w:sz w:val="20"/>
          <w:szCs w:val="20"/>
          <w:shd w:val="clear" w:color="auto" w:fill="FFFFFF"/>
        </w:rPr>
      </w:pPr>
      <w:r w:rsidRPr="008625F9">
        <w:rPr>
          <w:rFonts w:ascii="Arial" w:hAnsi="Arial" w:cs="Arial"/>
          <w:sz w:val="20"/>
          <w:szCs w:val="20"/>
        </w:rPr>
        <w:t xml:space="preserve">Subsequently implement the pilot </w:t>
      </w:r>
      <w:proofErr w:type="spellStart"/>
      <w:r w:rsidRPr="008625F9">
        <w:rPr>
          <w:rFonts w:ascii="Arial" w:hAnsi="Arial" w:cs="Arial"/>
          <w:sz w:val="20"/>
          <w:szCs w:val="20"/>
        </w:rPr>
        <w:t>programme</w:t>
      </w:r>
      <w:proofErr w:type="spellEnd"/>
      <w:r w:rsidRPr="008625F9">
        <w:rPr>
          <w:rFonts w:ascii="Arial" w:hAnsi="Arial" w:cs="Arial"/>
          <w:sz w:val="20"/>
          <w:szCs w:val="20"/>
        </w:rPr>
        <w:t xml:space="preserve"> and monitor physician acceptance of academic detailing and its impact on future prescribing. </w:t>
      </w:r>
      <w:r w:rsidR="00385B70" w:rsidRPr="008625F9">
        <w:rPr>
          <w:rFonts w:ascii="Arial" w:hAnsi="Arial" w:cs="Arial"/>
          <w:sz w:val="20"/>
          <w:szCs w:val="20"/>
        </w:rPr>
        <w:t>To help with this</w:t>
      </w:r>
      <w:r w:rsidRPr="008625F9">
        <w:rPr>
          <w:rFonts w:ascii="Arial" w:hAnsi="Arial" w:cs="Arial"/>
          <w:sz w:val="20"/>
          <w:szCs w:val="20"/>
        </w:rPr>
        <w:t xml:space="preserve">, </w:t>
      </w:r>
      <w:r w:rsidR="00385B70" w:rsidRPr="008625F9">
        <w:rPr>
          <w:rFonts w:ascii="Arial" w:hAnsi="Arial" w:cs="Arial"/>
          <w:sz w:val="20"/>
          <w:szCs w:val="20"/>
        </w:rPr>
        <w:t xml:space="preserve">develop and conduct </w:t>
      </w:r>
      <w:r w:rsidRPr="008625F9">
        <w:rPr>
          <w:rFonts w:ascii="Arial" w:hAnsi="Arial" w:cs="Arial"/>
          <w:color w:val="000000"/>
          <w:sz w:val="20"/>
          <w:szCs w:val="20"/>
          <w:shd w:val="clear" w:color="auto" w:fill="FFFFFF"/>
        </w:rPr>
        <w:t>a satisfaction survey by telephone. Th</w:t>
      </w:r>
      <w:r w:rsidR="00385B70" w:rsidRPr="008625F9">
        <w:rPr>
          <w:rFonts w:ascii="Arial" w:hAnsi="Arial" w:cs="Arial"/>
          <w:color w:val="000000"/>
          <w:sz w:val="20"/>
          <w:szCs w:val="20"/>
          <w:shd w:val="clear" w:color="auto" w:fill="FFFFFF"/>
        </w:rPr>
        <w:t>e survey</w:t>
      </w:r>
      <w:r w:rsidRPr="008625F9">
        <w:rPr>
          <w:rFonts w:ascii="Arial" w:hAnsi="Arial" w:cs="Arial"/>
          <w:color w:val="000000"/>
          <w:sz w:val="20"/>
          <w:szCs w:val="20"/>
          <w:shd w:val="clear" w:color="auto" w:fill="FFFFFF"/>
        </w:rPr>
        <w:t xml:space="preserve"> included questions about the acceptability, relevance and the quality of the </w:t>
      </w:r>
      <w:r w:rsidR="00385B70" w:rsidRPr="008625F9">
        <w:rPr>
          <w:rFonts w:ascii="Arial" w:hAnsi="Arial" w:cs="Arial"/>
          <w:color w:val="000000"/>
          <w:sz w:val="20"/>
          <w:szCs w:val="20"/>
          <w:shd w:val="clear" w:color="auto" w:fill="FFFFFF"/>
        </w:rPr>
        <w:t>academic detailing</w:t>
      </w:r>
      <w:r w:rsidRPr="008625F9">
        <w:rPr>
          <w:rFonts w:ascii="Arial" w:hAnsi="Arial" w:cs="Arial"/>
          <w:color w:val="000000"/>
          <w:sz w:val="20"/>
          <w:szCs w:val="20"/>
          <w:shd w:val="clear" w:color="auto" w:fill="FFFFFF"/>
        </w:rPr>
        <w:t xml:space="preserve"> received. </w:t>
      </w:r>
      <w:proofErr w:type="gramStart"/>
      <w:r w:rsidRPr="008625F9">
        <w:rPr>
          <w:rFonts w:ascii="Arial" w:hAnsi="Arial" w:cs="Arial"/>
          <w:color w:val="000000"/>
          <w:sz w:val="20"/>
          <w:szCs w:val="20"/>
          <w:shd w:val="clear" w:color="auto" w:fill="FFFFFF"/>
        </w:rPr>
        <w:t xml:space="preserve">The results </w:t>
      </w:r>
      <w:r w:rsidR="00385B70" w:rsidRPr="008625F9">
        <w:rPr>
          <w:rFonts w:ascii="Arial" w:hAnsi="Arial" w:cs="Arial"/>
          <w:color w:val="000000"/>
          <w:sz w:val="20"/>
          <w:szCs w:val="20"/>
          <w:shd w:val="clear" w:color="auto" w:fill="FFFFFF"/>
        </w:rPr>
        <w:t>to</w:t>
      </w:r>
      <w:r w:rsidRPr="008625F9">
        <w:rPr>
          <w:rFonts w:ascii="Arial" w:hAnsi="Arial" w:cs="Arial"/>
          <w:color w:val="000000"/>
          <w:sz w:val="20"/>
          <w:szCs w:val="20"/>
          <w:shd w:val="clear" w:color="auto" w:fill="FFFFFF"/>
        </w:rPr>
        <w:t xml:space="preserve"> be evaluated in terms of the feasibility, effectiveness and satisfaction with academic detailing.</w:t>
      </w:r>
      <w:proofErr w:type="gramEnd"/>
      <w:r w:rsidRPr="008625F9">
        <w:rPr>
          <w:rFonts w:ascii="Arial" w:hAnsi="Arial" w:cs="Arial"/>
          <w:color w:val="000000"/>
          <w:sz w:val="20"/>
          <w:szCs w:val="20"/>
          <w:shd w:val="clear" w:color="auto" w:fill="FFFFFF"/>
        </w:rPr>
        <w:t xml:space="preserve"> The feasibility will consider the </w:t>
      </w:r>
      <w:r w:rsidR="00385B70" w:rsidRPr="008625F9">
        <w:rPr>
          <w:rFonts w:ascii="Arial" w:hAnsi="Arial" w:cs="Arial"/>
          <w:color w:val="000000"/>
          <w:sz w:val="20"/>
          <w:szCs w:val="20"/>
          <w:shd w:val="clear" w:color="auto" w:fill="FFFFFF"/>
        </w:rPr>
        <w:t xml:space="preserve">costs incurred with undertaking </w:t>
      </w:r>
      <w:r w:rsidRPr="008625F9">
        <w:rPr>
          <w:rFonts w:ascii="Arial" w:hAnsi="Arial" w:cs="Arial"/>
          <w:color w:val="000000"/>
          <w:sz w:val="20"/>
          <w:szCs w:val="20"/>
          <w:shd w:val="clear" w:color="auto" w:fill="FFFFFF"/>
        </w:rPr>
        <w:t xml:space="preserve">the planning and conducting </w:t>
      </w:r>
      <w:r w:rsidR="00385B70" w:rsidRPr="008625F9">
        <w:rPr>
          <w:rFonts w:ascii="Arial" w:hAnsi="Arial" w:cs="Arial"/>
          <w:color w:val="000000"/>
          <w:sz w:val="20"/>
          <w:szCs w:val="20"/>
          <w:shd w:val="clear" w:color="auto" w:fill="FFFFFF"/>
        </w:rPr>
        <w:t>the</w:t>
      </w:r>
      <w:r w:rsidRPr="008625F9">
        <w:rPr>
          <w:rFonts w:ascii="Arial" w:hAnsi="Arial" w:cs="Arial"/>
          <w:color w:val="000000"/>
          <w:sz w:val="20"/>
          <w:szCs w:val="20"/>
          <w:shd w:val="clear" w:color="auto" w:fill="FFFFFF"/>
        </w:rPr>
        <w:t xml:space="preserve"> field visits. The </w:t>
      </w:r>
      <w:r w:rsidR="003F2483" w:rsidRPr="008625F9">
        <w:rPr>
          <w:rFonts w:ascii="Arial" w:hAnsi="Arial" w:cs="Arial"/>
          <w:color w:val="000000"/>
          <w:sz w:val="20"/>
          <w:szCs w:val="20"/>
          <w:shd w:val="clear" w:color="auto" w:fill="FFFFFF"/>
        </w:rPr>
        <w:t>e</w:t>
      </w:r>
      <w:r w:rsidRPr="008625F9">
        <w:rPr>
          <w:rFonts w:ascii="Arial" w:hAnsi="Arial" w:cs="Arial"/>
          <w:color w:val="000000"/>
          <w:sz w:val="20"/>
          <w:szCs w:val="20"/>
          <w:shd w:val="clear" w:color="auto" w:fill="FFFFFF"/>
        </w:rPr>
        <w:t xml:space="preserve">ffectiveness of the </w:t>
      </w:r>
      <w:r w:rsidR="003F2483" w:rsidRPr="008625F9">
        <w:rPr>
          <w:rFonts w:ascii="Arial" w:hAnsi="Arial" w:cs="Arial"/>
          <w:color w:val="000000"/>
          <w:sz w:val="20"/>
          <w:szCs w:val="20"/>
          <w:shd w:val="clear" w:color="auto" w:fill="FFFFFF"/>
        </w:rPr>
        <w:t>academic detailing</w:t>
      </w:r>
      <w:r w:rsidRPr="008625F9">
        <w:rPr>
          <w:rFonts w:ascii="Arial" w:hAnsi="Arial" w:cs="Arial"/>
          <w:color w:val="000000"/>
          <w:sz w:val="20"/>
          <w:szCs w:val="20"/>
          <w:shd w:val="clear" w:color="auto" w:fill="FFFFFF"/>
        </w:rPr>
        <w:t xml:space="preserve"> </w:t>
      </w:r>
      <w:proofErr w:type="spellStart"/>
      <w:r w:rsidRPr="008625F9">
        <w:rPr>
          <w:rFonts w:ascii="Arial" w:hAnsi="Arial" w:cs="Arial"/>
          <w:color w:val="000000"/>
          <w:sz w:val="20"/>
          <w:szCs w:val="20"/>
          <w:shd w:val="clear" w:color="auto" w:fill="FFFFFF"/>
        </w:rPr>
        <w:t>programme</w:t>
      </w:r>
      <w:proofErr w:type="spellEnd"/>
      <w:r w:rsidRPr="008625F9">
        <w:rPr>
          <w:rFonts w:ascii="Arial" w:hAnsi="Arial" w:cs="Arial"/>
          <w:color w:val="000000"/>
          <w:sz w:val="20"/>
          <w:szCs w:val="20"/>
          <w:shd w:val="clear" w:color="auto" w:fill="FFFFFF"/>
        </w:rPr>
        <w:t xml:space="preserve"> will be determined by </w:t>
      </w:r>
      <w:proofErr w:type="spellStart"/>
      <w:r w:rsidRPr="008625F9">
        <w:rPr>
          <w:rFonts w:ascii="Arial" w:hAnsi="Arial" w:cs="Arial"/>
          <w:color w:val="000000"/>
          <w:sz w:val="20"/>
          <w:szCs w:val="20"/>
          <w:shd w:val="clear" w:color="auto" w:fill="FFFFFF"/>
        </w:rPr>
        <w:t>analysing</w:t>
      </w:r>
      <w:proofErr w:type="spellEnd"/>
      <w:r w:rsidRPr="008625F9">
        <w:rPr>
          <w:rFonts w:ascii="Arial" w:hAnsi="Arial" w:cs="Arial"/>
          <w:color w:val="000000"/>
          <w:sz w:val="20"/>
          <w:szCs w:val="20"/>
          <w:shd w:val="clear" w:color="auto" w:fill="FFFFFF"/>
        </w:rPr>
        <w:t xml:space="preserve"> the rate of returned request</w:t>
      </w:r>
      <w:r w:rsidR="00BB6993" w:rsidRPr="008625F9">
        <w:rPr>
          <w:rFonts w:ascii="Arial" w:hAnsi="Arial" w:cs="Arial"/>
          <w:color w:val="000000"/>
          <w:sz w:val="20"/>
          <w:szCs w:val="20"/>
          <w:shd w:val="clear" w:color="auto" w:fill="FFFFFF"/>
        </w:rPr>
        <w:t>s</w:t>
      </w:r>
      <w:r w:rsidRPr="008625F9">
        <w:rPr>
          <w:rFonts w:ascii="Arial" w:hAnsi="Arial" w:cs="Arial"/>
          <w:color w:val="000000"/>
          <w:sz w:val="20"/>
          <w:szCs w:val="20"/>
          <w:shd w:val="clear" w:color="auto" w:fill="FFFFFF"/>
        </w:rPr>
        <w:t xml:space="preserve"> prior to (3 months earlier) and after (3 months later) the </w:t>
      </w:r>
      <w:proofErr w:type="spellStart"/>
      <w:r w:rsidRPr="008625F9">
        <w:rPr>
          <w:rFonts w:ascii="Arial" w:hAnsi="Arial" w:cs="Arial"/>
          <w:color w:val="000000"/>
          <w:sz w:val="20"/>
          <w:szCs w:val="20"/>
          <w:shd w:val="clear" w:color="auto" w:fill="FFFFFF"/>
        </w:rPr>
        <w:t>programme</w:t>
      </w:r>
      <w:proofErr w:type="spellEnd"/>
      <w:r w:rsidRPr="008625F9">
        <w:rPr>
          <w:rFonts w:ascii="Arial" w:hAnsi="Arial" w:cs="Arial"/>
          <w:color w:val="000000"/>
          <w:sz w:val="20"/>
          <w:szCs w:val="20"/>
          <w:shd w:val="clear" w:color="auto" w:fill="FFFFFF"/>
        </w:rPr>
        <w:t xml:space="preserve"> </w:t>
      </w:r>
      <w:r w:rsidR="003F2483" w:rsidRPr="008625F9">
        <w:rPr>
          <w:rFonts w:ascii="Arial" w:hAnsi="Arial" w:cs="Arial"/>
          <w:color w:val="000000"/>
          <w:sz w:val="20"/>
          <w:szCs w:val="20"/>
          <w:shd w:val="clear" w:color="auto" w:fill="FFFFFF"/>
        </w:rPr>
        <w:t>among</w:t>
      </w:r>
      <w:r w:rsidRPr="008625F9">
        <w:rPr>
          <w:rFonts w:ascii="Arial" w:hAnsi="Arial" w:cs="Arial"/>
          <w:color w:val="000000"/>
          <w:sz w:val="20"/>
          <w:szCs w:val="20"/>
          <w:shd w:val="clear" w:color="auto" w:fill="FFFFFF"/>
        </w:rPr>
        <w:t xml:space="preserve"> </w:t>
      </w:r>
      <w:r w:rsidR="006F0B83" w:rsidRPr="008625F9">
        <w:rPr>
          <w:rFonts w:ascii="Arial" w:hAnsi="Arial" w:cs="Arial"/>
          <w:color w:val="000000"/>
          <w:sz w:val="20"/>
          <w:szCs w:val="20"/>
          <w:shd w:val="clear" w:color="auto" w:fill="FFFFFF"/>
        </w:rPr>
        <w:t xml:space="preserve">the </w:t>
      </w:r>
      <w:r w:rsidRPr="008625F9">
        <w:rPr>
          <w:rFonts w:ascii="Arial" w:hAnsi="Arial" w:cs="Arial"/>
          <w:color w:val="000000"/>
          <w:sz w:val="20"/>
          <w:szCs w:val="20"/>
          <w:shd w:val="clear" w:color="auto" w:fill="FFFFFF"/>
        </w:rPr>
        <w:t>control and intervention groups</w:t>
      </w:r>
      <w:r w:rsidR="006F0B83" w:rsidRPr="008625F9">
        <w:rPr>
          <w:rFonts w:ascii="Arial" w:hAnsi="Arial" w:cs="Arial"/>
          <w:color w:val="000000"/>
          <w:sz w:val="20"/>
          <w:szCs w:val="20"/>
          <w:shd w:val="clear" w:color="auto" w:fill="FFFFFF"/>
        </w:rPr>
        <w:t>, matched to reduce bias</w:t>
      </w:r>
      <w:r w:rsidRPr="008625F9">
        <w:rPr>
          <w:rFonts w:ascii="Arial" w:hAnsi="Arial" w:cs="Arial"/>
          <w:color w:val="000000"/>
          <w:sz w:val="20"/>
          <w:szCs w:val="20"/>
          <w:shd w:val="clear" w:color="auto" w:fill="FFFFFF"/>
        </w:rPr>
        <w:t>. Finally, the satisfaction survey will be analyzed qualitatively and quantitatively to assess the satisfaction and perceptions of the physicians and facilitators.</w:t>
      </w:r>
      <w:r w:rsidR="006F0B83" w:rsidRPr="008625F9">
        <w:rPr>
          <w:rFonts w:ascii="Arial" w:hAnsi="Arial" w:cs="Arial"/>
          <w:color w:val="000000"/>
          <w:sz w:val="20"/>
          <w:szCs w:val="20"/>
          <w:shd w:val="clear" w:color="auto" w:fill="FFFFFF"/>
        </w:rPr>
        <w:t xml:space="preserve"> The combined results will be used to determine whether academic detailing is a worthwhile option to reduce the rate of denied applications to CEAF medicines</w:t>
      </w:r>
      <w:r w:rsidR="00BB6993" w:rsidRPr="008625F9">
        <w:rPr>
          <w:rFonts w:ascii="Arial" w:hAnsi="Arial" w:cs="Arial"/>
          <w:color w:val="000000"/>
          <w:sz w:val="20"/>
          <w:szCs w:val="20"/>
          <w:shd w:val="clear" w:color="auto" w:fill="FFFFFF"/>
        </w:rPr>
        <w:t xml:space="preserve"> in Brazil</w:t>
      </w:r>
      <w:r w:rsidR="006F0B83" w:rsidRPr="008625F9">
        <w:rPr>
          <w:rFonts w:ascii="Arial" w:hAnsi="Arial" w:cs="Arial"/>
          <w:color w:val="000000"/>
          <w:sz w:val="20"/>
          <w:szCs w:val="20"/>
          <w:shd w:val="clear" w:color="auto" w:fill="FFFFFF"/>
        </w:rPr>
        <w:t xml:space="preserve">. </w:t>
      </w:r>
    </w:p>
    <w:p w:rsidR="00586B17" w:rsidRPr="008625F9" w:rsidRDefault="00586B17" w:rsidP="003F2483">
      <w:pPr>
        <w:autoSpaceDE w:val="0"/>
        <w:autoSpaceDN w:val="0"/>
        <w:adjustRightInd w:val="0"/>
        <w:spacing w:line="360" w:lineRule="auto"/>
        <w:rPr>
          <w:rFonts w:ascii="Arial" w:hAnsi="Arial" w:cs="Arial"/>
          <w:b/>
          <w:sz w:val="20"/>
          <w:szCs w:val="20"/>
        </w:rPr>
      </w:pPr>
      <w:r w:rsidRPr="008625F9">
        <w:rPr>
          <w:rFonts w:ascii="Arial" w:hAnsi="Arial" w:cs="Arial"/>
          <w:b/>
          <w:sz w:val="20"/>
          <w:szCs w:val="20"/>
        </w:rPr>
        <w:t>RESULTS</w:t>
      </w:r>
    </w:p>
    <w:p w:rsidR="00586B17" w:rsidRPr="008625F9" w:rsidRDefault="00586B17" w:rsidP="003F2483">
      <w:pPr>
        <w:pStyle w:val="ListParagraph"/>
        <w:numPr>
          <w:ilvl w:val="0"/>
          <w:numId w:val="1"/>
        </w:numPr>
        <w:spacing w:line="360" w:lineRule="auto"/>
        <w:rPr>
          <w:rFonts w:ascii="Arial" w:hAnsi="Arial" w:cs="Arial"/>
          <w:b/>
          <w:i/>
          <w:sz w:val="20"/>
          <w:szCs w:val="20"/>
          <w:lang w:eastAsia="pt-BR"/>
        </w:rPr>
      </w:pPr>
      <w:r w:rsidRPr="008625F9">
        <w:rPr>
          <w:rFonts w:ascii="Arial" w:hAnsi="Arial" w:cs="Arial"/>
          <w:b/>
          <w:i/>
          <w:sz w:val="20"/>
          <w:szCs w:val="20"/>
          <w:lang w:eastAsia="pt-BR"/>
        </w:rPr>
        <w:t>Literature review</w:t>
      </w:r>
    </w:p>
    <w:p w:rsidR="00586B17" w:rsidRPr="008625F9" w:rsidRDefault="00586B17" w:rsidP="003F2483">
      <w:pPr>
        <w:spacing w:line="360" w:lineRule="auto"/>
        <w:rPr>
          <w:rFonts w:ascii="Arial" w:hAnsi="Arial" w:cs="Arial"/>
          <w:sz w:val="20"/>
          <w:szCs w:val="20"/>
          <w:lang w:eastAsia="pt-BR"/>
        </w:rPr>
      </w:pPr>
      <w:r w:rsidRPr="008625F9">
        <w:rPr>
          <w:rFonts w:ascii="Arial" w:hAnsi="Arial" w:cs="Arial"/>
          <w:sz w:val="20"/>
          <w:szCs w:val="20"/>
          <w:lang w:eastAsia="pt-BR"/>
        </w:rPr>
        <w:t xml:space="preserve">The systematic review of the effects of guideline implementation strategies </w:t>
      </w:r>
      <w:r w:rsidRPr="008625F9">
        <w:rPr>
          <w:rFonts w:ascii="Arial" w:hAnsi="Arial" w:cs="Arial"/>
          <w:sz w:val="20"/>
          <w:szCs w:val="20"/>
        </w:rPr>
        <w:t>i</w:t>
      </w:r>
      <w:r w:rsidR="00B618D3" w:rsidRPr="008625F9">
        <w:rPr>
          <w:rFonts w:ascii="Arial" w:hAnsi="Arial" w:cs="Arial"/>
          <w:sz w:val="20"/>
          <w:szCs w:val="20"/>
        </w:rPr>
        <w:t>dentified</w:t>
      </w:r>
      <w:r w:rsidRPr="008625F9">
        <w:rPr>
          <w:rFonts w:ascii="Arial" w:hAnsi="Arial" w:cs="Arial"/>
          <w:sz w:val="20"/>
          <w:szCs w:val="20"/>
        </w:rPr>
        <w:t xml:space="preserve"> </w:t>
      </w:r>
      <w:r w:rsidRPr="008625F9">
        <w:rPr>
          <w:rFonts w:ascii="Arial" w:hAnsi="Arial" w:cs="Arial"/>
          <w:sz w:val="20"/>
          <w:szCs w:val="20"/>
          <w:lang w:eastAsia="pt-BR"/>
        </w:rPr>
        <w:t xml:space="preserve">22 </w:t>
      </w:r>
      <w:r w:rsidR="00B618D3" w:rsidRPr="008625F9">
        <w:rPr>
          <w:rFonts w:ascii="Arial" w:hAnsi="Arial" w:cs="Arial"/>
          <w:sz w:val="20"/>
          <w:szCs w:val="20"/>
          <w:lang w:eastAsia="pt-BR"/>
        </w:rPr>
        <w:t xml:space="preserve">relevant </w:t>
      </w:r>
      <w:r w:rsidRPr="008625F9">
        <w:rPr>
          <w:rFonts w:ascii="Arial" w:hAnsi="Arial" w:cs="Arial"/>
          <w:sz w:val="20"/>
          <w:szCs w:val="20"/>
          <w:lang w:eastAsia="pt-BR"/>
        </w:rPr>
        <w:t xml:space="preserve">studies involving educational outreach as part of multifaceted interventions compared to no-intervention </w:t>
      </w:r>
      <w:r w:rsidRPr="008625F9">
        <w:rPr>
          <w:rFonts w:ascii="Arial" w:hAnsi="Arial" w:cs="Arial"/>
          <w:noProof/>
          <w:sz w:val="20"/>
          <w:szCs w:val="20"/>
          <w:lang w:eastAsia="pt-BR"/>
        </w:rPr>
        <w:t>(20)</w:t>
      </w:r>
      <w:r w:rsidRPr="008625F9">
        <w:rPr>
          <w:rFonts w:ascii="Arial" w:hAnsi="Arial" w:cs="Arial"/>
          <w:sz w:val="20"/>
          <w:szCs w:val="20"/>
          <w:lang w:eastAsia="pt-BR"/>
        </w:rPr>
        <w:t xml:space="preserve">. The most common combination was educational outreach plus materials (34%), followed by educational outreach plus materials and meetings (17%). The authors </w:t>
      </w:r>
      <w:r w:rsidR="00EA0E11" w:rsidRPr="008625F9">
        <w:rPr>
          <w:rFonts w:ascii="Arial" w:hAnsi="Arial" w:cs="Arial"/>
          <w:sz w:val="20"/>
          <w:szCs w:val="20"/>
          <w:lang w:eastAsia="pt-BR"/>
        </w:rPr>
        <w:t xml:space="preserve">of the published papers </w:t>
      </w:r>
      <w:r w:rsidRPr="008625F9">
        <w:rPr>
          <w:rFonts w:ascii="Arial" w:hAnsi="Arial" w:cs="Arial"/>
          <w:sz w:val="20"/>
          <w:szCs w:val="20"/>
          <w:lang w:eastAsia="pt-BR"/>
        </w:rPr>
        <w:t xml:space="preserve">concluded that multiple educational outreach visits improved clinical performance compared to no intervention by an average of 6-7%, but considered these results modest. </w:t>
      </w:r>
      <w:r w:rsidR="00EA0E11" w:rsidRPr="008625F9">
        <w:rPr>
          <w:rFonts w:ascii="Arial" w:hAnsi="Arial" w:cs="Arial"/>
          <w:sz w:val="20"/>
          <w:szCs w:val="20"/>
          <w:lang w:eastAsia="pt-BR"/>
        </w:rPr>
        <w:t>T</w:t>
      </w:r>
      <w:r w:rsidRPr="008625F9">
        <w:rPr>
          <w:rFonts w:ascii="Arial" w:hAnsi="Arial" w:cs="Arial"/>
          <w:sz w:val="20"/>
          <w:szCs w:val="20"/>
          <w:lang w:eastAsia="pt-BR"/>
        </w:rPr>
        <w:t>he results from ten studies (11 comparisons) showed that educational outreach was more effective than educational materials a</w:t>
      </w:r>
      <w:r w:rsidR="00EA0E11" w:rsidRPr="008625F9">
        <w:rPr>
          <w:rFonts w:ascii="Arial" w:hAnsi="Arial" w:cs="Arial"/>
          <w:sz w:val="20"/>
          <w:szCs w:val="20"/>
          <w:lang w:eastAsia="pt-BR"/>
        </w:rPr>
        <w:t>s well as</w:t>
      </w:r>
      <w:r w:rsidRPr="008625F9">
        <w:rPr>
          <w:rFonts w:ascii="Arial" w:hAnsi="Arial" w:cs="Arial"/>
          <w:sz w:val="20"/>
          <w:szCs w:val="20"/>
          <w:lang w:eastAsia="pt-BR"/>
        </w:rPr>
        <w:t xml:space="preserve"> audit and feedback with </w:t>
      </w:r>
      <w:r w:rsidR="00EA0E11" w:rsidRPr="008625F9">
        <w:rPr>
          <w:rFonts w:ascii="Arial" w:hAnsi="Arial" w:cs="Arial"/>
          <w:sz w:val="20"/>
          <w:szCs w:val="20"/>
          <w:lang w:eastAsia="pt-BR"/>
        </w:rPr>
        <w:t xml:space="preserve">an overall </w:t>
      </w:r>
      <w:r w:rsidRPr="008625F9">
        <w:rPr>
          <w:rFonts w:ascii="Arial" w:hAnsi="Arial" w:cs="Arial"/>
          <w:sz w:val="20"/>
          <w:szCs w:val="20"/>
          <w:lang w:eastAsia="pt-BR"/>
        </w:rPr>
        <w:t xml:space="preserve">modest impact </w:t>
      </w:r>
      <w:r w:rsidRPr="008625F9">
        <w:rPr>
          <w:rFonts w:ascii="Arial" w:hAnsi="Arial" w:cs="Arial"/>
          <w:noProof/>
          <w:sz w:val="20"/>
          <w:szCs w:val="20"/>
          <w:lang w:eastAsia="pt-BR"/>
        </w:rPr>
        <w:t>(20)</w:t>
      </w:r>
      <w:r w:rsidRPr="008625F9">
        <w:rPr>
          <w:rFonts w:ascii="Arial" w:hAnsi="Arial" w:cs="Arial"/>
          <w:sz w:val="20"/>
          <w:szCs w:val="20"/>
          <w:lang w:eastAsia="pt-BR"/>
        </w:rPr>
        <w:t xml:space="preserve">. </w:t>
      </w:r>
    </w:p>
    <w:p w:rsidR="00586B17" w:rsidRPr="008625F9" w:rsidRDefault="00EA0E11" w:rsidP="003F2483">
      <w:pPr>
        <w:autoSpaceDE w:val="0"/>
        <w:autoSpaceDN w:val="0"/>
        <w:adjustRightInd w:val="0"/>
        <w:spacing w:line="360" w:lineRule="auto"/>
        <w:rPr>
          <w:rFonts w:ascii="Arial" w:hAnsi="Arial" w:cs="Arial"/>
          <w:sz w:val="20"/>
          <w:szCs w:val="20"/>
          <w:lang w:eastAsia="pt-BR"/>
        </w:rPr>
      </w:pPr>
      <w:r w:rsidRPr="008625F9">
        <w:rPr>
          <w:rFonts w:ascii="Arial" w:hAnsi="Arial" w:cs="Arial"/>
          <w:sz w:val="20"/>
          <w:szCs w:val="20"/>
        </w:rPr>
        <w:t>R</w:t>
      </w:r>
      <w:r w:rsidR="00586B17" w:rsidRPr="008625F9">
        <w:rPr>
          <w:rFonts w:ascii="Arial" w:hAnsi="Arial" w:cs="Arial"/>
          <w:sz w:val="20"/>
          <w:szCs w:val="20"/>
        </w:rPr>
        <w:t>ecent</w:t>
      </w:r>
      <w:r w:rsidR="00935444" w:rsidRPr="008625F9">
        <w:rPr>
          <w:rFonts w:ascii="Arial" w:hAnsi="Arial" w:cs="Arial"/>
          <w:sz w:val="20"/>
          <w:szCs w:val="20"/>
        </w:rPr>
        <w:t>ly</w:t>
      </w:r>
      <w:r w:rsidR="00586B17" w:rsidRPr="008625F9">
        <w:rPr>
          <w:rFonts w:ascii="Arial" w:hAnsi="Arial" w:cs="Arial"/>
          <w:sz w:val="20"/>
          <w:szCs w:val="20"/>
        </w:rPr>
        <w:t xml:space="preserve"> systematic reviews of guideline dissemination have been published, with a variety of </w:t>
      </w:r>
      <w:r w:rsidR="00586B17" w:rsidRPr="008625F9">
        <w:rPr>
          <w:rFonts w:ascii="Arial" w:hAnsi="Arial" w:cs="Arial"/>
          <w:sz w:val="20"/>
          <w:szCs w:val="20"/>
          <w:lang w:eastAsia="pt-BR"/>
        </w:rPr>
        <w:t xml:space="preserve">results and control groups. A systematic review aiming to increase influenza vaccination rates </w:t>
      </w:r>
      <w:r w:rsidRPr="008625F9">
        <w:rPr>
          <w:rFonts w:ascii="Arial" w:hAnsi="Arial" w:cs="Arial"/>
          <w:sz w:val="20"/>
          <w:szCs w:val="20"/>
          <w:lang w:eastAsia="pt-BR"/>
        </w:rPr>
        <w:t>among</w:t>
      </w:r>
      <w:r w:rsidR="00586B17" w:rsidRPr="008625F9">
        <w:rPr>
          <w:rFonts w:ascii="Arial" w:hAnsi="Arial" w:cs="Arial"/>
          <w:sz w:val="20"/>
          <w:szCs w:val="20"/>
          <w:lang w:eastAsia="pt-BR"/>
        </w:rPr>
        <w:t xml:space="preserve"> those </w:t>
      </w:r>
      <w:r w:rsidRPr="008625F9">
        <w:rPr>
          <w:rFonts w:ascii="Arial" w:hAnsi="Arial" w:cs="Arial"/>
          <w:sz w:val="20"/>
          <w:szCs w:val="20"/>
          <w:lang w:eastAsia="pt-BR"/>
        </w:rPr>
        <w:t xml:space="preserve">of </w:t>
      </w:r>
      <w:r w:rsidR="00586B17" w:rsidRPr="008625F9">
        <w:rPr>
          <w:rFonts w:ascii="Arial" w:hAnsi="Arial" w:cs="Arial"/>
          <w:sz w:val="20"/>
          <w:szCs w:val="20"/>
          <w:lang w:eastAsia="pt-BR"/>
        </w:rPr>
        <w:t>60</w:t>
      </w:r>
      <w:r w:rsidRPr="008625F9">
        <w:rPr>
          <w:rFonts w:ascii="Arial" w:hAnsi="Arial" w:cs="Arial"/>
          <w:sz w:val="20"/>
          <w:szCs w:val="20"/>
          <w:lang w:eastAsia="pt-BR"/>
        </w:rPr>
        <w:t xml:space="preserve"> </w:t>
      </w:r>
      <w:r w:rsidR="00586B17" w:rsidRPr="008625F9">
        <w:rPr>
          <w:rFonts w:ascii="Arial" w:hAnsi="Arial" w:cs="Arial"/>
          <w:sz w:val="20"/>
          <w:szCs w:val="20"/>
          <w:lang w:eastAsia="pt-BR"/>
        </w:rPr>
        <w:t xml:space="preserve">years </w:t>
      </w:r>
      <w:r w:rsidRPr="008625F9">
        <w:rPr>
          <w:rFonts w:ascii="Arial" w:hAnsi="Arial" w:cs="Arial"/>
          <w:sz w:val="20"/>
          <w:szCs w:val="20"/>
          <w:lang w:eastAsia="pt-BR"/>
        </w:rPr>
        <w:t xml:space="preserve">or above </w:t>
      </w:r>
      <w:r w:rsidR="00586B17" w:rsidRPr="008625F9">
        <w:rPr>
          <w:rFonts w:ascii="Arial" w:hAnsi="Arial" w:cs="Arial"/>
          <w:sz w:val="20"/>
          <w:szCs w:val="20"/>
          <w:lang w:eastAsia="pt-BR"/>
        </w:rPr>
        <w:t>in the community included one trial with 27,580 participants</w:t>
      </w:r>
      <w:r w:rsidRPr="008625F9">
        <w:rPr>
          <w:rFonts w:ascii="Arial" w:hAnsi="Arial" w:cs="Arial"/>
          <w:sz w:val="20"/>
          <w:szCs w:val="20"/>
          <w:lang w:eastAsia="pt-BR"/>
        </w:rPr>
        <w:t>. The authors</w:t>
      </w:r>
      <w:r w:rsidR="00586B17" w:rsidRPr="008625F9">
        <w:rPr>
          <w:rFonts w:ascii="Arial" w:hAnsi="Arial" w:cs="Arial"/>
          <w:sz w:val="20"/>
          <w:szCs w:val="20"/>
          <w:lang w:eastAsia="pt-BR"/>
        </w:rPr>
        <w:t xml:space="preserve"> found that written feedback was more effective than educational outreach plus feedback (OR: 0.77, 95%CI: 0.72; 0.81). This same </w:t>
      </w:r>
      <w:r w:rsidRPr="008625F9">
        <w:rPr>
          <w:rFonts w:ascii="Arial" w:hAnsi="Arial" w:cs="Arial"/>
          <w:sz w:val="20"/>
          <w:szCs w:val="20"/>
          <w:lang w:eastAsia="pt-BR"/>
        </w:rPr>
        <w:t>review</w:t>
      </w:r>
      <w:r w:rsidR="00586B17" w:rsidRPr="008625F9">
        <w:rPr>
          <w:rFonts w:ascii="Arial" w:hAnsi="Arial" w:cs="Arial"/>
          <w:sz w:val="20"/>
          <w:szCs w:val="20"/>
          <w:lang w:eastAsia="pt-BR"/>
        </w:rPr>
        <w:t xml:space="preserve"> also included another trial (1,400 participants) that did not find any difference between educational reminders, academic detailing and peer comparisons to other physicians compared to mailed educational materials [OR: 1.13 (0.80; 1.58)] </w:t>
      </w:r>
      <w:r w:rsidR="00586B17" w:rsidRPr="008625F9">
        <w:rPr>
          <w:rFonts w:ascii="Arial" w:hAnsi="Arial" w:cs="Arial"/>
          <w:noProof/>
          <w:sz w:val="20"/>
          <w:szCs w:val="20"/>
          <w:lang w:eastAsia="pt-BR"/>
        </w:rPr>
        <w:t>(28)</w:t>
      </w:r>
      <w:r w:rsidR="00586B17" w:rsidRPr="008625F9">
        <w:rPr>
          <w:rFonts w:ascii="Arial" w:hAnsi="Arial" w:cs="Arial"/>
          <w:sz w:val="20"/>
          <w:szCs w:val="20"/>
          <w:lang w:eastAsia="pt-BR"/>
        </w:rPr>
        <w:t>. Another systematic review, evaluating strategies targeting Specialist Mental Health Care</w:t>
      </w:r>
      <w:r w:rsidRPr="008625F9">
        <w:rPr>
          <w:rFonts w:ascii="Arial" w:hAnsi="Arial" w:cs="Arial"/>
          <w:sz w:val="20"/>
          <w:szCs w:val="20"/>
          <w:lang w:eastAsia="pt-BR"/>
        </w:rPr>
        <w:t xml:space="preserve"> services</w:t>
      </w:r>
      <w:r w:rsidR="00586B17" w:rsidRPr="008625F9">
        <w:rPr>
          <w:rFonts w:ascii="Arial" w:hAnsi="Arial" w:cs="Arial"/>
          <w:sz w:val="20"/>
          <w:szCs w:val="20"/>
          <w:lang w:eastAsia="pt-BR"/>
        </w:rPr>
        <w:t xml:space="preserve">, included five studies with only one evaluating </w:t>
      </w:r>
      <w:r w:rsidRPr="008625F9">
        <w:rPr>
          <w:rFonts w:ascii="Arial" w:hAnsi="Arial" w:cs="Arial"/>
          <w:sz w:val="20"/>
          <w:szCs w:val="20"/>
          <w:lang w:eastAsia="pt-BR"/>
        </w:rPr>
        <w:t xml:space="preserve">academic </w:t>
      </w:r>
      <w:proofErr w:type="spellStart"/>
      <w:r w:rsidRPr="008625F9">
        <w:rPr>
          <w:rFonts w:ascii="Arial" w:hAnsi="Arial" w:cs="Arial"/>
          <w:sz w:val="20"/>
          <w:szCs w:val="20"/>
          <w:lang w:eastAsia="pt-BR"/>
        </w:rPr>
        <w:t>detailing</w:t>
      </w:r>
      <w:r w:rsidR="00771B05" w:rsidRPr="008625F9">
        <w:rPr>
          <w:rFonts w:ascii="Arial" w:hAnsi="Arial" w:cs="Arial"/>
          <w:sz w:val="20"/>
          <w:szCs w:val="20"/>
          <w:lang w:eastAsia="pt-BR"/>
        </w:rPr>
        <w:t>.This</w:t>
      </w:r>
      <w:proofErr w:type="spellEnd"/>
      <w:r w:rsidR="00771B05" w:rsidRPr="008625F9">
        <w:rPr>
          <w:rFonts w:ascii="Arial" w:hAnsi="Arial" w:cs="Arial"/>
          <w:sz w:val="20"/>
          <w:szCs w:val="20"/>
          <w:lang w:eastAsia="pt-BR"/>
        </w:rPr>
        <w:t xml:space="preserve"> review</w:t>
      </w:r>
      <w:r w:rsidR="00586B17" w:rsidRPr="008625F9">
        <w:rPr>
          <w:rFonts w:ascii="Arial" w:hAnsi="Arial" w:cs="Arial"/>
          <w:sz w:val="20"/>
          <w:szCs w:val="20"/>
          <w:lang w:eastAsia="pt-BR"/>
        </w:rPr>
        <w:t xml:space="preserve"> concluded that </w:t>
      </w:r>
      <w:r w:rsidRPr="008625F9">
        <w:rPr>
          <w:rFonts w:ascii="Arial" w:hAnsi="Arial" w:cs="Arial"/>
          <w:sz w:val="20"/>
          <w:szCs w:val="20"/>
          <w:lang w:eastAsia="pt-BR"/>
        </w:rPr>
        <w:t>academic detailing</w:t>
      </w:r>
      <w:r w:rsidR="00586B17" w:rsidRPr="008625F9">
        <w:rPr>
          <w:rFonts w:ascii="Arial" w:hAnsi="Arial" w:cs="Arial"/>
          <w:sz w:val="20"/>
          <w:szCs w:val="20"/>
          <w:lang w:eastAsia="pt-BR"/>
        </w:rPr>
        <w:t xml:space="preserve"> was not effective in reducing antipsychotic co-prescribing in schizophrenia outpatients </w:t>
      </w:r>
      <w:r w:rsidR="00586B17" w:rsidRPr="008625F9">
        <w:rPr>
          <w:rFonts w:ascii="Arial" w:hAnsi="Arial" w:cs="Arial"/>
          <w:noProof/>
          <w:sz w:val="20"/>
          <w:szCs w:val="20"/>
          <w:lang w:eastAsia="pt-BR"/>
        </w:rPr>
        <w:t>(29)</w:t>
      </w:r>
      <w:r w:rsidR="00586B17" w:rsidRPr="008625F9">
        <w:rPr>
          <w:rFonts w:ascii="Arial" w:hAnsi="Arial" w:cs="Arial"/>
          <w:sz w:val="20"/>
          <w:szCs w:val="20"/>
          <w:lang w:eastAsia="pt-BR"/>
        </w:rPr>
        <w:t xml:space="preserve">. </w:t>
      </w:r>
    </w:p>
    <w:p w:rsidR="00586B17" w:rsidRPr="008625F9" w:rsidRDefault="00586B17" w:rsidP="003F2483">
      <w:pPr>
        <w:autoSpaceDE w:val="0"/>
        <w:autoSpaceDN w:val="0"/>
        <w:adjustRightInd w:val="0"/>
        <w:spacing w:after="0" w:line="360" w:lineRule="auto"/>
        <w:rPr>
          <w:rFonts w:ascii="Arial" w:hAnsi="Arial" w:cs="Arial"/>
          <w:sz w:val="20"/>
          <w:szCs w:val="20"/>
          <w:lang w:eastAsia="pt-BR"/>
        </w:rPr>
      </w:pPr>
      <w:r w:rsidRPr="008625F9">
        <w:rPr>
          <w:rFonts w:ascii="Arial" w:hAnsi="Arial" w:cs="Arial"/>
          <w:sz w:val="20"/>
          <w:szCs w:val="20"/>
          <w:lang w:eastAsia="pt-BR"/>
        </w:rPr>
        <w:lastRenderedPageBreak/>
        <w:t>On the other hand, Kahn and colleagues</w:t>
      </w:r>
      <w:r w:rsidR="009008C6" w:rsidRPr="008625F9">
        <w:rPr>
          <w:rFonts w:ascii="Arial" w:hAnsi="Arial" w:cs="Arial"/>
          <w:sz w:val="20"/>
          <w:szCs w:val="20"/>
          <w:lang w:eastAsia="pt-BR"/>
        </w:rPr>
        <w:t xml:space="preserve"> </w:t>
      </w:r>
      <w:r w:rsidRPr="008625F9">
        <w:rPr>
          <w:rFonts w:ascii="Arial" w:hAnsi="Arial" w:cs="Arial"/>
          <w:noProof/>
          <w:sz w:val="20"/>
          <w:szCs w:val="20"/>
          <w:lang w:eastAsia="pt-BR"/>
        </w:rPr>
        <w:t>(30)</w:t>
      </w:r>
      <w:r w:rsidRPr="008625F9">
        <w:rPr>
          <w:rFonts w:ascii="Arial" w:hAnsi="Arial" w:cs="Arial"/>
          <w:sz w:val="20"/>
          <w:szCs w:val="20"/>
          <w:lang w:eastAsia="pt-BR"/>
        </w:rPr>
        <w:t xml:space="preserve"> analyzed 54 studies and observed that education, alerts and multifaceted interventions were associated with statistically significant increases in the prescribing of appropriate </w:t>
      </w:r>
      <w:proofErr w:type="spellStart"/>
      <w:r w:rsidRPr="008625F9">
        <w:rPr>
          <w:rFonts w:ascii="Arial" w:hAnsi="Arial" w:cs="Arial"/>
          <w:sz w:val="20"/>
          <w:szCs w:val="20"/>
          <w:lang w:eastAsia="pt-BR"/>
        </w:rPr>
        <w:t>thromboprophylaxis</w:t>
      </w:r>
      <w:proofErr w:type="spellEnd"/>
      <w:r w:rsidRPr="008625F9">
        <w:rPr>
          <w:rFonts w:ascii="Arial" w:hAnsi="Arial" w:cs="Arial"/>
          <w:sz w:val="20"/>
          <w:szCs w:val="20"/>
          <w:lang w:eastAsia="pt-BR"/>
        </w:rPr>
        <w:t xml:space="preserve"> in hospitalized medical and surgical patients. In addition, multifaceted interventions were associated with statistically significant increases in </w:t>
      </w:r>
      <w:r w:rsidR="009008C6" w:rsidRPr="008625F9">
        <w:rPr>
          <w:rFonts w:ascii="Arial" w:hAnsi="Arial" w:cs="Arial"/>
          <w:sz w:val="20"/>
          <w:szCs w:val="20"/>
          <w:lang w:eastAsia="pt-BR"/>
        </w:rPr>
        <w:t xml:space="preserve">the </w:t>
      </w:r>
      <w:r w:rsidRPr="008625F9">
        <w:rPr>
          <w:rFonts w:ascii="Arial" w:hAnsi="Arial" w:cs="Arial"/>
          <w:sz w:val="20"/>
          <w:szCs w:val="20"/>
          <w:lang w:eastAsia="pt-BR"/>
        </w:rPr>
        <w:t xml:space="preserve">prescription of any prophylaxis. </w:t>
      </w:r>
    </w:p>
    <w:p w:rsidR="00586B17" w:rsidRPr="008625F9" w:rsidRDefault="00586B17" w:rsidP="003F2483">
      <w:pPr>
        <w:autoSpaceDE w:val="0"/>
        <w:autoSpaceDN w:val="0"/>
        <w:adjustRightInd w:val="0"/>
        <w:spacing w:before="240" w:after="0" w:line="360" w:lineRule="auto"/>
        <w:rPr>
          <w:rFonts w:ascii="Arial" w:hAnsi="Arial" w:cs="Arial"/>
          <w:sz w:val="20"/>
          <w:szCs w:val="20"/>
          <w:lang w:eastAsia="pt-BR"/>
        </w:rPr>
      </w:pPr>
      <w:r w:rsidRPr="008625F9">
        <w:rPr>
          <w:rFonts w:ascii="Arial" w:hAnsi="Arial" w:cs="Arial"/>
          <w:sz w:val="20"/>
          <w:szCs w:val="20"/>
          <w:lang w:eastAsia="pt-BR"/>
        </w:rPr>
        <w:t xml:space="preserve">In Brazil, Silva and </w:t>
      </w:r>
      <w:proofErr w:type="gramStart"/>
      <w:r w:rsidRPr="008625F9">
        <w:rPr>
          <w:rFonts w:ascii="Arial" w:hAnsi="Arial" w:cs="Arial"/>
          <w:sz w:val="20"/>
          <w:szCs w:val="20"/>
          <w:lang w:eastAsia="pt-BR"/>
        </w:rPr>
        <w:t>colleagues</w:t>
      </w:r>
      <w:r w:rsidRPr="008625F9">
        <w:rPr>
          <w:rFonts w:ascii="Arial" w:hAnsi="Arial" w:cs="Arial"/>
          <w:noProof/>
          <w:sz w:val="20"/>
          <w:szCs w:val="20"/>
          <w:lang w:eastAsia="pt-BR"/>
        </w:rPr>
        <w:t>(</w:t>
      </w:r>
      <w:proofErr w:type="gramEnd"/>
      <w:r w:rsidRPr="008625F9">
        <w:rPr>
          <w:rFonts w:ascii="Arial" w:hAnsi="Arial" w:cs="Arial"/>
          <w:noProof/>
          <w:sz w:val="20"/>
          <w:szCs w:val="20"/>
          <w:lang w:eastAsia="pt-BR"/>
        </w:rPr>
        <w:t>31)</w:t>
      </w:r>
      <w:r w:rsidRPr="008625F9">
        <w:rPr>
          <w:rFonts w:ascii="Arial" w:hAnsi="Arial" w:cs="Arial"/>
          <w:sz w:val="20"/>
          <w:szCs w:val="20"/>
          <w:lang w:eastAsia="pt-BR"/>
        </w:rPr>
        <w:t xml:space="preserve"> conducted a randomized controlled clinical trial to evaluate the usefulness of academic detailing with increasing pre-natal Group B Streptococcus screening in a hospital, in accordance to a Clinical Guideline. They found that the physicians who received academic detailing had </w:t>
      </w:r>
      <w:r w:rsidR="009008C6" w:rsidRPr="008625F9">
        <w:rPr>
          <w:rFonts w:ascii="Arial" w:hAnsi="Arial" w:cs="Arial"/>
          <w:sz w:val="20"/>
          <w:szCs w:val="20"/>
          <w:lang w:eastAsia="pt-BR"/>
        </w:rPr>
        <w:t xml:space="preserve">a </w:t>
      </w:r>
      <w:r w:rsidRPr="008625F9">
        <w:rPr>
          <w:rFonts w:ascii="Arial" w:hAnsi="Arial" w:cs="Arial"/>
          <w:sz w:val="20"/>
          <w:szCs w:val="20"/>
          <w:lang w:eastAsia="pt-BR"/>
        </w:rPr>
        <w:t>higher proportion of women screened compared to physicians receiving direct mailing or physicians who did not receive any intervention.</w:t>
      </w:r>
    </w:p>
    <w:p w:rsidR="00586B17" w:rsidRPr="008625F9" w:rsidRDefault="00586B17" w:rsidP="003F2483">
      <w:pPr>
        <w:autoSpaceDE w:val="0"/>
        <w:autoSpaceDN w:val="0"/>
        <w:adjustRightInd w:val="0"/>
        <w:spacing w:after="0"/>
        <w:rPr>
          <w:rFonts w:ascii="Arial" w:hAnsi="Arial" w:cs="Arial"/>
          <w:sz w:val="20"/>
          <w:szCs w:val="20"/>
          <w:lang w:eastAsia="pt-BR"/>
        </w:rPr>
      </w:pPr>
    </w:p>
    <w:p w:rsidR="00586B17" w:rsidRPr="008625F9" w:rsidRDefault="00586B17" w:rsidP="003F2483">
      <w:pPr>
        <w:pStyle w:val="ListParagraph"/>
        <w:numPr>
          <w:ilvl w:val="0"/>
          <w:numId w:val="1"/>
        </w:numPr>
        <w:rPr>
          <w:rFonts w:ascii="Arial" w:hAnsi="Arial" w:cs="Arial"/>
          <w:b/>
          <w:i/>
          <w:sz w:val="20"/>
          <w:szCs w:val="20"/>
        </w:rPr>
      </w:pPr>
      <w:r w:rsidRPr="008625F9">
        <w:rPr>
          <w:rFonts w:ascii="Arial" w:hAnsi="Arial" w:cs="Arial"/>
          <w:b/>
          <w:i/>
          <w:sz w:val="20"/>
          <w:szCs w:val="20"/>
        </w:rPr>
        <w:t xml:space="preserve">International experiences with academic detailing </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There are reports of academic detailing initiatives worldwide. However, only a few countries have large-scale experience</w:t>
      </w:r>
      <w:r w:rsidR="009008C6" w:rsidRPr="008625F9">
        <w:rPr>
          <w:rFonts w:ascii="Arial" w:hAnsi="Arial" w:cs="Arial"/>
          <w:sz w:val="20"/>
          <w:szCs w:val="20"/>
        </w:rPr>
        <w:t>s</w:t>
      </w:r>
      <w:r w:rsidRPr="008625F9">
        <w:rPr>
          <w:rFonts w:ascii="Arial" w:hAnsi="Arial" w:cs="Arial"/>
          <w:sz w:val="20"/>
          <w:szCs w:val="20"/>
        </w:rPr>
        <w:t xml:space="preserve"> in developing and maintaining permanent </w:t>
      </w:r>
      <w:r w:rsidR="009008C6" w:rsidRPr="008625F9">
        <w:rPr>
          <w:rFonts w:ascii="Arial" w:hAnsi="Arial" w:cs="Arial"/>
          <w:sz w:val="20"/>
          <w:szCs w:val="20"/>
        </w:rPr>
        <w:t>academic</w:t>
      </w:r>
      <w:r w:rsidRPr="008625F9">
        <w:rPr>
          <w:rFonts w:ascii="Arial" w:hAnsi="Arial" w:cs="Arial"/>
          <w:sz w:val="20"/>
          <w:szCs w:val="20"/>
        </w:rPr>
        <w:t xml:space="preserve"> Programs. A summary of the experiences with </w:t>
      </w:r>
      <w:r w:rsidR="003D26ED" w:rsidRPr="008625F9">
        <w:rPr>
          <w:rFonts w:ascii="Arial" w:hAnsi="Arial" w:cs="Arial"/>
          <w:sz w:val="20"/>
          <w:szCs w:val="20"/>
        </w:rPr>
        <w:t>academic detailing</w:t>
      </w:r>
      <w:r w:rsidRPr="008625F9">
        <w:rPr>
          <w:rFonts w:ascii="Arial" w:hAnsi="Arial" w:cs="Arial"/>
          <w:sz w:val="20"/>
          <w:szCs w:val="20"/>
        </w:rPr>
        <w:t xml:space="preserve"> and the structure of the programs of Australia, United States and Canada are shown in Table 2. These findings helped formulate the structure </w:t>
      </w:r>
      <w:r w:rsidR="00FE3256" w:rsidRPr="008625F9">
        <w:rPr>
          <w:rFonts w:ascii="Arial" w:hAnsi="Arial" w:cs="Arial"/>
          <w:sz w:val="20"/>
          <w:szCs w:val="20"/>
        </w:rPr>
        <w:t xml:space="preserve">of the </w:t>
      </w:r>
      <w:r w:rsidRPr="008625F9">
        <w:rPr>
          <w:rFonts w:ascii="Arial" w:hAnsi="Arial" w:cs="Arial"/>
          <w:sz w:val="20"/>
          <w:szCs w:val="20"/>
        </w:rPr>
        <w:t xml:space="preserve">pilot </w:t>
      </w:r>
      <w:proofErr w:type="spellStart"/>
      <w:r w:rsidRPr="008625F9">
        <w:rPr>
          <w:rFonts w:ascii="Arial" w:hAnsi="Arial" w:cs="Arial"/>
          <w:sz w:val="20"/>
          <w:szCs w:val="20"/>
        </w:rPr>
        <w:t>programme</w:t>
      </w:r>
      <w:proofErr w:type="spellEnd"/>
      <w:r w:rsidRPr="008625F9">
        <w:rPr>
          <w:rFonts w:ascii="Arial" w:hAnsi="Arial" w:cs="Arial"/>
          <w:sz w:val="20"/>
          <w:szCs w:val="20"/>
        </w:rPr>
        <w:t xml:space="preserve"> in Brazil (below).</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A</w:t>
      </w:r>
      <w:r w:rsidR="00AF5335" w:rsidRPr="008625F9">
        <w:rPr>
          <w:rFonts w:ascii="Arial" w:hAnsi="Arial" w:cs="Arial"/>
          <w:sz w:val="20"/>
          <w:szCs w:val="20"/>
        </w:rPr>
        <w:t>ca</w:t>
      </w:r>
      <w:r w:rsidR="00FE3256" w:rsidRPr="008625F9">
        <w:rPr>
          <w:rFonts w:ascii="Arial" w:hAnsi="Arial" w:cs="Arial"/>
          <w:sz w:val="20"/>
          <w:szCs w:val="20"/>
        </w:rPr>
        <w:t>demic detailing</w:t>
      </w:r>
      <w:r w:rsidRPr="008625F9">
        <w:rPr>
          <w:rFonts w:ascii="Arial" w:hAnsi="Arial" w:cs="Arial"/>
          <w:sz w:val="20"/>
          <w:szCs w:val="20"/>
        </w:rPr>
        <w:t xml:space="preserve"> combined with other interventions, including regular prescribing feedback and financial incentives, have also enhanced physician adherence to a limited list of pharmaceuticals in Stockholm, Sweden – the ‘Wise List’</w:t>
      </w:r>
      <w:r w:rsidR="00CF4A4C" w:rsidRPr="008625F9">
        <w:rPr>
          <w:rFonts w:ascii="Arial" w:hAnsi="Arial" w:cs="Arial"/>
          <w:sz w:val="20"/>
          <w:szCs w:val="20"/>
        </w:rPr>
        <w:t xml:space="preserve"> </w:t>
      </w:r>
      <w:r w:rsidRPr="008625F9">
        <w:rPr>
          <w:rFonts w:ascii="Arial" w:hAnsi="Arial" w:cs="Arial"/>
          <w:noProof/>
          <w:sz w:val="20"/>
          <w:szCs w:val="20"/>
        </w:rPr>
        <w:t>(7, 32)</w:t>
      </w:r>
      <w:r w:rsidRPr="008625F9">
        <w:rPr>
          <w:rFonts w:ascii="Arial" w:hAnsi="Arial" w:cs="Arial"/>
          <w:sz w:val="20"/>
          <w:szCs w:val="20"/>
        </w:rPr>
        <w:t xml:space="preserve">. </w:t>
      </w:r>
    </w:p>
    <w:p w:rsidR="000F6588" w:rsidRPr="008625F9" w:rsidRDefault="000F6588" w:rsidP="000F6588">
      <w:pPr>
        <w:spacing w:after="0"/>
        <w:rPr>
          <w:rFonts w:ascii="Arial" w:hAnsi="Arial" w:cs="Arial"/>
          <w:bCs/>
          <w:sz w:val="20"/>
          <w:szCs w:val="20"/>
        </w:rPr>
      </w:pPr>
      <w:r w:rsidRPr="008625F9">
        <w:rPr>
          <w:rFonts w:ascii="Arial" w:hAnsi="Arial" w:cs="Arial"/>
          <w:sz w:val="20"/>
          <w:szCs w:val="20"/>
          <w:lang w:eastAsia="pt-BR"/>
        </w:rPr>
        <w:t>Table 2: Selected Experiences with Academic Detailing worldwide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428"/>
        <w:gridCol w:w="2679"/>
        <w:gridCol w:w="2015"/>
        <w:gridCol w:w="2598"/>
      </w:tblGrid>
      <w:tr w:rsidR="000F6588" w:rsidRPr="001973BA" w:rsidTr="00454292">
        <w:trPr>
          <w:trHeight w:val="456"/>
        </w:trPr>
        <w:tc>
          <w:tcPr>
            <w:tcW w:w="814" w:type="pct"/>
            <w:shd w:val="clear" w:color="auto" w:fill="auto"/>
          </w:tcPr>
          <w:p w:rsidR="000F6588" w:rsidRPr="001973BA" w:rsidRDefault="000F6588" w:rsidP="00454292">
            <w:pPr>
              <w:spacing w:after="0" w:line="240" w:lineRule="auto"/>
              <w:rPr>
                <w:rFonts w:ascii="Arial" w:hAnsi="Arial" w:cs="Arial"/>
                <w:sz w:val="20"/>
                <w:szCs w:val="20"/>
                <w:lang w:eastAsia="pt-BR"/>
              </w:rPr>
            </w:pPr>
          </w:p>
        </w:tc>
        <w:tc>
          <w:tcPr>
            <w:tcW w:w="1538" w:type="pct"/>
            <w:shd w:val="clear" w:color="auto" w:fill="auto"/>
          </w:tcPr>
          <w:p w:rsidR="000F6588" w:rsidRPr="001973BA" w:rsidRDefault="000F6588" w:rsidP="00454292">
            <w:pPr>
              <w:spacing w:after="0" w:line="240" w:lineRule="auto"/>
              <w:rPr>
                <w:rFonts w:ascii="Arial" w:hAnsi="Arial" w:cs="Arial"/>
                <w:b/>
                <w:sz w:val="20"/>
                <w:szCs w:val="20"/>
                <w:lang w:eastAsia="pt-BR"/>
              </w:rPr>
            </w:pPr>
            <w:r w:rsidRPr="001973BA">
              <w:rPr>
                <w:rFonts w:ascii="Arial" w:hAnsi="Arial" w:cs="Arial"/>
                <w:b/>
                <w:sz w:val="20"/>
                <w:szCs w:val="20"/>
                <w:lang w:eastAsia="pt-BR"/>
              </w:rPr>
              <w:t>NPS MedicineWise</w:t>
            </w:r>
          </w:p>
        </w:tc>
        <w:tc>
          <w:tcPr>
            <w:tcW w:w="1157" w:type="pct"/>
            <w:shd w:val="clear" w:color="auto" w:fill="auto"/>
          </w:tcPr>
          <w:p w:rsidR="000F6588" w:rsidRPr="001973BA" w:rsidRDefault="000F6588" w:rsidP="00454292">
            <w:pPr>
              <w:spacing w:after="0" w:line="240" w:lineRule="auto"/>
              <w:rPr>
                <w:rFonts w:ascii="Arial" w:hAnsi="Arial" w:cs="Arial"/>
                <w:b/>
                <w:sz w:val="20"/>
                <w:szCs w:val="20"/>
                <w:lang w:eastAsia="pt-BR"/>
              </w:rPr>
            </w:pPr>
            <w:r w:rsidRPr="001973BA">
              <w:rPr>
                <w:rFonts w:ascii="Arial" w:hAnsi="Arial" w:cs="Arial"/>
                <w:b/>
                <w:sz w:val="20"/>
                <w:szCs w:val="20"/>
                <w:lang w:eastAsia="pt-BR"/>
              </w:rPr>
              <w:t xml:space="preserve">National Resource Center for Academic Detailing </w:t>
            </w:r>
            <w:r>
              <w:rPr>
                <w:rFonts w:ascii="Arial" w:hAnsi="Arial" w:cs="Arial"/>
                <w:b/>
                <w:sz w:val="20"/>
                <w:szCs w:val="20"/>
                <w:lang w:eastAsia="pt-BR"/>
              </w:rPr>
              <w:t>(</w:t>
            </w:r>
            <w:proofErr w:type="spellStart"/>
            <w:r>
              <w:rPr>
                <w:rFonts w:ascii="Arial" w:hAnsi="Arial" w:cs="Arial"/>
                <w:b/>
                <w:sz w:val="20"/>
                <w:szCs w:val="20"/>
                <w:lang w:eastAsia="pt-BR"/>
              </w:rPr>
              <w:t>NaRCAD</w:t>
            </w:r>
            <w:proofErr w:type="spellEnd"/>
            <w:r>
              <w:rPr>
                <w:rFonts w:ascii="Arial" w:hAnsi="Arial" w:cs="Arial"/>
                <w:b/>
                <w:sz w:val="20"/>
                <w:szCs w:val="20"/>
                <w:lang w:eastAsia="pt-BR"/>
              </w:rPr>
              <w:t>)</w:t>
            </w:r>
          </w:p>
        </w:tc>
        <w:tc>
          <w:tcPr>
            <w:tcW w:w="1491" w:type="pct"/>
            <w:shd w:val="clear" w:color="auto" w:fill="auto"/>
          </w:tcPr>
          <w:p w:rsidR="000F6588" w:rsidRPr="001973BA" w:rsidRDefault="000F6588" w:rsidP="00454292">
            <w:pPr>
              <w:spacing w:after="0" w:line="240" w:lineRule="auto"/>
              <w:rPr>
                <w:rFonts w:ascii="Arial" w:hAnsi="Arial" w:cs="Arial"/>
                <w:b/>
                <w:sz w:val="20"/>
                <w:szCs w:val="20"/>
                <w:lang w:eastAsia="pt-BR"/>
              </w:rPr>
            </w:pPr>
            <w:r w:rsidRPr="001973BA">
              <w:rPr>
                <w:rFonts w:ascii="Arial" w:hAnsi="Arial" w:cs="Arial"/>
                <w:b/>
                <w:sz w:val="20"/>
                <w:szCs w:val="20"/>
                <w:lang w:eastAsia="pt-BR"/>
              </w:rPr>
              <w:t>Canadian Academic Detailing Collaboration</w:t>
            </w:r>
          </w:p>
        </w:tc>
      </w:tr>
      <w:tr w:rsidR="000F6588" w:rsidRPr="001973BA" w:rsidTr="00454292">
        <w:tc>
          <w:tcPr>
            <w:tcW w:w="814"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b/>
                <w:sz w:val="20"/>
                <w:szCs w:val="20"/>
                <w:lang w:eastAsia="pt-BR"/>
              </w:rPr>
              <w:t>Context</w:t>
            </w:r>
          </w:p>
        </w:tc>
        <w:tc>
          <w:tcPr>
            <w:tcW w:w="1538"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Implemented by NPS MedicineWise, an in</w:t>
            </w:r>
            <w:r>
              <w:rPr>
                <w:rFonts w:ascii="Arial" w:hAnsi="Arial" w:cs="Arial"/>
                <w:sz w:val="20"/>
                <w:szCs w:val="20"/>
                <w:lang w:eastAsia="pt-BR"/>
              </w:rPr>
              <w:t>dependent not-for-profit organiz</w:t>
            </w:r>
            <w:r w:rsidRPr="001973BA">
              <w:rPr>
                <w:rFonts w:ascii="Arial" w:hAnsi="Arial" w:cs="Arial"/>
                <w:sz w:val="20"/>
                <w:szCs w:val="20"/>
                <w:lang w:eastAsia="pt-BR"/>
              </w:rPr>
              <w:t xml:space="preserve">ation. Programs funded by the Australian Government Department of Health. </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b/>
                <w:sz w:val="20"/>
                <w:szCs w:val="20"/>
                <w:lang w:eastAsia="pt-BR"/>
              </w:rPr>
              <w:t xml:space="preserve">Spend </w:t>
            </w:r>
            <w:r w:rsidR="008625F9">
              <w:rPr>
                <w:rFonts w:ascii="Arial" w:hAnsi="Arial" w:cs="Arial"/>
                <w:b/>
                <w:sz w:val="20"/>
                <w:szCs w:val="20"/>
                <w:lang w:eastAsia="pt-BR"/>
              </w:rPr>
              <w:t>on</w:t>
            </w:r>
            <w:r w:rsidRPr="001973BA">
              <w:rPr>
                <w:rFonts w:ascii="Arial" w:hAnsi="Arial" w:cs="Arial"/>
                <w:b/>
                <w:sz w:val="20"/>
                <w:szCs w:val="20"/>
                <w:lang w:eastAsia="pt-BR"/>
              </w:rPr>
              <w:t xml:space="preserve"> </w:t>
            </w:r>
            <w:r w:rsidR="008625F9">
              <w:rPr>
                <w:rFonts w:ascii="Arial" w:hAnsi="Arial" w:cs="Arial"/>
                <w:b/>
                <w:sz w:val="20"/>
                <w:szCs w:val="20"/>
                <w:lang w:eastAsia="pt-BR"/>
              </w:rPr>
              <w:t>medicines</w:t>
            </w:r>
            <w:r w:rsidRPr="001973BA">
              <w:rPr>
                <w:rFonts w:ascii="Arial" w:hAnsi="Arial" w:cs="Arial"/>
                <w:b/>
                <w:sz w:val="20"/>
                <w:szCs w:val="20"/>
                <w:lang w:eastAsia="pt-BR"/>
              </w:rPr>
              <w:t>:</w:t>
            </w:r>
            <w:r w:rsidRPr="001973BA">
              <w:rPr>
                <w:rFonts w:ascii="Arial" w:hAnsi="Arial" w:cs="Arial"/>
                <w:sz w:val="20"/>
                <w:szCs w:val="20"/>
                <w:lang w:eastAsia="pt-BR"/>
              </w:rPr>
              <w:t xml:space="preserve"> </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Department of Health spend on drugs: AU$9.15 billion on 209.8 million prescriptions dispen</w:t>
            </w:r>
            <w:r>
              <w:rPr>
                <w:rFonts w:ascii="Arial" w:hAnsi="Arial" w:cs="Arial"/>
                <w:sz w:val="20"/>
                <w:szCs w:val="20"/>
                <w:lang w:eastAsia="pt-BR"/>
              </w:rPr>
              <w:t>sed in year ending 30 June 2014 (34)</w:t>
            </w:r>
          </w:p>
        </w:tc>
        <w:tc>
          <w:tcPr>
            <w:tcW w:w="1157"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 xml:space="preserve">Through </w:t>
            </w:r>
            <w:r>
              <w:rPr>
                <w:rFonts w:ascii="Arial" w:hAnsi="Arial" w:cs="Arial"/>
                <w:sz w:val="20"/>
                <w:szCs w:val="20"/>
                <w:lang w:eastAsia="pt-BR"/>
              </w:rPr>
              <w:t xml:space="preserve">the </w:t>
            </w:r>
            <w:r w:rsidRPr="001973BA">
              <w:rPr>
                <w:rFonts w:ascii="Arial" w:hAnsi="Arial" w:cs="Arial"/>
                <w:sz w:val="20"/>
                <w:szCs w:val="20"/>
                <w:lang w:eastAsia="pt-BR"/>
              </w:rPr>
              <w:t>Agency for Healthcare Research and Quality (</w:t>
            </w:r>
            <w:hyperlink r:id="rId11" w:tgtFrame="_blank" w:tooltip="AHRQ" w:history="1">
              <w:r w:rsidRPr="001973BA">
                <w:rPr>
                  <w:rFonts w:ascii="Arial" w:hAnsi="Arial" w:cs="Arial"/>
                  <w:sz w:val="20"/>
                  <w:szCs w:val="20"/>
                  <w:lang w:eastAsia="pt-BR"/>
                </w:rPr>
                <w:t>AHRQ</w:t>
              </w:r>
            </w:hyperlink>
            <w:r w:rsidRPr="001973BA">
              <w:rPr>
                <w:rFonts w:ascii="Arial" w:hAnsi="Arial" w:cs="Arial"/>
                <w:sz w:val="20"/>
                <w:szCs w:val="20"/>
                <w:lang w:eastAsia="pt-BR"/>
              </w:rPr>
              <w:t>) Funded by the U.S Government Department of Health and Human Services</w:t>
            </w:r>
          </w:p>
        </w:tc>
        <w:tc>
          <w:tcPr>
            <w:tcW w:w="1491"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In partnership with the Dalhousie Office of Continuing Medical Education</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 xml:space="preserve">Funded by the Nova Scotia Department of Health </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b/>
                <w:sz w:val="20"/>
                <w:szCs w:val="20"/>
                <w:lang w:eastAsia="pt-BR"/>
              </w:rPr>
              <w:t>Spend</w:t>
            </w:r>
            <w:r w:rsidR="008625F9">
              <w:rPr>
                <w:rFonts w:ascii="Arial" w:hAnsi="Arial" w:cs="Arial"/>
                <w:sz w:val="20"/>
                <w:szCs w:val="20"/>
                <w:lang w:eastAsia="pt-BR"/>
              </w:rPr>
              <w:t xml:space="preserve"> </w:t>
            </w:r>
            <w:r w:rsidR="008625F9">
              <w:rPr>
                <w:rFonts w:ascii="Arial" w:hAnsi="Arial" w:cs="Arial"/>
                <w:b/>
                <w:sz w:val="20"/>
                <w:szCs w:val="20"/>
                <w:lang w:eastAsia="pt-BR"/>
              </w:rPr>
              <w:t>on medicines</w:t>
            </w:r>
            <w:r w:rsidRPr="001973BA">
              <w:rPr>
                <w:rFonts w:ascii="Arial" w:hAnsi="Arial" w:cs="Arial"/>
                <w:sz w:val="20"/>
                <w:szCs w:val="20"/>
                <w:lang w:eastAsia="pt-BR"/>
              </w:rPr>
              <w:t xml:space="preserve">: </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Canada spent $23.3 billion on 499.6 million prescriptions dispensed in 2010</w:t>
            </w:r>
            <w:r>
              <w:rPr>
                <w:rFonts w:ascii="Arial" w:hAnsi="Arial" w:cs="Arial"/>
                <w:sz w:val="20"/>
                <w:szCs w:val="20"/>
                <w:lang w:eastAsia="pt-BR"/>
              </w:rPr>
              <w:t xml:space="preserve"> (35)</w:t>
            </w:r>
          </w:p>
          <w:p w:rsidR="000F6588" w:rsidRPr="001973BA" w:rsidRDefault="000F6588" w:rsidP="00454292">
            <w:pPr>
              <w:spacing w:after="0" w:line="240" w:lineRule="auto"/>
              <w:rPr>
                <w:rFonts w:ascii="Arial" w:hAnsi="Arial" w:cs="Arial"/>
                <w:sz w:val="20"/>
                <w:szCs w:val="20"/>
                <w:lang w:eastAsia="pt-BR"/>
              </w:rPr>
            </w:pPr>
          </w:p>
        </w:tc>
      </w:tr>
      <w:tr w:rsidR="000F6588" w:rsidRPr="001973BA" w:rsidTr="00454292">
        <w:tc>
          <w:tcPr>
            <w:tcW w:w="814"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b/>
                <w:sz w:val="20"/>
                <w:szCs w:val="20"/>
                <w:lang w:eastAsia="pt-BR"/>
              </w:rPr>
              <w:t>Experience with AD</w:t>
            </w:r>
          </w:p>
        </w:tc>
        <w:tc>
          <w:tcPr>
            <w:tcW w:w="1538"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Between January 1999 and December 2013, NPS have delivered over 140,000 educational visits to GPs and GP registrars.</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At any time</w:t>
            </w:r>
            <w:r>
              <w:rPr>
                <w:rFonts w:ascii="Arial" w:hAnsi="Arial" w:cs="Arial"/>
                <w:sz w:val="20"/>
                <w:szCs w:val="20"/>
                <w:lang w:eastAsia="pt-BR"/>
              </w:rPr>
              <w:t xml:space="preserve"> </w:t>
            </w:r>
            <w:proofErr w:type="gramStart"/>
            <w:r w:rsidRPr="001973BA">
              <w:rPr>
                <w:rFonts w:ascii="Arial" w:hAnsi="Arial" w:cs="Arial"/>
                <w:sz w:val="20"/>
                <w:szCs w:val="20"/>
                <w:lang w:eastAsia="pt-BR"/>
              </w:rPr>
              <w:t>between 60-150</w:t>
            </w:r>
            <w:proofErr w:type="gramEnd"/>
            <w:r w:rsidRPr="001973BA">
              <w:rPr>
                <w:rFonts w:ascii="Arial" w:hAnsi="Arial" w:cs="Arial"/>
                <w:sz w:val="20"/>
                <w:szCs w:val="20"/>
                <w:lang w:eastAsia="pt-BR"/>
              </w:rPr>
              <w:t xml:space="preserve"> trained professional </w:t>
            </w:r>
            <w:r w:rsidRPr="001973BA">
              <w:rPr>
                <w:rFonts w:ascii="Arial" w:hAnsi="Arial" w:cs="Arial"/>
                <w:sz w:val="20"/>
                <w:szCs w:val="20"/>
                <w:lang w:eastAsia="pt-BR"/>
              </w:rPr>
              <w:lastRenderedPageBreak/>
              <w:t xml:space="preserve">detailers. </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Offer three programs each year focused on the quality of use of medicines and medical tests</w:t>
            </w:r>
            <w:r>
              <w:rPr>
                <w:rFonts w:ascii="Arial" w:hAnsi="Arial" w:cs="Arial"/>
                <w:sz w:val="20"/>
                <w:szCs w:val="20"/>
                <w:lang w:eastAsia="pt-BR"/>
              </w:rPr>
              <w:t>, with typically 50% of GPs participating</w:t>
            </w:r>
          </w:p>
        </w:tc>
        <w:tc>
          <w:tcPr>
            <w:tcW w:w="1157"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lastRenderedPageBreak/>
              <w:t>More than 130 professionals trained</w:t>
            </w:r>
            <w:r>
              <w:rPr>
                <w:rFonts w:ascii="Arial" w:hAnsi="Arial" w:cs="Arial"/>
                <w:sz w:val="20"/>
                <w:szCs w:val="20"/>
                <w:lang w:eastAsia="pt-BR"/>
              </w:rPr>
              <w:t xml:space="preserve"> since 2010</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 xml:space="preserve">Conducted 8 sessions of training in the principles and techniques of </w:t>
            </w:r>
            <w:r w:rsidRPr="001973BA">
              <w:rPr>
                <w:rFonts w:ascii="Arial" w:hAnsi="Arial" w:cs="Arial"/>
                <w:sz w:val="20"/>
                <w:szCs w:val="20"/>
                <w:lang w:eastAsia="pt-BR"/>
              </w:rPr>
              <w:lastRenderedPageBreak/>
              <w:t>Academic Detailing and a large number of outreach presentations</w:t>
            </w:r>
          </w:p>
        </w:tc>
        <w:tc>
          <w:tcPr>
            <w:tcW w:w="1491"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lastRenderedPageBreak/>
              <w:t>The five programs together have:</w:t>
            </w:r>
          </w:p>
          <w:p w:rsidR="000F6588" w:rsidRPr="008625F9" w:rsidRDefault="000F6588" w:rsidP="008625F9">
            <w:pPr>
              <w:pStyle w:val="ListParagraph"/>
              <w:numPr>
                <w:ilvl w:val="0"/>
                <w:numId w:val="1"/>
              </w:numPr>
              <w:spacing w:after="0" w:line="240" w:lineRule="auto"/>
              <w:rPr>
                <w:rFonts w:ascii="Arial" w:hAnsi="Arial" w:cs="Arial"/>
                <w:sz w:val="20"/>
                <w:szCs w:val="20"/>
                <w:lang w:eastAsia="pt-BR"/>
              </w:rPr>
            </w:pPr>
            <w:r w:rsidRPr="008625F9">
              <w:rPr>
                <w:rFonts w:ascii="Arial" w:hAnsi="Arial" w:cs="Arial"/>
                <w:sz w:val="20"/>
                <w:szCs w:val="20"/>
                <w:lang w:eastAsia="pt-BR"/>
              </w:rPr>
              <w:t>Task force of 10.2 Full Time Equivalent Academic Detailers</w:t>
            </w:r>
          </w:p>
          <w:p w:rsidR="008625F9" w:rsidRPr="008625F9" w:rsidRDefault="000F6588" w:rsidP="008625F9">
            <w:pPr>
              <w:pStyle w:val="ListParagraph"/>
              <w:numPr>
                <w:ilvl w:val="0"/>
                <w:numId w:val="1"/>
              </w:numPr>
              <w:spacing w:after="0" w:line="240" w:lineRule="auto"/>
              <w:rPr>
                <w:rFonts w:ascii="Arial" w:hAnsi="Arial" w:cs="Arial"/>
                <w:sz w:val="20"/>
                <w:szCs w:val="20"/>
                <w:lang w:eastAsia="pt-BR"/>
              </w:rPr>
            </w:pPr>
            <w:r w:rsidRPr="008625F9">
              <w:rPr>
                <w:rFonts w:ascii="Arial" w:hAnsi="Arial" w:cs="Arial"/>
                <w:sz w:val="20"/>
                <w:szCs w:val="20"/>
                <w:lang w:eastAsia="pt-BR"/>
              </w:rPr>
              <w:t xml:space="preserve">Each program delivers two to five topics per </w:t>
            </w:r>
            <w:r w:rsidRPr="008625F9">
              <w:rPr>
                <w:rFonts w:ascii="Arial" w:hAnsi="Arial" w:cs="Arial"/>
                <w:sz w:val="20"/>
                <w:szCs w:val="20"/>
                <w:lang w:eastAsia="pt-BR"/>
              </w:rPr>
              <w:lastRenderedPageBreak/>
              <w:t>year</w:t>
            </w:r>
          </w:p>
          <w:p w:rsidR="000F6588" w:rsidRPr="008625F9" w:rsidRDefault="000F6588" w:rsidP="008625F9">
            <w:pPr>
              <w:pStyle w:val="ListParagraph"/>
              <w:numPr>
                <w:ilvl w:val="0"/>
                <w:numId w:val="1"/>
              </w:numPr>
              <w:spacing w:after="0" w:line="240" w:lineRule="auto"/>
              <w:rPr>
                <w:rFonts w:ascii="Arial" w:hAnsi="Arial" w:cs="Arial"/>
                <w:sz w:val="20"/>
                <w:szCs w:val="20"/>
                <w:lang w:eastAsia="pt-BR"/>
              </w:rPr>
            </w:pPr>
            <w:r w:rsidRPr="008625F9">
              <w:rPr>
                <w:rFonts w:ascii="Arial" w:hAnsi="Arial" w:cs="Arial"/>
                <w:sz w:val="20"/>
                <w:szCs w:val="20"/>
                <w:lang w:eastAsia="pt-BR"/>
              </w:rPr>
              <w:t>Average of 1,000 doctors reached per topic</w:t>
            </w:r>
          </w:p>
          <w:p w:rsidR="000F6588" w:rsidRPr="001973BA" w:rsidRDefault="000F6588" w:rsidP="00454292">
            <w:pPr>
              <w:spacing w:after="0" w:line="240" w:lineRule="auto"/>
              <w:rPr>
                <w:rFonts w:ascii="Arial" w:hAnsi="Arial" w:cs="Arial"/>
                <w:sz w:val="20"/>
                <w:szCs w:val="20"/>
                <w:lang w:eastAsia="pt-BR"/>
              </w:rPr>
            </w:pPr>
          </w:p>
        </w:tc>
      </w:tr>
      <w:tr w:rsidR="000F6588" w:rsidRPr="001973BA" w:rsidTr="00454292">
        <w:tc>
          <w:tcPr>
            <w:tcW w:w="814"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b/>
                <w:sz w:val="20"/>
                <w:szCs w:val="20"/>
                <w:lang w:eastAsia="pt-BR"/>
              </w:rPr>
              <w:lastRenderedPageBreak/>
              <w:t>Therapeutic areas delivered</w:t>
            </w:r>
            <w:r>
              <w:rPr>
                <w:rFonts w:ascii="Arial" w:hAnsi="Arial" w:cs="Arial"/>
                <w:b/>
                <w:sz w:val="20"/>
                <w:szCs w:val="20"/>
                <w:lang w:eastAsia="pt-BR"/>
              </w:rPr>
              <w:t xml:space="preserve"> (in successive years)</w:t>
            </w:r>
          </w:p>
        </w:tc>
        <w:tc>
          <w:tcPr>
            <w:tcW w:w="1538" w:type="pct"/>
            <w:shd w:val="clear" w:color="auto" w:fill="auto"/>
          </w:tcPr>
          <w:p w:rsidR="000F6588" w:rsidRPr="001973BA" w:rsidRDefault="000F6588" w:rsidP="00454292">
            <w:pPr>
              <w:spacing w:after="0" w:line="240" w:lineRule="auto"/>
              <w:rPr>
                <w:rFonts w:ascii="Arial" w:hAnsi="Arial" w:cs="Arial"/>
                <w:sz w:val="20"/>
                <w:szCs w:val="20"/>
                <w:lang w:val="pt-BR" w:eastAsia="pt-BR"/>
              </w:rPr>
            </w:pPr>
            <w:r w:rsidRPr="001973BA">
              <w:rPr>
                <w:rFonts w:ascii="Arial" w:hAnsi="Arial" w:cs="Arial"/>
                <w:sz w:val="20"/>
                <w:szCs w:val="20"/>
                <w:lang w:val="pt-BR" w:eastAsia="pt-BR"/>
              </w:rPr>
              <w:t>Asthma; Dyslipidemia; Type 2 diabetes</w:t>
            </w:r>
          </w:p>
          <w:p w:rsidR="000F6588" w:rsidRPr="001973BA" w:rsidRDefault="000F6588" w:rsidP="00454292">
            <w:pPr>
              <w:spacing w:after="0" w:line="240" w:lineRule="auto"/>
              <w:rPr>
                <w:rFonts w:ascii="Arial" w:hAnsi="Arial" w:cs="Arial"/>
                <w:sz w:val="20"/>
                <w:szCs w:val="20"/>
                <w:lang w:val="pt-BR" w:eastAsia="pt-BR"/>
              </w:rPr>
            </w:pPr>
            <w:r w:rsidRPr="001973BA">
              <w:rPr>
                <w:rFonts w:ascii="Arial" w:hAnsi="Arial" w:cs="Arial"/>
                <w:sz w:val="20"/>
                <w:szCs w:val="20"/>
                <w:lang w:val="pt-BR" w:eastAsia="pt-BR"/>
              </w:rPr>
              <w:t>Hypertension; Osteoporosis; Antibiotics;</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Depression; Hormone replacement; Menopause; NSAID therapies; Heart failure; Antipsychotics;</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Dementia; Pain; Anticoagulants; Stroke</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COPD</w:t>
            </w:r>
          </w:p>
        </w:tc>
        <w:tc>
          <w:tcPr>
            <w:tcW w:w="1157"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Diabetes care; HIV screening; HIV prevention; safer use of prescription pain medication; increased vaccination for pregnant women; improved developmental screening in children; tobacco cessation; reduction of opioid overdoses; safer use of medications in nursing homes; cancer screening and many others</w:t>
            </w:r>
          </w:p>
        </w:tc>
        <w:tc>
          <w:tcPr>
            <w:tcW w:w="1491"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 xml:space="preserve">Atrial fibrillation; Statin update; Aggressive statin therapy; Hormonal contraception; Dyslipidemia; Pneumonia; Fluoroquinolones; Anti-infective guidelines; Parkinson`s treatment; Restless legs syndrome; Opioids in chronic non-malignant pain; Spironolactone in heart failure; Oral vitamin k; Transdermal fentanyl; Pitfalls in drug therapy; </w:t>
            </w:r>
            <w:proofErr w:type="spellStart"/>
            <w:r w:rsidRPr="001973BA">
              <w:rPr>
                <w:rFonts w:ascii="Arial" w:hAnsi="Arial" w:cs="Arial"/>
                <w:sz w:val="20"/>
                <w:szCs w:val="20"/>
                <w:lang w:eastAsia="pt-BR"/>
              </w:rPr>
              <w:t>Clopidogrel</w:t>
            </w:r>
            <w:proofErr w:type="spellEnd"/>
            <w:r w:rsidRPr="001973BA">
              <w:rPr>
                <w:rFonts w:ascii="Arial" w:hAnsi="Arial" w:cs="Arial"/>
                <w:sz w:val="20"/>
                <w:szCs w:val="20"/>
                <w:lang w:eastAsia="pt-BR"/>
              </w:rPr>
              <w:t xml:space="preserve"> in acute coronary syndrome; Smoking cessation counselling</w:t>
            </w:r>
          </w:p>
        </w:tc>
      </w:tr>
      <w:tr w:rsidR="000F6588" w:rsidRPr="001973BA" w:rsidTr="00454292">
        <w:tc>
          <w:tcPr>
            <w:tcW w:w="814" w:type="pct"/>
            <w:shd w:val="clear" w:color="auto" w:fill="auto"/>
          </w:tcPr>
          <w:p w:rsidR="000F6588" w:rsidRPr="001973BA" w:rsidRDefault="000F6588" w:rsidP="00454292">
            <w:pPr>
              <w:spacing w:after="0" w:line="240" w:lineRule="auto"/>
              <w:rPr>
                <w:rFonts w:ascii="Arial" w:hAnsi="Arial" w:cs="Arial"/>
                <w:b/>
                <w:sz w:val="20"/>
                <w:szCs w:val="20"/>
                <w:lang w:eastAsia="pt-BR"/>
              </w:rPr>
            </w:pPr>
            <w:r w:rsidRPr="001973BA">
              <w:rPr>
                <w:rFonts w:ascii="Arial" w:hAnsi="Arial" w:cs="Arial"/>
                <w:b/>
                <w:sz w:val="20"/>
                <w:szCs w:val="20"/>
                <w:lang w:eastAsia="pt-BR"/>
              </w:rPr>
              <w:t>Participation in the programs</w:t>
            </w:r>
          </w:p>
        </w:tc>
        <w:tc>
          <w:tcPr>
            <w:tcW w:w="1538" w:type="pct"/>
            <w:shd w:val="clear" w:color="auto" w:fill="auto"/>
          </w:tcPr>
          <w:p w:rsidR="000F6588"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 xml:space="preserve">Free and voluntary </w:t>
            </w:r>
          </w:p>
          <w:p w:rsidR="000F6588" w:rsidRPr="001973BA" w:rsidRDefault="000F6588" w:rsidP="00454292">
            <w:pPr>
              <w:spacing w:after="0" w:line="240" w:lineRule="auto"/>
              <w:rPr>
                <w:rFonts w:ascii="Arial" w:hAnsi="Arial" w:cs="Arial"/>
                <w:sz w:val="20"/>
                <w:szCs w:val="20"/>
                <w:lang w:eastAsia="pt-BR"/>
              </w:rPr>
            </w:pPr>
            <w:r>
              <w:rPr>
                <w:rFonts w:ascii="Arial" w:hAnsi="Arial" w:cs="Arial"/>
                <w:sz w:val="20"/>
                <w:szCs w:val="20"/>
                <w:lang w:eastAsia="pt-BR"/>
              </w:rPr>
              <w:t>P</w:t>
            </w:r>
            <w:r w:rsidRPr="001973BA">
              <w:rPr>
                <w:rFonts w:ascii="Arial" w:hAnsi="Arial" w:cs="Arial"/>
                <w:sz w:val="20"/>
                <w:szCs w:val="20"/>
                <w:lang w:eastAsia="pt-BR"/>
              </w:rPr>
              <w:t>hysicians earn credits for Continuing Medical Education.</w:t>
            </w:r>
          </w:p>
        </w:tc>
        <w:tc>
          <w:tcPr>
            <w:tcW w:w="1157" w:type="pct"/>
            <w:shd w:val="clear" w:color="auto" w:fill="auto"/>
            <w:vAlign w:val="center"/>
          </w:tcPr>
          <w:p w:rsidR="000F6588" w:rsidRPr="001973BA" w:rsidRDefault="000F6588" w:rsidP="00454292">
            <w:pPr>
              <w:spacing w:after="0" w:line="240" w:lineRule="auto"/>
              <w:jc w:val="center"/>
              <w:rPr>
                <w:rFonts w:ascii="Arial" w:hAnsi="Arial" w:cs="Arial"/>
                <w:sz w:val="20"/>
                <w:szCs w:val="20"/>
                <w:lang w:eastAsia="pt-BR"/>
              </w:rPr>
            </w:pPr>
            <w:r w:rsidRPr="001973BA">
              <w:rPr>
                <w:rFonts w:ascii="Arial" w:hAnsi="Arial" w:cs="Arial"/>
                <w:sz w:val="20"/>
                <w:szCs w:val="20"/>
                <w:lang w:eastAsia="pt-BR"/>
              </w:rPr>
              <w:t>-</w:t>
            </w:r>
          </w:p>
        </w:tc>
        <w:tc>
          <w:tcPr>
            <w:tcW w:w="1491" w:type="pct"/>
            <w:shd w:val="clear" w:color="auto" w:fill="auto"/>
          </w:tcPr>
          <w:p w:rsidR="000F6588"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 xml:space="preserve">Free and voluntary </w:t>
            </w:r>
          </w:p>
          <w:p w:rsidR="000F6588" w:rsidRPr="001973BA" w:rsidRDefault="000F6588" w:rsidP="00454292">
            <w:pPr>
              <w:spacing w:after="0" w:line="240" w:lineRule="auto"/>
              <w:rPr>
                <w:rFonts w:ascii="Arial" w:hAnsi="Arial" w:cs="Arial"/>
                <w:sz w:val="20"/>
                <w:szCs w:val="20"/>
                <w:lang w:eastAsia="pt-BR"/>
              </w:rPr>
            </w:pPr>
            <w:r>
              <w:rPr>
                <w:rFonts w:ascii="Arial" w:hAnsi="Arial" w:cs="Arial"/>
                <w:sz w:val="20"/>
                <w:szCs w:val="20"/>
                <w:lang w:eastAsia="pt-BR"/>
              </w:rPr>
              <w:t>P</w:t>
            </w:r>
            <w:r w:rsidRPr="001973BA">
              <w:rPr>
                <w:rFonts w:ascii="Arial" w:hAnsi="Arial" w:cs="Arial"/>
                <w:sz w:val="20"/>
                <w:szCs w:val="20"/>
                <w:lang w:eastAsia="pt-BR"/>
              </w:rPr>
              <w:t>hysicians earn credits for Continuing Medical Education.</w:t>
            </w:r>
          </w:p>
        </w:tc>
      </w:tr>
      <w:tr w:rsidR="000F6588" w:rsidRPr="001973BA" w:rsidTr="00454292">
        <w:tc>
          <w:tcPr>
            <w:tcW w:w="814"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b/>
                <w:sz w:val="20"/>
                <w:szCs w:val="20"/>
                <w:lang w:eastAsia="pt-BR"/>
              </w:rPr>
              <w:t>Topics selection</w:t>
            </w:r>
          </w:p>
        </w:tc>
        <w:tc>
          <w:tcPr>
            <w:tcW w:w="1538"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Selected after broad formative research with: Expert advisory groups, key informant interviews, literature research, drug use data, surveys; drug adverse events and phone line inquiries</w:t>
            </w:r>
          </w:p>
        </w:tc>
        <w:tc>
          <w:tcPr>
            <w:tcW w:w="1157" w:type="pct"/>
            <w:shd w:val="clear" w:color="auto" w:fill="auto"/>
            <w:vAlign w:val="center"/>
          </w:tcPr>
          <w:p w:rsidR="000F6588" w:rsidRPr="001973BA" w:rsidRDefault="000F6588" w:rsidP="00454292">
            <w:pPr>
              <w:spacing w:after="0" w:line="240" w:lineRule="auto"/>
              <w:jc w:val="center"/>
              <w:rPr>
                <w:rFonts w:ascii="Arial" w:hAnsi="Arial" w:cs="Arial"/>
                <w:sz w:val="20"/>
                <w:szCs w:val="20"/>
                <w:lang w:eastAsia="pt-BR"/>
              </w:rPr>
            </w:pPr>
            <w:r w:rsidRPr="001973BA">
              <w:rPr>
                <w:rFonts w:ascii="Arial" w:hAnsi="Arial" w:cs="Arial"/>
                <w:sz w:val="20"/>
                <w:szCs w:val="20"/>
                <w:lang w:eastAsia="pt-BR"/>
              </w:rPr>
              <w:t>-</w:t>
            </w:r>
          </w:p>
        </w:tc>
        <w:tc>
          <w:tcPr>
            <w:tcW w:w="1491" w:type="pct"/>
            <w:shd w:val="clear" w:color="auto" w:fill="auto"/>
          </w:tcPr>
          <w:p w:rsidR="000F6588" w:rsidRPr="001973BA" w:rsidRDefault="000F6588" w:rsidP="00454292">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B</w:t>
            </w:r>
            <w:r w:rsidRPr="001973BA">
              <w:rPr>
                <w:rFonts w:ascii="Arial" w:hAnsi="Arial" w:cs="Arial"/>
                <w:sz w:val="20"/>
                <w:szCs w:val="20"/>
                <w:lang w:eastAsia="pt-BR"/>
              </w:rPr>
              <w:t>ased on physician surveys, practice gaps, current topics in the news</w:t>
            </w:r>
            <w:r>
              <w:rPr>
                <w:rFonts w:ascii="Arial" w:hAnsi="Arial" w:cs="Arial"/>
                <w:sz w:val="20"/>
                <w:szCs w:val="20"/>
                <w:lang w:eastAsia="pt-BR"/>
              </w:rPr>
              <w:t xml:space="preserve">, </w:t>
            </w:r>
            <w:r w:rsidRPr="001973BA">
              <w:rPr>
                <w:rFonts w:ascii="Arial" w:hAnsi="Arial" w:cs="Arial"/>
                <w:sz w:val="20"/>
                <w:szCs w:val="20"/>
                <w:lang w:eastAsia="pt-BR"/>
              </w:rPr>
              <w:t>suggestions from groups who identify practice gaps,  assessment of need, available educational and financial resources</w:t>
            </w:r>
          </w:p>
        </w:tc>
      </w:tr>
    </w:tbl>
    <w:p w:rsidR="000F6588" w:rsidRPr="000520FA" w:rsidRDefault="000F6588" w:rsidP="000F6588">
      <w:pPr>
        <w:pStyle w:val="NoSpacing"/>
        <w:rPr>
          <w:rFonts w:ascii="Arial" w:hAnsi="Arial" w:cs="Arial"/>
          <w:sz w:val="16"/>
          <w:szCs w:val="16"/>
          <w:lang w:eastAsia="pt-BR"/>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472"/>
        <w:gridCol w:w="2499"/>
        <w:gridCol w:w="2237"/>
        <w:gridCol w:w="2512"/>
      </w:tblGrid>
      <w:tr w:rsidR="000F6588" w:rsidRPr="001973BA" w:rsidTr="00454292">
        <w:tc>
          <w:tcPr>
            <w:tcW w:w="833" w:type="pct"/>
            <w:shd w:val="clear" w:color="auto" w:fill="auto"/>
          </w:tcPr>
          <w:p w:rsidR="000F6588" w:rsidRPr="001973BA" w:rsidRDefault="000F6588" w:rsidP="00454292">
            <w:pPr>
              <w:spacing w:after="0" w:line="240" w:lineRule="auto"/>
              <w:rPr>
                <w:rFonts w:ascii="Arial" w:hAnsi="Arial" w:cs="Arial"/>
                <w:b/>
                <w:sz w:val="20"/>
                <w:szCs w:val="20"/>
                <w:lang w:eastAsia="pt-BR"/>
              </w:rPr>
            </w:pPr>
            <w:r w:rsidRPr="001973BA">
              <w:rPr>
                <w:rFonts w:ascii="Arial" w:hAnsi="Arial" w:cs="Arial"/>
                <w:b/>
                <w:sz w:val="20"/>
                <w:szCs w:val="20"/>
                <w:lang w:eastAsia="pt-BR"/>
              </w:rPr>
              <w:t>Training</w:t>
            </w:r>
          </w:p>
        </w:tc>
        <w:tc>
          <w:tcPr>
            <w:tcW w:w="1437"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Three-day workshop: structure of the educational visit; building trust and credibility; barriers to communication; exploring values and believes; barriers and enablers, closure; using educational aids; handling challenging responses; putting all together; taking it back to workplace. Participants are filmed conducting an educational visit with a GP.</w:t>
            </w:r>
          </w:p>
        </w:tc>
        <w:tc>
          <w:tcPr>
            <w:tcW w:w="1286"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Two-day workshop: theory of Academic Detailing, principles of social marketing, evaluating clinical evidence, deconstructing an Academic Detailing call</w:t>
            </w:r>
            <w:r>
              <w:rPr>
                <w:rFonts w:ascii="Arial" w:hAnsi="Arial" w:cs="Arial"/>
                <w:sz w:val="20"/>
                <w:szCs w:val="20"/>
                <w:lang w:eastAsia="pt-BR"/>
              </w:rPr>
              <w:t xml:space="preserve"> including engaging clinicians and gaining commitment to </w:t>
            </w:r>
            <w:proofErr w:type="spellStart"/>
            <w:r>
              <w:rPr>
                <w:rFonts w:ascii="Arial" w:hAnsi="Arial" w:cs="Arial"/>
                <w:sz w:val="20"/>
                <w:szCs w:val="20"/>
                <w:lang w:eastAsia="pt-BR"/>
              </w:rPr>
              <w:t>behavioural</w:t>
            </w:r>
            <w:proofErr w:type="spellEnd"/>
            <w:r>
              <w:rPr>
                <w:rFonts w:ascii="Arial" w:hAnsi="Arial" w:cs="Arial"/>
                <w:sz w:val="20"/>
                <w:szCs w:val="20"/>
                <w:lang w:eastAsia="pt-BR"/>
              </w:rPr>
              <w:t xml:space="preserve"> change</w:t>
            </w:r>
            <w:r w:rsidRPr="001973BA">
              <w:rPr>
                <w:rFonts w:ascii="Arial" w:hAnsi="Arial" w:cs="Arial"/>
                <w:sz w:val="20"/>
                <w:szCs w:val="20"/>
                <w:lang w:eastAsia="pt-BR"/>
              </w:rPr>
              <w:t>, small group-practice, case-studies, evaluation of recorded detailing sessions with practice clinicians.</w:t>
            </w:r>
          </w:p>
        </w:tc>
        <w:tc>
          <w:tcPr>
            <w:tcW w:w="1444" w:type="pct"/>
            <w:shd w:val="clear" w:color="auto" w:fill="auto"/>
          </w:tcPr>
          <w:p w:rsidR="000F6588" w:rsidRPr="001973BA" w:rsidRDefault="000F6588" w:rsidP="00454292">
            <w:pPr>
              <w:autoSpaceDE w:val="0"/>
              <w:autoSpaceDN w:val="0"/>
              <w:adjustRightInd w:val="0"/>
              <w:spacing w:after="0" w:line="240" w:lineRule="auto"/>
              <w:rPr>
                <w:rFonts w:ascii="Arial" w:hAnsi="Arial" w:cs="Arial"/>
                <w:sz w:val="20"/>
                <w:szCs w:val="20"/>
                <w:lang w:eastAsia="pt-BR"/>
              </w:rPr>
            </w:pPr>
            <w:r w:rsidRPr="001973BA">
              <w:rPr>
                <w:rFonts w:ascii="Arial" w:hAnsi="Arial" w:cs="Arial"/>
                <w:sz w:val="20"/>
                <w:szCs w:val="20"/>
                <w:lang w:eastAsia="pt-BR"/>
              </w:rPr>
              <w:t>Training includes upskilling workshop and extensive self-study; qualitative and quantitative evaluation for each topic.</w:t>
            </w:r>
          </w:p>
          <w:p w:rsidR="000F6588" w:rsidRPr="001973BA" w:rsidRDefault="000F6588" w:rsidP="00454292">
            <w:pPr>
              <w:autoSpaceDE w:val="0"/>
              <w:autoSpaceDN w:val="0"/>
              <w:adjustRightInd w:val="0"/>
              <w:spacing w:after="0" w:line="240" w:lineRule="auto"/>
              <w:rPr>
                <w:rFonts w:ascii="Arial" w:hAnsi="Arial" w:cs="Arial"/>
                <w:sz w:val="20"/>
                <w:szCs w:val="20"/>
                <w:lang w:eastAsia="pt-BR"/>
              </w:rPr>
            </w:pPr>
          </w:p>
        </w:tc>
      </w:tr>
      <w:tr w:rsidR="000F6588" w:rsidRPr="001973BA" w:rsidTr="00454292">
        <w:tc>
          <w:tcPr>
            <w:tcW w:w="833"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b/>
                <w:sz w:val="20"/>
                <w:szCs w:val="20"/>
                <w:lang w:eastAsia="pt-BR"/>
              </w:rPr>
              <w:t>Interventions</w:t>
            </w:r>
          </w:p>
        </w:tc>
        <w:tc>
          <w:tcPr>
            <w:tcW w:w="1437"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 xml:space="preserve">Multi-faceted interventions: Academic Detailing, audit and feedback, strategic use of </w:t>
            </w:r>
            <w:r w:rsidRPr="001973BA">
              <w:rPr>
                <w:rFonts w:ascii="Arial" w:hAnsi="Arial" w:cs="Arial"/>
                <w:sz w:val="20"/>
                <w:szCs w:val="20"/>
                <w:lang w:eastAsia="pt-BR"/>
              </w:rPr>
              <w:lastRenderedPageBreak/>
              <w:t xml:space="preserve">opinion leaders, interactive case studies, patient mediated strategies and educational materials </w:t>
            </w:r>
          </w:p>
        </w:tc>
        <w:tc>
          <w:tcPr>
            <w:tcW w:w="1286"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lastRenderedPageBreak/>
              <w:t xml:space="preserve">Multi-faceted interventions: Academic Detailing and printed materials, </w:t>
            </w:r>
            <w:r w:rsidRPr="001973BA">
              <w:rPr>
                <w:rFonts w:ascii="Arial" w:hAnsi="Arial" w:cs="Arial"/>
                <w:sz w:val="20"/>
                <w:szCs w:val="20"/>
                <w:lang w:eastAsia="pt-BR"/>
              </w:rPr>
              <w:lastRenderedPageBreak/>
              <w:t xml:space="preserve">combined with audit and feedback or electronic interventions, depending on the context and the clinical problem being addressed </w:t>
            </w:r>
          </w:p>
        </w:tc>
        <w:tc>
          <w:tcPr>
            <w:tcW w:w="1444" w:type="pct"/>
            <w:shd w:val="clear" w:color="auto" w:fill="auto"/>
          </w:tcPr>
          <w:p w:rsidR="000F6588" w:rsidRPr="001973BA" w:rsidRDefault="000F6588" w:rsidP="00454292">
            <w:pPr>
              <w:autoSpaceDE w:val="0"/>
              <w:autoSpaceDN w:val="0"/>
              <w:adjustRightInd w:val="0"/>
              <w:spacing w:after="0" w:line="240" w:lineRule="auto"/>
              <w:rPr>
                <w:rFonts w:ascii="Arial" w:hAnsi="Arial" w:cs="Arial"/>
                <w:sz w:val="20"/>
                <w:szCs w:val="20"/>
                <w:lang w:eastAsia="pt-BR"/>
              </w:rPr>
            </w:pPr>
            <w:r w:rsidRPr="001973BA">
              <w:rPr>
                <w:rFonts w:ascii="Arial" w:hAnsi="Arial" w:cs="Arial"/>
                <w:sz w:val="20"/>
                <w:szCs w:val="20"/>
                <w:lang w:eastAsia="pt-BR"/>
              </w:rPr>
              <w:lastRenderedPageBreak/>
              <w:t xml:space="preserve">Multi-faceted interventions: Academic Detailing, guidelines, local physician opinion </w:t>
            </w:r>
            <w:r w:rsidRPr="001973BA">
              <w:rPr>
                <w:rFonts w:ascii="Arial" w:hAnsi="Arial" w:cs="Arial"/>
                <w:sz w:val="20"/>
                <w:szCs w:val="20"/>
                <w:lang w:eastAsia="pt-BR"/>
              </w:rPr>
              <w:lastRenderedPageBreak/>
              <w:t xml:space="preserve">leader, printed materials, prescribing feedback reports </w:t>
            </w:r>
          </w:p>
        </w:tc>
      </w:tr>
      <w:tr w:rsidR="000F6588" w:rsidRPr="001973BA" w:rsidTr="00454292">
        <w:tc>
          <w:tcPr>
            <w:tcW w:w="833" w:type="pct"/>
            <w:shd w:val="clear" w:color="auto" w:fill="auto"/>
          </w:tcPr>
          <w:p w:rsidR="000F6588" w:rsidRPr="001973BA" w:rsidRDefault="000F6588" w:rsidP="00454292">
            <w:pPr>
              <w:spacing w:after="0" w:line="240" w:lineRule="auto"/>
              <w:rPr>
                <w:rFonts w:ascii="Arial" w:hAnsi="Arial" w:cs="Arial"/>
                <w:b/>
                <w:sz w:val="20"/>
                <w:szCs w:val="20"/>
                <w:lang w:eastAsia="pt-BR"/>
              </w:rPr>
            </w:pPr>
            <w:r w:rsidRPr="001973BA">
              <w:rPr>
                <w:rFonts w:ascii="Arial" w:hAnsi="Arial" w:cs="Arial"/>
                <w:b/>
                <w:sz w:val="20"/>
                <w:szCs w:val="20"/>
                <w:lang w:eastAsia="pt-BR"/>
              </w:rPr>
              <w:lastRenderedPageBreak/>
              <w:t>Visit</w:t>
            </w:r>
          </w:p>
        </w:tc>
        <w:tc>
          <w:tcPr>
            <w:tcW w:w="1437" w:type="pct"/>
            <w:shd w:val="clear" w:color="auto" w:fill="auto"/>
          </w:tcPr>
          <w:p w:rsidR="000F6588" w:rsidRPr="001973BA" w:rsidRDefault="000F6588" w:rsidP="00454292">
            <w:pPr>
              <w:spacing w:after="0" w:line="240" w:lineRule="auto"/>
              <w:rPr>
                <w:rFonts w:ascii="Arial" w:hAnsi="Arial" w:cs="Arial"/>
                <w:sz w:val="20"/>
                <w:szCs w:val="20"/>
                <w:lang w:eastAsia="pt-BR"/>
              </w:rPr>
            </w:pPr>
            <w:r>
              <w:rPr>
                <w:rFonts w:ascii="Arial" w:hAnsi="Arial" w:cs="Arial"/>
                <w:sz w:val="20"/>
                <w:szCs w:val="20"/>
                <w:lang w:eastAsia="pt-BR"/>
              </w:rPr>
              <w:t>M</w:t>
            </w:r>
            <w:r w:rsidRPr="001973BA">
              <w:rPr>
                <w:rFonts w:ascii="Arial" w:hAnsi="Arial" w:cs="Arial"/>
                <w:sz w:val="20"/>
                <w:szCs w:val="20"/>
                <w:lang w:eastAsia="pt-BR"/>
              </w:rPr>
              <w:t>ainly conducted by pharmacists</w:t>
            </w:r>
            <w:r>
              <w:rPr>
                <w:rFonts w:ascii="Arial" w:hAnsi="Arial" w:cs="Arial"/>
                <w:sz w:val="20"/>
                <w:szCs w:val="20"/>
                <w:lang w:eastAsia="pt-BR"/>
              </w:rPr>
              <w:t xml:space="preserve"> </w:t>
            </w:r>
            <w:r w:rsidRPr="001973BA">
              <w:rPr>
                <w:rFonts w:ascii="Arial" w:hAnsi="Arial" w:cs="Arial"/>
                <w:sz w:val="20"/>
                <w:szCs w:val="20"/>
                <w:lang w:eastAsia="pt-BR"/>
              </w:rPr>
              <w:t>target</w:t>
            </w:r>
            <w:r>
              <w:rPr>
                <w:rFonts w:ascii="Arial" w:hAnsi="Arial" w:cs="Arial"/>
                <w:sz w:val="20"/>
                <w:szCs w:val="20"/>
                <w:lang w:eastAsia="pt-BR"/>
              </w:rPr>
              <w:t>ing</w:t>
            </w:r>
            <w:r w:rsidRPr="001973BA">
              <w:rPr>
                <w:rFonts w:ascii="Arial" w:hAnsi="Arial" w:cs="Arial"/>
                <w:sz w:val="20"/>
                <w:szCs w:val="20"/>
                <w:lang w:eastAsia="pt-BR"/>
              </w:rPr>
              <w:t xml:space="preserve"> mainly </w:t>
            </w:r>
            <w:r>
              <w:rPr>
                <w:rFonts w:ascii="Arial" w:hAnsi="Arial" w:cs="Arial"/>
                <w:sz w:val="20"/>
                <w:szCs w:val="20"/>
                <w:lang w:eastAsia="pt-BR"/>
              </w:rPr>
              <w:t>GPs</w:t>
            </w:r>
            <w:r w:rsidRPr="001973BA">
              <w:rPr>
                <w:rFonts w:ascii="Arial" w:hAnsi="Arial" w:cs="Arial"/>
                <w:sz w:val="20"/>
                <w:szCs w:val="20"/>
                <w:lang w:eastAsia="pt-BR"/>
              </w:rPr>
              <w:t xml:space="preserve">. </w:t>
            </w:r>
            <w:r>
              <w:rPr>
                <w:rFonts w:ascii="Arial" w:hAnsi="Arial" w:cs="Arial"/>
                <w:sz w:val="20"/>
                <w:szCs w:val="20"/>
                <w:lang w:eastAsia="pt-BR"/>
              </w:rPr>
              <w:t>O</w:t>
            </w:r>
            <w:r w:rsidRPr="001973BA">
              <w:rPr>
                <w:rFonts w:ascii="Arial" w:hAnsi="Arial" w:cs="Arial"/>
                <w:sz w:val="20"/>
                <w:szCs w:val="20"/>
                <w:lang w:eastAsia="pt-BR"/>
              </w:rPr>
              <w:t xml:space="preserve">ne-to-one visits are expected to take up to 30 minutes. Facilitated peer group discussions </w:t>
            </w:r>
            <w:r>
              <w:rPr>
                <w:rFonts w:ascii="Arial" w:hAnsi="Arial" w:cs="Arial"/>
                <w:sz w:val="20"/>
                <w:szCs w:val="20"/>
                <w:lang w:eastAsia="pt-BR"/>
              </w:rPr>
              <w:t xml:space="preserve">up </w:t>
            </w:r>
            <w:proofErr w:type="gramStart"/>
            <w:r>
              <w:rPr>
                <w:rFonts w:ascii="Arial" w:hAnsi="Arial" w:cs="Arial"/>
                <w:sz w:val="20"/>
                <w:szCs w:val="20"/>
                <w:lang w:eastAsia="pt-BR"/>
              </w:rPr>
              <w:t xml:space="preserve">to </w:t>
            </w:r>
            <w:r w:rsidRPr="001973BA">
              <w:rPr>
                <w:rFonts w:ascii="Arial" w:hAnsi="Arial" w:cs="Arial"/>
                <w:sz w:val="20"/>
                <w:szCs w:val="20"/>
                <w:lang w:eastAsia="pt-BR"/>
              </w:rPr>
              <w:t xml:space="preserve"> 1</w:t>
            </w:r>
            <w:proofErr w:type="gramEnd"/>
            <w:r w:rsidRPr="001973BA">
              <w:rPr>
                <w:rFonts w:ascii="Arial" w:hAnsi="Arial" w:cs="Arial"/>
                <w:sz w:val="20"/>
                <w:szCs w:val="20"/>
                <w:lang w:eastAsia="pt-BR"/>
              </w:rPr>
              <w:t xml:space="preserve"> hour.</w:t>
            </w:r>
          </w:p>
          <w:p w:rsidR="000F6588" w:rsidRPr="001973BA" w:rsidRDefault="000F6588" w:rsidP="00454292">
            <w:pPr>
              <w:spacing w:after="0" w:line="240" w:lineRule="auto"/>
              <w:rPr>
                <w:rFonts w:ascii="Arial" w:hAnsi="Arial" w:cs="Arial"/>
                <w:sz w:val="20"/>
                <w:szCs w:val="20"/>
                <w:lang w:eastAsia="pt-BR"/>
              </w:rPr>
            </w:pPr>
          </w:p>
        </w:tc>
        <w:tc>
          <w:tcPr>
            <w:tcW w:w="1286"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One-on-one visits with clinicians in their practice site</w:t>
            </w:r>
          </w:p>
          <w:p w:rsidR="000F6588" w:rsidRPr="001973BA" w:rsidRDefault="000F6588" w:rsidP="00454292">
            <w:pPr>
              <w:spacing w:after="0" w:line="240" w:lineRule="auto"/>
              <w:rPr>
                <w:rFonts w:ascii="Arial" w:hAnsi="Arial" w:cs="Arial"/>
                <w:sz w:val="20"/>
                <w:szCs w:val="20"/>
                <w:lang w:eastAsia="pt-BR"/>
              </w:rPr>
            </w:pPr>
          </w:p>
        </w:tc>
        <w:tc>
          <w:tcPr>
            <w:tcW w:w="1444" w:type="pct"/>
            <w:shd w:val="clear" w:color="auto" w:fill="auto"/>
          </w:tcPr>
          <w:p w:rsidR="000F6588" w:rsidRPr="001973BA" w:rsidRDefault="000F6588" w:rsidP="00454292">
            <w:pPr>
              <w:autoSpaceDE w:val="0"/>
              <w:autoSpaceDN w:val="0"/>
              <w:adjustRightInd w:val="0"/>
              <w:spacing w:after="0" w:line="240" w:lineRule="auto"/>
              <w:rPr>
                <w:rFonts w:ascii="Arial" w:hAnsi="Arial" w:cs="Arial"/>
                <w:sz w:val="20"/>
                <w:szCs w:val="20"/>
                <w:lang w:eastAsia="pt-BR"/>
              </w:rPr>
            </w:pPr>
            <w:r w:rsidRPr="001973BA">
              <w:rPr>
                <w:rFonts w:ascii="Arial" w:hAnsi="Arial" w:cs="Arial"/>
                <w:sz w:val="20"/>
                <w:szCs w:val="20"/>
                <w:lang w:eastAsia="pt-BR"/>
              </w:rPr>
              <w:t xml:space="preserve">Face-to-face visits or via Web conferencing sessions in one-on-one or small groups; </w:t>
            </w:r>
          </w:p>
          <w:p w:rsidR="000F6588" w:rsidRPr="001973BA" w:rsidRDefault="000F6588" w:rsidP="00454292">
            <w:pPr>
              <w:autoSpaceDE w:val="0"/>
              <w:autoSpaceDN w:val="0"/>
              <w:adjustRightInd w:val="0"/>
              <w:spacing w:after="0" w:line="240" w:lineRule="auto"/>
              <w:rPr>
                <w:rFonts w:ascii="Arial" w:hAnsi="Arial" w:cs="Arial"/>
                <w:sz w:val="20"/>
                <w:szCs w:val="20"/>
                <w:lang w:eastAsia="pt-BR"/>
              </w:rPr>
            </w:pPr>
            <w:r w:rsidRPr="001973BA">
              <w:rPr>
                <w:rFonts w:ascii="Arial" w:hAnsi="Arial" w:cs="Arial"/>
                <w:sz w:val="20"/>
                <w:szCs w:val="20"/>
                <w:lang w:eastAsia="pt-BR"/>
              </w:rPr>
              <w:t>Duration of visits range from 10 to 30 minutes for individuals and 30 to 60 in group sessions</w:t>
            </w:r>
          </w:p>
          <w:p w:rsidR="000F6588" w:rsidRPr="001973BA" w:rsidRDefault="000F6588" w:rsidP="00454292">
            <w:pPr>
              <w:autoSpaceDE w:val="0"/>
              <w:autoSpaceDN w:val="0"/>
              <w:adjustRightInd w:val="0"/>
              <w:spacing w:after="0" w:line="240" w:lineRule="auto"/>
              <w:rPr>
                <w:rFonts w:ascii="Arial" w:hAnsi="Arial" w:cs="Arial"/>
                <w:sz w:val="20"/>
                <w:szCs w:val="20"/>
                <w:lang w:eastAsia="pt-BR"/>
              </w:rPr>
            </w:pPr>
          </w:p>
        </w:tc>
      </w:tr>
      <w:tr w:rsidR="000F6588" w:rsidRPr="001973BA" w:rsidTr="00454292">
        <w:tc>
          <w:tcPr>
            <w:tcW w:w="833" w:type="pct"/>
            <w:shd w:val="clear" w:color="auto" w:fill="auto"/>
          </w:tcPr>
          <w:p w:rsidR="000F6588" w:rsidRPr="001973BA" w:rsidRDefault="000F6588" w:rsidP="00454292">
            <w:pPr>
              <w:spacing w:after="0" w:line="240" w:lineRule="auto"/>
              <w:rPr>
                <w:rFonts w:ascii="Arial" w:hAnsi="Arial" w:cs="Arial"/>
                <w:b/>
                <w:sz w:val="20"/>
                <w:szCs w:val="20"/>
                <w:lang w:eastAsia="pt-BR"/>
              </w:rPr>
            </w:pPr>
            <w:r w:rsidRPr="001973BA">
              <w:rPr>
                <w:rFonts w:ascii="Arial" w:hAnsi="Arial" w:cs="Arial"/>
                <w:b/>
                <w:sz w:val="20"/>
                <w:szCs w:val="20"/>
                <w:lang w:eastAsia="pt-BR"/>
              </w:rPr>
              <w:t>After visiting</w:t>
            </w:r>
          </w:p>
        </w:tc>
        <w:tc>
          <w:tcPr>
            <w:tcW w:w="1437" w:type="pct"/>
            <w:shd w:val="clear" w:color="auto" w:fill="auto"/>
          </w:tcPr>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Physicians complete an evaluation form and the educational facilitators complete a visit review</w:t>
            </w:r>
          </w:p>
          <w:p w:rsidR="000F6588" w:rsidRPr="001973BA" w:rsidRDefault="000F6588" w:rsidP="00454292">
            <w:pPr>
              <w:spacing w:after="0" w:line="240" w:lineRule="auto"/>
              <w:rPr>
                <w:rFonts w:ascii="Arial" w:hAnsi="Arial" w:cs="Arial"/>
                <w:sz w:val="20"/>
                <w:szCs w:val="20"/>
                <w:lang w:eastAsia="pt-BR"/>
              </w:rPr>
            </w:pPr>
            <w:r w:rsidRPr="001973BA">
              <w:rPr>
                <w:rFonts w:ascii="Arial" w:hAnsi="Arial" w:cs="Arial"/>
                <w:sz w:val="20"/>
                <w:szCs w:val="20"/>
                <w:lang w:eastAsia="pt-BR"/>
              </w:rPr>
              <w:t>All material for the facilitators are available through the NPS website specific area</w:t>
            </w:r>
          </w:p>
        </w:tc>
        <w:tc>
          <w:tcPr>
            <w:tcW w:w="1286" w:type="pct"/>
            <w:shd w:val="clear" w:color="auto" w:fill="auto"/>
            <w:vAlign w:val="center"/>
          </w:tcPr>
          <w:p w:rsidR="000F6588" w:rsidRPr="001973BA" w:rsidRDefault="000F6588" w:rsidP="00454292">
            <w:pPr>
              <w:spacing w:after="0" w:line="240" w:lineRule="auto"/>
              <w:jc w:val="center"/>
              <w:rPr>
                <w:rFonts w:ascii="Arial" w:hAnsi="Arial" w:cs="Arial"/>
                <w:sz w:val="20"/>
                <w:szCs w:val="20"/>
                <w:lang w:eastAsia="pt-BR"/>
              </w:rPr>
            </w:pPr>
            <w:r w:rsidRPr="001973BA">
              <w:rPr>
                <w:rFonts w:ascii="Arial" w:hAnsi="Arial" w:cs="Arial"/>
                <w:sz w:val="20"/>
                <w:szCs w:val="20"/>
                <w:lang w:eastAsia="pt-BR"/>
              </w:rPr>
              <w:t>-</w:t>
            </w:r>
          </w:p>
        </w:tc>
        <w:tc>
          <w:tcPr>
            <w:tcW w:w="1444" w:type="pct"/>
            <w:shd w:val="clear" w:color="auto" w:fill="auto"/>
          </w:tcPr>
          <w:p w:rsidR="000F6588" w:rsidRPr="001973BA" w:rsidRDefault="000F6588" w:rsidP="00454292">
            <w:pPr>
              <w:autoSpaceDE w:val="0"/>
              <w:autoSpaceDN w:val="0"/>
              <w:adjustRightInd w:val="0"/>
              <w:spacing w:after="0" w:line="240" w:lineRule="auto"/>
              <w:rPr>
                <w:rFonts w:ascii="Arial" w:hAnsi="Arial" w:cs="Arial"/>
                <w:sz w:val="20"/>
                <w:szCs w:val="20"/>
                <w:lang w:eastAsia="pt-BR"/>
              </w:rPr>
            </w:pPr>
            <w:r w:rsidRPr="001973BA">
              <w:rPr>
                <w:rFonts w:ascii="Arial" w:hAnsi="Arial" w:cs="Arial"/>
                <w:sz w:val="20"/>
                <w:szCs w:val="20"/>
                <w:lang w:eastAsia="pt-BR"/>
              </w:rPr>
              <w:t xml:space="preserve">Material of visits, questions and answers on trials are available online. Also publishes newsletters in the </w:t>
            </w:r>
            <w:r w:rsidRPr="001973BA">
              <w:rPr>
                <w:rFonts w:ascii="Arial" w:hAnsi="Arial" w:cs="Arial"/>
                <w:i/>
                <w:sz w:val="20"/>
                <w:szCs w:val="20"/>
                <w:lang w:eastAsia="pt-BR"/>
              </w:rPr>
              <w:t>Canadian Family Physician</w:t>
            </w:r>
            <w:r w:rsidRPr="001973BA">
              <w:rPr>
                <w:rFonts w:ascii="Arial" w:hAnsi="Arial" w:cs="Arial"/>
                <w:sz w:val="20"/>
                <w:szCs w:val="20"/>
                <w:lang w:eastAsia="pt-BR"/>
              </w:rPr>
              <w:t xml:space="preserve"> journal</w:t>
            </w:r>
          </w:p>
        </w:tc>
      </w:tr>
    </w:tbl>
    <w:p w:rsidR="000F6588" w:rsidRPr="001973BA" w:rsidRDefault="000F6588" w:rsidP="000F6588">
      <w:pPr>
        <w:spacing w:after="0" w:line="240" w:lineRule="auto"/>
        <w:rPr>
          <w:rFonts w:ascii="Arial" w:hAnsi="Arial" w:cs="Arial"/>
          <w:sz w:val="20"/>
          <w:szCs w:val="24"/>
          <w:lang w:eastAsia="pt-BR"/>
        </w:rPr>
      </w:pPr>
      <w:r w:rsidRPr="001973BA">
        <w:rPr>
          <w:rFonts w:ascii="Arial" w:hAnsi="Arial" w:cs="Arial"/>
          <w:sz w:val="20"/>
          <w:szCs w:val="24"/>
          <w:lang w:eastAsia="pt-BR"/>
        </w:rPr>
        <w:t>AD: Academic Detailer; GP: General Practi</w:t>
      </w:r>
      <w:r>
        <w:rPr>
          <w:rFonts w:ascii="Arial" w:hAnsi="Arial" w:cs="Arial"/>
          <w:sz w:val="20"/>
          <w:szCs w:val="24"/>
          <w:lang w:eastAsia="pt-BR"/>
        </w:rPr>
        <w:t>ti</w:t>
      </w:r>
      <w:r w:rsidRPr="001973BA">
        <w:rPr>
          <w:rFonts w:ascii="Arial" w:hAnsi="Arial" w:cs="Arial"/>
          <w:sz w:val="20"/>
          <w:szCs w:val="24"/>
          <w:lang w:eastAsia="pt-BR"/>
        </w:rPr>
        <w:t>o</w:t>
      </w:r>
      <w:r>
        <w:rPr>
          <w:rFonts w:ascii="Arial" w:hAnsi="Arial" w:cs="Arial"/>
          <w:sz w:val="20"/>
          <w:szCs w:val="24"/>
          <w:lang w:eastAsia="pt-BR"/>
        </w:rPr>
        <w:t>ner</w:t>
      </w:r>
    </w:p>
    <w:p w:rsidR="000F6588" w:rsidRDefault="000F6588" w:rsidP="000F6588"/>
    <w:p w:rsidR="00586B17" w:rsidRPr="008625F9" w:rsidRDefault="00586B17" w:rsidP="003F2483">
      <w:pPr>
        <w:pStyle w:val="BodyText"/>
        <w:spacing w:line="360" w:lineRule="auto"/>
        <w:rPr>
          <w:rFonts w:ascii="Arial" w:hAnsi="Arial" w:cs="Arial"/>
          <w:noProof/>
          <w:sz w:val="20"/>
          <w:szCs w:val="20"/>
        </w:rPr>
      </w:pPr>
      <w:r w:rsidRPr="008625F9">
        <w:rPr>
          <w:rFonts w:ascii="Arial" w:hAnsi="Arial" w:cs="Arial"/>
          <w:b/>
          <w:i/>
          <w:sz w:val="20"/>
          <w:szCs w:val="20"/>
        </w:rPr>
        <w:t>Australia</w:t>
      </w:r>
      <w:r w:rsidRPr="008625F9">
        <w:rPr>
          <w:rFonts w:ascii="Arial" w:hAnsi="Arial" w:cs="Arial"/>
          <w:sz w:val="20"/>
          <w:szCs w:val="20"/>
        </w:rPr>
        <w:t>. A pillar of Australia’s National Medicines Policy is that there should be mechanisms to ensure rational and responsible use of medicines. In 1998, NPS MedicineWise, an independent, not-for-profit organization, was established to provide a nationally coordinated approach to design, develop, implement and evaluate national programs to improve the quality use of medicines, and more recently medical tests, in support of th</w:t>
      </w:r>
      <w:r w:rsidR="00FE3256" w:rsidRPr="008625F9">
        <w:rPr>
          <w:rFonts w:ascii="Arial" w:hAnsi="Arial" w:cs="Arial"/>
          <w:sz w:val="20"/>
          <w:szCs w:val="20"/>
        </w:rPr>
        <w:t>is</w:t>
      </w:r>
      <w:r w:rsidRPr="008625F9">
        <w:rPr>
          <w:rFonts w:ascii="Arial" w:hAnsi="Arial" w:cs="Arial"/>
          <w:sz w:val="20"/>
          <w:szCs w:val="20"/>
        </w:rPr>
        <w:t xml:space="preserve"> policy </w:t>
      </w:r>
      <w:r w:rsidRPr="008625F9">
        <w:rPr>
          <w:rFonts w:ascii="Arial" w:hAnsi="Arial" w:cs="Arial"/>
          <w:noProof/>
          <w:sz w:val="20"/>
          <w:szCs w:val="20"/>
        </w:rPr>
        <w:t>(33)</w:t>
      </w:r>
      <w:r w:rsidRPr="008625F9">
        <w:rPr>
          <w:rFonts w:ascii="Arial" w:hAnsi="Arial" w:cs="Arial"/>
          <w:sz w:val="20"/>
          <w:szCs w:val="20"/>
        </w:rPr>
        <w:t>.</w:t>
      </w:r>
    </w:p>
    <w:p w:rsidR="00586B17" w:rsidRPr="008625F9" w:rsidRDefault="00586B17" w:rsidP="003F2483">
      <w:pPr>
        <w:spacing w:line="360" w:lineRule="auto"/>
        <w:rPr>
          <w:rFonts w:ascii="Arial" w:hAnsi="Arial" w:cs="Arial"/>
          <w:sz w:val="20"/>
          <w:szCs w:val="20"/>
          <w:lang w:eastAsia="pt-BR"/>
        </w:rPr>
      </w:pPr>
      <w:r w:rsidRPr="008625F9">
        <w:rPr>
          <w:rFonts w:ascii="Arial" w:hAnsi="Arial" w:cs="Arial"/>
          <w:sz w:val="20"/>
          <w:szCs w:val="20"/>
        </w:rPr>
        <w:t xml:space="preserve">Each year, NPS MedicineWise delivers at least three national educational programs focused on carefully selected therapeutic issues, with more than 50% of Australia’s general medical practitioners (primary care physicians) participating. Systematic evaluation has been critical to </w:t>
      </w:r>
      <w:r w:rsidR="00FE3256" w:rsidRPr="008625F9">
        <w:rPr>
          <w:rFonts w:ascii="Arial" w:hAnsi="Arial" w:cs="Arial"/>
          <w:sz w:val="20"/>
          <w:szCs w:val="20"/>
        </w:rPr>
        <w:t xml:space="preserve">its </w:t>
      </w:r>
      <w:r w:rsidRPr="008625F9">
        <w:rPr>
          <w:rFonts w:ascii="Arial" w:hAnsi="Arial" w:cs="Arial"/>
          <w:sz w:val="20"/>
          <w:szCs w:val="20"/>
        </w:rPr>
        <w:t xml:space="preserve">success and, since </w:t>
      </w:r>
      <w:proofErr w:type="gramStart"/>
      <w:r w:rsidRPr="008625F9">
        <w:rPr>
          <w:rFonts w:ascii="Arial" w:hAnsi="Arial" w:cs="Arial"/>
          <w:sz w:val="20"/>
          <w:szCs w:val="20"/>
        </w:rPr>
        <w:t>inception,</w:t>
      </w:r>
      <w:proofErr w:type="gramEnd"/>
      <w:r w:rsidRPr="008625F9">
        <w:rPr>
          <w:rFonts w:ascii="Arial" w:hAnsi="Arial" w:cs="Arial"/>
          <w:sz w:val="20"/>
          <w:szCs w:val="20"/>
        </w:rPr>
        <w:t xml:space="preserve"> the investment in these programs has consistently achieved demonstrable improvements in the use of medicines and medical tests. Moreover, the programs have resulted in improved health outcomes and savings in government expenditure</w:t>
      </w:r>
      <w:r w:rsidR="00FE3256" w:rsidRPr="008625F9">
        <w:rPr>
          <w:rFonts w:ascii="Arial" w:hAnsi="Arial" w:cs="Arial"/>
          <w:sz w:val="20"/>
          <w:szCs w:val="20"/>
        </w:rPr>
        <w:t>,</w:t>
      </w:r>
      <w:r w:rsidRPr="008625F9">
        <w:rPr>
          <w:rFonts w:ascii="Arial" w:hAnsi="Arial" w:cs="Arial"/>
          <w:sz w:val="20"/>
          <w:szCs w:val="20"/>
        </w:rPr>
        <w:t xml:space="preserve"> far in excess of the cost of the programs </w:t>
      </w:r>
      <w:r w:rsidRPr="008625F9">
        <w:rPr>
          <w:rFonts w:ascii="Arial" w:hAnsi="Arial" w:cs="Arial"/>
          <w:noProof/>
          <w:sz w:val="20"/>
          <w:szCs w:val="20"/>
        </w:rPr>
        <w:t>(34)</w:t>
      </w:r>
      <w:r w:rsidRPr="008625F9">
        <w:rPr>
          <w:rFonts w:ascii="Arial" w:hAnsi="Arial" w:cs="Arial"/>
          <w:sz w:val="20"/>
          <w:szCs w:val="20"/>
          <w:lang w:eastAsia="pt-BR"/>
        </w:rPr>
        <w:t>.</w:t>
      </w:r>
    </w:p>
    <w:p w:rsidR="00586B17" w:rsidRPr="008625F9" w:rsidRDefault="00586B17" w:rsidP="003F2483">
      <w:pPr>
        <w:autoSpaceDE w:val="0"/>
        <w:autoSpaceDN w:val="0"/>
        <w:adjustRightInd w:val="0"/>
        <w:spacing w:after="0" w:line="360" w:lineRule="auto"/>
        <w:rPr>
          <w:rFonts w:ascii="Arial" w:hAnsi="Arial" w:cs="Arial"/>
          <w:color w:val="1F497D"/>
          <w:sz w:val="20"/>
          <w:szCs w:val="20"/>
          <w:shd w:val="clear" w:color="auto" w:fill="FFFFFF"/>
        </w:rPr>
      </w:pPr>
      <w:r w:rsidRPr="008625F9">
        <w:rPr>
          <w:rFonts w:ascii="Arial" w:hAnsi="Arial" w:cs="Arial"/>
          <w:b/>
          <w:i/>
          <w:sz w:val="20"/>
          <w:szCs w:val="20"/>
          <w:lang w:eastAsia="pt-BR"/>
        </w:rPr>
        <w:t xml:space="preserve">United States. </w:t>
      </w:r>
      <w:r w:rsidRPr="008625F9">
        <w:rPr>
          <w:rFonts w:ascii="Arial" w:hAnsi="Arial" w:cs="Arial"/>
          <w:sz w:val="20"/>
          <w:szCs w:val="20"/>
          <w:lang w:eastAsia="pt-BR"/>
        </w:rPr>
        <w:t xml:space="preserve">Because the healthcare system in the US is decentralized, there is no organization that provides </w:t>
      </w:r>
      <w:proofErr w:type="spellStart"/>
      <w:r w:rsidR="00FE3256" w:rsidRPr="008625F9">
        <w:rPr>
          <w:rFonts w:ascii="Arial" w:hAnsi="Arial" w:cs="Arial"/>
          <w:sz w:val="20"/>
          <w:szCs w:val="20"/>
          <w:lang w:eastAsia="pt-BR"/>
        </w:rPr>
        <w:t>co-ordinated</w:t>
      </w:r>
      <w:proofErr w:type="spellEnd"/>
      <w:r w:rsidR="00FE3256" w:rsidRPr="008625F9">
        <w:rPr>
          <w:rFonts w:ascii="Arial" w:hAnsi="Arial" w:cs="Arial"/>
          <w:sz w:val="20"/>
          <w:szCs w:val="20"/>
          <w:lang w:eastAsia="pt-BR"/>
        </w:rPr>
        <w:t xml:space="preserve"> academic detailing </w:t>
      </w:r>
      <w:r w:rsidRPr="008625F9">
        <w:rPr>
          <w:rFonts w:ascii="Arial" w:hAnsi="Arial" w:cs="Arial"/>
          <w:sz w:val="20"/>
          <w:szCs w:val="20"/>
          <w:lang w:eastAsia="pt-BR"/>
        </w:rPr>
        <w:t>services. However, there are many individual initiatives of varying sizes and scales. The National Resource Center for Academic Detailing (</w:t>
      </w:r>
      <w:proofErr w:type="spellStart"/>
      <w:r w:rsidRPr="008625F9">
        <w:rPr>
          <w:rFonts w:ascii="Arial" w:hAnsi="Arial" w:cs="Arial"/>
          <w:sz w:val="20"/>
          <w:szCs w:val="20"/>
          <w:lang w:eastAsia="pt-BR"/>
        </w:rPr>
        <w:t>NaRCAD</w:t>
      </w:r>
      <w:proofErr w:type="spellEnd"/>
      <w:r w:rsidRPr="008625F9">
        <w:rPr>
          <w:rFonts w:ascii="Arial" w:hAnsi="Arial" w:cs="Arial"/>
          <w:sz w:val="20"/>
          <w:szCs w:val="20"/>
          <w:lang w:eastAsia="pt-BR"/>
        </w:rPr>
        <w:t>) is an initiative supported by the Agency for Healthcare Research and Quality (</w:t>
      </w:r>
      <w:hyperlink r:id="rId12" w:tgtFrame="_blank" w:tooltip="AHRQ" w:history="1">
        <w:r w:rsidRPr="008625F9">
          <w:rPr>
            <w:rFonts w:ascii="Arial" w:hAnsi="Arial" w:cs="Arial"/>
            <w:sz w:val="20"/>
            <w:szCs w:val="20"/>
            <w:lang w:eastAsia="pt-BR"/>
          </w:rPr>
          <w:t>AHRQ</w:t>
        </w:r>
      </w:hyperlink>
      <w:r w:rsidRPr="008625F9">
        <w:rPr>
          <w:rFonts w:ascii="Arial" w:hAnsi="Arial" w:cs="Arial"/>
          <w:sz w:val="20"/>
          <w:szCs w:val="20"/>
          <w:lang w:eastAsia="pt-BR"/>
        </w:rPr>
        <w:t>)</w:t>
      </w:r>
      <w:r w:rsidR="00771B05" w:rsidRPr="008625F9">
        <w:rPr>
          <w:rFonts w:ascii="Arial" w:hAnsi="Arial" w:cs="Arial"/>
          <w:sz w:val="20"/>
          <w:szCs w:val="20"/>
          <w:lang w:eastAsia="pt-BR"/>
        </w:rPr>
        <w:t xml:space="preserve"> in</w:t>
      </w:r>
      <w:r w:rsidRPr="008625F9">
        <w:rPr>
          <w:rFonts w:ascii="Arial" w:hAnsi="Arial" w:cs="Arial"/>
          <w:sz w:val="20"/>
          <w:szCs w:val="20"/>
          <w:lang w:eastAsia="pt-BR"/>
        </w:rPr>
        <w:t xml:space="preserve"> the US Department of Health and Human Services. </w:t>
      </w:r>
      <w:proofErr w:type="spellStart"/>
      <w:r w:rsidRPr="008625F9">
        <w:rPr>
          <w:rFonts w:ascii="Arial" w:hAnsi="Arial" w:cs="Arial"/>
          <w:sz w:val="20"/>
          <w:szCs w:val="20"/>
          <w:lang w:eastAsia="pt-BR"/>
        </w:rPr>
        <w:t>NaRCAD</w:t>
      </w:r>
      <w:proofErr w:type="spellEnd"/>
      <w:r w:rsidRPr="008625F9">
        <w:rPr>
          <w:rFonts w:ascii="Arial" w:hAnsi="Arial" w:cs="Arial"/>
          <w:sz w:val="20"/>
          <w:szCs w:val="20"/>
          <w:lang w:eastAsia="pt-BR"/>
        </w:rPr>
        <w:t xml:space="preserve"> provides training, materials, and consultative support to health care organizations wh</w:t>
      </w:r>
      <w:r w:rsidR="00FE3256" w:rsidRPr="008625F9">
        <w:rPr>
          <w:rFonts w:ascii="Arial" w:hAnsi="Arial" w:cs="Arial"/>
          <w:sz w:val="20"/>
          <w:szCs w:val="20"/>
          <w:lang w:eastAsia="pt-BR"/>
        </w:rPr>
        <w:t>o</w:t>
      </w:r>
      <w:r w:rsidRPr="008625F9">
        <w:rPr>
          <w:rFonts w:ascii="Arial" w:hAnsi="Arial" w:cs="Arial"/>
          <w:sz w:val="20"/>
          <w:szCs w:val="20"/>
          <w:lang w:eastAsia="pt-BR"/>
        </w:rPr>
        <w:t xml:space="preserve"> conduct </w:t>
      </w:r>
      <w:r w:rsidR="00FE3256" w:rsidRPr="008625F9">
        <w:rPr>
          <w:rFonts w:ascii="Arial" w:hAnsi="Arial" w:cs="Arial"/>
          <w:sz w:val="20"/>
          <w:szCs w:val="20"/>
          <w:lang w:eastAsia="pt-BR"/>
        </w:rPr>
        <w:t>academic detailing</w:t>
      </w:r>
      <w:r w:rsidRPr="008625F9">
        <w:rPr>
          <w:rFonts w:ascii="Arial" w:hAnsi="Arial" w:cs="Arial"/>
          <w:sz w:val="20"/>
          <w:szCs w:val="20"/>
          <w:lang w:eastAsia="pt-BR"/>
        </w:rPr>
        <w:t xml:space="preserve"> programs in multiple US States as well as several programs in other countries (Personal Communication Michael Fischer).</w:t>
      </w:r>
    </w:p>
    <w:p w:rsidR="00586B17" w:rsidRPr="008625F9" w:rsidRDefault="00586B17" w:rsidP="003F2483">
      <w:pPr>
        <w:autoSpaceDE w:val="0"/>
        <w:autoSpaceDN w:val="0"/>
        <w:adjustRightInd w:val="0"/>
        <w:spacing w:after="0" w:line="360" w:lineRule="auto"/>
        <w:rPr>
          <w:rFonts w:ascii="Arial" w:hAnsi="Arial" w:cs="Arial"/>
          <w:sz w:val="20"/>
          <w:szCs w:val="20"/>
          <w:lang w:eastAsia="pt-BR"/>
        </w:rPr>
      </w:pPr>
    </w:p>
    <w:p w:rsidR="00586B17" w:rsidRPr="008625F9" w:rsidRDefault="00586B17" w:rsidP="003F2483">
      <w:pPr>
        <w:autoSpaceDE w:val="0"/>
        <w:autoSpaceDN w:val="0"/>
        <w:adjustRightInd w:val="0"/>
        <w:spacing w:after="0" w:line="360" w:lineRule="auto"/>
        <w:rPr>
          <w:rFonts w:ascii="Arial" w:hAnsi="Arial" w:cs="Arial"/>
          <w:sz w:val="20"/>
          <w:szCs w:val="20"/>
          <w:lang w:eastAsia="pt-BR"/>
        </w:rPr>
      </w:pPr>
      <w:r w:rsidRPr="008625F9">
        <w:rPr>
          <w:rFonts w:ascii="Arial" w:hAnsi="Arial" w:cs="Arial"/>
          <w:sz w:val="20"/>
          <w:szCs w:val="20"/>
          <w:lang w:eastAsia="pt-BR"/>
        </w:rPr>
        <w:lastRenderedPageBreak/>
        <w:t xml:space="preserve">Multiple other public and private organizations run </w:t>
      </w:r>
      <w:r w:rsidR="00FE3256" w:rsidRPr="008625F9">
        <w:rPr>
          <w:rFonts w:ascii="Arial" w:hAnsi="Arial" w:cs="Arial"/>
          <w:sz w:val="20"/>
          <w:szCs w:val="20"/>
          <w:lang w:eastAsia="pt-BR"/>
        </w:rPr>
        <w:t>academic detailing</w:t>
      </w:r>
      <w:r w:rsidRPr="008625F9">
        <w:rPr>
          <w:rFonts w:ascii="Arial" w:hAnsi="Arial" w:cs="Arial"/>
          <w:sz w:val="20"/>
          <w:szCs w:val="20"/>
          <w:lang w:eastAsia="pt-BR"/>
        </w:rPr>
        <w:t xml:space="preserve"> </w:t>
      </w:r>
      <w:proofErr w:type="spellStart"/>
      <w:r w:rsidR="00771B05" w:rsidRPr="008625F9">
        <w:rPr>
          <w:rFonts w:ascii="Arial" w:hAnsi="Arial" w:cs="Arial"/>
          <w:sz w:val="20"/>
          <w:szCs w:val="20"/>
          <w:lang w:eastAsia="pt-BR"/>
        </w:rPr>
        <w:t>p</w:t>
      </w:r>
      <w:r w:rsidRPr="008625F9">
        <w:rPr>
          <w:rFonts w:ascii="Arial" w:hAnsi="Arial" w:cs="Arial"/>
          <w:sz w:val="20"/>
          <w:szCs w:val="20"/>
          <w:lang w:eastAsia="pt-BR"/>
        </w:rPr>
        <w:t>rogram</w:t>
      </w:r>
      <w:r w:rsidR="00771B05" w:rsidRPr="008625F9">
        <w:rPr>
          <w:rFonts w:ascii="Arial" w:hAnsi="Arial" w:cs="Arial"/>
          <w:sz w:val="20"/>
          <w:szCs w:val="20"/>
          <w:lang w:eastAsia="pt-BR"/>
        </w:rPr>
        <w:t>me</w:t>
      </w:r>
      <w:r w:rsidRPr="008625F9">
        <w:rPr>
          <w:rFonts w:ascii="Arial" w:hAnsi="Arial" w:cs="Arial"/>
          <w:sz w:val="20"/>
          <w:szCs w:val="20"/>
          <w:lang w:eastAsia="pt-BR"/>
        </w:rPr>
        <w:t>s</w:t>
      </w:r>
      <w:proofErr w:type="spellEnd"/>
      <w:r w:rsidRPr="008625F9">
        <w:rPr>
          <w:rFonts w:ascii="Arial" w:hAnsi="Arial" w:cs="Arial"/>
          <w:sz w:val="20"/>
          <w:szCs w:val="20"/>
          <w:lang w:eastAsia="pt-BR"/>
        </w:rPr>
        <w:t xml:space="preserve"> in the United States</w:t>
      </w:r>
      <w:r w:rsidR="00FE3256" w:rsidRPr="008625F9">
        <w:rPr>
          <w:rFonts w:ascii="Arial" w:hAnsi="Arial" w:cs="Arial"/>
          <w:sz w:val="20"/>
          <w:szCs w:val="20"/>
          <w:lang w:eastAsia="pt-BR"/>
        </w:rPr>
        <w:t>,</w:t>
      </w:r>
      <w:r w:rsidRPr="008625F9">
        <w:rPr>
          <w:rFonts w:ascii="Arial" w:hAnsi="Arial" w:cs="Arial"/>
          <w:sz w:val="20"/>
          <w:szCs w:val="20"/>
          <w:lang w:eastAsia="pt-BR"/>
        </w:rPr>
        <w:t xml:space="preserve"> ranging from pediatric screening for developmental problems to </w:t>
      </w:r>
      <w:r w:rsidR="00FE3256" w:rsidRPr="008625F9">
        <w:rPr>
          <w:rFonts w:ascii="Arial" w:hAnsi="Arial" w:cs="Arial"/>
          <w:sz w:val="20"/>
          <w:szCs w:val="20"/>
          <w:lang w:eastAsia="pt-BR"/>
        </w:rPr>
        <w:t xml:space="preserve">the </w:t>
      </w:r>
      <w:r w:rsidRPr="008625F9">
        <w:rPr>
          <w:rFonts w:ascii="Arial" w:hAnsi="Arial" w:cs="Arial"/>
          <w:sz w:val="20"/>
          <w:szCs w:val="20"/>
          <w:lang w:eastAsia="pt-BR"/>
        </w:rPr>
        <w:t xml:space="preserve">safe use of medications in the elderly, e.g. the </w:t>
      </w:r>
      <w:proofErr w:type="spellStart"/>
      <w:r w:rsidRPr="008625F9">
        <w:rPr>
          <w:rFonts w:ascii="Arial" w:hAnsi="Arial" w:cs="Arial"/>
          <w:sz w:val="20"/>
          <w:szCs w:val="20"/>
          <w:lang w:eastAsia="pt-BR"/>
        </w:rPr>
        <w:t>Alosa</w:t>
      </w:r>
      <w:proofErr w:type="spellEnd"/>
      <w:r w:rsidRPr="008625F9">
        <w:rPr>
          <w:rFonts w:ascii="Arial" w:hAnsi="Arial" w:cs="Arial"/>
          <w:sz w:val="20"/>
          <w:szCs w:val="20"/>
          <w:lang w:eastAsia="pt-BR"/>
        </w:rPr>
        <w:t xml:space="preserve"> Foundation, the Kaiser Permanente system, the Veterans Affairs healthcare system.</w:t>
      </w:r>
    </w:p>
    <w:p w:rsidR="00586B17" w:rsidRPr="008625F9" w:rsidRDefault="00586B17" w:rsidP="003F2483">
      <w:pPr>
        <w:autoSpaceDE w:val="0"/>
        <w:autoSpaceDN w:val="0"/>
        <w:adjustRightInd w:val="0"/>
        <w:spacing w:after="0" w:line="360" w:lineRule="auto"/>
        <w:rPr>
          <w:rFonts w:ascii="Arial" w:hAnsi="Arial" w:cs="Arial"/>
          <w:sz w:val="20"/>
          <w:szCs w:val="20"/>
          <w:lang w:eastAsia="pt-BR"/>
        </w:rPr>
      </w:pPr>
    </w:p>
    <w:p w:rsidR="00586B17" w:rsidRPr="008625F9" w:rsidRDefault="00586B17" w:rsidP="003F2483">
      <w:pPr>
        <w:autoSpaceDE w:val="0"/>
        <w:autoSpaceDN w:val="0"/>
        <w:adjustRightInd w:val="0"/>
        <w:spacing w:line="360" w:lineRule="auto"/>
        <w:rPr>
          <w:rFonts w:ascii="Arial" w:hAnsi="Arial" w:cs="Arial"/>
          <w:sz w:val="20"/>
          <w:szCs w:val="20"/>
        </w:rPr>
      </w:pPr>
      <w:r w:rsidRPr="008625F9">
        <w:rPr>
          <w:rFonts w:ascii="Arial" w:hAnsi="Arial" w:cs="Arial"/>
          <w:b/>
          <w:i/>
          <w:sz w:val="20"/>
          <w:szCs w:val="20"/>
          <w:lang w:eastAsia="pt-BR"/>
        </w:rPr>
        <w:t>Canada.</w:t>
      </w:r>
      <w:r w:rsidRPr="008625F9">
        <w:rPr>
          <w:rFonts w:ascii="Arial" w:hAnsi="Arial" w:cs="Arial"/>
          <w:sz w:val="20"/>
          <w:szCs w:val="20"/>
          <w:lang w:eastAsia="pt-BR"/>
        </w:rPr>
        <w:t xml:space="preserve"> The Canadian Academic Detailing Collaboration was founded in 2003 </w:t>
      </w:r>
      <w:r w:rsidR="00FE3256" w:rsidRPr="008625F9">
        <w:rPr>
          <w:rFonts w:ascii="Arial" w:hAnsi="Arial" w:cs="Arial"/>
          <w:sz w:val="20"/>
          <w:szCs w:val="20"/>
          <w:lang w:eastAsia="pt-BR"/>
        </w:rPr>
        <w:t xml:space="preserve">initially </w:t>
      </w:r>
      <w:r w:rsidRPr="008625F9">
        <w:rPr>
          <w:rFonts w:ascii="Arial" w:hAnsi="Arial" w:cs="Arial"/>
          <w:sz w:val="20"/>
          <w:szCs w:val="20"/>
          <w:lang w:eastAsia="pt-BR"/>
        </w:rPr>
        <w:t xml:space="preserve">with five </w:t>
      </w:r>
      <w:r w:rsidR="00FE3256" w:rsidRPr="008625F9">
        <w:rPr>
          <w:rFonts w:ascii="Arial" w:hAnsi="Arial" w:cs="Arial"/>
          <w:sz w:val="20"/>
          <w:szCs w:val="20"/>
          <w:lang w:eastAsia="pt-BR"/>
        </w:rPr>
        <w:t>p</w:t>
      </w:r>
      <w:r w:rsidRPr="008625F9">
        <w:rPr>
          <w:rFonts w:ascii="Arial" w:hAnsi="Arial" w:cs="Arial"/>
          <w:sz w:val="20"/>
          <w:szCs w:val="20"/>
          <w:lang w:eastAsia="pt-BR"/>
        </w:rPr>
        <w:t xml:space="preserve">rograms. This </w:t>
      </w:r>
      <w:r w:rsidR="00FE3256" w:rsidRPr="008625F9">
        <w:rPr>
          <w:rFonts w:ascii="Arial" w:hAnsi="Arial" w:cs="Arial"/>
          <w:sz w:val="20"/>
          <w:szCs w:val="20"/>
          <w:lang w:eastAsia="pt-BR"/>
        </w:rPr>
        <w:t>c</w:t>
      </w:r>
      <w:r w:rsidRPr="008625F9">
        <w:rPr>
          <w:rFonts w:ascii="Arial" w:hAnsi="Arial" w:cs="Arial"/>
          <w:sz w:val="20"/>
          <w:szCs w:val="20"/>
          <w:lang w:eastAsia="pt-BR"/>
        </w:rPr>
        <w:t xml:space="preserve">ollaboration works </w:t>
      </w:r>
      <w:r w:rsidR="00FE3256" w:rsidRPr="008625F9">
        <w:rPr>
          <w:rFonts w:ascii="Arial" w:hAnsi="Arial" w:cs="Arial"/>
          <w:sz w:val="20"/>
          <w:szCs w:val="20"/>
          <w:lang w:eastAsia="pt-BR"/>
        </w:rPr>
        <w:t>in</w:t>
      </w:r>
      <w:r w:rsidRPr="008625F9">
        <w:rPr>
          <w:rFonts w:ascii="Arial" w:hAnsi="Arial" w:cs="Arial"/>
          <w:sz w:val="20"/>
          <w:szCs w:val="20"/>
          <w:lang w:eastAsia="pt-BR"/>
        </w:rPr>
        <w:t xml:space="preserve"> partnership with the Canadian Agency for Drugs and Technologies in Health - CADTH, which develops the information to be disseminated by the detailers</w:t>
      </w:r>
      <w:r w:rsidR="00771B05" w:rsidRPr="008625F9">
        <w:rPr>
          <w:rFonts w:ascii="Arial" w:hAnsi="Arial" w:cs="Arial"/>
          <w:sz w:val="20"/>
          <w:szCs w:val="20"/>
          <w:lang w:eastAsia="pt-BR"/>
        </w:rPr>
        <w:t xml:space="preserve"> </w:t>
      </w:r>
      <w:r w:rsidRPr="008625F9">
        <w:rPr>
          <w:rFonts w:ascii="Arial" w:hAnsi="Arial" w:cs="Arial"/>
          <w:noProof/>
          <w:sz w:val="20"/>
          <w:szCs w:val="20"/>
          <w:lang w:eastAsia="pt-BR"/>
        </w:rPr>
        <w:t>(35</w:t>
      </w:r>
      <w:r w:rsidR="00FE3256" w:rsidRPr="008625F9">
        <w:rPr>
          <w:rFonts w:ascii="Arial" w:hAnsi="Arial" w:cs="Arial"/>
          <w:noProof/>
          <w:sz w:val="20"/>
          <w:szCs w:val="20"/>
          <w:lang w:eastAsia="pt-BR"/>
        </w:rPr>
        <w:t>,36</w:t>
      </w:r>
      <w:r w:rsidRPr="008625F9">
        <w:rPr>
          <w:rFonts w:ascii="Arial" w:hAnsi="Arial" w:cs="Arial"/>
          <w:noProof/>
          <w:sz w:val="20"/>
          <w:szCs w:val="20"/>
          <w:lang w:eastAsia="pt-BR"/>
        </w:rPr>
        <w:t>)</w:t>
      </w:r>
      <w:r w:rsidRPr="008625F9">
        <w:rPr>
          <w:rFonts w:ascii="Arial" w:hAnsi="Arial" w:cs="Arial"/>
          <w:sz w:val="20"/>
          <w:szCs w:val="20"/>
          <w:lang w:eastAsia="pt-BR"/>
        </w:rPr>
        <w:t>.</w:t>
      </w:r>
      <w:r w:rsidRPr="008625F9">
        <w:rPr>
          <w:rFonts w:ascii="Arial" w:hAnsi="Arial" w:cs="Arial"/>
          <w:sz w:val="20"/>
          <w:szCs w:val="20"/>
        </w:rPr>
        <w:t xml:space="preserve">The </w:t>
      </w:r>
      <w:proofErr w:type="spellStart"/>
      <w:r w:rsidRPr="008625F9">
        <w:rPr>
          <w:rFonts w:ascii="Arial" w:hAnsi="Arial" w:cs="Arial"/>
          <w:sz w:val="20"/>
          <w:szCs w:val="20"/>
        </w:rPr>
        <w:t>program</w:t>
      </w:r>
      <w:r w:rsidR="00771B05" w:rsidRPr="008625F9">
        <w:rPr>
          <w:rFonts w:ascii="Arial" w:hAnsi="Arial" w:cs="Arial"/>
          <w:sz w:val="20"/>
          <w:szCs w:val="20"/>
        </w:rPr>
        <w:t>me</w:t>
      </w:r>
      <w:r w:rsidRPr="008625F9">
        <w:rPr>
          <w:rFonts w:ascii="Arial" w:hAnsi="Arial" w:cs="Arial"/>
          <w:sz w:val="20"/>
          <w:szCs w:val="20"/>
        </w:rPr>
        <w:t>s</w:t>
      </w:r>
      <w:proofErr w:type="spellEnd"/>
      <w:r w:rsidRPr="008625F9">
        <w:rPr>
          <w:rFonts w:ascii="Arial" w:hAnsi="Arial" w:cs="Arial"/>
          <w:sz w:val="20"/>
          <w:szCs w:val="20"/>
        </w:rPr>
        <w:t xml:space="preserve"> were developed by a pharmacist alone or in a group containing also a specialist physician, urban and rural family physicians. </w:t>
      </w:r>
    </w:p>
    <w:p w:rsidR="00586B17" w:rsidRPr="008625F9" w:rsidRDefault="00586B17" w:rsidP="003F2483">
      <w:pPr>
        <w:pStyle w:val="NoSpacing"/>
        <w:numPr>
          <w:ilvl w:val="0"/>
          <w:numId w:val="1"/>
        </w:numPr>
        <w:rPr>
          <w:rFonts w:ascii="Arial" w:hAnsi="Arial" w:cs="Arial"/>
          <w:b/>
          <w:i/>
          <w:color w:val="000000"/>
          <w:sz w:val="20"/>
          <w:szCs w:val="20"/>
          <w:shd w:val="clear" w:color="auto" w:fill="FFFFFF"/>
        </w:rPr>
      </w:pPr>
      <w:r w:rsidRPr="008625F9">
        <w:rPr>
          <w:rFonts w:ascii="Arial" w:hAnsi="Arial" w:cs="Arial"/>
          <w:b/>
          <w:i/>
          <w:color w:val="000000"/>
          <w:sz w:val="20"/>
          <w:szCs w:val="20"/>
          <w:shd w:val="clear" w:color="auto" w:fill="FFFFFF"/>
        </w:rPr>
        <w:t xml:space="preserve">Brazilian Academic Detailing Pilot </w:t>
      </w:r>
      <w:proofErr w:type="spellStart"/>
      <w:r w:rsidRPr="008625F9">
        <w:rPr>
          <w:rFonts w:ascii="Arial" w:hAnsi="Arial" w:cs="Arial"/>
          <w:b/>
          <w:i/>
          <w:color w:val="000000"/>
          <w:sz w:val="20"/>
          <w:szCs w:val="20"/>
          <w:shd w:val="clear" w:color="auto" w:fill="FFFFFF"/>
        </w:rPr>
        <w:t>Programme</w:t>
      </w:r>
      <w:proofErr w:type="spellEnd"/>
      <w:r w:rsidRPr="008625F9">
        <w:rPr>
          <w:rFonts w:ascii="Arial" w:hAnsi="Arial" w:cs="Arial"/>
          <w:b/>
          <w:i/>
          <w:color w:val="000000"/>
          <w:sz w:val="20"/>
          <w:szCs w:val="20"/>
          <w:shd w:val="clear" w:color="auto" w:fill="FFFFFF"/>
        </w:rPr>
        <w:t xml:space="preserve"> </w:t>
      </w:r>
    </w:p>
    <w:p w:rsidR="00586B17" w:rsidRPr="008625F9" w:rsidRDefault="00586B17" w:rsidP="003F2483">
      <w:pPr>
        <w:pStyle w:val="NoSpacing"/>
        <w:rPr>
          <w:rFonts w:ascii="Arial" w:hAnsi="Arial" w:cs="Arial"/>
          <w:color w:val="000000"/>
          <w:sz w:val="20"/>
          <w:szCs w:val="20"/>
          <w:shd w:val="clear" w:color="auto" w:fill="FFFFFF"/>
        </w:rPr>
      </w:pPr>
    </w:p>
    <w:p w:rsidR="00586B17" w:rsidRPr="008625F9" w:rsidRDefault="00586B17" w:rsidP="003F2483">
      <w:pPr>
        <w:pStyle w:val="NoSpacing"/>
        <w:spacing w:after="200" w:line="360" w:lineRule="auto"/>
        <w:rPr>
          <w:rFonts w:ascii="Arial" w:hAnsi="Arial" w:cs="Arial"/>
          <w:color w:val="000000"/>
          <w:sz w:val="20"/>
          <w:szCs w:val="20"/>
        </w:rPr>
      </w:pPr>
      <w:r w:rsidRPr="008625F9">
        <w:rPr>
          <w:rFonts w:ascii="Arial" w:hAnsi="Arial" w:cs="Arial"/>
          <w:color w:val="000000"/>
          <w:sz w:val="20"/>
          <w:szCs w:val="20"/>
          <w:shd w:val="clear" w:color="auto" w:fill="FFFFFF"/>
        </w:rPr>
        <w:t xml:space="preserve">Based on the experiences with academic detailing among NPS MedicineWise in Australia, </w:t>
      </w:r>
      <w:proofErr w:type="spellStart"/>
      <w:r w:rsidRPr="008625F9">
        <w:rPr>
          <w:rFonts w:ascii="Arial" w:hAnsi="Arial" w:cs="Arial"/>
          <w:color w:val="000000"/>
          <w:sz w:val="20"/>
          <w:szCs w:val="20"/>
          <w:shd w:val="clear" w:color="auto" w:fill="FFFFFF"/>
        </w:rPr>
        <w:t>NaRCAD</w:t>
      </w:r>
      <w:proofErr w:type="spellEnd"/>
      <w:r w:rsidRPr="008625F9">
        <w:rPr>
          <w:rFonts w:ascii="Arial" w:hAnsi="Arial" w:cs="Arial"/>
          <w:color w:val="000000"/>
          <w:sz w:val="20"/>
          <w:szCs w:val="20"/>
          <w:shd w:val="clear" w:color="auto" w:fill="FFFFFF"/>
        </w:rPr>
        <w:t xml:space="preserve"> in the US, and experiences in Canada, coupled with the findings from </w:t>
      </w:r>
      <w:r w:rsidR="00FE3256" w:rsidRPr="008625F9">
        <w:rPr>
          <w:rFonts w:ascii="Arial" w:hAnsi="Arial" w:cs="Arial"/>
          <w:color w:val="000000"/>
          <w:sz w:val="20"/>
          <w:szCs w:val="20"/>
          <w:shd w:val="clear" w:color="auto" w:fill="FFFFFF"/>
        </w:rPr>
        <w:t>the</w:t>
      </w:r>
      <w:r w:rsidRPr="008625F9">
        <w:rPr>
          <w:rFonts w:ascii="Arial" w:hAnsi="Arial" w:cs="Arial"/>
          <w:color w:val="000000"/>
          <w:sz w:val="20"/>
          <w:szCs w:val="20"/>
          <w:shd w:val="clear" w:color="auto" w:fill="FFFFFF"/>
        </w:rPr>
        <w:t xml:space="preserve"> comprehensive literature search, an academic detailing pilot </w:t>
      </w:r>
      <w:proofErr w:type="spellStart"/>
      <w:r w:rsidR="00771B05" w:rsidRPr="008625F9">
        <w:rPr>
          <w:rFonts w:ascii="Arial" w:hAnsi="Arial" w:cs="Arial"/>
          <w:color w:val="000000"/>
          <w:sz w:val="20"/>
          <w:szCs w:val="20"/>
          <w:shd w:val="clear" w:color="auto" w:fill="FFFFFF"/>
        </w:rPr>
        <w:t>p</w:t>
      </w:r>
      <w:r w:rsidRPr="008625F9">
        <w:rPr>
          <w:rFonts w:ascii="Arial" w:hAnsi="Arial" w:cs="Arial"/>
          <w:color w:val="000000"/>
          <w:sz w:val="20"/>
          <w:szCs w:val="20"/>
          <w:shd w:val="clear" w:color="auto" w:fill="FFFFFF"/>
        </w:rPr>
        <w:t>rogram</w:t>
      </w:r>
      <w:r w:rsidR="00771B05" w:rsidRPr="008625F9">
        <w:rPr>
          <w:rFonts w:ascii="Arial" w:hAnsi="Arial" w:cs="Arial"/>
          <w:color w:val="000000"/>
          <w:sz w:val="20"/>
          <w:szCs w:val="20"/>
          <w:shd w:val="clear" w:color="auto" w:fill="FFFFFF"/>
        </w:rPr>
        <w:t>me</w:t>
      </w:r>
      <w:proofErr w:type="spellEnd"/>
      <w:r w:rsidRPr="008625F9">
        <w:rPr>
          <w:rFonts w:ascii="Arial" w:hAnsi="Arial" w:cs="Arial"/>
          <w:color w:val="000000"/>
          <w:sz w:val="20"/>
          <w:szCs w:val="20"/>
          <w:shd w:val="clear" w:color="auto" w:fill="FFFFFF"/>
        </w:rPr>
        <w:t xml:space="preserve"> has been initiated in Minas </w:t>
      </w:r>
      <w:proofErr w:type="spellStart"/>
      <w:r w:rsidRPr="008625F9">
        <w:rPr>
          <w:rFonts w:ascii="Arial" w:hAnsi="Arial" w:cs="Arial"/>
          <w:color w:val="000000"/>
          <w:sz w:val="20"/>
          <w:szCs w:val="20"/>
          <w:shd w:val="clear" w:color="auto" w:fill="FFFFFF"/>
        </w:rPr>
        <w:t>Gerais</w:t>
      </w:r>
      <w:proofErr w:type="spellEnd"/>
      <w:r w:rsidRPr="008625F9">
        <w:rPr>
          <w:rFonts w:ascii="Arial" w:hAnsi="Arial" w:cs="Arial"/>
          <w:color w:val="000000"/>
          <w:sz w:val="20"/>
          <w:szCs w:val="20"/>
          <w:shd w:val="clear" w:color="auto" w:fill="FFFFFF"/>
        </w:rPr>
        <w:t xml:space="preserve">, Brazil, by the </w:t>
      </w:r>
      <w:r w:rsidRPr="008625F9">
        <w:rPr>
          <w:rFonts w:ascii="Arial" w:hAnsi="Arial" w:cs="Arial"/>
          <w:sz w:val="20"/>
          <w:szCs w:val="20"/>
          <w:lang w:eastAsia="pt-BR"/>
        </w:rPr>
        <w:t xml:space="preserve">not-for-profit </w:t>
      </w:r>
      <w:r w:rsidRPr="008625F9">
        <w:rPr>
          <w:rFonts w:ascii="Arial" w:hAnsi="Arial" w:cs="Arial"/>
          <w:color w:val="000000"/>
          <w:sz w:val="20"/>
          <w:szCs w:val="20"/>
        </w:rPr>
        <w:t>SUS Collaborating Centre for Technology Assessment and Health Excellence (CCATES), with an institutional partnership with the Ministry of Health in Brazil. It include</w:t>
      </w:r>
      <w:r w:rsidR="00FE3256" w:rsidRPr="008625F9">
        <w:rPr>
          <w:rFonts w:ascii="Arial" w:hAnsi="Arial" w:cs="Arial"/>
          <w:color w:val="000000"/>
          <w:sz w:val="20"/>
          <w:szCs w:val="20"/>
        </w:rPr>
        <w:t>s nine</w:t>
      </w:r>
      <w:r w:rsidRPr="008625F9">
        <w:rPr>
          <w:rFonts w:ascii="Arial" w:hAnsi="Arial" w:cs="Arial"/>
          <w:color w:val="000000"/>
          <w:sz w:val="20"/>
          <w:szCs w:val="20"/>
        </w:rPr>
        <w:t xml:space="preserve"> steps to improve future prescribing</w:t>
      </w:r>
      <w:r w:rsidR="00FE3256" w:rsidRPr="008625F9">
        <w:rPr>
          <w:rFonts w:ascii="Arial" w:hAnsi="Arial" w:cs="Arial"/>
          <w:color w:val="000000"/>
          <w:sz w:val="20"/>
          <w:szCs w:val="20"/>
        </w:rPr>
        <w:t xml:space="preserve"> </w:t>
      </w:r>
      <w:r w:rsidRPr="008625F9">
        <w:rPr>
          <w:rFonts w:ascii="Arial" w:hAnsi="Arial" w:cs="Arial"/>
          <w:noProof/>
          <w:color w:val="000000"/>
          <w:sz w:val="20"/>
          <w:szCs w:val="20"/>
        </w:rPr>
        <w:t>(3)</w:t>
      </w:r>
      <w:r w:rsidRPr="008625F9">
        <w:rPr>
          <w:rFonts w:ascii="Arial" w:hAnsi="Arial" w:cs="Arial"/>
          <w:color w:val="000000"/>
          <w:sz w:val="20"/>
          <w:szCs w:val="20"/>
        </w:rPr>
        <w:t>:</w:t>
      </w:r>
    </w:p>
    <w:p w:rsidR="00586B17" w:rsidRPr="008625F9" w:rsidRDefault="00586B17" w:rsidP="003F2483">
      <w:pPr>
        <w:pStyle w:val="NoSpacing"/>
        <w:spacing w:after="200" w:line="360" w:lineRule="auto"/>
        <w:rPr>
          <w:rFonts w:ascii="Arial" w:hAnsi="Arial" w:cs="Arial"/>
          <w:color w:val="000000"/>
          <w:sz w:val="20"/>
          <w:szCs w:val="20"/>
        </w:rPr>
      </w:pPr>
      <w:r w:rsidRPr="008625F9">
        <w:rPr>
          <w:rFonts w:ascii="Arial" w:hAnsi="Arial" w:cs="Arial"/>
          <w:i/>
          <w:color w:val="000000"/>
          <w:sz w:val="20"/>
          <w:szCs w:val="20"/>
        </w:rPr>
        <w:t xml:space="preserve">Step 1: Identifying the subject. </w:t>
      </w:r>
      <w:r w:rsidRPr="008625F9">
        <w:rPr>
          <w:rFonts w:ascii="Arial" w:hAnsi="Arial" w:cs="Arial"/>
          <w:color w:val="000000"/>
          <w:sz w:val="20"/>
          <w:szCs w:val="20"/>
        </w:rPr>
        <w:t xml:space="preserve">A cross-sectional analysis of a random sample of 165 requests for Alzheimer`s treatment between Oct 2012 and May 2013 from Minas </w:t>
      </w:r>
      <w:proofErr w:type="spellStart"/>
      <w:r w:rsidRPr="008625F9">
        <w:rPr>
          <w:rFonts w:ascii="Arial" w:hAnsi="Arial" w:cs="Arial"/>
          <w:color w:val="000000"/>
          <w:sz w:val="20"/>
          <w:szCs w:val="20"/>
        </w:rPr>
        <w:t>Gerais</w:t>
      </w:r>
      <w:proofErr w:type="spellEnd"/>
      <w:r w:rsidRPr="008625F9">
        <w:rPr>
          <w:rFonts w:ascii="Arial" w:hAnsi="Arial" w:cs="Arial"/>
          <w:color w:val="000000"/>
          <w:sz w:val="20"/>
          <w:szCs w:val="20"/>
        </w:rPr>
        <w:t xml:space="preserve"> state showed a 38% rate of non-approval</w:t>
      </w:r>
      <w:r w:rsidR="00FE3256" w:rsidRPr="008625F9">
        <w:rPr>
          <w:rFonts w:ascii="Arial" w:hAnsi="Arial" w:cs="Arial"/>
          <w:color w:val="000000"/>
          <w:sz w:val="20"/>
          <w:szCs w:val="20"/>
        </w:rPr>
        <w:t>. This was</w:t>
      </w:r>
      <w:r w:rsidRPr="008625F9">
        <w:rPr>
          <w:rFonts w:ascii="Arial" w:hAnsi="Arial" w:cs="Arial"/>
          <w:color w:val="000000"/>
          <w:sz w:val="20"/>
          <w:szCs w:val="20"/>
        </w:rPr>
        <w:t xml:space="preserve"> mainly due to incongruence or wrong application of </w:t>
      </w:r>
      <w:r w:rsidR="00E57A5E" w:rsidRPr="008625F9">
        <w:rPr>
          <w:rFonts w:ascii="Arial" w:hAnsi="Arial" w:cs="Arial"/>
          <w:color w:val="000000"/>
          <w:sz w:val="20"/>
          <w:szCs w:val="20"/>
        </w:rPr>
        <w:t xml:space="preserve">the </w:t>
      </w:r>
      <w:r w:rsidRPr="008625F9">
        <w:rPr>
          <w:rFonts w:ascii="Arial" w:hAnsi="Arial" w:cs="Arial"/>
          <w:color w:val="000000"/>
          <w:sz w:val="20"/>
          <w:szCs w:val="20"/>
        </w:rPr>
        <w:t>cognitive tests (30%) a</w:t>
      </w:r>
      <w:r w:rsidR="00FE3256" w:rsidRPr="008625F9">
        <w:rPr>
          <w:rFonts w:ascii="Arial" w:hAnsi="Arial" w:cs="Arial"/>
          <w:color w:val="000000"/>
          <w:sz w:val="20"/>
          <w:szCs w:val="20"/>
        </w:rPr>
        <w:t>s well as the</w:t>
      </w:r>
      <w:r w:rsidRPr="008625F9">
        <w:rPr>
          <w:rFonts w:ascii="Arial" w:hAnsi="Arial" w:cs="Arial"/>
          <w:color w:val="000000"/>
          <w:sz w:val="20"/>
          <w:szCs w:val="20"/>
        </w:rPr>
        <w:t xml:space="preserve"> presence of not eligible conditions</w:t>
      </w:r>
      <w:r w:rsidR="00FE3256" w:rsidRPr="008625F9">
        <w:rPr>
          <w:rFonts w:ascii="Arial" w:hAnsi="Arial" w:cs="Arial"/>
          <w:color w:val="000000"/>
          <w:sz w:val="20"/>
          <w:szCs w:val="20"/>
        </w:rPr>
        <w:t xml:space="preserve"> including</w:t>
      </w:r>
      <w:r w:rsidRPr="008625F9">
        <w:rPr>
          <w:rFonts w:ascii="Arial" w:hAnsi="Arial" w:cs="Arial"/>
          <w:color w:val="000000"/>
          <w:sz w:val="20"/>
          <w:szCs w:val="20"/>
        </w:rPr>
        <w:t xml:space="preserve"> advanced disease</w:t>
      </w:r>
      <w:r w:rsidR="00AF5335" w:rsidRPr="008625F9">
        <w:rPr>
          <w:rFonts w:ascii="Arial" w:hAnsi="Arial" w:cs="Arial"/>
          <w:color w:val="000000"/>
          <w:sz w:val="20"/>
          <w:szCs w:val="20"/>
        </w:rPr>
        <w:t xml:space="preserve"> </w:t>
      </w:r>
      <w:r w:rsidRPr="008625F9">
        <w:rPr>
          <w:rFonts w:ascii="Arial" w:hAnsi="Arial" w:cs="Arial"/>
          <w:color w:val="000000"/>
          <w:sz w:val="20"/>
          <w:szCs w:val="20"/>
        </w:rPr>
        <w:t>(12%) or untreated depression (7%). Th</w:t>
      </w:r>
      <w:r w:rsidR="00FE3256" w:rsidRPr="008625F9">
        <w:rPr>
          <w:rFonts w:ascii="Arial" w:hAnsi="Arial" w:cs="Arial"/>
          <w:color w:val="000000"/>
          <w:sz w:val="20"/>
          <w:szCs w:val="20"/>
        </w:rPr>
        <w:t>ese</w:t>
      </w:r>
      <w:r w:rsidRPr="008625F9">
        <w:rPr>
          <w:rFonts w:ascii="Arial" w:hAnsi="Arial" w:cs="Arial"/>
          <w:color w:val="000000"/>
          <w:sz w:val="20"/>
          <w:szCs w:val="20"/>
        </w:rPr>
        <w:t xml:space="preserve"> results suggested non-observance of the CPTG inclusion criteria and lack of knowledge in how to perform cognitive tests</w:t>
      </w:r>
      <w:r w:rsidR="00FE3256" w:rsidRPr="008625F9">
        <w:rPr>
          <w:rFonts w:ascii="Arial" w:hAnsi="Arial" w:cs="Arial"/>
          <w:color w:val="000000"/>
          <w:sz w:val="20"/>
          <w:szCs w:val="20"/>
        </w:rPr>
        <w:t xml:space="preserve"> among physicians</w:t>
      </w:r>
      <w:r w:rsidRPr="008625F9">
        <w:rPr>
          <w:rFonts w:ascii="Arial" w:hAnsi="Arial" w:cs="Arial"/>
          <w:color w:val="000000"/>
          <w:sz w:val="20"/>
          <w:szCs w:val="20"/>
        </w:rPr>
        <w:t xml:space="preserve">. For this reason, Alzheimer’s disease was chosen for the pilot study </w:t>
      </w:r>
      <w:r w:rsidRPr="008625F9">
        <w:rPr>
          <w:rFonts w:ascii="Arial" w:hAnsi="Arial" w:cs="Arial"/>
          <w:noProof/>
          <w:color w:val="000000"/>
          <w:sz w:val="20"/>
          <w:szCs w:val="20"/>
        </w:rPr>
        <w:t>(37)</w:t>
      </w:r>
      <w:r w:rsidR="00FE3256" w:rsidRPr="008625F9">
        <w:rPr>
          <w:rFonts w:ascii="Arial" w:hAnsi="Arial" w:cs="Arial"/>
          <w:noProof/>
          <w:color w:val="000000"/>
          <w:sz w:val="20"/>
          <w:szCs w:val="20"/>
        </w:rPr>
        <w:t>.</w:t>
      </w:r>
    </w:p>
    <w:p w:rsidR="00586B17" w:rsidRPr="008625F9" w:rsidRDefault="00586B17" w:rsidP="003F2483">
      <w:pPr>
        <w:pStyle w:val="NoSpacing"/>
        <w:spacing w:after="200" w:line="360" w:lineRule="auto"/>
        <w:rPr>
          <w:rFonts w:ascii="Arial" w:hAnsi="Arial" w:cs="Arial"/>
          <w:color w:val="000000"/>
          <w:sz w:val="20"/>
          <w:szCs w:val="20"/>
        </w:rPr>
      </w:pPr>
      <w:r w:rsidRPr="008625F9">
        <w:rPr>
          <w:rFonts w:ascii="Arial" w:hAnsi="Arial" w:cs="Arial"/>
          <w:i/>
          <w:color w:val="000000"/>
          <w:sz w:val="20"/>
          <w:szCs w:val="20"/>
        </w:rPr>
        <w:t>Step 2: Defining the purpose of the Academic Detailing.</w:t>
      </w:r>
      <w:r w:rsidRPr="008625F9">
        <w:rPr>
          <w:rFonts w:ascii="Arial" w:hAnsi="Arial" w:cs="Arial"/>
          <w:color w:val="000000"/>
          <w:sz w:val="20"/>
          <w:szCs w:val="20"/>
        </w:rPr>
        <w:t xml:space="preserve"> The purpose of the pilot was to disseminate, </w:t>
      </w:r>
      <w:r w:rsidRPr="008625F9">
        <w:rPr>
          <w:rFonts w:ascii="Arial" w:hAnsi="Arial" w:cs="Arial"/>
          <w:sz w:val="20"/>
          <w:szCs w:val="20"/>
        </w:rPr>
        <w:t xml:space="preserve">in Minas </w:t>
      </w:r>
      <w:proofErr w:type="spellStart"/>
      <w:r w:rsidRPr="008625F9">
        <w:rPr>
          <w:rFonts w:ascii="Arial" w:hAnsi="Arial" w:cs="Arial"/>
          <w:sz w:val="20"/>
          <w:szCs w:val="20"/>
        </w:rPr>
        <w:t>Gerais</w:t>
      </w:r>
      <w:proofErr w:type="spellEnd"/>
      <w:r w:rsidRPr="008625F9">
        <w:rPr>
          <w:rFonts w:ascii="Arial" w:hAnsi="Arial" w:cs="Arial"/>
          <w:sz w:val="20"/>
          <w:szCs w:val="20"/>
        </w:rPr>
        <w:t>,</w:t>
      </w:r>
      <w:r w:rsidRPr="008625F9">
        <w:rPr>
          <w:rFonts w:ascii="Arial" w:hAnsi="Arial" w:cs="Arial"/>
          <w:color w:val="000000"/>
          <w:sz w:val="20"/>
          <w:szCs w:val="20"/>
        </w:rPr>
        <w:t xml:space="preserve"> the </w:t>
      </w:r>
      <w:r w:rsidRPr="008625F9">
        <w:rPr>
          <w:rFonts w:ascii="Arial" w:hAnsi="Arial" w:cs="Arial"/>
          <w:sz w:val="20"/>
          <w:szCs w:val="20"/>
        </w:rPr>
        <w:t xml:space="preserve">CPTG for Alzheimer’s disease developed by the Ministry and by the State of Health of Minas </w:t>
      </w:r>
      <w:proofErr w:type="spellStart"/>
      <w:r w:rsidRPr="008625F9">
        <w:rPr>
          <w:rFonts w:ascii="Arial" w:hAnsi="Arial" w:cs="Arial"/>
          <w:sz w:val="20"/>
          <w:szCs w:val="20"/>
        </w:rPr>
        <w:t>Gerais</w:t>
      </w:r>
      <w:proofErr w:type="spellEnd"/>
      <w:r w:rsidRPr="008625F9">
        <w:rPr>
          <w:rFonts w:ascii="Arial" w:hAnsi="Arial" w:cs="Arial"/>
          <w:sz w:val="20"/>
          <w:szCs w:val="20"/>
        </w:rPr>
        <w:t>.</w:t>
      </w:r>
      <w:r w:rsidR="00FE3256" w:rsidRPr="008625F9">
        <w:rPr>
          <w:rFonts w:ascii="Arial" w:hAnsi="Arial" w:cs="Arial"/>
          <w:sz w:val="20"/>
          <w:szCs w:val="20"/>
        </w:rPr>
        <w:t xml:space="preserve"> As a result, improve physician familiarity with the guidelines to improve care and reduce future denials.</w:t>
      </w:r>
    </w:p>
    <w:p w:rsidR="00586B17" w:rsidRPr="008625F9" w:rsidRDefault="00586B17" w:rsidP="003F2483">
      <w:pPr>
        <w:pStyle w:val="NoSpacing"/>
        <w:spacing w:after="200" w:line="360" w:lineRule="auto"/>
        <w:rPr>
          <w:rFonts w:ascii="Arial" w:hAnsi="Arial" w:cs="Arial"/>
          <w:color w:val="000000"/>
          <w:sz w:val="20"/>
          <w:szCs w:val="20"/>
        </w:rPr>
      </w:pPr>
      <w:r w:rsidRPr="008625F9">
        <w:rPr>
          <w:rFonts w:ascii="Arial" w:hAnsi="Arial" w:cs="Arial"/>
          <w:i/>
          <w:color w:val="000000"/>
          <w:sz w:val="20"/>
          <w:szCs w:val="20"/>
        </w:rPr>
        <w:t>Step 3: Providing the team and planning</w:t>
      </w:r>
      <w:r w:rsidRPr="008625F9">
        <w:rPr>
          <w:rFonts w:ascii="Arial" w:hAnsi="Arial" w:cs="Arial"/>
          <w:color w:val="000000"/>
          <w:sz w:val="20"/>
          <w:szCs w:val="20"/>
        </w:rPr>
        <w:t xml:space="preserve">. One expert in the field, two research coordinators, two pharmacists and four academics were responsible for planning the academic detailing visits, including the outsourced services, educational materials, hiring and training </w:t>
      </w:r>
      <w:r w:rsidR="00AF5335" w:rsidRPr="008625F9">
        <w:rPr>
          <w:rFonts w:ascii="Arial" w:hAnsi="Arial" w:cs="Arial"/>
          <w:color w:val="000000"/>
          <w:sz w:val="20"/>
          <w:szCs w:val="20"/>
        </w:rPr>
        <w:t xml:space="preserve">of </w:t>
      </w:r>
      <w:r w:rsidRPr="008625F9">
        <w:rPr>
          <w:rFonts w:ascii="Arial" w:hAnsi="Arial" w:cs="Arial"/>
          <w:color w:val="000000"/>
          <w:sz w:val="20"/>
          <w:szCs w:val="20"/>
        </w:rPr>
        <w:t xml:space="preserve">facilitators. </w:t>
      </w:r>
      <w:r w:rsidR="00FE3256" w:rsidRPr="008625F9">
        <w:rPr>
          <w:rFonts w:ascii="Arial" w:hAnsi="Arial" w:cs="Arial"/>
          <w:color w:val="000000"/>
          <w:sz w:val="20"/>
          <w:szCs w:val="20"/>
        </w:rPr>
        <w:t>T</w:t>
      </w:r>
      <w:r w:rsidRPr="008625F9">
        <w:rPr>
          <w:rFonts w:ascii="Arial" w:hAnsi="Arial" w:cs="Arial"/>
          <w:color w:val="000000"/>
          <w:sz w:val="20"/>
          <w:szCs w:val="20"/>
        </w:rPr>
        <w:t>he team determined the number of visits required to solve/minimize the identified problem. The calculation of sample size was based on the prevalence of returned requests for Alzheimer’s Disease treatment found in previous research and subsequently considering a difference of 20% in th</w:t>
      </w:r>
      <w:r w:rsidR="00FE3256" w:rsidRPr="008625F9">
        <w:rPr>
          <w:rFonts w:ascii="Arial" w:hAnsi="Arial" w:cs="Arial"/>
          <w:color w:val="000000"/>
          <w:sz w:val="20"/>
          <w:szCs w:val="20"/>
        </w:rPr>
        <w:t>e</w:t>
      </w:r>
      <w:r w:rsidRPr="008625F9">
        <w:rPr>
          <w:rFonts w:ascii="Arial" w:hAnsi="Arial" w:cs="Arial"/>
          <w:color w:val="000000"/>
          <w:sz w:val="20"/>
          <w:szCs w:val="20"/>
        </w:rPr>
        <w:t xml:space="preserve"> outcome between control and intervention groups, in addition to a 12% possible drop-out rate. The estimated sample was 114 participants, 57 for each group. For each participant in the intervention group, it was envisaged a minimum of two and a maximum of three visits were needed to improve future prescribing according to the </w:t>
      </w:r>
      <w:r w:rsidRPr="008625F9">
        <w:rPr>
          <w:rFonts w:ascii="Arial" w:hAnsi="Arial" w:cs="Arial"/>
          <w:sz w:val="20"/>
          <w:szCs w:val="20"/>
        </w:rPr>
        <w:t>CPTG</w:t>
      </w:r>
      <w:r w:rsidRPr="008625F9">
        <w:rPr>
          <w:rFonts w:ascii="Arial" w:hAnsi="Arial" w:cs="Arial"/>
          <w:color w:val="000000"/>
          <w:sz w:val="20"/>
          <w:szCs w:val="20"/>
        </w:rPr>
        <w:t>.</w:t>
      </w:r>
    </w:p>
    <w:p w:rsidR="00586B17" w:rsidRPr="008625F9" w:rsidRDefault="00586B17" w:rsidP="003F2483">
      <w:pPr>
        <w:pStyle w:val="NoSpacing"/>
        <w:spacing w:after="200" w:line="360" w:lineRule="auto"/>
        <w:rPr>
          <w:rFonts w:ascii="Arial" w:hAnsi="Arial" w:cs="Arial"/>
          <w:sz w:val="20"/>
          <w:szCs w:val="20"/>
        </w:rPr>
      </w:pPr>
      <w:r w:rsidRPr="008625F9">
        <w:rPr>
          <w:rFonts w:ascii="Arial" w:hAnsi="Arial" w:cs="Arial"/>
          <w:i/>
          <w:color w:val="000000"/>
          <w:sz w:val="20"/>
          <w:szCs w:val="20"/>
        </w:rPr>
        <w:lastRenderedPageBreak/>
        <w:t>Step 4: Developing and acquiring support materials.</w:t>
      </w:r>
      <w:r w:rsidRPr="008625F9">
        <w:rPr>
          <w:rFonts w:ascii="Arial" w:hAnsi="Arial" w:cs="Arial"/>
          <w:color w:val="000000"/>
          <w:sz w:val="20"/>
          <w:szCs w:val="20"/>
        </w:rPr>
        <w:t xml:space="preserve"> Handouts with key messages to physicians and folders for patients and caregivers were developed. These educational materials were simple, objective and attractive, </w:t>
      </w:r>
      <w:r w:rsidR="0036608B" w:rsidRPr="008625F9">
        <w:rPr>
          <w:rFonts w:ascii="Arial" w:hAnsi="Arial" w:cs="Arial"/>
          <w:color w:val="000000"/>
          <w:sz w:val="20"/>
          <w:szCs w:val="20"/>
        </w:rPr>
        <w:t>with</w:t>
      </w:r>
      <w:r w:rsidRPr="008625F9">
        <w:rPr>
          <w:rFonts w:ascii="Arial" w:hAnsi="Arial" w:cs="Arial"/>
          <w:color w:val="000000"/>
          <w:sz w:val="20"/>
          <w:szCs w:val="20"/>
        </w:rPr>
        <w:t xml:space="preserve"> the physician’s handout consisted of three volumes. We also provided </w:t>
      </w:r>
      <w:r w:rsidRPr="008625F9">
        <w:rPr>
          <w:rFonts w:ascii="Arial" w:hAnsi="Arial" w:cs="Arial"/>
          <w:sz w:val="20"/>
          <w:szCs w:val="20"/>
        </w:rPr>
        <w:t>the Ministry of Health’s</w:t>
      </w:r>
      <w:r w:rsidRPr="008625F9">
        <w:rPr>
          <w:rFonts w:ascii="Arial" w:hAnsi="Arial" w:cs="Arial"/>
          <w:color w:val="000000"/>
          <w:sz w:val="20"/>
          <w:szCs w:val="20"/>
        </w:rPr>
        <w:t xml:space="preserve"> book of </w:t>
      </w:r>
      <w:r w:rsidRPr="008625F9">
        <w:rPr>
          <w:rFonts w:ascii="Arial" w:hAnsi="Arial" w:cs="Arial"/>
          <w:sz w:val="20"/>
          <w:szCs w:val="20"/>
        </w:rPr>
        <w:t>CPTGs, a flash drive containing all the material needed to request drugs at the CEAF, and a book documenting how to perform multidimensional assessments of the elderly (Figure 1). In each visit, at least one material was delivered.</w:t>
      </w:r>
    </w:p>
    <w:p w:rsidR="008625F9" w:rsidRPr="00972C42" w:rsidRDefault="008625F9" w:rsidP="00972C42">
      <w:pPr>
        <w:pStyle w:val="NoSpacing"/>
        <w:rPr>
          <w:rFonts w:ascii="Arial" w:hAnsi="Arial" w:cs="Arial"/>
          <w:sz w:val="20"/>
          <w:szCs w:val="20"/>
        </w:rPr>
      </w:pPr>
      <w:r w:rsidRPr="00972C42">
        <w:rPr>
          <w:rFonts w:ascii="Arial" w:hAnsi="Arial" w:cs="Arial"/>
          <w:sz w:val="20"/>
          <w:szCs w:val="20"/>
        </w:rPr>
        <w:t xml:space="preserve">Figure1 – Materials provided for the Academic Detailing </w:t>
      </w:r>
      <w:proofErr w:type="spellStart"/>
      <w:r w:rsidRPr="00972C42">
        <w:rPr>
          <w:rFonts w:ascii="Arial" w:hAnsi="Arial" w:cs="Arial"/>
          <w:sz w:val="20"/>
          <w:szCs w:val="20"/>
        </w:rPr>
        <w:t>Programme</w:t>
      </w:r>
      <w:proofErr w:type="spellEnd"/>
      <w:r w:rsidRPr="00972C42">
        <w:rPr>
          <w:rFonts w:ascii="Arial" w:hAnsi="Arial" w:cs="Arial"/>
          <w:sz w:val="20"/>
          <w:szCs w:val="20"/>
        </w:rPr>
        <w:t xml:space="preserve"> in Brazil</w:t>
      </w:r>
    </w:p>
    <w:p w:rsidR="008625F9" w:rsidRPr="00972C42" w:rsidRDefault="008625F9" w:rsidP="00972C42">
      <w:pPr>
        <w:pStyle w:val="NoSpacing"/>
        <w:rPr>
          <w:rFonts w:ascii="Arial" w:hAnsi="Arial" w:cs="Arial"/>
          <w:sz w:val="20"/>
          <w:szCs w:val="20"/>
        </w:rPr>
      </w:pPr>
    </w:p>
    <w:p w:rsidR="008625F9" w:rsidRPr="008625F9" w:rsidRDefault="008625F9" w:rsidP="003F2483">
      <w:pPr>
        <w:pStyle w:val="NoSpacing"/>
        <w:spacing w:after="200" w:line="360" w:lineRule="auto"/>
        <w:rPr>
          <w:rFonts w:ascii="Arial" w:hAnsi="Arial" w:cs="Arial"/>
          <w:color w:val="000000"/>
          <w:sz w:val="20"/>
          <w:szCs w:val="20"/>
        </w:rPr>
      </w:pPr>
      <w:r w:rsidRPr="008625F9">
        <w:rPr>
          <w:rFonts w:ascii="Arial" w:hAnsi="Arial" w:cs="Arial"/>
          <w:noProof/>
          <w:color w:val="000000"/>
          <w:sz w:val="20"/>
          <w:szCs w:val="20"/>
          <w:lang w:val="en-GB" w:eastAsia="en-GB" w:bidi="ar-SA"/>
        </w:rPr>
        <w:drawing>
          <wp:inline distT="0" distB="0" distL="0" distR="0" wp14:anchorId="30B1C28D" wp14:editId="2E815FA2">
            <wp:extent cx="5400040" cy="4050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586B17" w:rsidRPr="008625F9" w:rsidRDefault="00586B17" w:rsidP="003F2483">
      <w:pPr>
        <w:pStyle w:val="NoSpacing"/>
        <w:spacing w:after="200" w:line="360" w:lineRule="auto"/>
        <w:rPr>
          <w:rFonts w:ascii="Arial" w:hAnsi="Arial" w:cs="Arial"/>
          <w:color w:val="000000"/>
          <w:sz w:val="20"/>
          <w:szCs w:val="20"/>
        </w:rPr>
      </w:pPr>
      <w:r w:rsidRPr="008625F9">
        <w:rPr>
          <w:rFonts w:ascii="Arial" w:hAnsi="Arial" w:cs="Arial"/>
          <w:i/>
          <w:color w:val="000000"/>
          <w:sz w:val="20"/>
          <w:szCs w:val="20"/>
        </w:rPr>
        <w:t>Step 5: Selecting participants.</w:t>
      </w:r>
      <w:r w:rsidRPr="008625F9">
        <w:rPr>
          <w:rFonts w:ascii="Arial" w:hAnsi="Arial" w:cs="Arial"/>
          <w:color w:val="000000"/>
          <w:sz w:val="20"/>
          <w:szCs w:val="20"/>
        </w:rPr>
        <w:t xml:space="preserve"> The sample was randomly selected from a database of all physicians that requested </w:t>
      </w:r>
      <w:r w:rsidR="0036608B" w:rsidRPr="008625F9">
        <w:rPr>
          <w:rFonts w:ascii="Arial" w:hAnsi="Arial" w:cs="Arial"/>
          <w:color w:val="000000"/>
          <w:sz w:val="20"/>
          <w:szCs w:val="20"/>
        </w:rPr>
        <w:t xml:space="preserve">on </w:t>
      </w:r>
      <w:r w:rsidRPr="008625F9">
        <w:rPr>
          <w:rFonts w:ascii="Arial" w:hAnsi="Arial" w:cs="Arial"/>
          <w:color w:val="000000"/>
          <w:sz w:val="20"/>
          <w:szCs w:val="20"/>
        </w:rPr>
        <w:t xml:space="preserve">at least three </w:t>
      </w:r>
      <w:r w:rsidR="0036608B" w:rsidRPr="008625F9">
        <w:rPr>
          <w:rFonts w:ascii="Arial" w:hAnsi="Arial" w:cs="Arial"/>
          <w:color w:val="000000"/>
          <w:sz w:val="20"/>
          <w:szCs w:val="20"/>
        </w:rPr>
        <w:t xml:space="preserve">occasions </w:t>
      </w:r>
      <w:r w:rsidRPr="008625F9">
        <w:rPr>
          <w:rFonts w:ascii="Arial" w:hAnsi="Arial" w:cs="Arial"/>
          <w:color w:val="000000"/>
          <w:sz w:val="20"/>
          <w:szCs w:val="20"/>
        </w:rPr>
        <w:t>medicines for the treatment of Alzheimer’s disease through the CEAF during the year prior to the study. The prescribers included psychiatrists, neurologists, geriatricians and general practitioners.</w:t>
      </w:r>
    </w:p>
    <w:p w:rsidR="00586B17" w:rsidRPr="008625F9" w:rsidRDefault="00586B17" w:rsidP="003F2483">
      <w:pPr>
        <w:pStyle w:val="NoSpacing"/>
        <w:spacing w:after="200" w:line="360" w:lineRule="auto"/>
        <w:rPr>
          <w:rFonts w:ascii="Arial" w:hAnsi="Arial" w:cs="Arial"/>
          <w:color w:val="000000"/>
          <w:sz w:val="20"/>
          <w:szCs w:val="20"/>
        </w:rPr>
      </w:pPr>
      <w:r w:rsidRPr="008625F9">
        <w:rPr>
          <w:rFonts w:ascii="Arial" w:hAnsi="Arial" w:cs="Arial"/>
          <w:i/>
          <w:color w:val="000000"/>
          <w:sz w:val="20"/>
          <w:szCs w:val="20"/>
        </w:rPr>
        <w:t>Step 6: Recruiting and training facilitators</w:t>
      </w:r>
      <w:r w:rsidR="00E04590" w:rsidRPr="008625F9">
        <w:rPr>
          <w:rFonts w:ascii="Arial" w:hAnsi="Arial" w:cs="Arial"/>
          <w:i/>
          <w:color w:val="000000"/>
          <w:sz w:val="20"/>
          <w:szCs w:val="20"/>
        </w:rPr>
        <w:t xml:space="preserve"> (academic detailers)</w:t>
      </w:r>
      <w:r w:rsidRPr="008625F9">
        <w:rPr>
          <w:rFonts w:ascii="Arial" w:hAnsi="Arial" w:cs="Arial"/>
          <w:i/>
          <w:color w:val="000000"/>
          <w:sz w:val="20"/>
          <w:szCs w:val="20"/>
        </w:rPr>
        <w:t>.</w:t>
      </w:r>
      <w:r w:rsidRPr="008625F9">
        <w:rPr>
          <w:rFonts w:ascii="Arial" w:hAnsi="Arial" w:cs="Arial"/>
          <w:color w:val="000000"/>
          <w:sz w:val="20"/>
          <w:szCs w:val="20"/>
        </w:rPr>
        <w:t xml:space="preserve"> Eight pharmacists with experiences in SUS and in evidence-based medicine concepts were recruited and trained as follows: (</w:t>
      </w:r>
      <w:proofErr w:type="spellStart"/>
      <w:r w:rsidRPr="008625F9">
        <w:rPr>
          <w:rFonts w:ascii="Arial" w:hAnsi="Arial" w:cs="Arial"/>
          <w:color w:val="000000"/>
          <w:sz w:val="20"/>
          <w:szCs w:val="20"/>
        </w:rPr>
        <w:t>i</w:t>
      </w:r>
      <w:proofErr w:type="spellEnd"/>
      <w:r w:rsidRPr="008625F9">
        <w:rPr>
          <w:rFonts w:ascii="Arial" w:hAnsi="Arial" w:cs="Arial"/>
          <w:color w:val="000000"/>
          <w:sz w:val="20"/>
          <w:szCs w:val="20"/>
        </w:rPr>
        <w:t xml:space="preserve">) studying the topic </w:t>
      </w:r>
      <w:r w:rsidR="000E410A" w:rsidRPr="008625F9">
        <w:rPr>
          <w:rFonts w:ascii="Arial" w:hAnsi="Arial" w:cs="Arial"/>
          <w:color w:val="000000"/>
          <w:sz w:val="20"/>
          <w:szCs w:val="20"/>
        </w:rPr>
        <w:t>in their own time</w:t>
      </w:r>
      <w:r w:rsidRPr="008625F9">
        <w:rPr>
          <w:rFonts w:ascii="Arial" w:hAnsi="Arial" w:cs="Arial"/>
          <w:color w:val="000000"/>
          <w:sz w:val="20"/>
          <w:szCs w:val="20"/>
        </w:rPr>
        <w:t>; (ii)</w:t>
      </w:r>
      <w:r w:rsidRPr="008625F9">
        <w:rPr>
          <w:rFonts w:ascii="Arial" w:hAnsi="Arial" w:cs="Arial"/>
          <w:color w:val="000000"/>
          <w:sz w:val="20"/>
          <w:szCs w:val="20"/>
          <w:shd w:val="clear" w:color="auto" w:fill="FFFFFF"/>
        </w:rPr>
        <w:t xml:space="preserve"> learning the principles and techniques of </w:t>
      </w:r>
      <w:r w:rsidR="000E410A" w:rsidRPr="008625F9">
        <w:rPr>
          <w:rFonts w:ascii="Arial" w:hAnsi="Arial" w:cs="Arial"/>
          <w:color w:val="000000"/>
          <w:sz w:val="20"/>
          <w:szCs w:val="20"/>
          <w:shd w:val="clear" w:color="auto" w:fill="FFFFFF"/>
        </w:rPr>
        <w:t>academic detailing</w:t>
      </w:r>
      <w:r w:rsidRPr="008625F9">
        <w:rPr>
          <w:rFonts w:ascii="Arial" w:hAnsi="Arial" w:cs="Arial"/>
          <w:color w:val="000000"/>
          <w:sz w:val="20"/>
          <w:szCs w:val="20"/>
          <w:shd w:val="clear" w:color="auto" w:fill="FFFFFF"/>
        </w:rPr>
        <w:t>; (iii) learning the</w:t>
      </w:r>
      <w:r w:rsidRPr="008625F9">
        <w:rPr>
          <w:rStyle w:val="apple-converted-space"/>
          <w:rFonts w:ascii="Arial" w:hAnsi="Arial" w:cs="Arial"/>
          <w:color w:val="000000"/>
          <w:sz w:val="20"/>
          <w:szCs w:val="20"/>
          <w:shd w:val="clear" w:color="auto" w:fill="FFFFFF"/>
        </w:rPr>
        <w:t> </w:t>
      </w:r>
      <w:r w:rsidRPr="008625F9">
        <w:rPr>
          <w:rFonts w:ascii="Arial" w:hAnsi="Arial" w:cs="Arial"/>
          <w:color w:val="000000"/>
          <w:sz w:val="20"/>
          <w:szCs w:val="20"/>
          <w:shd w:val="clear" w:color="auto" w:fill="FFFFFF"/>
        </w:rPr>
        <w:t>clinical content</w:t>
      </w:r>
      <w:r w:rsidR="000E410A" w:rsidRPr="008625F9">
        <w:rPr>
          <w:rFonts w:ascii="Arial" w:hAnsi="Arial" w:cs="Arial"/>
          <w:color w:val="000000"/>
          <w:sz w:val="20"/>
          <w:szCs w:val="20"/>
          <w:shd w:val="clear" w:color="auto" w:fill="FFFFFF"/>
        </w:rPr>
        <w:t xml:space="preserve"> of the detailing materials</w:t>
      </w:r>
      <w:r w:rsidRPr="008625F9">
        <w:rPr>
          <w:rFonts w:ascii="Arial" w:hAnsi="Arial" w:cs="Arial"/>
          <w:color w:val="000000"/>
          <w:sz w:val="20"/>
          <w:szCs w:val="20"/>
          <w:shd w:val="clear" w:color="auto" w:fill="FFFFFF"/>
        </w:rPr>
        <w:t xml:space="preserve">; and </w:t>
      </w:r>
      <w:proofErr w:type="gramStart"/>
      <w:r w:rsidRPr="008625F9">
        <w:rPr>
          <w:rFonts w:ascii="Arial" w:hAnsi="Arial" w:cs="Arial"/>
          <w:color w:val="000000"/>
          <w:sz w:val="20"/>
          <w:szCs w:val="20"/>
          <w:shd w:val="clear" w:color="auto" w:fill="FFFFFF"/>
        </w:rPr>
        <w:t>(iv) simulating</w:t>
      </w:r>
      <w:proofErr w:type="gramEnd"/>
      <w:r w:rsidRPr="008625F9">
        <w:rPr>
          <w:rFonts w:ascii="Arial" w:hAnsi="Arial" w:cs="Arial"/>
          <w:color w:val="000000"/>
          <w:sz w:val="20"/>
          <w:szCs w:val="20"/>
          <w:shd w:val="clear" w:color="auto" w:fill="FFFFFF"/>
        </w:rPr>
        <w:t xml:space="preserve"> the visit.</w:t>
      </w:r>
      <w:r w:rsidRPr="008625F9">
        <w:rPr>
          <w:rFonts w:ascii="Arial" w:hAnsi="Arial" w:cs="Arial"/>
          <w:color w:val="000000"/>
          <w:sz w:val="20"/>
          <w:szCs w:val="20"/>
        </w:rPr>
        <w:t xml:space="preserve"> In total, the training took an average of 12 hours.  At the end of the training, each facilitator received a name card, a badge, the support materials and a list of prescribers to be visited</w:t>
      </w:r>
      <w:r w:rsidR="000E410A" w:rsidRPr="008625F9">
        <w:rPr>
          <w:rFonts w:ascii="Arial" w:hAnsi="Arial" w:cs="Arial"/>
          <w:color w:val="000000"/>
          <w:sz w:val="20"/>
          <w:szCs w:val="20"/>
        </w:rPr>
        <w:t xml:space="preserve">. This </w:t>
      </w:r>
      <w:r w:rsidRPr="008625F9">
        <w:rPr>
          <w:rFonts w:ascii="Arial" w:hAnsi="Arial" w:cs="Arial"/>
          <w:color w:val="000000"/>
          <w:sz w:val="20"/>
          <w:szCs w:val="20"/>
        </w:rPr>
        <w:t>contain</w:t>
      </w:r>
      <w:r w:rsidR="000E410A" w:rsidRPr="008625F9">
        <w:rPr>
          <w:rFonts w:ascii="Arial" w:hAnsi="Arial" w:cs="Arial"/>
          <w:color w:val="000000"/>
          <w:sz w:val="20"/>
          <w:szCs w:val="20"/>
        </w:rPr>
        <w:t>ed details of</w:t>
      </w:r>
      <w:r w:rsidRPr="008625F9">
        <w:rPr>
          <w:rFonts w:ascii="Arial" w:hAnsi="Arial" w:cs="Arial"/>
          <w:color w:val="000000"/>
          <w:sz w:val="20"/>
          <w:szCs w:val="20"/>
        </w:rPr>
        <w:t xml:space="preserve"> their specialty, working address and </w:t>
      </w:r>
      <w:r w:rsidR="000E410A" w:rsidRPr="008625F9">
        <w:rPr>
          <w:rFonts w:ascii="Arial" w:hAnsi="Arial" w:cs="Arial"/>
          <w:color w:val="000000"/>
          <w:sz w:val="20"/>
          <w:szCs w:val="20"/>
        </w:rPr>
        <w:t>tele</w:t>
      </w:r>
      <w:r w:rsidRPr="008625F9">
        <w:rPr>
          <w:rFonts w:ascii="Arial" w:hAnsi="Arial" w:cs="Arial"/>
          <w:color w:val="000000"/>
          <w:sz w:val="20"/>
          <w:szCs w:val="20"/>
        </w:rPr>
        <w:t>phone number.</w:t>
      </w:r>
    </w:p>
    <w:p w:rsidR="00586B17" w:rsidRPr="008625F9" w:rsidRDefault="00586B17" w:rsidP="003F2483">
      <w:pPr>
        <w:pStyle w:val="NoSpacing"/>
        <w:spacing w:after="200" w:line="360" w:lineRule="auto"/>
        <w:rPr>
          <w:rFonts w:ascii="Arial" w:hAnsi="Arial" w:cs="Arial"/>
          <w:color w:val="000000"/>
          <w:sz w:val="20"/>
          <w:szCs w:val="20"/>
          <w:shd w:val="clear" w:color="auto" w:fill="FFFFFF"/>
        </w:rPr>
      </w:pPr>
      <w:r w:rsidRPr="008625F9">
        <w:rPr>
          <w:rFonts w:ascii="Arial" w:hAnsi="Arial" w:cs="Arial"/>
          <w:i/>
          <w:color w:val="000000"/>
          <w:sz w:val="20"/>
          <w:szCs w:val="20"/>
          <w:shd w:val="clear" w:color="auto" w:fill="FFFFFF"/>
        </w:rPr>
        <w:lastRenderedPageBreak/>
        <w:t>Step 7: Conducting the educational outreach visits</w:t>
      </w:r>
      <w:r w:rsidRPr="008625F9">
        <w:rPr>
          <w:rFonts w:ascii="Arial" w:hAnsi="Arial" w:cs="Arial"/>
          <w:color w:val="000000"/>
          <w:sz w:val="20"/>
          <w:szCs w:val="20"/>
          <w:shd w:val="clear" w:color="auto" w:fill="FFFFFF"/>
        </w:rPr>
        <w:t xml:space="preserve">. Before the visit, the facilitators checked the prescriber address and availability. Once the </w:t>
      </w:r>
      <w:proofErr w:type="gramStart"/>
      <w:r w:rsidR="000E410A" w:rsidRPr="008625F9">
        <w:rPr>
          <w:rFonts w:ascii="Arial" w:hAnsi="Arial" w:cs="Arial"/>
          <w:color w:val="000000"/>
          <w:sz w:val="20"/>
          <w:szCs w:val="20"/>
          <w:shd w:val="clear" w:color="auto" w:fill="FFFFFF"/>
        </w:rPr>
        <w:t xml:space="preserve">academic </w:t>
      </w:r>
      <w:r w:rsidR="00AF5335" w:rsidRPr="008625F9">
        <w:rPr>
          <w:rFonts w:ascii="Arial" w:hAnsi="Arial" w:cs="Arial"/>
          <w:color w:val="000000"/>
          <w:sz w:val="20"/>
          <w:szCs w:val="20"/>
          <w:shd w:val="clear" w:color="auto" w:fill="FFFFFF"/>
        </w:rPr>
        <w:t xml:space="preserve"> </w:t>
      </w:r>
      <w:proofErr w:type="spellStart"/>
      <w:r w:rsidR="000E410A" w:rsidRPr="008625F9">
        <w:rPr>
          <w:rFonts w:ascii="Arial" w:hAnsi="Arial" w:cs="Arial"/>
          <w:color w:val="000000"/>
          <w:sz w:val="20"/>
          <w:szCs w:val="20"/>
          <w:shd w:val="clear" w:color="auto" w:fill="FFFFFF"/>
        </w:rPr>
        <w:t>detailier</w:t>
      </w:r>
      <w:proofErr w:type="spellEnd"/>
      <w:proofErr w:type="gramEnd"/>
      <w:r w:rsidRPr="008625F9">
        <w:rPr>
          <w:rFonts w:ascii="Arial" w:hAnsi="Arial" w:cs="Arial"/>
          <w:color w:val="000000"/>
          <w:sz w:val="20"/>
          <w:szCs w:val="20"/>
          <w:shd w:val="clear" w:color="auto" w:fill="FFFFFF"/>
        </w:rPr>
        <w:t xml:space="preserve"> was at the prescriber’s office, he/she presented him/herself to the assistant and waited until the prescriber was able to receive him/her. Each </w:t>
      </w:r>
      <w:r w:rsidR="000E410A" w:rsidRPr="008625F9">
        <w:rPr>
          <w:rFonts w:ascii="Arial" w:hAnsi="Arial" w:cs="Arial"/>
          <w:color w:val="000000"/>
          <w:sz w:val="20"/>
          <w:szCs w:val="20"/>
          <w:shd w:val="clear" w:color="auto" w:fill="FFFFFF"/>
        </w:rPr>
        <w:t>academic detailer</w:t>
      </w:r>
      <w:r w:rsidRPr="008625F9">
        <w:rPr>
          <w:rFonts w:ascii="Arial" w:hAnsi="Arial" w:cs="Arial"/>
          <w:color w:val="000000"/>
          <w:sz w:val="20"/>
          <w:szCs w:val="20"/>
          <w:shd w:val="clear" w:color="auto" w:fill="FFFFFF"/>
        </w:rPr>
        <w:t xml:space="preserve"> took a notebook with a standardized form to collect data from the visit and a space to write any observations.  37 (65%) physicians were visited. The duration of the visits depended on the receptivity and availability of the prescriber. All </w:t>
      </w:r>
      <w:r w:rsidR="000E410A" w:rsidRPr="008625F9">
        <w:rPr>
          <w:rFonts w:ascii="Arial" w:hAnsi="Arial" w:cs="Arial"/>
          <w:color w:val="000000"/>
          <w:sz w:val="20"/>
          <w:szCs w:val="20"/>
          <w:shd w:val="clear" w:color="auto" w:fill="FFFFFF"/>
        </w:rPr>
        <w:t>detailers</w:t>
      </w:r>
      <w:r w:rsidRPr="008625F9">
        <w:rPr>
          <w:rFonts w:ascii="Arial" w:hAnsi="Arial" w:cs="Arial"/>
          <w:color w:val="000000"/>
          <w:sz w:val="20"/>
          <w:szCs w:val="20"/>
          <w:shd w:val="clear" w:color="auto" w:fill="FFFFFF"/>
        </w:rPr>
        <w:t xml:space="preserve"> carried out at least two visits for each prescriber. It took two months for all </w:t>
      </w:r>
      <w:r w:rsidR="000E410A" w:rsidRPr="008625F9">
        <w:rPr>
          <w:rFonts w:ascii="Arial" w:hAnsi="Arial" w:cs="Arial"/>
          <w:color w:val="000000"/>
          <w:sz w:val="20"/>
          <w:szCs w:val="20"/>
          <w:shd w:val="clear" w:color="auto" w:fill="FFFFFF"/>
        </w:rPr>
        <w:t>academic detailers</w:t>
      </w:r>
      <w:r w:rsidRPr="008625F9">
        <w:rPr>
          <w:rFonts w:ascii="Arial" w:hAnsi="Arial" w:cs="Arial"/>
          <w:color w:val="000000"/>
          <w:sz w:val="20"/>
          <w:szCs w:val="20"/>
          <w:shd w:val="clear" w:color="auto" w:fill="FFFFFF"/>
        </w:rPr>
        <w:t xml:space="preserve"> to visit all prescribers.</w:t>
      </w:r>
    </w:p>
    <w:p w:rsidR="00586B17" w:rsidRPr="008625F9" w:rsidRDefault="00586B17" w:rsidP="003F2483">
      <w:pPr>
        <w:pStyle w:val="NoSpacing"/>
        <w:spacing w:after="200" w:line="360" w:lineRule="auto"/>
        <w:rPr>
          <w:rFonts w:ascii="Arial" w:hAnsi="Arial" w:cs="Arial"/>
          <w:color w:val="000000"/>
          <w:sz w:val="20"/>
          <w:szCs w:val="20"/>
          <w:shd w:val="clear" w:color="auto" w:fill="FFFFFF"/>
        </w:rPr>
      </w:pPr>
      <w:r w:rsidRPr="008625F9">
        <w:rPr>
          <w:rFonts w:ascii="Arial" w:hAnsi="Arial" w:cs="Arial"/>
          <w:i/>
          <w:color w:val="000000"/>
          <w:sz w:val="20"/>
          <w:szCs w:val="20"/>
          <w:shd w:val="clear" w:color="auto" w:fill="FFFFFF"/>
        </w:rPr>
        <w:t>Step 8: Conducting a satisfaction survey.</w:t>
      </w:r>
      <w:r w:rsidRPr="008625F9">
        <w:rPr>
          <w:rFonts w:ascii="Arial" w:hAnsi="Arial" w:cs="Arial"/>
          <w:color w:val="000000"/>
          <w:sz w:val="20"/>
          <w:szCs w:val="20"/>
          <w:shd w:val="clear" w:color="auto" w:fill="FFFFFF"/>
        </w:rPr>
        <w:t xml:space="preserve"> All prescribers provided a personal </w:t>
      </w:r>
      <w:r w:rsidR="000E410A" w:rsidRPr="008625F9">
        <w:rPr>
          <w:rFonts w:ascii="Arial" w:hAnsi="Arial" w:cs="Arial"/>
          <w:color w:val="000000"/>
          <w:sz w:val="20"/>
          <w:szCs w:val="20"/>
          <w:shd w:val="clear" w:color="auto" w:fill="FFFFFF"/>
        </w:rPr>
        <w:t>tele</w:t>
      </w:r>
      <w:r w:rsidRPr="008625F9">
        <w:rPr>
          <w:rFonts w:ascii="Arial" w:hAnsi="Arial" w:cs="Arial"/>
          <w:color w:val="000000"/>
          <w:sz w:val="20"/>
          <w:szCs w:val="20"/>
          <w:shd w:val="clear" w:color="auto" w:fill="FFFFFF"/>
        </w:rPr>
        <w:t xml:space="preserve">phone number so the team could </w:t>
      </w:r>
      <w:r w:rsidR="000E410A" w:rsidRPr="008625F9">
        <w:rPr>
          <w:rFonts w:ascii="Arial" w:hAnsi="Arial" w:cs="Arial"/>
          <w:color w:val="000000"/>
          <w:sz w:val="20"/>
          <w:szCs w:val="20"/>
          <w:shd w:val="clear" w:color="auto" w:fill="FFFFFF"/>
        </w:rPr>
        <w:t xml:space="preserve">subsequently </w:t>
      </w:r>
      <w:r w:rsidRPr="008625F9">
        <w:rPr>
          <w:rFonts w:ascii="Arial" w:hAnsi="Arial" w:cs="Arial"/>
          <w:color w:val="000000"/>
          <w:sz w:val="20"/>
          <w:szCs w:val="20"/>
          <w:shd w:val="clear" w:color="auto" w:fill="FFFFFF"/>
        </w:rPr>
        <w:t xml:space="preserve">conduct a satisfaction survey about the visit. A different team </w:t>
      </w:r>
      <w:r w:rsidR="00AF5335" w:rsidRPr="008625F9">
        <w:rPr>
          <w:rFonts w:ascii="Arial" w:hAnsi="Arial" w:cs="Arial"/>
          <w:color w:val="000000"/>
          <w:sz w:val="20"/>
          <w:szCs w:val="20"/>
          <w:shd w:val="clear" w:color="auto" w:fill="FFFFFF"/>
        </w:rPr>
        <w:t xml:space="preserve">to </w:t>
      </w:r>
      <w:r w:rsidRPr="008625F9">
        <w:rPr>
          <w:rFonts w:ascii="Arial" w:hAnsi="Arial" w:cs="Arial"/>
          <w:color w:val="000000"/>
          <w:sz w:val="20"/>
          <w:szCs w:val="20"/>
          <w:shd w:val="clear" w:color="auto" w:fill="FFFFFF"/>
        </w:rPr>
        <w:t xml:space="preserve">that of </w:t>
      </w:r>
      <w:r w:rsidR="00AF5335" w:rsidRPr="008625F9">
        <w:rPr>
          <w:rFonts w:ascii="Arial" w:hAnsi="Arial" w:cs="Arial"/>
          <w:color w:val="000000"/>
          <w:sz w:val="20"/>
          <w:szCs w:val="20"/>
          <w:shd w:val="clear" w:color="auto" w:fill="FFFFFF"/>
        </w:rPr>
        <w:t xml:space="preserve">the </w:t>
      </w:r>
      <w:r w:rsidRPr="008625F9">
        <w:rPr>
          <w:rFonts w:ascii="Arial" w:hAnsi="Arial" w:cs="Arial"/>
          <w:color w:val="000000"/>
          <w:sz w:val="20"/>
          <w:szCs w:val="20"/>
          <w:shd w:val="clear" w:color="auto" w:fill="FFFFFF"/>
        </w:rPr>
        <w:t xml:space="preserve">academic detailers was responsible for conducting the telephone survey so prescribers could be comfortable in informing their perception regarding the acceptability, relevance and the quality of the </w:t>
      </w:r>
      <w:r w:rsidR="000E410A" w:rsidRPr="008625F9">
        <w:rPr>
          <w:rFonts w:ascii="Arial" w:hAnsi="Arial" w:cs="Arial"/>
          <w:color w:val="000000"/>
          <w:sz w:val="20"/>
          <w:szCs w:val="20"/>
          <w:shd w:val="clear" w:color="auto" w:fill="FFFFFF"/>
        </w:rPr>
        <w:t>academic detailing</w:t>
      </w:r>
      <w:r w:rsidRPr="008625F9">
        <w:rPr>
          <w:rFonts w:ascii="Arial" w:hAnsi="Arial" w:cs="Arial"/>
          <w:color w:val="000000"/>
          <w:sz w:val="20"/>
          <w:szCs w:val="20"/>
          <w:shd w:val="clear" w:color="auto" w:fill="FFFFFF"/>
        </w:rPr>
        <w:t xml:space="preserve"> received. The questionnaire used is shown in Figure 2.</w:t>
      </w:r>
    </w:p>
    <w:p w:rsidR="008625F9" w:rsidRPr="00972C42" w:rsidRDefault="008625F9" w:rsidP="00972C42">
      <w:pPr>
        <w:pStyle w:val="NoSpacing"/>
        <w:rPr>
          <w:rFonts w:ascii="Arial" w:hAnsi="Arial" w:cs="Arial"/>
          <w:sz w:val="20"/>
          <w:szCs w:val="20"/>
        </w:rPr>
      </w:pPr>
      <w:r w:rsidRPr="00972C42">
        <w:rPr>
          <w:rFonts w:ascii="Arial" w:hAnsi="Arial" w:cs="Arial"/>
          <w:sz w:val="20"/>
          <w:szCs w:val="20"/>
        </w:rPr>
        <w:t>Figure 2 – Questionnaire used to follow-up each visit</w:t>
      </w:r>
    </w:p>
    <w:p w:rsidR="008625F9" w:rsidRPr="008625F9" w:rsidRDefault="008625F9" w:rsidP="003F2483">
      <w:pPr>
        <w:pStyle w:val="NoSpacing"/>
        <w:spacing w:after="200" w:line="360" w:lineRule="auto"/>
        <w:rPr>
          <w:rFonts w:ascii="Arial" w:hAnsi="Arial" w:cs="Arial"/>
          <w:color w:val="000000"/>
          <w:sz w:val="20"/>
          <w:szCs w:val="20"/>
          <w:shd w:val="clear" w:color="auto" w:fill="FFFFFF"/>
        </w:rPr>
      </w:pPr>
      <w:r w:rsidRPr="008625F9">
        <w:rPr>
          <w:rFonts w:ascii="Arial" w:hAnsi="Arial" w:cs="Arial"/>
          <w:noProof/>
          <w:color w:val="000000"/>
          <w:sz w:val="20"/>
          <w:szCs w:val="20"/>
          <w:shd w:val="clear" w:color="auto" w:fill="FFFFFF"/>
          <w:lang w:val="en-GB" w:eastAsia="en-GB" w:bidi="ar-SA"/>
        </w:rPr>
        <w:drawing>
          <wp:inline distT="0" distB="0" distL="0" distR="0" wp14:anchorId="5F64A375" wp14:editId="32DFBA3D">
            <wp:extent cx="5400040" cy="4050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4">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586B17" w:rsidRPr="008625F9" w:rsidRDefault="00586B17" w:rsidP="003F2483">
      <w:pPr>
        <w:pStyle w:val="NoSpacing"/>
        <w:spacing w:after="200" w:line="360" w:lineRule="auto"/>
        <w:rPr>
          <w:rFonts w:ascii="Arial" w:hAnsi="Arial" w:cs="Arial"/>
          <w:color w:val="000000"/>
          <w:sz w:val="20"/>
          <w:szCs w:val="20"/>
          <w:shd w:val="clear" w:color="auto" w:fill="FFFFFF"/>
        </w:rPr>
      </w:pPr>
      <w:r w:rsidRPr="008625F9">
        <w:rPr>
          <w:rFonts w:ascii="Arial" w:hAnsi="Arial" w:cs="Arial"/>
          <w:i/>
          <w:color w:val="000000"/>
          <w:sz w:val="20"/>
          <w:szCs w:val="20"/>
          <w:shd w:val="clear" w:color="auto" w:fill="FFFFFF"/>
        </w:rPr>
        <w:t xml:space="preserve">Step 9: Evaluating the results. </w:t>
      </w:r>
      <w:r w:rsidRPr="008625F9">
        <w:rPr>
          <w:rFonts w:ascii="Arial" w:hAnsi="Arial" w:cs="Arial"/>
          <w:color w:val="000000"/>
          <w:sz w:val="20"/>
          <w:szCs w:val="20"/>
          <w:shd w:val="clear" w:color="auto" w:fill="FFFFFF"/>
        </w:rPr>
        <w:t xml:space="preserve">As mentioned, the results are </w:t>
      </w:r>
      <w:r w:rsidR="000E410A" w:rsidRPr="008625F9">
        <w:rPr>
          <w:rFonts w:ascii="Arial" w:hAnsi="Arial" w:cs="Arial"/>
          <w:color w:val="000000"/>
          <w:sz w:val="20"/>
          <w:szCs w:val="20"/>
          <w:shd w:val="clear" w:color="auto" w:fill="FFFFFF"/>
        </w:rPr>
        <w:t xml:space="preserve">currently </w:t>
      </w:r>
      <w:r w:rsidRPr="008625F9">
        <w:rPr>
          <w:rFonts w:ascii="Arial" w:hAnsi="Arial" w:cs="Arial"/>
          <w:color w:val="000000"/>
          <w:sz w:val="20"/>
          <w:szCs w:val="20"/>
          <w:shd w:val="clear" w:color="auto" w:fill="FFFFFF"/>
        </w:rPr>
        <w:t xml:space="preserve">being evaluated in terms of satisfaction, feasibility and efficacy in line with other studies undertaken to assess the influence and impact of </w:t>
      </w:r>
      <w:r w:rsidR="000E410A" w:rsidRPr="008625F9">
        <w:rPr>
          <w:rFonts w:ascii="Arial" w:hAnsi="Arial" w:cs="Arial"/>
          <w:color w:val="000000"/>
          <w:sz w:val="20"/>
          <w:szCs w:val="20"/>
          <w:shd w:val="clear" w:color="auto" w:fill="FFFFFF"/>
        </w:rPr>
        <w:t>academic detailing</w:t>
      </w:r>
      <w:r w:rsidRPr="008625F9">
        <w:rPr>
          <w:rFonts w:ascii="Arial" w:hAnsi="Arial" w:cs="Arial"/>
          <w:color w:val="000000"/>
          <w:sz w:val="20"/>
          <w:szCs w:val="20"/>
          <w:shd w:val="clear" w:color="auto" w:fill="FFFFFF"/>
        </w:rPr>
        <w:t xml:space="preserve"> </w:t>
      </w:r>
      <w:r w:rsidRPr="008625F9">
        <w:rPr>
          <w:rFonts w:ascii="Arial" w:hAnsi="Arial" w:cs="Arial"/>
          <w:noProof/>
          <w:color w:val="000000"/>
          <w:sz w:val="20"/>
          <w:szCs w:val="20"/>
          <w:shd w:val="clear" w:color="auto" w:fill="FFFFFF"/>
        </w:rPr>
        <w:t>(38)</w:t>
      </w:r>
      <w:r w:rsidRPr="008625F9">
        <w:rPr>
          <w:rFonts w:ascii="Arial" w:hAnsi="Arial" w:cs="Arial"/>
          <w:color w:val="000000"/>
          <w:sz w:val="20"/>
          <w:szCs w:val="20"/>
          <w:shd w:val="clear" w:color="auto" w:fill="FFFFFF"/>
        </w:rPr>
        <w:t>. T</w:t>
      </w:r>
      <w:r w:rsidR="000E410A" w:rsidRPr="008625F9">
        <w:rPr>
          <w:rFonts w:ascii="Arial" w:hAnsi="Arial" w:cs="Arial"/>
          <w:color w:val="000000"/>
          <w:sz w:val="20"/>
          <w:szCs w:val="20"/>
          <w:shd w:val="clear" w:color="auto" w:fill="FFFFFF"/>
        </w:rPr>
        <w:t>o date, t</w:t>
      </w:r>
      <w:r w:rsidRPr="008625F9">
        <w:rPr>
          <w:rFonts w:ascii="Arial" w:hAnsi="Arial" w:cs="Arial"/>
          <w:color w:val="000000"/>
          <w:sz w:val="20"/>
          <w:szCs w:val="20"/>
          <w:shd w:val="clear" w:color="auto" w:fill="FFFFFF"/>
        </w:rPr>
        <w:t>he satisfaction survey has been conducted with 29 physicians</w:t>
      </w:r>
      <w:r w:rsidR="000E410A" w:rsidRPr="008625F9">
        <w:rPr>
          <w:rFonts w:ascii="Arial" w:hAnsi="Arial" w:cs="Arial"/>
          <w:color w:val="000000"/>
          <w:sz w:val="20"/>
          <w:szCs w:val="20"/>
          <w:shd w:val="clear" w:color="auto" w:fill="FFFFFF"/>
        </w:rPr>
        <w:t xml:space="preserve">. </w:t>
      </w:r>
      <w:r w:rsidRPr="008625F9">
        <w:rPr>
          <w:rFonts w:ascii="Arial" w:hAnsi="Arial" w:cs="Arial"/>
          <w:color w:val="000000"/>
          <w:sz w:val="20"/>
          <w:szCs w:val="20"/>
          <w:shd w:val="clear" w:color="auto" w:fill="FFFFFF"/>
        </w:rPr>
        <w:t xml:space="preserve">86.2% reported </w:t>
      </w:r>
      <w:r w:rsidR="000E410A" w:rsidRPr="008625F9">
        <w:rPr>
          <w:rFonts w:ascii="Arial" w:hAnsi="Arial" w:cs="Arial"/>
          <w:color w:val="000000"/>
          <w:sz w:val="20"/>
          <w:szCs w:val="20"/>
          <w:shd w:val="clear" w:color="auto" w:fill="FFFFFF"/>
        </w:rPr>
        <w:t xml:space="preserve">the </w:t>
      </w:r>
      <w:r w:rsidRPr="008625F9">
        <w:rPr>
          <w:rFonts w:ascii="Arial" w:hAnsi="Arial" w:cs="Arial"/>
          <w:color w:val="000000"/>
          <w:sz w:val="20"/>
          <w:szCs w:val="20"/>
          <w:shd w:val="clear" w:color="auto" w:fill="FFFFFF"/>
        </w:rPr>
        <w:t xml:space="preserve">maximum level of overall satisfaction with the visit. Similar results were obtained for the relevance of the content of the visits (93.1%), </w:t>
      </w:r>
      <w:r w:rsidRPr="008625F9">
        <w:rPr>
          <w:rFonts w:ascii="Arial" w:hAnsi="Arial" w:cs="Arial"/>
          <w:color w:val="000000"/>
          <w:sz w:val="20"/>
          <w:szCs w:val="20"/>
          <w:shd w:val="clear" w:color="auto" w:fill="FFFFFF"/>
        </w:rPr>
        <w:lastRenderedPageBreak/>
        <w:t xml:space="preserve">resolution of the doubts (72.4%), length of </w:t>
      </w:r>
      <w:r w:rsidR="000E410A" w:rsidRPr="008625F9">
        <w:rPr>
          <w:rFonts w:ascii="Arial" w:hAnsi="Arial" w:cs="Arial"/>
          <w:color w:val="000000"/>
          <w:sz w:val="20"/>
          <w:szCs w:val="20"/>
          <w:shd w:val="clear" w:color="auto" w:fill="FFFFFF"/>
        </w:rPr>
        <w:t xml:space="preserve">each </w:t>
      </w:r>
      <w:r w:rsidRPr="008625F9">
        <w:rPr>
          <w:rFonts w:ascii="Arial" w:hAnsi="Arial" w:cs="Arial"/>
          <w:color w:val="000000"/>
          <w:sz w:val="20"/>
          <w:szCs w:val="20"/>
          <w:shd w:val="clear" w:color="auto" w:fill="FFFFFF"/>
        </w:rPr>
        <w:t xml:space="preserve">visit (89.6%), bibliography reliability (96.5%), usefulness of </w:t>
      </w:r>
      <w:r w:rsidR="000E410A" w:rsidRPr="008625F9">
        <w:rPr>
          <w:rFonts w:ascii="Arial" w:hAnsi="Arial" w:cs="Arial"/>
          <w:color w:val="000000"/>
          <w:sz w:val="20"/>
          <w:szCs w:val="20"/>
          <w:shd w:val="clear" w:color="auto" w:fill="FFFFFF"/>
        </w:rPr>
        <w:t xml:space="preserve">the </w:t>
      </w:r>
      <w:r w:rsidRPr="008625F9">
        <w:rPr>
          <w:rFonts w:ascii="Arial" w:hAnsi="Arial" w:cs="Arial"/>
          <w:color w:val="000000"/>
          <w:sz w:val="20"/>
          <w:szCs w:val="20"/>
          <w:shd w:val="clear" w:color="auto" w:fill="FFFFFF"/>
        </w:rPr>
        <w:t xml:space="preserve">materials to </w:t>
      </w:r>
      <w:r w:rsidR="000E410A" w:rsidRPr="008625F9">
        <w:rPr>
          <w:rFonts w:ascii="Arial" w:hAnsi="Arial" w:cs="Arial"/>
          <w:color w:val="000000"/>
          <w:sz w:val="20"/>
          <w:szCs w:val="20"/>
          <w:shd w:val="clear" w:color="auto" w:fill="FFFFFF"/>
        </w:rPr>
        <w:t xml:space="preserve">their </w:t>
      </w:r>
      <w:r w:rsidRPr="008625F9">
        <w:rPr>
          <w:rFonts w:ascii="Arial" w:hAnsi="Arial" w:cs="Arial"/>
          <w:color w:val="000000"/>
          <w:sz w:val="20"/>
          <w:szCs w:val="20"/>
          <w:shd w:val="clear" w:color="auto" w:fill="FFFFFF"/>
        </w:rPr>
        <w:t xml:space="preserve">clinical practice (82.8%), improvement in the understanding of the SUS requests of drugs (75.9%) and </w:t>
      </w:r>
      <w:r w:rsidR="000E410A" w:rsidRPr="008625F9">
        <w:rPr>
          <w:rFonts w:ascii="Arial" w:hAnsi="Arial" w:cs="Arial"/>
          <w:color w:val="000000"/>
          <w:sz w:val="20"/>
          <w:szCs w:val="20"/>
          <w:shd w:val="clear" w:color="auto" w:fill="FFFFFF"/>
        </w:rPr>
        <w:t xml:space="preserve">a </w:t>
      </w:r>
      <w:r w:rsidRPr="008625F9">
        <w:rPr>
          <w:rFonts w:ascii="Arial" w:hAnsi="Arial" w:cs="Arial"/>
          <w:color w:val="000000"/>
          <w:sz w:val="20"/>
          <w:szCs w:val="20"/>
          <w:shd w:val="clear" w:color="auto" w:fill="FFFFFF"/>
        </w:rPr>
        <w:t>better understanding of the inclusion criteria for Alzheimer´s treatment</w:t>
      </w:r>
      <w:r w:rsidR="000E410A" w:rsidRPr="008625F9">
        <w:rPr>
          <w:rFonts w:ascii="Arial" w:hAnsi="Arial" w:cs="Arial"/>
          <w:color w:val="000000"/>
          <w:sz w:val="20"/>
          <w:szCs w:val="20"/>
          <w:shd w:val="clear" w:color="auto" w:fill="FFFFFF"/>
        </w:rPr>
        <w:t>s to be reimbursed</w:t>
      </w:r>
      <w:r w:rsidRPr="008625F9">
        <w:rPr>
          <w:rFonts w:ascii="Arial" w:hAnsi="Arial" w:cs="Arial"/>
          <w:color w:val="000000"/>
          <w:sz w:val="20"/>
          <w:szCs w:val="20"/>
          <w:shd w:val="clear" w:color="auto" w:fill="FFFFFF"/>
        </w:rPr>
        <w:t xml:space="preserve"> (55.2%). Recognition of the importance to inform the education level of patients after the visit was of 82.7%. </w:t>
      </w:r>
    </w:p>
    <w:p w:rsidR="00586B17" w:rsidRPr="008625F9" w:rsidRDefault="00586B17" w:rsidP="003F2483">
      <w:pPr>
        <w:rPr>
          <w:rFonts w:ascii="Arial" w:hAnsi="Arial" w:cs="Arial"/>
          <w:b/>
          <w:sz w:val="20"/>
          <w:szCs w:val="20"/>
        </w:rPr>
      </w:pPr>
      <w:r w:rsidRPr="008625F9">
        <w:rPr>
          <w:rFonts w:ascii="Arial" w:hAnsi="Arial" w:cs="Arial"/>
          <w:b/>
          <w:sz w:val="20"/>
          <w:szCs w:val="20"/>
        </w:rPr>
        <w:t xml:space="preserve">DISCUSSION </w:t>
      </w:r>
    </w:p>
    <w:p w:rsidR="00586B17" w:rsidRPr="008625F9" w:rsidRDefault="00586B17" w:rsidP="003F2483">
      <w:pPr>
        <w:spacing w:line="360" w:lineRule="auto"/>
        <w:rPr>
          <w:rFonts w:ascii="Arial" w:hAnsi="Arial" w:cs="Arial"/>
          <w:sz w:val="20"/>
          <w:szCs w:val="20"/>
          <w:lang w:eastAsia="pt-BR"/>
        </w:rPr>
      </w:pPr>
      <w:r w:rsidRPr="008625F9">
        <w:rPr>
          <w:rFonts w:ascii="Arial" w:hAnsi="Arial" w:cs="Arial"/>
          <w:sz w:val="20"/>
          <w:szCs w:val="20"/>
          <w:lang w:eastAsia="pt-BR"/>
        </w:rPr>
        <w:t xml:space="preserve">We can find in </w:t>
      </w:r>
      <w:r w:rsidR="00576079" w:rsidRPr="008625F9">
        <w:rPr>
          <w:rFonts w:ascii="Arial" w:hAnsi="Arial" w:cs="Arial"/>
          <w:sz w:val="20"/>
          <w:szCs w:val="20"/>
          <w:lang w:eastAsia="pt-BR"/>
        </w:rPr>
        <w:t xml:space="preserve">the </w:t>
      </w:r>
      <w:r w:rsidRPr="008625F9">
        <w:rPr>
          <w:rFonts w:ascii="Arial" w:hAnsi="Arial" w:cs="Arial"/>
          <w:sz w:val="20"/>
          <w:szCs w:val="20"/>
          <w:lang w:eastAsia="pt-BR"/>
        </w:rPr>
        <w:t xml:space="preserve">literature many strategies aiming to translate the growing body of knowledge into regular practice by prescribers, including evidence-based guidelines, continuing medical education conferences, academic detailing, opinion leaders giving advice, audit and feedback, pay-for-performance, and computer-based reminder systems. These strategies help to close gaps in knowledge due to lack of information independent from commercial influence, limited efforts </w:t>
      </w:r>
      <w:r w:rsidR="000E410A" w:rsidRPr="008625F9">
        <w:rPr>
          <w:rFonts w:ascii="Arial" w:hAnsi="Arial" w:cs="Arial"/>
          <w:sz w:val="20"/>
          <w:szCs w:val="20"/>
          <w:lang w:eastAsia="pt-BR"/>
        </w:rPr>
        <w:t xml:space="preserve">by physicians </w:t>
      </w:r>
      <w:r w:rsidRPr="008625F9">
        <w:rPr>
          <w:rFonts w:ascii="Arial" w:hAnsi="Arial" w:cs="Arial"/>
          <w:sz w:val="20"/>
          <w:szCs w:val="20"/>
          <w:lang w:eastAsia="pt-BR"/>
        </w:rPr>
        <w:t xml:space="preserve">to actively implement evidence-based information, limited comprehensibility of </w:t>
      </w:r>
      <w:r w:rsidR="000E410A" w:rsidRPr="008625F9">
        <w:rPr>
          <w:rFonts w:ascii="Arial" w:hAnsi="Arial" w:cs="Arial"/>
          <w:sz w:val="20"/>
          <w:szCs w:val="20"/>
          <w:lang w:eastAsia="pt-BR"/>
        </w:rPr>
        <w:t xml:space="preserve">the </w:t>
      </w:r>
      <w:r w:rsidRPr="008625F9">
        <w:rPr>
          <w:rFonts w:ascii="Arial" w:hAnsi="Arial" w:cs="Arial"/>
          <w:sz w:val="20"/>
          <w:szCs w:val="20"/>
          <w:lang w:eastAsia="pt-BR"/>
        </w:rPr>
        <w:t xml:space="preserve">guidelines especially if physicians are expected to know and follow multiple guidelines, as well as potentially biased activities from pharmaceutical companies </w:t>
      </w:r>
      <w:r w:rsidRPr="008625F9">
        <w:rPr>
          <w:rFonts w:ascii="Arial" w:hAnsi="Arial" w:cs="Arial"/>
          <w:noProof/>
          <w:sz w:val="20"/>
          <w:szCs w:val="20"/>
          <w:lang w:eastAsia="pt-BR"/>
        </w:rPr>
        <w:t>(12, 13</w:t>
      </w:r>
      <w:r w:rsidR="00CA77DA" w:rsidRPr="008625F9">
        <w:rPr>
          <w:rFonts w:ascii="Arial" w:hAnsi="Arial" w:cs="Arial"/>
          <w:noProof/>
          <w:sz w:val="20"/>
          <w:szCs w:val="20"/>
          <w:lang w:eastAsia="pt-BR"/>
        </w:rPr>
        <w:t>,</w:t>
      </w:r>
      <w:r w:rsidRPr="008625F9">
        <w:rPr>
          <w:rFonts w:ascii="Arial" w:hAnsi="Arial" w:cs="Arial"/>
          <w:noProof/>
          <w:sz w:val="20"/>
          <w:szCs w:val="20"/>
          <w:lang w:eastAsia="pt-BR"/>
        </w:rPr>
        <w:t>16</w:t>
      </w:r>
      <w:r w:rsidR="00CA77DA" w:rsidRPr="008625F9">
        <w:rPr>
          <w:rFonts w:ascii="Arial" w:hAnsi="Arial" w:cs="Arial"/>
          <w:noProof/>
          <w:sz w:val="20"/>
          <w:szCs w:val="20"/>
          <w:lang w:eastAsia="pt-BR"/>
        </w:rPr>
        <w:t xml:space="preserve">, </w:t>
      </w:r>
      <w:r w:rsidRPr="008625F9">
        <w:rPr>
          <w:rFonts w:ascii="Arial" w:hAnsi="Arial" w:cs="Arial"/>
          <w:noProof/>
          <w:sz w:val="20"/>
          <w:szCs w:val="20"/>
          <w:lang w:eastAsia="pt-BR"/>
        </w:rPr>
        <w:t>39</w:t>
      </w:r>
      <w:r w:rsidR="00CA77DA" w:rsidRPr="008625F9">
        <w:rPr>
          <w:rFonts w:ascii="Arial" w:hAnsi="Arial" w:cs="Arial"/>
          <w:noProof/>
          <w:sz w:val="20"/>
          <w:szCs w:val="20"/>
          <w:lang w:eastAsia="pt-BR"/>
        </w:rPr>
        <w:t>,</w:t>
      </w:r>
      <w:r w:rsidRPr="008625F9">
        <w:rPr>
          <w:rFonts w:ascii="Arial" w:hAnsi="Arial" w:cs="Arial"/>
          <w:noProof/>
          <w:sz w:val="20"/>
          <w:szCs w:val="20"/>
          <w:lang w:eastAsia="pt-BR"/>
        </w:rPr>
        <w:t>40)</w:t>
      </w:r>
      <w:r w:rsidRPr="008625F9">
        <w:rPr>
          <w:rFonts w:ascii="Arial" w:hAnsi="Arial" w:cs="Arial"/>
          <w:sz w:val="20"/>
          <w:szCs w:val="20"/>
          <w:lang w:eastAsia="pt-BR"/>
        </w:rPr>
        <w:t>.</w:t>
      </w:r>
    </w:p>
    <w:p w:rsidR="00586B17" w:rsidRPr="008625F9" w:rsidRDefault="00586B17" w:rsidP="003F2483">
      <w:pPr>
        <w:spacing w:line="360" w:lineRule="auto"/>
        <w:rPr>
          <w:rFonts w:ascii="Arial" w:hAnsi="Arial" w:cs="Arial"/>
          <w:sz w:val="20"/>
          <w:szCs w:val="20"/>
          <w:lang w:eastAsia="pt-BR"/>
        </w:rPr>
      </w:pPr>
      <w:r w:rsidRPr="008625F9">
        <w:rPr>
          <w:rFonts w:ascii="Arial" w:hAnsi="Arial" w:cs="Arial"/>
          <w:sz w:val="20"/>
          <w:szCs w:val="20"/>
          <w:lang w:eastAsia="pt-BR"/>
        </w:rPr>
        <w:t>The development of treatment guidelines, based on explicit assessments of the evidence base, has been a strategy of the Ministry of Health to improve the care provided to Brazilian citizens. However, there are still challenges regarding their implementation and the extent of the</w:t>
      </w:r>
      <w:r w:rsidR="00576079" w:rsidRPr="008625F9">
        <w:rPr>
          <w:rFonts w:ascii="Arial" w:hAnsi="Arial" w:cs="Arial"/>
          <w:sz w:val="20"/>
          <w:szCs w:val="20"/>
          <w:lang w:eastAsia="pt-BR"/>
        </w:rPr>
        <w:t>ir</w:t>
      </w:r>
      <w:r w:rsidRPr="008625F9">
        <w:rPr>
          <w:rFonts w:ascii="Arial" w:hAnsi="Arial" w:cs="Arial"/>
          <w:sz w:val="20"/>
          <w:szCs w:val="20"/>
          <w:lang w:eastAsia="pt-BR"/>
        </w:rPr>
        <w:t xml:space="preserve"> compliance. </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lang w:eastAsia="pt-BR"/>
        </w:rPr>
        <w:t>Studies have reported reasons why prescribers do not follow guideline recommendations. These can be related to the information presented or its usefulness, e.g. doubts about scientific grounds for the key recommendations</w:t>
      </w:r>
      <w:r w:rsidRPr="008625F9">
        <w:rPr>
          <w:rFonts w:ascii="Arial" w:hAnsi="Arial" w:cs="Arial"/>
          <w:sz w:val="20"/>
          <w:szCs w:val="20"/>
        </w:rPr>
        <w:t xml:space="preserve"> and the applicability of trial data to particular patients</w:t>
      </w:r>
      <w:r w:rsidRPr="008625F9">
        <w:rPr>
          <w:rFonts w:ascii="Arial" w:hAnsi="Arial" w:cs="Arial"/>
          <w:sz w:val="20"/>
          <w:szCs w:val="20"/>
          <w:lang w:eastAsia="pt-BR"/>
        </w:rPr>
        <w:t>, or overly complex algorithm for diagnosis/treatment</w:t>
      </w:r>
      <w:r w:rsidRPr="008625F9">
        <w:rPr>
          <w:rFonts w:ascii="Arial" w:hAnsi="Arial" w:cs="Arial"/>
          <w:sz w:val="20"/>
          <w:szCs w:val="20"/>
        </w:rPr>
        <w:t xml:space="preserve">. They can </w:t>
      </w:r>
      <w:r w:rsidR="00576079" w:rsidRPr="008625F9">
        <w:rPr>
          <w:rFonts w:ascii="Arial" w:hAnsi="Arial" w:cs="Arial"/>
          <w:sz w:val="20"/>
          <w:szCs w:val="20"/>
        </w:rPr>
        <w:t xml:space="preserve">also </w:t>
      </w:r>
      <w:r w:rsidRPr="008625F9">
        <w:rPr>
          <w:rFonts w:ascii="Arial" w:hAnsi="Arial" w:cs="Arial"/>
          <w:sz w:val="20"/>
          <w:szCs w:val="20"/>
        </w:rPr>
        <w:t xml:space="preserve">be related to the prescriber, e.g. </w:t>
      </w:r>
      <w:r w:rsidRPr="008625F9">
        <w:rPr>
          <w:rFonts w:ascii="Arial" w:hAnsi="Arial" w:cs="Arial"/>
          <w:sz w:val="20"/>
          <w:szCs w:val="20"/>
          <w:lang w:eastAsia="pt-BR"/>
        </w:rPr>
        <w:t>resistance to a proactive preventive approach and efforts to motivate patients to change their lifestyles a</w:t>
      </w:r>
      <w:r w:rsidR="00CA77DA" w:rsidRPr="008625F9">
        <w:rPr>
          <w:rFonts w:ascii="Arial" w:hAnsi="Arial" w:cs="Arial"/>
          <w:sz w:val="20"/>
          <w:szCs w:val="20"/>
          <w:lang w:eastAsia="pt-BR"/>
        </w:rPr>
        <w:t>s well as</w:t>
      </w:r>
      <w:r w:rsidRPr="008625F9">
        <w:rPr>
          <w:rFonts w:ascii="Arial" w:hAnsi="Arial" w:cs="Arial"/>
          <w:sz w:val="20"/>
          <w:szCs w:val="20"/>
          <w:lang w:eastAsia="pt-BR"/>
        </w:rPr>
        <w:t xml:space="preserve"> specific biases and </w:t>
      </w:r>
      <w:r w:rsidRPr="008625F9">
        <w:rPr>
          <w:rFonts w:ascii="Arial" w:hAnsi="Arial" w:cs="Arial"/>
          <w:sz w:val="20"/>
          <w:szCs w:val="20"/>
        </w:rPr>
        <w:t>attitudes of general practitioners. Barriers can also</w:t>
      </w:r>
      <w:r w:rsidR="00576079" w:rsidRPr="008625F9">
        <w:rPr>
          <w:rFonts w:ascii="Arial" w:hAnsi="Arial" w:cs="Arial"/>
          <w:sz w:val="20"/>
          <w:szCs w:val="20"/>
        </w:rPr>
        <w:t xml:space="preserve"> </w:t>
      </w:r>
      <w:r w:rsidRPr="008625F9">
        <w:rPr>
          <w:rFonts w:ascii="Arial" w:hAnsi="Arial" w:cs="Arial"/>
          <w:sz w:val="20"/>
          <w:szCs w:val="20"/>
        </w:rPr>
        <w:t xml:space="preserve">relate to the preferences </w:t>
      </w:r>
      <w:r w:rsidRPr="008625F9">
        <w:rPr>
          <w:rFonts w:ascii="Arial" w:hAnsi="Arial" w:cs="Arial"/>
          <w:sz w:val="20"/>
          <w:szCs w:val="20"/>
          <w:lang w:eastAsia="pt-BR"/>
        </w:rPr>
        <w:t xml:space="preserve">of patients or be related to organizational </w:t>
      </w:r>
      <w:r w:rsidRPr="008625F9">
        <w:rPr>
          <w:rFonts w:ascii="Arial" w:hAnsi="Arial" w:cs="Arial"/>
          <w:sz w:val="20"/>
          <w:szCs w:val="20"/>
        </w:rPr>
        <w:t>difficulties</w:t>
      </w:r>
      <w:r w:rsidRPr="008625F9">
        <w:rPr>
          <w:rFonts w:ascii="Arial" w:hAnsi="Arial" w:cs="Arial"/>
          <w:sz w:val="20"/>
          <w:szCs w:val="20"/>
          <w:lang w:eastAsia="pt-BR"/>
        </w:rPr>
        <w:t xml:space="preserve">, e.g. </w:t>
      </w:r>
      <w:r w:rsidRPr="008625F9">
        <w:rPr>
          <w:rFonts w:ascii="Arial" w:hAnsi="Arial" w:cs="Arial"/>
          <w:sz w:val="20"/>
          <w:szCs w:val="20"/>
        </w:rPr>
        <w:t>the absence of a computerized system, effect of time pressure</w:t>
      </w:r>
      <w:r w:rsidR="00CA77DA" w:rsidRPr="008625F9">
        <w:rPr>
          <w:rFonts w:ascii="Arial" w:hAnsi="Arial" w:cs="Arial"/>
          <w:sz w:val="20"/>
          <w:szCs w:val="20"/>
        </w:rPr>
        <w:t>s</w:t>
      </w:r>
      <w:r w:rsidRPr="008625F9">
        <w:rPr>
          <w:rFonts w:ascii="Arial" w:hAnsi="Arial" w:cs="Arial"/>
          <w:sz w:val="20"/>
          <w:szCs w:val="20"/>
        </w:rPr>
        <w:t xml:space="preserve"> and financial considerations making the subject a low priority, and </w:t>
      </w:r>
      <w:r w:rsidR="00CA77DA" w:rsidRPr="008625F9">
        <w:rPr>
          <w:rFonts w:ascii="Arial" w:hAnsi="Arial" w:cs="Arial"/>
          <w:sz w:val="20"/>
          <w:szCs w:val="20"/>
        </w:rPr>
        <w:t xml:space="preserve">the </w:t>
      </w:r>
      <w:r w:rsidRPr="008625F9">
        <w:rPr>
          <w:rFonts w:ascii="Arial" w:hAnsi="Arial" w:cs="Arial"/>
          <w:sz w:val="20"/>
          <w:szCs w:val="20"/>
        </w:rPr>
        <w:t xml:space="preserve">absence of an educational mentor </w:t>
      </w:r>
      <w:r w:rsidRPr="008625F9">
        <w:rPr>
          <w:rFonts w:ascii="Arial" w:hAnsi="Arial" w:cs="Arial"/>
          <w:noProof/>
          <w:sz w:val="20"/>
          <w:szCs w:val="20"/>
        </w:rPr>
        <w:t>(38</w:t>
      </w:r>
      <w:r w:rsidR="00CA77DA" w:rsidRPr="008625F9">
        <w:rPr>
          <w:rFonts w:ascii="Arial" w:hAnsi="Arial" w:cs="Arial"/>
          <w:noProof/>
          <w:sz w:val="20"/>
          <w:szCs w:val="20"/>
        </w:rPr>
        <w:t>,41</w:t>
      </w:r>
      <w:r w:rsidRPr="008625F9">
        <w:rPr>
          <w:rFonts w:ascii="Arial" w:hAnsi="Arial" w:cs="Arial"/>
          <w:noProof/>
          <w:sz w:val="20"/>
          <w:szCs w:val="20"/>
        </w:rPr>
        <w:t>)</w:t>
      </w:r>
      <w:r w:rsidRPr="008625F9">
        <w:rPr>
          <w:rFonts w:ascii="Arial" w:hAnsi="Arial" w:cs="Arial"/>
          <w:sz w:val="20"/>
          <w:szCs w:val="20"/>
          <w:lang w:eastAsia="pt-BR"/>
        </w:rPr>
        <w:t>.</w:t>
      </w:r>
    </w:p>
    <w:p w:rsidR="00586B17" w:rsidRPr="008625F9" w:rsidRDefault="00586B17" w:rsidP="003F2483">
      <w:pPr>
        <w:spacing w:line="360" w:lineRule="auto"/>
        <w:rPr>
          <w:rFonts w:ascii="Arial" w:hAnsi="Arial" w:cs="Arial"/>
          <w:sz w:val="20"/>
          <w:szCs w:val="20"/>
        </w:rPr>
      </w:pPr>
      <w:r w:rsidRPr="008625F9">
        <w:rPr>
          <w:rFonts w:ascii="Arial" w:hAnsi="Arial" w:cs="Arial"/>
          <w:sz w:val="20"/>
          <w:szCs w:val="20"/>
        </w:rPr>
        <w:t xml:space="preserve">Detecting obstacles to the CPTG implementation is essential in order to develop methods and solutions, and can be done through a “diagnostic analysis” of the target group before initiating the implementation of the guideline </w:t>
      </w:r>
      <w:r w:rsidRPr="008625F9">
        <w:rPr>
          <w:rFonts w:ascii="Arial" w:hAnsi="Arial" w:cs="Arial"/>
          <w:noProof/>
          <w:sz w:val="20"/>
          <w:szCs w:val="20"/>
        </w:rPr>
        <w:t>(38)</w:t>
      </w:r>
      <w:r w:rsidRPr="008625F9">
        <w:rPr>
          <w:rFonts w:ascii="Arial" w:hAnsi="Arial" w:cs="Arial"/>
          <w:sz w:val="20"/>
          <w:szCs w:val="20"/>
        </w:rPr>
        <w:t xml:space="preserve">. Most accepted guidelines are the ones “owned and operated” by the profession itself, i.e., when the target group participates in the construction, dissemination and implementation </w:t>
      </w:r>
      <w:r w:rsidRPr="008625F9">
        <w:rPr>
          <w:rFonts w:ascii="Arial" w:hAnsi="Arial" w:cs="Arial"/>
          <w:noProof/>
          <w:sz w:val="20"/>
          <w:szCs w:val="20"/>
        </w:rPr>
        <w:t>(38)</w:t>
      </w:r>
      <w:r w:rsidRPr="008625F9">
        <w:rPr>
          <w:rFonts w:ascii="Arial" w:hAnsi="Arial" w:cs="Arial"/>
          <w:sz w:val="20"/>
          <w:szCs w:val="20"/>
        </w:rPr>
        <w:t xml:space="preserve">. Other strategies </w:t>
      </w:r>
      <w:r w:rsidR="00772758" w:rsidRPr="008625F9">
        <w:rPr>
          <w:rFonts w:ascii="Arial" w:hAnsi="Arial" w:cs="Arial"/>
          <w:sz w:val="20"/>
          <w:szCs w:val="20"/>
        </w:rPr>
        <w:t>include</w:t>
      </w:r>
      <w:r w:rsidRPr="008625F9">
        <w:rPr>
          <w:rFonts w:ascii="Arial" w:hAnsi="Arial" w:cs="Arial"/>
          <w:sz w:val="20"/>
          <w:szCs w:val="20"/>
        </w:rPr>
        <w:t xml:space="preserve"> disseminat</w:t>
      </w:r>
      <w:r w:rsidR="00772758" w:rsidRPr="008625F9">
        <w:rPr>
          <w:rFonts w:ascii="Arial" w:hAnsi="Arial" w:cs="Arial"/>
          <w:sz w:val="20"/>
          <w:szCs w:val="20"/>
        </w:rPr>
        <w:t>ing</w:t>
      </w:r>
      <w:r w:rsidRPr="008625F9">
        <w:rPr>
          <w:rFonts w:ascii="Arial" w:hAnsi="Arial" w:cs="Arial"/>
          <w:sz w:val="20"/>
          <w:szCs w:val="20"/>
        </w:rPr>
        <w:t xml:space="preserve"> the guideline in </w:t>
      </w:r>
      <w:r w:rsidR="00772758" w:rsidRPr="008625F9">
        <w:rPr>
          <w:rFonts w:ascii="Arial" w:hAnsi="Arial" w:cs="Arial"/>
          <w:sz w:val="20"/>
          <w:szCs w:val="20"/>
        </w:rPr>
        <w:t xml:space="preserve">pertinent </w:t>
      </w:r>
      <w:r w:rsidRPr="008625F9">
        <w:rPr>
          <w:rFonts w:ascii="Arial" w:hAnsi="Arial" w:cs="Arial"/>
          <w:sz w:val="20"/>
          <w:szCs w:val="20"/>
        </w:rPr>
        <w:t>scientific journals</w:t>
      </w:r>
      <w:r w:rsidR="00772758" w:rsidRPr="008625F9">
        <w:rPr>
          <w:rFonts w:ascii="Arial" w:hAnsi="Arial" w:cs="Arial"/>
          <w:sz w:val="20"/>
          <w:szCs w:val="20"/>
        </w:rPr>
        <w:t xml:space="preserve"> or</w:t>
      </w:r>
      <w:r w:rsidRPr="008625F9">
        <w:rPr>
          <w:rFonts w:ascii="Arial" w:hAnsi="Arial" w:cs="Arial"/>
          <w:sz w:val="20"/>
          <w:szCs w:val="20"/>
        </w:rPr>
        <w:t xml:space="preserve"> in professional networks </w:t>
      </w:r>
      <w:r w:rsidRPr="008625F9">
        <w:rPr>
          <w:rFonts w:ascii="Arial" w:hAnsi="Arial" w:cs="Arial"/>
          <w:noProof/>
          <w:sz w:val="20"/>
          <w:szCs w:val="20"/>
        </w:rPr>
        <w:t>(38)</w:t>
      </w:r>
      <w:r w:rsidRPr="008625F9">
        <w:rPr>
          <w:rFonts w:ascii="Arial" w:hAnsi="Arial" w:cs="Arial"/>
          <w:sz w:val="20"/>
          <w:szCs w:val="20"/>
        </w:rPr>
        <w:t xml:space="preserve"> and the use of software that facilitates diagnosis of </w:t>
      </w:r>
      <w:r w:rsidR="00772758" w:rsidRPr="008625F9">
        <w:rPr>
          <w:rFonts w:ascii="Arial" w:hAnsi="Arial" w:cs="Arial"/>
          <w:sz w:val="20"/>
          <w:szCs w:val="20"/>
        </w:rPr>
        <w:t xml:space="preserve">a </w:t>
      </w:r>
      <w:r w:rsidRPr="008625F9">
        <w:rPr>
          <w:rFonts w:ascii="Arial" w:hAnsi="Arial" w:cs="Arial"/>
          <w:sz w:val="20"/>
          <w:szCs w:val="20"/>
        </w:rPr>
        <w:t xml:space="preserve">disease and promotes easy access to protocols and criteria, </w:t>
      </w:r>
      <w:r w:rsidR="00772758" w:rsidRPr="008625F9">
        <w:rPr>
          <w:rFonts w:ascii="Arial" w:hAnsi="Arial" w:cs="Arial"/>
          <w:sz w:val="20"/>
          <w:szCs w:val="20"/>
        </w:rPr>
        <w:t xml:space="preserve">thereby </w:t>
      </w:r>
      <w:r w:rsidRPr="008625F9">
        <w:rPr>
          <w:rFonts w:ascii="Arial" w:hAnsi="Arial" w:cs="Arial"/>
          <w:sz w:val="20"/>
          <w:szCs w:val="20"/>
        </w:rPr>
        <w:t xml:space="preserve">increasing the response </w:t>
      </w:r>
      <w:r w:rsidR="00772758" w:rsidRPr="008625F9">
        <w:rPr>
          <w:rFonts w:ascii="Arial" w:hAnsi="Arial" w:cs="Arial"/>
          <w:sz w:val="20"/>
          <w:szCs w:val="20"/>
        </w:rPr>
        <w:t>to</w:t>
      </w:r>
      <w:r w:rsidRPr="008625F9">
        <w:rPr>
          <w:rFonts w:ascii="Arial" w:hAnsi="Arial" w:cs="Arial"/>
          <w:sz w:val="20"/>
          <w:szCs w:val="20"/>
        </w:rPr>
        <w:t xml:space="preserve"> </w:t>
      </w:r>
      <w:r w:rsidR="00772758" w:rsidRPr="008625F9">
        <w:rPr>
          <w:rFonts w:ascii="Arial" w:hAnsi="Arial" w:cs="Arial"/>
          <w:sz w:val="20"/>
          <w:szCs w:val="20"/>
        </w:rPr>
        <w:t xml:space="preserve">the </w:t>
      </w:r>
      <w:r w:rsidRPr="008625F9">
        <w:rPr>
          <w:rFonts w:ascii="Arial" w:hAnsi="Arial" w:cs="Arial"/>
          <w:sz w:val="20"/>
          <w:szCs w:val="20"/>
        </w:rPr>
        <w:t>guide</w:t>
      </w:r>
      <w:r w:rsidR="00772758" w:rsidRPr="008625F9">
        <w:rPr>
          <w:rFonts w:ascii="Arial" w:hAnsi="Arial" w:cs="Arial"/>
          <w:sz w:val="20"/>
          <w:szCs w:val="20"/>
        </w:rPr>
        <w:t>line</w:t>
      </w:r>
      <w:r w:rsidRPr="008625F9">
        <w:rPr>
          <w:rFonts w:ascii="Arial" w:hAnsi="Arial" w:cs="Arial"/>
          <w:sz w:val="20"/>
          <w:szCs w:val="20"/>
        </w:rPr>
        <w:t xml:space="preserve"> </w:t>
      </w:r>
      <w:r w:rsidR="00772758" w:rsidRPr="008625F9">
        <w:rPr>
          <w:rFonts w:ascii="Arial" w:hAnsi="Arial" w:cs="Arial"/>
          <w:sz w:val="20"/>
          <w:szCs w:val="20"/>
        </w:rPr>
        <w:t>among</w:t>
      </w:r>
      <w:r w:rsidRPr="008625F9">
        <w:rPr>
          <w:rFonts w:ascii="Arial" w:hAnsi="Arial" w:cs="Arial"/>
          <w:sz w:val="20"/>
          <w:szCs w:val="20"/>
        </w:rPr>
        <w:t xml:space="preserve"> prescribers </w:t>
      </w:r>
      <w:r w:rsidRPr="008625F9">
        <w:rPr>
          <w:rFonts w:ascii="Arial" w:hAnsi="Arial" w:cs="Arial"/>
          <w:noProof/>
          <w:sz w:val="20"/>
          <w:szCs w:val="20"/>
        </w:rPr>
        <w:t>(41)</w:t>
      </w:r>
      <w:r w:rsidRPr="008625F9">
        <w:rPr>
          <w:rFonts w:ascii="Arial" w:hAnsi="Arial" w:cs="Arial"/>
          <w:sz w:val="20"/>
          <w:szCs w:val="20"/>
        </w:rPr>
        <w:t xml:space="preserve">. </w:t>
      </w:r>
      <w:r w:rsidR="00772758" w:rsidRPr="008625F9">
        <w:rPr>
          <w:rFonts w:ascii="Arial" w:hAnsi="Arial" w:cs="Arial"/>
          <w:sz w:val="20"/>
          <w:szCs w:val="20"/>
        </w:rPr>
        <w:t>Academic detailing, audit and feedback activities can be used t</w:t>
      </w:r>
      <w:r w:rsidRPr="008625F9">
        <w:rPr>
          <w:rFonts w:ascii="Arial" w:hAnsi="Arial" w:cs="Arial"/>
          <w:sz w:val="20"/>
          <w:szCs w:val="20"/>
        </w:rPr>
        <w:t xml:space="preserve">o identify the need for </w:t>
      </w:r>
      <w:r w:rsidR="00772758" w:rsidRPr="008625F9">
        <w:rPr>
          <w:rFonts w:ascii="Arial" w:hAnsi="Arial" w:cs="Arial"/>
          <w:sz w:val="20"/>
          <w:szCs w:val="20"/>
        </w:rPr>
        <w:t xml:space="preserve">a </w:t>
      </w:r>
      <w:r w:rsidRPr="008625F9">
        <w:rPr>
          <w:rFonts w:ascii="Arial" w:hAnsi="Arial" w:cs="Arial"/>
          <w:sz w:val="20"/>
          <w:szCs w:val="20"/>
        </w:rPr>
        <w:t>review of current guideline</w:t>
      </w:r>
      <w:r w:rsidR="00772758" w:rsidRPr="008625F9">
        <w:rPr>
          <w:rFonts w:ascii="Arial" w:hAnsi="Arial" w:cs="Arial"/>
          <w:sz w:val="20"/>
          <w:szCs w:val="20"/>
        </w:rPr>
        <w:t>s</w:t>
      </w:r>
      <w:r w:rsidRPr="008625F9">
        <w:rPr>
          <w:rFonts w:ascii="Arial" w:hAnsi="Arial" w:cs="Arial"/>
          <w:sz w:val="20"/>
          <w:szCs w:val="20"/>
        </w:rPr>
        <w:t xml:space="preserve"> and to improve/adapt </w:t>
      </w:r>
      <w:r w:rsidR="00772758" w:rsidRPr="008625F9">
        <w:rPr>
          <w:rFonts w:ascii="Arial" w:hAnsi="Arial" w:cs="Arial"/>
          <w:sz w:val="20"/>
          <w:szCs w:val="20"/>
        </w:rPr>
        <w:t>them</w:t>
      </w:r>
      <w:r w:rsidRPr="008625F9">
        <w:rPr>
          <w:rFonts w:ascii="Arial" w:hAnsi="Arial" w:cs="Arial"/>
          <w:sz w:val="20"/>
          <w:szCs w:val="20"/>
        </w:rPr>
        <w:t xml:space="preserve"> to local realities </w:t>
      </w:r>
      <w:r w:rsidRPr="008625F9">
        <w:rPr>
          <w:rFonts w:ascii="Arial" w:hAnsi="Arial" w:cs="Arial"/>
          <w:noProof/>
          <w:sz w:val="20"/>
          <w:szCs w:val="20"/>
        </w:rPr>
        <w:t>(29)</w:t>
      </w:r>
      <w:r w:rsidRPr="008625F9">
        <w:rPr>
          <w:rFonts w:ascii="Arial" w:hAnsi="Arial" w:cs="Arial"/>
          <w:sz w:val="20"/>
          <w:szCs w:val="20"/>
        </w:rPr>
        <w:t xml:space="preserve">. </w:t>
      </w:r>
    </w:p>
    <w:p w:rsidR="00586B17" w:rsidRPr="008625F9" w:rsidRDefault="00586B17" w:rsidP="003F2483">
      <w:pPr>
        <w:autoSpaceDE w:val="0"/>
        <w:autoSpaceDN w:val="0"/>
        <w:adjustRightInd w:val="0"/>
        <w:spacing w:line="360" w:lineRule="auto"/>
        <w:rPr>
          <w:rFonts w:ascii="Arial" w:hAnsi="Arial" w:cs="Arial"/>
          <w:sz w:val="20"/>
          <w:szCs w:val="20"/>
          <w:lang w:eastAsia="pt-BR"/>
        </w:rPr>
      </w:pPr>
      <w:r w:rsidRPr="008625F9">
        <w:rPr>
          <w:rFonts w:ascii="Arial" w:hAnsi="Arial" w:cs="Arial"/>
          <w:sz w:val="20"/>
          <w:szCs w:val="20"/>
          <w:lang w:eastAsia="pt-BR"/>
        </w:rPr>
        <w:lastRenderedPageBreak/>
        <w:t xml:space="preserve">A considerable body of evidence indicates that academic detailing can change healthcare practitioner behaviors. However, the overall evidence is heterogeneous in terms of study designs, populations studied, target actions and implementation strategies </w:t>
      </w:r>
      <w:r w:rsidRPr="008625F9">
        <w:rPr>
          <w:rFonts w:ascii="Arial" w:hAnsi="Arial" w:cs="Arial"/>
          <w:noProof/>
          <w:sz w:val="20"/>
          <w:szCs w:val="20"/>
          <w:lang w:eastAsia="pt-BR"/>
        </w:rPr>
        <w:t>(20)</w:t>
      </w:r>
      <w:r w:rsidRPr="008625F9">
        <w:rPr>
          <w:rFonts w:ascii="Arial" w:hAnsi="Arial" w:cs="Arial"/>
          <w:sz w:val="20"/>
          <w:szCs w:val="20"/>
          <w:lang w:eastAsia="pt-BR"/>
        </w:rPr>
        <w:t xml:space="preserve">. It is reasonable to conclude that </w:t>
      </w:r>
      <w:r w:rsidR="00772758" w:rsidRPr="008625F9">
        <w:rPr>
          <w:rFonts w:ascii="Arial" w:hAnsi="Arial" w:cs="Arial"/>
          <w:sz w:val="20"/>
          <w:szCs w:val="20"/>
          <w:lang w:eastAsia="pt-BR"/>
        </w:rPr>
        <w:t>academic detailing</w:t>
      </w:r>
      <w:r w:rsidRPr="008625F9">
        <w:rPr>
          <w:rFonts w:ascii="Arial" w:hAnsi="Arial" w:cs="Arial"/>
          <w:sz w:val="20"/>
          <w:szCs w:val="20"/>
          <w:lang w:eastAsia="pt-BR"/>
        </w:rPr>
        <w:t xml:space="preserve"> is one of the approaches with better results, especially when used a</w:t>
      </w:r>
      <w:r w:rsidR="0039174D" w:rsidRPr="008625F9">
        <w:rPr>
          <w:rFonts w:ascii="Arial" w:hAnsi="Arial" w:cs="Arial"/>
          <w:sz w:val="20"/>
          <w:szCs w:val="20"/>
          <w:lang w:eastAsia="pt-BR"/>
        </w:rPr>
        <w:t>s part of a</w:t>
      </w:r>
      <w:r w:rsidRPr="008625F9">
        <w:rPr>
          <w:rFonts w:ascii="Arial" w:hAnsi="Arial" w:cs="Arial"/>
          <w:sz w:val="20"/>
          <w:szCs w:val="20"/>
          <w:lang w:eastAsia="pt-BR"/>
        </w:rPr>
        <w:t xml:space="preserve"> multifaceted intervention.</w:t>
      </w:r>
    </w:p>
    <w:p w:rsidR="00E57A5E" w:rsidRPr="008625F9" w:rsidRDefault="00E57A5E" w:rsidP="00E57A5E">
      <w:pPr>
        <w:pStyle w:val="NoSpacing"/>
        <w:spacing w:after="200" w:line="360" w:lineRule="auto"/>
        <w:rPr>
          <w:rFonts w:ascii="Arial" w:hAnsi="Arial" w:cs="Arial"/>
          <w:color w:val="000000"/>
          <w:sz w:val="20"/>
          <w:szCs w:val="20"/>
          <w:shd w:val="clear" w:color="auto" w:fill="FFFFFF"/>
        </w:rPr>
      </w:pPr>
      <w:r w:rsidRPr="008625F9">
        <w:rPr>
          <w:rFonts w:ascii="Arial" w:hAnsi="Arial" w:cs="Arial"/>
          <w:color w:val="000000"/>
          <w:sz w:val="20"/>
          <w:szCs w:val="20"/>
          <w:shd w:val="clear" w:color="auto" w:fill="FFFFFF"/>
        </w:rPr>
        <w:t>As seen, initial feedback is positive</w:t>
      </w:r>
      <w:r w:rsidR="007F0FE6" w:rsidRPr="008625F9">
        <w:rPr>
          <w:rFonts w:ascii="Arial" w:hAnsi="Arial" w:cs="Arial"/>
          <w:color w:val="000000"/>
          <w:sz w:val="20"/>
          <w:szCs w:val="20"/>
          <w:shd w:val="clear" w:color="auto" w:fill="FFFFFF"/>
        </w:rPr>
        <w:t xml:space="preserve"> and we expect this to continue</w:t>
      </w:r>
      <w:r w:rsidRPr="008625F9">
        <w:rPr>
          <w:rFonts w:ascii="Arial" w:hAnsi="Arial" w:cs="Arial"/>
          <w:color w:val="000000"/>
          <w:sz w:val="20"/>
          <w:szCs w:val="20"/>
          <w:shd w:val="clear" w:color="auto" w:fill="FFFFFF"/>
        </w:rPr>
        <w:t xml:space="preserve">. However, we need to wait until all the findings have been </w:t>
      </w:r>
      <w:proofErr w:type="spellStart"/>
      <w:r w:rsidRPr="008625F9">
        <w:rPr>
          <w:rFonts w:ascii="Arial" w:hAnsi="Arial" w:cs="Arial"/>
          <w:color w:val="000000"/>
          <w:sz w:val="20"/>
          <w:szCs w:val="20"/>
          <w:shd w:val="clear" w:color="auto" w:fill="FFFFFF"/>
        </w:rPr>
        <w:t>analysed</w:t>
      </w:r>
      <w:proofErr w:type="spellEnd"/>
      <w:r w:rsidR="007F0FE6" w:rsidRPr="008625F9">
        <w:rPr>
          <w:rFonts w:ascii="Arial" w:hAnsi="Arial" w:cs="Arial"/>
          <w:color w:val="000000"/>
          <w:sz w:val="20"/>
          <w:szCs w:val="20"/>
          <w:shd w:val="clear" w:color="auto" w:fill="FFFFFF"/>
        </w:rPr>
        <w:t>, including all the costs involved coupled with the outcomes,</w:t>
      </w:r>
      <w:r w:rsidRPr="008625F9">
        <w:rPr>
          <w:rFonts w:ascii="Arial" w:hAnsi="Arial" w:cs="Arial"/>
          <w:color w:val="000000"/>
          <w:sz w:val="20"/>
          <w:szCs w:val="20"/>
          <w:shd w:val="clear" w:color="auto" w:fill="FFFFFF"/>
        </w:rPr>
        <w:t xml:space="preserve"> before we can make more definitive statements. As soon as these are evaluated, we will publish the findings and make all the materials used available online to other researchers, prescribers and the public in general.</w:t>
      </w:r>
      <w:r w:rsidR="007F0FE6" w:rsidRPr="008625F9">
        <w:rPr>
          <w:rFonts w:ascii="Arial" w:hAnsi="Arial" w:cs="Arial"/>
          <w:color w:val="000000"/>
          <w:sz w:val="20"/>
          <w:szCs w:val="20"/>
          <w:shd w:val="clear" w:color="auto" w:fill="FFFFFF"/>
        </w:rPr>
        <w:t xml:space="preserve"> We acknowledge that our study is confined to one locality in Brazil. However, we believe the robustness of our approach, including building on International experiences, should mean that our results can translate into other disease areas and other localities in Brazil. </w:t>
      </w:r>
    </w:p>
    <w:p w:rsidR="00586B17" w:rsidRPr="008625F9" w:rsidRDefault="00586B17" w:rsidP="003F2483">
      <w:pPr>
        <w:pStyle w:val="NoSpacing"/>
        <w:spacing w:after="240" w:line="360" w:lineRule="auto"/>
        <w:rPr>
          <w:rFonts w:ascii="Arial" w:hAnsi="Arial" w:cs="Arial"/>
          <w:sz w:val="20"/>
          <w:szCs w:val="20"/>
        </w:rPr>
      </w:pPr>
      <w:r w:rsidRPr="008625F9">
        <w:rPr>
          <w:rFonts w:ascii="Arial" w:hAnsi="Arial" w:cs="Arial"/>
          <w:sz w:val="20"/>
          <w:szCs w:val="20"/>
          <w:lang w:eastAsia="pt-BR"/>
        </w:rPr>
        <w:t xml:space="preserve">The main difference among the </w:t>
      </w:r>
      <w:r w:rsidR="00772758" w:rsidRPr="008625F9">
        <w:rPr>
          <w:rFonts w:ascii="Arial" w:hAnsi="Arial" w:cs="Arial"/>
          <w:sz w:val="20"/>
          <w:szCs w:val="20"/>
          <w:lang w:eastAsia="pt-BR"/>
        </w:rPr>
        <w:t xml:space="preserve">ongoing </w:t>
      </w:r>
      <w:r w:rsidRPr="008625F9">
        <w:rPr>
          <w:rFonts w:ascii="Arial" w:hAnsi="Arial" w:cs="Arial"/>
          <w:sz w:val="20"/>
          <w:szCs w:val="20"/>
          <w:lang w:eastAsia="pt-BR"/>
        </w:rPr>
        <w:t>B</w:t>
      </w:r>
      <w:r w:rsidRPr="008625F9">
        <w:rPr>
          <w:rFonts w:ascii="Arial" w:hAnsi="Arial" w:cs="Arial"/>
          <w:color w:val="000000"/>
          <w:sz w:val="20"/>
          <w:szCs w:val="20"/>
          <w:shd w:val="clear" w:color="auto" w:fill="FFFFFF"/>
        </w:rPr>
        <w:t xml:space="preserve">razilian academic detailing pilot </w:t>
      </w:r>
      <w:proofErr w:type="spellStart"/>
      <w:r w:rsidR="00772758" w:rsidRPr="008625F9">
        <w:rPr>
          <w:rFonts w:ascii="Arial" w:hAnsi="Arial" w:cs="Arial"/>
          <w:color w:val="000000"/>
          <w:sz w:val="20"/>
          <w:szCs w:val="20"/>
          <w:shd w:val="clear" w:color="auto" w:fill="FFFFFF"/>
        </w:rPr>
        <w:t>p</w:t>
      </w:r>
      <w:r w:rsidRPr="008625F9">
        <w:rPr>
          <w:rFonts w:ascii="Arial" w:hAnsi="Arial" w:cs="Arial"/>
          <w:color w:val="000000"/>
          <w:sz w:val="20"/>
          <w:szCs w:val="20"/>
          <w:shd w:val="clear" w:color="auto" w:fill="FFFFFF"/>
        </w:rPr>
        <w:t>rogram</w:t>
      </w:r>
      <w:r w:rsidR="00771B05" w:rsidRPr="008625F9">
        <w:rPr>
          <w:rFonts w:ascii="Arial" w:hAnsi="Arial" w:cs="Arial"/>
          <w:color w:val="000000"/>
          <w:sz w:val="20"/>
          <w:szCs w:val="20"/>
          <w:shd w:val="clear" w:color="auto" w:fill="FFFFFF"/>
        </w:rPr>
        <w:t>me</w:t>
      </w:r>
      <w:proofErr w:type="spellEnd"/>
      <w:r w:rsidRPr="008625F9">
        <w:rPr>
          <w:rFonts w:ascii="Arial" w:hAnsi="Arial" w:cs="Arial"/>
          <w:color w:val="000000"/>
          <w:sz w:val="20"/>
          <w:szCs w:val="20"/>
          <w:shd w:val="clear" w:color="auto" w:fill="FFFFFF"/>
        </w:rPr>
        <w:t xml:space="preserve"> </w:t>
      </w:r>
      <w:r w:rsidRPr="008625F9">
        <w:rPr>
          <w:rFonts w:ascii="Arial" w:hAnsi="Arial" w:cs="Arial"/>
          <w:sz w:val="20"/>
          <w:szCs w:val="20"/>
          <w:lang w:eastAsia="pt-BR"/>
        </w:rPr>
        <w:t xml:space="preserve">and international experiences is that we are targeting specialists, not general practitioners. </w:t>
      </w:r>
      <w:r w:rsidR="00772758" w:rsidRPr="008625F9">
        <w:rPr>
          <w:rFonts w:ascii="Arial" w:hAnsi="Arial" w:cs="Arial"/>
          <w:sz w:val="20"/>
          <w:szCs w:val="20"/>
          <w:lang w:eastAsia="pt-BR"/>
        </w:rPr>
        <w:t>In addition</w:t>
      </w:r>
      <w:r w:rsidRPr="008625F9">
        <w:rPr>
          <w:rFonts w:ascii="Arial" w:hAnsi="Arial" w:cs="Arial"/>
          <w:sz w:val="20"/>
          <w:szCs w:val="20"/>
          <w:lang w:eastAsia="pt-BR"/>
        </w:rPr>
        <w:t xml:space="preserve">, in Australia and Canada, when a physician participates in </w:t>
      </w:r>
      <w:r w:rsidRPr="008625F9">
        <w:rPr>
          <w:rFonts w:ascii="Arial" w:hAnsi="Arial" w:cs="Arial"/>
          <w:sz w:val="20"/>
          <w:szCs w:val="20"/>
        </w:rPr>
        <w:t>educational outreach visits they earn credits for their Continuing Medical Education (CME), so although incentivized, they participate voluntarily. In Brazil, there is no obligation of CME</w:t>
      </w:r>
      <w:r w:rsidR="0039174D" w:rsidRPr="008625F9">
        <w:rPr>
          <w:rFonts w:ascii="Arial" w:hAnsi="Arial" w:cs="Arial"/>
          <w:sz w:val="20"/>
          <w:szCs w:val="20"/>
        </w:rPr>
        <w:t>; consequently,</w:t>
      </w:r>
      <w:r w:rsidRPr="008625F9">
        <w:rPr>
          <w:rFonts w:ascii="Arial" w:hAnsi="Arial" w:cs="Arial"/>
          <w:sz w:val="20"/>
          <w:szCs w:val="20"/>
        </w:rPr>
        <w:t xml:space="preserve"> the prescriber’s perception about the need of the visit is restricted to the usefulness of the information and materials received to their clinical practice.  However, increased knowledge </w:t>
      </w:r>
      <w:r w:rsidR="009D0D55" w:rsidRPr="008625F9">
        <w:rPr>
          <w:rFonts w:ascii="Arial" w:hAnsi="Arial" w:cs="Arial"/>
          <w:sz w:val="20"/>
          <w:szCs w:val="20"/>
        </w:rPr>
        <w:t>should</w:t>
      </w:r>
      <w:r w:rsidRPr="008625F9">
        <w:rPr>
          <w:rFonts w:ascii="Arial" w:hAnsi="Arial" w:cs="Arial"/>
          <w:sz w:val="20"/>
          <w:szCs w:val="20"/>
        </w:rPr>
        <w:t xml:space="preserve"> result in </w:t>
      </w:r>
      <w:proofErr w:type="gramStart"/>
      <w:r w:rsidRPr="008625F9">
        <w:rPr>
          <w:rFonts w:ascii="Arial" w:hAnsi="Arial" w:cs="Arial"/>
          <w:sz w:val="20"/>
          <w:szCs w:val="20"/>
        </w:rPr>
        <w:t>less rejections</w:t>
      </w:r>
      <w:proofErr w:type="gramEnd"/>
      <w:r w:rsidRPr="008625F9">
        <w:rPr>
          <w:rFonts w:ascii="Arial" w:hAnsi="Arial" w:cs="Arial"/>
          <w:sz w:val="20"/>
          <w:szCs w:val="20"/>
        </w:rPr>
        <w:t xml:space="preserve"> for authorizing treatments under the CEAF scheme</w:t>
      </w:r>
      <w:r w:rsidR="0039174D" w:rsidRPr="008625F9">
        <w:rPr>
          <w:rFonts w:ascii="Arial" w:hAnsi="Arial" w:cs="Arial"/>
          <w:sz w:val="20"/>
          <w:szCs w:val="20"/>
        </w:rPr>
        <w:t>, which should benefit all key stakeholder groups.</w:t>
      </w:r>
    </w:p>
    <w:p w:rsidR="00586B17" w:rsidRPr="008625F9" w:rsidRDefault="00586B17" w:rsidP="003F2483">
      <w:pPr>
        <w:pStyle w:val="NoSpacing"/>
        <w:spacing w:after="240" w:line="360" w:lineRule="auto"/>
        <w:rPr>
          <w:rFonts w:ascii="Arial" w:hAnsi="Arial" w:cs="Arial"/>
          <w:b/>
          <w:sz w:val="20"/>
          <w:szCs w:val="20"/>
        </w:rPr>
      </w:pPr>
      <w:r w:rsidRPr="008625F9">
        <w:rPr>
          <w:rFonts w:ascii="Arial" w:hAnsi="Arial" w:cs="Arial"/>
          <w:b/>
          <w:sz w:val="20"/>
          <w:szCs w:val="20"/>
        </w:rPr>
        <w:t>CONCLUSION</w:t>
      </w:r>
    </w:p>
    <w:p w:rsidR="00586B17" w:rsidRPr="008625F9" w:rsidRDefault="00586B17" w:rsidP="003F2483">
      <w:pPr>
        <w:pStyle w:val="NoSpacing"/>
        <w:spacing w:line="360" w:lineRule="auto"/>
        <w:rPr>
          <w:rFonts w:ascii="Arial" w:hAnsi="Arial" w:cs="Arial"/>
          <w:sz w:val="20"/>
          <w:szCs w:val="20"/>
        </w:rPr>
      </w:pPr>
      <w:r w:rsidRPr="008625F9">
        <w:rPr>
          <w:rFonts w:ascii="Arial" w:hAnsi="Arial" w:cs="Arial"/>
          <w:sz w:val="20"/>
          <w:szCs w:val="20"/>
        </w:rPr>
        <w:t xml:space="preserve">The successful experience internationally coupled with our comprehensive approach suggests that </w:t>
      </w:r>
      <w:r w:rsidR="00772758" w:rsidRPr="008625F9">
        <w:rPr>
          <w:rFonts w:ascii="Arial" w:hAnsi="Arial" w:cs="Arial"/>
          <w:sz w:val="20"/>
          <w:szCs w:val="20"/>
        </w:rPr>
        <w:t>a</w:t>
      </w:r>
      <w:r w:rsidRPr="008625F9">
        <w:rPr>
          <w:rFonts w:ascii="Arial" w:hAnsi="Arial" w:cs="Arial"/>
          <w:sz w:val="20"/>
          <w:szCs w:val="20"/>
        </w:rPr>
        <w:t xml:space="preserve">cademic </w:t>
      </w:r>
      <w:r w:rsidR="00772758" w:rsidRPr="008625F9">
        <w:rPr>
          <w:rFonts w:ascii="Arial" w:hAnsi="Arial" w:cs="Arial"/>
          <w:sz w:val="20"/>
          <w:szCs w:val="20"/>
        </w:rPr>
        <w:t>d</w:t>
      </w:r>
      <w:r w:rsidRPr="008625F9">
        <w:rPr>
          <w:rFonts w:ascii="Arial" w:hAnsi="Arial" w:cs="Arial"/>
          <w:sz w:val="20"/>
          <w:szCs w:val="20"/>
        </w:rPr>
        <w:t xml:space="preserve">etailing could represent an effective intervention. </w:t>
      </w:r>
      <w:r w:rsidR="00772758" w:rsidRPr="008625F9">
        <w:rPr>
          <w:rFonts w:ascii="Arial" w:hAnsi="Arial" w:cs="Arial"/>
          <w:sz w:val="20"/>
          <w:szCs w:val="20"/>
        </w:rPr>
        <w:t>Consequently</w:t>
      </w:r>
      <w:r w:rsidRPr="008625F9">
        <w:rPr>
          <w:rFonts w:ascii="Arial" w:hAnsi="Arial" w:cs="Arial"/>
          <w:sz w:val="20"/>
          <w:szCs w:val="20"/>
        </w:rPr>
        <w:t xml:space="preserve">, </w:t>
      </w:r>
      <w:r w:rsidR="00772758" w:rsidRPr="008625F9">
        <w:rPr>
          <w:rFonts w:ascii="Arial" w:hAnsi="Arial" w:cs="Arial"/>
          <w:sz w:val="20"/>
          <w:szCs w:val="20"/>
        </w:rPr>
        <w:t xml:space="preserve">we believe </w:t>
      </w:r>
      <w:r w:rsidRPr="008625F9">
        <w:rPr>
          <w:rFonts w:ascii="Arial" w:hAnsi="Arial" w:cs="Arial"/>
          <w:sz w:val="20"/>
          <w:szCs w:val="20"/>
        </w:rPr>
        <w:t>this strategy is worthwhile as a proposal aiming to improve patients’ access to appropriate medicines in CEAF through the implementation and dissemination of Clinical Protocols and Therapeutic Guidelines in Brazil. We look forward to demonstrating this in practice</w:t>
      </w:r>
      <w:r w:rsidR="00772758" w:rsidRPr="008625F9">
        <w:rPr>
          <w:rFonts w:ascii="Arial" w:hAnsi="Arial" w:cs="Arial"/>
          <w:sz w:val="20"/>
          <w:szCs w:val="20"/>
        </w:rPr>
        <w:t>,</w:t>
      </w:r>
      <w:r w:rsidRPr="008625F9">
        <w:rPr>
          <w:rFonts w:ascii="Arial" w:hAnsi="Arial" w:cs="Arial"/>
          <w:sz w:val="20"/>
          <w:szCs w:val="20"/>
        </w:rPr>
        <w:t xml:space="preserve"> building on early positive feedback. As a result, we </w:t>
      </w:r>
      <w:r w:rsidR="0039174D" w:rsidRPr="008625F9">
        <w:rPr>
          <w:rFonts w:ascii="Arial" w:hAnsi="Arial" w:cs="Arial"/>
          <w:sz w:val="20"/>
          <w:szCs w:val="20"/>
        </w:rPr>
        <w:t xml:space="preserve">believe we </w:t>
      </w:r>
      <w:r w:rsidRPr="008625F9">
        <w:rPr>
          <w:rFonts w:ascii="Arial" w:hAnsi="Arial" w:cs="Arial"/>
          <w:sz w:val="20"/>
          <w:szCs w:val="20"/>
        </w:rPr>
        <w:t xml:space="preserve">need to further develop academic detailing in Brazil to improve the quality of care </w:t>
      </w:r>
      <w:r w:rsidR="00772758" w:rsidRPr="008625F9">
        <w:rPr>
          <w:rFonts w:ascii="Arial" w:hAnsi="Arial" w:cs="Arial"/>
          <w:sz w:val="20"/>
          <w:szCs w:val="20"/>
        </w:rPr>
        <w:t xml:space="preserve">of patients </w:t>
      </w:r>
      <w:r w:rsidRPr="008625F9">
        <w:rPr>
          <w:rFonts w:ascii="Arial" w:hAnsi="Arial" w:cs="Arial"/>
          <w:sz w:val="20"/>
          <w:szCs w:val="20"/>
        </w:rPr>
        <w:t>using trained pharmacists.</w:t>
      </w:r>
    </w:p>
    <w:p w:rsidR="008625F9" w:rsidRPr="00972C42" w:rsidRDefault="008625F9" w:rsidP="00972C42">
      <w:pPr>
        <w:pStyle w:val="NoSpacing"/>
        <w:rPr>
          <w:rFonts w:ascii="Arial" w:hAnsi="Arial" w:cs="Arial"/>
          <w:sz w:val="20"/>
          <w:szCs w:val="20"/>
        </w:rPr>
      </w:pPr>
    </w:p>
    <w:p w:rsidR="008625F9" w:rsidRPr="00972C42" w:rsidRDefault="008625F9" w:rsidP="00972C42">
      <w:pPr>
        <w:pStyle w:val="NoSpacing"/>
        <w:rPr>
          <w:rFonts w:ascii="Arial" w:hAnsi="Arial" w:cs="Arial"/>
          <w:b/>
          <w:sz w:val="20"/>
          <w:szCs w:val="20"/>
        </w:rPr>
      </w:pPr>
      <w:r w:rsidRPr="00972C42">
        <w:rPr>
          <w:rFonts w:ascii="Arial" w:hAnsi="Arial" w:cs="Arial"/>
          <w:b/>
          <w:sz w:val="20"/>
          <w:szCs w:val="20"/>
        </w:rPr>
        <w:t>Acknowledgments</w:t>
      </w:r>
    </w:p>
    <w:p w:rsidR="008625F9" w:rsidRPr="00972C42" w:rsidRDefault="008625F9" w:rsidP="00972C42">
      <w:pPr>
        <w:pStyle w:val="NoSpacing"/>
        <w:rPr>
          <w:rFonts w:ascii="Arial" w:hAnsi="Arial" w:cs="Arial"/>
          <w:sz w:val="20"/>
          <w:szCs w:val="20"/>
        </w:rPr>
      </w:pPr>
      <w:r w:rsidRPr="00972C42">
        <w:rPr>
          <w:rFonts w:ascii="Arial" w:hAnsi="Arial" w:cs="Arial"/>
          <w:sz w:val="20"/>
          <w:szCs w:val="20"/>
        </w:rPr>
        <w:t xml:space="preserve">To SUS Collaborating Centre for Technology Assessment and Excellence in Health and Secretariat of State of Health of Minas </w:t>
      </w:r>
      <w:proofErr w:type="spellStart"/>
      <w:r w:rsidRPr="00972C42">
        <w:rPr>
          <w:rFonts w:ascii="Arial" w:hAnsi="Arial" w:cs="Arial"/>
          <w:sz w:val="20"/>
          <w:szCs w:val="20"/>
        </w:rPr>
        <w:t>Gerais</w:t>
      </w:r>
      <w:proofErr w:type="spellEnd"/>
      <w:r w:rsidRPr="00972C42">
        <w:rPr>
          <w:rFonts w:ascii="Arial" w:hAnsi="Arial" w:cs="Arial"/>
          <w:sz w:val="20"/>
          <w:szCs w:val="20"/>
        </w:rPr>
        <w:t xml:space="preserve"> members for the availability of data and team involvement. </w:t>
      </w:r>
    </w:p>
    <w:p w:rsidR="008625F9" w:rsidRPr="00972C42" w:rsidRDefault="008625F9" w:rsidP="00972C42">
      <w:pPr>
        <w:pStyle w:val="NoSpacing"/>
        <w:rPr>
          <w:rFonts w:ascii="Arial" w:hAnsi="Arial" w:cs="Arial"/>
          <w:sz w:val="20"/>
          <w:szCs w:val="20"/>
        </w:rPr>
      </w:pPr>
    </w:p>
    <w:p w:rsidR="008625F9" w:rsidRPr="002A10A3" w:rsidRDefault="008625F9" w:rsidP="00972C42">
      <w:pPr>
        <w:pStyle w:val="NoSpacing"/>
        <w:rPr>
          <w:rFonts w:ascii="Arial" w:hAnsi="Arial" w:cs="Arial"/>
          <w:b/>
          <w:sz w:val="20"/>
          <w:szCs w:val="20"/>
        </w:rPr>
      </w:pPr>
      <w:r w:rsidRPr="002A10A3">
        <w:rPr>
          <w:rFonts w:ascii="Arial" w:hAnsi="Arial" w:cs="Arial"/>
          <w:b/>
          <w:sz w:val="20"/>
          <w:szCs w:val="20"/>
        </w:rPr>
        <w:t>Financing and conflicts of interest</w:t>
      </w:r>
    </w:p>
    <w:p w:rsidR="008625F9" w:rsidRPr="00972C42" w:rsidRDefault="008625F9" w:rsidP="00972C42">
      <w:pPr>
        <w:pStyle w:val="NoSpacing"/>
        <w:rPr>
          <w:rFonts w:ascii="Arial" w:hAnsi="Arial" w:cs="Arial"/>
          <w:sz w:val="20"/>
          <w:szCs w:val="20"/>
        </w:rPr>
      </w:pPr>
    </w:p>
    <w:p w:rsidR="008625F9" w:rsidRPr="00972C42" w:rsidRDefault="008625F9" w:rsidP="00972C42">
      <w:pPr>
        <w:pStyle w:val="NoSpacing"/>
        <w:rPr>
          <w:rFonts w:ascii="Arial" w:hAnsi="Arial" w:cs="Arial"/>
          <w:sz w:val="20"/>
          <w:szCs w:val="20"/>
        </w:rPr>
      </w:pPr>
      <w:r w:rsidRPr="00972C42">
        <w:rPr>
          <w:rFonts w:ascii="Arial" w:hAnsi="Arial" w:cs="Arial"/>
          <w:sz w:val="20"/>
          <w:szCs w:val="20"/>
        </w:rPr>
        <w:t xml:space="preserve">This study was funded by the Department of Management and Incorporation of Health Technologies of the Ministry of Health of Brazil, through the Pan American Health Organization (BR / LOA / 1400015) and the Institutional Program of Newly Doctors Research Grants of the Federal University of Minas </w:t>
      </w:r>
      <w:proofErr w:type="spellStart"/>
      <w:r w:rsidRPr="00972C42">
        <w:rPr>
          <w:rFonts w:ascii="Arial" w:hAnsi="Arial" w:cs="Arial"/>
          <w:sz w:val="20"/>
          <w:szCs w:val="20"/>
        </w:rPr>
        <w:t>Gerais</w:t>
      </w:r>
      <w:proofErr w:type="spellEnd"/>
      <w:r w:rsidRPr="00972C42">
        <w:rPr>
          <w:rFonts w:ascii="Arial" w:hAnsi="Arial" w:cs="Arial"/>
          <w:sz w:val="20"/>
          <w:szCs w:val="20"/>
        </w:rPr>
        <w:t xml:space="preserve"> (01/2013).</w:t>
      </w:r>
    </w:p>
    <w:p w:rsidR="008625F9" w:rsidRPr="00972C42" w:rsidRDefault="008625F9" w:rsidP="00972C42">
      <w:pPr>
        <w:pStyle w:val="NoSpacing"/>
        <w:rPr>
          <w:rFonts w:ascii="Arial" w:hAnsi="Arial" w:cs="Arial"/>
          <w:sz w:val="20"/>
          <w:szCs w:val="20"/>
        </w:rPr>
      </w:pPr>
    </w:p>
    <w:p w:rsidR="008625F9" w:rsidRPr="00972C42" w:rsidRDefault="008625F9" w:rsidP="00972C42">
      <w:pPr>
        <w:pStyle w:val="NoSpacing"/>
        <w:rPr>
          <w:rFonts w:ascii="Arial" w:hAnsi="Arial" w:cs="Arial"/>
          <w:sz w:val="20"/>
          <w:szCs w:val="20"/>
          <w:lang w:eastAsia="pt-BR"/>
        </w:rPr>
      </w:pPr>
      <w:r w:rsidRPr="00972C42">
        <w:rPr>
          <w:rFonts w:ascii="Arial" w:hAnsi="Arial" w:cs="Arial"/>
          <w:sz w:val="20"/>
          <w:szCs w:val="20"/>
          <w:lang w:eastAsia="pt-BR"/>
        </w:rPr>
        <w:t>The write-up was in part</w:t>
      </w:r>
      <w:r w:rsidRPr="00972C42">
        <w:rPr>
          <w:rFonts w:ascii="Arial" w:hAnsi="Arial" w:cs="Arial"/>
          <w:iCs/>
          <w:color w:val="000000"/>
          <w:sz w:val="20"/>
          <w:szCs w:val="20"/>
          <w:shd w:val="clear" w:color="auto" w:fill="FFFFFF"/>
        </w:rPr>
        <w:t xml:space="preserve"> supported by a Newton Advanced Fellowship awarded to Professor Augusto </w:t>
      </w:r>
      <w:proofErr w:type="spellStart"/>
      <w:r w:rsidRPr="00972C42">
        <w:rPr>
          <w:rFonts w:ascii="Arial" w:hAnsi="Arial" w:cs="Arial"/>
          <w:iCs/>
          <w:color w:val="000000"/>
          <w:sz w:val="20"/>
          <w:szCs w:val="20"/>
          <w:shd w:val="clear" w:color="auto" w:fill="FFFFFF"/>
        </w:rPr>
        <w:t>Afonso</w:t>
      </w:r>
      <w:proofErr w:type="spellEnd"/>
      <w:r w:rsidRPr="00972C42">
        <w:rPr>
          <w:rFonts w:ascii="Arial" w:hAnsi="Arial" w:cs="Arial"/>
          <w:iCs/>
          <w:color w:val="000000"/>
          <w:sz w:val="20"/>
          <w:szCs w:val="20"/>
          <w:shd w:val="clear" w:color="auto" w:fill="FFFFFF"/>
        </w:rPr>
        <w:t xml:space="preserve"> Guerra Junior by the Academy of Medical Sciences, through the UK Government's Newton Fund </w:t>
      </w:r>
      <w:proofErr w:type="spellStart"/>
      <w:r w:rsidRPr="00972C42">
        <w:rPr>
          <w:rFonts w:ascii="Arial" w:hAnsi="Arial" w:cs="Arial"/>
          <w:iCs/>
          <w:color w:val="000000"/>
          <w:sz w:val="20"/>
          <w:szCs w:val="20"/>
          <w:shd w:val="clear" w:color="auto" w:fill="FFFFFF"/>
        </w:rPr>
        <w:t>programme</w:t>
      </w:r>
      <w:proofErr w:type="spellEnd"/>
      <w:r w:rsidR="00E67B47">
        <w:rPr>
          <w:rFonts w:ascii="Arial" w:hAnsi="Arial" w:cs="Arial"/>
          <w:iCs/>
          <w:color w:val="000000"/>
          <w:sz w:val="20"/>
          <w:szCs w:val="20"/>
          <w:shd w:val="clear" w:color="auto" w:fill="FFFFFF"/>
        </w:rPr>
        <w:t>.</w:t>
      </w:r>
    </w:p>
    <w:p w:rsidR="008625F9" w:rsidRPr="00972C42" w:rsidRDefault="008625F9" w:rsidP="00972C42">
      <w:pPr>
        <w:pStyle w:val="NoSpacing"/>
        <w:rPr>
          <w:rFonts w:ascii="Arial" w:hAnsi="Arial" w:cs="Arial"/>
          <w:sz w:val="20"/>
          <w:szCs w:val="20"/>
          <w:lang w:eastAsia="pt-BR"/>
        </w:rPr>
      </w:pPr>
    </w:p>
    <w:p w:rsidR="008625F9" w:rsidRPr="00972C42" w:rsidRDefault="008625F9" w:rsidP="00972C42">
      <w:pPr>
        <w:pStyle w:val="NoSpacing"/>
        <w:rPr>
          <w:rFonts w:ascii="Arial" w:hAnsi="Arial" w:cs="Arial"/>
          <w:sz w:val="20"/>
          <w:szCs w:val="20"/>
          <w:lang w:eastAsia="pt-BR"/>
        </w:rPr>
      </w:pPr>
      <w:r w:rsidRPr="00972C42">
        <w:rPr>
          <w:rFonts w:ascii="Arial" w:hAnsi="Arial" w:cs="Arial"/>
          <w:sz w:val="20"/>
          <w:szCs w:val="20"/>
          <w:lang w:eastAsia="pt-BR"/>
        </w:rPr>
        <w:t>The authors have no other conflicts of interest to declare.</w:t>
      </w:r>
    </w:p>
    <w:p w:rsidR="008625F9" w:rsidRDefault="008625F9" w:rsidP="00972C42">
      <w:pPr>
        <w:pStyle w:val="NoSpacing"/>
        <w:rPr>
          <w:rFonts w:ascii="Arial" w:hAnsi="Arial" w:cs="Arial"/>
          <w:sz w:val="20"/>
          <w:szCs w:val="20"/>
        </w:rPr>
      </w:pPr>
    </w:p>
    <w:p w:rsidR="00586B17" w:rsidRPr="00FE0A71" w:rsidRDefault="00586B17" w:rsidP="003F2483">
      <w:pPr>
        <w:jc w:val="center"/>
        <w:rPr>
          <w:rFonts w:ascii="Arial" w:hAnsi="Arial" w:cs="Arial"/>
          <w:b/>
          <w:sz w:val="24"/>
          <w:szCs w:val="24"/>
          <w:lang w:val="pt-BR" w:eastAsia="pt-BR"/>
        </w:rPr>
      </w:pPr>
      <w:r w:rsidRPr="00FE0A71">
        <w:rPr>
          <w:rFonts w:ascii="Arial" w:hAnsi="Arial" w:cs="Arial"/>
          <w:b/>
          <w:sz w:val="24"/>
          <w:szCs w:val="24"/>
          <w:lang w:val="pt-BR" w:eastAsia="pt-BR"/>
        </w:rPr>
        <w:t>REFERENCES</w:t>
      </w:r>
    </w:p>
    <w:p w:rsidR="00586B17" w:rsidRPr="000E56F2" w:rsidRDefault="00586B17" w:rsidP="003F2483">
      <w:pPr>
        <w:pStyle w:val="EndNoteBibliography"/>
        <w:spacing w:after="0"/>
        <w:rPr>
          <w:lang w:val="pt-BR"/>
        </w:rPr>
      </w:pPr>
      <w:bookmarkStart w:id="1" w:name="_ENREF_1"/>
      <w:r w:rsidRPr="000E56F2">
        <w:rPr>
          <w:lang w:val="pt-BR"/>
        </w:rPr>
        <w:t>1.</w:t>
      </w:r>
      <w:r w:rsidRPr="000E56F2">
        <w:rPr>
          <w:lang w:val="pt-BR"/>
        </w:rPr>
        <w:tab/>
        <w:t>Brasil. Lei nº 8.080, de 19 de setembro de 1990: Dispõe sobre as condições para a promoção, proteção e recuperação da saúde, a organização eo funcionamento dos serviços correspondentes e dá outras providências. Diário Oficial da união. 1990;128(182).</w:t>
      </w:r>
      <w:bookmarkEnd w:id="1"/>
    </w:p>
    <w:p w:rsidR="00586B17" w:rsidRPr="000E56F2" w:rsidRDefault="00586B17" w:rsidP="003F2483">
      <w:pPr>
        <w:pStyle w:val="EndNoteBibliography"/>
        <w:spacing w:after="0"/>
        <w:rPr>
          <w:lang w:val="pt-BR"/>
        </w:rPr>
      </w:pPr>
      <w:bookmarkStart w:id="2" w:name="_ENREF_2"/>
      <w:r w:rsidRPr="000E56F2">
        <w:rPr>
          <w:lang w:val="pt-BR"/>
        </w:rPr>
        <w:t>2.</w:t>
      </w:r>
      <w:r w:rsidRPr="000E56F2">
        <w:rPr>
          <w:lang w:val="pt-BR"/>
        </w:rPr>
        <w:tab/>
        <w:t>Portaria no 221 de 01 de abril de 2002. Aprova a Diretrizes Clínicas e Protocolos Terapêuticos de Medicamentos Excepcionais e de Alto Custo no SUS. Transplantes Renais. , (2002).</w:t>
      </w:r>
      <w:bookmarkEnd w:id="2"/>
    </w:p>
    <w:p w:rsidR="00586B17" w:rsidRPr="008437DF" w:rsidRDefault="00586B17" w:rsidP="003F2483">
      <w:pPr>
        <w:pStyle w:val="EndNoteBibliography"/>
        <w:spacing w:after="0"/>
      </w:pPr>
      <w:bookmarkStart w:id="3" w:name="_ENREF_3"/>
      <w:r w:rsidRPr="000E56F2">
        <w:rPr>
          <w:lang w:val="pt-BR"/>
        </w:rPr>
        <w:t>3.</w:t>
      </w:r>
      <w:r w:rsidRPr="000E56F2">
        <w:rPr>
          <w:lang w:val="pt-BR"/>
        </w:rPr>
        <w:tab/>
        <w:t xml:space="preserve">Godman B, Acurcio F, Guerra Junior AA, Alvarez-Madrazo S, Faridah Aryani MY. </w:t>
      </w:r>
      <w:r w:rsidRPr="008437DF">
        <w:t>Initiatives among authorities to improve the quality and efficiency of prescribing and the implication s. J Pharma Care Health Sys. 2014;1(3):1-15.</w:t>
      </w:r>
      <w:bookmarkEnd w:id="3"/>
    </w:p>
    <w:p w:rsidR="00586B17" w:rsidRPr="008437DF" w:rsidRDefault="00586B17" w:rsidP="003F2483">
      <w:pPr>
        <w:pStyle w:val="EndNoteBibliography"/>
        <w:spacing w:after="0"/>
      </w:pPr>
      <w:bookmarkStart w:id="4" w:name="_ENREF_4"/>
      <w:r w:rsidRPr="008437DF">
        <w:t>4.</w:t>
      </w:r>
      <w:r w:rsidRPr="008437DF">
        <w:tab/>
        <w:t>Francke AL, Smit MC, de Veer AJ, Mistiaen P. Factors influencing the implementation of clinical guidelines for health care professionals: a systematic meta-review. BMC medical informatics and decision making. 2008;8:38.</w:t>
      </w:r>
      <w:bookmarkEnd w:id="4"/>
    </w:p>
    <w:p w:rsidR="00586B17" w:rsidRPr="008437DF" w:rsidRDefault="00586B17" w:rsidP="003F2483">
      <w:pPr>
        <w:pStyle w:val="EndNoteBibliography"/>
        <w:spacing w:after="0"/>
      </w:pPr>
      <w:bookmarkStart w:id="5" w:name="_ENREF_5"/>
      <w:r w:rsidRPr="008437DF">
        <w:t>5.</w:t>
      </w:r>
      <w:r w:rsidRPr="008437DF">
        <w:tab/>
        <w:t>Grol R, Grimshaw J. From best evidence to best practice: effective implementation of change in patients' care. Lancet. 2003;362(9391):1225-30.</w:t>
      </w:r>
      <w:bookmarkEnd w:id="5"/>
    </w:p>
    <w:p w:rsidR="00586B17" w:rsidRPr="008437DF" w:rsidRDefault="00586B17" w:rsidP="003F2483">
      <w:pPr>
        <w:pStyle w:val="EndNoteBibliography"/>
        <w:spacing w:after="0"/>
      </w:pPr>
      <w:bookmarkStart w:id="6" w:name="_ENREF_6"/>
      <w:r w:rsidRPr="008437DF">
        <w:t>6.</w:t>
      </w:r>
      <w:r w:rsidRPr="008437DF">
        <w:tab/>
        <w:t>Holloway KA. Combating inappropriate use of medicines. Expert review of clinical pharmacology. 2011;4(3):335-48.</w:t>
      </w:r>
      <w:bookmarkEnd w:id="6"/>
    </w:p>
    <w:p w:rsidR="00586B17" w:rsidRPr="008437DF" w:rsidRDefault="00586B17" w:rsidP="003F2483">
      <w:pPr>
        <w:pStyle w:val="EndNoteBibliography"/>
        <w:spacing w:after="0"/>
      </w:pPr>
      <w:bookmarkStart w:id="7" w:name="_ENREF_7"/>
      <w:r w:rsidRPr="008437DF">
        <w:t>7.</w:t>
      </w:r>
      <w:r w:rsidRPr="008437DF">
        <w:tab/>
        <w:t>Bjorkhem-Bergman L, Andersen-Karlsson E, Laing R, Diogene E, Melien O, Jirlow M, et al. Interface management of pharmacotherapy. Joint hospital and primary care drug recommendations. European journal of clinical pharmacology. 2013;69 Suppl 1:73-8.</w:t>
      </w:r>
      <w:bookmarkEnd w:id="7"/>
    </w:p>
    <w:p w:rsidR="00586B17" w:rsidRPr="008437DF" w:rsidRDefault="00586B17" w:rsidP="003F2483">
      <w:pPr>
        <w:pStyle w:val="EndNoteBibliography"/>
        <w:spacing w:after="0"/>
      </w:pPr>
      <w:bookmarkStart w:id="8" w:name="_ENREF_8"/>
      <w:r w:rsidRPr="008437DF">
        <w:t>8.</w:t>
      </w:r>
      <w:r w:rsidRPr="008437DF">
        <w:tab/>
        <w:t>Neuman J, Korenstein D, Ross JS, Keyhani S. Prevalence of financial conflicts of interest among panel members producing clinical practice guidelines in Canada and United States: cross sectional study. BMJ (Clinical research ed). 2011;343:d5621.</w:t>
      </w:r>
      <w:bookmarkEnd w:id="8"/>
    </w:p>
    <w:p w:rsidR="00586B17" w:rsidRPr="008437DF" w:rsidRDefault="00586B17" w:rsidP="003F2483">
      <w:pPr>
        <w:pStyle w:val="EndNoteBibliography"/>
        <w:spacing w:after="0"/>
      </w:pPr>
      <w:bookmarkStart w:id="9" w:name="_ENREF_9"/>
      <w:r w:rsidRPr="008437DF">
        <w:t>9.</w:t>
      </w:r>
      <w:r w:rsidRPr="008437DF">
        <w:tab/>
        <w:t>Sermet C, Andrieu V, Godman B, Van Ganse E, Haycox A, Reynier JP. Ongoing pharmaceutical reforms in France: implications for key stakeholder groups. Applied health economics and health policy. 2010;8(1):7-24.</w:t>
      </w:r>
      <w:bookmarkEnd w:id="9"/>
    </w:p>
    <w:p w:rsidR="00586B17" w:rsidRPr="008437DF" w:rsidRDefault="00586B17" w:rsidP="003F2483">
      <w:pPr>
        <w:pStyle w:val="EndNoteBibliography"/>
        <w:spacing w:after="0"/>
      </w:pPr>
      <w:bookmarkStart w:id="10" w:name="_ENREF_10"/>
      <w:r w:rsidRPr="008437DF">
        <w:t>10.</w:t>
      </w:r>
      <w:r w:rsidRPr="008437DF">
        <w:tab/>
        <w:t>Godman B, Bucsics A, Burkhardt T, Haycox A, Seyfried H, Wieninger P. Insight into recent reforms and initiatives in Austria: implications for key stakeholders. Expert review of pharmacoeconomics &amp; outcomes research. 2008;8(4):357-71.</w:t>
      </w:r>
      <w:bookmarkEnd w:id="10"/>
    </w:p>
    <w:p w:rsidR="00D50127" w:rsidRDefault="00586B17" w:rsidP="00D50127">
      <w:pPr>
        <w:pStyle w:val="EndNoteBibliography"/>
        <w:spacing w:after="0"/>
      </w:pPr>
      <w:bookmarkStart w:id="11" w:name="_ENREF_11"/>
      <w:r w:rsidRPr="008437DF">
        <w:t>11.</w:t>
      </w:r>
      <w:r w:rsidRPr="008437DF">
        <w:tab/>
      </w:r>
      <w:r w:rsidR="00D50127" w:rsidRPr="008437DF">
        <w:t>The Pew Charitable Trusts</w:t>
      </w:r>
      <w:r w:rsidRPr="008437DF">
        <w:t>. Persuading the Prescribers: Pharmaceutical</w:t>
      </w:r>
      <w:r w:rsidR="00D50127">
        <w:t xml:space="preserve"> </w:t>
      </w:r>
      <w:r w:rsidRPr="008437DF">
        <w:t xml:space="preserve">Industry Marketing and its Influence on Physicians and Patients </w:t>
      </w:r>
      <w:r w:rsidRPr="00586B17">
        <w:t>http://www.pewtrusts.org/en/research-and-analysis/fact-sheets/2013/11/11/persuading-the-prescribers-pharmaceutical-industry-marketing-and-its-influence-on-physicians-and-patients:</w:t>
      </w:r>
      <w:r w:rsidRPr="008437DF">
        <w:t xml:space="preserve"> 2013 </w:t>
      </w:r>
      <w:bookmarkStart w:id="12" w:name="_ENREF_12"/>
      <w:bookmarkEnd w:id="11"/>
    </w:p>
    <w:p w:rsidR="00586B17" w:rsidRPr="008437DF" w:rsidRDefault="00586B17" w:rsidP="00D50127">
      <w:pPr>
        <w:pStyle w:val="EndNoteBibliography"/>
        <w:spacing w:after="0"/>
      </w:pPr>
      <w:r w:rsidRPr="008437DF">
        <w:t>12.</w:t>
      </w:r>
      <w:r w:rsidRPr="008437DF">
        <w:tab/>
        <w:t>Civaner M. Sale strategies of pharmaceutical companies in a "pharmerging" country: the problems will not improve if the gaps remain. Health policy. 2012;106(3):225-32.</w:t>
      </w:r>
      <w:bookmarkEnd w:id="12"/>
    </w:p>
    <w:p w:rsidR="00586B17" w:rsidRPr="008437DF" w:rsidRDefault="00586B17" w:rsidP="003F2483">
      <w:pPr>
        <w:pStyle w:val="EndNoteBibliography"/>
        <w:spacing w:after="0"/>
      </w:pPr>
      <w:bookmarkStart w:id="13" w:name="_ENREF_13"/>
      <w:r w:rsidRPr="008437DF">
        <w:t>13.</w:t>
      </w:r>
      <w:r w:rsidRPr="008437DF">
        <w:tab/>
        <w:t>Spurling GK, Mansfield PR, Montgomery BD, Lexchin J, Doust J, Othman N, et al. Information from pharmaceutical companies and the quality, quantity, and cost of physicians' prescribing: a systematic review. PLoS medicine. 2010;7(10):e1000352.</w:t>
      </w:r>
      <w:bookmarkEnd w:id="13"/>
    </w:p>
    <w:p w:rsidR="00586B17" w:rsidRPr="008437DF" w:rsidRDefault="00586B17" w:rsidP="003F2483">
      <w:pPr>
        <w:pStyle w:val="EndNoteBibliography"/>
        <w:spacing w:after="0"/>
      </w:pPr>
      <w:bookmarkStart w:id="14" w:name="_ENREF_14"/>
      <w:r w:rsidRPr="008437DF">
        <w:t>14.</w:t>
      </w:r>
      <w:r w:rsidRPr="008437DF">
        <w:tab/>
        <w:t>Brkicic LS, Godman B, Voncina L, Sovic S, Relja M. Initiatives to improve prescribing efficiency for drugs to treat Parkinson's disease in Croatia: influence and future directions. Expert review of pharmacoeconomics &amp; outcomes research. 2012;12(3):373-84.</w:t>
      </w:r>
      <w:bookmarkEnd w:id="14"/>
    </w:p>
    <w:p w:rsidR="00586B17" w:rsidRPr="008437DF" w:rsidRDefault="00586B17" w:rsidP="003F2483">
      <w:pPr>
        <w:pStyle w:val="EndNoteBibliography"/>
        <w:spacing w:after="0"/>
      </w:pPr>
      <w:bookmarkStart w:id="15" w:name="_ENREF_15"/>
      <w:r w:rsidRPr="008437DF">
        <w:t>15.</w:t>
      </w:r>
      <w:r w:rsidRPr="008437DF">
        <w:tab/>
        <w:t>Roehr B. Drug companies will have to report all payments to US doctors from March 2014. BMJ. 2013;346:f826.</w:t>
      </w:r>
      <w:bookmarkEnd w:id="15"/>
    </w:p>
    <w:p w:rsidR="00586B17" w:rsidRPr="008437DF" w:rsidRDefault="00586B17" w:rsidP="003F2483">
      <w:pPr>
        <w:pStyle w:val="EndNoteBibliography"/>
        <w:spacing w:after="0"/>
      </w:pPr>
      <w:bookmarkStart w:id="16" w:name="_ENREF_16"/>
      <w:r w:rsidRPr="008437DF">
        <w:lastRenderedPageBreak/>
        <w:t>16.</w:t>
      </w:r>
      <w:r w:rsidRPr="008437DF">
        <w:tab/>
        <w:t>Yu SY, Yang BM, Kim JH. New anti-rebate legislation in South Korea. Applied health economics and health policy. 2013;11(4):311-8.</w:t>
      </w:r>
      <w:bookmarkEnd w:id="16"/>
    </w:p>
    <w:p w:rsidR="00586B17" w:rsidRPr="008437DF" w:rsidRDefault="00586B17" w:rsidP="003F2483">
      <w:pPr>
        <w:pStyle w:val="EndNoteBibliography"/>
        <w:spacing w:after="0"/>
      </w:pPr>
      <w:bookmarkStart w:id="17" w:name="_ENREF_17"/>
      <w:r w:rsidRPr="008437DF">
        <w:t>17.</w:t>
      </w:r>
      <w:r w:rsidRPr="008437DF">
        <w:tab/>
        <w:t>Davis DA, Taylor-Vaisey A. Translating guidelines into practice. A systematic review of theoretic concepts, practical experience and research evidence in the adoption of clinical practice guidelines. CMAJ. 1997;157(4):408-16.</w:t>
      </w:r>
      <w:bookmarkEnd w:id="17"/>
    </w:p>
    <w:p w:rsidR="00586B17" w:rsidRPr="008437DF" w:rsidRDefault="00586B17" w:rsidP="003F2483">
      <w:pPr>
        <w:pStyle w:val="EndNoteBibliography"/>
        <w:spacing w:after="0"/>
      </w:pPr>
      <w:bookmarkStart w:id="18" w:name="_ENREF_18"/>
      <w:r w:rsidRPr="008437DF">
        <w:t>18.</w:t>
      </w:r>
      <w:r w:rsidRPr="008437DF">
        <w:tab/>
        <w:t>Soumerai SB, Avorn J. Principles of educational outreach ('academic detailing') to improve clinical decision making. JAMA. 1990;263(4):549-56.</w:t>
      </w:r>
      <w:bookmarkEnd w:id="18"/>
    </w:p>
    <w:p w:rsidR="00586B17" w:rsidRPr="008437DF" w:rsidRDefault="00586B17" w:rsidP="003F2483">
      <w:pPr>
        <w:pStyle w:val="EndNoteBibliography"/>
        <w:spacing w:after="0"/>
      </w:pPr>
      <w:bookmarkStart w:id="19" w:name="_ENREF_19"/>
      <w:r w:rsidRPr="008437DF">
        <w:t>19.</w:t>
      </w:r>
      <w:r w:rsidRPr="008437DF">
        <w:tab/>
        <w:t>O'Brien MA, Rogers S, Jamtvedt G, Oxman AD, Odgaard-Jensen J, Kristoffersen DT, et al. Educational outreach visits: effects on professional practice and health care outcomes. Cochrane Database Syst Rev. 2007(4):CD000409.</w:t>
      </w:r>
      <w:bookmarkEnd w:id="19"/>
    </w:p>
    <w:p w:rsidR="00586B17" w:rsidRPr="008437DF" w:rsidRDefault="00586B17" w:rsidP="003F2483">
      <w:pPr>
        <w:pStyle w:val="EndNoteBibliography"/>
        <w:spacing w:after="0"/>
      </w:pPr>
      <w:bookmarkStart w:id="20" w:name="_ENREF_20"/>
      <w:r w:rsidRPr="008437DF">
        <w:t>20.</w:t>
      </w:r>
      <w:r w:rsidRPr="008437DF">
        <w:tab/>
        <w:t>Grimshaw JM, Thomas RE, MacLennan G, Fraser C, Ramsay CR, Vale L, et al. Effectiveness and efficiency of guideline dissemination and implementation strategies. Health Technol Assess. 2004;8(6):iii-iv, 1-72.</w:t>
      </w:r>
      <w:bookmarkEnd w:id="20"/>
    </w:p>
    <w:p w:rsidR="00586B17" w:rsidRPr="008437DF" w:rsidRDefault="00586B17" w:rsidP="003F2483">
      <w:pPr>
        <w:pStyle w:val="EndNoteBibliography"/>
        <w:spacing w:after="0"/>
      </w:pPr>
      <w:bookmarkStart w:id="21" w:name="_ENREF_21"/>
      <w:r w:rsidRPr="008437DF">
        <w:t>21.</w:t>
      </w:r>
      <w:r w:rsidRPr="008437DF">
        <w:tab/>
        <w:t>Lomas J. Beyond the sound of one hand clapping: a discussion document on improving health research dissemination and uptake. Sydney: NSW Health Department. Research and Development Centre. 1997.</w:t>
      </w:r>
      <w:bookmarkEnd w:id="21"/>
    </w:p>
    <w:p w:rsidR="00586B17" w:rsidRPr="008437DF" w:rsidRDefault="00586B17" w:rsidP="003F2483">
      <w:pPr>
        <w:pStyle w:val="EndNoteBibliography"/>
        <w:spacing w:after="0"/>
      </w:pPr>
      <w:bookmarkStart w:id="22" w:name="_ENREF_22"/>
      <w:r w:rsidRPr="008437DF">
        <w:t>22.</w:t>
      </w:r>
      <w:r w:rsidRPr="008437DF">
        <w:tab/>
        <w:t>Bloom BS. Effects of continuing medical education on improving physician clinical care and patient health: a review of systematic reviews. Int J Technol Assess Health Care. 2005;21(3):380-5.</w:t>
      </w:r>
      <w:bookmarkEnd w:id="22"/>
    </w:p>
    <w:p w:rsidR="00586B17" w:rsidRPr="008437DF" w:rsidRDefault="00586B17" w:rsidP="003F2483">
      <w:pPr>
        <w:pStyle w:val="EndNoteBibliography"/>
        <w:spacing w:after="0"/>
      </w:pPr>
      <w:bookmarkStart w:id="23" w:name="_ENREF_23"/>
      <w:r w:rsidRPr="008437DF">
        <w:t>23.</w:t>
      </w:r>
      <w:r w:rsidRPr="008437DF">
        <w:tab/>
        <w:t>Barton S. Using clinical evidence. BMJ. 2001;322(7285):503-4.</w:t>
      </w:r>
      <w:bookmarkEnd w:id="23"/>
    </w:p>
    <w:p w:rsidR="00586B17" w:rsidRPr="008437DF" w:rsidRDefault="00586B17" w:rsidP="003F2483">
      <w:pPr>
        <w:pStyle w:val="EndNoteBibliography"/>
        <w:spacing w:after="0"/>
      </w:pPr>
      <w:bookmarkStart w:id="24" w:name="_ENREF_24"/>
      <w:r w:rsidRPr="008437DF">
        <w:t>24.</w:t>
      </w:r>
      <w:r w:rsidRPr="008437DF">
        <w:tab/>
        <w:t>Godman B, Shrank W, Andersen M, Berg C, Bishop I, Burkhardt T, et al. Comparing policies to enhance prescribing efficiency in Europe through increasing generic utilization: changes seen and global implications. Expert review of pharmacoeconomics &amp; outcomes research. 2010;10(6):707-22.</w:t>
      </w:r>
      <w:bookmarkEnd w:id="24"/>
    </w:p>
    <w:p w:rsidR="00586B17" w:rsidRPr="003E49C4" w:rsidRDefault="00586B17" w:rsidP="003F2483">
      <w:pPr>
        <w:pStyle w:val="EndNoteBibliography"/>
        <w:spacing w:after="0"/>
        <w:rPr>
          <w:lang w:val="pt-BR"/>
        </w:rPr>
      </w:pPr>
      <w:bookmarkStart w:id="25" w:name="_ENREF_25"/>
      <w:r w:rsidRPr="008437DF">
        <w:t>25.</w:t>
      </w:r>
      <w:r w:rsidRPr="008437DF">
        <w:tab/>
        <w:t>Moon J</w:t>
      </w:r>
      <w:r w:rsidR="003E49C4">
        <w:t>,</w:t>
      </w:r>
      <w:r w:rsidRPr="008437DF">
        <w:t xml:space="preserve"> G</w:t>
      </w:r>
      <w:r w:rsidR="003E49C4">
        <w:t xml:space="preserve">odman </w:t>
      </w:r>
      <w:r w:rsidRPr="008437DF">
        <w:t xml:space="preserve">B, Petzold M, Alvarez-Madrazo S, Bennett K, Bishop I, Bucsics A, Hesse U, Martin A, Simoens S, Zara C, Malmstrom RE. Different initiatives across Europe to enhance losartan utilisation post generics: impact and implications Frontiers in pharmacology. </w:t>
      </w:r>
      <w:r w:rsidRPr="003E49C4">
        <w:rPr>
          <w:lang w:val="pt-BR"/>
        </w:rPr>
        <w:t>2014;5(Article 219):1-10.</w:t>
      </w:r>
      <w:bookmarkEnd w:id="25"/>
    </w:p>
    <w:p w:rsidR="00586B17" w:rsidRPr="003E49C4" w:rsidRDefault="00586B17" w:rsidP="003F2483">
      <w:pPr>
        <w:pStyle w:val="EndNoteBibliography"/>
        <w:spacing w:after="0"/>
        <w:rPr>
          <w:lang w:val="pt-BR"/>
        </w:rPr>
      </w:pPr>
      <w:bookmarkStart w:id="26" w:name="_ENREF_26"/>
      <w:r w:rsidRPr="003E49C4">
        <w:rPr>
          <w:lang w:val="pt-BR"/>
        </w:rPr>
        <w:t>26.</w:t>
      </w:r>
      <w:r w:rsidRPr="003E49C4">
        <w:rPr>
          <w:lang w:val="pt-BR"/>
        </w:rPr>
        <w:tab/>
        <w:t>Petersen R. Guia da Clínica Mayo sobre mal de Alzheimer. Rio de Janeiro: Anima. 2006.</w:t>
      </w:r>
      <w:bookmarkEnd w:id="26"/>
    </w:p>
    <w:p w:rsidR="00586B17" w:rsidRPr="008437DF" w:rsidRDefault="00586B17" w:rsidP="003F2483">
      <w:pPr>
        <w:pStyle w:val="EndNoteBibliography"/>
        <w:spacing w:after="0"/>
      </w:pPr>
      <w:bookmarkStart w:id="27" w:name="_ENREF_27"/>
      <w:r w:rsidRPr="003E49C4">
        <w:rPr>
          <w:lang w:val="pt-BR"/>
        </w:rPr>
        <w:t>27.</w:t>
      </w:r>
      <w:r w:rsidRPr="003E49C4">
        <w:rPr>
          <w:lang w:val="pt-BR"/>
        </w:rPr>
        <w:tab/>
        <w:t xml:space="preserve">Brookmeyer R, Johnson E, Ziegler-Graham K, Arrighi HM. </w:t>
      </w:r>
      <w:r w:rsidRPr="008437DF">
        <w:t>Forecasting the global burden of Alzheimer’s disease. Alzheimer's &amp; Dementia. 2007;3(3):186-91.</w:t>
      </w:r>
      <w:bookmarkEnd w:id="27"/>
    </w:p>
    <w:p w:rsidR="00586B17" w:rsidRPr="008437DF" w:rsidRDefault="00586B17" w:rsidP="003F2483">
      <w:pPr>
        <w:pStyle w:val="EndNoteBibliography"/>
        <w:spacing w:after="0"/>
      </w:pPr>
      <w:bookmarkStart w:id="28" w:name="_ENREF_28"/>
      <w:r w:rsidRPr="008437DF">
        <w:t>28.</w:t>
      </w:r>
      <w:r w:rsidRPr="008437DF">
        <w:tab/>
        <w:t>Thomas RE, Lorenzetti DL. Interventions to increase influenza vaccination rates of those 60 years and older in the community. Cochrane Database Syst Rev. 2014;7:CD005188.</w:t>
      </w:r>
      <w:bookmarkEnd w:id="28"/>
    </w:p>
    <w:p w:rsidR="00586B17" w:rsidRPr="008437DF" w:rsidRDefault="00586B17" w:rsidP="003F2483">
      <w:pPr>
        <w:pStyle w:val="EndNoteBibliography"/>
        <w:spacing w:after="0"/>
      </w:pPr>
      <w:bookmarkStart w:id="29" w:name="_ENREF_29"/>
      <w:r w:rsidRPr="008437DF">
        <w:t>29.</w:t>
      </w:r>
      <w:r w:rsidRPr="008437DF">
        <w:tab/>
        <w:t>Barbui C, Girlanda F, Ay E, Cipriani A, Becker T, Koesters M. Implementation of treatment guidelines for specialist mental health care. Cochrane Database Syst Rev. 2014;1:CD009780.</w:t>
      </w:r>
      <w:bookmarkEnd w:id="29"/>
    </w:p>
    <w:p w:rsidR="00586B17" w:rsidRPr="008437DF" w:rsidRDefault="00586B17" w:rsidP="003F2483">
      <w:pPr>
        <w:pStyle w:val="EndNoteBibliography"/>
        <w:spacing w:after="0"/>
      </w:pPr>
      <w:bookmarkStart w:id="30" w:name="_ENREF_30"/>
      <w:r w:rsidRPr="008437DF">
        <w:t>30.</w:t>
      </w:r>
      <w:r w:rsidRPr="008437DF">
        <w:tab/>
        <w:t>Kahn SR, Morrison DR, Cohen JM, Emed J, Tagalakis V, Roussin A, et al. Interventions for implementation of thromboprophylaxis in hospitalized medical and surgical patients at risk for venous thromboembolism. Cochrane Database Syst Rev. 2013;7:CD008201.</w:t>
      </w:r>
      <w:bookmarkEnd w:id="30"/>
    </w:p>
    <w:p w:rsidR="00586B17" w:rsidRPr="008437DF" w:rsidRDefault="00586B17" w:rsidP="003F2483">
      <w:pPr>
        <w:pStyle w:val="EndNoteBibliography"/>
        <w:spacing w:after="0"/>
      </w:pPr>
      <w:bookmarkStart w:id="31" w:name="_ENREF_31"/>
      <w:r w:rsidRPr="008437DF">
        <w:t>31.</w:t>
      </w:r>
      <w:r w:rsidRPr="008437DF">
        <w:tab/>
        <w:t>Silva JM, Stein AT, Schünemann HJ, Bordin R, Kuchenbecker R, de Lourdes Drachler M. Academic detailing and adherence to guidelines for Group B streptococci prenatal screening: a randomized controlled trial. BMC Pregnancy Childbirth. 2013;13:68.</w:t>
      </w:r>
      <w:bookmarkEnd w:id="31"/>
    </w:p>
    <w:p w:rsidR="00586B17" w:rsidRPr="008437DF" w:rsidRDefault="00586B17" w:rsidP="003F2483">
      <w:pPr>
        <w:pStyle w:val="EndNoteBibliography"/>
        <w:spacing w:after="0"/>
      </w:pPr>
      <w:bookmarkStart w:id="32" w:name="_ENREF_32"/>
      <w:r w:rsidRPr="008437DF">
        <w:t>32.</w:t>
      </w:r>
      <w:r w:rsidRPr="008437DF">
        <w:tab/>
        <w:t>Gustafsson LL, Wettermark B, Godman B, Andersen-Karlsson E, Bergman U, Hasselstrom J, et al. The 'wise list'- a comprehensive concept to select, communicate and achieve adherence to recommendations of essential drugs in ambulatory care in Stockholm. Basic &amp; clinical pharmacology &amp; toxicology. 2011;108(4):224-33.</w:t>
      </w:r>
      <w:bookmarkEnd w:id="32"/>
    </w:p>
    <w:p w:rsidR="00586B17" w:rsidRPr="008437DF" w:rsidRDefault="00586B17" w:rsidP="003F2483">
      <w:pPr>
        <w:pStyle w:val="EndNoteBibliography"/>
        <w:spacing w:after="0"/>
      </w:pPr>
      <w:bookmarkStart w:id="33" w:name="_ENREF_33"/>
      <w:r w:rsidRPr="008437DF">
        <w:t>33.</w:t>
      </w:r>
      <w:r w:rsidRPr="008437DF">
        <w:tab/>
        <w:t>Weekes LM, Mackson JM, Fitzgerald M, Phillips SR. National Prescribing Service: creating an implementation arm for national medicines policy. Br J Clin Pharmacol. 2005;59(1):112-6.</w:t>
      </w:r>
      <w:bookmarkEnd w:id="33"/>
    </w:p>
    <w:p w:rsidR="00586B17" w:rsidRPr="008437DF" w:rsidRDefault="00586B17" w:rsidP="00D50127">
      <w:pPr>
        <w:pStyle w:val="EndNoteBibliography"/>
        <w:spacing w:after="0"/>
      </w:pPr>
      <w:bookmarkStart w:id="34" w:name="_ENREF_34"/>
      <w:r w:rsidRPr="008437DF">
        <w:t>34.</w:t>
      </w:r>
      <w:r w:rsidRPr="008437DF">
        <w:tab/>
        <w:t>Dartnell J, Heaney A, Kaye K, Zuo Y. NPS MedicineWise: a national approach to</w:t>
      </w:r>
    </w:p>
    <w:p w:rsidR="00586B17" w:rsidRPr="003E49C4" w:rsidRDefault="00586B17" w:rsidP="003F2483">
      <w:pPr>
        <w:pStyle w:val="EndNoteBibliography"/>
        <w:spacing w:after="0"/>
        <w:rPr>
          <w:lang w:val="pt-BR"/>
        </w:rPr>
      </w:pPr>
      <w:r w:rsidRPr="008437DF">
        <w:t xml:space="preserve">improving the quality of use of medicines. </w:t>
      </w:r>
      <w:r w:rsidRPr="003E49C4">
        <w:rPr>
          <w:lang w:val="pt-BR"/>
        </w:rPr>
        <w:t>J Bras Econ Saúde. 2015;7((Suppl.1)):3-5.</w:t>
      </w:r>
      <w:bookmarkEnd w:id="34"/>
    </w:p>
    <w:p w:rsidR="00586B17" w:rsidRPr="008437DF" w:rsidRDefault="00586B17" w:rsidP="003F2483">
      <w:pPr>
        <w:pStyle w:val="EndNoteBibliography"/>
        <w:spacing w:after="0"/>
      </w:pPr>
      <w:bookmarkStart w:id="35" w:name="_ENREF_35"/>
      <w:r w:rsidRPr="008437DF">
        <w:lastRenderedPageBreak/>
        <w:t>35.</w:t>
      </w:r>
      <w:r w:rsidRPr="008437DF">
        <w:tab/>
        <w:t>Jin M, Naumann T, Regier L, Bugden S, Allen M, Salach L, et al. A brief overview of academic detailing in Canada: Another role for pharmacists. Can Pharm J (Ott). 2012;145(3):142-6.e2.</w:t>
      </w:r>
      <w:bookmarkEnd w:id="35"/>
    </w:p>
    <w:p w:rsidR="00586B17" w:rsidRPr="00D50127" w:rsidRDefault="00586B17" w:rsidP="003F2483">
      <w:pPr>
        <w:pStyle w:val="EndNoteBibliography"/>
        <w:spacing w:after="0"/>
      </w:pPr>
      <w:bookmarkStart w:id="36" w:name="_ENREF_36"/>
      <w:r w:rsidRPr="008437DF">
        <w:t>36.</w:t>
      </w:r>
      <w:r w:rsidRPr="008437DF">
        <w:tab/>
        <w:t xml:space="preserve">Maclure M, Allen M, Bacovsky R, Bugden S, Lopatka H, MacNair K, et al. Show me the evidence: best practices for using educational visits to promote evidence-based prescribing. Victoria, BC: Canadian Academic Detailing Collaboration and Drug Policy Futures. </w:t>
      </w:r>
      <w:r w:rsidRPr="00D50127">
        <w:t>2006.</w:t>
      </w:r>
      <w:bookmarkEnd w:id="36"/>
    </w:p>
    <w:p w:rsidR="00586B17" w:rsidRPr="00D50127" w:rsidRDefault="00586B17" w:rsidP="00D50127">
      <w:pPr>
        <w:pStyle w:val="EndNoteBibliography"/>
        <w:spacing w:after="0"/>
      </w:pPr>
      <w:bookmarkStart w:id="37" w:name="_ENREF_37"/>
      <w:r w:rsidRPr="00D50127">
        <w:t>37.</w:t>
      </w:r>
      <w:r w:rsidRPr="00D50127">
        <w:tab/>
        <w:t>Almeida-Brasil CC, Costa JdO, Guerra Júnior AA, Acurcio FdA, Moraes EN, Álvares J. Compliance with</w:t>
      </w:r>
      <w:r w:rsidR="00D50127">
        <w:t xml:space="preserve"> </w:t>
      </w:r>
      <w:r w:rsidRPr="008437DF">
        <w:t>clinical protocol and therapeutic guidelines on</w:t>
      </w:r>
      <w:r w:rsidR="003E49C4">
        <w:t xml:space="preserve"> </w:t>
      </w:r>
      <w:r w:rsidRPr="008437DF">
        <w:t>prescribing acetylcholinesterase inhibitors for treatment of Alzheimer’s disease</w:t>
      </w:r>
      <w:r w:rsidR="00D50127">
        <w:t xml:space="preserve"> in Minas Gerais, Brazil</w:t>
      </w:r>
      <w:r w:rsidRPr="00D50127">
        <w:t>. J Bras Econ Saúde; 2015. p. 16.</w:t>
      </w:r>
      <w:bookmarkEnd w:id="37"/>
    </w:p>
    <w:p w:rsidR="00586B17" w:rsidRPr="008437DF" w:rsidRDefault="00586B17" w:rsidP="003F2483">
      <w:pPr>
        <w:pStyle w:val="EndNoteBibliography"/>
        <w:spacing w:after="0"/>
      </w:pPr>
      <w:bookmarkStart w:id="38" w:name="_ENREF_38"/>
      <w:r w:rsidRPr="008437DF">
        <w:t>38.</w:t>
      </w:r>
      <w:r w:rsidRPr="008437DF">
        <w:tab/>
        <w:t>Grol R. Successes and failures in the implementation of evidence-based guidelines for clinical practice. Med Care. 2001;39(8 Suppl 2):II46-54.</w:t>
      </w:r>
      <w:bookmarkEnd w:id="38"/>
    </w:p>
    <w:p w:rsidR="00586B17" w:rsidRPr="008437DF" w:rsidRDefault="00586B17" w:rsidP="003F2483">
      <w:pPr>
        <w:pStyle w:val="EndNoteBibliography"/>
        <w:spacing w:after="0"/>
      </w:pPr>
      <w:bookmarkStart w:id="39" w:name="_ENREF_39"/>
      <w:r w:rsidRPr="008437DF">
        <w:t>39.</w:t>
      </w:r>
      <w:r w:rsidRPr="008437DF">
        <w:tab/>
        <w:t>Davis C, Abraham J. Is there a cure for corporate crime in the drug industry? Bmj. 2013;346:f755.</w:t>
      </w:r>
      <w:bookmarkEnd w:id="39"/>
    </w:p>
    <w:p w:rsidR="00586B17" w:rsidRPr="008437DF" w:rsidRDefault="00586B17" w:rsidP="003F2483">
      <w:pPr>
        <w:pStyle w:val="EndNoteBibliography"/>
        <w:spacing w:after="0"/>
      </w:pPr>
      <w:bookmarkStart w:id="40" w:name="_ENREF_40"/>
      <w:r w:rsidRPr="008437DF">
        <w:t>40.</w:t>
      </w:r>
      <w:r w:rsidRPr="008437DF">
        <w:tab/>
        <w:t>A</w:t>
      </w:r>
      <w:r w:rsidR="003E49C4">
        <w:t>braham J</w:t>
      </w:r>
      <w:r w:rsidRPr="008437DF">
        <w:t>. Pharmaceuticalization of Society in Context: Theoretical, Empirical and Health Dimensions. Sociology 2010;44:603-22.</w:t>
      </w:r>
      <w:bookmarkEnd w:id="40"/>
    </w:p>
    <w:p w:rsidR="00586B17" w:rsidRPr="008437DF" w:rsidRDefault="00586B17" w:rsidP="003F2483">
      <w:pPr>
        <w:pStyle w:val="EndNoteBibliography"/>
      </w:pPr>
      <w:bookmarkStart w:id="41" w:name="_ENREF_41"/>
      <w:r w:rsidRPr="008437DF">
        <w:t>41.</w:t>
      </w:r>
      <w:r w:rsidRPr="008437DF">
        <w:tab/>
        <w:t>Cranney M, Warren E, Barton S, Gardner K, Walley T. Why do GPs not implement evidence-based guidelines? A descriptive study. Family Practice. 2001;18(4):359-63.</w:t>
      </w:r>
      <w:bookmarkEnd w:id="41"/>
    </w:p>
    <w:p w:rsidR="00586B17" w:rsidRDefault="00586B17" w:rsidP="003F2483"/>
    <w:p w:rsidR="00586B17" w:rsidRDefault="00586B17" w:rsidP="003F2483"/>
    <w:p w:rsidR="000C5089" w:rsidRDefault="000C5089"/>
    <w:sectPr w:rsidR="000C5089" w:rsidSect="003F2483">
      <w:footerReference w:type="default" r:id="rId15"/>
      <w:footnotePr>
        <w:numFmt w:val="lowerLetter"/>
      </w:foot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F5" w:rsidRDefault="00984BF5" w:rsidP="00586B17">
      <w:pPr>
        <w:spacing w:after="0" w:line="240" w:lineRule="auto"/>
      </w:pPr>
      <w:r>
        <w:separator/>
      </w:r>
    </w:p>
  </w:endnote>
  <w:endnote w:type="continuationSeparator" w:id="0">
    <w:p w:rsidR="00984BF5" w:rsidRDefault="00984BF5" w:rsidP="0058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01699"/>
      <w:docPartObj>
        <w:docPartGallery w:val="Page Numbers (Bottom of Page)"/>
        <w:docPartUnique/>
      </w:docPartObj>
    </w:sdtPr>
    <w:sdtEndPr/>
    <w:sdtContent>
      <w:p w:rsidR="003F2483" w:rsidRDefault="003F2483">
        <w:pPr>
          <w:pStyle w:val="Footer"/>
          <w:jc w:val="right"/>
        </w:pPr>
        <w:r>
          <w:fldChar w:fldCharType="begin"/>
        </w:r>
        <w:r>
          <w:instrText>PAGE   \* MERGEFORMAT</w:instrText>
        </w:r>
        <w:r>
          <w:fldChar w:fldCharType="separate"/>
        </w:r>
        <w:r w:rsidR="00C61523" w:rsidRPr="00C61523">
          <w:rPr>
            <w:noProof/>
            <w:lang w:val="pt-BR"/>
          </w:rPr>
          <w:t>15</w:t>
        </w:r>
        <w:r>
          <w:fldChar w:fldCharType="end"/>
        </w:r>
      </w:p>
    </w:sdtContent>
  </w:sdt>
  <w:p w:rsidR="003F2483" w:rsidRDefault="003F2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F5" w:rsidRDefault="00984BF5" w:rsidP="00586B17">
      <w:pPr>
        <w:spacing w:after="0" w:line="240" w:lineRule="auto"/>
      </w:pPr>
      <w:r>
        <w:separator/>
      </w:r>
    </w:p>
  </w:footnote>
  <w:footnote w:type="continuationSeparator" w:id="0">
    <w:p w:rsidR="00984BF5" w:rsidRDefault="00984BF5" w:rsidP="00586B17">
      <w:pPr>
        <w:spacing w:after="0" w:line="240" w:lineRule="auto"/>
      </w:pPr>
      <w:r>
        <w:continuationSeparator/>
      </w:r>
    </w:p>
  </w:footnote>
  <w:footnote w:id="1">
    <w:p w:rsidR="003F2483" w:rsidRPr="003866EE" w:rsidRDefault="003F2483" w:rsidP="003F2483">
      <w:pPr>
        <w:spacing w:after="240" w:line="240" w:lineRule="auto"/>
        <w:rPr>
          <w:rFonts w:ascii="Arial" w:hAnsi="Arial" w:cs="Arial"/>
          <w:sz w:val="20"/>
          <w:szCs w:val="20"/>
        </w:rPr>
      </w:pPr>
      <w:r w:rsidRPr="003866EE">
        <w:rPr>
          <w:rStyle w:val="FootnoteReference"/>
          <w:rFonts w:ascii="Arial" w:hAnsi="Arial" w:cs="Arial"/>
          <w:sz w:val="20"/>
          <w:szCs w:val="20"/>
        </w:rPr>
        <w:footnoteRef/>
      </w:r>
      <w:r w:rsidRPr="003866EE">
        <w:rPr>
          <w:rFonts w:ascii="Arial" w:hAnsi="Arial" w:cs="Arial"/>
          <w:sz w:val="20"/>
          <w:szCs w:val="20"/>
        </w:rPr>
        <w:t xml:space="preserve">National Resource Center for Academic </w:t>
      </w:r>
      <w:proofErr w:type="gramStart"/>
      <w:r w:rsidRPr="003866EE">
        <w:rPr>
          <w:rFonts w:ascii="Arial" w:hAnsi="Arial" w:cs="Arial"/>
          <w:sz w:val="20"/>
          <w:szCs w:val="20"/>
        </w:rPr>
        <w:t>Detailing</w:t>
      </w:r>
      <w:r w:rsidRPr="003866EE">
        <w:rPr>
          <w:rFonts w:ascii="Arial" w:hAnsi="Arial" w:cs="Arial"/>
          <w:sz w:val="20"/>
          <w:szCs w:val="20"/>
          <w:shd w:val="clear" w:color="auto" w:fill="FFFFFF"/>
        </w:rPr>
        <w:t xml:space="preserve">  (</w:t>
      </w:r>
      <w:proofErr w:type="spellStart"/>
      <w:proofErr w:type="gramEnd"/>
      <w:r w:rsidRPr="003866EE">
        <w:rPr>
          <w:rFonts w:ascii="Arial" w:hAnsi="Arial" w:cs="Arial"/>
          <w:sz w:val="20"/>
          <w:szCs w:val="20"/>
          <w:shd w:val="clear" w:color="auto" w:fill="FFFFFF"/>
        </w:rPr>
        <w:t>NaRCAD</w:t>
      </w:r>
      <w:proofErr w:type="spellEnd"/>
      <w:r w:rsidRPr="003866EE">
        <w:rPr>
          <w:rFonts w:ascii="Arial" w:hAnsi="Arial" w:cs="Arial"/>
          <w:sz w:val="20"/>
          <w:szCs w:val="20"/>
          <w:shd w:val="clear" w:color="auto" w:fill="FFFFFF"/>
        </w:rPr>
        <w:t xml:space="preserve">). </w:t>
      </w:r>
      <w:proofErr w:type="gramStart"/>
      <w:r w:rsidRPr="003866EE">
        <w:rPr>
          <w:rFonts w:ascii="Arial" w:hAnsi="Arial" w:cs="Arial"/>
          <w:sz w:val="20"/>
          <w:szCs w:val="20"/>
          <w:shd w:val="clear" w:color="auto" w:fill="FFFFFF"/>
        </w:rPr>
        <w:t>About Academic Detailing.</w:t>
      </w:r>
      <w:proofErr w:type="gramEnd"/>
      <w:r w:rsidRPr="003866EE">
        <w:rPr>
          <w:rFonts w:ascii="Arial" w:hAnsi="Arial" w:cs="Arial"/>
          <w:sz w:val="20"/>
          <w:szCs w:val="20"/>
          <w:shd w:val="clear" w:color="auto" w:fill="FFFFFF"/>
        </w:rPr>
        <w:t xml:space="preserve"> [</w:t>
      </w:r>
      <w:proofErr w:type="gramStart"/>
      <w:r w:rsidRPr="003866EE">
        <w:rPr>
          <w:rFonts w:ascii="Arial" w:hAnsi="Arial" w:cs="Arial"/>
          <w:sz w:val="20"/>
          <w:szCs w:val="20"/>
          <w:shd w:val="clear" w:color="auto" w:fill="FFFFFF"/>
        </w:rPr>
        <w:t>cited</w:t>
      </w:r>
      <w:proofErr w:type="gramEnd"/>
      <w:r w:rsidRPr="003866EE">
        <w:rPr>
          <w:rFonts w:ascii="Arial" w:hAnsi="Arial" w:cs="Arial"/>
          <w:sz w:val="20"/>
          <w:szCs w:val="20"/>
          <w:shd w:val="clear" w:color="auto" w:fill="FFFFFF"/>
        </w:rPr>
        <w:t xml:space="preserve"> 2015 Jan 22]. Available from: http://www.narcad.org/about/aboutad/</w:t>
      </w:r>
    </w:p>
  </w:footnote>
  <w:footnote w:id="2">
    <w:p w:rsidR="003F2483" w:rsidRPr="00861CFE" w:rsidRDefault="003F2483" w:rsidP="003F2483">
      <w:pPr>
        <w:pStyle w:val="FootnoteText"/>
        <w:rPr>
          <w:lang w:val="pt-BR"/>
        </w:rPr>
      </w:pPr>
      <w:r w:rsidRPr="00861CFE">
        <w:rPr>
          <w:rStyle w:val="FootnoteReference"/>
        </w:rPr>
        <w:footnoteRef/>
      </w:r>
      <w:hyperlink r:id="rId1" w:tgtFrame="_blank" w:history="1">
        <w:r w:rsidRPr="00861CFE">
          <w:rPr>
            <w:rStyle w:val="Hyperlink"/>
            <w:rFonts w:ascii="Arial" w:hAnsi="Arial" w:cs="Arial"/>
            <w:color w:val="auto"/>
            <w:u w:val="none"/>
          </w:rPr>
          <w:t>Institute for Health Metrics and Evaluation</w:t>
        </w:r>
      </w:hyperlink>
      <w:r w:rsidRPr="00861CFE">
        <w:rPr>
          <w:rStyle w:val="Hyperlink"/>
          <w:rFonts w:ascii="Arial" w:hAnsi="Arial" w:cs="Arial"/>
          <w:color w:val="auto"/>
          <w:u w:val="none"/>
        </w:rPr>
        <w:t>.</w:t>
      </w:r>
      <w:r>
        <w:rPr>
          <w:rStyle w:val="Hyperlink"/>
          <w:rFonts w:ascii="Arial" w:hAnsi="Arial" w:cs="Arial"/>
          <w:color w:val="auto"/>
          <w:u w:val="none"/>
        </w:rPr>
        <w:t xml:space="preserve"> </w:t>
      </w:r>
      <w:proofErr w:type="gramStart"/>
      <w:r>
        <w:rPr>
          <w:rStyle w:val="Hyperlink"/>
          <w:rFonts w:ascii="Arial" w:hAnsi="Arial" w:cs="Arial"/>
          <w:color w:val="auto"/>
          <w:u w:val="none"/>
        </w:rPr>
        <w:t xml:space="preserve">Global Burden of </w:t>
      </w:r>
      <w:proofErr w:type="spellStart"/>
      <w:r>
        <w:rPr>
          <w:rStyle w:val="Hyperlink"/>
          <w:rFonts w:ascii="Arial" w:hAnsi="Arial" w:cs="Arial"/>
          <w:color w:val="auto"/>
          <w:u w:val="none"/>
        </w:rPr>
        <w:t>Disease.</w:t>
      </w:r>
      <w:proofErr w:type="gramEnd"/>
      <w:hyperlink r:id="rId2" w:history="1">
        <w:r w:rsidRPr="00861CFE">
          <w:rPr>
            <w:rStyle w:val="Hyperlink"/>
            <w:rFonts w:ascii="Arial" w:hAnsi="Arial" w:cs="Arial"/>
            <w:color w:val="auto"/>
            <w:u w:val="none"/>
          </w:rPr>
          <w:t>http</w:t>
        </w:r>
        <w:proofErr w:type="spellEnd"/>
        <w:r w:rsidRPr="00861CFE">
          <w:rPr>
            <w:rStyle w:val="Hyperlink"/>
            <w:rFonts w:ascii="Arial" w:hAnsi="Arial" w:cs="Arial"/>
            <w:color w:val="auto"/>
            <w:u w:val="none"/>
          </w:rPr>
          <w:t>://vizhub.healthdata.org/</w:t>
        </w:r>
        <w:proofErr w:type="spellStart"/>
        <w:r w:rsidRPr="00861CFE">
          <w:rPr>
            <w:rStyle w:val="Hyperlink"/>
            <w:rFonts w:ascii="Arial" w:hAnsi="Arial" w:cs="Arial"/>
            <w:color w:val="auto"/>
            <w:u w:val="none"/>
          </w:rPr>
          <w:t>gbd</w:t>
        </w:r>
        <w:proofErr w:type="spellEnd"/>
        <w:r w:rsidRPr="00861CFE">
          <w:rPr>
            <w:rStyle w:val="Hyperlink"/>
            <w:rFonts w:ascii="Arial" w:hAnsi="Arial" w:cs="Arial"/>
            <w:color w:val="auto"/>
            <w:u w:val="none"/>
          </w:rPr>
          <w:t>-compare/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685"/>
    <w:multiLevelType w:val="hybridMultilevel"/>
    <w:tmpl w:val="AFA61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6B17"/>
    <w:rsid w:val="00065032"/>
    <w:rsid w:val="000C5089"/>
    <w:rsid w:val="000D5059"/>
    <w:rsid w:val="000E410A"/>
    <w:rsid w:val="000E56F2"/>
    <w:rsid w:val="000F6588"/>
    <w:rsid w:val="00110A9F"/>
    <w:rsid w:val="001B23D0"/>
    <w:rsid w:val="001F1AA1"/>
    <w:rsid w:val="002A10A3"/>
    <w:rsid w:val="002C2251"/>
    <w:rsid w:val="00316BC0"/>
    <w:rsid w:val="0036608B"/>
    <w:rsid w:val="0038351A"/>
    <w:rsid w:val="00385B70"/>
    <w:rsid w:val="00387813"/>
    <w:rsid w:val="0039174D"/>
    <w:rsid w:val="003D26ED"/>
    <w:rsid w:val="003E3606"/>
    <w:rsid w:val="003E49C4"/>
    <w:rsid w:val="003F2483"/>
    <w:rsid w:val="00497CF3"/>
    <w:rsid w:val="004A7B78"/>
    <w:rsid w:val="00506AC0"/>
    <w:rsid w:val="00543059"/>
    <w:rsid w:val="00565184"/>
    <w:rsid w:val="00576079"/>
    <w:rsid w:val="00586B17"/>
    <w:rsid w:val="00587F84"/>
    <w:rsid w:val="00663718"/>
    <w:rsid w:val="006E781D"/>
    <w:rsid w:val="006F0B83"/>
    <w:rsid w:val="00751E5D"/>
    <w:rsid w:val="00771B05"/>
    <w:rsid w:val="00772758"/>
    <w:rsid w:val="007F0FE6"/>
    <w:rsid w:val="007F1D72"/>
    <w:rsid w:val="00820C3E"/>
    <w:rsid w:val="00847592"/>
    <w:rsid w:val="008625F9"/>
    <w:rsid w:val="0088439F"/>
    <w:rsid w:val="009008C6"/>
    <w:rsid w:val="009221DE"/>
    <w:rsid w:val="00935444"/>
    <w:rsid w:val="00972C42"/>
    <w:rsid w:val="00984BF5"/>
    <w:rsid w:val="009D0D55"/>
    <w:rsid w:val="00AF5335"/>
    <w:rsid w:val="00B618D3"/>
    <w:rsid w:val="00B6445F"/>
    <w:rsid w:val="00BB6993"/>
    <w:rsid w:val="00BC6D44"/>
    <w:rsid w:val="00C051D4"/>
    <w:rsid w:val="00C61523"/>
    <w:rsid w:val="00CA77DA"/>
    <w:rsid w:val="00CF4A4C"/>
    <w:rsid w:val="00D112DC"/>
    <w:rsid w:val="00D50127"/>
    <w:rsid w:val="00DB680F"/>
    <w:rsid w:val="00E04590"/>
    <w:rsid w:val="00E57A5E"/>
    <w:rsid w:val="00E67B47"/>
    <w:rsid w:val="00E96E24"/>
    <w:rsid w:val="00EA0E11"/>
    <w:rsid w:val="00F90B86"/>
    <w:rsid w:val="00FA3BA6"/>
    <w:rsid w:val="00FB52FB"/>
    <w:rsid w:val="00FC6C16"/>
    <w:rsid w:val="00FE3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17"/>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86B17"/>
    <w:rPr>
      <w:vertAlign w:val="superscript"/>
    </w:rPr>
  </w:style>
  <w:style w:type="paragraph" w:styleId="NoSpacing">
    <w:name w:val="No Spacing"/>
    <w:basedOn w:val="Normal"/>
    <w:link w:val="NoSpacingChar"/>
    <w:uiPriority w:val="1"/>
    <w:qFormat/>
    <w:rsid w:val="00586B17"/>
    <w:pPr>
      <w:spacing w:after="0" w:line="240" w:lineRule="auto"/>
    </w:pPr>
  </w:style>
  <w:style w:type="character" w:customStyle="1" w:styleId="apple-converted-space">
    <w:name w:val="apple-converted-space"/>
    <w:basedOn w:val="DefaultParagraphFont"/>
    <w:rsid w:val="00586B17"/>
  </w:style>
  <w:style w:type="paragraph" w:styleId="Footer">
    <w:name w:val="footer"/>
    <w:basedOn w:val="Normal"/>
    <w:link w:val="FooterChar"/>
    <w:uiPriority w:val="99"/>
    <w:unhideWhenUsed/>
    <w:rsid w:val="00586B1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86B17"/>
    <w:rPr>
      <w:rFonts w:ascii="Cambria" w:eastAsia="Times New Roman" w:hAnsi="Cambria" w:cs="Times New Roman"/>
      <w:lang w:val="en-US" w:bidi="en-US"/>
    </w:rPr>
  </w:style>
  <w:style w:type="paragraph" w:customStyle="1" w:styleId="EndNoteBibliography">
    <w:name w:val="EndNote Bibliography"/>
    <w:basedOn w:val="Normal"/>
    <w:link w:val="EndNoteBibliographyChar"/>
    <w:rsid w:val="00586B17"/>
    <w:pPr>
      <w:spacing w:line="240" w:lineRule="auto"/>
    </w:pPr>
    <w:rPr>
      <w:noProof/>
      <w:szCs w:val="20"/>
      <w:lang w:bidi="ar-SA"/>
    </w:rPr>
  </w:style>
  <w:style w:type="character" w:customStyle="1" w:styleId="EndNoteBibliographyChar">
    <w:name w:val="EndNote Bibliography Char"/>
    <w:link w:val="EndNoteBibliography"/>
    <w:rsid w:val="00586B17"/>
    <w:rPr>
      <w:rFonts w:ascii="Cambria" w:eastAsia="Times New Roman" w:hAnsi="Cambria" w:cs="Times New Roman"/>
      <w:noProof/>
      <w:szCs w:val="20"/>
      <w:lang w:val="en-US"/>
    </w:rPr>
  </w:style>
  <w:style w:type="paragraph" w:styleId="BodyText">
    <w:name w:val="Body Text"/>
    <w:basedOn w:val="Normal"/>
    <w:link w:val="BodyTextChar"/>
    <w:uiPriority w:val="99"/>
    <w:semiHidden/>
    <w:unhideWhenUsed/>
    <w:rsid w:val="00586B17"/>
    <w:pPr>
      <w:spacing w:after="120"/>
    </w:pPr>
  </w:style>
  <w:style w:type="character" w:customStyle="1" w:styleId="BodyTextChar">
    <w:name w:val="Body Text Char"/>
    <w:basedOn w:val="DefaultParagraphFont"/>
    <w:link w:val="BodyText"/>
    <w:uiPriority w:val="99"/>
    <w:semiHidden/>
    <w:rsid w:val="00586B17"/>
    <w:rPr>
      <w:rFonts w:ascii="Cambria" w:eastAsia="Times New Roman" w:hAnsi="Cambria" w:cs="Times New Roman"/>
      <w:lang w:val="en-US" w:bidi="en-US"/>
    </w:rPr>
  </w:style>
  <w:style w:type="paragraph" w:styleId="ListParagraph">
    <w:name w:val="List Paragraph"/>
    <w:basedOn w:val="Normal"/>
    <w:uiPriority w:val="34"/>
    <w:qFormat/>
    <w:rsid w:val="00586B17"/>
    <w:pPr>
      <w:ind w:left="720"/>
      <w:contextualSpacing/>
    </w:pPr>
  </w:style>
  <w:style w:type="character" w:styleId="LineNumber">
    <w:name w:val="line number"/>
    <w:basedOn w:val="DefaultParagraphFont"/>
    <w:uiPriority w:val="99"/>
    <w:semiHidden/>
    <w:unhideWhenUsed/>
    <w:rsid w:val="00586B17"/>
  </w:style>
  <w:style w:type="paragraph" w:customStyle="1" w:styleId="EndNoteBibliographyTitle">
    <w:name w:val="EndNote Bibliography Title"/>
    <w:basedOn w:val="Normal"/>
    <w:link w:val="EndNoteBibliographyTitleChar"/>
    <w:rsid w:val="00586B17"/>
    <w:pPr>
      <w:spacing w:after="0"/>
      <w:jc w:val="center"/>
    </w:pPr>
    <w:rPr>
      <w:noProof/>
    </w:rPr>
  </w:style>
  <w:style w:type="character" w:customStyle="1" w:styleId="EndNoteBibliographyTitleChar">
    <w:name w:val="EndNote Bibliography Title Char"/>
    <w:basedOn w:val="DefaultParagraphFont"/>
    <w:link w:val="EndNoteBibliographyTitle"/>
    <w:rsid w:val="00586B17"/>
    <w:rPr>
      <w:rFonts w:ascii="Cambria" w:eastAsia="Times New Roman" w:hAnsi="Cambria" w:cs="Times New Roman"/>
      <w:noProof/>
      <w:lang w:val="en-US" w:bidi="en-US"/>
    </w:rPr>
  </w:style>
  <w:style w:type="character" w:styleId="Hyperlink">
    <w:name w:val="Hyperlink"/>
    <w:basedOn w:val="DefaultParagraphFont"/>
    <w:uiPriority w:val="99"/>
    <w:unhideWhenUsed/>
    <w:rsid w:val="00586B17"/>
    <w:rPr>
      <w:color w:val="0000FF" w:themeColor="hyperlink"/>
      <w:u w:val="single"/>
    </w:rPr>
  </w:style>
  <w:style w:type="paragraph" w:styleId="Header">
    <w:name w:val="header"/>
    <w:basedOn w:val="Normal"/>
    <w:link w:val="HeaderChar"/>
    <w:uiPriority w:val="99"/>
    <w:unhideWhenUsed/>
    <w:rsid w:val="00586B1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86B17"/>
    <w:rPr>
      <w:rFonts w:ascii="Cambria" w:eastAsia="Times New Roman" w:hAnsi="Cambria" w:cs="Times New Roman"/>
      <w:lang w:val="en-US" w:bidi="en-US"/>
    </w:rPr>
  </w:style>
  <w:style w:type="character" w:customStyle="1" w:styleId="hps">
    <w:name w:val="hps"/>
    <w:basedOn w:val="DefaultParagraphFont"/>
    <w:rsid w:val="00586B17"/>
  </w:style>
  <w:style w:type="paragraph" w:styleId="CommentText">
    <w:name w:val="annotation text"/>
    <w:basedOn w:val="Normal"/>
    <w:link w:val="CommentTextChar"/>
    <w:uiPriority w:val="99"/>
    <w:semiHidden/>
    <w:unhideWhenUsed/>
    <w:rsid w:val="00586B17"/>
    <w:pPr>
      <w:spacing w:line="240" w:lineRule="auto"/>
    </w:pPr>
    <w:rPr>
      <w:rFonts w:asciiTheme="minorHAnsi" w:eastAsiaTheme="minorEastAsia" w:hAnsiTheme="minorHAnsi" w:cstheme="minorBidi"/>
      <w:sz w:val="20"/>
      <w:szCs w:val="20"/>
      <w:lang w:val="pt-BR" w:eastAsia="pt-BR" w:bidi="ar-SA"/>
    </w:rPr>
  </w:style>
  <w:style w:type="character" w:customStyle="1" w:styleId="CommentTextChar">
    <w:name w:val="Comment Text Char"/>
    <w:basedOn w:val="DefaultParagraphFont"/>
    <w:link w:val="CommentText"/>
    <w:uiPriority w:val="99"/>
    <w:semiHidden/>
    <w:rsid w:val="00586B17"/>
    <w:rPr>
      <w:rFonts w:eastAsiaTheme="minorEastAsia"/>
      <w:sz w:val="20"/>
      <w:szCs w:val="20"/>
      <w:lang w:eastAsia="pt-BR"/>
    </w:rPr>
  </w:style>
  <w:style w:type="character" w:styleId="CommentReference">
    <w:name w:val="annotation reference"/>
    <w:basedOn w:val="DefaultParagraphFont"/>
    <w:uiPriority w:val="99"/>
    <w:semiHidden/>
    <w:unhideWhenUsed/>
    <w:rsid w:val="00586B17"/>
    <w:rPr>
      <w:sz w:val="16"/>
      <w:szCs w:val="16"/>
    </w:rPr>
  </w:style>
  <w:style w:type="paragraph" w:styleId="BalloonText">
    <w:name w:val="Balloon Text"/>
    <w:basedOn w:val="Normal"/>
    <w:link w:val="BalloonTextChar"/>
    <w:uiPriority w:val="99"/>
    <w:semiHidden/>
    <w:unhideWhenUsed/>
    <w:rsid w:val="0058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B17"/>
    <w:rPr>
      <w:rFonts w:ascii="Tahoma" w:eastAsia="Times New Roman" w:hAnsi="Tahoma" w:cs="Tahoma"/>
      <w:sz w:val="16"/>
      <w:szCs w:val="16"/>
      <w:lang w:val="en-US" w:bidi="en-US"/>
    </w:rPr>
  </w:style>
  <w:style w:type="paragraph" w:styleId="FootnoteText">
    <w:name w:val="footnote text"/>
    <w:basedOn w:val="Normal"/>
    <w:link w:val="FootnoteTextChar"/>
    <w:uiPriority w:val="99"/>
    <w:semiHidden/>
    <w:unhideWhenUsed/>
    <w:rsid w:val="00586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B17"/>
    <w:rPr>
      <w:rFonts w:ascii="Cambria" w:eastAsia="Times New Roman" w:hAnsi="Cambria"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586B17"/>
    <w:rPr>
      <w:rFonts w:ascii="Cambria" w:eastAsia="Times New Roman" w:hAnsi="Cambria" w:cs="Times New Roman"/>
      <w:b/>
      <w:bCs/>
      <w:lang w:val="en-US" w:bidi="en-US"/>
    </w:rPr>
  </w:style>
  <w:style w:type="character" w:customStyle="1" w:styleId="CommentSubjectChar">
    <w:name w:val="Comment Subject Char"/>
    <w:basedOn w:val="CommentTextChar"/>
    <w:link w:val="CommentSubject"/>
    <w:uiPriority w:val="99"/>
    <w:semiHidden/>
    <w:rsid w:val="00586B17"/>
    <w:rPr>
      <w:rFonts w:ascii="Cambria" w:eastAsia="Times New Roman" w:hAnsi="Cambria" w:cs="Times New Roman"/>
      <w:b/>
      <w:bCs/>
      <w:sz w:val="20"/>
      <w:szCs w:val="20"/>
      <w:lang w:val="en-US" w:eastAsia="pt-BR" w:bidi="en-US"/>
    </w:rPr>
  </w:style>
  <w:style w:type="paragraph" w:styleId="Revision">
    <w:name w:val="Revision"/>
    <w:hidden/>
    <w:uiPriority w:val="99"/>
    <w:semiHidden/>
    <w:rsid w:val="00D50127"/>
    <w:pPr>
      <w:spacing w:after="0" w:line="240" w:lineRule="auto"/>
    </w:pPr>
    <w:rPr>
      <w:rFonts w:ascii="Cambria" w:eastAsia="Times New Roman" w:hAnsi="Cambria" w:cs="Times New Roman"/>
      <w:lang w:val="en-US" w:bidi="en-US"/>
    </w:rPr>
  </w:style>
  <w:style w:type="paragraph" w:styleId="BodyText3">
    <w:name w:val="Body Text 3"/>
    <w:basedOn w:val="Normal"/>
    <w:link w:val="BodyText3Char"/>
    <w:uiPriority w:val="99"/>
    <w:semiHidden/>
    <w:unhideWhenUsed/>
    <w:rsid w:val="000F6588"/>
    <w:pPr>
      <w:spacing w:after="120"/>
    </w:pPr>
    <w:rPr>
      <w:sz w:val="16"/>
      <w:szCs w:val="16"/>
    </w:rPr>
  </w:style>
  <w:style w:type="character" w:customStyle="1" w:styleId="BodyText3Char">
    <w:name w:val="Body Text 3 Char"/>
    <w:basedOn w:val="DefaultParagraphFont"/>
    <w:link w:val="BodyText3"/>
    <w:uiPriority w:val="99"/>
    <w:semiHidden/>
    <w:rsid w:val="000F6588"/>
    <w:rPr>
      <w:rFonts w:ascii="Cambria" w:eastAsia="Times New Roman" w:hAnsi="Cambria" w:cs="Times New Roman"/>
      <w:sz w:val="16"/>
      <w:szCs w:val="16"/>
      <w:lang w:val="en-US" w:bidi="en-US"/>
    </w:rPr>
  </w:style>
  <w:style w:type="character" w:customStyle="1" w:styleId="NoSpacingChar">
    <w:name w:val="No Spacing Char"/>
    <w:link w:val="NoSpacing"/>
    <w:uiPriority w:val="1"/>
    <w:locked/>
    <w:rsid w:val="000F6588"/>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17"/>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86B17"/>
    <w:rPr>
      <w:vertAlign w:val="superscript"/>
    </w:rPr>
  </w:style>
  <w:style w:type="paragraph" w:styleId="NoSpacing">
    <w:name w:val="No Spacing"/>
    <w:basedOn w:val="Normal"/>
    <w:link w:val="NoSpacingChar"/>
    <w:uiPriority w:val="1"/>
    <w:qFormat/>
    <w:rsid w:val="00586B17"/>
    <w:pPr>
      <w:spacing w:after="0" w:line="240" w:lineRule="auto"/>
    </w:pPr>
  </w:style>
  <w:style w:type="character" w:customStyle="1" w:styleId="apple-converted-space">
    <w:name w:val="apple-converted-space"/>
    <w:basedOn w:val="DefaultParagraphFont"/>
    <w:rsid w:val="00586B17"/>
  </w:style>
  <w:style w:type="paragraph" w:styleId="Footer">
    <w:name w:val="footer"/>
    <w:basedOn w:val="Normal"/>
    <w:link w:val="FooterChar"/>
    <w:uiPriority w:val="99"/>
    <w:unhideWhenUsed/>
    <w:rsid w:val="00586B1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86B17"/>
    <w:rPr>
      <w:rFonts w:ascii="Cambria" w:eastAsia="Times New Roman" w:hAnsi="Cambria" w:cs="Times New Roman"/>
      <w:lang w:val="en-US" w:bidi="en-US"/>
    </w:rPr>
  </w:style>
  <w:style w:type="paragraph" w:customStyle="1" w:styleId="EndNoteBibliography">
    <w:name w:val="EndNote Bibliography"/>
    <w:basedOn w:val="Normal"/>
    <w:link w:val="EndNoteBibliographyChar"/>
    <w:rsid w:val="00586B17"/>
    <w:pPr>
      <w:spacing w:line="240" w:lineRule="auto"/>
    </w:pPr>
    <w:rPr>
      <w:noProof/>
      <w:szCs w:val="20"/>
      <w:lang w:bidi="ar-SA"/>
    </w:rPr>
  </w:style>
  <w:style w:type="character" w:customStyle="1" w:styleId="EndNoteBibliographyChar">
    <w:name w:val="EndNote Bibliography Char"/>
    <w:link w:val="EndNoteBibliography"/>
    <w:rsid w:val="00586B17"/>
    <w:rPr>
      <w:rFonts w:ascii="Cambria" w:eastAsia="Times New Roman" w:hAnsi="Cambria" w:cs="Times New Roman"/>
      <w:noProof/>
      <w:szCs w:val="20"/>
      <w:lang w:val="en-US"/>
    </w:rPr>
  </w:style>
  <w:style w:type="paragraph" w:styleId="BodyText">
    <w:name w:val="Body Text"/>
    <w:basedOn w:val="Normal"/>
    <w:link w:val="BodyTextChar"/>
    <w:uiPriority w:val="99"/>
    <w:semiHidden/>
    <w:unhideWhenUsed/>
    <w:rsid w:val="00586B17"/>
    <w:pPr>
      <w:spacing w:after="120"/>
    </w:pPr>
  </w:style>
  <w:style w:type="character" w:customStyle="1" w:styleId="BodyTextChar">
    <w:name w:val="Body Text Char"/>
    <w:basedOn w:val="DefaultParagraphFont"/>
    <w:link w:val="BodyText"/>
    <w:uiPriority w:val="99"/>
    <w:semiHidden/>
    <w:rsid w:val="00586B17"/>
    <w:rPr>
      <w:rFonts w:ascii="Cambria" w:eastAsia="Times New Roman" w:hAnsi="Cambria" w:cs="Times New Roman"/>
      <w:lang w:val="en-US" w:bidi="en-US"/>
    </w:rPr>
  </w:style>
  <w:style w:type="paragraph" w:styleId="ListParagraph">
    <w:name w:val="List Paragraph"/>
    <w:basedOn w:val="Normal"/>
    <w:uiPriority w:val="34"/>
    <w:qFormat/>
    <w:rsid w:val="00586B17"/>
    <w:pPr>
      <w:ind w:left="720"/>
      <w:contextualSpacing/>
    </w:pPr>
  </w:style>
  <w:style w:type="character" w:styleId="LineNumber">
    <w:name w:val="line number"/>
    <w:basedOn w:val="DefaultParagraphFont"/>
    <w:uiPriority w:val="99"/>
    <w:semiHidden/>
    <w:unhideWhenUsed/>
    <w:rsid w:val="00586B17"/>
  </w:style>
  <w:style w:type="paragraph" w:customStyle="1" w:styleId="EndNoteBibliographyTitle">
    <w:name w:val="EndNote Bibliography Title"/>
    <w:basedOn w:val="Normal"/>
    <w:link w:val="EndNoteBibliographyTitleChar"/>
    <w:rsid w:val="00586B17"/>
    <w:pPr>
      <w:spacing w:after="0"/>
      <w:jc w:val="center"/>
    </w:pPr>
    <w:rPr>
      <w:noProof/>
    </w:rPr>
  </w:style>
  <w:style w:type="character" w:customStyle="1" w:styleId="EndNoteBibliographyTitleChar">
    <w:name w:val="EndNote Bibliography Title Char"/>
    <w:basedOn w:val="DefaultParagraphFont"/>
    <w:link w:val="EndNoteBibliographyTitle"/>
    <w:rsid w:val="00586B17"/>
    <w:rPr>
      <w:rFonts w:ascii="Cambria" w:eastAsia="Times New Roman" w:hAnsi="Cambria" w:cs="Times New Roman"/>
      <w:noProof/>
      <w:lang w:val="en-US" w:bidi="en-US"/>
    </w:rPr>
  </w:style>
  <w:style w:type="character" w:styleId="Hyperlink">
    <w:name w:val="Hyperlink"/>
    <w:basedOn w:val="DefaultParagraphFont"/>
    <w:uiPriority w:val="99"/>
    <w:unhideWhenUsed/>
    <w:rsid w:val="00586B17"/>
    <w:rPr>
      <w:color w:val="0000FF" w:themeColor="hyperlink"/>
      <w:u w:val="single"/>
    </w:rPr>
  </w:style>
  <w:style w:type="paragraph" w:styleId="Header">
    <w:name w:val="header"/>
    <w:basedOn w:val="Normal"/>
    <w:link w:val="HeaderChar"/>
    <w:uiPriority w:val="99"/>
    <w:unhideWhenUsed/>
    <w:rsid w:val="00586B1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86B17"/>
    <w:rPr>
      <w:rFonts w:ascii="Cambria" w:eastAsia="Times New Roman" w:hAnsi="Cambria" w:cs="Times New Roman"/>
      <w:lang w:val="en-US" w:bidi="en-US"/>
    </w:rPr>
  </w:style>
  <w:style w:type="character" w:customStyle="1" w:styleId="hps">
    <w:name w:val="hps"/>
    <w:basedOn w:val="DefaultParagraphFont"/>
    <w:rsid w:val="00586B17"/>
  </w:style>
  <w:style w:type="paragraph" w:styleId="CommentText">
    <w:name w:val="annotation text"/>
    <w:basedOn w:val="Normal"/>
    <w:link w:val="CommentTextChar"/>
    <w:uiPriority w:val="99"/>
    <w:semiHidden/>
    <w:unhideWhenUsed/>
    <w:rsid w:val="00586B17"/>
    <w:pPr>
      <w:spacing w:line="240" w:lineRule="auto"/>
    </w:pPr>
    <w:rPr>
      <w:rFonts w:asciiTheme="minorHAnsi" w:eastAsiaTheme="minorEastAsia" w:hAnsiTheme="minorHAnsi" w:cstheme="minorBidi"/>
      <w:sz w:val="20"/>
      <w:szCs w:val="20"/>
      <w:lang w:val="pt-BR" w:eastAsia="pt-BR" w:bidi="ar-SA"/>
    </w:rPr>
  </w:style>
  <w:style w:type="character" w:customStyle="1" w:styleId="CommentTextChar">
    <w:name w:val="Comment Text Char"/>
    <w:basedOn w:val="DefaultParagraphFont"/>
    <w:link w:val="CommentText"/>
    <w:uiPriority w:val="99"/>
    <w:semiHidden/>
    <w:rsid w:val="00586B17"/>
    <w:rPr>
      <w:rFonts w:eastAsiaTheme="minorEastAsia"/>
      <w:sz w:val="20"/>
      <w:szCs w:val="20"/>
      <w:lang w:eastAsia="pt-BR"/>
    </w:rPr>
  </w:style>
  <w:style w:type="character" w:styleId="CommentReference">
    <w:name w:val="annotation reference"/>
    <w:basedOn w:val="DefaultParagraphFont"/>
    <w:uiPriority w:val="99"/>
    <w:semiHidden/>
    <w:unhideWhenUsed/>
    <w:rsid w:val="00586B17"/>
    <w:rPr>
      <w:sz w:val="16"/>
      <w:szCs w:val="16"/>
    </w:rPr>
  </w:style>
  <w:style w:type="paragraph" w:styleId="BalloonText">
    <w:name w:val="Balloon Text"/>
    <w:basedOn w:val="Normal"/>
    <w:link w:val="BalloonTextChar"/>
    <w:uiPriority w:val="99"/>
    <w:semiHidden/>
    <w:unhideWhenUsed/>
    <w:rsid w:val="0058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B17"/>
    <w:rPr>
      <w:rFonts w:ascii="Tahoma" w:eastAsia="Times New Roman" w:hAnsi="Tahoma" w:cs="Tahoma"/>
      <w:sz w:val="16"/>
      <w:szCs w:val="16"/>
      <w:lang w:val="en-US" w:bidi="en-US"/>
    </w:rPr>
  </w:style>
  <w:style w:type="paragraph" w:styleId="FootnoteText">
    <w:name w:val="footnote text"/>
    <w:basedOn w:val="Normal"/>
    <w:link w:val="FootnoteTextChar"/>
    <w:uiPriority w:val="99"/>
    <w:semiHidden/>
    <w:unhideWhenUsed/>
    <w:rsid w:val="00586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B17"/>
    <w:rPr>
      <w:rFonts w:ascii="Cambria" w:eastAsia="Times New Roman" w:hAnsi="Cambria"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586B17"/>
    <w:rPr>
      <w:rFonts w:ascii="Cambria" w:eastAsia="Times New Roman" w:hAnsi="Cambria" w:cs="Times New Roman"/>
      <w:b/>
      <w:bCs/>
      <w:lang w:val="en-US" w:bidi="en-US"/>
    </w:rPr>
  </w:style>
  <w:style w:type="character" w:customStyle="1" w:styleId="CommentSubjectChar">
    <w:name w:val="Comment Subject Char"/>
    <w:basedOn w:val="CommentTextChar"/>
    <w:link w:val="CommentSubject"/>
    <w:uiPriority w:val="99"/>
    <w:semiHidden/>
    <w:rsid w:val="00586B17"/>
    <w:rPr>
      <w:rFonts w:ascii="Cambria" w:eastAsia="Times New Roman" w:hAnsi="Cambria" w:cs="Times New Roman"/>
      <w:b/>
      <w:bCs/>
      <w:sz w:val="20"/>
      <w:szCs w:val="20"/>
      <w:lang w:val="en-US" w:eastAsia="pt-BR" w:bidi="en-US"/>
    </w:rPr>
  </w:style>
  <w:style w:type="paragraph" w:styleId="Revision">
    <w:name w:val="Revision"/>
    <w:hidden/>
    <w:uiPriority w:val="99"/>
    <w:semiHidden/>
    <w:rsid w:val="00D50127"/>
    <w:pPr>
      <w:spacing w:after="0" w:line="240" w:lineRule="auto"/>
    </w:pPr>
    <w:rPr>
      <w:rFonts w:ascii="Cambria" w:eastAsia="Times New Roman" w:hAnsi="Cambria" w:cs="Times New Roman"/>
      <w:lang w:val="en-US" w:bidi="en-US"/>
    </w:rPr>
  </w:style>
  <w:style w:type="paragraph" w:styleId="BodyText3">
    <w:name w:val="Body Text 3"/>
    <w:basedOn w:val="Normal"/>
    <w:link w:val="BodyText3Char"/>
    <w:uiPriority w:val="99"/>
    <w:semiHidden/>
    <w:unhideWhenUsed/>
    <w:rsid w:val="000F6588"/>
    <w:pPr>
      <w:spacing w:after="120"/>
    </w:pPr>
    <w:rPr>
      <w:sz w:val="16"/>
      <w:szCs w:val="16"/>
    </w:rPr>
  </w:style>
  <w:style w:type="character" w:customStyle="1" w:styleId="BodyText3Char">
    <w:name w:val="Body Text 3 Char"/>
    <w:basedOn w:val="DefaultParagraphFont"/>
    <w:link w:val="BodyText3"/>
    <w:uiPriority w:val="99"/>
    <w:semiHidden/>
    <w:rsid w:val="000F6588"/>
    <w:rPr>
      <w:rFonts w:ascii="Cambria" w:eastAsia="Times New Roman" w:hAnsi="Cambria" w:cs="Times New Roman"/>
      <w:sz w:val="16"/>
      <w:szCs w:val="16"/>
      <w:lang w:val="en-US" w:bidi="en-US"/>
    </w:rPr>
  </w:style>
  <w:style w:type="character" w:customStyle="1" w:styleId="NoSpacingChar">
    <w:name w:val="No Spacing Char"/>
    <w:link w:val="NoSpacing"/>
    <w:uiPriority w:val="1"/>
    <w:locked/>
    <w:rsid w:val="000F6588"/>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odman@ki.se"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hrq.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hrq.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poc.cochrane.org/epoc-taxonomy" TargetMode="External"/><Relationship Id="rId4" Type="http://schemas.openxmlformats.org/officeDocument/2006/relationships/settings" Target="settings.xml"/><Relationship Id="rId9" Type="http://schemas.openxmlformats.org/officeDocument/2006/relationships/hyperlink" Target="http://www.pewtrusts.org/en/research-and-analysis/fact-sheets/2013/11/11/persuading-the-prescribers-pharmaceutical-industry-marketing-and-its-influence-on-physicians-and-patients" TargetMode="Externa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vizhub.healthdata.org/gbd-compare/" TargetMode="External"/><Relationship Id="rId1" Type="http://schemas.openxmlformats.org/officeDocument/2006/relationships/hyperlink" Target="http://www.healtdata.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7165</Words>
  <Characters>40845</Characters>
  <Application>Microsoft Office Word</Application>
  <DocSecurity>0</DocSecurity>
  <Lines>340</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Julypc</dc:creator>
  <cp:lastModifiedBy>Brian</cp:lastModifiedBy>
  <cp:revision>4</cp:revision>
  <dcterms:created xsi:type="dcterms:W3CDTF">2016-03-01T14:54:00Z</dcterms:created>
  <dcterms:modified xsi:type="dcterms:W3CDTF">2016-03-10T14:52:00Z</dcterms:modified>
</cp:coreProperties>
</file>