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DA96C" w14:textId="77777777" w:rsidR="00690FF4" w:rsidRPr="00690FF4" w:rsidRDefault="00690FF4" w:rsidP="006730B6">
      <w:pPr>
        <w:spacing w:line="480" w:lineRule="auto"/>
        <w:jc w:val="center"/>
        <w:rPr>
          <w:b/>
          <w:smallCaps/>
          <w:sz w:val="24"/>
          <w:lang w:val="en-GB"/>
        </w:rPr>
      </w:pPr>
      <w:r>
        <w:rPr>
          <w:b/>
          <w:sz w:val="24"/>
          <w:lang w:val="en-GB"/>
        </w:rPr>
        <w:t xml:space="preserve">Title: - </w:t>
      </w:r>
      <w:r w:rsidRPr="00690FF4">
        <w:rPr>
          <w:b/>
          <w:smallCaps/>
          <w:sz w:val="24"/>
          <w:lang w:val="en-GB"/>
        </w:rPr>
        <w:t xml:space="preserve">Test systems in Drug Discovery for hazard identification and risk assessment of human </w:t>
      </w:r>
      <w:r w:rsidR="003E6940">
        <w:rPr>
          <w:b/>
          <w:smallCaps/>
          <w:sz w:val="24"/>
          <w:lang w:val="en-GB"/>
        </w:rPr>
        <w:t>Drug-Induced Liver Injury</w:t>
      </w:r>
    </w:p>
    <w:p w14:paraId="001754D3" w14:textId="374CA2E9" w:rsidR="00813A93" w:rsidRPr="000016FB" w:rsidRDefault="00813A93" w:rsidP="006730B6">
      <w:pPr>
        <w:spacing w:line="480" w:lineRule="auto"/>
        <w:rPr>
          <w:sz w:val="22"/>
          <w:szCs w:val="22"/>
          <w:lang w:val="en-US"/>
        </w:rPr>
      </w:pPr>
      <w:r w:rsidRPr="000016FB">
        <w:rPr>
          <w:b/>
          <w:sz w:val="22"/>
          <w:szCs w:val="22"/>
          <w:lang w:val="en-US"/>
        </w:rPr>
        <w:t>Subtitle:</w:t>
      </w:r>
      <w:r w:rsidRPr="000016FB">
        <w:rPr>
          <w:sz w:val="22"/>
          <w:szCs w:val="22"/>
          <w:lang w:val="en-US"/>
        </w:rPr>
        <w:t xml:space="preserve"> Industry</w:t>
      </w:r>
      <w:r w:rsidR="002E34FA">
        <w:rPr>
          <w:sz w:val="22"/>
          <w:szCs w:val="22"/>
          <w:lang w:val="en-US"/>
        </w:rPr>
        <w:t>-led</w:t>
      </w:r>
      <w:r w:rsidRPr="000016FB">
        <w:rPr>
          <w:sz w:val="22"/>
          <w:szCs w:val="22"/>
          <w:lang w:val="en-US"/>
        </w:rPr>
        <w:t xml:space="preserve"> perspective from EFPIA members of the EU Innovative Medicines Initiative Drug Liver Injury Project</w:t>
      </w:r>
      <w:r w:rsidR="00966412" w:rsidRPr="000016FB">
        <w:rPr>
          <w:sz w:val="22"/>
          <w:szCs w:val="22"/>
          <w:lang w:val="en-US"/>
        </w:rPr>
        <w:t>,</w:t>
      </w:r>
      <w:r w:rsidRPr="000016FB">
        <w:rPr>
          <w:sz w:val="22"/>
          <w:szCs w:val="22"/>
          <w:lang w:val="en-US"/>
        </w:rPr>
        <w:t xml:space="preserve"> MIP DILI.</w:t>
      </w:r>
    </w:p>
    <w:p w14:paraId="4F31F6F0" w14:textId="77777777" w:rsidR="00BE235F" w:rsidRDefault="00BE235F" w:rsidP="00BE235F">
      <w:pPr>
        <w:rPr>
          <w:sz w:val="24"/>
          <w:szCs w:val="24"/>
          <w:lang w:val="en-US"/>
        </w:rPr>
      </w:pPr>
    </w:p>
    <w:p w14:paraId="649114C2" w14:textId="77777777" w:rsidR="00525724" w:rsidRDefault="00525724" w:rsidP="009F1828">
      <w:pPr>
        <w:spacing w:line="480" w:lineRule="auto"/>
        <w:rPr>
          <w:sz w:val="24"/>
          <w:szCs w:val="24"/>
          <w:lang w:val="en-US"/>
        </w:rPr>
      </w:pPr>
      <w:r>
        <w:rPr>
          <w:sz w:val="24"/>
          <w:szCs w:val="24"/>
          <w:lang w:val="en-US"/>
        </w:rPr>
        <w:t>Abstract 200 Words</w:t>
      </w:r>
    </w:p>
    <w:p w14:paraId="7F8FA2D9" w14:textId="77777777" w:rsidR="00A9216A" w:rsidRDefault="00A9216A" w:rsidP="009F1828">
      <w:pPr>
        <w:spacing w:line="480" w:lineRule="auto"/>
        <w:rPr>
          <w:sz w:val="24"/>
          <w:szCs w:val="24"/>
          <w:lang w:val="en-US"/>
        </w:rPr>
      </w:pPr>
    </w:p>
    <w:p w14:paraId="5F8CF415" w14:textId="77777777" w:rsidR="008074A4" w:rsidRDefault="008074A4" w:rsidP="00BE235F">
      <w:pPr>
        <w:spacing w:line="480" w:lineRule="auto"/>
        <w:rPr>
          <w:b/>
          <w:sz w:val="22"/>
          <w:szCs w:val="22"/>
          <w:highlight w:val="yellow"/>
          <w:lang w:val="en-US"/>
        </w:rPr>
      </w:pPr>
    </w:p>
    <w:p w14:paraId="3D7CACAE" w14:textId="77777777" w:rsidR="007553A2" w:rsidRPr="007553A2" w:rsidRDefault="00BE235F" w:rsidP="00BE235F">
      <w:pPr>
        <w:spacing w:line="480" w:lineRule="auto"/>
        <w:rPr>
          <w:sz w:val="22"/>
          <w:szCs w:val="22"/>
          <w:lang w:val="en-US"/>
        </w:rPr>
      </w:pPr>
      <w:r w:rsidRPr="007553A2">
        <w:rPr>
          <w:b/>
          <w:sz w:val="22"/>
          <w:szCs w:val="22"/>
          <w:lang w:val="en-US"/>
        </w:rPr>
        <w:t xml:space="preserve">Key Words: </w:t>
      </w:r>
      <w:r w:rsidRPr="007553A2">
        <w:rPr>
          <w:sz w:val="22"/>
          <w:szCs w:val="22"/>
          <w:lang w:val="en-US"/>
        </w:rPr>
        <w:t xml:space="preserve">human, hepatocytes, </w:t>
      </w:r>
      <w:proofErr w:type="spellStart"/>
      <w:r w:rsidRPr="007553A2">
        <w:rPr>
          <w:sz w:val="22"/>
          <w:szCs w:val="22"/>
          <w:lang w:val="en-US"/>
        </w:rPr>
        <w:t>HepaRG</w:t>
      </w:r>
      <w:proofErr w:type="spellEnd"/>
      <w:r w:rsidRPr="007553A2">
        <w:rPr>
          <w:sz w:val="22"/>
          <w:szCs w:val="22"/>
          <w:lang w:val="en-US"/>
        </w:rPr>
        <w:t xml:space="preserve">, </w:t>
      </w:r>
      <w:r w:rsidR="00C54D64" w:rsidRPr="007553A2">
        <w:rPr>
          <w:sz w:val="22"/>
          <w:szCs w:val="22"/>
          <w:lang w:val="en-US"/>
        </w:rPr>
        <w:t xml:space="preserve">HepG2, DILI, liver, drug discovery, </w:t>
      </w:r>
      <w:r w:rsidR="00213E4D">
        <w:rPr>
          <w:sz w:val="22"/>
          <w:szCs w:val="22"/>
          <w:lang w:val="en-US"/>
        </w:rPr>
        <w:t xml:space="preserve">drug </w:t>
      </w:r>
      <w:r w:rsidR="00C54D64" w:rsidRPr="007553A2">
        <w:rPr>
          <w:sz w:val="22"/>
          <w:szCs w:val="22"/>
          <w:lang w:val="en-US"/>
        </w:rPr>
        <w:t>development, hepatobiliary, cyto</w:t>
      </w:r>
      <w:r w:rsidR="00A91BA3" w:rsidRPr="007553A2">
        <w:rPr>
          <w:sz w:val="22"/>
          <w:szCs w:val="22"/>
          <w:lang w:val="en-US"/>
        </w:rPr>
        <w:t>to</w:t>
      </w:r>
      <w:r w:rsidR="00C54D64" w:rsidRPr="007553A2">
        <w:rPr>
          <w:sz w:val="22"/>
          <w:szCs w:val="22"/>
          <w:lang w:val="en-US"/>
        </w:rPr>
        <w:t>xicity, mitocho</w:t>
      </w:r>
      <w:r w:rsidR="00EF0B9A">
        <w:rPr>
          <w:sz w:val="22"/>
          <w:szCs w:val="22"/>
          <w:lang w:val="en-US"/>
        </w:rPr>
        <w:t xml:space="preserve">ndrial toxicity, </w:t>
      </w:r>
      <w:r w:rsidR="00422E09">
        <w:rPr>
          <w:sz w:val="22"/>
          <w:szCs w:val="22"/>
          <w:lang w:val="en-US"/>
        </w:rPr>
        <w:t>cholesta</w:t>
      </w:r>
      <w:bookmarkStart w:id="0" w:name="_GoBack"/>
      <w:bookmarkEnd w:id="0"/>
      <w:r w:rsidR="00422E09">
        <w:rPr>
          <w:sz w:val="22"/>
          <w:szCs w:val="22"/>
          <w:lang w:val="en-US"/>
        </w:rPr>
        <w:t>sis, immune</w:t>
      </w:r>
      <w:r w:rsidR="00213E4D">
        <w:rPr>
          <w:sz w:val="22"/>
          <w:szCs w:val="22"/>
          <w:lang w:val="en-US"/>
        </w:rPr>
        <w:t xml:space="preserve"> system</w:t>
      </w:r>
      <w:r w:rsidR="00422E09">
        <w:rPr>
          <w:sz w:val="22"/>
          <w:szCs w:val="22"/>
          <w:lang w:val="en-US"/>
        </w:rPr>
        <w:t xml:space="preserve">, IMI, </w:t>
      </w:r>
      <w:r w:rsidR="00213E4D">
        <w:rPr>
          <w:sz w:val="22"/>
          <w:szCs w:val="22"/>
          <w:lang w:val="en-US"/>
        </w:rPr>
        <w:t>t</w:t>
      </w:r>
      <w:r w:rsidR="00422E09">
        <w:rPr>
          <w:sz w:val="22"/>
          <w:szCs w:val="22"/>
          <w:lang w:val="en-US"/>
        </w:rPr>
        <w:t xml:space="preserve">est </w:t>
      </w:r>
      <w:r w:rsidR="00213E4D">
        <w:rPr>
          <w:sz w:val="22"/>
          <w:szCs w:val="22"/>
          <w:lang w:val="en-US"/>
        </w:rPr>
        <w:t>s</w:t>
      </w:r>
      <w:r w:rsidR="00EF0B9A">
        <w:rPr>
          <w:sz w:val="22"/>
          <w:szCs w:val="22"/>
          <w:lang w:val="en-US"/>
        </w:rPr>
        <w:t xml:space="preserve">ystems, endpoints. </w:t>
      </w:r>
    </w:p>
    <w:p w14:paraId="72F9665A" w14:textId="41D36849" w:rsidR="00BE235F" w:rsidRPr="00F731A9" w:rsidRDefault="00BE235F" w:rsidP="00422E09">
      <w:pPr>
        <w:spacing w:line="480" w:lineRule="auto"/>
        <w:jc w:val="both"/>
        <w:rPr>
          <w:sz w:val="22"/>
          <w:szCs w:val="22"/>
          <w:lang w:val="en-GB"/>
        </w:rPr>
      </w:pPr>
      <w:r w:rsidRPr="007553A2">
        <w:rPr>
          <w:b/>
          <w:sz w:val="22"/>
          <w:szCs w:val="22"/>
          <w:lang w:val="en-US"/>
        </w:rPr>
        <w:t>Abbreviations</w:t>
      </w:r>
      <w:r w:rsidRPr="007553A2">
        <w:rPr>
          <w:sz w:val="22"/>
          <w:szCs w:val="22"/>
          <w:lang w:val="en-US"/>
        </w:rPr>
        <w:t xml:space="preserve">: </w:t>
      </w:r>
      <w:r w:rsidR="00AA14AF" w:rsidRPr="004B28DB">
        <w:rPr>
          <w:sz w:val="22"/>
          <w:szCs w:val="22"/>
          <w:lang w:val="en-US"/>
        </w:rPr>
        <w:t xml:space="preserve">EFPIA, European Federation of Pharmaceutical Industries &amp; Associations; </w:t>
      </w:r>
      <w:r w:rsidR="00820A6B" w:rsidRPr="004B28DB">
        <w:rPr>
          <w:sz w:val="22"/>
          <w:szCs w:val="22"/>
          <w:lang w:val="en-US"/>
        </w:rPr>
        <w:t xml:space="preserve">FDA, Food and Drug Administration; </w:t>
      </w:r>
      <w:r w:rsidRPr="004B28DB">
        <w:rPr>
          <w:sz w:val="22"/>
          <w:szCs w:val="22"/>
          <w:lang w:val="en-US"/>
        </w:rPr>
        <w:t xml:space="preserve">BSEP, bile salt transport pump; </w:t>
      </w:r>
      <w:r w:rsidR="00EA3C5B" w:rsidRPr="004B28DB">
        <w:rPr>
          <w:sz w:val="22"/>
          <w:szCs w:val="22"/>
          <w:lang w:val="en-US"/>
        </w:rPr>
        <w:t xml:space="preserve">MIE, Molecular Initiating Event; DILI, </w:t>
      </w:r>
      <w:r w:rsidR="00213E4D" w:rsidRPr="004B28DB">
        <w:rPr>
          <w:sz w:val="22"/>
          <w:szCs w:val="22"/>
          <w:lang w:val="en-US"/>
        </w:rPr>
        <w:t>d</w:t>
      </w:r>
      <w:r w:rsidR="00EA3C5B" w:rsidRPr="004B28DB">
        <w:rPr>
          <w:sz w:val="22"/>
          <w:szCs w:val="22"/>
          <w:lang w:val="en-US"/>
        </w:rPr>
        <w:t>rug-</w:t>
      </w:r>
      <w:r w:rsidR="00213E4D" w:rsidRPr="004B28DB">
        <w:rPr>
          <w:sz w:val="22"/>
          <w:szCs w:val="22"/>
          <w:lang w:val="en-US"/>
        </w:rPr>
        <w:t>i</w:t>
      </w:r>
      <w:r w:rsidR="00EA3C5B" w:rsidRPr="004B28DB">
        <w:rPr>
          <w:sz w:val="22"/>
          <w:szCs w:val="22"/>
          <w:lang w:val="en-US"/>
        </w:rPr>
        <w:t xml:space="preserve">nduced </w:t>
      </w:r>
      <w:r w:rsidR="00213E4D" w:rsidRPr="004B28DB">
        <w:rPr>
          <w:sz w:val="22"/>
          <w:szCs w:val="22"/>
          <w:lang w:val="en-US"/>
        </w:rPr>
        <w:t>l</w:t>
      </w:r>
      <w:r w:rsidR="00EA3C5B" w:rsidRPr="004B28DB">
        <w:rPr>
          <w:sz w:val="22"/>
          <w:szCs w:val="22"/>
          <w:lang w:val="en-US"/>
        </w:rPr>
        <w:t xml:space="preserve">iver </w:t>
      </w:r>
      <w:r w:rsidR="00213E4D" w:rsidRPr="004B28DB">
        <w:rPr>
          <w:sz w:val="22"/>
          <w:szCs w:val="22"/>
          <w:lang w:val="en-US"/>
        </w:rPr>
        <w:t>i</w:t>
      </w:r>
      <w:r w:rsidR="00EA3C5B" w:rsidRPr="004B28DB">
        <w:rPr>
          <w:sz w:val="22"/>
          <w:szCs w:val="22"/>
          <w:lang w:val="en-US"/>
        </w:rPr>
        <w:t>njur</w:t>
      </w:r>
      <w:r w:rsidR="00213E4D" w:rsidRPr="004B28DB">
        <w:rPr>
          <w:sz w:val="22"/>
          <w:szCs w:val="22"/>
          <w:lang w:val="en-US"/>
        </w:rPr>
        <w:t>y</w:t>
      </w:r>
      <w:r w:rsidR="00EA3C5B" w:rsidRPr="004B28DB">
        <w:rPr>
          <w:sz w:val="22"/>
          <w:szCs w:val="22"/>
          <w:lang w:val="en-US"/>
        </w:rPr>
        <w:t xml:space="preserve">; </w:t>
      </w:r>
      <w:r w:rsidR="00AA14AF" w:rsidRPr="004B28DB">
        <w:rPr>
          <w:sz w:val="22"/>
          <w:szCs w:val="22"/>
          <w:lang w:val="en-US"/>
        </w:rPr>
        <w:t xml:space="preserve">MIP-DILI, Mechanism-Based Integrated Systems for the Prediction of Drug-Induced Liver Injury; </w:t>
      </w:r>
      <w:r w:rsidR="00EA3C5B" w:rsidRPr="004B28DB">
        <w:rPr>
          <w:sz w:val="22"/>
          <w:szCs w:val="22"/>
          <w:lang w:val="en-US"/>
        </w:rPr>
        <w:t>M</w:t>
      </w:r>
      <w:r w:rsidR="00EA3C5B" w:rsidRPr="00F731A9">
        <w:rPr>
          <w:sz w:val="22"/>
          <w:szCs w:val="22"/>
          <w:lang w:val="en-US"/>
        </w:rPr>
        <w:t xml:space="preserve">MP, </w:t>
      </w:r>
      <w:r w:rsidR="00213E4D">
        <w:rPr>
          <w:sz w:val="22"/>
          <w:szCs w:val="22"/>
          <w:lang w:val="en-US"/>
        </w:rPr>
        <w:t>m</w:t>
      </w:r>
      <w:r w:rsidR="00EA3C5B" w:rsidRPr="00F731A9">
        <w:rPr>
          <w:sz w:val="22"/>
          <w:szCs w:val="22"/>
          <w:lang w:val="en-US"/>
        </w:rPr>
        <w:t xml:space="preserve">itochondrial </w:t>
      </w:r>
      <w:r w:rsidR="00213E4D">
        <w:rPr>
          <w:sz w:val="22"/>
          <w:szCs w:val="22"/>
          <w:lang w:val="en-US"/>
        </w:rPr>
        <w:t>m</w:t>
      </w:r>
      <w:r w:rsidR="00EA3C5B" w:rsidRPr="00F731A9">
        <w:rPr>
          <w:sz w:val="22"/>
          <w:szCs w:val="22"/>
          <w:lang w:val="en-US"/>
        </w:rPr>
        <w:t xml:space="preserve">embrane </w:t>
      </w:r>
      <w:r w:rsidR="00BF5780">
        <w:rPr>
          <w:sz w:val="22"/>
          <w:szCs w:val="22"/>
          <w:lang w:val="en-US"/>
        </w:rPr>
        <w:t>potential</w:t>
      </w:r>
      <w:r w:rsidR="00EA3C5B" w:rsidRPr="00F731A9">
        <w:rPr>
          <w:sz w:val="22"/>
          <w:szCs w:val="22"/>
          <w:lang w:val="en-US"/>
        </w:rPr>
        <w:t>;</w:t>
      </w:r>
      <w:r w:rsidR="00F731A9" w:rsidRPr="00F731A9">
        <w:rPr>
          <w:color w:val="252525"/>
          <w:sz w:val="22"/>
          <w:szCs w:val="22"/>
          <w:shd w:val="clear" w:color="auto" w:fill="FFFFFF"/>
          <w:lang w:val="en-GB"/>
        </w:rPr>
        <w:t xml:space="preserve"> PHH, primary human hepatocytes</w:t>
      </w:r>
      <w:r w:rsidR="00002779">
        <w:rPr>
          <w:color w:val="252525"/>
          <w:sz w:val="22"/>
          <w:szCs w:val="22"/>
          <w:shd w:val="clear" w:color="auto" w:fill="FFFFFF"/>
          <w:lang w:val="en-GB"/>
        </w:rPr>
        <w:t>;</w:t>
      </w:r>
      <w:r w:rsidR="00F731A9" w:rsidRPr="002D393B">
        <w:rPr>
          <w:color w:val="252525"/>
          <w:sz w:val="22"/>
          <w:szCs w:val="22"/>
          <w:shd w:val="clear" w:color="auto" w:fill="FFFFFF"/>
          <w:lang w:val="en-GB"/>
        </w:rPr>
        <w:t xml:space="preserve"> </w:t>
      </w:r>
      <w:proofErr w:type="spellStart"/>
      <w:r w:rsidR="00F731A9" w:rsidRPr="002D393B">
        <w:rPr>
          <w:color w:val="252525"/>
          <w:sz w:val="22"/>
          <w:szCs w:val="22"/>
          <w:shd w:val="clear" w:color="auto" w:fill="FFFFFF"/>
          <w:lang w:val="en-GB"/>
        </w:rPr>
        <w:t>MoA</w:t>
      </w:r>
      <w:proofErr w:type="spellEnd"/>
      <w:r w:rsidR="00F731A9" w:rsidRPr="002D393B">
        <w:rPr>
          <w:color w:val="252525"/>
          <w:sz w:val="22"/>
          <w:szCs w:val="22"/>
          <w:shd w:val="clear" w:color="auto" w:fill="FFFFFF"/>
          <w:lang w:val="en-GB"/>
        </w:rPr>
        <w:t xml:space="preserve">, </w:t>
      </w:r>
      <w:r w:rsidR="00002779">
        <w:rPr>
          <w:color w:val="252525"/>
          <w:sz w:val="22"/>
          <w:szCs w:val="22"/>
          <w:shd w:val="clear" w:color="auto" w:fill="FFFFFF"/>
          <w:lang w:val="en-GB"/>
        </w:rPr>
        <w:t>m</w:t>
      </w:r>
      <w:r w:rsidR="00F731A9" w:rsidRPr="002D393B">
        <w:rPr>
          <w:color w:val="252525"/>
          <w:sz w:val="22"/>
          <w:szCs w:val="22"/>
          <w:shd w:val="clear" w:color="auto" w:fill="FFFFFF"/>
          <w:lang w:val="en-GB"/>
        </w:rPr>
        <w:t xml:space="preserve">ode of </w:t>
      </w:r>
      <w:r w:rsidR="00002779">
        <w:rPr>
          <w:color w:val="252525"/>
          <w:sz w:val="22"/>
          <w:szCs w:val="22"/>
          <w:shd w:val="clear" w:color="auto" w:fill="FFFFFF"/>
          <w:lang w:val="en-GB"/>
        </w:rPr>
        <w:t>a</w:t>
      </w:r>
      <w:r w:rsidR="00F731A9" w:rsidRPr="002D393B">
        <w:rPr>
          <w:color w:val="252525"/>
          <w:sz w:val="22"/>
          <w:szCs w:val="22"/>
          <w:shd w:val="clear" w:color="auto" w:fill="FFFFFF"/>
          <w:lang w:val="en-GB"/>
        </w:rPr>
        <w:t>ction</w:t>
      </w:r>
      <w:r w:rsidR="00002779">
        <w:rPr>
          <w:color w:val="252525"/>
          <w:sz w:val="22"/>
          <w:szCs w:val="22"/>
          <w:shd w:val="clear" w:color="auto" w:fill="FFFFFF"/>
          <w:lang w:val="en-GB"/>
        </w:rPr>
        <w:t>;</w:t>
      </w:r>
      <w:r w:rsidR="00F731A9" w:rsidRPr="002D393B">
        <w:rPr>
          <w:color w:val="252525"/>
          <w:sz w:val="22"/>
          <w:szCs w:val="22"/>
          <w:shd w:val="clear" w:color="auto" w:fill="FFFFFF"/>
          <w:lang w:val="en-GB"/>
        </w:rPr>
        <w:t xml:space="preserve"> DME, </w:t>
      </w:r>
      <w:r w:rsidR="00002779">
        <w:rPr>
          <w:color w:val="252525"/>
          <w:sz w:val="22"/>
          <w:szCs w:val="22"/>
          <w:shd w:val="clear" w:color="auto" w:fill="FFFFFF"/>
          <w:lang w:val="en-GB"/>
        </w:rPr>
        <w:t>d</w:t>
      </w:r>
      <w:r w:rsidR="00F731A9" w:rsidRPr="002D393B">
        <w:rPr>
          <w:color w:val="252525"/>
          <w:sz w:val="22"/>
          <w:szCs w:val="22"/>
          <w:shd w:val="clear" w:color="auto" w:fill="FFFFFF"/>
          <w:lang w:val="en-GB"/>
        </w:rPr>
        <w:t>rug-metabolising enz</w:t>
      </w:r>
      <w:r w:rsidR="00F731A9" w:rsidRPr="007553A2">
        <w:rPr>
          <w:color w:val="252525"/>
          <w:sz w:val="22"/>
          <w:szCs w:val="22"/>
          <w:shd w:val="clear" w:color="auto" w:fill="FFFFFF"/>
          <w:lang w:val="en-GB"/>
        </w:rPr>
        <w:t>ymes</w:t>
      </w:r>
      <w:r w:rsidR="00002779">
        <w:rPr>
          <w:color w:val="252525"/>
          <w:sz w:val="22"/>
          <w:szCs w:val="22"/>
          <w:shd w:val="clear" w:color="auto" w:fill="FFFFFF"/>
          <w:lang w:val="en-GB"/>
        </w:rPr>
        <w:t>;</w:t>
      </w:r>
      <w:r w:rsidR="00F731A9" w:rsidRPr="007553A2">
        <w:rPr>
          <w:color w:val="252525"/>
          <w:sz w:val="22"/>
          <w:szCs w:val="22"/>
          <w:shd w:val="clear" w:color="auto" w:fill="FFFFFF"/>
          <w:lang w:val="en-GB"/>
        </w:rPr>
        <w:t xml:space="preserve"> </w:t>
      </w:r>
      <w:proofErr w:type="spellStart"/>
      <w:r w:rsidR="00F731A9" w:rsidRPr="007553A2">
        <w:rPr>
          <w:color w:val="252525"/>
          <w:sz w:val="22"/>
          <w:szCs w:val="22"/>
          <w:shd w:val="clear" w:color="auto" w:fill="FFFFFF"/>
          <w:lang w:val="en-GB"/>
        </w:rPr>
        <w:t>iDILI</w:t>
      </w:r>
      <w:proofErr w:type="spellEnd"/>
      <w:r w:rsidR="00F731A9" w:rsidRPr="007553A2">
        <w:rPr>
          <w:color w:val="252525"/>
          <w:sz w:val="22"/>
          <w:szCs w:val="22"/>
          <w:shd w:val="clear" w:color="auto" w:fill="FFFFFF"/>
          <w:lang w:val="en-GB"/>
        </w:rPr>
        <w:t xml:space="preserve">, </w:t>
      </w:r>
      <w:r w:rsidR="00002779">
        <w:rPr>
          <w:color w:val="252525"/>
          <w:sz w:val="22"/>
          <w:szCs w:val="22"/>
          <w:shd w:val="clear" w:color="auto" w:fill="FFFFFF"/>
          <w:lang w:val="en-GB"/>
        </w:rPr>
        <w:t>i</w:t>
      </w:r>
      <w:r w:rsidR="00F731A9" w:rsidRPr="007553A2">
        <w:rPr>
          <w:color w:val="252525"/>
          <w:sz w:val="22"/>
          <w:szCs w:val="22"/>
          <w:shd w:val="clear" w:color="auto" w:fill="FFFFFF"/>
          <w:lang w:val="en-GB"/>
        </w:rPr>
        <w:t>mmune DILI</w:t>
      </w:r>
      <w:r w:rsidR="00002779">
        <w:rPr>
          <w:color w:val="252525"/>
          <w:sz w:val="22"/>
          <w:szCs w:val="22"/>
          <w:shd w:val="clear" w:color="auto" w:fill="FFFFFF"/>
          <w:lang w:val="en-GB"/>
        </w:rPr>
        <w:t>;</w:t>
      </w:r>
      <w:r w:rsidR="00F731A9" w:rsidRPr="007553A2">
        <w:rPr>
          <w:color w:val="252525"/>
          <w:sz w:val="22"/>
          <w:szCs w:val="22"/>
          <w:shd w:val="clear" w:color="auto" w:fill="FFFFFF"/>
          <w:lang w:val="en-GB"/>
        </w:rPr>
        <w:t xml:space="preserve"> ECAR, </w:t>
      </w:r>
      <w:r w:rsidR="00F731A9" w:rsidRPr="007553A2">
        <w:rPr>
          <w:noProof/>
          <w:sz w:val="22"/>
          <w:szCs w:val="22"/>
          <w:lang w:val="en-US"/>
        </w:rPr>
        <w:t>extracellular acidification rate</w:t>
      </w:r>
      <w:r w:rsidR="00002779">
        <w:rPr>
          <w:noProof/>
          <w:sz w:val="22"/>
          <w:szCs w:val="22"/>
          <w:lang w:val="en-US"/>
        </w:rPr>
        <w:t>;</w:t>
      </w:r>
      <w:r w:rsidR="00F731A9" w:rsidRPr="007553A2">
        <w:rPr>
          <w:color w:val="252525"/>
          <w:sz w:val="22"/>
          <w:szCs w:val="22"/>
          <w:shd w:val="clear" w:color="auto" w:fill="FFFFFF"/>
          <w:lang w:val="en-GB"/>
        </w:rPr>
        <w:t xml:space="preserve"> OCR, oxygen consumption rate</w:t>
      </w:r>
      <w:r w:rsidR="002F4270">
        <w:rPr>
          <w:color w:val="252525"/>
          <w:sz w:val="22"/>
          <w:szCs w:val="22"/>
          <w:shd w:val="clear" w:color="auto" w:fill="FFFFFF"/>
          <w:lang w:val="en-GB"/>
        </w:rPr>
        <w:t>; CYP, cytochrome P450; ADRs, adverse drug reactions</w:t>
      </w:r>
      <w:r w:rsidR="009359E8">
        <w:rPr>
          <w:color w:val="252525"/>
          <w:sz w:val="22"/>
          <w:szCs w:val="22"/>
          <w:shd w:val="clear" w:color="auto" w:fill="FFFFFF"/>
          <w:lang w:val="en-GB"/>
        </w:rPr>
        <w:t>; NPCs, non-parenchymal cells</w:t>
      </w:r>
      <w:r w:rsidR="00BF329D">
        <w:rPr>
          <w:color w:val="252525"/>
          <w:sz w:val="22"/>
          <w:szCs w:val="22"/>
          <w:shd w:val="clear" w:color="auto" w:fill="FFFFFF"/>
          <w:lang w:val="en-GB"/>
        </w:rPr>
        <w:t xml:space="preserve">, MPS, </w:t>
      </w:r>
      <w:proofErr w:type="spellStart"/>
      <w:r w:rsidR="00BF329D">
        <w:rPr>
          <w:color w:val="252525"/>
          <w:sz w:val="22"/>
          <w:szCs w:val="22"/>
          <w:shd w:val="clear" w:color="auto" w:fill="FFFFFF"/>
          <w:lang w:val="en-GB"/>
        </w:rPr>
        <w:t>microphysiological</w:t>
      </w:r>
      <w:proofErr w:type="spellEnd"/>
      <w:r w:rsidR="00BF329D">
        <w:rPr>
          <w:color w:val="252525"/>
          <w:sz w:val="22"/>
          <w:szCs w:val="22"/>
          <w:shd w:val="clear" w:color="auto" w:fill="FFFFFF"/>
          <w:lang w:val="en-GB"/>
        </w:rPr>
        <w:t xml:space="preserve"> systems</w:t>
      </w:r>
    </w:p>
    <w:p w14:paraId="64D86E0C" w14:textId="77777777" w:rsidR="006C6ED5" w:rsidRPr="007553A2" w:rsidRDefault="00BE235F" w:rsidP="006730B6">
      <w:pPr>
        <w:spacing w:line="480" w:lineRule="auto"/>
        <w:rPr>
          <w:i/>
          <w:sz w:val="22"/>
          <w:szCs w:val="22"/>
          <w:lang w:val="en-GB"/>
        </w:rPr>
      </w:pPr>
      <w:r>
        <w:rPr>
          <w:b/>
          <w:sz w:val="22"/>
          <w:szCs w:val="22"/>
          <w:lang w:val="en-US"/>
        </w:rPr>
        <w:br w:type="page"/>
      </w:r>
      <w:r w:rsidR="00547BE0" w:rsidRPr="007553A2">
        <w:rPr>
          <w:b/>
          <w:sz w:val="22"/>
          <w:szCs w:val="22"/>
          <w:lang w:val="en-GB"/>
        </w:rPr>
        <w:lastRenderedPageBreak/>
        <w:t>Abstract</w:t>
      </w:r>
    </w:p>
    <w:p w14:paraId="5E02BD2A" w14:textId="2A375B8B" w:rsidR="00E435A1" w:rsidRPr="008074A4" w:rsidRDefault="00ED6756" w:rsidP="007B2D3F">
      <w:pPr>
        <w:spacing w:line="360" w:lineRule="auto"/>
        <w:rPr>
          <w:i/>
          <w:sz w:val="22"/>
          <w:szCs w:val="22"/>
          <w:lang w:val="en-US"/>
        </w:rPr>
      </w:pPr>
      <w:r>
        <w:rPr>
          <w:i/>
          <w:sz w:val="22"/>
          <w:szCs w:val="22"/>
          <w:lang w:val="en-US"/>
        </w:rPr>
        <w:t>Introduction</w:t>
      </w:r>
    </w:p>
    <w:p w14:paraId="2A1FE94C" w14:textId="6D1E05A3" w:rsidR="00E435A1" w:rsidRPr="008074A4" w:rsidRDefault="00974509" w:rsidP="001E6CBE">
      <w:pPr>
        <w:spacing w:line="360" w:lineRule="auto"/>
        <w:jc w:val="both"/>
        <w:rPr>
          <w:sz w:val="22"/>
          <w:szCs w:val="22"/>
          <w:lang w:val="en-US"/>
        </w:rPr>
      </w:pPr>
      <w:r>
        <w:rPr>
          <w:sz w:val="22"/>
          <w:szCs w:val="22"/>
          <w:lang w:val="en-US"/>
        </w:rPr>
        <w:t xml:space="preserve">The liver is an important target for drug-induced </w:t>
      </w:r>
      <w:r w:rsidR="00222966">
        <w:rPr>
          <w:sz w:val="22"/>
          <w:szCs w:val="22"/>
          <w:lang w:val="en-US"/>
        </w:rPr>
        <w:t>toxicities</w:t>
      </w:r>
      <w:r w:rsidR="00640DD3">
        <w:rPr>
          <w:sz w:val="22"/>
          <w:szCs w:val="22"/>
          <w:lang w:val="en-US"/>
        </w:rPr>
        <w:t xml:space="preserve">. </w:t>
      </w:r>
      <w:r w:rsidR="00BF6680">
        <w:rPr>
          <w:sz w:val="22"/>
          <w:szCs w:val="22"/>
          <w:lang w:val="en-US"/>
        </w:rPr>
        <w:t>E</w:t>
      </w:r>
      <w:r w:rsidR="00036B0A">
        <w:rPr>
          <w:sz w:val="22"/>
          <w:szCs w:val="22"/>
          <w:lang w:val="en-US"/>
        </w:rPr>
        <w:t xml:space="preserve">arly detection of </w:t>
      </w:r>
      <w:r w:rsidR="00BF6680">
        <w:rPr>
          <w:sz w:val="22"/>
          <w:szCs w:val="22"/>
          <w:lang w:val="en-US"/>
        </w:rPr>
        <w:t xml:space="preserve">hepatotoxic drugs </w:t>
      </w:r>
      <w:r w:rsidR="00036B0A">
        <w:rPr>
          <w:sz w:val="22"/>
          <w:szCs w:val="22"/>
          <w:lang w:val="en-US"/>
        </w:rPr>
        <w:t>requires use</w:t>
      </w:r>
      <w:r w:rsidR="00E7296E">
        <w:rPr>
          <w:sz w:val="22"/>
          <w:szCs w:val="22"/>
          <w:lang w:val="en-US"/>
        </w:rPr>
        <w:t xml:space="preserve"> of </w:t>
      </w:r>
      <w:r w:rsidR="00222966">
        <w:rPr>
          <w:sz w:val="22"/>
          <w:szCs w:val="22"/>
          <w:lang w:val="en-US"/>
        </w:rPr>
        <w:t>well-characterized test systems</w:t>
      </w:r>
      <w:r w:rsidR="00036B0A">
        <w:rPr>
          <w:sz w:val="22"/>
          <w:szCs w:val="22"/>
          <w:lang w:val="en-US"/>
        </w:rPr>
        <w:t xml:space="preserve">, yet </w:t>
      </w:r>
      <w:r w:rsidR="00E435A1" w:rsidRPr="008074A4">
        <w:rPr>
          <w:sz w:val="22"/>
          <w:szCs w:val="22"/>
          <w:lang w:val="en-US"/>
        </w:rPr>
        <w:t>current knowledge, gaps and limitations</w:t>
      </w:r>
      <w:r w:rsidR="00ED3A69">
        <w:rPr>
          <w:sz w:val="22"/>
          <w:szCs w:val="22"/>
          <w:lang w:val="en-US"/>
        </w:rPr>
        <w:t xml:space="preserve"> </w:t>
      </w:r>
      <w:r w:rsidR="00BF6680">
        <w:rPr>
          <w:sz w:val="22"/>
          <w:szCs w:val="22"/>
          <w:lang w:val="en-US"/>
        </w:rPr>
        <w:t>of test</w:t>
      </w:r>
      <w:r w:rsidR="00ED3A69">
        <w:rPr>
          <w:sz w:val="22"/>
          <w:szCs w:val="22"/>
          <w:lang w:val="en-US"/>
        </w:rPr>
        <w:t xml:space="preserve">s </w:t>
      </w:r>
      <w:r w:rsidR="00E435A1" w:rsidRPr="008074A4">
        <w:rPr>
          <w:sz w:val="22"/>
          <w:szCs w:val="22"/>
          <w:lang w:val="en-US"/>
        </w:rPr>
        <w:t xml:space="preserve">employed </w:t>
      </w:r>
      <w:r w:rsidR="00222966">
        <w:rPr>
          <w:sz w:val="22"/>
          <w:szCs w:val="22"/>
          <w:lang w:val="en-US"/>
        </w:rPr>
        <w:t xml:space="preserve">remains an important issue </w:t>
      </w:r>
      <w:r w:rsidR="00BF6680">
        <w:rPr>
          <w:sz w:val="22"/>
          <w:szCs w:val="22"/>
          <w:lang w:val="en-US"/>
        </w:rPr>
        <w:t xml:space="preserve">for drug </w:t>
      </w:r>
      <w:r w:rsidR="00222966">
        <w:rPr>
          <w:sz w:val="22"/>
          <w:szCs w:val="22"/>
          <w:lang w:val="en-US"/>
        </w:rPr>
        <w:t>development</w:t>
      </w:r>
      <w:r w:rsidR="00BF6680">
        <w:rPr>
          <w:sz w:val="22"/>
          <w:szCs w:val="22"/>
          <w:lang w:val="en-US"/>
        </w:rPr>
        <w:t xml:space="preserve">. </w:t>
      </w:r>
    </w:p>
    <w:p w14:paraId="2545D7CF" w14:textId="77777777" w:rsidR="00B85D35" w:rsidRPr="008074A4" w:rsidRDefault="00B85D35" w:rsidP="001E6CBE">
      <w:pPr>
        <w:spacing w:line="360" w:lineRule="auto"/>
        <w:jc w:val="both"/>
        <w:rPr>
          <w:i/>
          <w:sz w:val="22"/>
          <w:szCs w:val="22"/>
          <w:lang w:val="en-US"/>
        </w:rPr>
      </w:pPr>
    </w:p>
    <w:p w14:paraId="0374F9D1" w14:textId="77777777" w:rsidR="00B85D35" w:rsidRPr="008074A4" w:rsidRDefault="00724382" w:rsidP="001E6CBE">
      <w:pPr>
        <w:spacing w:line="360" w:lineRule="auto"/>
        <w:jc w:val="both"/>
        <w:rPr>
          <w:i/>
          <w:sz w:val="22"/>
          <w:szCs w:val="22"/>
          <w:lang w:val="en-US"/>
        </w:rPr>
      </w:pPr>
      <w:r w:rsidRPr="008074A4">
        <w:rPr>
          <w:i/>
          <w:sz w:val="22"/>
          <w:szCs w:val="22"/>
          <w:lang w:val="en-US"/>
        </w:rPr>
        <w:t>Areas Covered</w:t>
      </w:r>
    </w:p>
    <w:p w14:paraId="39A083B1" w14:textId="77777777" w:rsidR="00724382" w:rsidRPr="008074A4" w:rsidRDefault="00E435A1" w:rsidP="001E6CBE">
      <w:pPr>
        <w:spacing w:line="360" w:lineRule="auto"/>
        <w:jc w:val="both"/>
        <w:rPr>
          <w:sz w:val="22"/>
          <w:szCs w:val="22"/>
          <w:lang w:val="en-US"/>
        </w:rPr>
      </w:pPr>
      <w:r w:rsidRPr="008074A4">
        <w:rPr>
          <w:sz w:val="22"/>
          <w:szCs w:val="22"/>
          <w:lang w:val="en-US"/>
        </w:rPr>
        <w:t xml:space="preserve">The current state of the science, understanding and application of </w:t>
      </w:r>
      <w:r w:rsidR="00002779">
        <w:rPr>
          <w:sz w:val="22"/>
          <w:szCs w:val="22"/>
          <w:lang w:val="en-US"/>
        </w:rPr>
        <w:t>t</w:t>
      </w:r>
      <w:r w:rsidRPr="008074A4">
        <w:rPr>
          <w:sz w:val="22"/>
          <w:szCs w:val="22"/>
          <w:lang w:val="en-US"/>
        </w:rPr>
        <w:t xml:space="preserve">est </w:t>
      </w:r>
      <w:r w:rsidR="00002779">
        <w:rPr>
          <w:sz w:val="22"/>
          <w:szCs w:val="22"/>
          <w:lang w:val="en-US"/>
        </w:rPr>
        <w:t>s</w:t>
      </w:r>
      <w:r w:rsidRPr="008074A4">
        <w:rPr>
          <w:sz w:val="22"/>
          <w:szCs w:val="22"/>
          <w:lang w:val="en-US"/>
        </w:rPr>
        <w:t>ystems in use for the detection of drug</w:t>
      </w:r>
      <w:r w:rsidR="001E6CBE" w:rsidRPr="008074A4">
        <w:rPr>
          <w:sz w:val="22"/>
          <w:szCs w:val="22"/>
          <w:lang w:val="en-US"/>
        </w:rPr>
        <w:t>-</w:t>
      </w:r>
      <w:r w:rsidRPr="008074A4">
        <w:rPr>
          <w:sz w:val="22"/>
          <w:szCs w:val="22"/>
          <w:lang w:val="en-US"/>
        </w:rPr>
        <w:t xml:space="preserve">induced cytotoxicity, mitochondrial toxicity, cholestasis and inflammation </w:t>
      </w:r>
      <w:r w:rsidR="00002779">
        <w:rPr>
          <w:sz w:val="22"/>
          <w:szCs w:val="22"/>
          <w:lang w:val="en-US"/>
        </w:rPr>
        <w:t>is</w:t>
      </w:r>
      <w:r w:rsidR="00002779" w:rsidRPr="008074A4">
        <w:rPr>
          <w:sz w:val="22"/>
          <w:szCs w:val="22"/>
          <w:lang w:val="en-US"/>
        </w:rPr>
        <w:t xml:space="preserve"> </w:t>
      </w:r>
      <w:r w:rsidRPr="008074A4">
        <w:rPr>
          <w:sz w:val="22"/>
          <w:szCs w:val="22"/>
          <w:lang w:val="en-US"/>
        </w:rPr>
        <w:t>summarized. The test systems highlight</w:t>
      </w:r>
      <w:r w:rsidR="0068309A" w:rsidRPr="008074A4">
        <w:rPr>
          <w:sz w:val="22"/>
          <w:szCs w:val="22"/>
          <w:lang w:val="en-US"/>
        </w:rPr>
        <w:t>ed</w:t>
      </w:r>
      <w:r w:rsidRPr="008074A4">
        <w:rPr>
          <w:sz w:val="22"/>
          <w:szCs w:val="22"/>
          <w:lang w:val="en-US"/>
        </w:rPr>
        <w:t xml:space="preserve"> herein cover</w:t>
      </w:r>
      <w:r w:rsidR="00CD36B0" w:rsidRPr="008074A4">
        <w:rPr>
          <w:sz w:val="22"/>
          <w:szCs w:val="22"/>
          <w:lang w:val="en-US"/>
        </w:rPr>
        <w:t xml:space="preserve"> mostly</w:t>
      </w:r>
      <w:r w:rsidRPr="008074A4">
        <w:rPr>
          <w:i/>
          <w:sz w:val="22"/>
          <w:szCs w:val="22"/>
          <w:lang w:val="en-US"/>
        </w:rPr>
        <w:t xml:space="preserve"> in vitro</w:t>
      </w:r>
      <w:r w:rsidRPr="008074A4">
        <w:rPr>
          <w:sz w:val="22"/>
          <w:szCs w:val="22"/>
          <w:lang w:val="en-US"/>
        </w:rPr>
        <w:t xml:space="preserve"> and</w:t>
      </w:r>
      <w:r w:rsidR="00CD36B0" w:rsidRPr="008074A4">
        <w:rPr>
          <w:sz w:val="22"/>
          <w:szCs w:val="22"/>
          <w:lang w:val="en-US"/>
        </w:rPr>
        <w:t xml:space="preserve"> some</w:t>
      </w:r>
      <w:r w:rsidRPr="008074A4">
        <w:rPr>
          <w:sz w:val="22"/>
          <w:szCs w:val="22"/>
          <w:lang w:val="en-US"/>
        </w:rPr>
        <w:t xml:space="preserve"> </w:t>
      </w:r>
      <w:r w:rsidRPr="008074A4">
        <w:rPr>
          <w:i/>
          <w:sz w:val="22"/>
          <w:szCs w:val="22"/>
          <w:lang w:val="en-US"/>
        </w:rPr>
        <w:t>in vivo</w:t>
      </w:r>
      <w:r w:rsidRPr="008074A4">
        <w:rPr>
          <w:sz w:val="22"/>
          <w:szCs w:val="22"/>
          <w:lang w:val="en-US"/>
        </w:rPr>
        <w:t xml:space="preserve"> models and endpoint measurements used in the assessment of </w:t>
      </w:r>
      <w:r w:rsidR="00002779">
        <w:rPr>
          <w:sz w:val="22"/>
          <w:szCs w:val="22"/>
          <w:lang w:val="en-US"/>
        </w:rPr>
        <w:t>small molecule toxic</w:t>
      </w:r>
      <w:r w:rsidRPr="008074A4">
        <w:rPr>
          <w:sz w:val="22"/>
          <w:szCs w:val="22"/>
          <w:lang w:val="en-US"/>
        </w:rPr>
        <w:t xml:space="preserve"> liabilities. Opportunities for research efforts in areas necessitating the development </w:t>
      </w:r>
      <w:r w:rsidR="00730FF4" w:rsidRPr="008074A4">
        <w:rPr>
          <w:sz w:val="22"/>
          <w:szCs w:val="22"/>
          <w:lang w:val="en-US"/>
        </w:rPr>
        <w:t xml:space="preserve">of </w:t>
      </w:r>
      <w:r w:rsidRPr="008074A4">
        <w:rPr>
          <w:sz w:val="22"/>
          <w:szCs w:val="22"/>
          <w:lang w:val="en-US"/>
        </w:rPr>
        <w:t xml:space="preserve">specific tests and improved mechanistic understanding are </w:t>
      </w:r>
      <w:r w:rsidR="00512DC8" w:rsidRPr="008074A4">
        <w:rPr>
          <w:sz w:val="22"/>
          <w:szCs w:val="22"/>
          <w:lang w:val="en-US"/>
        </w:rPr>
        <w:t>highlighted</w:t>
      </w:r>
      <w:r w:rsidRPr="008074A4">
        <w:rPr>
          <w:sz w:val="22"/>
          <w:szCs w:val="22"/>
          <w:lang w:val="en-US"/>
        </w:rPr>
        <w:t>.</w:t>
      </w:r>
    </w:p>
    <w:p w14:paraId="5DE9030D" w14:textId="77777777" w:rsidR="00E435A1" w:rsidRPr="008074A4" w:rsidRDefault="00E435A1" w:rsidP="001E6CBE">
      <w:pPr>
        <w:spacing w:line="360" w:lineRule="auto"/>
        <w:jc w:val="both"/>
        <w:rPr>
          <w:sz w:val="22"/>
          <w:szCs w:val="22"/>
          <w:lang w:val="en-US"/>
        </w:rPr>
      </w:pPr>
    </w:p>
    <w:p w14:paraId="4F26FD30" w14:textId="77777777" w:rsidR="00724382" w:rsidRPr="008074A4" w:rsidRDefault="00724382" w:rsidP="001E6CBE">
      <w:pPr>
        <w:spacing w:line="360" w:lineRule="auto"/>
        <w:jc w:val="both"/>
        <w:rPr>
          <w:i/>
          <w:sz w:val="22"/>
          <w:szCs w:val="22"/>
          <w:lang w:val="en-US"/>
        </w:rPr>
      </w:pPr>
      <w:r w:rsidRPr="008074A4">
        <w:rPr>
          <w:i/>
          <w:sz w:val="22"/>
          <w:szCs w:val="22"/>
          <w:lang w:val="en-US"/>
        </w:rPr>
        <w:t>Expert Opinion</w:t>
      </w:r>
    </w:p>
    <w:p w14:paraId="25CBF0C2" w14:textId="55C78E90" w:rsidR="007B2D3F" w:rsidRPr="008074A4" w:rsidRDefault="007B2D3F" w:rsidP="001E6CBE">
      <w:pPr>
        <w:spacing w:line="360" w:lineRule="auto"/>
        <w:jc w:val="both"/>
        <w:rPr>
          <w:sz w:val="22"/>
          <w:szCs w:val="22"/>
          <w:lang w:val="en-GB"/>
        </w:rPr>
      </w:pPr>
      <w:r w:rsidRPr="008074A4">
        <w:rPr>
          <w:sz w:val="22"/>
          <w:szCs w:val="22"/>
          <w:lang w:val="en-GB"/>
        </w:rPr>
        <w:t xml:space="preserve">Use of </w:t>
      </w:r>
      <w:r w:rsidRPr="008074A4">
        <w:rPr>
          <w:i/>
          <w:sz w:val="22"/>
          <w:szCs w:val="22"/>
          <w:lang w:val="en-GB"/>
        </w:rPr>
        <w:t>in vitro</w:t>
      </w:r>
      <w:r w:rsidRPr="008074A4">
        <w:rPr>
          <w:sz w:val="22"/>
          <w:szCs w:val="22"/>
          <w:lang w:val="en-GB"/>
        </w:rPr>
        <w:t xml:space="preserve"> test systems </w:t>
      </w:r>
      <w:r w:rsidR="00F44596" w:rsidRPr="008074A4">
        <w:rPr>
          <w:sz w:val="22"/>
          <w:szCs w:val="22"/>
          <w:lang w:val="en-GB"/>
        </w:rPr>
        <w:t>for safety optimization</w:t>
      </w:r>
      <w:r w:rsidRPr="008074A4">
        <w:rPr>
          <w:sz w:val="22"/>
          <w:szCs w:val="22"/>
          <w:lang w:val="en-GB"/>
        </w:rPr>
        <w:t xml:space="preserve"> will remain a core activity in drug discovery. Substantial inroads have been made </w:t>
      </w:r>
      <w:r w:rsidR="00485676">
        <w:rPr>
          <w:sz w:val="22"/>
          <w:szCs w:val="22"/>
          <w:lang w:val="en-GB"/>
        </w:rPr>
        <w:t>with</w:t>
      </w:r>
      <w:r w:rsidR="00485676" w:rsidRPr="008074A4">
        <w:rPr>
          <w:sz w:val="22"/>
          <w:szCs w:val="22"/>
          <w:lang w:val="en-GB"/>
        </w:rPr>
        <w:t xml:space="preserve"> </w:t>
      </w:r>
      <w:r w:rsidRPr="008074A4">
        <w:rPr>
          <w:sz w:val="22"/>
          <w:szCs w:val="22"/>
          <w:lang w:val="en-GB"/>
        </w:rPr>
        <w:t xml:space="preserve">a number of assays established </w:t>
      </w:r>
      <w:r w:rsidR="00485676">
        <w:rPr>
          <w:sz w:val="22"/>
          <w:szCs w:val="22"/>
          <w:lang w:val="en-GB"/>
        </w:rPr>
        <w:t>for</w:t>
      </w:r>
      <w:r w:rsidRPr="008074A4">
        <w:rPr>
          <w:sz w:val="22"/>
          <w:szCs w:val="22"/>
          <w:lang w:val="en-GB"/>
        </w:rPr>
        <w:t xml:space="preserve"> human DILI. There nevertheless remain significant gaps </w:t>
      </w:r>
      <w:r w:rsidR="00F44596" w:rsidRPr="008074A4">
        <w:rPr>
          <w:sz w:val="22"/>
          <w:szCs w:val="22"/>
          <w:lang w:val="en-GB"/>
        </w:rPr>
        <w:t>with a need for improved</w:t>
      </w:r>
      <w:r w:rsidRPr="008074A4">
        <w:rPr>
          <w:sz w:val="22"/>
          <w:szCs w:val="22"/>
          <w:lang w:val="en-GB"/>
        </w:rPr>
        <w:t xml:space="preserve"> </w:t>
      </w:r>
      <w:r w:rsidRPr="008074A4">
        <w:rPr>
          <w:i/>
          <w:sz w:val="22"/>
          <w:szCs w:val="22"/>
          <w:lang w:val="en-GB"/>
        </w:rPr>
        <w:t>in vitro</w:t>
      </w:r>
      <w:r w:rsidRPr="008074A4">
        <w:rPr>
          <w:sz w:val="22"/>
          <w:szCs w:val="22"/>
          <w:lang w:val="en-GB"/>
        </w:rPr>
        <w:t xml:space="preserve"> tools</w:t>
      </w:r>
      <w:r w:rsidR="00F44596" w:rsidRPr="008074A4">
        <w:rPr>
          <w:sz w:val="22"/>
          <w:szCs w:val="22"/>
          <w:lang w:val="en-GB"/>
        </w:rPr>
        <w:t xml:space="preserve"> and</w:t>
      </w:r>
      <w:r w:rsidRPr="008074A4">
        <w:rPr>
          <w:sz w:val="22"/>
          <w:szCs w:val="22"/>
          <w:lang w:val="en-GB"/>
        </w:rPr>
        <w:t xml:space="preserve"> novel tests to address specific mechanisms of human DILI. Progress in these areas will necessitate not only models fit for application, but </w:t>
      </w:r>
      <w:r w:rsidR="00F44596" w:rsidRPr="008074A4">
        <w:rPr>
          <w:sz w:val="22"/>
          <w:szCs w:val="22"/>
          <w:lang w:val="en-GB"/>
        </w:rPr>
        <w:t xml:space="preserve">also </w:t>
      </w:r>
      <w:r w:rsidRPr="008074A4">
        <w:rPr>
          <w:sz w:val="22"/>
          <w:szCs w:val="22"/>
          <w:lang w:val="en-GB"/>
        </w:rPr>
        <w:t xml:space="preserve">mechanistic </w:t>
      </w:r>
      <w:r w:rsidR="00F44596" w:rsidRPr="008074A4">
        <w:rPr>
          <w:sz w:val="22"/>
          <w:szCs w:val="22"/>
          <w:lang w:val="en-GB"/>
        </w:rPr>
        <w:t xml:space="preserve">understanding </w:t>
      </w:r>
      <w:r w:rsidRPr="008074A4">
        <w:rPr>
          <w:sz w:val="22"/>
          <w:szCs w:val="22"/>
          <w:lang w:val="en-GB"/>
        </w:rPr>
        <w:t xml:space="preserve">of how chemical insult on the liver occurs </w:t>
      </w:r>
      <w:r w:rsidR="00F44596" w:rsidRPr="008074A4">
        <w:rPr>
          <w:sz w:val="22"/>
          <w:szCs w:val="22"/>
          <w:lang w:val="en-GB"/>
        </w:rPr>
        <w:t xml:space="preserve">in order </w:t>
      </w:r>
      <w:r w:rsidRPr="008074A4">
        <w:rPr>
          <w:sz w:val="22"/>
          <w:szCs w:val="22"/>
          <w:lang w:val="en-GB"/>
        </w:rPr>
        <w:t xml:space="preserve">to </w:t>
      </w:r>
      <w:r w:rsidR="00F44596" w:rsidRPr="008074A4">
        <w:rPr>
          <w:sz w:val="22"/>
          <w:szCs w:val="22"/>
          <w:lang w:val="en-GB"/>
        </w:rPr>
        <w:t>identify</w:t>
      </w:r>
      <w:r w:rsidR="001E6CBE" w:rsidRPr="008074A4">
        <w:rPr>
          <w:sz w:val="22"/>
          <w:szCs w:val="22"/>
          <w:lang w:val="en-GB"/>
        </w:rPr>
        <w:t xml:space="preserve"> </w:t>
      </w:r>
      <w:r w:rsidRPr="008074A4">
        <w:rPr>
          <w:sz w:val="22"/>
          <w:szCs w:val="22"/>
          <w:lang w:val="en-GB"/>
        </w:rPr>
        <w:t>translational and quantifiable readouts</w:t>
      </w:r>
      <w:r w:rsidR="00F44596" w:rsidRPr="008074A4">
        <w:rPr>
          <w:sz w:val="22"/>
          <w:szCs w:val="22"/>
          <w:lang w:val="en-GB"/>
        </w:rPr>
        <w:t xml:space="preserve"> for decision-making</w:t>
      </w:r>
      <w:r w:rsidRPr="008074A4">
        <w:rPr>
          <w:sz w:val="22"/>
          <w:szCs w:val="22"/>
          <w:lang w:val="en-GB"/>
        </w:rPr>
        <w:t xml:space="preserve">. </w:t>
      </w:r>
    </w:p>
    <w:p w14:paraId="1BDFFF8C" w14:textId="77777777" w:rsidR="00E435A1" w:rsidRPr="008074A4" w:rsidRDefault="00E435A1" w:rsidP="00D438A9">
      <w:pPr>
        <w:spacing w:line="276" w:lineRule="auto"/>
        <w:rPr>
          <w:i/>
          <w:sz w:val="22"/>
          <w:szCs w:val="22"/>
          <w:lang w:val="en-US"/>
        </w:rPr>
      </w:pPr>
    </w:p>
    <w:p w14:paraId="7B5B52C1" w14:textId="77777777" w:rsidR="00E435A1" w:rsidRDefault="00E435A1" w:rsidP="00D438A9">
      <w:pPr>
        <w:spacing w:line="276" w:lineRule="auto"/>
        <w:rPr>
          <w:sz w:val="22"/>
          <w:szCs w:val="22"/>
          <w:lang w:val="en-US"/>
        </w:rPr>
      </w:pPr>
    </w:p>
    <w:p w14:paraId="7982BF74" w14:textId="77777777" w:rsidR="00813A93" w:rsidRPr="000016FB" w:rsidRDefault="007B2D3F" w:rsidP="006730B6">
      <w:pPr>
        <w:spacing w:line="480" w:lineRule="auto"/>
        <w:jc w:val="both"/>
        <w:rPr>
          <w:sz w:val="22"/>
          <w:szCs w:val="22"/>
          <w:lang w:val="en-US"/>
        </w:rPr>
      </w:pPr>
      <w:r>
        <w:rPr>
          <w:sz w:val="22"/>
          <w:szCs w:val="22"/>
          <w:lang w:val="en-US"/>
        </w:rPr>
        <w:br w:type="page"/>
      </w:r>
    </w:p>
    <w:p w14:paraId="27F7C366" w14:textId="77777777" w:rsidR="00266CE5" w:rsidRPr="000016FB" w:rsidRDefault="00266CE5" w:rsidP="00C50441">
      <w:pPr>
        <w:numPr>
          <w:ilvl w:val="0"/>
          <w:numId w:val="19"/>
        </w:numPr>
        <w:spacing w:line="480" w:lineRule="auto"/>
        <w:jc w:val="both"/>
        <w:rPr>
          <w:b/>
          <w:sz w:val="22"/>
          <w:szCs w:val="22"/>
        </w:rPr>
      </w:pPr>
      <w:r w:rsidRPr="000016FB">
        <w:rPr>
          <w:b/>
          <w:sz w:val="22"/>
          <w:szCs w:val="22"/>
        </w:rPr>
        <w:lastRenderedPageBreak/>
        <w:t>Introduction</w:t>
      </w:r>
    </w:p>
    <w:p w14:paraId="670FD613" w14:textId="01CDF8C9" w:rsidR="002F21F1" w:rsidRPr="000016FB" w:rsidRDefault="00F76E10" w:rsidP="006730B6">
      <w:pPr>
        <w:spacing w:line="480" w:lineRule="auto"/>
        <w:jc w:val="both"/>
        <w:rPr>
          <w:sz w:val="22"/>
          <w:szCs w:val="22"/>
          <w:lang w:val="en-US"/>
        </w:rPr>
      </w:pPr>
      <w:r>
        <w:rPr>
          <w:sz w:val="22"/>
          <w:szCs w:val="22"/>
          <w:lang w:val="en-US"/>
        </w:rPr>
        <w:t>Identifying</w:t>
      </w:r>
      <w:r w:rsidR="00266CE5" w:rsidRPr="000016FB">
        <w:rPr>
          <w:sz w:val="22"/>
          <w:szCs w:val="22"/>
          <w:lang w:val="en-US"/>
        </w:rPr>
        <w:t xml:space="preserve"> chemical </w:t>
      </w:r>
      <w:r w:rsidR="00F526ED">
        <w:rPr>
          <w:sz w:val="22"/>
          <w:szCs w:val="22"/>
          <w:lang w:val="en-US"/>
        </w:rPr>
        <w:t xml:space="preserve">safety </w:t>
      </w:r>
      <w:r w:rsidR="00127126" w:rsidRPr="000016FB">
        <w:rPr>
          <w:sz w:val="22"/>
          <w:szCs w:val="22"/>
          <w:lang w:val="en-US"/>
        </w:rPr>
        <w:t>liabilities</w:t>
      </w:r>
      <w:r w:rsidR="00266CE5" w:rsidRPr="000016FB">
        <w:rPr>
          <w:sz w:val="22"/>
          <w:szCs w:val="22"/>
          <w:lang w:val="en-US"/>
        </w:rPr>
        <w:t xml:space="preserve"> </w:t>
      </w:r>
      <w:r w:rsidR="008C111A">
        <w:rPr>
          <w:sz w:val="22"/>
          <w:szCs w:val="22"/>
          <w:lang w:val="en-US"/>
        </w:rPr>
        <w:t>during</w:t>
      </w:r>
      <w:r w:rsidR="008C111A" w:rsidRPr="000016FB">
        <w:rPr>
          <w:sz w:val="22"/>
          <w:szCs w:val="22"/>
          <w:lang w:val="en-US"/>
        </w:rPr>
        <w:t xml:space="preserve"> </w:t>
      </w:r>
      <w:r w:rsidR="00266CE5" w:rsidRPr="000016FB">
        <w:rPr>
          <w:sz w:val="22"/>
          <w:szCs w:val="22"/>
          <w:lang w:val="en-US"/>
        </w:rPr>
        <w:t xml:space="preserve">the discovery of new candidate drugs </w:t>
      </w:r>
      <w:r w:rsidR="007B661A" w:rsidRPr="000016FB">
        <w:rPr>
          <w:sz w:val="22"/>
          <w:szCs w:val="22"/>
          <w:lang w:val="en-US"/>
        </w:rPr>
        <w:t>is an important activity</w:t>
      </w:r>
      <w:r w:rsidR="00266CE5" w:rsidRPr="000016FB">
        <w:rPr>
          <w:sz w:val="22"/>
          <w:szCs w:val="22"/>
          <w:lang w:val="en-US"/>
        </w:rPr>
        <w:t xml:space="preserve"> to help mitigate </w:t>
      </w:r>
      <w:r w:rsidR="00F526ED">
        <w:rPr>
          <w:sz w:val="22"/>
          <w:szCs w:val="22"/>
          <w:lang w:val="en-US"/>
        </w:rPr>
        <w:t xml:space="preserve">the </w:t>
      </w:r>
      <w:r w:rsidR="00266CE5" w:rsidRPr="000016FB">
        <w:rPr>
          <w:sz w:val="22"/>
          <w:szCs w:val="22"/>
          <w:lang w:val="en-US"/>
        </w:rPr>
        <w:t xml:space="preserve">risk of attrition </w:t>
      </w:r>
      <w:r w:rsidR="00A17B68">
        <w:rPr>
          <w:sz w:val="22"/>
          <w:szCs w:val="22"/>
          <w:lang w:val="en-US"/>
        </w:rPr>
        <w:t>during</w:t>
      </w:r>
      <w:r w:rsidR="00266CE5" w:rsidRPr="000016FB">
        <w:rPr>
          <w:sz w:val="22"/>
          <w:szCs w:val="22"/>
          <w:lang w:val="en-US"/>
        </w:rPr>
        <w:t xml:space="preserve"> </w:t>
      </w:r>
      <w:r w:rsidR="00F526ED">
        <w:rPr>
          <w:sz w:val="22"/>
          <w:szCs w:val="22"/>
          <w:lang w:val="en-US"/>
        </w:rPr>
        <w:t xml:space="preserve">the later stages of </w:t>
      </w:r>
      <w:r w:rsidR="00266CE5" w:rsidRPr="000016FB">
        <w:rPr>
          <w:sz w:val="22"/>
          <w:szCs w:val="22"/>
          <w:lang w:val="en-US"/>
        </w:rPr>
        <w:t xml:space="preserve">drug development or </w:t>
      </w:r>
      <w:r w:rsidR="00F526ED">
        <w:rPr>
          <w:sz w:val="22"/>
          <w:szCs w:val="22"/>
          <w:lang w:val="en-US"/>
        </w:rPr>
        <w:t xml:space="preserve">to avoid </w:t>
      </w:r>
      <w:r w:rsidR="00127126" w:rsidRPr="000016FB">
        <w:rPr>
          <w:sz w:val="22"/>
          <w:szCs w:val="22"/>
          <w:lang w:val="en-US"/>
        </w:rPr>
        <w:t xml:space="preserve">market </w:t>
      </w:r>
      <w:r w:rsidR="00266CE5" w:rsidRPr="000016FB">
        <w:rPr>
          <w:sz w:val="22"/>
          <w:szCs w:val="22"/>
          <w:lang w:val="en-US"/>
        </w:rPr>
        <w:t xml:space="preserve">withdrawal due to </w:t>
      </w:r>
      <w:r w:rsidR="007B661A" w:rsidRPr="000016FB">
        <w:rPr>
          <w:sz w:val="22"/>
          <w:szCs w:val="22"/>
          <w:lang w:val="en-US"/>
        </w:rPr>
        <w:t>unwanted adverse drug reactions</w:t>
      </w:r>
      <w:r w:rsidR="00A17B68">
        <w:rPr>
          <w:sz w:val="22"/>
          <w:szCs w:val="22"/>
          <w:lang w:val="en-US"/>
        </w:rPr>
        <w:t xml:space="preserve"> (ADRs)</w:t>
      </w:r>
      <w:r w:rsidR="007B661A" w:rsidRPr="000016FB">
        <w:rPr>
          <w:sz w:val="22"/>
          <w:szCs w:val="22"/>
          <w:lang w:val="en-US"/>
        </w:rPr>
        <w:t>. Among the mo</w:t>
      </w:r>
      <w:r w:rsidR="00F526ED">
        <w:rPr>
          <w:sz w:val="22"/>
          <w:szCs w:val="22"/>
          <w:lang w:val="en-US"/>
        </w:rPr>
        <w:t>st</w:t>
      </w:r>
      <w:r w:rsidR="007B661A" w:rsidRPr="000016FB">
        <w:rPr>
          <w:sz w:val="22"/>
          <w:szCs w:val="22"/>
          <w:lang w:val="en-US"/>
        </w:rPr>
        <w:t xml:space="preserve"> common target organ toxicities associated with ADRs</w:t>
      </w:r>
      <w:r w:rsidR="003469FC" w:rsidRPr="000016FB">
        <w:rPr>
          <w:sz w:val="22"/>
          <w:szCs w:val="22"/>
          <w:lang w:val="en-US"/>
        </w:rPr>
        <w:t xml:space="preserve"> </w:t>
      </w:r>
      <w:r>
        <w:rPr>
          <w:sz w:val="22"/>
          <w:szCs w:val="22"/>
          <w:lang w:val="en-US"/>
        </w:rPr>
        <w:t>during</w:t>
      </w:r>
      <w:r w:rsidRPr="000016FB">
        <w:rPr>
          <w:sz w:val="22"/>
          <w:szCs w:val="22"/>
          <w:lang w:val="en-US"/>
        </w:rPr>
        <w:t xml:space="preserve"> </w:t>
      </w:r>
      <w:r w:rsidR="003E5EE5" w:rsidRPr="000016FB">
        <w:rPr>
          <w:sz w:val="22"/>
          <w:szCs w:val="22"/>
          <w:lang w:val="en-US"/>
        </w:rPr>
        <w:t>clinical research</w:t>
      </w:r>
      <w:r w:rsidR="003469FC" w:rsidRPr="000016FB">
        <w:rPr>
          <w:sz w:val="22"/>
          <w:szCs w:val="22"/>
          <w:lang w:val="en-US"/>
        </w:rPr>
        <w:t xml:space="preserve"> </w:t>
      </w:r>
      <w:r>
        <w:rPr>
          <w:sz w:val="22"/>
          <w:szCs w:val="22"/>
          <w:lang w:val="en-US"/>
        </w:rPr>
        <w:t xml:space="preserve">testing </w:t>
      </w:r>
      <w:r w:rsidR="003469FC" w:rsidRPr="000016FB">
        <w:rPr>
          <w:sz w:val="22"/>
          <w:szCs w:val="22"/>
          <w:lang w:val="en-US"/>
        </w:rPr>
        <w:t>and post-market</w:t>
      </w:r>
      <w:r w:rsidR="003E5EE5" w:rsidRPr="000016FB">
        <w:rPr>
          <w:sz w:val="22"/>
          <w:szCs w:val="22"/>
          <w:lang w:val="en-US"/>
        </w:rPr>
        <w:t xml:space="preserve"> prescribing</w:t>
      </w:r>
      <w:r w:rsidR="003469FC" w:rsidRPr="000016FB">
        <w:rPr>
          <w:sz w:val="22"/>
          <w:szCs w:val="22"/>
          <w:lang w:val="en-US"/>
        </w:rPr>
        <w:t xml:space="preserve"> are </w:t>
      </w:r>
      <w:r w:rsidR="00127126" w:rsidRPr="000016FB">
        <w:rPr>
          <w:sz w:val="22"/>
          <w:szCs w:val="22"/>
          <w:lang w:val="en-US"/>
        </w:rPr>
        <w:t>those</w:t>
      </w:r>
      <w:r w:rsidR="003469FC" w:rsidRPr="000016FB">
        <w:rPr>
          <w:sz w:val="22"/>
          <w:szCs w:val="22"/>
          <w:lang w:val="en-US"/>
        </w:rPr>
        <w:t xml:space="preserve"> associated with </w:t>
      </w:r>
      <w:r w:rsidR="00127126" w:rsidRPr="000016FB">
        <w:rPr>
          <w:sz w:val="22"/>
          <w:szCs w:val="22"/>
          <w:lang w:val="en-US"/>
        </w:rPr>
        <w:t>liver dysfunction and toxicity</w:t>
      </w:r>
      <w:r w:rsidR="00B00C44">
        <w:rPr>
          <w:noProof/>
          <w:sz w:val="22"/>
          <w:szCs w:val="22"/>
          <w:lang w:val="en-GB"/>
        </w:rPr>
        <w:t xml:space="preserve"> </w:t>
      </w:r>
      <w:sdt>
        <w:sdtPr>
          <w:rPr>
            <w:noProof/>
            <w:sz w:val="22"/>
            <w:szCs w:val="22"/>
            <w:lang w:val="en-GB"/>
          </w:rPr>
          <w:id w:val="-178358825"/>
          <w:citation/>
        </w:sdtPr>
        <w:sdtEndPr/>
        <w:sdtContent>
          <w:r w:rsidR="00795FE6">
            <w:rPr>
              <w:noProof/>
              <w:sz w:val="22"/>
              <w:szCs w:val="22"/>
              <w:lang w:val="en-GB"/>
            </w:rPr>
            <w:fldChar w:fldCharType="begin"/>
          </w:r>
          <w:r w:rsidR="00795FE6">
            <w:rPr>
              <w:noProof/>
              <w:sz w:val="22"/>
              <w:szCs w:val="22"/>
              <w:lang w:val="en-GB"/>
            </w:rPr>
            <w:instrText xml:space="preserve"> CITATION Dru13 \l 2057 </w:instrText>
          </w:r>
          <w:r w:rsidR="00795FE6">
            <w:rPr>
              <w:noProof/>
              <w:sz w:val="22"/>
              <w:szCs w:val="22"/>
              <w:lang w:val="en-GB"/>
            </w:rPr>
            <w:fldChar w:fldCharType="separate"/>
          </w:r>
          <w:r w:rsidR="002D6947" w:rsidRPr="002D6947">
            <w:rPr>
              <w:noProof/>
              <w:sz w:val="22"/>
              <w:szCs w:val="22"/>
              <w:lang w:val="en-GB"/>
            </w:rPr>
            <w:t>[1]</w:t>
          </w:r>
          <w:r w:rsidR="00795FE6">
            <w:rPr>
              <w:noProof/>
              <w:sz w:val="22"/>
              <w:szCs w:val="22"/>
              <w:lang w:val="en-GB"/>
            </w:rPr>
            <w:fldChar w:fldCharType="end"/>
          </w:r>
        </w:sdtContent>
      </w:sdt>
      <w:r w:rsidR="003469FC" w:rsidRPr="000016FB">
        <w:rPr>
          <w:sz w:val="22"/>
          <w:szCs w:val="22"/>
          <w:lang w:val="en-US"/>
        </w:rPr>
        <w:t xml:space="preserve">. </w:t>
      </w:r>
      <w:r w:rsidR="00F526ED">
        <w:rPr>
          <w:sz w:val="22"/>
          <w:szCs w:val="22"/>
          <w:lang w:val="en-US"/>
        </w:rPr>
        <w:t>Because toxicologic</w:t>
      </w:r>
      <w:r w:rsidR="00CB1A9F">
        <w:rPr>
          <w:sz w:val="22"/>
          <w:szCs w:val="22"/>
          <w:lang w:val="en-US"/>
        </w:rPr>
        <w:t>al</w:t>
      </w:r>
      <w:r w:rsidR="00F526ED">
        <w:rPr>
          <w:sz w:val="22"/>
          <w:szCs w:val="22"/>
          <w:lang w:val="en-US"/>
        </w:rPr>
        <w:t xml:space="preserve"> evaluation in preclinical species does not detect all</w:t>
      </w:r>
      <w:r w:rsidR="003469FC" w:rsidRPr="000016FB">
        <w:rPr>
          <w:sz w:val="22"/>
          <w:szCs w:val="22"/>
          <w:lang w:val="en-US"/>
        </w:rPr>
        <w:t xml:space="preserve"> </w:t>
      </w:r>
      <w:r w:rsidR="003E5EE5" w:rsidRPr="000016FB">
        <w:rPr>
          <w:sz w:val="22"/>
          <w:szCs w:val="22"/>
          <w:lang w:val="en-US"/>
        </w:rPr>
        <w:t>drug</w:t>
      </w:r>
      <w:r w:rsidR="00F526ED">
        <w:rPr>
          <w:sz w:val="22"/>
          <w:szCs w:val="22"/>
          <w:lang w:val="en-US"/>
        </w:rPr>
        <w:t>-</w:t>
      </w:r>
      <w:r w:rsidR="003E5EE5" w:rsidRPr="000016FB">
        <w:rPr>
          <w:sz w:val="22"/>
          <w:szCs w:val="22"/>
          <w:lang w:val="en-US"/>
        </w:rPr>
        <w:t>associated liver injuries</w:t>
      </w:r>
      <w:r>
        <w:rPr>
          <w:noProof/>
          <w:sz w:val="22"/>
          <w:szCs w:val="22"/>
          <w:lang w:val="en-GB"/>
        </w:rPr>
        <w:t xml:space="preserve"> </w:t>
      </w:r>
      <w:sdt>
        <w:sdtPr>
          <w:rPr>
            <w:noProof/>
            <w:sz w:val="22"/>
            <w:szCs w:val="22"/>
            <w:lang w:val="en-GB"/>
          </w:rPr>
          <w:id w:val="-121692398"/>
          <w:citation/>
        </w:sdtPr>
        <w:sdtEndPr/>
        <w:sdtContent>
          <w:r w:rsidR="00795FE6">
            <w:rPr>
              <w:noProof/>
              <w:sz w:val="22"/>
              <w:szCs w:val="22"/>
              <w:lang w:val="en-GB"/>
            </w:rPr>
            <w:fldChar w:fldCharType="begin"/>
          </w:r>
          <w:r w:rsidR="00795FE6">
            <w:rPr>
              <w:noProof/>
              <w:sz w:val="22"/>
              <w:szCs w:val="22"/>
              <w:lang w:val="en-GB"/>
            </w:rPr>
            <w:instrText xml:space="preserve"> CITATION Ols00 \l 2057 </w:instrText>
          </w:r>
          <w:r w:rsidR="00795FE6">
            <w:rPr>
              <w:noProof/>
              <w:sz w:val="22"/>
              <w:szCs w:val="22"/>
              <w:lang w:val="en-GB"/>
            </w:rPr>
            <w:fldChar w:fldCharType="separate"/>
          </w:r>
          <w:r w:rsidR="002D6947" w:rsidRPr="002D6947">
            <w:rPr>
              <w:noProof/>
              <w:sz w:val="22"/>
              <w:szCs w:val="22"/>
              <w:lang w:val="en-GB"/>
            </w:rPr>
            <w:t>[2]</w:t>
          </w:r>
          <w:r w:rsidR="00795FE6">
            <w:rPr>
              <w:noProof/>
              <w:sz w:val="22"/>
              <w:szCs w:val="22"/>
              <w:lang w:val="en-GB"/>
            </w:rPr>
            <w:fldChar w:fldCharType="end"/>
          </w:r>
        </w:sdtContent>
      </w:sdt>
      <w:r w:rsidR="003469FC" w:rsidRPr="000016FB">
        <w:rPr>
          <w:sz w:val="22"/>
          <w:szCs w:val="22"/>
          <w:lang w:val="en-US"/>
        </w:rPr>
        <w:t xml:space="preserve">, </w:t>
      </w:r>
      <w:r w:rsidR="00002779">
        <w:rPr>
          <w:sz w:val="22"/>
          <w:szCs w:val="22"/>
          <w:lang w:val="en-US"/>
        </w:rPr>
        <w:t xml:space="preserve">the pharmaceutical </w:t>
      </w:r>
      <w:r>
        <w:rPr>
          <w:sz w:val="22"/>
          <w:szCs w:val="22"/>
          <w:lang w:val="en-US"/>
        </w:rPr>
        <w:t xml:space="preserve">industry has looked </w:t>
      </w:r>
      <w:r w:rsidR="00002779">
        <w:rPr>
          <w:sz w:val="22"/>
          <w:szCs w:val="22"/>
          <w:lang w:val="en-US"/>
        </w:rPr>
        <w:t xml:space="preserve">for </w:t>
      </w:r>
      <w:r w:rsidR="002E5118" w:rsidRPr="000016FB">
        <w:rPr>
          <w:sz w:val="22"/>
          <w:szCs w:val="22"/>
          <w:lang w:val="en-US"/>
        </w:rPr>
        <w:t>well-characterized</w:t>
      </w:r>
      <w:r>
        <w:rPr>
          <w:sz w:val="22"/>
          <w:szCs w:val="22"/>
          <w:lang w:val="en-US"/>
        </w:rPr>
        <w:t xml:space="preserve"> human</w:t>
      </w:r>
      <w:r w:rsidR="003469FC" w:rsidRPr="000016FB">
        <w:rPr>
          <w:sz w:val="22"/>
          <w:szCs w:val="22"/>
          <w:lang w:val="en-US"/>
        </w:rPr>
        <w:t xml:space="preserve"> </w:t>
      </w:r>
      <w:r w:rsidR="003469FC" w:rsidRPr="00CB1A9F">
        <w:rPr>
          <w:i/>
          <w:sz w:val="22"/>
          <w:szCs w:val="22"/>
          <w:lang w:val="en-US"/>
        </w:rPr>
        <w:t>in vitro</w:t>
      </w:r>
      <w:r w:rsidR="003469FC" w:rsidRPr="000016FB">
        <w:rPr>
          <w:sz w:val="22"/>
          <w:szCs w:val="22"/>
          <w:lang w:val="en-US"/>
        </w:rPr>
        <w:t xml:space="preserve"> hepatocellular-based test systems</w:t>
      </w:r>
      <w:r w:rsidR="00F526ED">
        <w:rPr>
          <w:sz w:val="22"/>
          <w:szCs w:val="22"/>
          <w:lang w:val="en-US"/>
        </w:rPr>
        <w:t xml:space="preserve"> to better characterize experimental compounds for their potential to induce </w:t>
      </w:r>
      <w:r w:rsidR="003469FC" w:rsidRPr="000016FB">
        <w:rPr>
          <w:sz w:val="22"/>
          <w:szCs w:val="22"/>
          <w:lang w:val="en-US"/>
        </w:rPr>
        <w:t>Drug-</w:t>
      </w:r>
      <w:r w:rsidR="00E608C2">
        <w:rPr>
          <w:sz w:val="22"/>
          <w:szCs w:val="22"/>
          <w:lang w:val="en-US"/>
        </w:rPr>
        <w:t>I</w:t>
      </w:r>
      <w:r w:rsidR="003469FC" w:rsidRPr="000016FB">
        <w:rPr>
          <w:sz w:val="22"/>
          <w:szCs w:val="22"/>
          <w:lang w:val="en-US"/>
        </w:rPr>
        <w:t>nduced Liver injury (DILI)</w:t>
      </w:r>
      <w:r w:rsidR="00F526ED">
        <w:rPr>
          <w:sz w:val="22"/>
          <w:szCs w:val="22"/>
          <w:lang w:val="en-US"/>
        </w:rPr>
        <w:t xml:space="preserve"> in humans</w:t>
      </w:r>
      <w:r w:rsidR="003469FC" w:rsidRPr="000016FB">
        <w:rPr>
          <w:sz w:val="22"/>
          <w:szCs w:val="22"/>
          <w:lang w:val="en-US"/>
        </w:rPr>
        <w:t xml:space="preserve">. </w:t>
      </w:r>
      <w:r w:rsidR="00F526ED">
        <w:rPr>
          <w:sz w:val="22"/>
          <w:szCs w:val="22"/>
          <w:lang w:val="en-US"/>
        </w:rPr>
        <w:t>S</w:t>
      </w:r>
      <w:r w:rsidR="003469FC" w:rsidRPr="000016FB">
        <w:rPr>
          <w:sz w:val="22"/>
          <w:szCs w:val="22"/>
          <w:lang w:val="en-US"/>
        </w:rPr>
        <w:t>imple</w:t>
      </w:r>
      <w:r w:rsidR="00002779">
        <w:rPr>
          <w:sz w:val="22"/>
          <w:szCs w:val="22"/>
          <w:lang w:val="en-US"/>
        </w:rPr>
        <w:t>, two-dimensional (</w:t>
      </w:r>
      <w:r w:rsidR="003469FC" w:rsidRPr="000016FB">
        <w:rPr>
          <w:sz w:val="22"/>
          <w:szCs w:val="22"/>
          <w:lang w:val="en-US"/>
        </w:rPr>
        <w:t>2D</w:t>
      </w:r>
      <w:r w:rsidR="00002779">
        <w:rPr>
          <w:sz w:val="22"/>
          <w:szCs w:val="22"/>
          <w:lang w:val="en-US"/>
        </w:rPr>
        <w:t>)</w:t>
      </w:r>
      <w:r w:rsidR="003469FC" w:rsidRPr="000016FB">
        <w:rPr>
          <w:sz w:val="22"/>
          <w:szCs w:val="22"/>
          <w:lang w:val="en-US"/>
        </w:rPr>
        <w:t xml:space="preserve"> monocultures </w:t>
      </w:r>
      <w:r w:rsidR="00F526ED">
        <w:rPr>
          <w:sz w:val="22"/>
          <w:szCs w:val="22"/>
          <w:lang w:val="en-US"/>
        </w:rPr>
        <w:t xml:space="preserve">have been </w:t>
      </w:r>
      <w:r w:rsidR="008C111A">
        <w:rPr>
          <w:sz w:val="22"/>
          <w:szCs w:val="22"/>
          <w:lang w:val="en-US"/>
        </w:rPr>
        <w:t xml:space="preserve">successfully used </w:t>
      </w:r>
      <w:r w:rsidR="003469FC" w:rsidRPr="000016FB">
        <w:rPr>
          <w:sz w:val="22"/>
          <w:szCs w:val="22"/>
          <w:lang w:val="en-US"/>
        </w:rPr>
        <w:t xml:space="preserve">for </w:t>
      </w:r>
      <w:r w:rsidR="008C111A">
        <w:rPr>
          <w:sz w:val="22"/>
          <w:szCs w:val="22"/>
          <w:lang w:val="en-US"/>
        </w:rPr>
        <w:t xml:space="preserve">the </w:t>
      </w:r>
      <w:r w:rsidR="004D004D" w:rsidRPr="000016FB">
        <w:rPr>
          <w:sz w:val="22"/>
          <w:szCs w:val="22"/>
          <w:lang w:val="en-US"/>
        </w:rPr>
        <w:t>detection</w:t>
      </w:r>
      <w:r w:rsidR="00127126" w:rsidRPr="000016FB">
        <w:rPr>
          <w:sz w:val="22"/>
          <w:szCs w:val="22"/>
          <w:lang w:val="en-US"/>
        </w:rPr>
        <w:t xml:space="preserve"> and ranking</w:t>
      </w:r>
      <w:r w:rsidR="004D004D" w:rsidRPr="000016FB">
        <w:rPr>
          <w:sz w:val="22"/>
          <w:szCs w:val="22"/>
          <w:lang w:val="en-US"/>
        </w:rPr>
        <w:t xml:space="preserve"> of intrinsic dose-related </w:t>
      </w:r>
      <w:r w:rsidR="00127126" w:rsidRPr="000016FB">
        <w:rPr>
          <w:sz w:val="22"/>
          <w:szCs w:val="22"/>
          <w:lang w:val="en-US"/>
        </w:rPr>
        <w:t>toxicity</w:t>
      </w:r>
      <w:r w:rsidR="00512DC8">
        <w:rPr>
          <w:sz w:val="22"/>
          <w:szCs w:val="22"/>
          <w:lang w:val="en-US"/>
        </w:rPr>
        <w:t xml:space="preserve">, </w:t>
      </w:r>
      <w:r w:rsidR="00F526ED">
        <w:rPr>
          <w:sz w:val="22"/>
          <w:szCs w:val="22"/>
          <w:lang w:val="en-US"/>
        </w:rPr>
        <w:t>however</w:t>
      </w:r>
      <w:r w:rsidR="004D004D" w:rsidRPr="000016FB">
        <w:rPr>
          <w:sz w:val="22"/>
          <w:szCs w:val="22"/>
          <w:lang w:val="en-US"/>
        </w:rPr>
        <w:t xml:space="preserve">, much effort is still on-going to improve </w:t>
      </w:r>
      <w:r w:rsidR="00017C85">
        <w:rPr>
          <w:sz w:val="22"/>
          <w:szCs w:val="22"/>
          <w:lang w:val="en-US"/>
        </w:rPr>
        <w:t xml:space="preserve">cell models with </w:t>
      </w:r>
      <w:r w:rsidR="00671645">
        <w:rPr>
          <w:sz w:val="22"/>
          <w:szCs w:val="22"/>
          <w:lang w:val="en-US"/>
        </w:rPr>
        <w:t xml:space="preserve">an </w:t>
      </w:r>
      <w:r w:rsidR="00017C85">
        <w:rPr>
          <w:sz w:val="22"/>
          <w:szCs w:val="22"/>
          <w:lang w:val="en-US"/>
        </w:rPr>
        <w:t xml:space="preserve">emphasis on </w:t>
      </w:r>
      <w:r w:rsidR="00671645">
        <w:rPr>
          <w:sz w:val="22"/>
          <w:szCs w:val="22"/>
          <w:lang w:val="en-US"/>
        </w:rPr>
        <w:t>maintaining critical cellular</w:t>
      </w:r>
      <w:r w:rsidR="00017C85">
        <w:rPr>
          <w:sz w:val="22"/>
          <w:szCs w:val="22"/>
          <w:lang w:val="en-US"/>
        </w:rPr>
        <w:t xml:space="preserve"> function</w:t>
      </w:r>
      <w:r w:rsidR="00671645">
        <w:rPr>
          <w:sz w:val="22"/>
          <w:szCs w:val="22"/>
          <w:lang w:val="en-US"/>
        </w:rPr>
        <w:t>s</w:t>
      </w:r>
      <w:r w:rsidR="00BE43C0" w:rsidRPr="000016FB">
        <w:rPr>
          <w:sz w:val="22"/>
          <w:szCs w:val="22"/>
          <w:lang w:val="en-US"/>
        </w:rPr>
        <w:t xml:space="preserve">. </w:t>
      </w:r>
      <w:r w:rsidR="00656F9E">
        <w:rPr>
          <w:sz w:val="22"/>
          <w:szCs w:val="22"/>
          <w:lang w:val="en-US"/>
        </w:rPr>
        <w:t xml:space="preserve">In particular, understanding the </w:t>
      </w:r>
      <w:r w:rsidR="00787226" w:rsidRPr="000016FB">
        <w:rPr>
          <w:sz w:val="22"/>
          <w:szCs w:val="22"/>
          <w:lang w:val="en-US"/>
        </w:rPr>
        <w:t>sensitivity</w:t>
      </w:r>
      <w:r w:rsidR="00656F9E">
        <w:rPr>
          <w:sz w:val="22"/>
          <w:szCs w:val="22"/>
          <w:lang w:val="en-US"/>
        </w:rPr>
        <w:t xml:space="preserve"> and</w:t>
      </w:r>
      <w:r w:rsidR="00787226" w:rsidRPr="000016FB">
        <w:rPr>
          <w:sz w:val="22"/>
          <w:szCs w:val="22"/>
          <w:lang w:val="en-US"/>
        </w:rPr>
        <w:t xml:space="preserve"> specificity</w:t>
      </w:r>
      <w:r w:rsidR="00656F9E">
        <w:rPr>
          <w:sz w:val="22"/>
          <w:szCs w:val="22"/>
          <w:lang w:val="en-US"/>
        </w:rPr>
        <w:t xml:space="preserve"> of these tests, as well as developing approaches to</w:t>
      </w:r>
      <w:r w:rsidR="00787226" w:rsidRPr="000016FB">
        <w:rPr>
          <w:sz w:val="22"/>
          <w:szCs w:val="22"/>
          <w:lang w:val="en-US"/>
        </w:rPr>
        <w:t xml:space="preserve"> detect</w:t>
      </w:r>
      <w:r w:rsidR="00CB1A9F">
        <w:rPr>
          <w:sz w:val="22"/>
          <w:szCs w:val="22"/>
          <w:lang w:val="en-US"/>
        </w:rPr>
        <w:t xml:space="preserve"> </w:t>
      </w:r>
      <w:r w:rsidR="009A63D1">
        <w:rPr>
          <w:sz w:val="22"/>
          <w:szCs w:val="22"/>
          <w:lang w:val="en-US"/>
        </w:rPr>
        <w:t xml:space="preserve">potential </w:t>
      </w:r>
      <w:r w:rsidR="00E54C3C">
        <w:rPr>
          <w:sz w:val="22"/>
          <w:szCs w:val="22"/>
          <w:lang w:val="en-US"/>
        </w:rPr>
        <w:t>liabilities that might be associated with</w:t>
      </w:r>
      <w:r w:rsidR="00787226" w:rsidRPr="000016FB">
        <w:rPr>
          <w:sz w:val="22"/>
          <w:szCs w:val="22"/>
          <w:lang w:val="en-US"/>
        </w:rPr>
        <w:t xml:space="preserve"> idiosyncratic forms of </w:t>
      </w:r>
      <w:r w:rsidR="00BE43C0" w:rsidRPr="000016FB">
        <w:rPr>
          <w:sz w:val="22"/>
          <w:szCs w:val="22"/>
          <w:lang w:val="en-US"/>
        </w:rPr>
        <w:t>human DILI</w:t>
      </w:r>
      <w:r w:rsidR="00C94F6D">
        <w:rPr>
          <w:sz w:val="22"/>
          <w:szCs w:val="22"/>
          <w:lang w:val="en-US"/>
        </w:rPr>
        <w:t>,</w:t>
      </w:r>
      <w:r w:rsidR="00BE43C0" w:rsidRPr="000016FB">
        <w:rPr>
          <w:sz w:val="22"/>
          <w:szCs w:val="22"/>
          <w:lang w:val="en-US"/>
        </w:rPr>
        <w:t xml:space="preserve"> still remain important priorities </w:t>
      </w:r>
      <w:r w:rsidR="00566D1D">
        <w:rPr>
          <w:sz w:val="22"/>
          <w:szCs w:val="22"/>
          <w:lang w:val="en-US"/>
        </w:rPr>
        <w:t>in</w:t>
      </w:r>
      <w:r w:rsidR="00566D1D" w:rsidRPr="000016FB">
        <w:rPr>
          <w:sz w:val="22"/>
          <w:szCs w:val="22"/>
          <w:lang w:val="en-US"/>
        </w:rPr>
        <w:t xml:space="preserve"> </w:t>
      </w:r>
      <w:r w:rsidR="00BE43C0" w:rsidRPr="000016FB">
        <w:rPr>
          <w:sz w:val="22"/>
          <w:szCs w:val="22"/>
          <w:lang w:val="en-US"/>
        </w:rPr>
        <w:t xml:space="preserve">preclinical </w:t>
      </w:r>
      <w:r w:rsidR="00566D1D">
        <w:rPr>
          <w:sz w:val="22"/>
          <w:szCs w:val="22"/>
          <w:lang w:val="en-US"/>
        </w:rPr>
        <w:t>toxicology research to ensure the progression of compound</w:t>
      </w:r>
      <w:r w:rsidR="00CB1A9F">
        <w:rPr>
          <w:sz w:val="22"/>
          <w:szCs w:val="22"/>
          <w:lang w:val="en-US"/>
        </w:rPr>
        <w:t>s</w:t>
      </w:r>
      <w:r w:rsidR="00566D1D">
        <w:rPr>
          <w:sz w:val="22"/>
          <w:szCs w:val="22"/>
          <w:lang w:val="en-US"/>
        </w:rPr>
        <w:t xml:space="preserve"> with </w:t>
      </w:r>
      <w:r w:rsidR="002E5118" w:rsidRPr="000016FB">
        <w:rPr>
          <w:sz w:val="22"/>
          <w:szCs w:val="22"/>
          <w:lang w:val="en-US"/>
        </w:rPr>
        <w:t xml:space="preserve">optimal safety profile </w:t>
      </w:r>
      <w:r w:rsidR="00671645">
        <w:rPr>
          <w:sz w:val="22"/>
          <w:szCs w:val="22"/>
          <w:lang w:val="en-US"/>
        </w:rPr>
        <w:t>in the</w:t>
      </w:r>
      <w:r w:rsidR="00566D1D">
        <w:rPr>
          <w:sz w:val="22"/>
          <w:szCs w:val="22"/>
          <w:lang w:val="en-US"/>
        </w:rPr>
        <w:t xml:space="preserve"> </w:t>
      </w:r>
      <w:r w:rsidR="002E5118" w:rsidRPr="000016FB">
        <w:rPr>
          <w:sz w:val="22"/>
          <w:szCs w:val="22"/>
          <w:lang w:val="en-US"/>
        </w:rPr>
        <w:t xml:space="preserve">clinic. </w:t>
      </w:r>
    </w:p>
    <w:p w14:paraId="659495AE" w14:textId="77777777" w:rsidR="00FA4393" w:rsidRPr="000016FB" w:rsidRDefault="00FA4393" w:rsidP="006730B6">
      <w:pPr>
        <w:spacing w:line="480" w:lineRule="auto"/>
        <w:jc w:val="both"/>
        <w:rPr>
          <w:sz w:val="22"/>
          <w:szCs w:val="22"/>
          <w:lang w:val="en-US"/>
        </w:rPr>
      </w:pPr>
    </w:p>
    <w:p w14:paraId="103F1AF1" w14:textId="545319CC" w:rsidR="00FA4393" w:rsidRPr="000016FB" w:rsidRDefault="00FA4393" w:rsidP="006730B6">
      <w:pPr>
        <w:spacing w:line="480" w:lineRule="auto"/>
        <w:jc w:val="both"/>
        <w:rPr>
          <w:sz w:val="22"/>
          <w:szCs w:val="22"/>
          <w:lang w:val="en-US"/>
        </w:rPr>
      </w:pPr>
      <w:r w:rsidRPr="000016FB">
        <w:rPr>
          <w:sz w:val="22"/>
          <w:szCs w:val="22"/>
          <w:lang w:val="en-US"/>
        </w:rPr>
        <w:t xml:space="preserve">In recent years, </w:t>
      </w:r>
      <w:r w:rsidR="00566D1D">
        <w:rPr>
          <w:sz w:val="22"/>
          <w:szCs w:val="22"/>
          <w:lang w:val="en-US"/>
        </w:rPr>
        <w:t xml:space="preserve">multiple </w:t>
      </w:r>
      <w:r w:rsidR="001646BE" w:rsidRPr="000016FB">
        <w:rPr>
          <w:sz w:val="22"/>
          <w:szCs w:val="22"/>
          <w:lang w:val="en-US"/>
        </w:rPr>
        <w:t>review articles</w:t>
      </w:r>
      <w:r w:rsidR="00127126" w:rsidRPr="000016FB">
        <w:rPr>
          <w:sz w:val="22"/>
          <w:szCs w:val="22"/>
          <w:lang w:val="en-US"/>
        </w:rPr>
        <w:t xml:space="preserve"> </w:t>
      </w:r>
      <w:r w:rsidR="00017C85">
        <w:rPr>
          <w:sz w:val="22"/>
          <w:szCs w:val="22"/>
          <w:lang w:val="en-US"/>
        </w:rPr>
        <w:t xml:space="preserve">have </w:t>
      </w:r>
      <w:r w:rsidR="00017C85" w:rsidRPr="000016FB">
        <w:rPr>
          <w:sz w:val="22"/>
          <w:szCs w:val="22"/>
          <w:lang w:val="en-US"/>
        </w:rPr>
        <w:t>describ</w:t>
      </w:r>
      <w:r w:rsidR="00017C85">
        <w:rPr>
          <w:sz w:val="22"/>
          <w:szCs w:val="22"/>
          <w:lang w:val="en-US"/>
        </w:rPr>
        <w:t xml:space="preserve">ed applications </w:t>
      </w:r>
      <w:r w:rsidR="00671645">
        <w:rPr>
          <w:sz w:val="22"/>
          <w:szCs w:val="22"/>
          <w:lang w:val="en-US"/>
        </w:rPr>
        <w:t xml:space="preserve">of </w:t>
      </w:r>
      <w:r w:rsidR="002F21F1" w:rsidRPr="000016FB">
        <w:rPr>
          <w:sz w:val="22"/>
          <w:szCs w:val="22"/>
          <w:lang w:val="en-US"/>
        </w:rPr>
        <w:t>cell</w:t>
      </w:r>
      <w:r w:rsidR="00566D1D">
        <w:rPr>
          <w:sz w:val="22"/>
          <w:szCs w:val="22"/>
          <w:lang w:val="en-US"/>
        </w:rPr>
        <w:t>ular</w:t>
      </w:r>
      <w:r w:rsidR="002F21F1" w:rsidRPr="000016FB">
        <w:rPr>
          <w:sz w:val="22"/>
          <w:szCs w:val="22"/>
          <w:lang w:val="en-US"/>
        </w:rPr>
        <w:t xml:space="preserve"> models</w:t>
      </w:r>
      <w:r w:rsidRPr="000016FB">
        <w:rPr>
          <w:sz w:val="22"/>
          <w:szCs w:val="22"/>
          <w:lang w:val="en-US"/>
        </w:rPr>
        <w:t xml:space="preserve"> </w:t>
      </w:r>
      <w:r w:rsidR="002F21F1" w:rsidRPr="000016FB">
        <w:rPr>
          <w:sz w:val="22"/>
          <w:szCs w:val="22"/>
          <w:lang w:val="en-US"/>
        </w:rPr>
        <w:t xml:space="preserve">in both 2D and 3D </w:t>
      </w:r>
      <w:r w:rsidR="00566D1D">
        <w:rPr>
          <w:sz w:val="22"/>
          <w:szCs w:val="22"/>
          <w:lang w:val="en-US"/>
        </w:rPr>
        <w:t>configuration in toxicology</w:t>
      </w:r>
      <w:r w:rsidR="0065204C" w:rsidRPr="00BA3941">
        <w:rPr>
          <w:noProof/>
          <w:sz w:val="22"/>
          <w:szCs w:val="22"/>
          <w:lang w:val="en-GB"/>
        </w:rPr>
        <w:t xml:space="preserve"> </w:t>
      </w:r>
      <w:sdt>
        <w:sdtPr>
          <w:rPr>
            <w:noProof/>
            <w:sz w:val="22"/>
            <w:szCs w:val="22"/>
            <w:lang w:val="en-GB"/>
          </w:rPr>
          <w:id w:val="-1966653304"/>
          <w:citation/>
        </w:sdtPr>
        <w:sdtEndPr/>
        <w:sdtContent>
          <w:r w:rsidR="00795FE6">
            <w:rPr>
              <w:noProof/>
              <w:sz w:val="22"/>
              <w:szCs w:val="22"/>
              <w:lang w:val="en-GB"/>
            </w:rPr>
            <w:fldChar w:fldCharType="begin"/>
          </w:r>
          <w:r w:rsidR="00795FE6">
            <w:rPr>
              <w:noProof/>
              <w:sz w:val="22"/>
              <w:szCs w:val="22"/>
              <w:lang w:val="en-GB"/>
            </w:rPr>
            <w:instrText xml:space="preserve"> CITATION God13 \l 2057 </w:instrText>
          </w:r>
          <w:r w:rsidR="00795FE6">
            <w:rPr>
              <w:noProof/>
              <w:sz w:val="22"/>
              <w:szCs w:val="22"/>
              <w:lang w:val="en-GB"/>
            </w:rPr>
            <w:fldChar w:fldCharType="separate"/>
          </w:r>
          <w:r w:rsidR="002D6947" w:rsidRPr="002D6947">
            <w:rPr>
              <w:noProof/>
              <w:sz w:val="22"/>
              <w:szCs w:val="22"/>
              <w:lang w:val="en-GB"/>
            </w:rPr>
            <w:t>[3]</w:t>
          </w:r>
          <w:r w:rsidR="00795FE6">
            <w:rPr>
              <w:noProof/>
              <w:sz w:val="22"/>
              <w:szCs w:val="22"/>
              <w:lang w:val="en-GB"/>
            </w:rPr>
            <w:fldChar w:fldCharType="end"/>
          </w:r>
        </w:sdtContent>
      </w:sdt>
      <w:r w:rsidR="00795FE6">
        <w:rPr>
          <w:noProof/>
          <w:sz w:val="22"/>
          <w:szCs w:val="22"/>
          <w:lang w:val="en-GB"/>
        </w:rPr>
        <w:t xml:space="preserve"> </w:t>
      </w:r>
      <w:sdt>
        <w:sdtPr>
          <w:rPr>
            <w:noProof/>
            <w:sz w:val="22"/>
            <w:szCs w:val="22"/>
            <w:lang w:val="en-GB"/>
          </w:rPr>
          <w:id w:val="771128922"/>
          <w:citation/>
        </w:sdtPr>
        <w:sdtEndPr/>
        <w:sdtContent>
          <w:r w:rsidR="00795FE6">
            <w:rPr>
              <w:noProof/>
              <w:sz w:val="22"/>
              <w:szCs w:val="22"/>
              <w:lang w:val="en-GB"/>
            </w:rPr>
            <w:fldChar w:fldCharType="begin"/>
          </w:r>
          <w:r w:rsidR="00BB0626">
            <w:rPr>
              <w:noProof/>
              <w:sz w:val="22"/>
              <w:szCs w:val="22"/>
              <w:lang w:val="en-GB"/>
            </w:rPr>
            <w:instrText xml:space="preserve">CITATION Góm14 \l 2057 </w:instrText>
          </w:r>
          <w:r w:rsidR="00795FE6">
            <w:rPr>
              <w:noProof/>
              <w:sz w:val="22"/>
              <w:szCs w:val="22"/>
              <w:lang w:val="en-GB"/>
            </w:rPr>
            <w:fldChar w:fldCharType="separate"/>
          </w:r>
          <w:r w:rsidR="002D6947" w:rsidRPr="002D6947">
            <w:rPr>
              <w:noProof/>
              <w:sz w:val="22"/>
              <w:szCs w:val="22"/>
              <w:lang w:val="en-GB"/>
            </w:rPr>
            <w:t>[4]</w:t>
          </w:r>
          <w:r w:rsidR="00795FE6">
            <w:rPr>
              <w:noProof/>
              <w:sz w:val="22"/>
              <w:szCs w:val="22"/>
              <w:lang w:val="en-GB"/>
            </w:rPr>
            <w:fldChar w:fldCharType="end"/>
          </w:r>
        </w:sdtContent>
      </w:sdt>
      <w:sdt>
        <w:sdtPr>
          <w:rPr>
            <w:noProof/>
            <w:sz w:val="22"/>
            <w:szCs w:val="22"/>
            <w:lang w:val="en-GB"/>
          </w:rPr>
          <w:id w:val="-119769761"/>
          <w:citation/>
        </w:sdtPr>
        <w:sdtEndPr/>
        <w:sdtContent>
          <w:r w:rsidR="00795FE6">
            <w:rPr>
              <w:noProof/>
              <w:sz w:val="22"/>
              <w:szCs w:val="22"/>
              <w:lang w:val="en-GB"/>
            </w:rPr>
            <w:fldChar w:fldCharType="begin"/>
          </w:r>
          <w:r w:rsidR="00795FE6">
            <w:rPr>
              <w:noProof/>
              <w:sz w:val="22"/>
              <w:szCs w:val="22"/>
              <w:lang w:val="en-GB"/>
            </w:rPr>
            <w:instrText xml:space="preserve"> CITATION Lin15 \l 2057 </w:instrText>
          </w:r>
          <w:r w:rsidR="00795FE6">
            <w:rPr>
              <w:noProof/>
              <w:sz w:val="22"/>
              <w:szCs w:val="22"/>
              <w:lang w:val="en-GB"/>
            </w:rPr>
            <w:fldChar w:fldCharType="separate"/>
          </w:r>
          <w:r w:rsidR="002D6947">
            <w:rPr>
              <w:noProof/>
              <w:sz w:val="22"/>
              <w:szCs w:val="22"/>
              <w:lang w:val="en-GB"/>
            </w:rPr>
            <w:t xml:space="preserve"> </w:t>
          </w:r>
          <w:r w:rsidR="002D6947" w:rsidRPr="002D6947">
            <w:rPr>
              <w:noProof/>
              <w:sz w:val="22"/>
              <w:szCs w:val="22"/>
              <w:lang w:val="en-GB"/>
            </w:rPr>
            <w:t>[5]</w:t>
          </w:r>
          <w:r w:rsidR="00795FE6">
            <w:rPr>
              <w:noProof/>
              <w:sz w:val="22"/>
              <w:szCs w:val="22"/>
              <w:lang w:val="en-GB"/>
            </w:rPr>
            <w:fldChar w:fldCharType="end"/>
          </w:r>
        </w:sdtContent>
      </w:sdt>
      <w:r w:rsidR="00795FE6">
        <w:rPr>
          <w:noProof/>
          <w:sz w:val="22"/>
          <w:szCs w:val="22"/>
          <w:lang w:val="en-GB"/>
        </w:rPr>
        <w:t xml:space="preserve">. </w:t>
      </w:r>
      <w:r w:rsidR="00127126" w:rsidRPr="000016FB">
        <w:rPr>
          <w:sz w:val="22"/>
          <w:szCs w:val="22"/>
          <w:lang w:val="en-US"/>
        </w:rPr>
        <w:t xml:space="preserve">Several of these </w:t>
      </w:r>
      <w:r w:rsidR="00566D1D">
        <w:rPr>
          <w:sz w:val="22"/>
          <w:szCs w:val="22"/>
          <w:lang w:val="en-US"/>
        </w:rPr>
        <w:t>models</w:t>
      </w:r>
      <w:r w:rsidR="002F21F1" w:rsidRPr="000016FB">
        <w:rPr>
          <w:sz w:val="22"/>
          <w:szCs w:val="22"/>
          <w:lang w:val="en-US"/>
        </w:rPr>
        <w:t xml:space="preserve"> </w:t>
      </w:r>
      <w:r w:rsidR="00566D1D">
        <w:rPr>
          <w:sz w:val="22"/>
          <w:szCs w:val="22"/>
          <w:lang w:val="en-US"/>
        </w:rPr>
        <w:t xml:space="preserve">offer </w:t>
      </w:r>
      <w:r w:rsidR="001646BE" w:rsidRPr="000016FB">
        <w:rPr>
          <w:sz w:val="22"/>
          <w:szCs w:val="22"/>
          <w:lang w:val="en-US"/>
        </w:rPr>
        <w:t xml:space="preserve">improvements </w:t>
      </w:r>
      <w:r w:rsidR="00566D1D">
        <w:rPr>
          <w:sz w:val="22"/>
          <w:szCs w:val="22"/>
          <w:lang w:val="en-US"/>
        </w:rPr>
        <w:t>as far as</w:t>
      </w:r>
      <w:r w:rsidR="00566D1D" w:rsidRPr="000016FB">
        <w:rPr>
          <w:sz w:val="22"/>
          <w:szCs w:val="22"/>
          <w:lang w:val="en-US"/>
        </w:rPr>
        <w:t xml:space="preserve"> </w:t>
      </w:r>
      <w:r w:rsidR="001646BE" w:rsidRPr="000016FB">
        <w:rPr>
          <w:sz w:val="22"/>
          <w:szCs w:val="22"/>
          <w:lang w:val="en-US"/>
        </w:rPr>
        <w:t>the</w:t>
      </w:r>
      <w:r w:rsidR="00566D1D">
        <w:rPr>
          <w:sz w:val="22"/>
          <w:szCs w:val="22"/>
          <w:lang w:val="en-US"/>
        </w:rPr>
        <w:t>ir</w:t>
      </w:r>
      <w:r w:rsidR="002F21F1" w:rsidRPr="000016FB">
        <w:rPr>
          <w:sz w:val="22"/>
          <w:szCs w:val="22"/>
          <w:lang w:val="en-US"/>
        </w:rPr>
        <w:t xml:space="preserve"> </w:t>
      </w:r>
      <w:r w:rsidRPr="000016FB">
        <w:rPr>
          <w:sz w:val="22"/>
          <w:szCs w:val="22"/>
          <w:lang w:val="en-US"/>
        </w:rPr>
        <w:t>physiological and pharmacological relevance</w:t>
      </w:r>
      <w:r w:rsidR="00E54C3C">
        <w:rPr>
          <w:sz w:val="22"/>
          <w:szCs w:val="22"/>
          <w:lang w:val="en-US"/>
        </w:rPr>
        <w:t xml:space="preserve"> </w:t>
      </w:r>
      <w:r w:rsidR="00302D39">
        <w:rPr>
          <w:sz w:val="22"/>
          <w:szCs w:val="22"/>
          <w:lang w:val="en-US"/>
        </w:rPr>
        <w:t>to the clinical situation</w:t>
      </w:r>
      <w:r w:rsidR="00E54C3C">
        <w:rPr>
          <w:sz w:val="22"/>
          <w:szCs w:val="22"/>
          <w:lang w:val="en-US"/>
        </w:rPr>
        <w:t xml:space="preserve">, </w:t>
      </w:r>
      <w:r w:rsidR="00302D39">
        <w:rPr>
          <w:sz w:val="22"/>
          <w:szCs w:val="22"/>
          <w:lang w:val="en-US"/>
        </w:rPr>
        <w:t>as evidenced by their closer</w:t>
      </w:r>
      <w:r w:rsidR="00302D39" w:rsidRPr="000016FB">
        <w:rPr>
          <w:sz w:val="22"/>
          <w:szCs w:val="22"/>
          <w:lang w:val="en-US"/>
        </w:rPr>
        <w:t xml:space="preserve"> </w:t>
      </w:r>
      <w:r w:rsidRPr="000016FB">
        <w:rPr>
          <w:sz w:val="22"/>
          <w:szCs w:val="22"/>
          <w:lang w:val="en-US"/>
        </w:rPr>
        <w:t>compar</w:t>
      </w:r>
      <w:r w:rsidR="00302D39">
        <w:rPr>
          <w:sz w:val="22"/>
          <w:szCs w:val="22"/>
          <w:lang w:val="en-US"/>
        </w:rPr>
        <w:t>ability</w:t>
      </w:r>
      <w:r w:rsidRPr="000016FB">
        <w:rPr>
          <w:sz w:val="22"/>
          <w:szCs w:val="22"/>
          <w:lang w:val="en-US"/>
        </w:rPr>
        <w:t xml:space="preserve"> to human liver tissue</w:t>
      </w:r>
      <w:r w:rsidR="001B0EE6" w:rsidRPr="000016FB">
        <w:rPr>
          <w:sz w:val="22"/>
          <w:szCs w:val="22"/>
          <w:lang w:val="en-US"/>
        </w:rPr>
        <w:t xml:space="preserve">. </w:t>
      </w:r>
      <w:r w:rsidR="002F21F1" w:rsidRPr="000016FB">
        <w:rPr>
          <w:sz w:val="22"/>
          <w:szCs w:val="22"/>
          <w:lang w:val="en-US"/>
        </w:rPr>
        <w:t xml:space="preserve">Nevertheless, the evaluation of </w:t>
      </w:r>
      <w:r w:rsidR="00566D1D">
        <w:rPr>
          <w:sz w:val="22"/>
          <w:szCs w:val="22"/>
          <w:lang w:val="en-US"/>
        </w:rPr>
        <w:t>most</w:t>
      </w:r>
      <w:r w:rsidR="00566D1D" w:rsidRPr="000016FB">
        <w:rPr>
          <w:sz w:val="22"/>
          <w:szCs w:val="22"/>
          <w:lang w:val="en-US"/>
        </w:rPr>
        <w:t xml:space="preserve"> </w:t>
      </w:r>
      <w:r w:rsidR="002F21F1" w:rsidRPr="000016FB">
        <w:rPr>
          <w:sz w:val="22"/>
          <w:szCs w:val="22"/>
          <w:lang w:val="en-US"/>
        </w:rPr>
        <w:t xml:space="preserve">advanced </w:t>
      </w:r>
      <w:r w:rsidR="001646BE" w:rsidRPr="000016FB">
        <w:rPr>
          <w:sz w:val="22"/>
          <w:szCs w:val="22"/>
          <w:lang w:val="en-US"/>
        </w:rPr>
        <w:t xml:space="preserve">2D </w:t>
      </w:r>
      <w:r w:rsidR="00566D1D" w:rsidRPr="0068309A">
        <w:rPr>
          <w:i/>
          <w:sz w:val="22"/>
          <w:szCs w:val="22"/>
          <w:lang w:val="en-US"/>
        </w:rPr>
        <w:t>in vitro</w:t>
      </w:r>
      <w:r w:rsidR="00566D1D">
        <w:rPr>
          <w:sz w:val="22"/>
          <w:szCs w:val="22"/>
          <w:lang w:val="en-US"/>
        </w:rPr>
        <w:t xml:space="preserve"> toxicology </w:t>
      </w:r>
      <w:r w:rsidR="001646BE" w:rsidRPr="000016FB">
        <w:rPr>
          <w:sz w:val="22"/>
          <w:szCs w:val="22"/>
          <w:lang w:val="en-US"/>
        </w:rPr>
        <w:t>model</w:t>
      </w:r>
      <w:r w:rsidR="00554BC8">
        <w:rPr>
          <w:sz w:val="22"/>
          <w:szCs w:val="22"/>
          <w:lang w:val="en-US"/>
        </w:rPr>
        <w:t xml:space="preserve">s </w:t>
      </w:r>
      <w:r w:rsidR="006730B6" w:rsidRPr="000016FB">
        <w:rPr>
          <w:sz w:val="22"/>
          <w:szCs w:val="22"/>
          <w:lang w:val="en-US"/>
        </w:rPr>
        <w:t>ha</w:t>
      </w:r>
      <w:r w:rsidR="006730B6">
        <w:rPr>
          <w:sz w:val="22"/>
          <w:szCs w:val="22"/>
          <w:lang w:val="en-US"/>
        </w:rPr>
        <w:t>s</w:t>
      </w:r>
      <w:r w:rsidR="006730B6" w:rsidRPr="000016FB">
        <w:rPr>
          <w:sz w:val="22"/>
          <w:szCs w:val="22"/>
          <w:lang w:val="en-US"/>
        </w:rPr>
        <w:t xml:space="preserve"> </w:t>
      </w:r>
      <w:r w:rsidR="002F21F1" w:rsidRPr="000016FB">
        <w:rPr>
          <w:sz w:val="22"/>
          <w:szCs w:val="22"/>
          <w:lang w:val="en-US"/>
        </w:rPr>
        <w:t>yet to be thoroughly bench-marked</w:t>
      </w:r>
      <w:r w:rsidR="00566D1D">
        <w:rPr>
          <w:sz w:val="22"/>
          <w:szCs w:val="22"/>
          <w:lang w:val="en-US"/>
        </w:rPr>
        <w:t xml:space="preserve"> across multiple organizations</w:t>
      </w:r>
      <w:r w:rsidR="00554BC8">
        <w:rPr>
          <w:sz w:val="22"/>
          <w:szCs w:val="22"/>
          <w:lang w:val="en-US"/>
        </w:rPr>
        <w:t>.</w:t>
      </w:r>
      <w:r w:rsidR="002F21F1" w:rsidRPr="000016FB">
        <w:rPr>
          <w:sz w:val="22"/>
          <w:szCs w:val="22"/>
          <w:lang w:val="en-US"/>
        </w:rPr>
        <w:t xml:space="preserve"> </w:t>
      </w:r>
      <w:r w:rsidR="00017C85">
        <w:rPr>
          <w:sz w:val="22"/>
          <w:szCs w:val="22"/>
          <w:lang w:val="en-US"/>
        </w:rPr>
        <w:t>Moreover, eval</w:t>
      </w:r>
      <w:r w:rsidR="006D3AAB">
        <w:rPr>
          <w:sz w:val="22"/>
          <w:szCs w:val="22"/>
          <w:lang w:val="en-US"/>
        </w:rPr>
        <w:t>ua</w:t>
      </w:r>
      <w:r w:rsidR="00017C85">
        <w:rPr>
          <w:sz w:val="22"/>
          <w:szCs w:val="22"/>
          <w:lang w:val="en-US"/>
        </w:rPr>
        <w:t xml:space="preserve">tions often focus on </w:t>
      </w:r>
      <w:r w:rsidR="00814E05">
        <w:rPr>
          <w:sz w:val="22"/>
          <w:szCs w:val="22"/>
          <w:lang w:val="en-US"/>
        </w:rPr>
        <w:t xml:space="preserve">only a </w:t>
      </w:r>
      <w:r w:rsidR="00017C85">
        <w:rPr>
          <w:sz w:val="22"/>
          <w:szCs w:val="22"/>
          <w:lang w:val="en-US"/>
        </w:rPr>
        <w:t xml:space="preserve">few parameters, for example </w:t>
      </w:r>
      <w:r w:rsidR="00722619">
        <w:rPr>
          <w:sz w:val="22"/>
          <w:szCs w:val="22"/>
          <w:lang w:val="en-US"/>
        </w:rPr>
        <w:t xml:space="preserve">cytochrome P450 </w:t>
      </w:r>
      <w:r w:rsidR="00FC5104">
        <w:rPr>
          <w:sz w:val="22"/>
          <w:szCs w:val="22"/>
          <w:lang w:val="en-US"/>
        </w:rPr>
        <w:t>(</w:t>
      </w:r>
      <w:r w:rsidR="00373676">
        <w:rPr>
          <w:sz w:val="22"/>
          <w:szCs w:val="22"/>
          <w:lang w:val="en-US"/>
        </w:rPr>
        <w:t>CYP</w:t>
      </w:r>
      <w:r w:rsidR="00FC5104">
        <w:rPr>
          <w:sz w:val="22"/>
          <w:szCs w:val="22"/>
          <w:lang w:val="en-US"/>
        </w:rPr>
        <w:t>)</w:t>
      </w:r>
      <w:r w:rsidR="00373676">
        <w:rPr>
          <w:sz w:val="22"/>
          <w:szCs w:val="22"/>
          <w:lang w:val="en-US"/>
        </w:rPr>
        <w:t xml:space="preserve"> </w:t>
      </w:r>
      <w:r w:rsidR="00017C85">
        <w:rPr>
          <w:sz w:val="22"/>
          <w:szCs w:val="22"/>
          <w:lang w:val="en-US"/>
        </w:rPr>
        <w:t>content</w:t>
      </w:r>
      <w:r w:rsidR="00671645">
        <w:rPr>
          <w:sz w:val="22"/>
          <w:szCs w:val="22"/>
          <w:lang w:val="en-US"/>
        </w:rPr>
        <w:t>,</w:t>
      </w:r>
      <w:r w:rsidR="00017C85">
        <w:rPr>
          <w:sz w:val="22"/>
          <w:szCs w:val="22"/>
          <w:lang w:val="en-US"/>
        </w:rPr>
        <w:t xml:space="preserve"> and do not capture an integrated view of the totality of changes that occur when hepatocytes are place</w:t>
      </w:r>
      <w:r w:rsidR="00E608C2">
        <w:rPr>
          <w:sz w:val="22"/>
          <w:szCs w:val="22"/>
          <w:lang w:val="en-US"/>
        </w:rPr>
        <w:t>d</w:t>
      </w:r>
      <w:r w:rsidR="00017C85">
        <w:rPr>
          <w:sz w:val="22"/>
          <w:szCs w:val="22"/>
          <w:lang w:val="en-US"/>
        </w:rPr>
        <w:t xml:space="preserve"> in culture systems. </w:t>
      </w:r>
      <w:r w:rsidR="00554BC8">
        <w:rPr>
          <w:sz w:val="22"/>
          <w:szCs w:val="22"/>
          <w:lang w:val="en-US"/>
        </w:rPr>
        <w:t xml:space="preserve">This </w:t>
      </w:r>
      <w:r w:rsidR="00017C85">
        <w:rPr>
          <w:sz w:val="22"/>
          <w:szCs w:val="22"/>
          <w:lang w:val="en-US"/>
        </w:rPr>
        <w:t xml:space="preserve">thorough benchmarking </w:t>
      </w:r>
      <w:r w:rsidR="00566D1D">
        <w:rPr>
          <w:sz w:val="22"/>
          <w:szCs w:val="22"/>
          <w:lang w:val="en-US"/>
        </w:rPr>
        <w:t xml:space="preserve">exercise </w:t>
      </w:r>
      <w:r w:rsidR="00554BC8">
        <w:rPr>
          <w:sz w:val="22"/>
          <w:szCs w:val="22"/>
          <w:lang w:val="en-US"/>
        </w:rPr>
        <w:t xml:space="preserve">is essential </w:t>
      </w:r>
      <w:r w:rsidR="001646BE" w:rsidRPr="000016FB">
        <w:rPr>
          <w:sz w:val="22"/>
          <w:szCs w:val="22"/>
          <w:lang w:val="en-US"/>
        </w:rPr>
        <w:t xml:space="preserve">to </w:t>
      </w:r>
      <w:r w:rsidR="00017C85">
        <w:rPr>
          <w:sz w:val="22"/>
          <w:szCs w:val="22"/>
          <w:lang w:val="en-US"/>
        </w:rPr>
        <w:t xml:space="preserve">both </w:t>
      </w:r>
      <w:r w:rsidR="00566D1D">
        <w:rPr>
          <w:sz w:val="22"/>
          <w:szCs w:val="22"/>
          <w:lang w:val="en-US"/>
        </w:rPr>
        <w:t>demonstrate</w:t>
      </w:r>
      <w:r w:rsidR="00566D1D" w:rsidRPr="000016FB">
        <w:rPr>
          <w:sz w:val="22"/>
          <w:szCs w:val="22"/>
          <w:lang w:val="en-US"/>
        </w:rPr>
        <w:t xml:space="preserve"> </w:t>
      </w:r>
      <w:r w:rsidR="00566D1D">
        <w:rPr>
          <w:sz w:val="22"/>
          <w:szCs w:val="22"/>
          <w:lang w:val="en-US"/>
        </w:rPr>
        <w:t>reproducible</w:t>
      </w:r>
      <w:r w:rsidR="001B0EE6" w:rsidRPr="000016FB">
        <w:rPr>
          <w:sz w:val="22"/>
          <w:szCs w:val="22"/>
          <w:lang w:val="en-US"/>
        </w:rPr>
        <w:t xml:space="preserve"> </w:t>
      </w:r>
      <w:r w:rsidR="00566D1D">
        <w:rPr>
          <w:sz w:val="22"/>
          <w:szCs w:val="22"/>
          <w:lang w:val="en-US"/>
        </w:rPr>
        <w:t xml:space="preserve">performance characteristics </w:t>
      </w:r>
      <w:r w:rsidR="00017C85">
        <w:rPr>
          <w:sz w:val="22"/>
          <w:szCs w:val="22"/>
          <w:lang w:val="en-US"/>
        </w:rPr>
        <w:t xml:space="preserve">in </w:t>
      </w:r>
      <w:r w:rsidR="00566D1D">
        <w:rPr>
          <w:sz w:val="22"/>
          <w:szCs w:val="22"/>
          <w:lang w:val="en-US"/>
        </w:rPr>
        <w:t xml:space="preserve">the </w:t>
      </w:r>
      <w:r w:rsidR="001B0EE6" w:rsidRPr="000016FB">
        <w:rPr>
          <w:sz w:val="22"/>
          <w:szCs w:val="22"/>
          <w:lang w:val="en-US"/>
        </w:rPr>
        <w:t>de</w:t>
      </w:r>
      <w:r w:rsidR="002F21F1" w:rsidRPr="000016FB">
        <w:rPr>
          <w:sz w:val="22"/>
          <w:szCs w:val="22"/>
          <w:lang w:val="en-US"/>
        </w:rPr>
        <w:t>tection of chemical liabilities</w:t>
      </w:r>
      <w:r w:rsidR="00017C85">
        <w:rPr>
          <w:sz w:val="22"/>
          <w:szCs w:val="22"/>
          <w:lang w:val="en-US"/>
        </w:rPr>
        <w:t xml:space="preserve"> and </w:t>
      </w:r>
      <w:r w:rsidR="00E608C2">
        <w:rPr>
          <w:sz w:val="22"/>
          <w:szCs w:val="22"/>
          <w:lang w:val="en-US"/>
        </w:rPr>
        <w:t xml:space="preserve">to </w:t>
      </w:r>
      <w:r w:rsidR="00017C85">
        <w:rPr>
          <w:sz w:val="22"/>
          <w:szCs w:val="22"/>
          <w:lang w:val="en-US"/>
        </w:rPr>
        <w:t>highlight areas where advances in culture models can improve hepatocellular functionality</w:t>
      </w:r>
      <w:r w:rsidR="009D16E4">
        <w:rPr>
          <w:sz w:val="22"/>
          <w:szCs w:val="22"/>
          <w:lang w:val="en-US"/>
        </w:rPr>
        <w:t>.</w:t>
      </w:r>
      <w:r w:rsidR="00566D1D">
        <w:rPr>
          <w:sz w:val="22"/>
          <w:szCs w:val="22"/>
          <w:lang w:val="en-US"/>
        </w:rPr>
        <w:t xml:space="preserve"> </w:t>
      </w:r>
      <w:r w:rsidR="00017C85">
        <w:rPr>
          <w:sz w:val="22"/>
          <w:szCs w:val="22"/>
          <w:lang w:val="en-US"/>
        </w:rPr>
        <w:t xml:space="preserve">Availability of well </w:t>
      </w:r>
      <w:r w:rsidR="00566D1D">
        <w:rPr>
          <w:sz w:val="22"/>
          <w:szCs w:val="22"/>
          <w:lang w:val="en-US"/>
        </w:rPr>
        <w:t xml:space="preserve">curated </w:t>
      </w:r>
      <w:r w:rsidR="002F21F1" w:rsidRPr="000016FB">
        <w:rPr>
          <w:sz w:val="22"/>
          <w:szCs w:val="22"/>
          <w:lang w:val="en-US"/>
        </w:rPr>
        <w:t xml:space="preserve">training and test sets </w:t>
      </w:r>
      <w:r w:rsidR="00D37322">
        <w:rPr>
          <w:sz w:val="22"/>
          <w:szCs w:val="22"/>
          <w:lang w:val="en-US"/>
        </w:rPr>
        <w:t xml:space="preserve">of compounds </w:t>
      </w:r>
      <w:r w:rsidR="00017C85">
        <w:rPr>
          <w:sz w:val="22"/>
          <w:szCs w:val="22"/>
          <w:lang w:val="en-US"/>
        </w:rPr>
        <w:t xml:space="preserve">comprising </w:t>
      </w:r>
      <w:r w:rsidR="00566D1D">
        <w:rPr>
          <w:sz w:val="22"/>
          <w:szCs w:val="22"/>
          <w:lang w:val="en-US"/>
        </w:rPr>
        <w:t>of</w:t>
      </w:r>
      <w:r w:rsidR="00566D1D" w:rsidRPr="000016FB">
        <w:rPr>
          <w:sz w:val="22"/>
          <w:szCs w:val="22"/>
          <w:lang w:val="en-US"/>
        </w:rPr>
        <w:t xml:space="preserve"> </w:t>
      </w:r>
      <w:r w:rsidR="00566D1D">
        <w:rPr>
          <w:sz w:val="22"/>
          <w:szCs w:val="22"/>
          <w:lang w:val="en-US"/>
        </w:rPr>
        <w:t>appropriately annotated</w:t>
      </w:r>
      <w:r w:rsidR="00566D1D" w:rsidRPr="000016FB">
        <w:rPr>
          <w:sz w:val="22"/>
          <w:szCs w:val="22"/>
          <w:lang w:val="en-US"/>
        </w:rPr>
        <w:t xml:space="preserve"> </w:t>
      </w:r>
      <w:r w:rsidR="002F21F1" w:rsidRPr="000016FB">
        <w:rPr>
          <w:sz w:val="22"/>
          <w:szCs w:val="22"/>
          <w:lang w:val="en-US"/>
        </w:rPr>
        <w:t>DILI and non-DILI drugs</w:t>
      </w:r>
      <w:r w:rsidR="009D16E4">
        <w:rPr>
          <w:sz w:val="22"/>
          <w:szCs w:val="22"/>
          <w:lang w:val="en-US"/>
        </w:rPr>
        <w:t xml:space="preserve"> </w:t>
      </w:r>
      <w:r w:rsidR="009D16E4">
        <w:rPr>
          <w:sz w:val="22"/>
          <w:szCs w:val="22"/>
          <w:lang w:val="en-US"/>
        </w:rPr>
        <w:lastRenderedPageBreak/>
        <w:t>should be used</w:t>
      </w:r>
      <w:r w:rsidR="003E6940">
        <w:rPr>
          <w:noProof/>
          <w:sz w:val="22"/>
          <w:szCs w:val="22"/>
          <w:lang w:val="en-GB"/>
        </w:rPr>
        <w:t xml:space="preserve"> </w:t>
      </w:r>
      <w:sdt>
        <w:sdtPr>
          <w:rPr>
            <w:noProof/>
            <w:sz w:val="22"/>
            <w:szCs w:val="22"/>
            <w:lang w:val="en-GB"/>
          </w:rPr>
          <w:id w:val="1162896668"/>
          <w:citation/>
        </w:sdtPr>
        <w:sdtEndPr/>
        <w:sdtContent>
          <w:r w:rsidR="002473D4">
            <w:rPr>
              <w:noProof/>
              <w:sz w:val="22"/>
              <w:szCs w:val="22"/>
              <w:lang w:val="en-GB"/>
            </w:rPr>
            <w:fldChar w:fldCharType="begin"/>
          </w:r>
          <w:r w:rsidR="002473D4" w:rsidRPr="002D3E0D">
            <w:rPr>
              <w:noProof/>
              <w:sz w:val="22"/>
              <w:szCs w:val="22"/>
              <w:lang w:val="en-GB"/>
            </w:rPr>
            <w:instrText xml:space="preserve"> CITATION Dra16 \l 1036 </w:instrText>
          </w:r>
          <w:r w:rsidR="002473D4">
            <w:rPr>
              <w:noProof/>
              <w:sz w:val="22"/>
              <w:szCs w:val="22"/>
              <w:lang w:val="en-GB"/>
            </w:rPr>
            <w:fldChar w:fldCharType="separate"/>
          </w:r>
          <w:r w:rsidR="002D6947" w:rsidRPr="002D6947">
            <w:rPr>
              <w:noProof/>
              <w:sz w:val="22"/>
              <w:szCs w:val="22"/>
              <w:lang w:val="en-GB"/>
            </w:rPr>
            <w:t>[6]</w:t>
          </w:r>
          <w:r w:rsidR="002473D4">
            <w:rPr>
              <w:noProof/>
              <w:sz w:val="22"/>
              <w:szCs w:val="22"/>
              <w:lang w:val="en-GB"/>
            </w:rPr>
            <w:fldChar w:fldCharType="end"/>
          </w:r>
        </w:sdtContent>
      </w:sdt>
      <w:r w:rsidR="00706161">
        <w:rPr>
          <w:noProof/>
          <w:sz w:val="22"/>
          <w:szCs w:val="22"/>
          <w:lang w:val="en-GB"/>
        </w:rPr>
        <w:t xml:space="preserve"> </w:t>
      </w:r>
      <w:r w:rsidR="00116E38">
        <w:rPr>
          <w:sz w:val="22"/>
          <w:szCs w:val="22"/>
          <w:lang w:val="en-US"/>
        </w:rPr>
        <w:t xml:space="preserve">to benchmark </w:t>
      </w:r>
      <w:r w:rsidR="00566D1D">
        <w:rPr>
          <w:sz w:val="22"/>
          <w:szCs w:val="22"/>
          <w:lang w:val="en-US"/>
        </w:rPr>
        <w:t>and compare current practices and</w:t>
      </w:r>
      <w:r w:rsidR="002F21F1" w:rsidRPr="000016FB">
        <w:rPr>
          <w:sz w:val="22"/>
          <w:szCs w:val="22"/>
          <w:lang w:val="en-US"/>
        </w:rPr>
        <w:t xml:space="preserve"> endpoint</w:t>
      </w:r>
      <w:r w:rsidR="00566D1D">
        <w:rPr>
          <w:sz w:val="22"/>
          <w:szCs w:val="22"/>
          <w:lang w:val="en-US"/>
        </w:rPr>
        <w:t>s</w:t>
      </w:r>
      <w:r w:rsidR="002F21F1" w:rsidRPr="000016FB">
        <w:rPr>
          <w:sz w:val="22"/>
          <w:szCs w:val="22"/>
          <w:lang w:val="en-US"/>
        </w:rPr>
        <w:t xml:space="preserve"> </w:t>
      </w:r>
      <w:r w:rsidR="00DF0E75" w:rsidRPr="000016FB">
        <w:rPr>
          <w:sz w:val="22"/>
          <w:szCs w:val="22"/>
          <w:lang w:val="en-US"/>
        </w:rPr>
        <w:t xml:space="preserve">commonly </w:t>
      </w:r>
      <w:r w:rsidR="002F21F1" w:rsidRPr="000016FB">
        <w:rPr>
          <w:sz w:val="22"/>
          <w:szCs w:val="22"/>
          <w:lang w:val="en-US"/>
        </w:rPr>
        <w:t xml:space="preserve">employed by the pharmaceutical industry. </w:t>
      </w:r>
    </w:p>
    <w:p w14:paraId="5FF94426" w14:textId="77777777" w:rsidR="002F21F1" w:rsidRPr="000016FB" w:rsidRDefault="002F21F1" w:rsidP="006730B6">
      <w:pPr>
        <w:spacing w:line="480" w:lineRule="auto"/>
        <w:jc w:val="both"/>
        <w:rPr>
          <w:sz w:val="22"/>
          <w:szCs w:val="22"/>
          <w:lang w:val="en-US"/>
        </w:rPr>
      </w:pPr>
    </w:p>
    <w:p w14:paraId="78B85346" w14:textId="77777777" w:rsidR="002F21F1" w:rsidRPr="000016FB" w:rsidRDefault="002F21F1" w:rsidP="006730B6">
      <w:pPr>
        <w:spacing w:line="480" w:lineRule="auto"/>
        <w:jc w:val="both"/>
        <w:rPr>
          <w:sz w:val="22"/>
          <w:szCs w:val="22"/>
          <w:lang w:val="en-US"/>
        </w:rPr>
      </w:pPr>
      <w:r w:rsidRPr="000016FB">
        <w:rPr>
          <w:sz w:val="22"/>
          <w:szCs w:val="22"/>
          <w:lang w:val="en-US"/>
        </w:rPr>
        <w:t>In this review</w:t>
      </w:r>
      <w:r w:rsidR="00C50441">
        <w:rPr>
          <w:sz w:val="22"/>
          <w:szCs w:val="22"/>
          <w:lang w:val="en-US"/>
        </w:rPr>
        <w:t xml:space="preserve"> </w:t>
      </w:r>
      <w:r w:rsidR="0013599B">
        <w:rPr>
          <w:sz w:val="22"/>
          <w:szCs w:val="22"/>
          <w:lang w:val="en-US"/>
        </w:rPr>
        <w:t>paper</w:t>
      </w:r>
      <w:r w:rsidRPr="000016FB">
        <w:rPr>
          <w:sz w:val="22"/>
          <w:szCs w:val="22"/>
          <w:lang w:val="en-US"/>
        </w:rPr>
        <w:t xml:space="preserve">, </w:t>
      </w:r>
      <w:r w:rsidR="007A38BC" w:rsidRPr="000016FB">
        <w:rPr>
          <w:sz w:val="22"/>
          <w:szCs w:val="22"/>
          <w:lang w:val="en-US"/>
        </w:rPr>
        <w:t xml:space="preserve">members </w:t>
      </w:r>
      <w:r w:rsidR="00DF0E75" w:rsidRPr="000016FB">
        <w:rPr>
          <w:sz w:val="22"/>
          <w:szCs w:val="22"/>
          <w:lang w:val="en-US"/>
        </w:rPr>
        <w:t xml:space="preserve">from </w:t>
      </w:r>
      <w:r w:rsidR="007A38BC" w:rsidRPr="000016FB">
        <w:rPr>
          <w:sz w:val="22"/>
          <w:szCs w:val="22"/>
          <w:lang w:val="en-US"/>
        </w:rPr>
        <w:t>the</w:t>
      </w:r>
      <w:r w:rsidR="00813A93" w:rsidRPr="000016FB">
        <w:rPr>
          <w:sz w:val="22"/>
          <w:szCs w:val="22"/>
          <w:lang w:val="en-US"/>
        </w:rPr>
        <w:t xml:space="preserve"> </w:t>
      </w:r>
      <w:r w:rsidR="00B00C44">
        <w:rPr>
          <w:sz w:val="22"/>
          <w:szCs w:val="22"/>
          <w:lang w:val="en-US"/>
        </w:rPr>
        <w:t>Innovative Medicines Initiative (IMI) Mechanism-based Integrated Prediction of Drug Induced Liver Injury (</w:t>
      </w:r>
      <w:r w:rsidR="00813A93" w:rsidRPr="000016FB">
        <w:rPr>
          <w:sz w:val="22"/>
          <w:szCs w:val="22"/>
          <w:lang w:val="en-US"/>
        </w:rPr>
        <w:t>MIP-DILI</w:t>
      </w:r>
      <w:r w:rsidR="00B00C44">
        <w:rPr>
          <w:sz w:val="22"/>
          <w:szCs w:val="22"/>
          <w:lang w:val="en-US"/>
        </w:rPr>
        <w:t>)</w:t>
      </w:r>
      <w:r w:rsidR="00813A93" w:rsidRPr="000016FB">
        <w:rPr>
          <w:sz w:val="22"/>
          <w:szCs w:val="22"/>
          <w:lang w:val="en-US"/>
        </w:rPr>
        <w:t xml:space="preserve"> consortium</w:t>
      </w:r>
      <w:r w:rsidRPr="000016FB">
        <w:rPr>
          <w:sz w:val="22"/>
          <w:szCs w:val="22"/>
          <w:lang w:val="en-US"/>
        </w:rPr>
        <w:t xml:space="preserve"> present an industry perspective</w:t>
      </w:r>
      <w:r w:rsidR="00DF0E75" w:rsidRPr="000016FB">
        <w:rPr>
          <w:sz w:val="22"/>
          <w:szCs w:val="22"/>
          <w:lang w:val="en-US"/>
        </w:rPr>
        <w:t xml:space="preserve"> on </w:t>
      </w:r>
      <w:r w:rsidR="00566D1D">
        <w:rPr>
          <w:sz w:val="22"/>
          <w:szCs w:val="22"/>
          <w:lang w:val="en-US"/>
        </w:rPr>
        <w:t xml:space="preserve">the </w:t>
      </w:r>
      <w:r w:rsidR="00DF0E75" w:rsidRPr="000016FB">
        <w:rPr>
          <w:sz w:val="22"/>
          <w:szCs w:val="22"/>
          <w:lang w:val="en-US"/>
        </w:rPr>
        <w:t xml:space="preserve">test systems </w:t>
      </w:r>
      <w:r w:rsidR="00566D1D">
        <w:rPr>
          <w:sz w:val="22"/>
          <w:szCs w:val="22"/>
          <w:lang w:val="en-US"/>
        </w:rPr>
        <w:t xml:space="preserve">currently </w:t>
      </w:r>
      <w:r w:rsidR="00813A93" w:rsidRPr="000016FB">
        <w:rPr>
          <w:sz w:val="22"/>
          <w:szCs w:val="22"/>
          <w:lang w:val="en-US"/>
        </w:rPr>
        <w:t xml:space="preserve">employed in drug discovery, and highlight </w:t>
      </w:r>
      <w:r w:rsidR="00DF0E75" w:rsidRPr="000016FB">
        <w:rPr>
          <w:sz w:val="22"/>
          <w:szCs w:val="22"/>
          <w:lang w:val="en-US"/>
        </w:rPr>
        <w:t>their</w:t>
      </w:r>
      <w:r w:rsidR="00813A93" w:rsidRPr="000016FB">
        <w:rPr>
          <w:sz w:val="22"/>
          <w:szCs w:val="22"/>
          <w:lang w:val="en-US"/>
        </w:rPr>
        <w:t xml:space="preserve"> utility</w:t>
      </w:r>
      <w:r w:rsidR="00033AED" w:rsidRPr="000016FB">
        <w:rPr>
          <w:sz w:val="22"/>
          <w:szCs w:val="22"/>
          <w:lang w:val="en-US"/>
        </w:rPr>
        <w:t>, limitations</w:t>
      </w:r>
      <w:r w:rsidR="00AF1CAD">
        <w:rPr>
          <w:sz w:val="22"/>
          <w:szCs w:val="22"/>
          <w:lang w:val="en-US"/>
        </w:rPr>
        <w:t>,</w:t>
      </w:r>
      <w:r w:rsidR="00813A93" w:rsidRPr="000016FB">
        <w:rPr>
          <w:sz w:val="22"/>
          <w:szCs w:val="22"/>
          <w:lang w:val="en-US"/>
        </w:rPr>
        <w:t xml:space="preserve"> gaps </w:t>
      </w:r>
      <w:r w:rsidR="00C50441">
        <w:rPr>
          <w:sz w:val="22"/>
          <w:szCs w:val="22"/>
          <w:lang w:val="en-US"/>
        </w:rPr>
        <w:t xml:space="preserve">and </w:t>
      </w:r>
      <w:r w:rsidR="00AF1CAD">
        <w:rPr>
          <w:sz w:val="22"/>
          <w:szCs w:val="22"/>
          <w:lang w:val="en-US"/>
        </w:rPr>
        <w:t xml:space="preserve">opportunities </w:t>
      </w:r>
      <w:r w:rsidR="00566D1D">
        <w:rPr>
          <w:sz w:val="22"/>
          <w:szCs w:val="22"/>
          <w:lang w:val="en-US"/>
        </w:rPr>
        <w:t>for</w:t>
      </w:r>
      <w:r w:rsidR="00813A93" w:rsidRPr="000016FB">
        <w:rPr>
          <w:sz w:val="22"/>
          <w:szCs w:val="22"/>
          <w:lang w:val="en-US"/>
        </w:rPr>
        <w:t xml:space="preserve"> </w:t>
      </w:r>
      <w:r w:rsidR="00DF0E75" w:rsidRPr="000016FB">
        <w:rPr>
          <w:sz w:val="22"/>
          <w:szCs w:val="22"/>
          <w:lang w:val="en-US"/>
        </w:rPr>
        <w:t xml:space="preserve">hazard identification and </w:t>
      </w:r>
      <w:r w:rsidR="00813A93" w:rsidRPr="000016FB">
        <w:rPr>
          <w:sz w:val="22"/>
          <w:szCs w:val="22"/>
          <w:lang w:val="en-US"/>
        </w:rPr>
        <w:t xml:space="preserve">risk assessment of human DILI. </w:t>
      </w:r>
    </w:p>
    <w:p w14:paraId="525F8CBB" w14:textId="77777777" w:rsidR="00A60ABC" w:rsidRPr="000016FB" w:rsidRDefault="00A60ABC" w:rsidP="006730B6">
      <w:pPr>
        <w:spacing w:line="480" w:lineRule="auto"/>
        <w:jc w:val="both"/>
        <w:rPr>
          <w:sz w:val="22"/>
          <w:szCs w:val="22"/>
          <w:lang w:val="en-US"/>
        </w:rPr>
      </w:pPr>
    </w:p>
    <w:p w14:paraId="36A6B5C7" w14:textId="77777777" w:rsidR="00BC384B" w:rsidRPr="000016FB" w:rsidRDefault="00C50441" w:rsidP="00C50441">
      <w:pPr>
        <w:spacing w:line="480" w:lineRule="auto"/>
        <w:jc w:val="both"/>
        <w:rPr>
          <w:b/>
          <w:sz w:val="22"/>
          <w:szCs w:val="22"/>
          <w:lang w:val="en-US"/>
        </w:rPr>
      </w:pPr>
      <w:r>
        <w:rPr>
          <w:b/>
          <w:sz w:val="22"/>
          <w:szCs w:val="22"/>
          <w:lang w:val="en-US"/>
        </w:rPr>
        <w:t xml:space="preserve">2. </w:t>
      </w:r>
      <w:r w:rsidR="00A60ABC" w:rsidRPr="000016FB">
        <w:rPr>
          <w:b/>
          <w:sz w:val="22"/>
          <w:szCs w:val="22"/>
          <w:lang w:val="en-US"/>
        </w:rPr>
        <w:t>Test Systems</w:t>
      </w:r>
    </w:p>
    <w:p w14:paraId="349876F3" w14:textId="245E627C" w:rsidR="007A38BC" w:rsidRPr="000016FB" w:rsidRDefault="00554BC8" w:rsidP="006730B6">
      <w:pPr>
        <w:spacing w:line="480" w:lineRule="auto"/>
        <w:jc w:val="both"/>
        <w:rPr>
          <w:sz w:val="22"/>
          <w:szCs w:val="22"/>
          <w:lang w:val="en-US"/>
        </w:rPr>
      </w:pPr>
      <w:r>
        <w:rPr>
          <w:sz w:val="22"/>
          <w:szCs w:val="22"/>
          <w:lang w:val="en-US"/>
        </w:rPr>
        <w:t>Here, a</w:t>
      </w:r>
      <w:r w:rsidR="00E54C3C">
        <w:rPr>
          <w:sz w:val="22"/>
          <w:szCs w:val="22"/>
          <w:lang w:val="en-US"/>
        </w:rPr>
        <w:t xml:space="preserve">n </w:t>
      </w:r>
      <w:r w:rsidR="00E54C3C" w:rsidRPr="00C50441">
        <w:rPr>
          <w:i/>
          <w:sz w:val="22"/>
          <w:szCs w:val="22"/>
          <w:lang w:val="en-US"/>
        </w:rPr>
        <w:t>in vitro</w:t>
      </w:r>
      <w:r w:rsidR="007A38BC" w:rsidRPr="000016FB">
        <w:rPr>
          <w:sz w:val="22"/>
          <w:szCs w:val="22"/>
          <w:lang w:val="en-US"/>
        </w:rPr>
        <w:t xml:space="preserve"> test system </w:t>
      </w:r>
      <w:r>
        <w:rPr>
          <w:sz w:val="22"/>
          <w:szCs w:val="22"/>
          <w:lang w:val="en-US"/>
        </w:rPr>
        <w:t xml:space="preserve">is defined as </w:t>
      </w:r>
      <w:r w:rsidR="00E54C3C">
        <w:rPr>
          <w:sz w:val="22"/>
          <w:szCs w:val="22"/>
          <w:lang w:val="en-US"/>
        </w:rPr>
        <w:t>a</w:t>
      </w:r>
      <w:r w:rsidR="00C50441">
        <w:rPr>
          <w:sz w:val="22"/>
          <w:szCs w:val="22"/>
          <w:lang w:val="en-US"/>
        </w:rPr>
        <w:t xml:space="preserve"> </w:t>
      </w:r>
      <w:r w:rsidR="007A38BC" w:rsidRPr="000016FB">
        <w:rPr>
          <w:sz w:val="22"/>
          <w:szCs w:val="22"/>
          <w:lang w:val="en-US"/>
        </w:rPr>
        <w:t>model</w:t>
      </w:r>
      <w:r w:rsidR="003F1BC7" w:rsidRPr="000016FB">
        <w:rPr>
          <w:sz w:val="22"/>
          <w:szCs w:val="22"/>
          <w:lang w:val="en-US"/>
        </w:rPr>
        <w:t>,</w:t>
      </w:r>
      <w:r w:rsidR="007A38BC" w:rsidRPr="000016FB">
        <w:rPr>
          <w:sz w:val="22"/>
          <w:szCs w:val="22"/>
          <w:lang w:val="en-US"/>
        </w:rPr>
        <w:t xml:space="preserve"> </w:t>
      </w:r>
      <w:r w:rsidR="001F24B3">
        <w:rPr>
          <w:sz w:val="22"/>
          <w:szCs w:val="22"/>
          <w:lang w:val="en-US"/>
        </w:rPr>
        <w:t>typically</w:t>
      </w:r>
      <w:r w:rsidR="001F24B3" w:rsidRPr="000016FB">
        <w:rPr>
          <w:sz w:val="22"/>
          <w:szCs w:val="22"/>
          <w:lang w:val="en-US"/>
        </w:rPr>
        <w:t xml:space="preserve"> </w:t>
      </w:r>
      <w:r w:rsidR="003F1BC7" w:rsidRPr="000016FB">
        <w:rPr>
          <w:sz w:val="22"/>
          <w:szCs w:val="22"/>
          <w:lang w:val="en-US"/>
        </w:rPr>
        <w:t>hepatocellular-based in</w:t>
      </w:r>
      <w:r w:rsidR="007A38BC" w:rsidRPr="000016FB">
        <w:rPr>
          <w:sz w:val="22"/>
          <w:szCs w:val="22"/>
          <w:lang w:val="en-US"/>
        </w:rPr>
        <w:t xml:space="preserve"> 2D or 3D configuration</w:t>
      </w:r>
      <w:r>
        <w:rPr>
          <w:sz w:val="22"/>
          <w:szCs w:val="22"/>
          <w:lang w:val="en-US"/>
        </w:rPr>
        <w:t>,</w:t>
      </w:r>
      <w:r w:rsidR="007A38BC" w:rsidRPr="000016FB">
        <w:rPr>
          <w:sz w:val="22"/>
          <w:szCs w:val="22"/>
          <w:lang w:val="en-US"/>
        </w:rPr>
        <w:t xml:space="preserve"> and </w:t>
      </w:r>
      <w:r w:rsidR="003F1BC7" w:rsidRPr="000016FB">
        <w:rPr>
          <w:sz w:val="22"/>
          <w:szCs w:val="22"/>
          <w:lang w:val="en-US"/>
        </w:rPr>
        <w:t xml:space="preserve">the </w:t>
      </w:r>
      <w:r w:rsidR="007A38BC" w:rsidRPr="000016FB">
        <w:rPr>
          <w:sz w:val="22"/>
          <w:szCs w:val="22"/>
          <w:lang w:val="en-US"/>
        </w:rPr>
        <w:t xml:space="preserve">bioanalytical </w:t>
      </w:r>
      <w:r w:rsidR="001F24B3">
        <w:rPr>
          <w:sz w:val="22"/>
          <w:szCs w:val="22"/>
          <w:lang w:val="en-US"/>
        </w:rPr>
        <w:t xml:space="preserve">or biochemical </w:t>
      </w:r>
      <w:r w:rsidR="007A38BC" w:rsidRPr="000016FB">
        <w:rPr>
          <w:sz w:val="22"/>
          <w:szCs w:val="22"/>
          <w:lang w:val="en-US"/>
        </w:rPr>
        <w:t>endpoint</w:t>
      </w:r>
      <w:r w:rsidR="001F24B3">
        <w:rPr>
          <w:sz w:val="22"/>
          <w:szCs w:val="22"/>
          <w:lang w:val="en-US"/>
        </w:rPr>
        <w:t>(s)</w:t>
      </w:r>
      <w:r w:rsidR="007A38BC" w:rsidRPr="000016FB">
        <w:rPr>
          <w:sz w:val="22"/>
          <w:szCs w:val="22"/>
          <w:lang w:val="en-US"/>
        </w:rPr>
        <w:t xml:space="preserve"> or biomarker of toxicological </w:t>
      </w:r>
      <w:r w:rsidR="0059261B" w:rsidRPr="000016FB">
        <w:rPr>
          <w:sz w:val="22"/>
          <w:szCs w:val="22"/>
          <w:lang w:val="en-US"/>
        </w:rPr>
        <w:t xml:space="preserve">interest to be </w:t>
      </w:r>
      <w:r w:rsidR="00AF1CAD">
        <w:rPr>
          <w:sz w:val="22"/>
          <w:szCs w:val="22"/>
          <w:lang w:val="en-US"/>
        </w:rPr>
        <w:t>interrogated</w:t>
      </w:r>
      <w:r w:rsidR="0059261B" w:rsidRPr="000016FB">
        <w:rPr>
          <w:sz w:val="22"/>
          <w:szCs w:val="22"/>
          <w:lang w:val="en-US"/>
        </w:rPr>
        <w:t xml:space="preserve">. These test systems </w:t>
      </w:r>
      <w:r w:rsidR="001F24B3">
        <w:rPr>
          <w:sz w:val="22"/>
          <w:szCs w:val="22"/>
          <w:lang w:val="en-US"/>
        </w:rPr>
        <w:t>range</w:t>
      </w:r>
      <w:r w:rsidR="0059261B" w:rsidRPr="000016FB">
        <w:rPr>
          <w:sz w:val="22"/>
          <w:szCs w:val="22"/>
          <w:lang w:val="en-US"/>
        </w:rPr>
        <w:t xml:space="preserve"> from simple 2D </w:t>
      </w:r>
      <w:r w:rsidR="001F24B3">
        <w:rPr>
          <w:sz w:val="22"/>
          <w:szCs w:val="22"/>
          <w:lang w:val="en-US"/>
        </w:rPr>
        <w:t xml:space="preserve">cytotoxicity </w:t>
      </w:r>
      <w:r w:rsidR="0059261B" w:rsidRPr="000016FB">
        <w:rPr>
          <w:sz w:val="22"/>
          <w:szCs w:val="22"/>
          <w:lang w:val="en-US"/>
        </w:rPr>
        <w:t>model</w:t>
      </w:r>
      <w:r w:rsidR="001F24B3">
        <w:rPr>
          <w:sz w:val="22"/>
          <w:szCs w:val="22"/>
          <w:lang w:val="en-US"/>
        </w:rPr>
        <w:t>s</w:t>
      </w:r>
      <w:r w:rsidR="0059261B" w:rsidRPr="000016FB">
        <w:rPr>
          <w:sz w:val="22"/>
          <w:szCs w:val="22"/>
          <w:lang w:val="en-US"/>
        </w:rPr>
        <w:t xml:space="preserve"> to </w:t>
      </w:r>
      <w:r w:rsidR="001F24B3">
        <w:rPr>
          <w:sz w:val="22"/>
          <w:szCs w:val="22"/>
          <w:lang w:val="en-US"/>
        </w:rPr>
        <w:t xml:space="preserve">more refined </w:t>
      </w:r>
      <w:r w:rsidR="0059261B" w:rsidRPr="000016FB">
        <w:rPr>
          <w:sz w:val="22"/>
          <w:szCs w:val="22"/>
          <w:lang w:val="en-US"/>
        </w:rPr>
        <w:t xml:space="preserve">models </w:t>
      </w:r>
      <w:r w:rsidR="001F24B3">
        <w:rPr>
          <w:sz w:val="22"/>
          <w:szCs w:val="22"/>
          <w:lang w:val="en-US"/>
        </w:rPr>
        <w:t>coupled with specific</w:t>
      </w:r>
      <w:r w:rsidR="001F24B3" w:rsidRPr="000016FB">
        <w:rPr>
          <w:sz w:val="22"/>
          <w:szCs w:val="22"/>
          <w:lang w:val="en-US"/>
        </w:rPr>
        <w:t xml:space="preserve"> </w:t>
      </w:r>
      <w:r w:rsidR="0059261B" w:rsidRPr="000016FB">
        <w:rPr>
          <w:sz w:val="22"/>
          <w:szCs w:val="22"/>
          <w:lang w:val="en-US"/>
        </w:rPr>
        <w:t xml:space="preserve">endpoints </w:t>
      </w:r>
      <w:r w:rsidR="001F24B3">
        <w:rPr>
          <w:sz w:val="22"/>
          <w:szCs w:val="22"/>
          <w:lang w:val="en-US"/>
        </w:rPr>
        <w:t xml:space="preserve">to </w:t>
      </w:r>
      <w:r w:rsidR="003F1BC7" w:rsidRPr="000016FB">
        <w:rPr>
          <w:sz w:val="22"/>
          <w:szCs w:val="22"/>
          <w:lang w:val="en-US"/>
        </w:rPr>
        <w:t>support</w:t>
      </w:r>
      <w:r w:rsidR="0059261B" w:rsidRPr="000016FB">
        <w:rPr>
          <w:sz w:val="22"/>
          <w:szCs w:val="22"/>
          <w:lang w:val="en-US"/>
        </w:rPr>
        <w:t xml:space="preserve"> greater in-depth </w:t>
      </w:r>
      <w:r w:rsidR="003F1BC7" w:rsidRPr="000016FB">
        <w:rPr>
          <w:sz w:val="22"/>
          <w:szCs w:val="22"/>
          <w:lang w:val="en-US"/>
        </w:rPr>
        <w:t>investigations</w:t>
      </w:r>
      <w:r w:rsidR="0059261B" w:rsidRPr="000016FB">
        <w:rPr>
          <w:sz w:val="22"/>
          <w:szCs w:val="22"/>
          <w:lang w:val="en-US"/>
        </w:rPr>
        <w:t xml:space="preserve"> </w:t>
      </w:r>
      <w:r w:rsidR="00302D39">
        <w:rPr>
          <w:sz w:val="22"/>
          <w:szCs w:val="22"/>
          <w:lang w:val="en-US"/>
        </w:rPr>
        <w:t>of</w:t>
      </w:r>
      <w:r w:rsidR="00302D39" w:rsidRPr="000016FB">
        <w:rPr>
          <w:sz w:val="22"/>
          <w:szCs w:val="22"/>
          <w:lang w:val="en-US"/>
        </w:rPr>
        <w:t xml:space="preserve"> </w:t>
      </w:r>
      <w:r w:rsidR="0059261B" w:rsidRPr="000016FB">
        <w:rPr>
          <w:sz w:val="22"/>
          <w:szCs w:val="22"/>
          <w:lang w:val="en-US"/>
        </w:rPr>
        <w:t>specific mechanis</w:t>
      </w:r>
      <w:r w:rsidR="00F21F57">
        <w:rPr>
          <w:sz w:val="22"/>
          <w:szCs w:val="22"/>
          <w:lang w:val="en-US"/>
        </w:rPr>
        <w:t>ms</w:t>
      </w:r>
      <w:r w:rsidR="00536B95">
        <w:rPr>
          <w:sz w:val="22"/>
          <w:szCs w:val="22"/>
          <w:lang w:val="en-US"/>
        </w:rPr>
        <w:t xml:space="preserve"> of hepa</w:t>
      </w:r>
      <w:r w:rsidR="005C2383">
        <w:rPr>
          <w:sz w:val="22"/>
          <w:szCs w:val="22"/>
          <w:lang w:val="en-US"/>
        </w:rPr>
        <w:t>to</w:t>
      </w:r>
      <w:r w:rsidR="00536B95">
        <w:rPr>
          <w:sz w:val="22"/>
          <w:szCs w:val="22"/>
          <w:lang w:val="en-US"/>
        </w:rPr>
        <w:t>to</w:t>
      </w:r>
      <w:r w:rsidR="001F24B3">
        <w:rPr>
          <w:sz w:val="22"/>
          <w:szCs w:val="22"/>
          <w:lang w:val="en-US"/>
        </w:rPr>
        <w:t>xicity</w:t>
      </w:r>
      <w:r w:rsidR="00536B95">
        <w:rPr>
          <w:sz w:val="22"/>
          <w:szCs w:val="22"/>
          <w:lang w:val="en-US"/>
        </w:rPr>
        <w:t>.</w:t>
      </w:r>
      <w:r w:rsidR="0051280F" w:rsidRPr="000016FB">
        <w:rPr>
          <w:sz w:val="22"/>
          <w:szCs w:val="22"/>
          <w:lang w:val="en-US"/>
        </w:rPr>
        <w:t xml:space="preserve"> The</w:t>
      </w:r>
      <w:r w:rsidR="00C50441">
        <w:rPr>
          <w:sz w:val="22"/>
          <w:szCs w:val="22"/>
          <w:lang w:val="en-US"/>
        </w:rPr>
        <w:t>se</w:t>
      </w:r>
      <w:r w:rsidR="0051280F" w:rsidRPr="000016FB">
        <w:rPr>
          <w:sz w:val="22"/>
          <w:szCs w:val="22"/>
          <w:lang w:val="en-US"/>
        </w:rPr>
        <w:t xml:space="preserve"> </w:t>
      </w:r>
      <w:r w:rsidR="00302D39">
        <w:rPr>
          <w:sz w:val="22"/>
          <w:szCs w:val="22"/>
          <w:lang w:val="en-US"/>
        </w:rPr>
        <w:t>currently available</w:t>
      </w:r>
      <w:r w:rsidR="00302D39" w:rsidRPr="000016FB">
        <w:rPr>
          <w:sz w:val="22"/>
          <w:szCs w:val="22"/>
          <w:lang w:val="en-US"/>
        </w:rPr>
        <w:t xml:space="preserve"> </w:t>
      </w:r>
      <w:r w:rsidR="0051280F" w:rsidRPr="000016FB">
        <w:rPr>
          <w:sz w:val="22"/>
          <w:szCs w:val="22"/>
          <w:lang w:val="en-US"/>
        </w:rPr>
        <w:t>te</w:t>
      </w:r>
      <w:r w:rsidR="00FF25E0">
        <w:rPr>
          <w:sz w:val="22"/>
          <w:szCs w:val="22"/>
          <w:lang w:val="en-US"/>
        </w:rPr>
        <w:t>st systems</w:t>
      </w:r>
      <w:r w:rsidR="00E54C3C">
        <w:rPr>
          <w:sz w:val="22"/>
          <w:szCs w:val="22"/>
          <w:lang w:val="en-US"/>
        </w:rPr>
        <w:t xml:space="preserve"> </w:t>
      </w:r>
      <w:r w:rsidR="0051280F" w:rsidRPr="000016FB">
        <w:rPr>
          <w:sz w:val="22"/>
          <w:szCs w:val="22"/>
          <w:lang w:val="en-US"/>
        </w:rPr>
        <w:t xml:space="preserve">are </w:t>
      </w:r>
      <w:r w:rsidR="00033AED" w:rsidRPr="000016FB">
        <w:rPr>
          <w:sz w:val="22"/>
          <w:szCs w:val="22"/>
          <w:lang w:val="en-US"/>
        </w:rPr>
        <w:t xml:space="preserve">often </w:t>
      </w:r>
      <w:r w:rsidR="0051280F" w:rsidRPr="000016FB">
        <w:rPr>
          <w:sz w:val="22"/>
          <w:szCs w:val="22"/>
          <w:lang w:val="en-US"/>
        </w:rPr>
        <w:t xml:space="preserve">successful for the detection of </w:t>
      </w:r>
      <w:r w:rsidR="001F24B3">
        <w:rPr>
          <w:sz w:val="22"/>
          <w:szCs w:val="22"/>
          <w:lang w:val="en-US"/>
        </w:rPr>
        <w:t xml:space="preserve">compounds that </w:t>
      </w:r>
      <w:r w:rsidR="00F21F57">
        <w:rPr>
          <w:sz w:val="22"/>
          <w:szCs w:val="22"/>
          <w:lang w:val="en-US"/>
        </w:rPr>
        <w:t>direct</w:t>
      </w:r>
      <w:r w:rsidR="001F24B3">
        <w:rPr>
          <w:sz w:val="22"/>
          <w:szCs w:val="22"/>
          <w:lang w:val="en-US"/>
        </w:rPr>
        <w:t xml:space="preserve">ly injure </w:t>
      </w:r>
      <w:r w:rsidR="0051280F" w:rsidRPr="000016FB">
        <w:rPr>
          <w:sz w:val="22"/>
          <w:szCs w:val="22"/>
          <w:lang w:val="en-US"/>
        </w:rPr>
        <w:t>hepatocyte</w:t>
      </w:r>
      <w:r w:rsidR="0080190E">
        <w:rPr>
          <w:sz w:val="22"/>
          <w:szCs w:val="22"/>
          <w:lang w:val="en-US"/>
        </w:rPr>
        <w:t>s</w:t>
      </w:r>
      <w:r w:rsidR="001F24B3">
        <w:rPr>
          <w:sz w:val="22"/>
          <w:szCs w:val="22"/>
          <w:lang w:val="en-US"/>
        </w:rPr>
        <w:t xml:space="preserve"> in a dose-dependent manner without the contribution of</w:t>
      </w:r>
      <w:r w:rsidR="00DE49A0">
        <w:rPr>
          <w:sz w:val="22"/>
          <w:szCs w:val="22"/>
          <w:lang w:val="en-US"/>
        </w:rPr>
        <w:t xml:space="preserve"> </w:t>
      </w:r>
      <w:r w:rsidR="0051280F" w:rsidRPr="000016FB">
        <w:rPr>
          <w:sz w:val="22"/>
          <w:szCs w:val="22"/>
          <w:lang w:val="en-US"/>
        </w:rPr>
        <w:t xml:space="preserve">external </w:t>
      </w:r>
      <w:r w:rsidR="00DE49A0">
        <w:rPr>
          <w:sz w:val="22"/>
          <w:szCs w:val="22"/>
          <w:lang w:val="en-US"/>
        </w:rPr>
        <w:t>molecular initiating events (</w:t>
      </w:r>
      <w:r w:rsidR="0051280F" w:rsidRPr="000016FB">
        <w:rPr>
          <w:sz w:val="22"/>
          <w:szCs w:val="22"/>
          <w:lang w:val="en-US"/>
        </w:rPr>
        <w:t>MIE</w:t>
      </w:r>
      <w:r w:rsidR="00DE49A0">
        <w:rPr>
          <w:sz w:val="22"/>
          <w:szCs w:val="22"/>
          <w:lang w:val="en-US"/>
        </w:rPr>
        <w:t>s)</w:t>
      </w:r>
      <w:r w:rsidR="0051280F" w:rsidRPr="000016FB">
        <w:rPr>
          <w:sz w:val="22"/>
          <w:szCs w:val="22"/>
          <w:lang w:val="en-US"/>
        </w:rPr>
        <w:t xml:space="preserve"> or </w:t>
      </w:r>
      <w:r w:rsidR="00F21F57">
        <w:rPr>
          <w:sz w:val="22"/>
          <w:szCs w:val="22"/>
          <w:lang w:val="en-US"/>
        </w:rPr>
        <w:t xml:space="preserve">additional </w:t>
      </w:r>
      <w:r w:rsidR="0051280F" w:rsidRPr="000016FB">
        <w:rPr>
          <w:sz w:val="22"/>
          <w:szCs w:val="22"/>
          <w:lang w:val="en-US"/>
        </w:rPr>
        <w:t>factors</w:t>
      </w:r>
      <w:r w:rsidR="00F21F57">
        <w:rPr>
          <w:sz w:val="22"/>
          <w:szCs w:val="22"/>
          <w:lang w:val="en-US"/>
        </w:rPr>
        <w:t xml:space="preserve"> required</w:t>
      </w:r>
      <w:r w:rsidR="0051280F" w:rsidRPr="000016FB">
        <w:rPr>
          <w:sz w:val="22"/>
          <w:szCs w:val="22"/>
          <w:lang w:val="en-US"/>
        </w:rPr>
        <w:t xml:space="preserve"> for chemical insult to occur on the hepatocyte</w:t>
      </w:r>
      <w:r w:rsidR="00332477">
        <w:rPr>
          <w:sz w:val="22"/>
          <w:szCs w:val="22"/>
          <w:lang w:val="en-US"/>
        </w:rPr>
        <w:t xml:space="preserve"> (Table 1)</w:t>
      </w:r>
      <w:r w:rsidR="0051280F" w:rsidRPr="000016FB">
        <w:rPr>
          <w:sz w:val="22"/>
          <w:szCs w:val="22"/>
          <w:lang w:val="en-US"/>
        </w:rPr>
        <w:t>.  These types of hepatotoxicit</w:t>
      </w:r>
      <w:r w:rsidR="00DF0E75" w:rsidRPr="000016FB">
        <w:rPr>
          <w:sz w:val="22"/>
          <w:szCs w:val="22"/>
          <w:lang w:val="en-US"/>
        </w:rPr>
        <w:t>y</w:t>
      </w:r>
      <w:r w:rsidR="00F21F57">
        <w:rPr>
          <w:sz w:val="22"/>
          <w:szCs w:val="22"/>
          <w:lang w:val="en-US"/>
        </w:rPr>
        <w:t xml:space="preserve"> </w:t>
      </w:r>
      <w:r w:rsidR="0051280F" w:rsidRPr="000016FB">
        <w:rPr>
          <w:sz w:val="22"/>
          <w:szCs w:val="22"/>
          <w:lang w:val="en-US"/>
        </w:rPr>
        <w:t xml:space="preserve">are </w:t>
      </w:r>
      <w:r w:rsidR="00FF25E0">
        <w:rPr>
          <w:sz w:val="22"/>
          <w:szCs w:val="22"/>
          <w:lang w:val="en-US"/>
        </w:rPr>
        <w:t xml:space="preserve">commonly </w:t>
      </w:r>
      <w:r w:rsidR="00D74429" w:rsidRPr="000016FB">
        <w:rPr>
          <w:sz w:val="22"/>
          <w:szCs w:val="22"/>
          <w:lang w:val="en-US"/>
        </w:rPr>
        <w:t xml:space="preserve">referred to as intrinsic </w:t>
      </w:r>
      <w:r w:rsidR="0051280F" w:rsidRPr="000016FB">
        <w:rPr>
          <w:sz w:val="22"/>
          <w:szCs w:val="22"/>
          <w:lang w:val="en-US"/>
        </w:rPr>
        <w:t>events</w:t>
      </w:r>
      <w:r w:rsidR="00F21F57">
        <w:rPr>
          <w:sz w:val="22"/>
          <w:szCs w:val="22"/>
          <w:lang w:val="en-US"/>
        </w:rPr>
        <w:t>,</w:t>
      </w:r>
      <w:r w:rsidR="00D74429" w:rsidRPr="000016FB">
        <w:rPr>
          <w:sz w:val="22"/>
          <w:szCs w:val="22"/>
          <w:lang w:val="en-US"/>
        </w:rPr>
        <w:t xml:space="preserve"> </w:t>
      </w:r>
      <w:r w:rsidR="001F24B3">
        <w:rPr>
          <w:sz w:val="22"/>
          <w:szCs w:val="22"/>
          <w:lang w:val="en-US"/>
        </w:rPr>
        <w:t xml:space="preserve">are </w:t>
      </w:r>
      <w:r w:rsidR="00116E38">
        <w:rPr>
          <w:sz w:val="22"/>
          <w:szCs w:val="22"/>
          <w:lang w:val="en-US"/>
        </w:rPr>
        <w:t>often</w:t>
      </w:r>
      <w:r w:rsidR="00116E38" w:rsidRPr="000016FB">
        <w:rPr>
          <w:sz w:val="22"/>
          <w:szCs w:val="22"/>
          <w:lang w:val="en-US"/>
        </w:rPr>
        <w:t xml:space="preserve"> </w:t>
      </w:r>
      <w:r w:rsidR="00D74429" w:rsidRPr="000016FB">
        <w:rPr>
          <w:sz w:val="22"/>
          <w:szCs w:val="22"/>
          <w:lang w:val="en-US"/>
        </w:rPr>
        <w:t xml:space="preserve">detected in </w:t>
      </w:r>
      <w:r w:rsidR="001F24B3">
        <w:rPr>
          <w:sz w:val="22"/>
          <w:szCs w:val="22"/>
          <w:lang w:val="en-US"/>
        </w:rPr>
        <w:t xml:space="preserve">preclinical </w:t>
      </w:r>
      <w:r w:rsidR="00D74429" w:rsidRPr="000016FB">
        <w:rPr>
          <w:sz w:val="22"/>
          <w:szCs w:val="22"/>
          <w:lang w:val="en-US"/>
        </w:rPr>
        <w:t>toxicology species</w:t>
      </w:r>
      <w:r w:rsidR="001F24B3">
        <w:rPr>
          <w:sz w:val="22"/>
          <w:szCs w:val="22"/>
          <w:lang w:val="en-US"/>
        </w:rPr>
        <w:t>,</w:t>
      </w:r>
      <w:r w:rsidR="00033AED" w:rsidRPr="000016FB">
        <w:rPr>
          <w:sz w:val="22"/>
          <w:szCs w:val="22"/>
          <w:lang w:val="en-US"/>
        </w:rPr>
        <w:t xml:space="preserve"> </w:t>
      </w:r>
      <w:r w:rsidR="00D74429" w:rsidRPr="000016FB">
        <w:rPr>
          <w:sz w:val="22"/>
          <w:szCs w:val="22"/>
          <w:lang w:val="en-US"/>
        </w:rPr>
        <w:t xml:space="preserve">and </w:t>
      </w:r>
      <w:r w:rsidR="00116E38">
        <w:rPr>
          <w:sz w:val="22"/>
          <w:szCs w:val="22"/>
          <w:lang w:val="en-US"/>
        </w:rPr>
        <w:t>are</w:t>
      </w:r>
      <w:r w:rsidR="00116E38" w:rsidRPr="000016FB">
        <w:rPr>
          <w:sz w:val="22"/>
          <w:szCs w:val="22"/>
          <w:lang w:val="en-US"/>
        </w:rPr>
        <w:t xml:space="preserve"> </w:t>
      </w:r>
      <w:r w:rsidR="00D74429" w:rsidRPr="000016FB">
        <w:rPr>
          <w:sz w:val="22"/>
          <w:szCs w:val="22"/>
          <w:lang w:val="en-US"/>
        </w:rPr>
        <w:t>readily</w:t>
      </w:r>
      <w:r w:rsidR="0051280F" w:rsidRPr="000016FB">
        <w:rPr>
          <w:sz w:val="22"/>
          <w:szCs w:val="22"/>
          <w:lang w:val="en-US"/>
        </w:rPr>
        <w:t xml:space="preserve"> linked to cytotoxicity</w:t>
      </w:r>
      <w:r w:rsidR="00951F4D" w:rsidRPr="000016FB">
        <w:rPr>
          <w:sz w:val="22"/>
          <w:szCs w:val="22"/>
          <w:lang w:val="en-US"/>
        </w:rPr>
        <w:t xml:space="preserve">. By contrast, extrinsic or idiosyncratic toxicities may have a dose-related component, but </w:t>
      </w:r>
      <w:r w:rsidR="001F24B3">
        <w:rPr>
          <w:sz w:val="22"/>
          <w:szCs w:val="22"/>
          <w:lang w:val="en-US"/>
        </w:rPr>
        <w:t>are typically multifactorial with multiple contributing</w:t>
      </w:r>
      <w:r w:rsidR="00140307" w:rsidRPr="000016FB">
        <w:rPr>
          <w:sz w:val="22"/>
          <w:szCs w:val="22"/>
          <w:lang w:val="en-US"/>
        </w:rPr>
        <w:t xml:space="preserve"> intra- and extrahepatic factors</w:t>
      </w:r>
      <w:r w:rsidR="001F24B3">
        <w:rPr>
          <w:sz w:val="22"/>
          <w:szCs w:val="22"/>
          <w:lang w:val="en-US"/>
        </w:rPr>
        <w:t xml:space="preserve"> such that </w:t>
      </w:r>
      <w:r w:rsidR="00FF25E0">
        <w:rPr>
          <w:sz w:val="22"/>
          <w:szCs w:val="22"/>
          <w:lang w:val="en-US"/>
        </w:rPr>
        <w:t xml:space="preserve">certain individuals </w:t>
      </w:r>
      <w:r w:rsidR="001F24B3">
        <w:rPr>
          <w:sz w:val="22"/>
          <w:szCs w:val="22"/>
          <w:lang w:val="en-US"/>
        </w:rPr>
        <w:t>may be predispose</w:t>
      </w:r>
      <w:r w:rsidR="00302D39">
        <w:rPr>
          <w:sz w:val="22"/>
          <w:szCs w:val="22"/>
          <w:lang w:val="en-US"/>
        </w:rPr>
        <w:t>d</w:t>
      </w:r>
      <w:r w:rsidR="001F24B3">
        <w:rPr>
          <w:sz w:val="22"/>
          <w:szCs w:val="22"/>
          <w:lang w:val="en-US"/>
        </w:rPr>
        <w:t xml:space="preserve"> </w:t>
      </w:r>
      <w:r w:rsidR="00FF25E0">
        <w:rPr>
          <w:sz w:val="22"/>
          <w:szCs w:val="22"/>
          <w:lang w:val="en-US"/>
        </w:rPr>
        <w:t>to DILI</w:t>
      </w:r>
      <w:r w:rsidR="00302D39">
        <w:rPr>
          <w:sz w:val="22"/>
          <w:szCs w:val="22"/>
          <w:lang w:val="en-US"/>
        </w:rPr>
        <w:t>. As such,</w:t>
      </w:r>
      <w:r w:rsidR="00FF25E0">
        <w:rPr>
          <w:sz w:val="22"/>
          <w:szCs w:val="22"/>
          <w:lang w:val="en-US"/>
        </w:rPr>
        <w:t xml:space="preserve"> </w:t>
      </w:r>
      <w:r w:rsidR="00F63130">
        <w:rPr>
          <w:sz w:val="22"/>
          <w:szCs w:val="22"/>
          <w:lang w:val="en-US"/>
        </w:rPr>
        <w:t xml:space="preserve">these </w:t>
      </w:r>
      <w:r w:rsidR="001F24B3">
        <w:rPr>
          <w:sz w:val="22"/>
          <w:szCs w:val="22"/>
          <w:lang w:val="en-US"/>
        </w:rPr>
        <w:t xml:space="preserve">cannot be </w:t>
      </w:r>
      <w:r w:rsidR="00FF25E0">
        <w:rPr>
          <w:sz w:val="22"/>
          <w:szCs w:val="22"/>
          <w:lang w:val="en-US"/>
        </w:rPr>
        <w:t xml:space="preserve">readily detected in </w:t>
      </w:r>
      <w:r w:rsidR="00576B2E">
        <w:rPr>
          <w:sz w:val="22"/>
          <w:szCs w:val="22"/>
          <w:lang w:val="en-US"/>
        </w:rPr>
        <w:t xml:space="preserve">conventional </w:t>
      </w:r>
      <w:r w:rsidR="00FF25E0">
        <w:rPr>
          <w:sz w:val="22"/>
          <w:szCs w:val="22"/>
          <w:lang w:val="en-US"/>
        </w:rPr>
        <w:t>toxicology</w:t>
      </w:r>
      <w:r w:rsidR="00F21F57">
        <w:rPr>
          <w:sz w:val="22"/>
          <w:szCs w:val="22"/>
          <w:lang w:val="en-US"/>
        </w:rPr>
        <w:t xml:space="preserve"> animal</w:t>
      </w:r>
      <w:r w:rsidR="00FF25E0">
        <w:rPr>
          <w:sz w:val="22"/>
          <w:szCs w:val="22"/>
          <w:lang w:val="en-US"/>
        </w:rPr>
        <w:t xml:space="preserve"> </w:t>
      </w:r>
      <w:r w:rsidR="003A099E">
        <w:rPr>
          <w:sz w:val="22"/>
          <w:szCs w:val="22"/>
          <w:lang w:val="en-US"/>
        </w:rPr>
        <w:t xml:space="preserve">species </w:t>
      </w:r>
      <w:sdt>
        <w:sdtPr>
          <w:rPr>
            <w:sz w:val="22"/>
            <w:szCs w:val="22"/>
            <w:lang w:val="en-US"/>
          </w:rPr>
          <w:id w:val="637380747"/>
          <w:citation/>
        </w:sdtPr>
        <w:sdtEndPr/>
        <w:sdtContent>
          <w:r w:rsidR="00795FE6">
            <w:rPr>
              <w:sz w:val="22"/>
              <w:szCs w:val="22"/>
              <w:lang w:val="en-US"/>
            </w:rPr>
            <w:fldChar w:fldCharType="begin"/>
          </w:r>
          <w:r w:rsidR="00795FE6">
            <w:rPr>
              <w:noProof/>
              <w:sz w:val="22"/>
              <w:szCs w:val="22"/>
              <w:lang w:val="en-GB"/>
            </w:rPr>
            <w:instrText xml:space="preserve"> CITATION Rot11 \l 2057 </w:instrText>
          </w:r>
          <w:r w:rsidR="00795FE6">
            <w:rPr>
              <w:sz w:val="22"/>
              <w:szCs w:val="22"/>
              <w:lang w:val="en-US"/>
            </w:rPr>
            <w:fldChar w:fldCharType="separate"/>
          </w:r>
          <w:r w:rsidR="002D6947" w:rsidRPr="002D6947">
            <w:rPr>
              <w:noProof/>
              <w:sz w:val="22"/>
              <w:szCs w:val="22"/>
              <w:lang w:val="en-GB"/>
            </w:rPr>
            <w:t>[7]</w:t>
          </w:r>
          <w:r w:rsidR="00795FE6">
            <w:rPr>
              <w:sz w:val="22"/>
              <w:szCs w:val="22"/>
              <w:lang w:val="en-US"/>
            </w:rPr>
            <w:fldChar w:fldCharType="end"/>
          </w:r>
        </w:sdtContent>
      </w:sdt>
      <w:sdt>
        <w:sdtPr>
          <w:rPr>
            <w:sz w:val="22"/>
            <w:szCs w:val="22"/>
            <w:lang w:val="en-US"/>
          </w:rPr>
          <w:id w:val="-493107983"/>
          <w:citation/>
        </w:sdtPr>
        <w:sdtEndPr/>
        <w:sdtContent>
          <w:r w:rsidR="00795FE6">
            <w:rPr>
              <w:sz w:val="22"/>
              <w:szCs w:val="22"/>
              <w:lang w:val="en-US"/>
            </w:rPr>
            <w:fldChar w:fldCharType="begin"/>
          </w:r>
          <w:r w:rsidR="00795FE6">
            <w:rPr>
              <w:sz w:val="22"/>
              <w:szCs w:val="22"/>
              <w:lang w:val="en-GB"/>
            </w:rPr>
            <w:instrText xml:space="preserve"> CITATION Pet05 \l 2057 </w:instrText>
          </w:r>
          <w:r w:rsidR="00795FE6">
            <w:rPr>
              <w:sz w:val="22"/>
              <w:szCs w:val="22"/>
              <w:lang w:val="en-US"/>
            </w:rPr>
            <w:fldChar w:fldCharType="separate"/>
          </w:r>
          <w:r w:rsidR="002D6947">
            <w:rPr>
              <w:noProof/>
              <w:sz w:val="22"/>
              <w:szCs w:val="22"/>
              <w:lang w:val="en-GB"/>
            </w:rPr>
            <w:t xml:space="preserve"> </w:t>
          </w:r>
          <w:r w:rsidR="002D6947" w:rsidRPr="002D6947">
            <w:rPr>
              <w:noProof/>
              <w:sz w:val="22"/>
              <w:szCs w:val="22"/>
              <w:lang w:val="en-GB"/>
            </w:rPr>
            <w:t>[8]</w:t>
          </w:r>
          <w:r w:rsidR="00795FE6">
            <w:rPr>
              <w:sz w:val="22"/>
              <w:szCs w:val="22"/>
              <w:lang w:val="en-US"/>
            </w:rPr>
            <w:fldChar w:fldCharType="end"/>
          </w:r>
        </w:sdtContent>
      </w:sdt>
      <w:r w:rsidR="00D07EE3">
        <w:rPr>
          <w:noProof/>
          <w:sz w:val="22"/>
          <w:szCs w:val="22"/>
          <w:lang w:val="en-GB"/>
        </w:rPr>
        <w:t>.</w:t>
      </w:r>
      <w:r w:rsidR="00CB3832">
        <w:rPr>
          <w:sz w:val="22"/>
          <w:szCs w:val="22"/>
          <w:lang w:val="en-US"/>
        </w:rPr>
        <w:t xml:space="preserve"> </w:t>
      </w:r>
      <w:r w:rsidR="00140307" w:rsidRPr="000016FB">
        <w:rPr>
          <w:sz w:val="22"/>
          <w:szCs w:val="22"/>
          <w:lang w:val="en-US"/>
        </w:rPr>
        <w:t xml:space="preserve"> </w:t>
      </w:r>
    </w:p>
    <w:p w14:paraId="58181215" w14:textId="77777777" w:rsidR="00140307" w:rsidRPr="000016FB" w:rsidRDefault="00140307" w:rsidP="006730B6">
      <w:pPr>
        <w:spacing w:line="480" w:lineRule="auto"/>
        <w:jc w:val="both"/>
        <w:rPr>
          <w:sz w:val="22"/>
          <w:szCs w:val="22"/>
          <w:lang w:val="en-US"/>
        </w:rPr>
      </w:pPr>
    </w:p>
    <w:p w14:paraId="2E7A863F" w14:textId="77777777" w:rsidR="006C72C2" w:rsidRPr="00E96E88" w:rsidRDefault="00E24A74" w:rsidP="006730B6">
      <w:pPr>
        <w:spacing w:line="480" w:lineRule="auto"/>
        <w:jc w:val="both"/>
        <w:rPr>
          <w:sz w:val="22"/>
          <w:szCs w:val="22"/>
          <w:lang w:val="en-US"/>
        </w:rPr>
      </w:pPr>
      <w:r w:rsidRPr="000016FB">
        <w:rPr>
          <w:sz w:val="22"/>
          <w:szCs w:val="22"/>
          <w:lang w:val="en-US"/>
        </w:rPr>
        <w:t>The test systems described</w:t>
      </w:r>
      <w:r w:rsidR="00033AED" w:rsidRPr="000016FB">
        <w:rPr>
          <w:sz w:val="22"/>
          <w:szCs w:val="22"/>
          <w:lang w:val="en-US"/>
        </w:rPr>
        <w:t xml:space="preserve"> herein point to</w:t>
      </w:r>
      <w:r w:rsidRPr="000016FB">
        <w:rPr>
          <w:sz w:val="22"/>
          <w:szCs w:val="22"/>
          <w:lang w:val="en-US"/>
        </w:rPr>
        <w:t xml:space="preserve"> the value and limitations </w:t>
      </w:r>
      <w:r w:rsidR="00602B4F" w:rsidRPr="000016FB">
        <w:rPr>
          <w:sz w:val="22"/>
          <w:szCs w:val="22"/>
          <w:lang w:val="en-US"/>
        </w:rPr>
        <w:t>industry face</w:t>
      </w:r>
      <w:r w:rsidR="002350D9">
        <w:rPr>
          <w:sz w:val="22"/>
          <w:szCs w:val="22"/>
          <w:lang w:val="en-US"/>
        </w:rPr>
        <w:t>s</w:t>
      </w:r>
      <w:r w:rsidR="00602B4F" w:rsidRPr="000016FB">
        <w:rPr>
          <w:sz w:val="22"/>
          <w:szCs w:val="22"/>
          <w:lang w:val="en-US"/>
        </w:rPr>
        <w:t xml:space="preserve"> when </w:t>
      </w:r>
      <w:r w:rsidR="002350D9">
        <w:rPr>
          <w:sz w:val="22"/>
          <w:szCs w:val="22"/>
          <w:lang w:val="en-US"/>
        </w:rPr>
        <w:t xml:space="preserve">evaluating compounds for </w:t>
      </w:r>
      <w:r w:rsidRPr="000016FB">
        <w:rPr>
          <w:sz w:val="22"/>
          <w:szCs w:val="22"/>
          <w:lang w:val="en-US"/>
        </w:rPr>
        <w:t xml:space="preserve">cytotoxicity, mitochondrial toxicity, cholestasis and immune-mediated </w:t>
      </w:r>
      <w:r w:rsidR="002350D9">
        <w:rPr>
          <w:sz w:val="22"/>
          <w:szCs w:val="22"/>
          <w:lang w:val="en-US"/>
        </w:rPr>
        <w:t>potential for</w:t>
      </w:r>
      <w:r w:rsidRPr="000016FB">
        <w:rPr>
          <w:sz w:val="22"/>
          <w:szCs w:val="22"/>
          <w:lang w:val="en-US"/>
        </w:rPr>
        <w:t xml:space="preserve"> </w:t>
      </w:r>
      <w:r w:rsidR="00602B4F" w:rsidRPr="000016FB">
        <w:rPr>
          <w:sz w:val="22"/>
          <w:szCs w:val="22"/>
          <w:lang w:val="en-US"/>
        </w:rPr>
        <w:t xml:space="preserve">human </w:t>
      </w:r>
      <w:r w:rsidRPr="000016FB">
        <w:rPr>
          <w:sz w:val="22"/>
          <w:szCs w:val="22"/>
          <w:lang w:val="en-US"/>
        </w:rPr>
        <w:t xml:space="preserve">DILI. </w:t>
      </w:r>
      <w:r w:rsidR="00F907AF">
        <w:rPr>
          <w:sz w:val="22"/>
          <w:szCs w:val="22"/>
          <w:lang w:val="en-US"/>
        </w:rPr>
        <w:t xml:space="preserve">A </w:t>
      </w:r>
      <w:r w:rsidR="00691864">
        <w:rPr>
          <w:sz w:val="22"/>
          <w:szCs w:val="22"/>
          <w:lang w:val="en-US"/>
        </w:rPr>
        <w:t xml:space="preserve">clear understanding of the mechanisms that give rise to chemical insult on the liver </w:t>
      </w:r>
      <w:r w:rsidR="00F907AF">
        <w:rPr>
          <w:sz w:val="22"/>
          <w:szCs w:val="22"/>
          <w:lang w:val="en-US"/>
        </w:rPr>
        <w:t xml:space="preserve">is often not available, resulting </w:t>
      </w:r>
      <w:r w:rsidR="00671645">
        <w:rPr>
          <w:sz w:val="22"/>
          <w:szCs w:val="22"/>
          <w:lang w:val="en-US"/>
        </w:rPr>
        <w:t xml:space="preserve">in </w:t>
      </w:r>
      <w:r w:rsidR="003B6F88">
        <w:rPr>
          <w:sz w:val="22"/>
          <w:szCs w:val="22"/>
          <w:lang w:val="en-US"/>
        </w:rPr>
        <w:t>the in</w:t>
      </w:r>
      <w:r w:rsidR="00F907AF">
        <w:rPr>
          <w:sz w:val="22"/>
          <w:szCs w:val="22"/>
          <w:lang w:val="en-US"/>
        </w:rPr>
        <w:t>ability to</w:t>
      </w:r>
      <w:r w:rsidR="00691864">
        <w:rPr>
          <w:sz w:val="22"/>
          <w:szCs w:val="22"/>
          <w:lang w:val="en-US"/>
        </w:rPr>
        <w:t xml:space="preserve"> </w:t>
      </w:r>
      <w:r w:rsidR="00F907AF">
        <w:rPr>
          <w:sz w:val="22"/>
          <w:szCs w:val="22"/>
          <w:lang w:val="en-US"/>
        </w:rPr>
        <w:t>identify</w:t>
      </w:r>
      <w:r w:rsidR="00D16D3E">
        <w:rPr>
          <w:sz w:val="22"/>
          <w:szCs w:val="22"/>
          <w:lang w:val="en-US"/>
        </w:rPr>
        <w:t xml:space="preserve"> the most</w:t>
      </w:r>
      <w:r w:rsidR="00691864">
        <w:rPr>
          <w:sz w:val="22"/>
          <w:szCs w:val="22"/>
          <w:lang w:val="en-US"/>
        </w:rPr>
        <w:t xml:space="preserve"> appropriate test systems for the </w:t>
      </w:r>
      <w:r w:rsidR="00691864">
        <w:rPr>
          <w:sz w:val="22"/>
          <w:szCs w:val="22"/>
          <w:lang w:val="en-US"/>
        </w:rPr>
        <w:lastRenderedPageBreak/>
        <w:t>detection of DILI.</w:t>
      </w:r>
      <w:r w:rsidR="00724382">
        <w:rPr>
          <w:sz w:val="22"/>
          <w:szCs w:val="22"/>
          <w:lang w:val="en-US"/>
        </w:rPr>
        <w:t xml:space="preserve"> </w:t>
      </w:r>
      <w:r w:rsidRPr="000016FB">
        <w:rPr>
          <w:sz w:val="22"/>
          <w:szCs w:val="22"/>
          <w:lang w:val="en-US"/>
        </w:rPr>
        <w:t>The strengths</w:t>
      </w:r>
      <w:r w:rsidR="002350D9">
        <w:rPr>
          <w:sz w:val="22"/>
          <w:szCs w:val="22"/>
          <w:lang w:val="en-US"/>
        </w:rPr>
        <w:t xml:space="preserve"> and </w:t>
      </w:r>
      <w:r w:rsidRPr="000016FB">
        <w:rPr>
          <w:sz w:val="22"/>
          <w:szCs w:val="22"/>
          <w:lang w:val="en-US"/>
        </w:rPr>
        <w:t xml:space="preserve">short-comings of </w:t>
      </w:r>
      <w:r w:rsidR="002350D9">
        <w:rPr>
          <w:sz w:val="22"/>
          <w:szCs w:val="22"/>
          <w:lang w:val="en-US"/>
        </w:rPr>
        <w:t xml:space="preserve">current test systems, as well as their use for </w:t>
      </w:r>
      <w:r w:rsidRPr="000016FB">
        <w:rPr>
          <w:sz w:val="22"/>
          <w:szCs w:val="22"/>
          <w:lang w:val="en-US"/>
        </w:rPr>
        <w:t xml:space="preserve">mechanistic understanding </w:t>
      </w:r>
      <w:r w:rsidR="00FF25E0">
        <w:rPr>
          <w:sz w:val="22"/>
          <w:szCs w:val="22"/>
          <w:lang w:val="en-US"/>
        </w:rPr>
        <w:t xml:space="preserve">of </w:t>
      </w:r>
      <w:r w:rsidRPr="000016FB">
        <w:rPr>
          <w:sz w:val="22"/>
          <w:szCs w:val="22"/>
          <w:lang w:val="en-US"/>
        </w:rPr>
        <w:t xml:space="preserve">certain forms of hepatocellular injuries and </w:t>
      </w:r>
      <w:r w:rsidR="002350D9">
        <w:rPr>
          <w:sz w:val="22"/>
          <w:szCs w:val="22"/>
          <w:lang w:val="en-US"/>
        </w:rPr>
        <w:t xml:space="preserve">for </w:t>
      </w:r>
      <w:r w:rsidRPr="000016FB">
        <w:rPr>
          <w:sz w:val="22"/>
          <w:szCs w:val="22"/>
          <w:lang w:val="en-US"/>
        </w:rPr>
        <w:t xml:space="preserve">risk assessment </w:t>
      </w:r>
      <w:r w:rsidR="00602B4F" w:rsidRPr="000016FB">
        <w:rPr>
          <w:sz w:val="22"/>
          <w:szCs w:val="22"/>
          <w:lang w:val="en-US"/>
        </w:rPr>
        <w:t>of</w:t>
      </w:r>
      <w:r w:rsidRPr="000016FB">
        <w:rPr>
          <w:sz w:val="22"/>
          <w:szCs w:val="22"/>
          <w:lang w:val="en-US"/>
        </w:rPr>
        <w:t xml:space="preserve"> human DILI are </w:t>
      </w:r>
      <w:r w:rsidR="00512DC8">
        <w:rPr>
          <w:sz w:val="22"/>
          <w:szCs w:val="22"/>
          <w:lang w:val="en-US"/>
        </w:rPr>
        <w:t>reviewed</w:t>
      </w:r>
      <w:r w:rsidRPr="000016FB">
        <w:rPr>
          <w:sz w:val="22"/>
          <w:szCs w:val="22"/>
          <w:lang w:val="en-US"/>
        </w:rPr>
        <w:t>.</w:t>
      </w:r>
      <w:r w:rsidR="00E96E88">
        <w:rPr>
          <w:sz w:val="22"/>
          <w:szCs w:val="22"/>
          <w:lang w:val="en-US"/>
        </w:rPr>
        <w:t xml:space="preserve">  </w:t>
      </w:r>
    </w:p>
    <w:p w14:paraId="2D7CF7D4" w14:textId="77777777" w:rsidR="006C72C2" w:rsidRPr="000016FB" w:rsidRDefault="006C72C2" w:rsidP="006730B6">
      <w:pPr>
        <w:spacing w:line="480" w:lineRule="auto"/>
        <w:jc w:val="both"/>
        <w:rPr>
          <w:sz w:val="22"/>
          <w:szCs w:val="22"/>
          <w:lang w:val="en-US"/>
        </w:rPr>
      </w:pPr>
    </w:p>
    <w:p w14:paraId="2E3C4ACC" w14:textId="77777777" w:rsidR="00F10A3A" w:rsidRPr="000016FB" w:rsidRDefault="00A81B40" w:rsidP="00A81B40">
      <w:pPr>
        <w:spacing w:line="480" w:lineRule="auto"/>
        <w:jc w:val="both"/>
        <w:rPr>
          <w:b/>
          <w:sz w:val="22"/>
          <w:szCs w:val="22"/>
          <w:lang w:val="en-US"/>
        </w:rPr>
      </w:pPr>
      <w:r>
        <w:rPr>
          <w:b/>
          <w:sz w:val="22"/>
          <w:szCs w:val="22"/>
          <w:lang w:val="en-US"/>
        </w:rPr>
        <w:t xml:space="preserve">2.1 </w:t>
      </w:r>
      <w:r w:rsidR="00D61DC3" w:rsidRPr="000016FB">
        <w:rPr>
          <w:b/>
          <w:sz w:val="22"/>
          <w:szCs w:val="22"/>
          <w:lang w:val="en-US"/>
        </w:rPr>
        <w:t>Cytotoxicity test</w:t>
      </w:r>
      <w:r w:rsidR="002E206E">
        <w:rPr>
          <w:b/>
          <w:sz w:val="22"/>
          <w:szCs w:val="22"/>
          <w:lang w:val="en-US"/>
        </w:rPr>
        <w:t xml:space="preserve"> systems</w:t>
      </w:r>
    </w:p>
    <w:p w14:paraId="5A0E3239" w14:textId="77777777" w:rsidR="00C50B28" w:rsidRPr="000016FB" w:rsidRDefault="00A81B40" w:rsidP="00C50B28">
      <w:pPr>
        <w:spacing w:line="480" w:lineRule="auto"/>
        <w:jc w:val="both"/>
        <w:rPr>
          <w:i/>
          <w:noProof/>
          <w:sz w:val="22"/>
          <w:szCs w:val="22"/>
          <w:lang w:val="en-US"/>
        </w:rPr>
      </w:pPr>
      <w:r>
        <w:rPr>
          <w:i/>
          <w:noProof/>
          <w:sz w:val="22"/>
          <w:szCs w:val="22"/>
          <w:lang w:val="en-US"/>
        </w:rPr>
        <w:t>2.1.1</w:t>
      </w:r>
      <w:r w:rsidRPr="000016FB">
        <w:rPr>
          <w:i/>
          <w:noProof/>
          <w:sz w:val="22"/>
          <w:szCs w:val="22"/>
          <w:lang w:val="en-US"/>
        </w:rPr>
        <w:t xml:space="preserve"> </w:t>
      </w:r>
      <w:r w:rsidR="00C50B28" w:rsidRPr="000016FB">
        <w:rPr>
          <w:i/>
          <w:noProof/>
          <w:sz w:val="22"/>
          <w:szCs w:val="22"/>
          <w:lang w:val="en-US"/>
        </w:rPr>
        <w:t xml:space="preserve">Current understanding &amp; importance </w:t>
      </w:r>
    </w:p>
    <w:p w14:paraId="306CD9AF" w14:textId="77C480BA" w:rsidR="00845762" w:rsidRDefault="009907A4" w:rsidP="00845762">
      <w:pPr>
        <w:spacing w:line="480" w:lineRule="auto"/>
        <w:jc w:val="both"/>
        <w:rPr>
          <w:sz w:val="22"/>
          <w:szCs w:val="22"/>
          <w:lang w:val="en-US"/>
        </w:rPr>
      </w:pPr>
      <w:r w:rsidRPr="000016FB">
        <w:rPr>
          <w:sz w:val="22"/>
          <w:szCs w:val="22"/>
          <w:lang w:val="en-US"/>
        </w:rPr>
        <w:t xml:space="preserve">Drug-induced changes of cell health in simple </w:t>
      </w:r>
      <w:r w:rsidRPr="00724382">
        <w:rPr>
          <w:i/>
          <w:sz w:val="22"/>
          <w:szCs w:val="22"/>
          <w:lang w:val="en-US"/>
        </w:rPr>
        <w:t>in vitro</w:t>
      </w:r>
      <w:r w:rsidRPr="000016FB">
        <w:rPr>
          <w:sz w:val="22"/>
          <w:szCs w:val="22"/>
          <w:lang w:val="en-US"/>
        </w:rPr>
        <w:t xml:space="preserve"> systems, such as the HepG2 </w:t>
      </w:r>
      <w:r w:rsidR="00916CE2">
        <w:rPr>
          <w:sz w:val="22"/>
          <w:szCs w:val="22"/>
          <w:lang w:val="en-US"/>
        </w:rPr>
        <w:t>c</w:t>
      </w:r>
      <w:r w:rsidRPr="000016FB">
        <w:rPr>
          <w:sz w:val="22"/>
          <w:szCs w:val="22"/>
          <w:lang w:val="en-US"/>
        </w:rPr>
        <w:t>ell</w:t>
      </w:r>
      <w:r w:rsidR="002350D9">
        <w:rPr>
          <w:sz w:val="22"/>
          <w:szCs w:val="22"/>
          <w:lang w:val="en-US"/>
        </w:rPr>
        <w:t xml:space="preserve"> </w:t>
      </w:r>
      <w:r w:rsidRPr="000016FB">
        <w:rPr>
          <w:sz w:val="22"/>
          <w:szCs w:val="22"/>
          <w:lang w:val="en-US"/>
        </w:rPr>
        <w:t xml:space="preserve">line, are commonly adopted as </w:t>
      </w:r>
      <w:r w:rsidR="002350D9">
        <w:rPr>
          <w:sz w:val="22"/>
          <w:szCs w:val="22"/>
          <w:lang w:val="en-US"/>
        </w:rPr>
        <w:t>a</w:t>
      </w:r>
      <w:r w:rsidR="002350D9" w:rsidRPr="000016FB">
        <w:rPr>
          <w:sz w:val="22"/>
          <w:szCs w:val="22"/>
          <w:lang w:val="en-US"/>
        </w:rPr>
        <w:t xml:space="preserve"> </w:t>
      </w:r>
      <w:r w:rsidRPr="000016FB">
        <w:rPr>
          <w:sz w:val="22"/>
          <w:szCs w:val="22"/>
          <w:lang w:val="en-US"/>
        </w:rPr>
        <w:t>first</w:t>
      </w:r>
      <w:r w:rsidR="00116E38">
        <w:rPr>
          <w:sz w:val="22"/>
          <w:szCs w:val="22"/>
          <w:lang w:val="en-US"/>
        </w:rPr>
        <w:t>-line</w:t>
      </w:r>
      <w:r w:rsidRPr="000016FB">
        <w:rPr>
          <w:sz w:val="22"/>
          <w:szCs w:val="22"/>
          <w:lang w:val="en-US"/>
        </w:rPr>
        <w:t xml:space="preserve"> screening approach in pharmaceutical companies. Although cell death is a crude endpoint, its applicability should not be underestimated</w:t>
      </w:r>
      <w:r w:rsidR="006D3AAB">
        <w:rPr>
          <w:sz w:val="22"/>
          <w:szCs w:val="22"/>
          <w:lang w:val="en-US"/>
        </w:rPr>
        <w:t xml:space="preserve"> as</w:t>
      </w:r>
      <w:r w:rsidR="00116E38">
        <w:rPr>
          <w:sz w:val="22"/>
          <w:szCs w:val="22"/>
          <w:lang w:val="en-US"/>
        </w:rPr>
        <w:t xml:space="preserve"> an indicator of</w:t>
      </w:r>
      <w:r w:rsidR="002350D9">
        <w:rPr>
          <w:sz w:val="22"/>
          <w:szCs w:val="22"/>
          <w:lang w:val="en-US"/>
        </w:rPr>
        <w:t xml:space="preserve"> intrinsic toxic properties</w:t>
      </w:r>
      <w:r w:rsidR="00116E38">
        <w:rPr>
          <w:sz w:val="22"/>
          <w:szCs w:val="22"/>
          <w:lang w:val="en-US"/>
        </w:rPr>
        <w:t xml:space="preserve"> within a chemical series or </w:t>
      </w:r>
      <w:r w:rsidR="00671645">
        <w:rPr>
          <w:sz w:val="22"/>
          <w:szCs w:val="22"/>
          <w:lang w:val="en-US"/>
        </w:rPr>
        <w:t xml:space="preserve">as a tool for </w:t>
      </w:r>
      <w:r w:rsidR="00417DBF">
        <w:rPr>
          <w:sz w:val="22"/>
          <w:szCs w:val="22"/>
          <w:lang w:val="en-US"/>
        </w:rPr>
        <w:t>structure</w:t>
      </w:r>
      <w:r w:rsidR="00671645">
        <w:rPr>
          <w:sz w:val="22"/>
          <w:szCs w:val="22"/>
          <w:lang w:val="en-US"/>
        </w:rPr>
        <w:t>-</w:t>
      </w:r>
      <w:r w:rsidR="00116E38">
        <w:rPr>
          <w:sz w:val="22"/>
          <w:szCs w:val="22"/>
          <w:lang w:val="en-US"/>
        </w:rPr>
        <w:t>activity relationship</w:t>
      </w:r>
      <w:r w:rsidR="00671645">
        <w:rPr>
          <w:sz w:val="22"/>
          <w:szCs w:val="22"/>
          <w:lang w:val="en-US"/>
        </w:rPr>
        <w:t xml:space="preserve"> studies</w:t>
      </w:r>
      <w:r w:rsidRPr="000016FB">
        <w:rPr>
          <w:sz w:val="22"/>
          <w:szCs w:val="22"/>
          <w:lang w:val="en-US"/>
        </w:rPr>
        <w:t xml:space="preserve">, </w:t>
      </w:r>
      <w:r w:rsidR="002350D9">
        <w:rPr>
          <w:sz w:val="22"/>
          <w:szCs w:val="22"/>
          <w:lang w:val="en-US"/>
        </w:rPr>
        <w:t>especially</w:t>
      </w:r>
      <w:r w:rsidR="002350D9" w:rsidRPr="000016FB">
        <w:rPr>
          <w:sz w:val="22"/>
          <w:szCs w:val="22"/>
          <w:lang w:val="en-US"/>
        </w:rPr>
        <w:t xml:space="preserve"> </w:t>
      </w:r>
      <w:r w:rsidRPr="000016FB">
        <w:rPr>
          <w:sz w:val="22"/>
          <w:szCs w:val="22"/>
          <w:lang w:val="en-US"/>
        </w:rPr>
        <w:t>when general cell health is affected at low compound concentrations. The assessment of cell lethality or the impact o</w:t>
      </w:r>
      <w:r w:rsidR="00916CE2">
        <w:rPr>
          <w:sz w:val="22"/>
          <w:szCs w:val="22"/>
          <w:lang w:val="en-US"/>
        </w:rPr>
        <w:t>n</w:t>
      </w:r>
      <w:r w:rsidRPr="000016FB">
        <w:rPr>
          <w:sz w:val="22"/>
          <w:szCs w:val="22"/>
          <w:lang w:val="en-US"/>
        </w:rPr>
        <w:t xml:space="preserve"> cell</w:t>
      </w:r>
      <w:r w:rsidR="002350D9">
        <w:rPr>
          <w:sz w:val="22"/>
          <w:szCs w:val="22"/>
          <w:lang w:val="en-US"/>
        </w:rPr>
        <w:t xml:space="preserve"> </w:t>
      </w:r>
      <w:r w:rsidRPr="000016FB">
        <w:rPr>
          <w:sz w:val="22"/>
          <w:szCs w:val="22"/>
          <w:lang w:val="en-US"/>
        </w:rPr>
        <w:t xml:space="preserve">health </w:t>
      </w:r>
      <w:r w:rsidR="002350D9">
        <w:rPr>
          <w:sz w:val="22"/>
          <w:szCs w:val="22"/>
          <w:lang w:val="en-US"/>
        </w:rPr>
        <w:t xml:space="preserve">can be measured using </w:t>
      </w:r>
      <w:r w:rsidRPr="000016FB">
        <w:rPr>
          <w:sz w:val="22"/>
          <w:szCs w:val="22"/>
          <w:lang w:val="en-US"/>
        </w:rPr>
        <w:t>one or more endpoint</w:t>
      </w:r>
      <w:r w:rsidR="00B850CF">
        <w:rPr>
          <w:sz w:val="22"/>
          <w:szCs w:val="22"/>
          <w:lang w:val="en-US"/>
        </w:rPr>
        <w:t>s</w:t>
      </w:r>
      <w:r w:rsidRPr="000016FB">
        <w:rPr>
          <w:sz w:val="22"/>
          <w:szCs w:val="22"/>
          <w:lang w:val="en-US"/>
        </w:rPr>
        <w:t xml:space="preserve"> </w:t>
      </w:r>
      <w:r w:rsidR="002350D9">
        <w:rPr>
          <w:sz w:val="22"/>
          <w:szCs w:val="22"/>
          <w:lang w:val="en-US"/>
        </w:rPr>
        <w:t>known to correlate with</w:t>
      </w:r>
      <w:r w:rsidRPr="000016FB">
        <w:rPr>
          <w:sz w:val="22"/>
          <w:szCs w:val="22"/>
          <w:lang w:val="en-US"/>
        </w:rPr>
        <w:t xml:space="preserve"> general cell health</w:t>
      </w:r>
      <w:r w:rsidR="00417DBF">
        <w:rPr>
          <w:sz w:val="22"/>
          <w:szCs w:val="22"/>
          <w:lang w:val="en-US"/>
        </w:rPr>
        <w:t xml:space="preserve"> (Table 2)</w:t>
      </w:r>
      <w:r w:rsidRPr="000016FB">
        <w:rPr>
          <w:sz w:val="22"/>
          <w:szCs w:val="22"/>
          <w:lang w:val="en-US"/>
        </w:rPr>
        <w:t>. Therefore, it is not surprising that cytotoxicity shows high concordance with systemic tolerance and general organ toxicity in preclinical species</w:t>
      </w:r>
      <w:r w:rsidRPr="000016FB">
        <w:rPr>
          <w:noProof/>
          <w:sz w:val="22"/>
          <w:szCs w:val="22"/>
          <w:lang w:val="en-US"/>
        </w:rPr>
        <w:t xml:space="preserve"> </w:t>
      </w:r>
      <w:sdt>
        <w:sdtPr>
          <w:rPr>
            <w:noProof/>
            <w:sz w:val="22"/>
            <w:szCs w:val="22"/>
            <w:lang w:val="en-US"/>
          </w:rPr>
          <w:id w:val="902961164"/>
          <w:citation/>
        </w:sdtPr>
        <w:sdtEndPr/>
        <w:sdtContent>
          <w:r w:rsidR="00795FE6">
            <w:rPr>
              <w:noProof/>
              <w:sz w:val="22"/>
              <w:szCs w:val="22"/>
              <w:lang w:val="en-US"/>
            </w:rPr>
            <w:fldChar w:fldCharType="begin"/>
          </w:r>
          <w:r w:rsidR="00795FE6">
            <w:rPr>
              <w:noProof/>
              <w:sz w:val="22"/>
              <w:szCs w:val="22"/>
              <w:lang w:val="en-GB"/>
            </w:rPr>
            <w:instrText xml:space="preserve"> CITATION Ben10 \l 2057 </w:instrText>
          </w:r>
          <w:r w:rsidR="00795FE6">
            <w:rPr>
              <w:noProof/>
              <w:sz w:val="22"/>
              <w:szCs w:val="22"/>
              <w:lang w:val="en-US"/>
            </w:rPr>
            <w:fldChar w:fldCharType="separate"/>
          </w:r>
          <w:r w:rsidR="002D6947" w:rsidRPr="002D6947">
            <w:rPr>
              <w:noProof/>
              <w:sz w:val="22"/>
              <w:szCs w:val="22"/>
              <w:lang w:val="en-GB"/>
            </w:rPr>
            <w:t>[9]</w:t>
          </w:r>
          <w:r w:rsidR="00795FE6">
            <w:rPr>
              <w:noProof/>
              <w:sz w:val="22"/>
              <w:szCs w:val="22"/>
              <w:lang w:val="en-US"/>
            </w:rPr>
            <w:fldChar w:fldCharType="end"/>
          </w:r>
        </w:sdtContent>
      </w:sdt>
      <w:r w:rsidRPr="000016FB">
        <w:rPr>
          <w:sz w:val="22"/>
          <w:szCs w:val="22"/>
          <w:lang w:val="en-US"/>
        </w:rPr>
        <w:t xml:space="preserve">. </w:t>
      </w:r>
      <w:r w:rsidR="00193273">
        <w:rPr>
          <w:sz w:val="22"/>
          <w:szCs w:val="22"/>
          <w:lang w:val="en-US"/>
        </w:rPr>
        <w:t>Although</w:t>
      </w:r>
      <w:r w:rsidR="00193273" w:rsidRPr="000016FB">
        <w:rPr>
          <w:sz w:val="22"/>
          <w:szCs w:val="22"/>
          <w:lang w:val="en-US"/>
        </w:rPr>
        <w:t xml:space="preserve"> </w:t>
      </w:r>
      <w:r w:rsidRPr="000016FB">
        <w:rPr>
          <w:sz w:val="22"/>
          <w:szCs w:val="22"/>
          <w:lang w:val="en-US"/>
        </w:rPr>
        <w:t xml:space="preserve">cytotoxicity assays </w:t>
      </w:r>
      <w:r w:rsidR="00116E38">
        <w:rPr>
          <w:sz w:val="22"/>
          <w:szCs w:val="22"/>
          <w:lang w:val="en-US"/>
        </w:rPr>
        <w:t>may not</w:t>
      </w:r>
      <w:r w:rsidRPr="000016FB">
        <w:rPr>
          <w:sz w:val="22"/>
          <w:szCs w:val="22"/>
          <w:lang w:val="en-US"/>
        </w:rPr>
        <w:t xml:space="preserve"> provide </w:t>
      </w:r>
      <w:r w:rsidR="00193273">
        <w:rPr>
          <w:sz w:val="22"/>
          <w:szCs w:val="22"/>
          <w:lang w:val="en-US"/>
        </w:rPr>
        <w:t xml:space="preserve">a </w:t>
      </w:r>
      <w:r w:rsidRPr="000016FB">
        <w:rPr>
          <w:sz w:val="22"/>
          <w:szCs w:val="22"/>
          <w:lang w:val="en-US"/>
        </w:rPr>
        <w:t>mechanistic understanding of toxicity, the fundamental advantages of these assays are the simplicity</w:t>
      </w:r>
      <w:r w:rsidR="00E54C3C">
        <w:rPr>
          <w:sz w:val="22"/>
          <w:szCs w:val="22"/>
          <w:lang w:val="en-US"/>
        </w:rPr>
        <w:t xml:space="preserve"> of interpretation</w:t>
      </w:r>
      <w:r w:rsidRPr="000016FB">
        <w:rPr>
          <w:sz w:val="22"/>
          <w:szCs w:val="22"/>
          <w:lang w:val="en-US"/>
        </w:rPr>
        <w:t xml:space="preserve">, low costs, and rapid turnaround times. This makes them amenable to </w:t>
      </w:r>
      <w:r w:rsidR="00193273">
        <w:rPr>
          <w:sz w:val="22"/>
          <w:szCs w:val="22"/>
          <w:lang w:val="en-US"/>
        </w:rPr>
        <w:t xml:space="preserve">a throughput and cycle time appropriate </w:t>
      </w:r>
      <w:r w:rsidRPr="000016FB">
        <w:rPr>
          <w:sz w:val="22"/>
          <w:szCs w:val="22"/>
          <w:lang w:val="en-US"/>
        </w:rPr>
        <w:t xml:space="preserve">for actively influencing the fast paced </w:t>
      </w:r>
      <w:r w:rsidR="00916CE2">
        <w:rPr>
          <w:sz w:val="22"/>
          <w:szCs w:val="22"/>
          <w:lang w:val="en-US"/>
        </w:rPr>
        <w:t>“</w:t>
      </w:r>
      <w:r w:rsidRPr="000016FB">
        <w:rPr>
          <w:sz w:val="22"/>
          <w:szCs w:val="22"/>
          <w:lang w:val="en-US"/>
        </w:rPr>
        <w:t>design</w:t>
      </w:r>
      <w:r w:rsidR="00916CE2">
        <w:rPr>
          <w:sz w:val="22"/>
          <w:szCs w:val="22"/>
          <w:lang w:val="en-US"/>
        </w:rPr>
        <w:t>-</w:t>
      </w:r>
      <w:r w:rsidRPr="000016FB">
        <w:rPr>
          <w:sz w:val="22"/>
          <w:szCs w:val="22"/>
          <w:lang w:val="en-US"/>
        </w:rPr>
        <w:t>make-test</w:t>
      </w:r>
      <w:r w:rsidR="00916CE2">
        <w:rPr>
          <w:sz w:val="22"/>
          <w:szCs w:val="22"/>
          <w:lang w:val="en-US"/>
        </w:rPr>
        <w:t>”</w:t>
      </w:r>
      <w:r w:rsidRPr="000016FB">
        <w:rPr>
          <w:sz w:val="22"/>
          <w:szCs w:val="22"/>
          <w:lang w:val="en-US"/>
        </w:rPr>
        <w:t xml:space="preserve"> cycle of medicinal chemistry. </w:t>
      </w:r>
      <w:r w:rsidR="00845762">
        <w:rPr>
          <w:sz w:val="22"/>
          <w:szCs w:val="22"/>
          <w:lang w:val="en-US"/>
        </w:rPr>
        <w:t xml:space="preserve">While test concentrations often used in validation efforts are tailored to multiples of the maximum human </w:t>
      </w:r>
      <w:r w:rsidR="002F4270">
        <w:rPr>
          <w:sz w:val="22"/>
          <w:szCs w:val="22"/>
          <w:lang w:val="en-US"/>
        </w:rPr>
        <w:t xml:space="preserve">plasma </w:t>
      </w:r>
      <w:r w:rsidR="005C2383">
        <w:rPr>
          <w:sz w:val="22"/>
          <w:szCs w:val="22"/>
          <w:lang w:val="en-US"/>
        </w:rPr>
        <w:t>concentration at</w:t>
      </w:r>
      <w:r w:rsidR="002F4270">
        <w:rPr>
          <w:sz w:val="22"/>
          <w:szCs w:val="22"/>
          <w:lang w:val="en-US"/>
        </w:rPr>
        <w:t xml:space="preserve"> the clinical dose</w:t>
      </w:r>
      <w:r w:rsidR="00845762">
        <w:rPr>
          <w:sz w:val="22"/>
          <w:szCs w:val="22"/>
          <w:lang w:val="en-US"/>
        </w:rPr>
        <w:t xml:space="preserve"> (</w:t>
      </w:r>
      <w:proofErr w:type="spellStart"/>
      <w:r w:rsidR="00845762">
        <w:rPr>
          <w:sz w:val="22"/>
          <w:szCs w:val="22"/>
          <w:lang w:val="en-US"/>
        </w:rPr>
        <w:t>Cmax</w:t>
      </w:r>
      <w:proofErr w:type="spellEnd"/>
      <w:r w:rsidR="00845762">
        <w:rPr>
          <w:sz w:val="22"/>
          <w:szCs w:val="22"/>
          <w:lang w:val="en-US"/>
        </w:rPr>
        <w:t>), the pharmaceutical industry typically uses fixed concentration ranges</w:t>
      </w:r>
      <w:r w:rsidR="00766256">
        <w:rPr>
          <w:sz w:val="22"/>
          <w:szCs w:val="22"/>
          <w:lang w:val="en-US"/>
        </w:rPr>
        <w:t xml:space="preserve"> in preliminary screens</w:t>
      </w:r>
      <w:r w:rsidR="00845762">
        <w:rPr>
          <w:sz w:val="22"/>
          <w:szCs w:val="22"/>
          <w:lang w:val="en-US"/>
        </w:rPr>
        <w:t>, often aiming at top concentrations</w:t>
      </w:r>
      <w:r w:rsidR="00E70B7C">
        <w:rPr>
          <w:sz w:val="22"/>
          <w:szCs w:val="22"/>
          <w:lang w:val="en-US"/>
        </w:rPr>
        <w:t xml:space="preserve"> (solubility permitting)</w:t>
      </w:r>
      <w:r w:rsidR="00845762">
        <w:rPr>
          <w:sz w:val="22"/>
          <w:szCs w:val="22"/>
          <w:lang w:val="en-US"/>
        </w:rPr>
        <w:t xml:space="preserve"> in excess of 200 µM. This represents a pragmatic approach as the </w:t>
      </w:r>
      <w:proofErr w:type="spellStart"/>
      <w:r w:rsidR="00845762">
        <w:rPr>
          <w:sz w:val="22"/>
          <w:szCs w:val="22"/>
          <w:lang w:val="en-US"/>
        </w:rPr>
        <w:t>Cmax</w:t>
      </w:r>
      <w:proofErr w:type="spellEnd"/>
      <w:r w:rsidR="00845762">
        <w:rPr>
          <w:sz w:val="22"/>
          <w:szCs w:val="22"/>
          <w:lang w:val="en-US"/>
        </w:rPr>
        <w:t xml:space="preserve"> of newly sy</w:t>
      </w:r>
      <w:r w:rsidR="002B2F21">
        <w:rPr>
          <w:sz w:val="22"/>
          <w:szCs w:val="22"/>
          <w:lang w:val="en-US"/>
        </w:rPr>
        <w:t>nthesized compounds are seldom</w:t>
      </w:r>
      <w:r w:rsidR="00845762">
        <w:rPr>
          <w:sz w:val="22"/>
          <w:szCs w:val="22"/>
          <w:lang w:val="en-US"/>
        </w:rPr>
        <w:t xml:space="preserve"> know</w:t>
      </w:r>
      <w:r w:rsidR="002B2F21">
        <w:rPr>
          <w:sz w:val="22"/>
          <w:szCs w:val="22"/>
          <w:lang w:val="en-US"/>
        </w:rPr>
        <w:t>n</w:t>
      </w:r>
      <w:r w:rsidR="00845762">
        <w:rPr>
          <w:sz w:val="22"/>
          <w:szCs w:val="22"/>
          <w:lang w:val="en-US"/>
        </w:rPr>
        <w:t xml:space="preserve"> and screening </w:t>
      </w:r>
      <w:r w:rsidR="007A7EB6">
        <w:rPr>
          <w:sz w:val="22"/>
          <w:szCs w:val="22"/>
          <w:lang w:val="en-US"/>
        </w:rPr>
        <w:t xml:space="preserve">of compounds </w:t>
      </w:r>
      <w:r w:rsidR="00845762">
        <w:rPr>
          <w:sz w:val="22"/>
          <w:szCs w:val="22"/>
          <w:lang w:val="en-US"/>
        </w:rPr>
        <w:t xml:space="preserve">needs to be standardized. The approach covers a wide range of </w:t>
      </w:r>
      <w:r w:rsidR="00321A74">
        <w:rPr>
          <w:sz w:val="22"/>
          <w:szCs w:val="22"/>
          <w:lang w:val="en-US"/>
        </w:rPr>
        <w:t>concentrations</w:t>
      </w:r>
      <w:r w:rsidR="00845762">
        <w:rPr>
          <w:sz w:val="22"/>
          <w:szCs w:val="22"/>
          <w:lang w:val="en-US"/>
        </w:rPr>
        <w:t xml:space="preserve"> and </w:t>
      </w:r>
      <w:r w:rsidR="009C0F1F">
        <w:rPr>
          <w:sz w:val="22"/>
          <w:szCs w:val="22"/>
          <w:lang w:val="en-US"/>
        </w:rPr>
        <w:t xml:space="preserve">permits </w:t>
      </w:r>
      <w:r w:rsidR="00845762">
        <w:rPr>
          <w:sz w:val="22"/>
          <w:szCs w:val="22"/>
          <w:lang w:val="en-US"/>
        </w:rPr>
        <w:t>rank</w:t>
      </w:r>
      <w:r w:rsidR="009C0F1F">
        <w:rPr>
          <w:sz w:val="22"/>
          <w:szCs w:val="22"/>
          <w:lang w:val="en-US"/>
        </w:rPr>
        <w:t>-</w:t>
      </w:r>
      <w:r w:rsidR="00845762">
        <w:rPr>
          <w:sz w:val="22"/>
          <w:szCs w:val="22"/>
          <w:lang w:val="en-US"/>
        </w:rPr>
        <w:t>ordering of compounds</w:t>
      </w:r>
      <w:r w:rsidR="009C0F1F">
        <w:rPr>
          <w:sz w:val="22"/>
          <w:szCs w:val="22"/>
          <w:lang w:val="en-US"/>
        </w:rPr>
        <w:t>. D</w:t>
      </w:r>
      <w:r w:rsidR="00845762">
        <w:rPr>
          <w:sz w:val="22"/>
          <w:szCs w:val="22"/>
          <w:lang w:val="en-US"/>
        </w:rPr>
        <w:t>epending on the</w:t>
      </w:r>
      <w:r w:rsidR="00252D15">
        <w:rPr>
          <w:sz w:val="22"/>
          <w:szCs w:val="22"/>
          <w:lang w:val="en-US"/>
        </w:rPr>
        <w:t xml:space="preserve"> </w:t>
      </w:r>
      <w:r w:rsidR="009C0F1F">
        <w:rPr>
          <w:sz w:val="22"/>
          <w:szCs w:val="22"/>
          <w:lang w:val="en-US"/>
        </w:rPr>
        <w:t>endpoints use</w:t>
      </w:r>
      <w:r w:rsidR="002F4270">
        <w:rPr>
          <w:sz w:val="22"/>
          <w:szCs w:val="22"/>
          <w:lang w:val="en-US"/>
        </w:rPr>
        <w:t>d</w:t>
      </w:r>
      <w:r w:rsidR="002B2F21">
        <w:rPr>
          <w:sz w:val="22"/>
          <w:szCs w:val="22"/>
          <w:lang w:val="en-US"/>
        </w:rPr>
        <w:t xml:space="preserve">, </w:t>
      </w:r>
      <w:r w:rsidR="009C0F1F">
        <w:rPr>
          <w:sz w:val="22"/>
          <w:szCs w:val="22"/>
          <w:lang w:val="en-US"/>
        </w:rPr>
        <w:t>these data can</w:t>
      </w:r>
      <w:r w:rsidR="002B2F21">
        <w:rPr>
          <w:sz w:val="22"/>
          <w:szCs w:val="22"/>
          <w:lang w:val="en-US"/>
        </w:rPr>
        <w:t xml:space="preserve"> provide retrospective</w:t>
      </w:r>
      <w:r w:rsidR="00845762">
        <w:rPr>
          <w:sz w:val="22"/>
          <w:szCs w:val="22"/>
          <w:lang w:val="en-US"/>
        </w:rPr>
        <w:t xml:space="preserve"> estimations</w:t>
      </w:r>
      <w:r w:rsidR="00321A74">
        <w:rPr>
          <w:sz w:val="22"/>
          <w:szCs w:val="22"/>
          <w:lang w:val="en-US"/>
        </w:rPr>
        <w:t xml:space="preserve"> </w:t>
      </w:r>
      <w:r w:rsidR="00845762">
        <w:rPr>
          <w:sz w:val="22"/>
          <w:szCs w:val="22"/>
          <w:lang w:val="en-US"/>
        </w:rPr>
        <w:t xml:space="preserve">and </w:t>
      </w:r>
      <w:r w:rsidR="00321A74">
        <w:rPr>
          <w:sz w:val="22"/>
          <w:szCs w:val="22"/>
          <w:lang w:val="en-US"/>
        </w:rPr>
        <w:t xml:space="preserve">a </w:t>
      </w:r>
      <w:r w:rsidR="00845762">
        <w:rPr>
          <w:sz w:val="22"/>
          <w:szCs w:val="22"/>
          <w:lang w:val="en-US"/>
        </w:rPr>
        <w:t xml:space="preserve">guide towards </w:t>
      </w:r>
      <w:r w:rsidR="00321A74">
        <w:rPr>
          <w:sz w:val="22"/>
          <w:szCs w:val="22"/>
          <w:lang w:val="en-US"/>
        </w:rPr>
        <w:t>potential</w:t>
      </w:r>
      <w:r w:rsidR="008C248D">
        <w:rPr>
          <w:sz w:val="22"/>
          <w:szCs w:val="22"/>
          <w:lang w:val="en-US"/>
        </w:rPr>
        <w:t>ly</w:t>
      </w:r>
      <w:r w:rsidR="00845762">
        <w:rPr>
          <w:sz w:val="22"/>
          <w:szCs w:val="22"/>
          <w:lang w:val="en-US"/>
        </w:rPr>
        <w:t xml:space="preserve"> safe </w:t>
      </w:r>
      <w:r w:rsidR="00321A74">
        <w:rPr>
          <w:sz w:val="22"/>
          <w:szCs w:val="22"/>
          <w:lang w:val="en-US"/>
        </w:rPr>
        <w:t xml:space="preserve">values of </w:t>
      </w:r>
      <w:proofErr w:type="spellStart"/>
      <w:proofErr w:type="gramStart"/>
      <w:r w:rsidR="00845762">
        <w:rPr>
          <w:sz w:val="22"/>
          <w:szCs w:val="22"/>
          <w:lang w:val="en-US"/>
        </w:rPr>
        <w:t>Cmax</w:t>
      </w:r>
      <w:proofErr w:type="spellEnd"/>
      <w:r w:rsidR="00845762">
        <w:rPr>
          <w:sz w:val="22"/>
          <w:szCs w:val="22"/>
          <w:lang w:val="en-US"/>
        </w:rPr>
        <w:t xml:space="preserve"> </w:t>
      </w:r>
      <w:r w:rsidR="003A6B03">
        <w:rPr>
          <w:sz w:val="22"/>
          <w:szCs w:val="22"/>
          <w:lang w:val="en-US"/>
        </w:rPr>
        <w:t xml:space="preserve"> </w:t>
      </w:r>
      <w:proofErr w:type="gramEnd"/>
      <w:sdt>
        <w:sdtPr>
          <w:rPr>
            <w:sz w:val="22"/>
            <w:szCs w:val="22"/>
            <w:lang w:val="en-US"/>
          </w:rPr>
          <w:id w:val="1903941640"/>
          <w:citation/>
        </w:sdtPr>
        <w:sdtEndPr/>
        <w:sdtContent>
          <w:r w:rsidR="003A6B03">
            <w:rPr>
              <w:sz w:val="22"/>
              <w:szCs w:val="22"/>
              <w:lang w:val="en-US"/>
            </w:rPr>
            <w:fldChar w:fldCharType="begin"/>
          </w:r>
          <w:r w:rsidR="00BE7472">
            <w:rPr>
              <w:sz w:val="22"/>
              <w:szCs w:val="22"/>
              <w:lang w:val="en-GB"/>
            </w:rPr>
            <w:instrText xml:space="preserve">CITATION Abr08 \l 1036 </w:instrText>
          </w:r>
          <w:r w:rsidR="003A6B03">
            <w:rPr>
              <w:sz w:val="22"/>
              <w:szCs w:val="22"/>
              <w:lang w:val="en-US"/>
            </w:rPr>
            <w:fldChar w:fldCharType="separate"/>
          </w:r>
          <w:r w:rsidR="002D6947" w:rsidRPr="002D6947">
            <w:rPr>
              <w:noProof/>
              <w:sz w:val="22"/>
              <w:szCs w:val="22"/>
              <w:lang w:val="en-GB"/>
            </w:rPr>
            <w:t>[10]</w:t>
          </w:r>
          <w:r w:rsidR="003A6B03">
            <w:rPr>
              <w:sz w:val="22"/>
              <w:szCs w:val="22"/>
              <w:lang w:val="en-US"/>
            </w:rPr>
            <w:fldChar w:fldCharType="end"/>
          </w:r>
        </w:sdtContent>
      </w:sdt>
      <w:sdt>
        <w:sdtPr>
          <w:rPr>
            <w:sz w:val="22"/>
            <w:szCs w:val="22"/>
            <w:lang w:val="en-US"/>
          </w:rPr>
          <w:id w:val="1249688383"/>
          <w:citation/>
        </w:sdtPr>
        <w:sdtEndPr/>
        <w:sdtContent>
          <w:r w:rsidR="003A6B03">
            <w:rPr>
              <w:sz w:val="22"/>
              <w:szCs w:val="22"/>
              <w:lang w:val="en-US"/>
            </w:rPr>
            <w:fldChar w:fldCharType="begin"/>
          </w:r>
          <w:r w:rsidR="00BE7472">
            <w:rPr>
              <w:sz w:val="22"/>
              <w:szCs w:val="22"/>
              <w:lang w:val="en-GB"/>
            </w:rPr>
            <w:instrText xml:space="preserve">CITATION Per13 \l 1036 </w:instrText>
          </w:r>
          <w:r w:rsidR="003A6B03">
            <w:rPr>
              <w:sz w:val="22"/>
              <w:szCs w:val="22"/>
              <w:lang w:val="en-US"/>
            </w:rPr>
            <w:fldChar w:fldCharType="separate"/>
          </w:r>
          <w:r w:rsidR="002D6947">
            <w:rPr>
              <w:noProof/>
              <w:sz w:val="22"/>
              <w:szCs w:val="22"/>
              <w:lang w:val="en-GB"/>
            </w:rPr>
            <w:t xml:space="preserve"> </w:t>
          </w:r>
          <w:r w:rsidR="002D6947" w:rsidRPr="002D6947">
            <w:rPr>
              <w:noProof/>
              <w:sz w:val="22"/>
              <w:szCs w:val="22"/>
              <w:lang w:val="en-GB"/>
            </w:rPr>
            <w:t>[11]</w:t>
          </w:r>
          <w:r w:rsidR="003A6B03">
            <w:rPr>
              <w:sz w:val="22"/>
              <w:szCs w:val="22"/>
              <w:lang w:val="en-US"/>
            </w:rPr>
            <w:fldChar w:fldCharType="end"/>
          </w:r>
        </w:sdtContent>
      </w:sdt>
      <w:r w:rsidR="00845762">
        <w:rPr>
          <w:sz w:val="22"/>
          <w:szCs w:val="22"/>
          <w:lang w:val="en-US"/>
        </w:rPr>
        <w:t>.</w:t>
      </w:r>
    </w:p>
    <w:p w14:paraId="2DD65FDD" w14:textId="0C20CA14" w:rsidR="0067748F" w:rsidRDefault="009907A4" w:rsidP="006730B6">
      <w:pPr>
        <w:spacing w:line="480" w:lineRule="auto"/>
        <w:jc w:val="both"/>
        <w:rPr>
          <w:sz w:val="22"/>
          <w:szCs w:val="22"/>
          <w:lang w:val="en-US"/>
        </w:rPr>
      </w:pPr>
      <w:r w:rsidRPr="000016FB">
        <w:rPr>
          <w:sz w:val="22"/>
          <w:szCs w:val="22"/>
          <w:lang w:val="en-US"/>
        </w:rPr>
        <w:t xml:space="preserve">Ultimately, while lacking sophistication and sensitivity, cytotoxicity assays serve as an early filter for discarding compounds </w:t>
      </w:r>
      <w:r w:rsidR="00116E38">
        <w:rPr>
          <w:sz w:val="22"/>
          <w:szCs w:val="22"/>
          <w:lang w:val="en-US"/>
        </w:rPr>
        <w:t xml:space="preserve">and entire compound series </w:t>
      </w:r>
      <w:r w:rsidRPr="000016FB">
        <w:rPr>
          <w:sz w:val="22"/>
          <w:szCs w:val="22"/>
          <w:lang w:val="en-US"/>
        </w:rPr>
        <w:t>with overt toxicological liabilities too severe to</w:t>
      </w:r>
      <w:r w:rsidR="00FF25E0">
        <w:rPr>
          <w:sz w:val="22"/>
          <w:szCs w:val="22"/>
          <w:lang w:val="en-US"/>
        </w:rPr>
        <w:t xml:space="preserve"> </w:t>
      </w:r>
      <w:r w:rsidR="00FF25E0">
        <w:rPr>
          <w:sz w:val="22"/>
          <w:szCs w:val="22"/>
          <w:lang w:val="en-US"/>
        </w:rPr>
        <w:lastRenderedPageBreak/>
        <w:t>progress in discovery research</w:t>
      </w:r>
      <w:r w:rsidR="006509BE">
        <w:rPr>
          <w:sz w:val="22"/>
          <w:szCs w:val="22"/>
          <w:lang w:val="en-US"/>
        </w:rPr>
        <w:t>,</w:t>
      </w:r>
      <w:r w:rsidRPr="000016FB">
        <w:rPr>
          <w:sz w:val="22"/>
          <w:szCs w:val="22"/>
          <w:lang w:val="en-US"/>
        </w:rPr>
        <w:t xml:space="preserve"> and the ranking of remaining compounds for further </w:t>
      </w:r>
      <w:r w:rsidR="00193273">
        <w:rPr>
          <w:sz w:val="22"/>
          <w:szCs w:val="22"/>
          <w:lang w:val="en-US"/>
        </w:rPr>
        <w:t>characterization</w:t>
      </w:r>
      <w:r w:rsidR="00512DC8">
        <w:rPr>
          <w:sz w:val="22"/>
          <w:szCs w:val="22"/>
          <w:lang w:val="en-US"/>
        </w:rPr>
        <w:t xml:space="preserve"> of </w:t>
      </w:r>
      <w:r w:rsidR="0080190E">
        <w:rPr>
          <w:sz w:val="22"/>
          <w:szCs w:val="22"/>
          <w:lang w:val="en-US"/>
        </w:rPr>
        <w:t xml:space="preserve">potential </w:t>
      </w:r>
      <w:r w:rsidR="00512DC8">
        <w:rPr>
          <w:sz w:val="22"/>
          <w:szCs w:val="22"/>
          <w:lang w:val="en-US"/>
        </w:rPr>
        <w:t>false negatives</w:t>
      </w:r>
      <w:r w:rsidRPr="00252D15">
        <w:rPr>
          <w:sz w:val="22"/>
          <w:szCs w:val="22"/>
          <w:lang w:val="en-US"/>
        </w:rPr>
        <w:t xml:space="preserve">. </w:t>
      </w:r>
    </w:p>
    <w:p w14:paraId="14287728" w14:textId="77777777" w:rsidR="0067748F" w:rsidRPr="000016FB" w:rsidRDefault="0067748F" w:rsidP="006730B6">
      <w:pPr>
        <w:spacing w:line="480" w:lineRule="auto"/>
        <w:jc w:val="both"/>
        <w:rPr>
          <w:sz w:val="22"/>
          <w:szCs w:val="22"/>
          <w:lang w:val="en-US"/>
        </w:rPr>
      </w:pPr>
    </w:p>
    <w:p w14:paraId="2457AE66" w14:textId="77777777" w:rsidR="00484832" w:rsidRPr="000016FB" w:rsidRDefault="00A81B40" w:rsidP="006730B6">
      <w:pPr>
        <w:spacing w:line="480" w:lineRule="auto"/>
        <w:jc w:val="both"/>
        <w:rPr>
          <w:sz w:val="22"/>
          <w:szCs w:val="22"/>
          <w:lang w:val="en-US"/>
        </w:rPr>
      </w:pPr>
      <w:r>
        <w:rPr>
          <w:noProof/>
          <w:sz w:val="22"/>
          <w:szCs w:val="22"/>
          <w:lang w:val="en-US"/>
        </w:rPr>
        <w:t>2.1.2</w:t>
      </w:r>
      <w:r w:rsidR="00671645">
        <w:rPr>
          <w:noProof/>
          <w:sz w:val="22"/>
          <w:szCs w:val="22"/>
          <w:lang w:val="en-US"/>
        </w:rPr>
        <w:t xml:space="preserve"> </w:t>
      </w:r>
      <w:r w:rsidR="00193273">
        <w:rPr>
          <w:i/>
          <w:noProof/>
          <w:sz w:val="22"/>
          <w:szCs w:val="22"/>
          <w:lang w:val="en-US"/>
        </w:rPr>
        <w:t>Routinely used</w:t>
      </w:r>
      <w:r w:rsidR="00193273" w:rsidRPr="000016FB">
        <w:rPr>
          <w:i/>
          <w:noProof/>
          <w:sz w:val="22"/>
          <w:szCs w:val="22"/>
          <w:lang w:val="en-US"/>
        </w:rPr>
        <w:t xml:space="preserve"> </w:t>
      </w:r>
      <w:r w:rsidR="00484832" w:rsidRPr="000016FB">
        <w:rPr>
          <w:i/>
          <w:noProof/>
          <w:sz w:val="22"/>
          <w:szCs w:val="22"/>
          <w:lang w:val="en-US"/>
        </w:rPr>
        <w:t>endpoint</w:t>
      </w:r>
      <w:r w:rsidR="00B85D35">
        <w:rPr>
          <w:i/>
          <w:noProof/>
          <w:sz w:val="22"/>
          <w:szCs w:val="22"/>
          <w:lang w:val="en-US"/>
        </w:rPr>
        <w:t>s</w:t>
      </w:r>
      <w:r w:rsidR="00484832" w:rsidRPr="000016FB">
        <w:rPr>
          <w:i/>
          <w:noProof/>
          <w:sz w:val="22"/>
          <w:szCs w:val="22"/>
          <w:lang w:val="en-US"/>
        </w:rPr>
        <w:t xml:space="preserve"> </w:t>
      </w:r>
    </w:p>
    <w:p w14:paraId="52CA506D" w14:textId="488B63D2" w:rsidR="00D61DC3" w:rsidRPr="000016FB" w:rsidRDefault="00916CE2" w:rsidP="006730B6">
      <w:pPr>
        <w:spacing w:line="480" w:lineRule="auto"/>
        <w:jc w:val="both"/>
        <w:rPr>
          <w:sz w:val="22"/>
          <w:szCs w:val="22"/>
          <w:lang w:val="en-US"/>
        </w:rPr>
      </w:pPr>
      <w:r>
        <w:rPr>
          <w:sz w:val="22"/>
          <w:szCs w:val="22"/>
          <w:lang w:val="en-US"/>
        </w:rPr>
        <w:t>A</w:t>
      </w:r>
      <w:r w:rsidR="00CC37C6" w:rsidRPr="000016FB">
        <w:rPr>
          <w:sz w:val="22"/>
          <w:szCs w:val="22"/>
          <w:lang w:val="en-US"/>
        </w:rPr>
        <w:t xml:space="preserve"> number</w:t>
      </w:r>
      <w:r w:rsidR="00D61DC3" w:rsidRPr="000016FB">
        <w:rPr>
          <w:sz w:val="22"/>
          <w:szCs w:val="22"/>
          <w:lang w:val="en-US"/>
        </w:rPr>
        <w:t xml:space="preserve"> of cytotoxicity </w:t>
      </w:r>
      <w:r w:rsidR="00193273">
        <w:rPr>
          <w:sz w:val="22"/>
          <w:szCs w:val="22"/>
          <w:lang w:val="en-US"/>
        </w:rPr>
        <w:t xml:space="preserve">measures </w:t>
      </w:r>
      <w:r>
        <w:rPr>
          <w:sz w:val="22"/>
          <w:szCs w:val="22"/>
          <w:lang w:val="en-US"/>
        </w:rPr>
        <w:t>exist</w:t>
      </w:r>
      <w:r w:rsidR="00D61DC3" w:rsidRPr="000016FB">
        <w:rPr>
          <w:sz w:val="22"/>
          <w:szCs w:val="22"/>
          <w:lang w:val="en-US"/>
        </w:rPr>
        <w:t>, including simple cell counting using light micros</w:t>
      </w:r>
      <w:r w:rsidR="00286196" w:rsidRPr="000016FB">
        <w:rPr>
          <w:sz w:val="22"/>
          <w:szCs w:val="22"/>
          <w:lang w:val="en-US"/>
        </w:rPr>
        <w:t>c</w:t>
      </w:r>
      <w:r w:rsidR="00D61DC3" w:rsidRPr="000016FB">
        <w:rPr>
          <w:sz w:val="22"/>
          <w:szCs w:val="22"/>
          <w:lang w:val="en-US"/>
        </w:rPr>
        <w:t>opy or fluorescent markers, biochemical assays for key cellular processes</w:t>
      </w:r>
      <w:r w:rsidR="00193273">
        <w:rPr>
          <w:sz w:val="22"/>
          <w:szCs w:val="22"/>
          <w:lang w:val="en-US"/>
        </w:rPr>
        <w:t xml:space="preserve"> or products (e.g., </w:t>
      </w:r>
      <w:r w:rsidR="00D61DC3" w:rsidRPr="000016FB">
        <w:rPr>
          <w:sz w:val="22"/>
          <w:szCs w:val="22"/>
          <w:lang w:val="en-US"/>
        </w:rPr>
        <w:t xml:space="preserve">ATP, </w:t>
      </w:r>
      <w:r w:rsidR="006061DB">
        <w:rPr>
          <w:sz w:val="22"/>
          <w:szCs w:val="22"/>
          <w:lang w:val="en-US"/>
        </w:rPr>
        <w:t>tetrazolium and formazan</w:t>
      </w:r>
      <w:r w:rsidR="00D61DC3" w:rsidRPr="000016FB">
        <w:rPr>
          <w:sz w:val="22"/>
          <w:szCs w:val="22"/>
          <w:lang w:val="en-US"/>
        </w:rPr>
        <w:t xml:space="preserve">, or </w:t>
      </w:r>
      <w:proofErr w:type="spellStart"/>
      <w:r w:rsidR="00D61DC3" w:rsidRPr="000016FB">
        <w:rPr>
          <w:sz w:val="22"/>
          <w:szCs w:val="22"/>
          <w:lang w:val="en-US"/>
        </w:rPr>
        <w:t>resazurin</w:t>
      </w:r>
      <w:proofErr w:type="spellEnd"/>
      <w:r w:rsidR="00D61DC3" w:rsidRPr="000016FB">
        <w:rPr>
          <w:sz w:val="22"/>
          <w:szCs w:val="22"/>
          <w:lang w:val="en-US"/>
        </w:rPr>
        <w:t xml:space="preserve"> measurements</w:t>
      </w:r>
      <w:r w:rsidR="00193273">
        <w:rPr>
          <w:sz w:val="22"/>
          <w:szCs w:val="22"/>
          <w:lang w:val="en-US"/>
        </w:rPr>
        <w:t>)</w:t>
      </w:r>
      <w:r w:rsidR="00D61DC3" w:rsidRPr="000016FB">
        <w:rPr>
          <w:sz w:val="22"/>
          <w:szCs w:val="22"/>
          <w:lang w:val="en-US"/>
        </w:rPr>
        <w:t>, assessments of cell membrane integrity</w:t>
      </w:r>
      <w:r w:rsidR="00FF25E0">
        <w:rPr>
          <w:sz w:val="22"/>
          <w:szCs w:val="22"/>
          <w:lang w:val="en-US"/>
        </w:rPr>
        <w:t xml:space="preserve"> (Table 1)</w:t>
      </w:r>
      <w:r w:rsidR="00193273">
        <w:rPr>
          <w:sz w:val="22"/>
          <w:szCs w:val="22"/>
          <w:lang w:val="en-US"/>
        </w:rPr>
        <w:t>, and</w:t>
      </w:r>
      <w:r w:rsidR="00D61DC3" w:rsidRPr="000016FB">
        <w:rPr>
          <w:sz w:val="22"/>
          <w:szCs w:val="22"/>
          <w:lang w:val="en-US"/>
        </w:rPr>
        <w:t xml:space="preserve"> </w:t>
      </w:r>
      <w:r w:rsidR="00CC37C6" w:rsidRPr="000016FB">
        <w:rPr>
          <w:sz w:val="22"/>
          <w:szCs w:val="22"/>
          <w:lang w:val="en-US"/>
        </w:rPr>
        <w:t xml:space="preserve">more </w:t>
      </w:r>
      <w:r w:rsidR="00D61DC3" w:rsidRPr="000016FB">
        <w:rPr>
          <w:sz w:val="22"/>
          <w:szCs w:val="22"/>
          <w:lang w:val="en-US"/>
        </w:rPr>
        <w:t xml:space="preserve">complex imaging in </w:t>
      </w:r>
      <w:r w:rsidR="00671645">
        <w:rPr>
          <w:sz w:val="22"/>
          <w:szCs w:val="22"/>
          <w:lang w:val="en-US"/>
        </w:rPr>
        <w:t>3D</w:t>
      </w:r>
      <w:r w:rsidR="00D61DC3" w:rsidRPr="000016FB">
        <w:rPr>
          <w:sz w:val="22"/>
          <w:szCs w:val="22"/>
          <w:lang w:val="en-US"/>
        </w:rPr>
        <w:t xml:space="preserve"> </w:t>
      </w:r>
      <w:proofErr w:type="spellStart"/>
      <w:r w:rsidR="00D61DC3" w:rsidRPr="000016FB">
        <w:rPr>
          <w:sz w:val="22"/>
          <w:szCs w:val="22"/>
          <w:lang w:val="en-US"/>
        </w:rPr>
        <w:t>microtissue</w:t>
      </w:r>
      <w:proofErr w:type="spellEnd"/>
      <w:r w:rsidR="00D61DC3" w:rsidRPr="000016FB">
        <w:rPr>
          <w:sz w:val="22"/>
          <w:szCs w:val="22"/>
          <w:lang w:val="en-US"/>
        </w:rPr>
        <w:t xml:space="preserve"> systems (</w:t>
      </w:r>
      <w:r w:rsidR="00D61DC3" w:rsidRPr="000016FB">
        <w:rPr>
          <w:i/>
          <w:sz w:val="22"/>
          <w:szCs w:val="22"/>
          <w:lang w:val="en-US"/>
        </w:rPr>
        <w:t xml:space="preserve">see </w:t>
      </w:r>
      <w:r w:rsidR="00CC37C6" w:rsidRPr="000016FB">
        <w:rPr>
          <w:i/>
          <w:sz w:val="22"/>
          <w:szCs w:val="22"/>
          <w:lang w:val="en-US"/>
        </w:rPr>
        <w:t xml:space="preserve">Table </w:t>
      </w:r>
      <w:r w:rsidR="00B83A30">
        <w:rPr>
          <w:i/>
          <w:sz w:val="22"/>
          <w:szCs w:val="22"/>
          <w:lang w:val="en-US"/>
        </w:rPr>
        <w:t>2</w:t>
      </w:r>
      <w:r w:rsidR="00CC37C6" w:rsidRPr="000016FB">
        <w:rPr>
          <w:i/>
          <w:sz w:val="22"/>
          <w:szCs w:val="22"/>
          <w:lang w:val="en-US"/>
        </w:rPr>
        <w:t>, Cytotoxicity test systems</w:t>
      </w:r>
      <w:r w:rsidR="00D61DC3" w:rsidRPr="000016FB">
        <w:rPr>
          <w:i/>
          <w:sz w:val="22"/>
          <w:szCs w:val="22"/>
          <w:lang w:val="en-US"/>
        </w:rPr>
        <w:t xml:space="preserve"> </w:t>
      </w:r>
      <w:r w:rsidR="00CC37C6" w:rsidRPr="000016FB">
        <w:rPr>
          <w:i/>
          <w:sz w:val="22"/>
          <w:szCs w:val="22"/>
          <w:lang w:val="en-US"/>
        </w:rPr>
        <w:t>&amp;</w:t>
      </w:r>
      <w:r w:rsidR="00D61DC3" w:rsidRPr="000016FB">
        <w:rPr>
          <w:i/>
          <w:sz w:val="22"/>
          <w:szCs w:val="22"/>
          <w:lang w:val="en-US"/>
        </w:rPr>
        <w:t xml:space="preserve"> routine assays</w:t>
      </w:r>
      <w:r w:rsidR="00D61DC3" w:rsidRPr="000016FB">
        <w:rPr>
          <w:sz w:val="22"/>
          <w:szCs w:val="22"/>
          <w:lang w:val="en-US"/>
        </w:rPr>
        <w:t xml:space="preserve">). It should be noted that many of the commonly used surrogate markers for cytotoxicity are often dependent on other cellular processes, causing </w:t>
      </w:r>
      <w:r w:rsidR="00193273">
        <w:rPr>
          <w:sz w:val="22"/>
          <w:szCs w:val="22"/>
          <w:lang w:val="en-US"/>
        </w:rPr>
        <w:t xml:space="preserve">differences in </w:t>
      </w:r>
      <w:r w:rsidR="00FF25E0">
        <w:rPr>
          <w:sz w:val="22"/>
          <w:szCs w:val="22"/>
          <w:lang w:val="en-US"/>
        </w:rPr>
        <w:t xml:space="preserve">sensitivity </w:t>
      </w:r>
      <w:r w:rsidR="00D61DC3" w:rsidRPr="000016FB">
        <w:rPr>
          <w:sz w:val="22"/>
          <w:szCs w:val="22"/>
          <w:lang w:val="en-US"/>
        </w:rPr>
        <w:t>(</w:t>
      </w:r>
      <w:r w:rsidR="00B85D35">
        <w:rPr>
          <w:sz w:val="22"/>
          <w:szCs w:val="22"/>
          <w:lang w:val="en-US"/>
        </w:rPr>
        <w:t>e.g</w:t>
      </w:r>
      <w:r w:rsidR="00D61DC3" w:rsidRPr="000016FB">
        <w:rPr>
          <w:sz w:val="22"/>
          <w:szCs w:val="22"/>
          <w:lang w:val="en-US"/>
        </w:rPr>
        <w:t>. cell counting by high</w:t>
      </w:r>
      <w:r w:rsidR="00F907AF">
        <w:rPr>
          <w:sz w:val="22"/>
          <w:szCs w:val="22"/>
          <w:lang w:val="en-US"/>
        </w:rPr>
        <w:t>-</w:t>
      </w:r>
      <w:r w:rsidR="00D61DC3" w:rsidRPr="000016FB">
        <w:rPr>
          <w:sz w:val="22"/>
          <w:szCs w:val="22"/>
          <w:lang w:val="en-US"/>
        </w:rPr>
        <w:t>content imaging identifies more cytotoxic compounds than ATP</w:t>
      </w:r>
      <w:r w:rsidR="00F907AF">
        <w:rPr>
          <w:sz w:val="22"/>
          <w:szCs w:val="22"/>
          <w:lang w:val="en-US"/>
        </w:rPr>
        <w:t>-</w:t>
      </w:r>
      <w:r w:rsidR="00D61DC3" w:rsidRPr="000016FB">
        <w:rPr>
          <w:sz w:val="22"/>
          <w:szCs w:val="22"/>
          <w:lang w:val="en-US"/>
        </w:rPr>
        <w:t>based measurements in direct side</w:t>
      </w:r>
      <w:r w:rsidR="00193273">
        <w:rPr>
          <w:sz w:val="22"/>
          <w:szCs w:val="22"/>
          <w:lang w:val="en-US"/>
        </w:rPr>
        <w:t>-</w:t>
      </w:r>
      <w:r w:rsidR="00D61DC3" w:rsidRPr="000016FB">
        <w:rPr>
          <w:sz w:val="22"/>
          <w:szCs w:val="22"/>
          <w:lang w:val="en-US"/>
        </w:rPr>
        <w:t>by</w:t>
      </w:r>
      <w:r w:rsidR="00193273">
        <w:rPr>
          <w:sz w:val="22"/>
          <w:szCs w:val="22"/>
          <w:lang w:val="en-US"/>
        </w:rPr>
        <w:t>-</w:t>
      </w:r>
      <w:r w:rsidR="00D61DC3" w:rsidRPr="000016FB">
        <w:rPr>
          <w:sz w:val="22"/>
          <w:szCs w:val="22"/>
          <w:lang w:val="en-US"/>
        </w:rPr>
        <w:t>side comparisons)</w:t>
      </w:r>
      <w:r w:rsidR="006A35EA">
        <w:rPr>
          <w:noProof/>
          <w:sz w:val="22"/>
          <w:szCs w:val="22"/>
          <w:lang w:val="en-GB"/>
        </w:rPr>
        <w:t xml:space="preserve"> </w:t>
      </w:r>
      <w:sdt>
        <w:sdtPr>
          <w:rPr>
            <w:noProof/>
            <w:sz w:val="22"/>
            <w:szCs w:val="22"/>
            <w:lang w:val="en-GB"/>
          </w:rPr>
          <w:id w:val="252093008"/>
          <w:citation/>
        </w:sdtPr>
        <w:sdtEndPr/>
        <w:sdtContent>
          <w:r w:rsidR="00795FE6">
            <w:rPr>
              <w:noProof/>
              <w:sz w:val="22"/>
              <w:szCs w:val="22"/>
              <w:lang w:val="en-GB"/>
            </w:rPr>
            <w:fldChar w:fldCharType="begin"/>
          </w:r>
          <w:r w:rsidR="00795FE6">
            <w:rPr>
              <w:noProof/>
              <w:sz w:val="22"/>
              <w:szCs w:val="22"/>
              <w:lang w:val="en-GB"/>
            </w:rPr>
            <w:instrText xml:space="preserve"> CITATION Per14 \l 2057 </w:instrText>
          </w:r>
          <w:r w:rsidR="00795FE6">
            <w:rPr>
              <w:noProof/>
              <w:sz w:val="22"/>
              <w:szCs w:val="22"/>
              <w:lang w:val="en-GB"/>
            </w:rPr>
            <w:fldChar w:fldCharType="separate"/>
          </w:r>
          <w:r w:rsidR="002D6947" w:rsidRPr="002D6947">
            <w:rPr>
              <w:noProof/>
              <w:sz w:val="22"/>
              <w:szCs w:val="22"/>
              <w:lang w:val="en-GB"/>
            </w:rPr>
            <w:t>[12]</w:t>
          </w:r>
          <w:r w:rsidR="00795FE6">
            <w:rPr>
              <w:noProof/>
              <w:sz w:val="22"/>
              <w:szCs w:val="22"/>
              <w:lang w:val="en-GB"/>
            </w:rPr>
            <w:fldChar w:fldCharType="end"/>
          </w:r>
        </w:sdtContent>
      </w:sdt>
      <w:r w:rsidR="00D61DC3" w:rsidRPr="000016FB">
        <w:rPr>
          <w:sz w:val="22"/>
          <w:szCs w:val="22"/>
          <w:lang w:val="en-US"/>
        </w:rPr>
        <w:t xml:space="preserve">. </w:t>
      </w:r>
      <w:r w:rsidR="00845762">
        <w:rPr>
          <w:sz w:val="22"/>
          <w:szCs w:val="22"/>
          <w:lang w:val="en-US"/>
        </w:rPr>
        <w:t>High content imaging has emerged as a state</w:t>
      </w:r>
      <w:r w:rsidR="002F4270">
        <w:rPr>
          <w:sz w:val="22"/>
          <w:szCs w:val="22"/>
          <w:lang w:val="en-US"/>
        </w:rPr>
        <w:t>-</w:t>
      </w:r>
      <w:r w:rsidR="00845762">
        <w:rPr>
          <w:sz w:val="22"/>
          <w:szCs w:val="22"/>
          <w:lang w:val="en-US"/>
        </w:rPr>
        <w:t>of</w:t>
      </w:r>
      <w:r w:rsidR="002F4270">
        <w:rPr>
          <w:sz w:val="22"/>
          <w:szCs w:val="22"/>
          <w:lang w:val="en-US"/>
        </w:rPr>
        <w:t>-</w:t>
      </w:r>
      <w:r w:rsidR="00845762">
        <w:rPr>
          <w:sz w:val="22"/>
          <w:szCs w:val="22"/>
          <w:lang w:val="en-US"/>
        </w:rPr>
        <w:t>the</w:t>
      </w:r>
      <w:r w:rsidR="002F4270">
        <w:rPr>
          <w:sz w:val="22"/>
          <w:szCs w:val="22"/>
          <w:lang w:val="en-US"/>
        </w:rPr>
        <w:t>-</w:t>
      </w:r>
      <w:r w:rsidR="00845762">
        <w:rPr>
          <w:sz w:val="22"/>
          <w:szCs w:val="22"/>
          <w:lang w:val="en-US"/>
        </w:rPr>
        <w:t xml:space="preserve">art technology for assessment of cell health and cytotoxicity, both because of </w:t>
      </w:r>
      <w:r w:rsidR="00321A74">
        <w:rPr>
          <w:sz w:val="22"/>
          <w:szCs w:val="22"/>
          <w:lang w:val="en-US"/>
        </w:rPr>
        <w:t xml:space="preserve">the </w:t>
      </w:r>
      <w:r w:rsidR="00845762">
        <w:rPr>
          <w:sz w:val="22"/>
          <w:szCs w:val="22"/>
          <w:lang w:val="en-US"/>
        </w:rPr>
        <w:t xml:space="preserve">higher sensitivity </w:t>
      </w:r>
      <w:r w:rsidR="00321A74">
        <w:rPr>
          <w:sz w:val="22"/>
          <w:szCs w:val="22"/>
          <w:lang w:val="en-US"/>
        </w:rPr>
        <w:t xml:space="preserve">compared to </w:t>
      </w:r>
      <w:r w:rsidR="00845762">
        <w:rPr>
          <w:sz w:val="22"/>
          <w:szCs w:val="22"/>
          <w:lang w:val="en-US"/>
        </w:rPr>
        <w:t xml:space="preserve">traditional biochemical methods, and because of </w:t>
      </w:r>
      <w:r w:rsidR="00321A74">
        <w:rPr>
          <w:sz w:val="22"/>
          <w:szCs w:val="22"/>
          <w:lang w:val="en-US"/>
        </w:rPr>
        <w:t xml:space="preserve">the </w:t>
      </w:r>
      <w:r w:rsidR="00845762">
        <w:rPr>
          <w:sz w:val="22"/>
          <w:szCs w:val="22"/>
          <w:lang w:val="en-US"/>
        </w:rPr>
        <w:t xml:space="preserve">rich multiplexed information which captures </w:t>
      </w:r>
      <w:r w:rsidR="002F4270">
        <w:rPr>
          <w:sz w:val="22"/>
          <w:szCs w:val="22"/>
          <w:lang w:val="en-US"/>
        </w:rPr>
        <w:t xml:space="preserve">multiple </w:t>
      </w:r>
      <w:r w:rsidR="00845762">
        <w:rPr>
          <w:sz w:val="22"/>
          <w:szCs w:val="22"/>
          <w:lang w:val="en-US"/>
        </w:rPr>
        <w:t>potential mechanisms</w:t>
      </w:r>
      <w:r w:rsidR="003A6B03">
        <w:rPr>
          <w:sz w:val="22"/>
          <w:szCs w:val="22"/>
          <w:lang w:val="en-US"/>
        </w:rPr>
        <w:t xml:space="preserve"> </w:t>
      </w:r>
      <w:sdt>
        <w:sdtPr>
          <w:rPr>
            <w:sz w:val="22"/>
            <w:szCs w:val="22"/>
            <w:lang w:val="en-US"/>
          </w:rPr>
          <w:id w:val="-760064341"/>
          <w:citation/>
        </w:sdtPr>
        <w:sdtEndPr/>
        <w:sdtContent>
          <w:r w:rsidR="003A6B03">
            <w:rPr>
              <w:sz w:val="22"/>
              <w:szCs w:val="22"/>
              <w:lang w:val="en-US"/>
            </w:rPr>
            <w:fldChar w:fldCharType="begin"/>
          </w:r>
          <w:r w:rsidR="003A6B03" w:rsidRPr="0002092A">
            <w:rPr>
              <w:sz w:val="22"/>
              <w:szCs w:val="22"/>
              <w:lang w:val="en-GB"/>
            </w:rPr>
            <w:instrText xml:space="preserve"> CITATION Per16 \l 1036 </w:instrText>
          </w:r>
          <w:r w:rsidR="003A6B03">
            <w:rPr>
              <w:sz w:val="22"/>
              <w:szCs w:val="22"/>
              <w:lang w:val="en-US"/>
            </w:rPr>
            <w:fldChar w:fldCharType="separate"/>
          </w:r>
          <w:r w:rsidR="002D6947" w:rsidRPr="002D6947">
            <w:rPr>
              <w:noProof/>
              <w:sz w:val="22"/>
              <w:szCs w:val="22"/>
              <w:lang w:val="en-GB"/>
            </w:rPr>
            <w:t>[13]</w:t>
          </w:r>
          <w:r w:rsidR="003A6B03">
            <w:rPr>
              <w:sz w:val="22"/>
              <w:szCs w:val="22"/>
              <w:lang w:val="en-US"/>
            </w:rPr>
            <w:fldChar w:fldCharType="end"/>
          </w:r>
        </w:sdtContent>
      </w:sdt>
      <w:r w:rsidR="00E70B7C">
        <w:rPr>
          <w:sz w:val="22"/>
          <w:szCs w:val="22"/>
          <w:lang w:val="en-US"/>
        </w:rPr>
        <w:t>.</w:t>
      </w:r>
      <w:r w:rsidR="00845762">
        <w:rPr>
          <w:sz w:val="22"/>
          <w:szCs w:val="22"/>
          <w:lang w:val="en-US"/>
        </w:rPr>
        <w:t xml:space="preserve"> </w:t>
      </w:r>
      <w:r w:rsidR="00845762">
        <w:rPr>
          <w:sz w:val="22"/>
          <w:szCs w:val="22"/>
          <w:lang w:val="en-US"/>
        </w:rPr>
        <w:fldChar w:fldCharType="begin"/>
      </w:r>
      <w:r w:rsidR="00845762">
        <w:rPr>
          <w:sz w:val="22"/>
          <w:szCs w:val="22"/>
          <w:lang w:val="en-US"/>
        </w:rPr>
        <w:instrText xml:space="preserve"> ADDIN EN.CITE &lt;EndNote&gt;&lt;Cite&gt;&lt;Author&gt;Persson&lt;/Author&gt;&lt;Year&gt;2016&lt;/Year&gt;&lt;RecNum&gt;116&lt;/RecNum&gt;&lt;DisplayText&gt;(Persson and Hornberg 2016)&lt;/DisplayText&gt;&lt;record&gt;&lt;rec-number&gt;116&lt;/rec-number&gt;&lt;foreign-keys&gt;&lt;key app="EN" db-id="w5f059ztqz950bez925p050zvfax2sfapfzd" timestamp="1488178529"&gt;116&lt;/key&gt;&lt;/foreign-keys&gt;&lt;ref-type name="Journal Article"&gt;17&lt;/ref-type&gt;&lt;contributors&gt;&lt;authors&gt;&lt;author&gt;Persson, M.&lt;/author&gt;&lt;author&gt;Hornberg, J. J.&lt;/author&gt;&lt;/authors&gt;&lt;/contributors&gt;&lt;auth-address&gt;Drug Safety and Metabolism, Innovative Medicines and Early Development, AstraZeneca R&amp;amp;D Gothenburg , Pepparedsleden 1, 431 83 Molndal, Sweden.&lt;/auth-address&gt;&lt;titles&gt;&lt;title&gt;Advances in Predictive Toxicology for Discovery Safety through High Content Screening&lt;/title&gt;&lt;secondary-title&gt;Chem Res Toxicol&lt;/secondary-title&gt;&lt;alt-title&gt;Chemical research in toxicology&lt;/alt-title&gt;&lt;/titles&gt;&lt;periodical&gt;&lt;full-title&gt;Chem Res Toxicol&lt;/full-title&gt;&lt;abbr-1&gt;Chemical research in toxicology&lt;/abbr-1&gt;&lt;/periodical&gt;&lt;alt-periodical&gt;&lt;full-title&gt;Chemical Research in Toxicology&lt;/full-title&gt;&lt;abbr-1&gt;Chem. Res. Toxicol.&lt;/abbr-1&gt;&lt;abbr-2&gt;Chem Res Toxicol&lt;/abbr-2&gt;&lt;/alt-periodical&gt;&lt;pages&gt;1998-2007&lt;/pages&gt;&lt;volume&gt;29&lt;/volume&gt;&lt;number&gt;12&lt;/number&gt;&lt;dates&gt;&lt;year&gt;2016&lt;/year&gt;&lt;pub-dates&gt;&lt;date&gt;Dec 19&lt;/date&gt;&lt;/pub-dates&gt;&lt;/dates&gt;&lt;isbn&gt;1520-5010 (Electronic)&amp;#xD;0893-228X (Linking)&lt;/isbn&gt;&lt;accession-num&gt;27766849&lt;/accession-num&gt;&lt;urls&gt;&lt;related-urls&gt;&lt;url&gt;http://www.ncbi.nlm.nih.gov/pubmed/27766849&lt;/url&gt;&lt;/related-urls&gt;&lt;/urls&gt;&lt;electronic-resource-num&gt;10.1021/acs.chemrestox.6b00248&lt;/electronic-resource-num&gt;&lt;/record&gt;&lt;/Cite&gt;&lt;/EndNote&gt;</w:instrText>
      </w:r>
      <w:r w:rsidR="00845762">
        <w:rPr>
          <w:sz w:val="22"/>
          <w:szCs w:val="22"/>
          <w:lang w:val="en-US"/>
        </w:rPr>
        <w:fldChar w:fldCharType="end"/>
      </w:r>
      <w:r w:rsidR="00845762">
        <w:rPr>
          <w:sz w:val="22"/>
          <w:szCs w:val="22"/>
          <w:lang w:val="en-US"/>
        </w:rPr>
        <w:t xml:space="preserve"> </w:t>
      </w:r>
      <w:r w:rsidR="00485723">
        <w:rPr>
          <w:sz w:val="22"/>
          <w:szCs w:val="22"/>
          <w:lang w:val="en-US"/>
        </w:rPr>
        <w:t>Superior d</w:t>
      </w:r>
      <w:r w:rsidR="00BA1202">
        <w:rPr>
          <w:sz w:val="22"/>
          <w:szCs w:val="22"/>
          <w:lang w:val="en-US"/>
        </w:rPr>
        <w:t xml:space="preserve">etection </w:t>
      </w:r>
      <w:r w:rsidR="00E74D3C">
        <w:rPr>
          <w:sz w:val="22"/>
          <w:szCs w:val="22"/>
          <w:lang w:val="en-US"/>
        </w:rPr>
        <w:t xml:space="preserve">of </w:t>
      </w:r>
      <w:proofErr w:type="spellStart"/>
      <w:r w:rsidR="00E74D3C">
        <w:rPr>
          <w:sz w:val="22"/>
          <w:szCs w:val="22"/>
          <w:lang w:val="en-US"/>
        </w:rPr>
        <w:t>hepatotoxicants</w:t>
      </w:r>
      <w:proofErr w:type="spellEnd"/>
      <w:r w:rsidR="00E74D3C">
        <w:rPr>
          <w:sz w:val="22"/>
          <w:szCs w:val="22"/>
          <w:lang w:val="en-US"/>
        </w:rPr>
        <w:t xml:space="preserve"> </w:t>
      </w:r>
      <w:r w:rsidR="00BA1202">
        <w:rPr>
          <w:sz w:val="22"/>
          <w:szCs w:val="22"/>
          <w:lang w:val="en-US"/>
        </w:rPr>
        <w:t xml:space="preserve">by </w:t>
      </w:r>
      <w:r w:rsidR="00485723">
        <w:rPr>
          <w:sz w:val="22"/>
          <w:szCs w:val="22"/>
          <w:lang w:val="en-US"/>
        </w:rPr>
        <w:t>h</w:t>
      </w:r>
      <w:r w:rsidR="002F4270">
        <w:rPr>
          <w:sz w:val="22"/>
          <w:szCs w:val="22"/>
          <w:lang w:val="en-US"/>
        </w:rPr>
        <w:t>igh</w:t>
      </w:r>
      <w:r w:rsidR="006F5CCE">
        <w:rPr>
          <w:sz w:val="22"/>
          <w:szCs w:val="22"/>
          <w:lang w:val="en-US"/>
        </w:rPr>
        <w:t>-</w:t>
      </w:r>
      <w:r w:rsidR="002F4270">
        <w:rPr>
          <w:sz w:val="22"/>
          <w:szCs w:val="22"/>
          <w:lang w:val="en-US"/>
        </w:rPr>
        <w:t xml:space="preserve">content imaging </w:t>
      </w:r>
      <w:r w:rsidR="00485723">
        <w:rPr>
          <w:sz w:val="22"/>
          <w:szCs w:val="22"/>
          <w:lang w:val="en-US"/>
        </w:rPr>
        <w:t>has been reported</w:t>
      </w:r>
      <w:r w:rsidR="00E74D3C">
        <w:rPr>
          <w:sz w:val="22"/>
          <w:szCs w:val="22"/>
          <w:lang w:val="en-US"/>
        </w:rPr>
        <w:t xml:space="preserve">. </w:t>
      </w:r>
    </w:p>
    <w:p w14:paraId="367C497A" w14:textId="77777777" w:rsidR="00E714FD" w:rsidRPr="000016FB" w:rsidRDefault="00E714FD" w:rsidP="006730B6">
      <w:pPr>
        <w:spacing w:line="480" w:lineRule="auto"/>
        <w:jc w:val="both"/>
        <w:rPr>
          <w:color w:val="FF0000"/>
          <w:sz w:val="22"/>
          <w:szCs w:val="22"/>
          <w:lang w:val="en-US"/>
        </w:rPr>
      </w:pPr>
    </w:p>
    <w:p w14:paraId="591BAC07" w14:textId="16E075F0" w:rsidR="00D61DC3" w:rsidRPr="002161B9" w:rsidRDefault="005D01F5" w:rsidP="002161B9">
      <w:pPr>
        <w:spacing w:line="480" w:lineRule="auto"/>
        <w:jc w:val="both"/>
        <w:rPr>
          <w:sz w:val="22"/>
          <w:szCs w:val="22"/>
          <w:lang w:val="en-GB"/>
        </w:rPr>
      </w:pPr>
      <w:r w:rsidRPr="000016FB">
        <w:rPr>
          <w:sz w:val="22"/>
          <w:szCs w:val="22"/>
          <w:lang w:val="en-US"/>
        </w:rPr>
        <w:t>T</w:t>
      </w:r>
      <w:r w:rsidR="00D61DC3" w:rsidRPr="000016FB">
        <w:rPr>
          <w:sz w:val="22"/>
          <w:szCs w:val="22"/>
          <w:lang w:val="en-US"/>
        </w:rPr>
        <w:t xml:space="preserve">he cytotoxicity assay </w:t>
      </w:r>
      <w:r w:rsidR="007E1E5C">
        <w:rPr>
          <w:sz w:val="22"/>
          <w:szCs w:val="22"/>
          <w:lang w:val="en-US"/>
        </w:rPr>
        <w:t xml:space="preserve">is </w:t>
      </w:r>
      <w:r w:rsidR="00D61DC3" w:rsidRPr="000016FB">
        <w:rPr>
          <w:sz w:val="22"/>
          <w:szCs w:val="22"/>
          <w:lang w:val="en-US"/>
        </w:rPr>
        <w:t xml:space="preserve">generally </w:t>
      </w:r>
      <w:r w:rsidR="00671645">
        <w:rPr>
          <w:sz w:val="22"/>
          <w:szCs w:val="22"/>
          <w:lang w:val="en-US"/>
        </w:rPr>
        <w:t xml:space="preserve">not </w:t>
      </w:r>
      <w:r w:rsidR="007E1E5C">
        <w:rPr>
          <w:sz w:val="22"/>
          <w:szCs w:val="22"/>
          <w:lang w:val="en-US"/>
        </w:rPr>
        <w:t xml:space="preserve">considered to </w:t>
      </w:r>
      <w:r w:rsidR="00D61DC3" w:rsidRPr="000016FB">
        <w:rPr>
          <w:sz w:val="22"/>
          <w:szCs w:val="22"/>
          <w:lang w:val="en-US"/>
        </w:rPr>
        <w:t>reflect organ</w:t>
      </w:r>
      <w:r w:rsidR="007E1E5C">
        <w:rPr>
          <w:sz w:val="22"/>
          <w:szCs w:val="22"/>
          <w:lang w:val="en-US"/>
        </w:rPr>
        <w:t>-</w:t>
      </w:r>
      <w:r w:rsidR="00D61DC3" w:rsidRPr="000016FB">
        <w:rPr>
          <w:sz w:val="22"/>
          <w:szCs w:val="22"/>
          <w:lang w:val="en-US"/>
        </w:rPr>
        <w:t xml:space="preserve">specific toxicities, </w:t>
      </w:r>
      <w:r w:rsidR="00193273">
        <w:rPr>
          <w:sz w:val="22"/>
          <w:szCs w:val="22"/>
          <w:lang w:val="en-US"/>
        </w:rPr>
        <w:t>such as</w:t>
      </w:r>
      <w:r w:rsidR="00193273" w:rsidRPr="000016FB">
        <w:rPr>
          <w:sz w:val="22"/>
          <w:szCs w:val="22"/>
          <w:lang w:val="en-US"/>
        </w:rPr>
        <w:t xml:space="preserve"> </w:t>
      </w:r>
      <w:r w:rsidR="00916CE2">
        <w:rPr>
          <w:sz w:val="22"/>
          <w:szCs w:val="22"/>
          <w:lang w:val="en-US"/>
        </w:rPr>
        <w:t>DILI,</w:t>
      </w:r>
      <w:r w:rsidR="006B268D" w:rsidRPr="000016FB">
        <w:rPr>
          <w:sz w:val="22"/>
          <w:szCs w:val="22"/>
          <w:lang w:val="en-US"/>
        </w:rPr>
        <w:t xml:space="preserve"> but facilitates early hazard identification</w:t>
      </w:r>
      <w:r w:rsidR="007E1E5C">
        <w:rPr>
          <w:sz w:val="22"/>
          <w:szCs w:val="22"/>
          <w:lang w:val="en-US"/>
        </w:rPr>
        <w:t xml:space="preserve"> of compound</w:t>
      </w:r>
      <w:r w:rsidR="00417DBF">
        <w:rPr>
          <w:sz w:val="22"/>
          <w:szCs w:val="22"/>
          <w:lang w:val="en-US"/>
        </w:rPr>
        <w:t>s</w:t>
      </w:r>
      <w:r w:rsidR="007E1E5C">
        <w:rPr>
          <w:sz w:val="22"/>
          <w:szCs w:val="22"/>
          <w:lang w:val="en-US"/>
        </w:rPr>
        <w:t xml:space="preserve"> likely to produce unacceptable toxicity</w:t>
      </w:r>
      <w:r w:rsidR="00D61DC3" w:rsidRPr="000016FB">
        <w:rPr>
          <w:sz w:val="22"/>
          <w:szCs w:val="22"/>
          <w:lang w:val="en-US"/>
        </w:rPr>
        <w:t>. Cytotoxicity assessment of close to 300 compounds with reported organ</w:t>
      </w:r>
      <w:r w:rsidR="00671645">
        <w:rPr>
          <w:sz w:val="22"/>
          <w:szCs w:val="22"/>
          <w:lang w:val="en-US"/>
        </w:rPr>
        <w:t>-</w:t>
      </w:r>
      <w:r w:rsidR="00D61DC3" w:rsidRPr="000016FB">
        <w:rPr>
          <w:sz w:val="22"/>
          <w:szCs w:val="22"/>
          <w:lang w:val="en-US"/>
        </w:rPr>
        <w:t>specific toxicities in cell lines of hepatic, cardiac, or renal origin showed similar sensitivity in all cell lines except for a small subset of compounds</w:t>
      </w:r>
      <w:r w:rsidR="00E714FD" w:rsidRPr="000016FB">
        <w:rPr>
          <w:noProof/>
          <w:sz w:val="22"/>
          <w:szCs w:val="22"/>
          <w:lang w:val="en-US"/>
        </w:rPr>
        <w:t xml:space="preserve"> </w:t>
      </w:r>
      <w:sdt>
        <w:sdtPr>
          <w:rPr>
            <w:noProof/>
            <w:sz w:val="22"/>
            <w:szCs w:val="22"/>
            <w:lang w:val="en-US"/>
          </w:rPr>
          <w:id w:val="229963074"/>
          <w:citation/>
        </w:sdtPr>
        <w:sdtEndPr/>
        <w:sdtContent>
          <w:r w:rsidR="00795FE6">
            <w:rPr>
              <w:noProof/>
              <w:sz w:val="22"/>
              <w:szCs w:val="22"/>
              <w:lang w:val="en-US"/>
            </w:rPr>
            <w:fldChar w:fldCharType="begin"/>
          </w:r>
          <w:r w:rsidR="00795FE6">
            <w:rPr>
              <w:noProof/>
              <w:sz w:val="22"/>
              <w:szCs w:val="22"/>
              <w:lang w:val="en-GB"/>
            </w:rPr>
            <w:instrText xml:space="preserve"> CITATION Lin12 \l 2057 </w:instrText>
          </w:r>
          <w:r w:rsidR="00795FE6">
            <w:rPr>
              <w:noProof/>
              <w:sz w:val="22"/>
              <w:szCs w:val="22"/>
              <w:lang w:val="en-US"/>
            </w:rPr>
            <w:fldChar w:fldCharType="separate"/>
          </w:r>
          <w:r w:rsidR="002D6947" w:rsidRPr="002D6947">
            <w:rPr>
              <w:noProof/>
              <w:sz w:val="22"/>
              <w:szCs w:val="22"/>
              <w:lang w:val="en-GB"/>
            </w:rPr>
            <w:t>[14]</w:t>
          </w:r>
          <w:r w:rsidR="00795FE6">
            <w:rPr>
              <w:noProof/>
              <w:sz w:val="22"/>
              <w:szCs w:val="22"/>
              <w:lang w:val="en-US"/>
            </w:rPr>
            <w:fldChar w:fldCharType="end"/>
          </w:r>
        </w:sdtContent>
      </w:sdt>
      <w:r w:rsidR="00D61DC3" w:rsidRPr="000016FB">
        <w:rPr>
          <w:sz w:val="22"/>
          <w:szCs w:val="22"/>
          <w:lang w:val="en-US"/>
        </w:rPr>
        <w:t xml:space="preserve">. </w:t>
      </w:r>
      <w:r w:rsidR="00E714FD" w:rsidRPr="000016FB">
        <w:rPr>
          <w:sz w:val="22"/>
          <w:szCs w:val="22"/>
          <w:lang w:val="en-US"/>
        </w:rPr>
        <w:t>The lack of organ</w:t>
      </w:r>
      <w:r w:rsidR="00671645">
        <w:rPr>
          <w:sz w:val="22"/>
          <w:szCs w:val="22"/>
          <w:lang w:val="en-US"/>
        </w:rPr>
        <w:t>-</w:t>
      </w:r>
      <w:r w:rsidR="00E714FD" w:rsidRPr="000016FB">
        <w:rPr>
          <w:sz w:val="22"/>
          <w:szCs w:val="22"/>
          <w:lang w:val="en-US"/>
        </w:rPr>
        <w:t xml:space="preserve">specific and/or selective toxicities </w:t>
      </w:r>
      <w:r w:rsidR="00671645">
        <w:rPr>
          <w:sz w:val="22"/>
          <w:szCs w:val="22"/>
          <w:lang w:val="en-US"/>
        </w:rPr>
        <w:t>is</w:t>
      </w:r>
      <w:r w:rsidR="00671645" w:rsidRPr="000016FB">
        <w:rPr>
          <w:sz w:val="22"/>
          <w:szCs w:val="22"/>
          <w:lang w:val="en-US"/>
        </w:rPr>
        <w:t xml:space="preserve"> </w:t>
      </w:r>
      <w:r w:rsidR="00E714FD" w:rsidRPr="000016FB">
        <w:rPr>
          <w:sz w:val="22"/>
          <w:szCs w:val="22"/>
          <w:lang w:val="en-US"/>
        </w:rPr>
        <w:t>believed to arise once</w:t>
      </w:r>
      <w:r w:rsidR="00D61DC3" w:rsidRPr="000016FB">
        <w:rPr>
          <w:sz w:val="22"/>
          <w:szCs w:val="22"/>
          <w:lang w:val="en-US"/>
        </w:rPr>
        <w:t xml:space="preserve"> cells are </w:t>
      </w:r>
      <w:r w:rsidR="00E714FD" w:rsidRPr="000016FB">
        <w:rPr>
          <w:sz w:val="22"/>
          <w:szCs w:val="22"/>
          <w:lang w:val="en-US"/>
        </w:rPr>
        <w:t xml:space="preserve">removed from their native </w:t>
      </w:r>
      <w:r w:rsidR="000F6811">
        <w:rPr>
          <w:sz w:val="22"/>
          <w:szCs w:val="22"/>
          <w:lang w:val="en-US"/>
        </w:rPr>
        <w:t>environment</w:t>
      </w:r>
      <w:r w:rsidR="00F907AF">
        <w:rPr>
          <w:sz w:val="22"/>
          <w:szCs w:val="22"/>
          <w:lang w:val="en-US"/>
        </w:rPr>
        <w:t xml:space="preserve">, especially the </w:t>
      </w:r>
      <w:r w:rsidR="00E714FD" w:rsidRPr="000016FB">
        <w:rPr>
          <w:sz w:val="22"/>
          <w:szCs w:val="22"/>
          <w:lang w:val="en-US"/>
        </w:rPr>
        <w:t xml:space="preserve">tissue/organ specific </w:t>
      </w:r>
      <w:r w:rsidR="00D61DC3" w:rsidRPr="000016FB">
        <w:rPr>
          <w:sz w:val="22"/>
          <w:szCs w:val="22"/>
          <w:lang w:val="en-US"/>
        </w:rPr>
        <w:t xml:space="preserve">environment </w:t>
      </w:r>
      <w:r w:rsidR="00671645">
        <w:rPr>
          <w:sz w:val="22"/>
          <w:szCs w:val="22"/>
          <w:lang w:val="en-US"/>
        </w:rPr>
        <w:t xml:space="preserve">with </w:t>
      </w:r>
      <w:r w:rsidR="00F907AF">
        <w:rPr>
          <w:sz w:val="22"/>
          <w:szCs w:val="22"/>
          <w:lang w:val="en-US"/>
        </w:rPr>
        <w:t>its</w:t>
      </w:r>
      <w:r w:rsidR="00F907AF" w:rsidRPr="000016FB">
        <w:rPr>
          <w:sz w:val="22"/>
          <w:szCs w:val="22"/>
          <w:lang w:val="en-US"/>
        </w:rPr>
        <w:t xml:space="preserve"> </w:t>
      </w:r>
      <w:r w:rsidR="00D61DC3" w:rsidRPr="000016FB">
        <w:rPr>
          <w:sz w:val="22"/>
          <w:szCs w:val="22"/>
          <w:lang w:val="en-US"/>
        </w:rPr>
        <w:t xml:space="preserve">complex </w:t>
      </w:r>
      <w:r w:rsidR="00E714FD" w:rsidRPr="000016FB">
        <w:rPr>
          <w:sz w:val="22"/>
          <w:szCs w:val="22"/>
          <w:lang w:val="en-US"/>
        </w:rPr>
        <w:t xml:space="preserve">3D </w:t>
      </w:r>
      <w:r w:rsidR="00D61DC3" w:rsidRPr="000016FB">
        <w:rPr>
          <w:sz w:val="22"/>
          <w:szCs w:val="22"/>
          <w:lang w:val="en-US"/>
        </w:rPr>
        <w:t>cell</w:t>
      </w:r>
      <w:r w:rsidR="00E714FD" w:rsidRPr="000016FB">
        <w:rPr>
          <w:sz w:val="22"/>
          <w:szCs w:val="22"/>
          <w:lang w:val="en-US"/>
        </w:rPr>
        <w:t>-cell</w:t>
      </w:r>
      <w:r w:rsidR="00D61DC3" w:rsidRPr="000016FB">
        <w:rPr>
          <w:sz w:val="22"/>
          <w:szCs w:val="22"/>
          <w:lang w:val="en-US"/>
        </w:rPr>
        <w:t xml:space="preserve"> interactio</w:t>
      </w:r>
      <w:r w:rsidR="00B55D48" w:rsidRPr="000016FB">
        <w:rPr>
          <w:sz w:val="22"/>
          <w:szCs w:val="22"/>
          <w:lang w:val="en-US"/>
        </w:rPr>
        <w:t>ns, para- and endocrine factors</w:t>
      </w:r>
      <w:r w:rsidR="000F6811">
        <w:rPr>
          <w:sz w:val="22"/>
          <w:szCs w:val="22"/>
          <w:lang w:val="en-US"/>
        </w:rPr>
        <w:t>,</w:t>
      </w:r>
      <w:r w:rsidR="00B55D48" w:rsidRPr="000016FB">
        <w:rPr>
          <w:sz w:val="22"/>
          <w:szCs w:val="22"/>
          <w:lang w:val="en-US"/>
        </w:rPr>
        <w:t xml:space="preserve"> </w:t>
      </w:r>
      <w:r w:rsidR="00044A83" w:rsidRPr="000016FB">
        <w:rPr>
          <w:i/>
          <w:sz w:val="22"/>
          <w:szCs w:val="22"/>
          <w:lang w:val="en-US"/>
        </w:rPr>
        <w:t>etc.</w:t>
      </w:r>
      <w:r w:rsidR="00B55D48" w:rsidRPr="000016FB">
        <w:rPr>
          <w:sz w:val="22"/>
          <w:szCs w:val="22"/>
          <w:lang w:val="en-US"/>
        </w:rPr>
        <w:t xml:space="preserve"> </w:t>
      </w:r>
      <w:r w:rsidR="0068309A" w:rsidRPr="0068309A">
        <w:rPr>
          <w:noProof/>
          <w:sz w:val="22"/>
          <w:szCs w:val="22"/>
          <w:lang w:val="en-GB"/>
        </w:rPr>
        <w:t xml:space="preserve"> </w:t>
      </w:r>
      <w:sdt>
        <w:sdtPr>
          <w:rPr>
            <w:noProof/>
            <w:sz w:val="22"/>
            <w:szCs w:val="22"/>
            <w:lang w:val="en-GB"/>
          </w:rPr>
          <w:id w:val="1385372084"/>
          <w:citation/>
        </w:sdtPr>
        <w:sdtEndPr/>
        <w:sdtContent>
          <w:r w:rsidR="00795FE6">
            <w:rPr>
              <w:noProof/>
              <w:sz w:val="22"/>
              <w:szCs w:val="22"/>
              <w:lang w:val="en-GB"/>
            </w:rPr>
            <w:fldChar w:fldCharType="begin"/>
          </w:r>
          <w:r w:rsidR="00795FE6">
            <w:rPr>
              <w:noProof/>
              <w:sz w:val="22"/>
              <w:szCs w:val="22"/>
              <w:lang w:val="en-GB"/>
            </w:rPr>
            <w:instrText xml:space="preserve"> CITATION Mar16 \l 2057 </w:instrText>
          </w:r>
          <w:r w:rsidR="00795FE6">
            <w:rPr>
              <w:noProof/>
              <w:sz w:val="22"/>
              <w:szCs w:val="22"/>
              <w:lang w:val="en-GB"/>
            </w:rPr>
            <w:fldChar w:fldCharType="separate"/>
          </w:r>
          <w:r w:rsidR="002D6947" w:rsidRPr="002D6947">
            <w:rPr>
              <w:noProof/>
              <w:sz w:val="22"/>
              <w:szCs w:val="22"/>
              <w:lang w:val="en-GB"/>
            </w:rPr>
            <w:t>[15]</w:t>
          </w:r>
          <w:r w:rsidR="00795FE6">
            <w:rPr>
              <w:noProof/>
              <w:sz w:val="22"/>
              <w:szCs w:val="22"/>
              <w:lang w:val="en-GB"/>
            </w:rPr>
            <w:fldChar w:fldCharType="end"/>
          </w:r>
        </w:sdtContent>
      </w:sdt>
      <w:r w:rsidR="0068309A" w:rsidRPr="000016FB" w:rsidDel="0068309A">
        <w:rPr>
          <w:sz w:val="22"/>
          <w:szCs w:val="22"/>
          <w:lang w:val="en-US"/>
        </w:rPr>
        <w:t xml:space="preserve"> </w:t>
      </w:r>
      <w:r w:rsidR="00D61DC3" w:rsidRPr="000016FB">
        <w:rPr>
          <w:sz w:val="22"/>
          <w:szCs w:val="22"/>
          <w:lang w:val="en-US"/>
        </w:rPr>
        <w:t xml:space="preserve">. Other limitations </w:t>
      </w:r>
      <w:r w:rsidR="00B850CF">
        <w:rPr>
          <w:sz w:val="22"/>
          <w:szCs w:val="22"/>
          <w:lang w:val="en-US"/>
        </w:rPr>
        <w:t xml:space="preserve">for the detection of DILI </w:t>
      </w:r>
      <w:r w:rsidR="00D61DC3" w:rsidRPr="000016FB">
        <w:rPr>
          <w:sz w:val="22"/>
          <w:szCs w:val="22"/>
          <w:lang w:val="en-US"/>
        </w:rPr>
        <w:t>include changes to the cell</w:t>
      </w:r>
      <w:r w:rsidR="00F907AF">
        <w:rPr>
          <w:sz w:val="22"/>
          <w:szCs w:val="22"/>
          <w:lang w:val="en-US"/>
        </w:rPr>
        <w:t>ular</w:t>
      </w:r>
      <w:r w:rsidR="00B55D48" w:rsidRPr="000016FB">
        <w:rPr>
          <w:sz w:val="22"/>
          <w:szCs w:val="22"/>
          <w:lang w:val="en-US"/>
        </w:rPr>
        <w:t xml:space="preserve"> </w:t>
      </w:r>
      <w:r w:rsidR="00D61DC3" w:rsidRPr="000016FB">
        <w:rPr>
          <w:sz w:val="22"/>
          <w:szCs w:val="22"/>
          <w:lang w:val="en-US"/>
        </w:rPr>
        <w:t>phenotype</w:t>
      </w:r>
      <w:r w:rsidR="000F6811">
        <w:rPr>
          <w:sz w:val="22"/>
          <w:szCs w:val="22"/>
          <w:lang w:val="en-US"/>
        </w:rPr>
        <w:t>,</w:t>
      </w:r>
      <w:r w:rsidR="00D61DC3" w:rsidRPr="000016FB">
        <w:rPr>
          <w:sz w:val="22"/>
          <w:szCs w:val="22"/>
          <w:lang w:val="en-US"/>
        </w:rPr>
        <w:t xml:space="preserve"> </w:t>
      </w:r>
      <w:r w:rsidR="00B55D48" w:rsidRPr="000016FB">
        <w:rPr>
          <w:sz w:val="22"/>
          <w:szCs w:val="22"/>
          <w:lang w:val="en-US"/>
        </w:rPr>
        <w:t xml:space="preserve">as evidenced </w:t>
      </w:r>
      <w:r w:rsidR="006509BE">
        <w:rPr>
          <w:sz w:val="22"/>
          <w:szCs w:val="22"/>
          <w:lang w:val="en-US"/>
        </w:rPr>
        <w:t>by</w:t>
      </w:r>
      <w:r w:rsidR="00B55D48" w:rsidRPr="000016FB">
        <w:rPr>
          <w:sz w:val="22"/>
          <w:szCs w:val="22"/>
          <w:lang w:val="en-US"/>
        </w:rPr>
        <w:t xml:space="preserve"> </w:t>
      </w:r>
      <w:r w:rsidR="00671645">
        <w:rPr>
          <w:sz w:val="22"/>
          <w:szCs w:val="22"/>
          <w:lang w:val="en-US"/>
        </w:rPr>
        <w:t>downregulation of</w:t>
      </w:r>
      <w:r w:rsidR="00B55D48" w:rsidRPr="000016FB">
        <w:rPr>
          <w:sz w:val="22"/>
          <w:szCs w:val="22"/>
          <w:lang w:val="en-US"/>
        </w:rPr>
        <w:t xml:space="preserve"> the constitutive expression of</w:t>
      </w:r>
      <w:r w:rsidR="00D61DC3" w:rsidRPr="000016FB">
        <w:rPr>
          <w:sz w:val="22"/>
          <w:szCs w:val="22"/>
          <w:lang w:val="en-US"/>
        </w:rPr>
        <w:t xml:space="preserve"> </w:t>
      </w:r>
      <w:r w:rsidR="00B55D48" w:rsidRPr="000016FB">
        <w:rPr>
          <w:sz w:val="22"/>
          <w:szCs w:val="22"/>
          <w:lang w:val="en-US"/>
        </w:rPr>
        <w:t xml:space="preserve">the drug-metabolizing enzymes </w:t>
      </w:r>
      <w:r w:rsidR="00D61DC3" w:rsidRPr="000016FB">
        <w:rPr>
          <w:sz w:val="22"/>
          <w:szCs w:val="22"/>
          <w:lang w:val="en-US"/>
        </w:rPr>
        <w:t xml:space="preserve">in cultured </w:t>
      </w:r>
      <w:r w:rsidR="00B55D48" w:rsidRPr="000016FB">
        <w:rPr>
          <w:sz w:val="22"/>
          <w:szCs w:val="22"/>
          <w:lang w:val="en-US"/>
        </w:rPr>
        <w:t>primary hepatocytes</w:t>
      </w:r>
      <w:r w:rsidR="00D61DC3" w:rsidRPr="000016FB">
        <w:rPr>
          <w:sz w:val="22"/>
          <w:szCs w:val="22"/>
          <w:lang w:val="en-US"/>
        </w:rPr>
        <w:t xml:space="preserve">, </w:t>
      </w:r>
      <w:r w:rsidR="00512DC8">
        <w:rPr>
          <w:sz w:val="22"/>
          <w:szCs w:val="22"/>
          <w:lang w:val="en-US"/>
        </w:rPr>
        <w:t xml:space="preserve">and </w:t>
      </w:r>
      <w:r w:rsidR="007E1E5C">
        <w:rPr>
          <w:sz w:val="22"/>
          <w:szCs w:val="22"/>
          <w:lang w:val="en-US"/>
        </w:rPr>
        <w:t xml:space="preserve">difficulties in replicating the pharmacokinetics of </w:t>
      </w:r>
      <w:r w:rsidR="00512DC8" w:rsidRPr="00512DC8">
        <w:rPr>
          <w:i/>
          <w:sz w:val="22"/>
          <w:szCs w:val="22"/>
          <w:lang w:val="en-US"/>
        </w:rPr>
        <w:t>in vivo</w:t>
      </w:r>
      <w:r w:rsidR="00512DC8">
        <w:rPr>
          <w:sz w:val="22"/>
          <w:szCs w:val="22"/>
          <w:lang w:val="en-US"/>
        </w:rPr>
        <w:t xml:space="preserve"> </w:t>
      </w:r>
      <w:r w:rsidR="007E1E5C">
        <w:rPr>
          <w:sz w:val="22"/>
          <w:szCs w:val="22"/>
          <w:lang w:val="en-US"/>
        </w:rPr>
        <w:t xml:space="preserve">liver exposure to drugs in </w:t>
      </w:r>
      <w:r w:rsidR="003A099E">
        <w:rPr>
          <w:sz w:val="22"/>
          <w:szCs w:val="22"/>
          <w:lang w:val="en-US"/>
        </w:rPr>
        <w:t xml:space="preserve">culture </w:t>
      </w:r>
      <w:sdt>
        <w:sdtPr>
          <w:rPr>
            <w:sz w:val="22"/>
            <w:szCs w:val="22"/>
            <w:lang w:val="en-US"/>
          </w:rPr>
          <w:id w:val="352306200"/>
          <w:citation/>
        </w:sdtPr>
        <w:sdtEndPr/>
        <w:sdtContent>
          <w:r w:rsidR="00795FE6">
            <w:rPr>
              <w:sz w:val="22"/>
              <w:szCs w:val="22"/>
              <w:lang w:val="en-US"/>
            </w:rPr>
            <w:fldChar w:fldCharType="begin"/>
          </w:r>
          <w:r w:rsidR="00795FE6">
            <w:rPr>
              <w:noProof/>
              <w:sz w:val="22"/>
              <w:szCs w:val="22"/>
              <w:lang w:val="en-GB"/>
            </w:rPr>
            <w:instrText xml:space="preserve"> CITATION Sis15 \l 2057 </w:instrText>
          </w:r>
          <w:r w:rsidR="00795FE6">
            <w:rPr>
              <w:sz w:val="22"/>
              <w:szCs w:val="22"/>
              <w:lang w:val="en-US"/>
            </w:rPr>
            <w:fldChar w:fldCharType="separate"/>
          </w:r>
          <w:r w:rsidR="002D6947" w:rsidRPr="002D6947">
            <w:rPr>
              <w:noProof/>
              <w:sz w:val="22"/>
              <w:szCs w:val="22"/>
              <w:lang w:val="en-GB"/>
            </w:rPr>
            <w:t>[16]</w:t>
          </w:r>
          <w:r w:rsidR="00795FE6">
            <w:rPr>
              <w:sz w:val="22"/>
              <w:szCs w:val="22"/>
              <w:lang w:val="en-US"/>
            </w:rPr>
            <w:fldChar w:fldCharType="end"/>
          </w:r>
        </w:sdtContent>
      </w:sdt>
      <w:r w:rsidR="00602AEC">
        <w:rPr>
          <w:sz w:val="22"/>
          <w:szCs w:val="22"/>
          <w:lang w:val="en-US"/>
        </w:rPr>
        <w:t>.</w:t>
      </w:r>
      <w:r w:rsidR="00845762">
        <w:rPr>
          <w:sz w:val="22"/>
          <w:szCs w:val="22"/>
          <w:lang w:val="en-US"/>
        </w:rPr>
        <w:t xml:space="preserve"> </w:t>
      </w:r>
    </w:p>
    <w:p w14:paraId="15A3792A" w14:textId="77777777" w:rsidR="00B55D48" w:rsidRPr="000016FB" w:rsidRDefault="00B55D48" w:rsidP="006730B6">
      <w:pPr>
        <w:autoSpaceDE w:val="0"/>
        <w:autoSpaceDN w:val="0"/>
        <w:adjustRightInd w:val="0"/>
        <w:spacing w:line="480" w:lineRule="auto"/>
        <w:jc w:val="both"/>
        <w:rPr>
          <w:sz w:val="22"/>
          <w:szCs w:val="22"/>
          <w:lang w:val="en-US"/>
        </w:rPr>
      </w:pPr>
    </w:p>
    <w:p w14:paraId="3B6BF3F5" w14:textId="39505CA7" w:rsidR="00332477" w:rsidRPr="006D3AAB" w:rsidRDefault="00966412" w:rsidP="006730B6">
      <w:pPr>
        <w:autoSpaceDE w:val="0"/>
        <w:autoSpaceDN w:val="0"/>
        <w:adjustRightInd w:val="0"/>
        <w:spacing w:line="480" w:lineRule="auto"/>
        <w:jc w:val="both"/>
        <w:rPr>
          <w:sz w:val="22"/>
          <w:szCs w:val="22"/>
          <w:lang w:val="en-US"/>
        </w:rPr>
      </w:pPr>
      <w:r w:rsidRPr="000016FB">
        <w:rPr>
          <w:sz w:val="22"/>
          <w:szCs w:val="22"/>
          <w:lang w:val="en-US"/>
        </w:rPr>
        <w:t xml:space="preserve">Both </w:t>
      </w:r>
      <w:r w:rsidR="00193273">
        <w:rPr>
          <w:sz w:val="22"/>
          <w:szCs w:val="22"/>
          <w:lang w:val="en-US"/>
        </w:rPr>
        <w:t>p</w:t>
      </w:r>
      <w:r w:rsidRPr="000016FB">
        <w:rPr>
          <w:sz w:val="22"/>
          <w:szCs w:val="22"/>
          <w:lang w:val="en-US"/>
        </w:rPr>
        <w:t>rimary hepatocytes and cell</w:t>
      </w:r>
      <w:r w:rsidR="00193273">
        <w:rPr>
          <w:sz w:val="22"/>
          <w:szCs w:val="22"/>
          <w:lang w:val="en-US"/>
        </w:rPr>
        <w:t xml:space="preserve"> </w:t>
      </w:r>
      <w:r w:rsidRPr="000016FB">
        <w:rPr>
          <w:sz w:val="22"/>
          <w:szCs w:val="22"/>
          <w:lang w:val="en-US"/>
        </w:rPr>
        <w:t>lines are use</w:t>
      </w:r>
      <w:r w:rsidR="00193273">
        <w:rPr>
          <w:sz w:val="22"/>
          <w:szCs w:val="22"/>
          <w:lang w:val="en-US"/>
        </w:rPr>
        <w:t>d</w:t>
      </w:r>
      <w:r w:rsidRPr="000016FB">
        <w:rPr>
          <w:sz w:val="22"/>
          <w:szCs w:val="22"/>
          <w:lang w:val="en-US"/>
        </w:rPr>
        <w:t xml:space="preserve"> in </w:t>
      </w:r>
      <w:r w:rsidR="00D61DC3" w:rsidRPr="000016FB">
        <w:rPr>
          <w:sz w:val="22"/>
          <w:szCs w:val="22"/>
          <w:lang w:val="en-US"/>
        </w:rPr>
        <w:t xml:space="preserve">cytotoxicity </w:t>
      </w:r>
      <w:r w:rsidRPr="000016FB">
        <w:rPr>
          <w:sz w:val="22"/>
          <w:szCs w:val="22"/>
          <w:lang w:val="en-US"/>
        </w:rPr>
        <w:t>tests.  Whilst</w:t>
      </w:r>
      <w:r w:rsidR="00D61DC3" w:rsidRPr="000016FB">
        <w:rPr>
          <w:sz w:val="22"/>
          <w:szCs w:val="22"/>
          <w:lang w:val="en-US"/>
        </w:rPr>
        <w:t xml:space="preserve"> primary human and animal hepatocytes</w:t>
      </w:r>
      <w:r w:rsidRPr="000016FB">
        <w:rPr>
          <w:sz w:val="22"/>
          <w:szCs w:val="22"/>
          <w:lang w:val="en-US"/>
        </w:rPr>
        <w:t>, w</w:t>
      </w:r>
      <w:r w:rsidR="00F907AF">
        <w:rPr>
          <w:sz w:val="22"/>
          <w:szCs w:val="22"/>
          <w:lang w:val="en-US"/>
        </w:rPr>
        <w:t>hich</w:t>
      </w:r>
      <w:r w:rsidRPr="000016FB">
        <w:rPr>
          <w:sz w:val="22"/>
          <w:szCs w:val="22"/>
          <w:lang w:val="en-US"/>
        </w:rPr>
        <w:t xml:space="preserve"> retained </w:t>
      </w:r>
      <w:r w:rsidR="00F907AF">
        <w:rPr>
          <w:sz w:val="22"/>
          <w:szCs w:val="22"/>
          <w:lang w:val="en-US"/>
        </w:rPr>
        <w:t xml:space="preserve">some </w:t>
      </w:r>
      <w:r w:rsidRPr="000016FB">
        <w:rPr>
          <w:sz w:val="22"/>
          <w:szCs w:val="22"/>
          <w:lang w:val="en-US"/>
        </w:rPr>
        <w:t>level of metabolic capacity, are viewed</w:t>
      </w:r>
      <w:r w:rsidR="006B268D" w:rsidRPr="000016FB">
        <w:rPr>
          <w:sz w:val="22"/>
          <w:szCs w:val="22"/>
          <w:lang w:val="en-US"/>
        </w:rPr>
        <w:t xml:space="preserve"> as the gold</w:t>
      </w:r>
      <w:r w:rsidR="00D61DC3" w:rsidRPr="000016FB">
        <w:rPr>
          <w:sz w:val="22"/>
          <w:szCs w:val="22"/>
          <w:lang w:val="en-US"/>
        </w:rPr>
        <w:t xml:space="preserve"> standard in cytotoxicity screening </w:t>
      </w:r>
      <w:sdt>
        <w:sdtPr>
          <w:rPr>
            <w:sz w:val="22"/>
            <w:szCs w:val="22"/>
            <w:lang w:val="en-US"/>
          </w:rPr>
          <w:id w:val="226045357"/>
          <w:citation/>
        </w:sdtPr>
        <w:sdtEndPr/>
        <w:sdtContent>
          <w:r w:rsidR="001C5575">
            <w:rPr>
              <w:sz w:val="22"/>
              <w:szCs w:val="22"/>
              <w:lang w:val="en-US"/>
            </w:rPr>
            <w:fldChar w:fldCharType="begin"/>
          </w:r>
          <w:r w:rsidR="001C5575">
            <w:rPr>
              <w:noProof/>
              <w:sz w:val="22"/>
              <w:szCs w:val="22"/>
              <w:lang w:val="en-GB"/>
            </w:rPr>
            <w:instrText xml:space="preserve"> CITATION Ger09 \l 2057 </w:instrText>
          </w:r>
          <w:r w:rsidR="001C5575">
            <w:rPr>
              <w:sz w:val="22"/>
              <w:szCs w:val="22"/>
              <w:lang w:val="en-US"/>
            </w:rPr>
            <w:fldChar w:fldCharType="separate"/>
          </w:r>
          <w:r w:rsidR="002D6947" w:rsidRPr="002D6947">
            <w:rPr>
              <w:noProof/>
              <w:sz w:val="22"/>
              <w:szCs w:val="22"/>
              <w:lang w:val="en-GB"/>
            </w:rPr>
            <w:t>[17]</w:t>
          </w:r>
          <w:r w:rsidR="001C5575">
            <w:rPr>
              <w:sz w:val="22"/>
              <w:szCs w:val="22"/>
              <w:lang w:val="en-US"/>
            </w:rPr>
            <w:fldChar w:fldCharType="end"/>
          </w:r>
        </w:sdtContent>
      </w:sdt>
      <w:r w:rsidR="00671645">
        <w:rPr>
          <w:sz w:val="22"/>
          <w:szCs w:val="22"/>
          <w:lang w:val="en-US"/>
        </w:rPr>
        <w:t>,</w:t>
      </w:r>
      <w:r w:rsidR="001C5575">
        <w:rPr>
          <w:sz w:val="22"/>
          <w:szCs w:val="22"/>
          <w:lang w:val="en-US"/>
        </w:rPr>
        <w:t xml:space="preserve"> </w:t>
      </w:r>
      <w:r w:rsidR="00D61DC3" w:rsidRPr="000016FB">
        <w:rPr>
          <w:sz w:val="22"/>
          <w:szCs w:val="22"/>
          <w:lang w:val="en-US"/>
        </w:rPr>
        <w:t>cell lines</w:t>
      </w:r>
      <w:r w:rsidRPr="000016FB">
        <w:rPr>
          <w:sz w:val="22"/>
          <w:szCs w:val="22"/>
          <w:lang w:val="en-US"/>
        </w:rPr>
        <w:t xml:space="preserve"> such as</w:t>
      </w:r>
      <w:r w:rsidR="00D61DC3" w:rsidRPr="000016FB">
        <w:rPr>
          <w:sz w:val="22"/>
          <w:szCs w:val="22"/>
          <w:lang w:val="en-US"/>
        </w:rPr>
        <w:t xml:space="preserve"> HepG2 </w:t>
      </w:r>
      <w:r w:rsidR="00332477">
        <w:rPr>
          <w:sz w:val="22"/>
          <w:szCs w:val="22"/>
          <w:lang w:val="en-US"/>
        </w:rPr>
        <w:t xml:space="preserve">or </w:t>
      </w:r>
      <w:r w:rsidR="00750205">
        <w:rPr>
          <w:sz w:val="22"/>
          <w:szCs w:val="22"/>
          <w:lang w:val="en-US"/>
        </w:rPr>
        <w:t xml:space="preserve">THLE </w:t>
      </w:r>
      <w:r w:rsidR="00D61DC3" w:rsidRPr="000016FB">
        <w:rPr>
          <w:sz w:val="22"/>
          <w:szCs w:val="22"/>
          <w:lang w:val="en-US"/>
        </w:rPr>
        <w:t>cells are widely used due to their low cost</w:t>
      </w:r>
      <w:r w:rsidR="00E54C3C">
        <w:rPr>
          <w:sz w:val="22"/>
          <w:szCs w:val="22"/>
          <w:lang w:val="en-US"/>
        </w:rPr>
        <w:t>, consistent biological ph</w:t>
      </w:r>
      <w:r w:rsidR="00750205">
        <w:rPr>
          <w:sz w:val="22"/>
          <w:szCs w:val="22"/>
          <w:lang w:val="en-US"/>
        </w:rPr>
        <w:t>eno</w:t>
      </w:r>
      <w:r w:rsidR="00E54C3C">
        <w:rPr>
          <w:sz w:val="22"/>
          <w:szCs w:val="22"/>
          <w:lang w:val="en-US"/>
        </w:rPr>
        <w:t>type</w:t>
      </w:r>
      <w:r w:rsidR="00D61DC3" w:rsidRPr="000016FB">
        <w:rPr>
          <w:sz w:val="22"/>
          <w:szCs w:val="22"/>
          <w:lang w:val="en-US"/>
        </w:rPr>
        <w:t xml:space="preserve"> and eas</w:t>
      </w:r>
      <w:r w:rsidR="00CE07DA">
        <w:rPr>
          <w:sz w:val="22"/>
          <w:szCs w:val="22"/>
          <w:lang w:val="en-US"/>
        </w:rPr>
        <w:t>e of</w:t>
      </w:r>
      <w:r w:rsidR="00D61DC3" w:rsidRPr="000016FB">
        <w:rPr>
          <w:sz w:val="22"/>
          <w:szCs w:val="22"/>
          <w:lang w:val="en-US"/>
        </w:rPr>
        <w:t xml:space="preserve"> culturing</w:t>
      </w:r>
      <w:r w:rsidR="004F5BFF" w:rsidRPr="000016FB">
        <w:rPr>
          <w:noProof/>
          <w:sz w:val="22"/>
          <w:szCs w:val="22"/>
          <w:lang w:val="en-US"/>
        </w:rPr>
        <w:t xml:space="preserve"> </w:t>
      </w:r>
      <w:sdt>
        <w:sdtPr>
          <w:rPr>
            <w:noProof/>
            <w:sz w:val="22"/>
            <w:szCs w:val="22"/>
            <w:lang w:val="en-US"/>
          </w:rPr>
          <w:id w:val="-1077902575"/>
          <w:citation/>
        </w:sdtPr>
        <w:sdtEndPr/>
        <w:sdtContent>
          <w:r w:rsidR="001C5575">
            <w:rPr>
              <w:noProof/>
              <w:sz w:val="22"/>
              <w:szCs w:val="22"/>
              <w:lang w:val="en-US"/>
            </w:rPr>
            <w:fldChar w:fldCharType="begin"/>
          </w:r>
          <w:r w:rsidR="001C5575">
            <w:rPr>
              <w:noProof/>
              <w:sz w:val="22"/>
              <w:szCs w:val="22"/>
              <w:lang w:val="en-GB"/>
            </w:rPr>
            <w:instrText xml:space="preserve"> CITATION Sch \l 2057 </w:instrText>
          </w:r>
          <w:r w:rsidR="001C5575">
            <w:rPr>
              <w:noProof/>
              <w:sz w:val="22"/>
              <w:szCs w:val="22"/>
              <w:lang w:val="en-US"/>
            </w:rPr>
            <w:fldChar w:fldCharType="separate"/>
          </w:r>
          <w:r w:rsidR="002D6947" w:rsidRPr="002D6947">
            <w:rPr>
              <w:noProof/>
              <w:sz w:val="22"/>
              <w:szCs w:val="22"/>
              <w:lang w:val="en-GB"/>
            </w:rPr>
            <w:t>[18]</w:t>
          </w:r>
          <w:r w:rsidR="001C5575">
            <w:rPr>
              <w:noProof/>
              <w:sz w:val="22"/>
              <w:szCs w:val="22"/>
              <w:lang w:val="en-US"/>
            </w:rPr>
            <w:fldChar w:fldCharType="end"/>
          </w:r>
        </w:sdtContent>
      </w:sdt>
      <w:sdt>
        <w:sdtPr>
          <w:rPr>
            <w:noProof/>
            <w:sz w:val="22"/>
            <w:szCs w:val="22"/>
            <w:lang w:val="en-US"/>
          </w:rPr>
          <w:id w:val="-1330748629"/>
          <w:citation/>
        </w:sdtPr>
        <w:sdtEndPr/>
        <w:sdtContent>
          <w:r w:rsidR="001C5575">
            <w:rPr>
              <w:noProof/>
              <w:sz w:val="22"/>
              <w:szCs w:val="22"/>
              <w:lang w:val="en-US"/>
            </w:rPr>
            <w:fldChar w:fldCharType="begin"/>
          </w:r>
          <w:r w:rsidR="001C5575">
            <w:rPr>
              <w:noProof/>
              <w:sz w:val="22"/>
              <w:szCs w:val="22"/>
              <w:lang w:val="en-GB"/>
            </w:rPr>
            <w:instrText xml:space="preserve"> CITATION Sch5b \l 2057 </w:instrText>
          </w:r>
          <w:r w:rsidR="001C5575">
            <w:rPr>
              <w:noProof/>
              <w:sz w:val="22"/>
              <w:szCs w:val="22"/>
              <w:lang w:val="en-US"/>
            </w:rPr>
            <w:fldChar w:fldCharType="separate"/>
          </w:r>
          <w:r w:rsidR="002D6947">
            <w:rPr>
              <w:noProof/>
              <w:sz w:val="22"/>
              <w:szCs w:val="22"/>
              <w:lang w:val="en-GB"/>
            </w:rPr>
            <w:t xml:space="preserve"> </w:t>
          </w:r>
          <w:r w:rsidR="002D6947" w:rsidRPr="002D6947">
            <w:rPr>
              <w:noProof/>
              <w:sz w:val="22"/>
              <w:szCs w:val="22"/>
              <w:lang w:val="en-GB"/>
            </w:rPr>
            <w:t>[19]</w:t>
          </w:r>
          <w:r w:rsidR="001C5575">
            <w:rPr>
              <w:noProof/>
              <w:sz w:val="22"/>
              <w:szCs w:val="22"/>
              <w:lang w:val="en-US"/>
            </w:rPr>
            <w:fldChar w:fldCharType="end"/>
          </w:r>
        </w:sdtContent>
      </w:sdt>
      <w:r w:rsidR="001C5575">
        <w:rPr>
          <w:noProof/>
          <w:sz w:val="22"/>
          <w:szCs w:val="22"/>
          <w:lang w:val="en-US"/>
        </w:rPr>
        <w:t xml:space="preserve"> </w:t>
      </w:r>
      <w:sdt>
        <w:sdtPr>
          <w:rPr>
            <w:noProof/>
            <w:sz w:val="22"/>
            <w:szCs w:val="22"/>
            <w:lang w:val="en-US"/>
          </w:rPr>
          <w:id w:val="1945961551"/>
          <w:citation/>
        </w:sdtPr>
        <w:sdtEndPr/>
        <w:sdtContent>
          <w:r w:rsidR="001C5575">
            <w:rPr>
              <w:noProof/>
              <w:sz w:val="22"/>
              <w:szCs w:val="22"/>
              <w:lang w:val="en-US"/>
            </w:rPr>
            <w:fldChar w:fldCharType="begin"/>
          </w:r>
          <w:r w:rsidR="001C5575">
            <w:rPr>
              <w:noProof/>
              <w:sz w:val="22"/>
              <w:szCs w:val="22"/>
              <w:lang w:val="en-GB"/>
            </w:rPr>
            <w:instrText xml:space="preserve"> CITATION OBr06a \l 2057 </w:instrText>
          </w:r>
          <w:r w:rsidR="001C5575">
            <w:rPr>
              <w:noProof/>
              <w:sz w:val="22"/>
              <w:szCs w:val="22"/>
              <w:lang w:val="en-US"/>
            </w:rPr>
            <w:fldChar w:fldCharType="separate"/>
          </w:r>
          <w:r w:rsidR="002D6947" w:rsidRPr="002D6947">
            <w:rPr>
              <w:noProof/>
              <w:sz w:val="22"/>
              <w:szCs w:val="22"/>
              <w:lang w:val="en-GB"/>
            </w:rPr>
            <w:t>[20]</w:t>
          </w:r>
          <w:r w:rsidR="001C5575">
            <w:rPr>
              <w:noProof/>
              <w:sz w:val="22"/>
              <w:szCs w:val="22"/>
              <w:lang w:val="en-US"/>
            </w:rPr>
            <w:fldChar w:fldCharType="end"/>
          </w:r>
        </w:sdtContent>
      </w:sdt>
      <w:r w:rsidR="00CE07DA">
        <w:rPr>
          <w:noProof/>
          <w:sz w:val="22"/>
          <w:szCs w:val="22"/>
          <w:lang w:val="en-US"/>
        </w:rPr>
        <w:t xml:space="preserve">. </w:t>
      </w:r>
      <w:r w:rsidR="00814E05">
        <w:rPr>
          <w:noProof/>
          <w:sz w:val="22"/>
          <w:szCs w:val="22"/>
          <w:lang w:val="en-US"/>
        </w:rPr>
        <w:t>L</w:t>
      </w:r>
      <w:r w:rsidR="009E4928">
        <w:rPr>
          <w:sz w:val="22"/>
          <w:szCs w:val="22"/>
          <w:lang w:val="en-US"/>
        </w:rPr>
        <w:t>ow</w:t>
      </w:r>
      <w:r w:rsidR="00722619">
        <w:rPr>
          <w:sz w:val="22"/>
          <w:szCs w:val="22"/>
          <w:lang w:val="en-US"/>
        </w:rPr>
        <w:t xml:space="preserve">, as well as </w:t>
      </w:r>
      <w:proofErr w:type="spellStart"/>
      <w:r w:rsidR="00722619">
        <w:rPr>
          <w:sz w:val="22"/>
          <w:szCs w:val="22"/>
          <w:lang w:val="en-US"/>
        </w:rPr>
        <w:t>variable</w:t>
      </w:r>
      <w:r w:rsidRPr="000016FB">
        <w:rPr>
          <w:sz w:val="22"/>
          <w:szCs w:val="22"/>
          <w:lang w:val="en-US"/>
        </w:rPr>
        <w:t>expression</w:t>
      </w:r>
      <w:proofErr w:type="spellEnd"/>
      <w:r w:rsidRPr="000016FB">
        <w:rPr>
          <w:sz w:val="22"/>
          <w:szCs w:val="22"/>
          <w:lang w:val="en-US"/>
        </w:rPr>
        <w:t xml:space="preserve"> </w:t>
      </w:r>
      <w:r w:rsidR="00722619">
        <w:rPr>
          <w:sz w:val="22"/>
          <w:szCs w:val="22"/>
          <w:lang w:val="en-US"/>
        </w:rPr>
        <w:t xml:space="preserve">levels </w:t>
      </w:r>
      <w:r w:rsidRPr="000016FB">
        <w:rPr>
          <w:sz w:val="22"/>
          <w:szCs w:val="22"/>
          <w:lang w:val="en-US"/>
        </w:rPr>
        <w:t>of drug-metabolizing enzyme</w:t>
      </w:r>
      <w:r w:rsidR="00722619">
        <w:rPr>
          <w:sz w:val="22"/>
          <w:szCs w:val="22"/>
          <w:lang w:val="en-US"/>
        </w:rPr>
        <w:t xml:space="preserve">s </w:t>
      </w:r>
      <w:r w:rsidR="00F907AF">
        <w:rPr>
          <w:sz w:val="22"/>
          <w:szCs w:val="22"/>
          <w:lang w:val="en-US"/>
        </w:rPr>
        <w:t xml:space="preserve">, </w:t>
      </w:r>
      <w:r w:rsidR="00A6574A">
        <w:rPr>
          <w:sz w:val="22"/>
          <w:szCs w:val="22"/>
          <w:lang w:val="en-US"/>
        </w:rPr>
        <w:t>, especially</w:t>
      </w:r>
      <w:r w:rsidR="00A81B40">
        <w:rPr>
          <w:sz w:val="22"/>
          <w:szCs w:val="22"/>
          <w:lang w:val="en-US"/>
        </w:rPr>
        <w:t xml:space="preserve"> of the</w:t>
      </w:r>
      <w:r w:rsidR="002E206E">
        <w:rPr>
          <w:sz w:val="22"/>
          <w:szCs w:val="22"/>
          <w:lang w:val="en-US"/>
        </w:rPr>
        <w:t xml:space="preserve"> </w:t>
      </w:r>
      <w:r w:rsidRPr="000016FB">
        <w:rPr>
          <w:sz w:val="22"/>
          <w:szCs w:val="22"/>
          <w:lang w:val="en-US"/>
        </w:rPr>
        <w:t>Phase II enzyme</w:t>
      </w:r>
      <w:r w:rsidR="00080F05" w:rsidRPr="000016FB">
        <w:rPr>
          <w:sz w:val="22"/>
          <w:szCs w:val="22"/>
          <w:lang w:val="en-US"/>
        </w:rPr>
        <w:t>s</w:t>
      </w:r>
      <w:r w:rsidR="00A6574A">
        <w:rPr>
          <w:sz w:val="22"/>
          <w:szCs w:val="22"/>
          <w:lang w:val="en-US"/>
        </w:rPr>
        <w:t>,</w:t>
      </w:r>
      <w:r w:rsidR="00080F05" w:rsidRPr="000016FB">
        <w:rPr>
          <w:sz w:val="22"/>
          <w:szCs w:val="22"/>
          <w:lang w:val="en-US"/>
        </w:rPr>
        <w:t xml:space="preserve"> </w:t>
      </w:r>
      <w:r w:rsidR="0028679D">
        <w:rPr>
          <w:sz w:val="22"/>
          <w:szCs w:val="22"/>
          <w:lang w:val="en-US"/>
        </w:rPr>
        <w:t xml:space="preserve">in different batches of </w:t>
      </w:r>
      <w:r w:rsidR="006A35EA">
        <w:rPr>
          <w:sz w:val="22"/>
          <w:szCs w:val="22"/>
          <w:lang w:val="en-US"/>
        </w:rPr>
        <w:t>HepG2</w:t>
      </w:r>
      <w:r w:rsidR="00F907AF">
        <w:rPr>
          <w:sz w:val="22"/>
          <w:szCs w:val="22"/>
          <w:lang w:val="en-US"/>
        </w:rPr>
        <w:t xml:space="preserve"> cells</w:t>
      </w:r>
      <w:r w:rsidR="00417DBF">
        <w:rPr>
          <w:sz w:val="22"/>
          <w:szCs w:val="22"/>
          <w:lang w:val="en-US"/>
        </w:rPr>
        <w:t xml:space="preserve"> </w:t>
      </w:r>
      <w:r w:rsidR="00722619">
        <w:rPr>
          <w:sz w:val="22"/>
          <w:szCs w:val="22"/>
          <w:lang w:val="en-US"/>
        </w:rPr>
        <w:t xml:space="preserve">are </w:t>
      </w:r>
      <w:r w:rsidR="00671645">
        <w:rPr>
          <w:sz w:val="22"/>
          <w:szCs w:val="22"/>
          <w:lang w:val="en-US"/>
        </w:rPr>
        <w:t xml:space="preserve">a </w:t>
      </w:r>
      <w:r w:rsidR="007E1E5C">
        <w:rPr>
          <w:sz w:val="22"/>
          <w:szCs w:val="22"/>
          <w:lang w:val="en-US"/>
        </w:rPr>
        <w:t>contributing factor</w:t>
      </w:r>
      <w:r w:rsidR="00A81B40">
        <w:rPr>
          <w:sz w:val="22"/>
          <w:szCs w:val="22"/>
          <w:lang w:val="en-US"/>
        </w:rPr>
        <w:t xml:space="preserve"> </w:t>
      </w:r>
      <w:r w:rsidR="00671645">
        <w:rPr>
          <w:sz w:val="22"/>
          <w:szCs w:val="22"/>
          <w:lang w:val="en-US"/>
        </w:rPr>
        <w:t xml:space="preserve">for </w:t>
      </w:r>
      <w:r w:rsidR="00CE07DA">
        <w:rPr>
          <w:sz w:val="22"/>
          <w:szCs w:val="22"/>
          <w:lang w:val="en-US"/>
        </w:rPr>
        <w:t xml:space="preserve">inter-laboratory differences in the detection and classification of </w:t>
      </w:r>
      <w:r w:rsidR="00EC535A" w:rsidRPr="000016FB">
        <w:rPr>
          <w:sz w:val="22"/>
          <w:szCs w:val="22"/>
          <w:lang w:val="en-US"/>
        </w:rPr>
        <w:t>known hepatocellular toxicants</w:t>
      </w:r>
      <w:r w:rsidR="004F5BFF" w:rsidRPr="000016FB">
        <w:rPr>
          <w:sz w:val="22"/>
          <w:szCs w:val="22"/>
          <w:lang w:val="en-US"/>
        </w:rPr>
        <w:t xml:space="preserve"> </w:t>
      </w:r>
      <w:sdt>
        <w:sdtPr>
          <w:rPr>
            <w:sz w:val="22"/>
            <w:szCs w:val="22"/>
            <w:lang w:val="en-US"/>
          </w:rPr>
          <w:id w:val="1791933251"/>
          <w:citation/>
        </w:sdtPr>
        <w:sdtEndPr/>
        <w:sdtContent>
          <w:r w:rsidR="001C5575">
            <w:rPr>
              <w:sz w:val="22"/>
              <w:szCs w:val="22"/>
              <w:lang w:val="en-US"/>
            </w:rPr>
            <w:fldChar w:fldCharType="begin"/>
          </w:r>
          <w:r w:rsidR="001C5575">
            <w:rPr>
              <w:noProof/>
              <w:sz w:val="22"/>
              <w:szCs w:val="22"/>
              <w:lang w:val="en-GB"/>
            </w:rPr>
            <w:instrText xml:space="preserve"> CITATION Hew04 \l 2057 </w:instrText>
          </w:r>
          <w:r w:rsidR="001C5575">
            <w:rPr>
              <w:sz w:val="22"/>
              <w:szCs w:val="22"/>
              <w:lang w:val="en-US"/>
            </w:rPr>
            <w:fldChar w:fldCharType="separate"/>
          </w:r>
          <w:r w:rsidR="002D6947" w:rsidRPr="002D6947">
            <w:rPr>
              <w:noProof/>
              <w:sz w:val="22"/>
              <w:szCs w:val="22"/>
              <w:lang w:val="en-GB"/>
            </w:rPr>
            <w:t>[21]</w:t>
          </w:r>
          <w:r w:rsidR="001C5575">
            <w:rPr>
              <w:sz w:val="22"/>
              <w:szCs w:val="22"/>
              <w:lang w:val="en-US"/>
            </w:rPr>
            <w:fldChar w:fldCharType="end"/>
          </w:r>
        </w:sdtContent>
      </w:sdt>
      <w:r w:rsidR="00EC535A" w:rsidRPr="000016FB">
        <w:rPr>
          <w:sz w:val="22"/>
          <w:szCs w:val="22"/>
          <w:lang w:val="en-US"/>
        </w:rPr>
        <w:t xml:space="preserve">. </w:t>
      </w:r>
      <w:r w:rsidR="00671645">
        <w:rPr>
          <w:sz w:val="22"/>
          <w:szCs w:val="22"/>
          <w:lang w:val="en-US"/>
        </w:rPr>
        <w:t>Furthermore, in the</w:t>
      </w:r>
      <w:r w:rsidR="00417DBF">
        <w:rPr>
          <w:sz w:val="22"/>
          <w:szCs w:val="22"/>
          <w:lang w:val="en-US"/>
        </w:rPr>
        <w:t xml:space="preserve"> </w:t>
      </w:r>
      <w:r w:rsidR="00332477">
        <w:rPr>
          <w:sz w:val="22"/>
          <w:szCs w:val="22"/>
          <w:lang w:val="en-US"/>
        </w:rPr>
        <w:t xml:space="preserve">absence of clear performance bench-marking, approaches for the assessment of cytotoxicity are often </w:t>
      </w:r>
      <w:r w:rsidR="00417DBF">
        <w:rPr>
          <w:sz w:val="22"/>
          <w:szCs w:val="22"/>
          <w:lang w:val="en-US"/>
        </w:rPr>
        <w:t xml:space="preserve">found to be </w:t>
      </w:r>
      <w:r w:rsidR="00332477">
        <w:rPr>
          <w:sz w:val="22"/>
          <w:szCs w:val="22"/>
          <w:lang w:val="en-US"/>
        </w:rPr>
        <w:t>company specific</w:t>
      </w:r>
      <w:r w:rsidR="00671645">
        <w:rPr>
          <w:sz w:val="22"/>
          <w:szCs w:val="22"/>
          <w:lang w:val="en-US"/>
        </w:rPr>
        <w:t>, and a</w:t>
      </w:r>
      <w:r w:rsidR="00E950FD">
        <w:rPr>
          <w:sz w:val="22"/>
          <w:szCs w:val="22"/>
          <w:lang w:val="en-US"/>
        </w:rPr>
        <w:t xml:space="preserve">n agreed set of reference compounds to calibrate </w:t>
      </w:r>
      <w:r w:rsidR="00671645">
        <w:rPr>
          <w:sz w:val="22"/>
          <w:szCs w:val="22"/>
          <w:lang w:val="en-US"/>
        </w:rPr>
        <w:t>t</w:t>
      </w:r>
      <w:r w:rsidR="00E950FD">
        <w:rPr>
          <w:sz w:val="22"/>
          <w:szCs w:val="22"/>
          <w:lang w:val="en-US"/>
        </w:rPr>
        <w:t xml:space="preserve">est </w:t>
      </w:r>
      <w:r w:rsidR="00671645">
        <w:rPr>
          <w:sz w:val="22"/>
          <w:szCs w:val="22"/>
          <w:lang w:val="en-US"/>
        </w:rPr>
        <w:t>s</w:t>
      </w:r>
      <w:r w:rsidR="00E950FD">
        <w:rPr>
          <w:sz w:val="22"/>
          <w:szCs w:val="22"/>
          <w:lang w:val="en-US"/>
        </w:rPr>
        <w:t>ystems would greatly facilitate bench-marking of cell models</w:t>
      </w:r>
      <w:r w:rsidR="002D3E0D">
        <w:rPr>
          <w:sz w:val="22"/>
          <w:szCs w:val="22"/>
          <w:lang w:val="en-US"/>
        </w:rPr>
        <w:t>.</w:t>
      </w:r>
    </w:p>
    <w:p w14:paraId="377AE495" w14:textId="77777777" w:rsidR="00291392" w:rsidRPr="000016FB" w:rsidRDefault="00291392" w:rsidP="006730B6">
      <w:pPr>
        <w:spacing w:line="480" w:lineRule="auto"/>
        <w:jc w:val="both"/>
        <w:rPr>
          <w:b/>
          <w:noProof/>
          <w:sz w:val="22"/>
          <w:szCs w:val="22"/>
          <w:lang w:val="en-US"/>
        </w:rPr>
      </w:pPr>
    </w:p>
    <w:p w14:paraId="009FF529" w14:textId="77777777" w:rsidR="00350CCC" w:rsidRPr="000016FB" w:rsidRDefault="00A81B40" w:rsidP="00A81B40">
      <w:pPr>
        <w:spacing w:line="480" w:lineRule="auto"/>
        <w:jc w:val="both"/>
        <w:rPr>
          <w:i/>
          <w:noProof/>
          <w:sz w:val="22"/>
          <w:szCs w:val="22"/>
          <w:lang w:val="en-US"/>
        </w:rPr>
      </w:pPr>
      <w:r>
        <w:rPr>
          <w:b/>
          <w:noProof/>
          <w:sz w:val="22"/>
          <w:szCs w:val="22"/>
          <w:lang w:val="en-US"/>
        </w:rPr>
        <w:t xml:space="preserve">2.2 </w:t>
      </w:r>
      <w:r w:rsidR="00536B95" w:rsidRPr="000016FB">
        <w:rPr>
          <w:b/>
          <w:noProof/>
          <w:sz w:val="22"/>
          <w:szCs w:val="22"/>
          <w:lang w:val="en-US"/>
        </w:rPr>
        <w:t>Mitochondrial toxicity test</w:t>
      </w:r>
      <w:r w:rsidR="00536B95">
        <w:rPr>
          <w:b/>
          <w:noProof/>
          <w:sz w:val="22"/>
          <w:szCs w:val="22"/>
          <w:lang w:val="en-US"/>
        </w:rPr>
        <w:t xml:space="preserve"> systems</w:t>
      </w:r>
    </w:p>
    <w:p w14:paraId="138CCEE2" w14:textId="77777777" w:rsidR="000F2425" w:rsidRPr="000016FB" w:rsidRDefault="00A81B40" w:rsidP="00536B95">
      <w:pPr>
        <w:spacing w:line="480" w:lineRule="auto"/>
        <w:jc w:val="both"/>
        <w:rPr>
          <w:b/>
          <w:noProof/>
          <w:sz w:val="22"/>
          <w:szCs w:val="22"/>
          <w:lang w:val="en-US"/>
        </w:rPr>
      </w:pPr>
      <w:r>
        <w:rPr>
          <w:i/>
          <w:noProof/>
          <w:sz w:val="22"/>
          <w:szCs w:val="22"/>
          <w:lang w:val="en-US"/>
        </w:rPr>
        <w:t>2.2.1</w:t>
      </w:r>
      <w:r w:rsidRPr="000016FB">
        <w:rPr>
          <w:i/>
          <w:noProof/>
          <w:sz w:val="22"/>
          <w:szCs w:val="22"/>
          <w:lang w:val="en-US"/>
        </w:rPr>
        <w:t xml:space="preserve"> </w:t>
      </w:r>
      <w:r w:rsidR="00536B95" w:rsidRPr="000016FB">
        <w:rPr>
          <w:i/>
          <w:noProof/>
          <w:sz w:val="22"/>
          <w:szCs w:val="22"/>
          <w:lang w:val="en-US"/>
        </w:rPr>
        <w:t>Current understanding &amp; importance</w:t>
      </w:r>
    </w:p>
    <w:p w14:paraId="1BE9754B" w14:textId="3C193DE0" w:rsidR="000F2425" w:rsidRPr="000016FB" w:rsidRDefault="000F2425" w:rsidP="006730B6">
      <w:pPr>
        <w:spacing w:line="480" w:lineRule="auto"/>
        <w:jc w:val="both"/>
        <w:rPr>
          <w:noProof/>
          <w:sz w:val="22"/>
          <w:szCs w:val="22"/>
          <w:lang w:val="en-US"/>
        </w:rPr>
      </w:pPr>
      <w:r w:rsidRPr="000016FB">
        <w:rPr>
          <w:noProof/>
          <w:sz w:val="22"/>
          <w:szCs w:val="22"/>
          <w:lang w:val="en-US"/>
        </w:rPr>
        <w:t xml:space="preserve">The </w:t>
      </w:r>
      <w:r w:rsidR="00DF18ED" w:rsidRPr="000016FB">
        <w:rPr>
          <w:noProof/>
          <w:sz w:val="22"/>
          <w:szCs w:val="22"/>
          <w:lang w:val="en-US"/>
        </w:rPr>
        <w:t>primary</w:t>
      </w:r>
      <w:r w:rsidRPr="000016FB">
        <w:rPr>
          <w:noProof/>
          <w:sz w:val="22"/>
          <w:szCs w:val="22"/>
          <w:lang w:val="en-US"/>
        </w:rPr>
        <w:t xml:space="preserve"> function of mitochondria is the production of</w:t>
      </w:r>
      <w:r w:rsidR="00DF18ED" w:rsidRPr="000016FB">
        <w:rPr>
          <w:noProof/>
          <w:sz w:val="22"/>
          <w:szCs w:val="22"/>
          <w:lang w:val="en-US"/>
        </w:rPr>
        <w:t xml:space="preserve"> more than </w:t>
      </w:r>
      <w:r w:rsidRPr="000016FB">
        <w:rPr>
          <w:noProof/>
          <w:sz w:val="22"/>
          <w:szCs w:val="22"/>
          <w:lang w:val="en-US"/>
        </w:rPr>
        <w:t>90% of the cell’s energy in</w:t>
      </w:r>
      <w:r w:rsidR="002E206E">
        <w:rPr>
          <w:noProof/>
          <w:sz w:val="22"/>
          <w:szCs w:val="22"/>
          <w:lang w:val="en-US"/>
        </w:rPr>
        <w:t xml:space="preserve"> the</w:t>
      </w:r>
      <w:r w:rsidRPr="000016FB">
        <w:rPr>
          <w:noProof/>
          <w:sz w:val="22"/>
          <w:szCs w:val="22"/>
          <w:lang w:val="en-US"/>
        </w:rPr>
        <w:t xml:space="preserve"> form of ATP</w:t>
      </w:r>
      <w:r w:rsidR="00D541F2" w:rsidRPr="000016FB">
        <w:rPr>
          <w:noProof/>
          <w:sz w:val="22"/>
          <w:szCs w:val="22"/>
          <w:lang w:val="en-US"/>
        </w:rPr>
        <w:t xml:space="preserve"> </w:t>
      </w:r>
      <w:r w:rsidR="00F02756" w:rsidRPr="000016FB">
        <w:rPr>
          <w:noProof/>
          <w:sz w:val="22"/>
          <w:szCs w:val="22"/>
          <w:lang w:val="en-US"/>
        </w:rPr>
        <w:t>and</w:t>
      </w:r>
      <w:r w:rsidRPr="000016FB">
        <w:rPr>
          <w:noProof/>
          <w:sz w:val="22"/>
          <w:szCs w:val="22"/>
          <w:lang w:val="en-US"/>
        </w:rPr>
        <w:t xml:space="preserve"> </w:t>
      </w:r>
      <w:r w:rsidR="003A2FC5">
        <w:rPr>
          <w:noProof/>
          <w:sz w:val="22"/>
          <w:szCs w:val="22"/>
          <w:lang w:val="en-US"/>
        </w:rPr>
        <w:t xml:space="preserve">the </w:t>
      </w:r>
      <w:r w:rsidRPr="000016FB">
        <w:rPr>
          <w:noProof/>
          <w:sz w:val="22"/>
          <w:szCs w:val="22"/>
          <w:lang w:val="en-US"/>
        </w:rPr>
        <w:t>regulat</w:t>
      </w:r>
      <w:r w:rsidR="003A2FC5">
        <w:rPr>
          <w:noProof/>
          <w:sz w:val="22"/>
          <w:szCs w:val="22"/>
          <w:lang w:val="en-US"/>
        </w:rPr>
        <w:t xml:space="preserve">ion of </w:t>
      </w:r>
      <w:r w:rsidRPr="000016FB">
        <w:rPr>
          <w:noProof/>
          <w:sz w:val="22"/>
          <w:szCs w:val="22"/>
          <w:lang w:val="en-US"/>
        </w:rPr>
        <w:t xml:space="preserve"> major </w:t>
      </w:r>
      <w:r w:rsidR="00B17C9E">
        <w:rPr>
          <w:noProof/>
          <w:sz w:val="22"/>
          <w:szCs w:val="22"/>
          <w:lang w:val="en-US"/>
        </w:rPr>
        <w:t xml:space="preserve">cellular </w:t>
      </w:r>
      <w:r w:rsidRPr="000016FB">
        <w:rPr>
          <w:noProof/>
          <w:sz w:val="22"/>
          <w:szCs w:val="22"/>
          <w:lang w:val="en-US"/>
        </w:rPr>
        <w:t xml:space="preserve">functions </w:t>
      </w:r>
      <w:r w:rsidR="00B17C9E">
        <w:rPr>
          <w:noProof/>
          <w:sz w:val="22"/>
          <w:szCs w:val="22"/>
          <w:lang w:val="en-US"/>
        </w:rPr>
        <w:t xml:space="preserve">including </w:t>
      </w:r>
      <w:r w:rsidRPr="000016FB">
        <w:rPr>
          <w:noProof/>
          <w:sz w:val="22"/>
          <w:szCs w:val="22"/>
          <w:lang w:val="en-US"/>
        </w:rPr>
        <w:t>necro</w:t>
      </w:r>
      <w:r w:rsidR="009E4928">
        <w:rPr>
          <w:noProof/>
          <w:sz w:val="22"/>
          <w:szCs w:val="22"/>
          <w:lang w:val="en-US"/>
        </w:rPr>
        <w:t>sis</w:t>
      </w:r>
      <w:r w:rsidR="00DF18ED" w:rsidRPr="000016FB">
        <w:rPr>
          <w:noProof/>
          <w:sz w:val="22"/>
          <w:szCs w:val="22"/>
          <w:lang w:val="en-US"/>
        </w:rPr>
        <w:t xml:space="preserve"> </w:t>
      </w:r>
      <w:r w:rsidR="00B17C9E">
        <w:rPr>
          <w:noProof/>
          <w:sz w:val="22"/>
          <w:szCs w:val="22"/>
          <w:lang w:val="en-US"/>
        </w:rPr>
        <w:t>and</w:t>
      </w:r>
      <w:r w:rsidR="00DF18ED" w:rsidRPr="000016FB">
        <w:rPr>
          <w:noProof/>
          <w:sz w:val="22"/>
          <w:szCs w:val="22"/>
          <w:lang w:val="en-US"/>
        </w:rPr>
        <w:t xml:space="preserve"> apopto</w:t>
      </w:r>
      <w:r w:rsidR="009E4928">
        <w:rPr>
          <w:noProof/>
          <w:sz w:val="22"/>
          <w:szCs w:val="22"/>
          <w:lang w:val="en-US"/>
        </w:rPr>
        <w:t>sis</w:t>
      </w:r>
      <w:r w:rsidR="00DF18ED" w:rsidRPr="000016FB">
        <w:rPr>
          <w:noProof/>
          <w:sz w:val="22"/>
          <w:szCs w:val="22"/>
          <w:lang w:val="en-US"/>
        </w:rPr>
        <w:t xml:space="preserve"> signalling </w:t>
      </w:r>
      <w:r w:rsidR="009E4928">
        <w:rPr>
          <w:noProof/>
          <w:sz w:val="22"/>
          <w:szCs w:val="22"/>
          <w:lang w:val="en-US"/>
        </w:rPr>
        <w:t>pathways</w:t>
      </w:r>
      <w:r w:rsidR="00B17C9E">
        <w:rPr>
          <w:noProof/>
          <w:sz w:val="22"/>
          <w:szCs w:val="22"/>
          <w:lang w:val="en-US"/>
        </w:rPr>
        <w:t xml:space="preserve"> </w:t>
      </w:r>
      <w:r w:rsidR="008C32E8" w:rsidRPr="001E69F9">
        <w:rPr>
          <w:noProof/>
          <w:sz w:val="22"/>
          <w:szCs w:val="22"/>
          <w:lang w:val="en-GB"/>
        </w:rPr>
        <w:t xml:space="preserve"> </w:t>
      </w:r>
      <w:sdt>
        <w:sdtPr>
          <w:rPr>
            <w:noProof/>
            <w:sz w:val="22"/>
            <w:szCs w:val="22"/>
            <w:lang w:val="en-GB"/>
          </w:rPr>
          <w:id w:val="167761566"/>
          <w:citation/>
        </w:sdtPr>
        <w:sdtEndPr/>
        <w:sdtContent>
          <w:r w:rsidR="002473D4">
            <w:rPr>
              <w:noProof/>
              <w:sz w:val="22"/>
              <w:szCs w:val="22"/>
              <w:lang w:val="en-GB"/>
            </w:rPr>
            <w:fldChar w:fldCharType="begin"/>
          </w:r>
          <w:r w:rsidR="00CC2431" w:rsidRPr="00080280">
            <w:rPr>
              <w:noProof/>
              <w:sz w:val="22"/>
              <w:szCs w:val="22"/>
              <w:lang w:val="en-GB"/>
            </w:rPr>
            <w:instrText xml:space="preserve">CITATION McB06 \l 1036 </w:instrText>
          </w:r>
          <w:r w:rsidR="002473D4">
            <w:rPr>
              <w:noProof/>
              <w:sz w:val="22"/>
              <w:szCs w:val="22"/>
              <w:lang w:val="en-GB"/>
            </w:rPr>
            <w:fldChar w:fldCharType="separate"/>
          </w:r>
          <w:r w:rsidR="002D6947" w:rsidRPr="002D6947">
            <w:rPr>
              <w:noProof/>
              <w:sz w:val="22"/>
              <w:szCs w:val="22"/>
              <w:lang w:val="en-GB"/>
            </w:rPr>
            <w:t>[22]</w:t>
          </w:r>
          <w:r w:rsidR="002473D4">
            <w:rPr>
              <w:noProof/>
              <w:sz w:val="22"/>
              <w:szCs w:val="22"/>
              <w:lang w:val="en-GB"/>
            </w:rPr>
            <w:fldChar w:fldCharType="end"/>
          </w:r>
        </w:sdtContent>
      </w:sdt>
      <w:r w:rsidR="001E69F9">
        <w:rPr>
          <w:noProof/>
          <w:sz w:val="22"/>
          <w:szCs w:val="22"/>
          <w:lang w:val="en-GB"/>
        </w:rPr>
        <w:t xml:space="preserve">. </w:t>
      </w:r>
      <w:r w:rsidRPr="000016FB">
        <w:rPr>
          <w:noProof/>
          <w:sz w:val="22"/>
          <w:szCs w:val="22"/>
          <w:lang w:val="en-US"/>
        </w:rPr>
        <w:t xml:space="preserve">In organs </w:t>
      </w:r>
      <w:r w:rsidR="00EE2AA1">
        <w:rPr>
          <w:noProof/>
          <w:sz w:val="22"/>
          <w:szCs w:val="22"/>
          <w:lang w:val="en-US"/>
        </w:rPr>
        <w:t>with</w:t>
      </w:r>
      <w:r w:rsidRPr="000016FB">
        <w:rPr>
          <w:noProof/>
          <w:sz w:val="22"/>
          <w:szCs w:val="22"/>
          <w:lang w:val="en-US"/>
        </w:rPr>
        <w:t xml:space="preserve"> a high demand </w:t>
      </w:r>
      <w:r w:rsidR="002E206E">
        <w:rPr>
          <w:noProof/>
          <w:sz w:val="22"/>
          <w:szCs w:val="22"/>
          <w:lang w:val="en-US"/>
        </w:rPr>
        <w:t>for</w:t>
      </w:r>
      <w:r w:rsidR="002E206E" w:rsidRPr="000016FB">
        <w:rPr>
          <w:noProof/>
          <w:sz w:val="22"/>
          <w:szCs w:val="22"/>
          <w:lang w:val="en-US"/>
        </w:rPr>
        <w:t xml:space="preserve"> </w:t>
      </w:r>
      <w:r w:rsidRPr="000016FB">
        <w:rPr>
          <w:noProof/>
          <w:sz w:val="22"/>
          <w:szCs w:val="22"/>
          <w:lang w:val="en-US"/>
        </w:rPr>
        <w:t>energy</w:t>
      </w:r>
      <w:r w:rsidR="002E206E">
        <w:rPr>
          <w:noProof/>
          <w:sz w:val="22"/>
          <w:szCs w:val="22"/>
          <w:lang w:val="en-US"/>
        </w:rPr>
        <w:t>,</w:t>
      </w:r>
      <w:r w:rsidRPr="000016FB">
        <w:rPr>
          <w:noProof/>
          <w:sz w:val="22"/>
          <w:szCs w:val="22"/>
          <w:lang w:val="en-US"/>
        </w:rPr>
        <w:t xml:space="preserve"> such as the liver</w:t>
      </w:r>
      <w:r w:rsidR="00417DBF">
        <w:rPr>
          <w:noProof/>
          <w:sz w:val="22"/>
          <w:szCs w:val="22"/>
          <w:lang w:val="en-US"/>
        </w:rPr>
        <w:t>,</w:t>
      </w:r>
      <w:r w:rsidRPr="000016FB">
        <w:rPr>
          <w:noProof/>
          <w:sz w:val="22"/>
          <w:szCs w:val="22"/>
          <w:lang w:val="en-US"/>
        </w:rPr>
        <w:t xml:space="preserve"> mitochondria </w:t>
      </w:r>
      <w:r w:rsidR="00DF18ED" w:rsidRPr="000016FB">
        <w:rPr>
          <w:noProof/>
          <w:sz w:val="22"/>
          <w:szCs w:val="22"/>
          <w:lang w:val="en-US"/>
        </w:rPr>
        <w:t xml:space="preserve">are </w:t>
      </w:r>
      <w:r w:rsidR="009B5671">
        <w:rPr>
          <w:noProof/>
          <w:sz w:val="22"/>
          <w:szCs w:val="22"/>
          <w:lang w:val="en-US"/>
        </w:rPr>
        <w:t xml:space="preserve">more </w:t>
      </w:r>
      <w:r w:rsidR="00DF18ED" w:rsidRPr="000016FB">
        <w:rPr>
          <w:noProof/>
          <w:sz w:val="22"/>
          <w:szCs w:val="22"/>
          <w:lang w:val="en-US"/>
        </w:rPr>
        <w:t xml:space="preserve">abundant </w:t>
      </w:r>
      <w:r w:rsidR="0080190E">
        <w:rPr>
          <w:noProof/>
          <w:sz w:val="22"/>
          <w:szCs w:val="22"/>
          <w:lang w:val="en-US"/>
        </w:rPr>
        <w:t>rendering the liver</w:t>
      </w:r>
      <w:r w:rsidR="00EE2AA1" w:rsidRPr="000016FB">
        <w:rPr>
          <w:noProof/>
          <w:sz w:val="22"/>
          <w:szCs w:val="22"/>
          <w:lang w:val="en-US"/>
        </w:rPr>
        <w:t xml:space="preserve"> </w:t>
      </w:r>
      <w:r w:rsidR="009F7F58">
        <w:rPr>
          <w:noProof/>
          <w:sz w:val="22"/>
          <w:szCs w:val="22"/>
          <w:lang w:val="en-US"/>
        </w:rPr>
        <w:t xml:space="preserve">more </w:t>
      </w:r>
      <w:r w:rsidRPr="000016FB">
        <w:rPr>
          <w:noProof/>
          <w:sz w:val="22"/>
          <w:szCs w:val="22"/>
          <w:lang w:val="en-US"/>
        </w:rPr>
        <w:t>sensitive to mitochondrial toxicants</w:t>
      </w:r>
      <w:r w:rsidR="002E206E">
        <w:rPr>
          <w:noProof/>
          <w:color w:val="FF0000"/>
          <w:sz w:val="22"/>
          <w:szCs w:val="22"/>
          <w:lang w:val="en-US"/>
        </w:rPr>
        <w:t>.</w:t>
      </w:r>
      <w:r w:rsidR="002E206E">
        <w:rPr>
          <w:noProof/>
          <w:sz w:val="22"/>
          <w:szCs w:val="22"/>
          <w:lang w:val="en-US"/>
        </w:rPr>
        <w:t xml:space="preserve"> </w:t>
      </w:r>
      <w:r w:rsidR="00CA12D1">
        <w:rPr>
          <w:noProof/>
          <w:sz w:val="22"/>
          <w:szCs w:val="22"/>
          <w:lang w:val="en-US"/>
        </w:rPr>
        <w:t xml:space="preserve"> Over the</w:t>
      </w:r>
      <w:r w:rsidR="00CA12D1" w:rsidRPr="000016FB">
        <w:rPr>
          <w:noProof/>
          <w:sz w:val="22"/>
          <w:szCs w:val="22"/>
          <w:lang w:val="en-US"/>
        </w:rPr>
        <w:t xml:space="preserve"> last 10 years mitochondrial dysfunction has become increasingly implicated in the </w:t>
      </w:r>
      <w:r w:rsidR="00F1155C">
        <w:rPr>
          <w:noProof/>
          <w:sz w:val="22"/>
          <w:szCs w:val="22"/>
          <w:lang w:val="en-US"/>
        </w:rPr>
        <w:t>a</w:t>
      </w:r>
      <w:r w:rsidR="00CA12D1" w:rsidRPr="000016FB">
        <w:rPr>
          <w:noProof/>
          <w:sz w:val="22"/>
          <w:szCs w:val="22"/>
          <w:lang w:val="en-US"/>
        </w:rPr>
        <w:t xml:space="preserve">etiology of drug-induced toxicities </w:t>
      </w:r>
      <w:sdt>
        <w:sdtPr>
          <w:rPr>
            <w:noProof/>
            <w:sz w:val="22"/>
            <w:szCs w:val="22"/>
            <w:lang w:val="en-US"/>
          </w:rPr>
          <w:id w:val="34322981"/>
          <w:citation/>
        </w:sdtPr>
        <w:sdtEndPr/>
        <w:sdtContent>
          <w:r w:rsidR="001C5575">
            <w:rPr>
              <w:noProof/>
              <w:sz w:val="22"/>
              <w:szCs w:val="22"/>
              <w:lang w:val="en-US"/>
            </w:rPr>
            <w:fldChar w:fldCharType="begin"/>
          </w:r>
          <w:r w:rsidR="001C5575">
            <w:rPr>
              <w:noProof/>
              <w:sz w:val="22"/>
              <w:szCs w:val="22"/>
              <w:lang w:val="en-GB"/>
            </w:rPr>
            <w:instrText xml:space="preserve"> CITATION Dyk07 \l 2057 </w:instrText>
          </w:r>
          <w:r w:rsidR="001C5575">
            <w:rPr>
              <w:noProof/>
              <w:sz w:val="22"/>
              <w:szCs w:val="22"/>
              <w:lang w:val="en-US"/>
            </w:rPr>
            <w:fldChar w:fldCharType="separate"/>
          </w:r>
          <w:r w:rsidR="002D6947" w:rsidRPr="002D6947">
            <w:rPr>
              <w:noProof/>
              <w:sz w:val="22"/>
              <w:szCs w:val="22"/>
              <w:lang w:val="en-GB"/>
            </w:rPr>
            <w:t>[23]</w:t>
          </w:r>
          <w:r w:rsidR="001C5575">
            <w:rPr>
              <w:noProof/>
              <w:sz w:val="22"/>
              <w:szCs w:val="22"/>
              <w:lang w:val="en-US"/>
            </w:rPr>
            <w:fldChar w:fldCharType="end"/>
          </w:r>
        </w:sdtContent>
      </w:sdt>
      <w:r w:rsidR="00CA12D1">
        <w:rPr>
          <w:noProof/>
          <w:sz w:val="22"/>
          <w:szCs w:val="22"/>
          <w:lang w:val="en-US"/>
        </w:rPr>
        <w:t>, and m</w:t>
      </w:r>
      <w:r w:rsidR="00CA12D1" w:rsidRPr="000016FB">
        <w:rPr>
          <w:noProof/>
          <w:sz w:val="22"/>
          <w:szCs w:val="22"/>
          <w:lang w:val="en-US"/>
        </w:rPr>
        <w:t xml:space="preserve">any hepatotoxic drugs </w:t>
      </w:r>
      <w:r w:rsidR="00485723">
        <w:rPr>
          <w:noProof/>
          <w:sz w:val="22"/>
          <w:szCs w:val="22"/>
          <w:lang w:val="en-US"/>
        </w:rPr>
        <w:t xml:space="preserve">have been </w:t>
      </w:r>
      <w:r w:rsidR="004C2DB1">
        <w:rPr>
          <w:noProof/>
          <w:sz w:val="22"/>
          <w:szCs w:val="22"/>
          <w:lang w:val="en-US"/>
        </w:rPr>
        <w:t>shown to impair</w:t>
      </w:r>
      <w:r w:rsidR="00CA12D1">
        <w:rPr>
          <w:noProof/>
          <w:sz w:val="22"/>
          <w:szCs w:val="22"/>
          <w:lang w:val="en-US"/>
        </w:rPr>
        <w:t xml:space="preserve"> </w:t>
      </w:r>
      <w:r w:rsidR="00CA12D1" w:rsidRPr="000016FB">
        <w:rPr>
          <w:noProof/>
          <w:sz w:val="22"/>
          <w:szCs w:val="22"/>
          <w:lang w:val="en-US"/>
        </w:rPr>
        <w:t xml:space="preserve"> mitochondrial function</w:t>
      </w:r>
      <w:r w:rsidR="004C2DB1">
        <w:rPr>
          <w:noProof/>
          <w:sz w:val="22"/>
          <w:szCs w:val="22"/>
          <w:lang w:val="en-US"/>
        </w:rPr>
        <w:t xml:space="preserve"> </w:t>
      </w:r>
      <w:r w:rsidR="004C2DB1" w:rsidRPr="00485676">
        <w:rPr>
          <w:i/>
          <w:noProof/>
          <w:sz w:val="22"/>
          <w:szCs w:val="22"/>
          <w:lang w:val="en-US"/>
        </w:rPr>
        <w:t>in vitro</w:t>
      </w:r>
      <w:r w:rsidR="004C2DB1">
        <w:rPr>
          <w:noProof/>
          <w:sz w:val="22"/>
          <w:szCs w:val="22"/>
          <w:lang w:val="en-US"/>
        </w:rPr>
        <w:t xml:space="preserve"> </w:t>
      </w:r>
      <w:sdt>
        <w:sdtPr>
          <w:rPr>
            <w:noProof/>
            <w:sz w:val="22"/>
            <w:szCs w:val="22"/>
            <w:lang w:val="en-US"/>
          </w:rPr>
          <w:id w:val="241698817"/>
          <w:citation/>
        </w:sdtPr>
        <w:sdtEndPr/>
        <w:sdtContent>
          <w:r w:rsidR="001C5575">
            <w:rPr>
              <w:noProof/>
              <w:sz w:val="22"/>
              <w:szCs w:val="22"/>
              <w:lang w:val="en-US"/>
            </w:rPr>
            <w:fldChar w:fldCharType="begin"/>
          </w:r>
          <w:r w:rsidR="001C5575">
            <w:rPr>
              <w:noProof/>
              <w:sz w:val="22"/>
              <w:szCs w:val="22"/>
              <w:lang w:val="en-GB"/>
            </w:rPr>
            <w:instrText xml:space="preserve"> CITATION Pes12 \l 2057 </w:instrText>
          </w:r>
          <w:r w:rsidR="001C5575">
            <w:rPr>
              <w:noProof/>
              <w:sz w:val="22"/>
              <w:szCs w:val="22"/>
              <w:lang w:val="en-US"/>
            </w:rPr>
            <w:fldChar w:fldCharType="separate"/>
          </w:r>
          <w:r w:rsidR="002D6947" w:rsidRPr="002D6947">
            <w:rPr>
              <w:noProof/>
              <w:sz w:val="22"/>
              <w:szCs w:val="22"/>
              <w:lang w:val="en-GB"/>
            </w:rPr>
            <w:t>[24]</w:t>
          </w:r>
          <w:r w:rsidR="001C5575">
            <w:rPr>
              <w:noProof/>
              <w:sz w:val="22"/>
              <w:szCs w:val="22"/>
              <w:lang w:val="en-US"/>
            </w:rPr>
            <w:fldChar w:fldCharType="end"/>
          </w:r>
        </w:sdtContent>
      </w:sdt>
      <w:sdt>
        <w:sdtPr>
          <w:rPr>
            <w:noProof/>
            <w:sz w:val="22"/>
            <w:szCs w:val="22"/>
            <w:lang w:val="en-US"/>
          </w:rPr>
          <w:id w:val="-427733973"/>
          <w:citation/>
        </w:sdtPr>
        <w:sdtEndPr/>
        <w:sdtContent>
          <w:r w:rsidR="001C5575">
            <w:rPr>
              <w:noProof/>
              <w:sz w:val="22"/>
              <w:szCs w:val="22"/>
              <w:lang w:val="en-US"/>
            </w:rPr>
            <w:fldChar w:fldCharType="begin"/>
          </w:r>
          <w:r w:rsidR="001C5575">
            <w:rPr>
              <w:noProof/>
              <w:sz w:val="22"/>
              <w:szCs w:val="22"/>
              <w:lang w:val="en-GB"/>
            </w:rPr>
            <w:instrText xml:space="preserve"> CITATION Fro13 \l 2057 </w:instrText>
          </w:r>
          <w:r w:rsidR="001C5575">
            <w:rPr>
              <w:noProof/>
              <w:sz w:val="22"/>
              <w:szCs w:val="22"/>
              <w:lang w:val="en-US"/>
            </w:rPr>
            <w:fldChar w:fldCharType="separate"/>
          </w:r>
          <w:r w:rsidR="002D6947">
            <w:rPr>
              <w:noProof/>
              <w:sz w:val="22"/>
              <w:szCs w:val="22"/>
              <w:lang w:val="en-GB"/>
            </w:rPr>
            <w:t xml:space="preserve"> </w:t>
          </w:r>
          <w:r w:rsidR="002D6947" w:rsidRPr="002D6947">
            <w:rPr>
              <w:noProof/>
              <w:sz w:val="22"/>
              <w:szCs w:val="22"/>
              <w:lang w:val="en-GB"/>
            </w:rPr>
            <w:t>[25]</w:t>
          </w:r>
          <w:r w:rsidR="001C5575">
            <w:rPr>
              <w:noProof/>
              <w:sz w:val="22"/>
              <w:szCs w:val="22"/>
              <w:lang w:val="en-US"/>
            </w:rPr>
            <w:fldChar w:fldCharType="end"/>
          </w:r>
        </w:sdtContent>
      </w:sdt>
      <w:r w:rsidR="00D96F6C">
        <w:rPr>
          <w:noProof/>
          <w:sz w:val="22"/>
          <w:szCs w:val="22"/>
          <w:lang w:val="en-US"/>
        </w:rPr>
        <w:t>.</w:t>
      </w:r>
    </w:p>
    <w:p w14:paraId="66457E45" w14:textId="77777777" w:rsidR="000F2425" w:rsidRPr="000016FB" w:rsidRDefault="000F2425" w:rsidP="006730B6">
      <w:pPr>
        <w:spacing w:line="480" w:lineRule="auto"/>
        <w:jc w:val="both"/>
        <w:rPr>
          <w:noProof/>
          <w:sz w:val="22"/>
          <w:szCs w:val="22"/>
          <w:lang w:val="en-US"/>
        </w:rPr>
      </w:pPr>
    </w:p>
    <w:p w14:paraId="1A814B19" w14:textId="0001CB31" w:rsidR="009D407E" w:rsidRDefault="000959D0" w:rsidP="006730B6">
      <w:pPr>
        <w:spacing w:line="480" w:lineRule="auto"/>
        <w:jc w:val="both"/>
        <w:rPr>
          <w:noProof/>
          <w:sz w:val="22"/>
          <w:szCs w:val="22"/>
          <w:lang w:val="en-US"/>
        </w:rPr>
      </w:pPr>
      <w:r w:rsidRPr="000016FB">
        <w:rPr>
          <w:noProof/>
          <w:sz w:val="22"/>
          <w:szCs w:val="22"/>
          <w:lang w:val="en-US"/>
        </w:rPr>
        <w:t xml:space="preserve">Diverse drug classes </w:t>
      </w:r>
      <w:r w:rsidR="009E4928">
        <w:rPr>
          <w:noProof/>
          <w:sz w:val="22"/>
          <w:szCs w:val="22"/>
          <w:lang w:val="en-US"/>
        </w:rPr>
        <w:t>impact</w:t>
      </w:r>
      <w:r w:rsidR="009E4928" w:rsidRPr="000016FB">
        <w:rPr>
          <w:noProof/>
          <w:sz w:val="22"/>
          <w:szCs w:val="22"/>
          <w:lang w:val="en-US"/>
        </w:rPr>
        <w:t xml:space="preserve"> </w:t>
      </w:r>
      <w:r w:rsidRPr="000016FB">
        <w:rPr>
          <w:noProof/>
          <w:sz w:val="22"/>
          <w:szCs w:val="22"/>
          <w:lang w:val="en-US"/>
        </w:rPr>
        <w:t>mitochondrial function</w:t>
      </w:r>
      <w:r w:rsidR="003A2FC5">
        <w:rPr>
          <w:noProof/>
          <w:sz w:val="22"/>
          <w:szCs w:val="22"/>
          <w:lang w:val="en-US"/>
        </w:rPr>
        <w:t>.  A</w:t>
      </w:r>
      <w:r w:rsidRPr="000016FB">
        <w:rPr>
          <w:noProof/>
          <w:sz w:val="22"/>
          <w:szCs w:val="22"/>
          <w:lang w:val="en-US"/>
        </w:rPr>
        <w:t xml:space="preserve">mong the most potent are drugs that have been withdrawn from the market or have received Black Box warnings from the </w:t>
      </w:r>
      <w:r w:rsidR="003A2FC5">
        <w:rPr>
          <w:noProof/>
          <w:sz w:val="22"/>
          <w:szCs w:val="22"/>
          <w:lang w:val="en-US"/>
        </w:rPr>
        <w:t>Food and Drug Administration (</w:t>
      </w:r>
      <w:r w:rsidRPr="000016FB">
        <w:rPr>
          <w:noProof/>
          <w:sz w:val="22"/>
          <w:szCs w:val="22"/>
          <w:lang w:val="en-US"/>
        </w:rPr>
        <w:t>FDA</w:t>
      </w:r>
      <w:r w:rsidR="003A2FC5">
        <w:rPr>
          <w:noProof/>
          <w:sz w:val="22"/>
          <w:szCs w:val="22"/>
          <w:lang w:val="en-US"/>
        </w:rPr>
        <w:t>)</w:t>
      </w:r>
      <w:r w:rsidRPr="000016FB">
        <w:rPr>
          <w:noProof/>
          <w:sz w:val="22"/>
          <w:szCs w:val="22"/>
          <w:lang w:val="en-US"/>
        </w:rPr>
        <w:t xml:space="preserve"> </w:t>
      </w:r>
      <w:sdt>
        <w:sdtPr>
          <w:rPr>
            <w:noProof/>
            <w:sz w:val="22"/>
            <w:szCs w:val="22"/>
            <w:lang w:val="en-US"/>
          </w:rPr>
          <w:id w:val="-1415540989"/>
          <w:citation/>
        </w:sdtPr>
        <w:sdtEndPr/>
        <w:sdtContent>
          <w:r w:rsidR="00D96F6C">
            <w:rPr>
              <w:noProof/>
              <w:sz w:val="22"/>
              <w:szCs w:val="22"/>
              <w:lang w:val="en-US"/>
            </w:rPr>
            <w:fldChar w:fldCharType="begin"/>
          </w:r>
          <w:r w:rsidR="00D96F6C">
            <w:rPr>
              <w:noProof/>
              <w:sz w:val="22"/>
              <w:szCs w:val="22"/>
              <w:lang w:val="en-GB"/>
            </w:rPr>
            <w:instrText xml:space="preserve"> CITATION Nad12 \l 2057 </w:instrText>
          </w:r>
          <w:r w:rsidR="00D96F6C">
            <w:rPr>
              <w:noProof/>
              <w:sz w:val="22"/>
              <w:szCs w:val="22"/>
              <w:lang w:val="en-US"/>
            </w:rPr>
            <w:fldChar w:fldCharType="separate"/>
          </w:r>
          <w:r w:rsidR="002D6947" w:rsidRPr="002D6947">
            <w:rPr>
              <w:noProof/>
              <w:sz w:val="22"/>
              <w:szCs w:val="22"/>
              <w:lang w:val="en-GB"/>
            </w:rPr>
            <w:t>[26]</w:t>
          </w:r>
          <w:r w:rsidR="00D96F6C">
            <w:rPr>
              <w:noProof/>
              <w:sz w:val="22"/>
              <w:szCs w:val="22"/>
              <w:lang w:val="en-US"/>
            </w:rPr>
            <w:fldChar w:fldCharType="end"/>
          </w:r>
        </w:sdtContent>
      </w:sdt>
      <w:r w:rsidRPr="000016FB">
        <w:rPr>
          <w:noProof/>
          <w:sz w:val="22"/>
          <w:szCs w:val="22"/>
          <w:lang w:val="en-US"/>
        </w:rPr>
        <w:t xml:space="preserve">. </w:t>
      </w:r>
      <w:r w:rsidR="000F2425" w:rsidRPr="000016FB">
        <w:rPr>
          <w:noProof/>
          <w:sz w:val="22"/>
          <w:szCs w:val="22"/>
          <w:lang w:val="en-US"/>
        </w:rPr>
        <w:t>Many drugs</w:t>
      </w:r>
      <w:r w:rsidR="007F4E1A">
        <w:rPr>
          <w:noProof/>
          <w:sz w:val="22"/>
          <w:szCs w:val="22"/>
          <w:lang w:val="en-US"/>
        </w:rPr>
        <w:t>,</w:t>
      </w:r>
      <w:r w:rsidR="000F2425" w:rsidRPr="000016FB">
        <w:rPr>
          <w:noProof/>
          <w:sz w:val="22"/>
          <w:szCs w:val="22"/>
          <w:lang w:val="en-US"/>
        </w:rPr>
        <w:t xml:space="preserve"> </w:t>
      </w:r>
      <w:r>
        <w:rPr>
          <w:noProof/>
          <w:sz w:val="22"/>
          <w:szCs w:val="22"/>
          <w:lang w:val="en-US"/>
        </w:rPr>
        <w:t>such as the</w:t>
      </w:r>
      <w:r w:rsidR="000F2425" w:rsidRPr="000016FB">
        <w:rPr>
          <w:noProof/>
          <w:sz w:val="22"/>
          <w:szCs w:val="22"/>
          <w:lang w:val="en-US"/>
        </w:rPr>
        <w:t xml:space="preserve"> thiazolidinedione class</w:t>
      </w:r>
      <w:r w:rsidR="00B85D35">
        <w:rPr>
          <w:noProof/>
          <w:sz w:val="22"/>
          <w:szCs w:val="22"/>
          <w:lang w:val="en-US"/>
        </w:rPr>
        <w:t xml:space="preserve"> of drugs</w:t>
      </w:r>
      <w:r w:rsidR="007F4E1A">
        <w:rPr>
          <w:noProof/>
          <w:sz w:val="22"/>
          <w:szCs w:val="22"/>
          <w:lang w:val="en-US"/>
        </w:rPr>
        <w:t>,</w:t>
      </w:r>
      <w:r w:rsidR="000F2425" w:rsidRPr="000016FB">
        <w:rPr>
          <w:noProof/>
          <w:sz w:val="22"/>
          <w:szCs w:val="22"/>
          <w:lang w:val="en-US"/>
        </w:rPr>
        <w:t xml:space="preserve"> acutely undermine mitochondrial function by directly inhibiting the electron transport chain</w:t>
      </w:r>
      <w:r w:rsidR="00EE2AA1">
        <w:rPr>
          <w:noProof/>
          <w:sz w:val="22"/>
          <w:szCs w:val="22"/>
          <w:lang w:val="en-US"/>
        </w:rPr>
        <w:t xml:space="preserve">, while </w:t>
      </w:r>
      <w:r w:rsidR="000F2425" w:rsidRPr="000016FB">
        <w:rPr>
          <w:noProof/>
          <w:sz w:val="22"/>
          <w:szCs w:val="22"/>
          <w:lang w:val="en-US"/>
        </w:rPr>
        <w:t xml:space="preserve"> others  </w:t>
      </w:r>
      <w:r w:rsidR="00EE2AA1">
        <w:rPr>
          <w:noProof/>
          <w:sz w:val="22"/>
          <w:szCs w:val="22"/>
          <w:lang w:val="en-US"/>
        </w:rPr>
        <w:t>can</w:t>
      </w:r>
      <w:r w:rsidR="00EE2AA1" w:rsidRPr="000016FB">
        <w:rPr>
          <w:noProof/>
          <w:sz w:val="22"/>
          <w:szCs w:val="22"/>
          <w:lang w:val="en-US"/>
        </w:rPr>
        <w:t xml:space="preserve"> </w:t>
      </w:r>
      <w:r w:rsidR="000F2425" w:rsidRPr="000016FB">
        <w:rPr>
          <w:noProof/>
          <w:sz w:val="22"/>
          <w:szCs w:val="22"/>
          <w:lang w:val="en-US"/>
        </w:rPr>
        <w:t>uncoupl</w:t>
      </w:r>
      <w:r w:rsidR="00EE2AA1">
        <w:rPr>
          <w:noProof/>
          <w:sz w:val="22"/>
          <w:szCs w:val="22"/>
          <w:lang w:val="en-US"/>
        </w:rPr>
        <w:t>e</w:t>
      </w:r>
      <w:r w:rsidR="000F2425" w:rsidRPr="000016FB">
        <w:rPr>
          <w:noProof/>
          <w:sz w:val="22"/>
          <w:szCs w:val="22"/>
          <w:lang w:val="en-US"/>
        </w:rPr>
        <w:t xml:space="preserve"> electron transport from ATP synthesis, as </w:t>
      </w:r>
      <w:r w:rsidR="007F4E1A">
        <w:rPr>
          <w:noProof/>
          <w:sz w:val="22"/>
          <w:szCs w:val="22"/>
          <w:lang w:val="en-US"/>
        </w:rPr>
        <w:t>seen with</w:t>
      </w:r>
      <w:r w:rsidR="000F2425" w:rsidRPr="000016FB">
        <w:rPr>
          <w:noProof/>
          <w:sz w:val="22"/>
          <w:szCs w:val="22"/>
          <w:lang w:val="en-US"/>
        </w:rPr>
        <w:t xml:space="preserve"> </w:t>
      </w:r>
      <w:r w:rsidR="00EE2AA1">
        <w:rPr>
          <w:noProof/>
          <w:sz w:val="22"/>
          <w:szCs w:val="22"/>
          <w:lang w:val="en-US"/>
        </w:rPr>
        <w:t xml:space="preserve">some </w:t>
      </w:r>
      <w:r w:rsidR="005B0EF6">
        <w:rPr>
          <w:noProof/>
          <w:sz w:val="22"/>
          <w:szCs w:val="22"/>
          <w:lang w:val="en-US"/>
        </w:rPr>
        <w:t>Non-</w:t>
      </w:r>
      <w:r w:rsidR="00EE2AA1">
        <w:rPr>
          <w:noProof/>
          <w:sz w:val="22"/>
          <w:szCs w:val="22"/>
          <w:lang w:val="en-US"/>
        </w:rPr>
        <w:t>S</w:t>
      </w:r>
      <w:r w:rsidR="005B0EF6">
        <w:rPr>
          <w:noProof/>
          <w:sz w:val="22"/>
          <w:szCs w:val="22"/>
          <w:lang w:val="en-US"/>
        </w:rPr>
        <w:t>teroidal Anti-</w:t>
      </w:r>
      <w:r w:rsidR="00EE2AA1">
        <w:rPr>
          <w:noProof/>
          <w:sz w:val="22"/>
          <w:szCs w:val="22"/>
          <w:lang w:val="en-US"/>
        </w:rPr>
        <w:t>I</w:t>
      </w:r>
      <w:r w:rsidR="005B0EF6">
        <w:rPr>
          <w:noProof/>
          <w:sz w:val="22"/>
          <w:szCs w:val="22"/>
          <w:lang w:val="en-US"/>
        </w:rPr>
        <w:t>nflam</w:t>
      </w:r>
      <w:r w:rsidR="00820A6B">
        <w:rPr>
          <w:noProof/>
          <w:sz w:val="22"/>
          <w:szCs w:val="22"/>
          <w:lang w:val="en-US"/>
        </w:rPr>
        <w:t>m</w:t>
      </w:r>
      <w:r w:rsidR="005B0EF6">
        <w:rPr>
          <w:noProof/>
          <w:sz w:val="22"/>
          <w:szCs w:val="22"/>
          <w:lang w:val="en-US"/>
        </w:rPr>
        <w:t xml:space="preserve">atory </w:t>
      </w:r>
      <w:r w:rsidR="00EE2AA1">
        <w:rPr>
          <w:noProof/>
          <w:sz w:val="22"/>
          <w:szCs w:val="22"/>
          <w:lang w:val="en-US"/>
        </w:rPr>
        <w:lastRenderedPageBreak/>
        <w:t>D</w:t>
      </w:r>
      <w:r w:rsidR="005B0EF6">
        <w:rPr>
          <w:noProof/>
          <w:sz w:val="22"/>
          <w:szCs w:val="22"/>
          <w:lang w:val="en-US"/>
        </w:rPr>
        <w:t>rugs</w:t>
      </w:r>
      <w:r w:rsidR="00EE2AA1">
        <w:rPr>
          <w:noProof/>
          <w:sz w:val="22"/>
          <w:szCs w:val="22"/>
          <w:lang w:val="en-US"/>
        </w:rPr>
        <w:t xml:space="preserve"> (NSAIDs)</w:t>
      </w:r>
      <w:r w:rsidR="000F2425" w:rsidRPr="000016FB">
        <w:rPr>
          <w:noProof/>
          <w:sz w:val="22"/>
          <w:szCs w:val="22"/>
          <w:lang w:val="en-US"/>
        </w:rPr>
        <w:t xml:space="preserve">. In both cases, the </w:t>
      </w:r>
      <w:r w:rsidR="00820A6B">
        <w:rPr>
          <w:noProof/>
          <w:sz w:val="22"/>
          <w:szCs w:val="22"/>
          <w:lang w:val="en-US"/>
        </w:rPr>
        <w:t xml:space="preserve">mitochondrial </w:t>
      </w:r>
      <w:r w:rsidR="000F2425" w:rsidRPr="000016FB">
        <w:rPr>
          <w:noProof/>
          <w:sz w:val="22"/>
          <w:szCs w:val="22"/>
          <w:lang w:val="en-US"/>
        </w:rPr>
        <w:t>membrane potential (</w:t>
      </w:r>
      <w:r w:rsidR="00820A6B">
        <w:rPr>
          <w:noProof/>
          <w:sz w:val="22"/>
          <w:szCs w:val="22"/>
          <w:lang w:val="en-US"/>
        </w:rPr>
        <w:t xml:space="preserve">MMP, </w:t>
      </w:r>
      <w:r w:rsidR="000F2425" w:rsidRPr="000016FB">
        <w:rPr>
          <w:noProof/>
          <w:sz w:val="22"/>
          <w:szCs w:val="22"/>
        </w:rPr>
        <w:t>ΔѰ</w:t>
      </w:r>
      <w:r w:rsidR="000F2425" w:rsidRPr="000016FB">
        <w:rPr>
          <w:noProof/>
          <w:sz w:val="22"/>
          <w:szCs w:val="22"/>
          <w:lang w:val="en-US"/>
        </w:rPr>
        <w:t xml:space="preserve">) is dissipated and ATP production is diminished or abolished depending on </w:t>
      </w:r>
      <w:r w:rsidR="007F4E1A">
        <w:rPr>
          <w:noProof/>
          <w:sz w:val="22"/>
          <w:szCs w:val="22"/>
          <w:lang w:val="en-US"/>
        </w:rPr>
        <w:t xml:space="preserve">the </w:t>
      </w:r>
      <w:r w:rsidR="000F2425" w:rsidRPr="000016FB">
        <w:rPr>
          <w:noProof/>
          <w:sz w:val="22"/>
          <w:szCs w:val="22"/>
          <w:lang w:val="en-US"/>
        </w:rPr>
        <w:t xml:space="preserve">severity. Other drugs, such as acetaminophen, doxorubicin and ethanol </w:t>
      </w:r>
      <w:r w:rsidR="00EE2AA1">
        <w:rPr>
          <w:noProof/>
          <w:sz w:val="22"/>
          <w:szCs w:val="22"/>
          <w:lang w:val="en-US"/>
        </w:rPr>
        <w:t>induce, directly or through reactive metabolites,</w:t>
      </w:r>
      <w:r w:rsidR="00EE2AA1" w:rsidRPr="000016FB">
        <w:rPr>
          <w:noProof/>
          <w:sz w:val="22"/>
          <w:szCs w:val="22"/>
          <w:lang w:val="en-US"/>
        </w:rPr>
        <w:t xml:space="preserve"> </w:t>
      </w:r>
      <w:r w:rsidR="000F2425" w:rsidRPr="000016FB">
        <w:rPr>
          <w:noProof/>
          <w:sz w:val="22"/>
          <w:szCs w:val="22"/>
          <w:lang w:val="en-US"/>
        </w:rPr>
        <w:t>oxidative stress via redox cycling</w:t>
      </w:r>
      <w:r w:rsidR="00B87521">
        <w:rPr>
          <w:noProof/>
          <w:sz w:val="22"/>
          <w:szCs w:val="22"/>
          <w:lang w:val="en-US"/>
        </w:rPr>
        <w:t xml:space="preserve"> or</w:t>
      </w:r>
      <w:r w:rsidR="00EE2AA1">
        <w:rPr>
          <w:noProof/>
          <w:sz w:val="22"/>
          <w:szCs w:val="22"/>
          <w:lang w:val="en-US"/>
        </w:rPr>
        <w:t xml:space="preserve"> reactive oxygen species</w:t>
      </w:r>
      <w:r w:rsidR="00820A6B">
        <w:rPr>
          <w:noProof/>
          <w:sz w:val="22"/>
          <w:szCs w:val="22"/>
          <w:lang w:val="en-US"/>
        </w:rPr>
        <w:t xml:space="preserve"> </w:t>
      </w:r>
      <w:r w:rsidR="00EE2AA1">
        <w:rPr>
          <w:noProof/>
          <w:sz w:val="22"/>
          <w:szCs w:val="22"/>
          <w:lang w:val="en-US"/>
        </w:rPr>
        <w:t>(ROS) formation</w:t>
      </w:r>
      <w:r w:rsidR="000F2425" w:rsidRPr="000016FB">
        <w:rPr>
          <w:noProof/>
          <w:sz w:val="22"/>
          <w:szCs w:val="22"/>
          <w:lang w:val="en-US"/>
        </w:rPr>
        <w:t xml:space="preserve">. In addition, inhibition of metabolic pathways, such as fatty acid </w:t>
      </w:r>
      <w:r w:rsidR="000F2425" w:rsidRPr="000016FB">
        <w:rPr>
          <w:noProof/>
          <w:sz w:val="22"/>
          <w:szCs w:val="22"/>
        </w:rPr>
        <w:t>β</w:t>
      </w:r>
      <w:r w:rsidR="000F2425" w:rsidRPr="000016FB">
        <w:rPr>
          <w:noProof/>
          <w:sz w:val="22"/>
          <w:szCs w:val="22"/>
          <w:lang w:val="en-US"/>
        </w:rPr>
        <w:t xml:space="preserve">-oxidation </w:t>
      </w:r>
      <w:r w:rsidR="00845762">
        <w:rPr>
          <w:noProof/>
          <w:sz w:val="22"/>
          <w:szCs w:val="22"/>
          <w:lang w:val="en-US"/>
        </w:rPr>
        <w:t xml:space="preserve">(FAO) </w:t>
      </w:r>
      <w:r w:rsidR="000F2425" w:rsidRPr="000016FB">
        <w:rPr>
          <w:noProof/>
          <w:sz w:val="22"/>
          <w:szCs w:val="22"/>
          <w:lang w:val="en-US"/>
        </w:rPr>
        <w:t>and</w:t>
      </w:r>
      <w:r w:rsidR="007F4E1A">
        <w:rPr>
          <w:noProof/>
          <w:sz w:val="22"/>
          <w:szCs w:val="22"/>
          <w:lang w:val="en-US"/>
        </w:rPr>
        <w:t xml:space="preserve"> the</w:t>
      </w:r>
      <w:r w:rsidR="000F2425" w:rsidRPr="000016FB">
        <w:rPr>
          <w:noProof/>
          <w:sz w:val="22"/>
          <w:szCs w:val="22"/>
          <w:lang w:val="en-US"/>
        </w:rPr>
        <w:t xml:space="preserve"> Kreb’s cycle, that fuel </w:t>
      </w:r>
      <w:r w:rsidR="00EE2AA1">
        <w:rPr>
          <w:noProof/>
          <w:sz w:val="22"/>
          <w:szCs w:val="22"/>
          <w:lang w:val="en-US"/>
        </w:rPr>
        <w:t>oxidative phosphorylation</w:t>
      </w:r>
      <w:r w:rsidR="007F4E1A">
        <w:rPr>
          <w:noProof/>
          <w:sz w:val="22"/>
          <w:szCs w:val="22"/>
          <w:lang w:val="en-US"/>
        </w:rPr>
        <w:t>,</w:t>
      </w:r>
      <w:r w:rsidR="000F2425" w:rsidRPr="000016FB">
        <w:rPr>
          <w:noProof/>
          <w:sz w:val="22"/>
          <w:szCs w:val="22"/>
          <w:lang w:val="en-US"/>
        </w:rPr>
        <w:t xml:space="preserve"> </w:t>
      </w:r>
      <w:r w:rsidR="00EE2AA1">
        <w:rPr>
          <w:noProof/>
          <w:sz w:val="22"/>
          <w:szCs w:val="22"/>
          <w:lang w:val="en-US"/>
        </w:rPr>
        <w:t>can</w:t>
      </w:r>
      <w:r w:rsidR="00EE2AA1" w:rsidRPr="000016FB">
        <w:rPr>
          <w:noProof/>
          <w:sz w:val="22"/>
          <w:szCs w:val="22"/>
          <w:lang w:val="en-US"/>
        </w:rPr>
        <w:t xml:space="preserve"> </w:t>
      </w:r>
      <w:r w:rsidR="000F2425" w:rsidRPr="000016FB">
        <w:rPr>
          <w:noProof/>
          <w:sz w:val="22"/>
          <w:szCs w:val="22"/>
          <w:lang w:val="en-US"/>
        </w:rPr>
        <w:t>impair ATP production</w:t>
      </w:r>
      <w:r w:rsidR="001D357F">
        <w:rPr>
          <w:noProof/>
          <w:sz w:val="22"/>
          <w:szCs w:val="22"/>
          <w:lang w:val="en-US"/>
        </w:rPr>
        <w:t xml:space="preserve">, </w:t>
      </w:r>
      <w:r w:rsidR="004C2DB1">
        <w:rPr>
          <w:noProof/>
          <w:sz w:val="22"/>
          <w:szCs w:val="22"/>
          <w:lang w:val="en-US"/>
        </w:rPr>
        <w:t xml:space="preserve">and </w:t>
      </w:r>
      <w:r w:rsidR="000F2425" w:rsidRPr="000016FB">
        <w:rPr>
          <w:noProof/>
          <w:sz w:val="22"/>
          <w:szCs w:val="22"/>
          <w:lang w:val="en-US"/>
        </w:rPr>
        <w:t xml:space="preserve">inhibit the mitochondrial membrane transporters that exchange metabolites across the impermeable inner membrane </w:t>
      </w:r>
      <w:r w:rsidR="00D541F2" w:rsidRPr="000016FB">
        <w:rPr>
          <w:noProof/>
          <w:color w:val="E36C0A"/>
          <w:sz w:val="22"/>
          <w:szCs w:val="22"/>
          <w:lang w:val="en-US"/>
        </w:rPr>
        <w:t xml:space="preserve"> </w:t>
      </w:r>
      <w:sdt>
        <w:sdtPr>
          <w:rPr>
            <w:noProof/>
            <w:color w:val="E36C0A"/>
            <w:sz w:val="22"/>
            <w:szCs w:val="22"/>
            <w:lang w:val="en-US"/>
          </w:rPr>
          <w:id w:val="-623228117"/>
          <w:citation/>
        </w:sdtPr>
        <w:sdtEndPr/>
        <w:sdtContent>
          <w:r w:rsidR="00D96F6C">
            <w:rPr>
              <w:noProof/>
              <w:color w:val="E36C0A"/>
              <w:sz w:val="22"/>
              <w:szCs w:val="22"/>
              <w:lang w:val="en-US"/>
            </w:rPr>
            <w:fldChar w:fldCharType="begin"/>
          </w:r>
          <w:r w:rsidR="00D96F6C">
            <w:rPr>
              <w:noProof/>
              <w:sz w:val="22"/>
              <w:szCs w:val="22"/>
              <w:lang w:val="en-GB"/>
            </w:rPr>
            <w:instrText xml:space="preserve"> CITATION Dyk07 \l 2057 </w:instrText>
          </w:r>
          <w:r w:rsidR="00D96F6C">
            <w:rPr>
              <w:noProof/>
              <w:color w:val="E36C0A"/>
              <w:sz w:val="22"/>
              <w:szCs w:val="22"/>
              <w:lang w:val="en-US"/>
            </w:rPr>
            <w:fldChar w:fldCharType="separate"/>
          </w:r>
          <w:r w:rsidR="002D6947" w:rsidRPr="002D6947">
            <w:rPr>
              <w:noProof/>
              <w:sz w:val="22"/>
              <w:szCs w:val="22"/>
              <w:lang w:val="en-GB"/>
            </w:rPr>
            <w:t>[23]</w:t>
          </w:r>
          <w:r w:rsidR="00D96F6C">
            <w:rPr>
              <w:noProof/>
              <w:color w:val="E36C0A"/>
              <w:sz w:val="22"/>
              <w:szCs w:val="22"/>
              <w:lang w:val="en-US"/>
            </w:rPr>
            <w:fldChar w:fldCharType="end"/>
          </w:r>
        </w:sdtContent>
      </w:sdt>
      <w:r w:rsidR="00D96F6C">
        <w:rPr>
          <w:noProof/>
          <w:color w:val="E36C0A"/>
          <w:sz w:val="22"/>
          <w:szCs w:val="22"/>
          <w:lang w:val="en-US"/>
        </w:rPr>
        <w:t xml:space="preserve">. </w:t>
      </w:r>
      <w:r w:rsidR="00845762" w:rsidRPr="00936857">
        <w:rPr>
          <w:noProof/>
          <w:sz w:val="22"/>
          <w:szCs w:val="22"/>
          <w:lang w:val="en-US"/>
        </w:rPr>
        <w:t>A severe inhibition of FAO, either direct or indirect, may also induce accumulation of lipid droplets within hepatocytes (microvesicular steatosis)</w:t>
      </w:r>
      <w:r w:rsidR="009E260D" w:rsidRPr="00936857">
        <w:rPr>
          <w:noProof/>
          <w:sz w:val="22"/>
          <w:szCs w:val="22"/>
          <w:lang w:val="en-US"/>
        </w:rPr>
        <w:t xml:space="preserve"> </w:t>
      </w:r>
      <w:sdt>
        <w:sdtPr>
          <w:rPr>
            <w:noProof/>
            <w:sz w:val="22"/>
            <w:szCs w:val="22"/>
            <w:lang w:val="en-US"/>
          </w:rPr>
          <w:id w:val="2104987864"/>
          <w:citation/>
        </w:sdtPr>
        <w:sdtEndPr/>
        <w:sdtContent>
          <w:r w:rsidR="009E260D" w:rsidRPr="00936857">
            <w:rPr>
              <w:noProof/>
              <w:sz w:val="22"/>
              <w:szCs w:val="22"/>
              <w:lang w:val="en-US"/>
            </w:rPr>
            <w:fldChar w:fldCharType="begin"/>
          </w:r>
          <w:r w:rsidR="00BE7472" w:rsidRPr="00936857">
            <w:rPr>
              <w:noProof/>
              <w:sz w:val="22"/>
              <w:szCs w:val="22"/>
              <w:lang w:val="en-GB"/>
            </w:rPr>
            <w:instrText xml:space="preserve">CITATION Beg11 \l 1036 </w:instrText>
          </w:r>
          <w:r w:rsidR="009E260D" w:rsidRPr="00936857">
            <w:rPr>
              <w:noProof/>
              <w:sz w:val="22"/>
              <w:szCs w:val="22"/>
              <w:lang w:val="en-US"/>
            </w:rPr>
            <w:fldChar w:fldCharType="separate"/>
          </w:r>
          <w:r w:rsidR="002D6947" w:rsidRPr="002D6947">
            <w:rPr>
              <w:noProof/>
              <w:sz w:val="22"/>
              <w:szCs w:val="22"/>
              <w:lang w:val="en-GB"/>
            </w:rPr>
            <w:t>[27]</w:t>
          </w:r>
          <w:r w:rsidR="009E260D" w:rsidRPr="00936857">
            <w:rPr>
              <w:noProof/>
              <w:sz w:val="22"/>
              <w:szCs w:val="22"/>
              <w:lang w:val="en-US"/>
            </w:rPr>
            <w:fldChar w:fldCharType="end"/>
          </w:r>
        </w:sdtContent>
      </w:sdt>
      <w:r w:rsidR="009E260D" w:rsidRPr="00936857">
        <w:rPr>
          <w:noProof/>
          <w:sz w:val="22"/>
          <w:szCs w:val="22"/>
          <w:lang w:val="en-US"/>
        </w:rPr>
        <w:t xml:space="preserve">. </w:t>
      </w:r>
      <w:r w:rsidR="00845762" w:rsidRPr="00936857">
        <w:rPr>
          <w:noProof/>
          <w:sz w:val="22"/>
          <w:szCs w:val="22"/>
          <w:lang w:val="en-US"/>
        </w:rPr>
        <w:t xml:space="preserve"> </w:t>
      </w:r>
      <w:r w:rsidRPr="00936857">
        <w:rPr>
          <w:noProof/>
          <w:sz w:val="22"/>
          <w:szCs w:val="22"/>
          <w:lang w:val="en-US"/>
        </w:rPr>
        <w:t xml:space="preserve">Drug-induced mitochondrial toxicity can </w:t>
      </w:r>
      <w:r w:rsidR="00B6189B" w:rsidRPr="00936857">
        <w:rPr>
          <w:noProof/>
          <w:sz w:val="22"/>
          <w:szCs w:val="22"/>
          <w:lang w:val="en-US"/>
        </w:rPr>
        <w:t>equa</w:t>
      </w:r>
      <w:r w:rsidR="00B6189B">
        <w:rPr>
          <w:noProof/>
          <w:sz w:val="22"/>
          <w:szCs w:val="22"/>
          <w:lang w:val="en-US"/>
        </w:rPr>
        <w:t xml:space="preserve">lly </w:t>
      </w:r>
      <w:r w:rsidRPr="000016FB">
        <w:rPr>
          <w:noProof/>
          <w:sz w:val="22"/>
          <w:szCs w:val="22"/>
          <w:lang w:val="en-US"/>
        </w:rPr>
        <w:t xml:space="preserve">arise due to the  inhibition of replication of mitochondrial DNA </w:t>
      </w:r>
      <w:r w:rsidR="007F4E1A">
        <w:rPr>
          <w:noProof/>
          <w:sz w:val="22"/>
          <w:szCs w:val="22"/>
          <w:lang w:val="en-US"/>
        </w:rPr>
        <w:t>(</w:t>
      </w:r>
      <w:r w:rsidRPr="000016FB">
        <w:rPr>
          <w:noProof/>
          <w:sz w:val="22"/>
          <w:szCs w:val="22"/>
          <w:lang w:val="en-US"/>
        </w:rPr>
        <w:t>e.g. nucleoside analogues</w:t>
      </w:r>
      <w:r w:rsidR="007F4E1A">
        <w:rPr>
          <w:noProof/>
          <w:sz w:val="22"/>
          <w:szCs w:val="22"/>
          <w:lang w:val="en-US"/>
        </w:rPr>
        <w:t>)</w:t>
      </w:r>
      <w:r w:rsidRPr="000016FB">
        <w:rPr>
          <w:noProof/>
          <w:sz w:val="22"/>
          <w:szCs w:val="22"/>
          <w:lang w:val="en-US"/>
        </w:rPr>
        <w:t xml:space="preserve"> or the inhibition of mitochondrial protein synthesis</w:t>
      </w:r>
      <w:r w:rsidR="00C11434" w:rsidRPr="00C11434">
        <w:rPr>
          <w:noProof/>
          <w:sz w:val="22"/>
          <w:szCs w:val="22"/>
          <w:lang w:val="en-US"/>
        </w:rPr>
        <w:t xml:space="preserve"> </w:t>
      </w:r>
      <w:sdt>
        <w:sdtPr>
          <w:rPr>
            <w:noProof/>
            <w:sz w:val="22"/>
            <w:szCs w:val="22"/>
            <w:lang w:val="en-US"/>
          </w:rPr>
          <w:id w:val="349533874"/>
          <w:citation/>
        </w:sdtPr>
        <w:sdtEndPr/>
        <w:sdtContent>
          <w:r w:rsidR="00C11434">
            <w:rPr>
              <w:noProof/>
              <w:sz w:val="22"/>
              <w:szCs w:val="22"/>
              <w:lang w:val="en-US"/>
            </w:rPr>
            <w:fldChar w:fldCharType="begin"/>
          </w:r>
          <w:r w:rsidR="00C11434">
            <w:rPr>
              <w:noProof/>
              <w:sz w:val="22"/>
              <w:szCs w:val="22"/>
              <w:lang w:val="en-GB"/>
            </w:rPr>
            <w:instrText xml:space="preserve"> CITATION McK06 \l 2057 </w:instrText>
          </w:r>
          <w:r w:rsidR="00C11434">
            <w:rPr>
              <w:noProof/>
              <w:sz w:val="22"/>
              <w:szCs w:val="22"/>
              <w:lang w:val="en-US"/>
            </w:rPr>
            <w:fldChar w:fldCharType="separate"/>
          </w:r>
          <w:r w:rsidR="002D6947" w:rsidRPr="002D6947">
            <w:rPr>
              <w:noProof/>
              <w:sz w:val="22"/>
              <w:szCs w:val="22"/>
              <w:lang w:val="en-GB"/>
            </w:rPr>
            <w:t>[28]</w:t>
          </w:r>
          <w:r w:rsidR="00C11434">
            <w:rPr>
              <w:noProof/>
              <w:sz w:val="22"/>
              <w:szCs w:val="22"/>
              <w:lang w:val="en-US"/>
            </w:rPr>
            <w:fldChar w:fldCharType="end"/>
          </w:r>
        </w:sdtContent>
      </w:sdt>
      <w:r w:rsidRPr="000016FB">
        <w:rPr>
          <w:noProof/>
          <w:sz w:val="22"/>
          <w:szCs w:val="22"/>
          <w:lang w:val="en-US"/>
        </w:rPr>
        <w:t xml:space="preserve"> </w:t>
      </w:r>
      <w:r w:rsidR="00396A33">
        <w:rPr>
          <w:noProof/>
          <w:sz w:val="22"/>
          <w:szCs w:val="22"/>
          <w:lang w:val="en-US"/>
        </w:rPr>
        <w:t>(</w:t>
      </w:r>
      <w:r w:rsidRPr="000016FB">
        <w:rPr>
          <w:noProof/>
          <w:sz w:val="22"/>
          <w:szCs w:val="22"/>
          <w:lang w:val="en-US"/>
        </w:rPr>
        <w:t>e.g.</w:t>
      </w:r>
      <w:r w:rsidR="00C11434">
        <w:rPr>
          <w:noProof/>
          <w:sz w:val="22"/>
          <w:szCs w:val="22"/>
          <w:lang w:val="en-US"/>
        </w:rPr>
        <w:t>linezolid</w:t>
      </w:r>
      <w:r w:rsidR="007F4E1A">
        <w:rPr>
          <w:noProof/>
          <w:sz w:val="22"/>
          <w:szCs w:val="22"/>
          <w:lang w:val="en-US"/>
        </w:rPr>
        <w:t>)</w:t>
      </w:r>
      <w:r w:rsidR="005204DB">
        <w:rPr>
          <w:noProof/>
          <w:sz w:val="22"/>
          <w:szCs w:val="22"/>
          <w:lang w:val="en-US"/>
        </w:rPr>
        <w:t xml:space="preserve"> </w:t>
      </w:r>
      <w:sdt>
        <w:sdtPr>
          <w:rPr>
            <w:noProof/>
            <w:sz w:val="22"/>
            <w:szCs w:val="22"/>
            <w:lang w:val="en-US"/>
          </w:rPr>
          <w:id w:val="1750304902"/>
          <w:citation/>
        </w:sdtPr>
        <w:sdtEndPr/>
        <w:sdtContent>
          <w:r w:rsidR="005204DB">
            <w:rPr>
              <w:noProof/>
              <w:sz w:val="22"/>
              <w:szCs w:val="22"/>
              <w:lang w:val="en-US"/>
            </w:rPr>
            <w:fldChar w:fldCharType="begin"/>
          </w:r>
          <w:r w:rsidR="005204DB" w:rsidRPr="005204DB">
            <w:rPr>
              <w:noProof/>
              <w:sz w:val="22"/>
              <w:szCs w:val="22"/>
              <w:lang w:val="en-GB"/>
            </w:rPr>
            <w:instrText xml:space="preserve"> CITATION DeB10 \l 1036 </w:instrText>
          </w:r>
          <w:r w:rsidR="005204DB">
            <w:rPr>
              <w:noProof/>
              <w:sz w:val="22"/>
              <w:szCs w:val="22"/>
              <w:lang w:val="en-US"/>
            </w:rPr>
            <w:fldChar w:fldCharType="separate"/>
          </w:r>
          <w:r w:rsidR="002D6947" w:rsidRPr="002D6947">
            <w:rPr>
              <w:noProof/>
              <w:sz w:val="22"/>
              <w:szCs w:val="22"/>
              <w:lang w:val="en-GB"/>
            </w:rPr>
            <w:t>[29]</w:t>
          </w:r>
          <w:r w:rsidR="005204DB">
            <w:rPr>
              <w:noProof/>
              <w:sz w:val="22"/>
              <w:szCs w:val="22"/>
              <w:lang w:val="en-US"/>
            </w:rPr>
            <w:fldChar w:fldCharType="end"/>
          </w:r>
        </w:sdtContent>
      </w:sdt>
      <w:r w:rsidRPr="000016FB">
        <w:rPr>
          <w:noProof/>
          <w:sz w:val="22"/>
          <w:szCs w:val="22"/>
          <w:lang w:val="en-US"/>
        </w:rPr>
        <w:t>.</w:t>
      </w:r>
    </w:p>
    <w:p w14:paraId="4506977C" w14:textId="77777777" w:rsidR="006D3127" w:rsidRDefault="006D3127" w:rsidP="006730B6">
      <w:pPr>
        <w:spacing w:line="480" w:lineRule="auto"/>
        <w:jc w:val="both"/>
        <w:rPr>
          <w:noProof/>
          <w:sz w:val="22"/>
          <w:szCs w:val="22"/>
          <w:lang w:val="en-US"/>
        </w:rPr>
      </w:pPr>
    </w:p>
    <w:p w14:paraId="6D2AB800" w14:textId="77777777" w:rsidR="000F2425" w:rsidRPr="000016FB" w:rsidRDefault="009F7F58" w:rsidP="006730B6">
      <w:pPr>
        <w:spacing w:line="480" w:lineRule="auto"/>
        <w:jc w:val="both"/>
        <w:rPr>
          <w:noProof/>
          <w:sz w:val="22"/>
          <w:szCs w:val="22"/>
          <w:lang w:val="en-US"/>
        </w:rPr>
      </w:pPr>
      <w:r>
        <w:rPr>
          <w:noProof/>
          <w:sz w:val="22"/>
          <w:szCs w:val="22"/>
          <w:lang w:val="en-US"/>
        </w:rPr>
        <w:t xml:space="preserve">2.2.2 </w:t>
      </w:r>
      <w:r w:rsidR="009E4928">
        <w:rPr>
          <w:i/>
          <w:noProof/>
          <w:sz w:val="22"/>
          <w:szCs w:val="22"/>
          <w:lang w:val="en-US"/>
        </w:rPr>
        <w:t>Routinely used</w:t>
      </w:r>
      <w:r w:rsidR="009E4928" w:rsidRPr="000016FB">
        <w:rPr>
          <w:i/>
          <w:noProof/>
          <w:sz w:val="22"/>
          <w:szCs w:val="22"/>
          <w:lang w:val="en-US"/>
        </w:rPr>
        <w:t xml:space="preserve"> </w:t>
      </w:r>
      <w:r w:rsidR="003B4381" w:rsidRPr="000016FB">
        <w:rPr>
          <w:i/>
          <w:noProof/>
          <w:sz w:val="22"/>
          <w:szCs w:val="22"/>
          <w:lang w:val="en-US"/>
        </w:rPr>
        <w:t>endpoint</w:t>
      </w:r>
      <w:r w:rsidR="009E4928">
        <w:rPr>
          <w:i/>
          <w:noProof/>
          <w:sz w:val="22"/>
          <w:szCs w:val="22"/>
          <w:lang w:val="en-US"/>
        </w:rPr>
        <w:t>s</w:t>
      </w:r>
    </w:p>
    <w:p w14:paraId="1AE1C180" w14:textId="1378A60D" w:rsidR="00576BD4" w:rsidRPr="000016FB" w:rsidRDefault="00936857" w:rsidP="006730B6">
      <w:pPr>
        <w:pStyle w:val="Paragraphedeliste"/>
        <w:spacing w:after="120" w:line="480" w:lineRule="auto"/>
        <w:ind w:left="0"/>
        <w:jc w:val="both"/>
        <w:rPr>
          <w:rFonts w:ascii="Times New Roman" w:hAnsi="Times New Roman"/>
        </w:rPr>
      </w:pPr>
      <w:r w:rsidRPr="00B92044">
        <w:rPr>
          <w:rFonts w:ascii="Times New Roman" w:hAnsi="Times New Roman"/>
          <w:noProof/>
        </w:rPr>
        <w:t>To avoid mitochondrial liabilities, routine screens can be positioned within the drug discovery process. Several assays and cell models for mitochondrial function evaluation have been proposed for use in drug discovery to reduce late-stage attrition of drug candidates</w:t>
      </w:r>
      <w:r w:rsidRPr="00B92044">
        <w:rPr>
          <w:rFonts w:ascii="Times New Roman" w:hAnsi="Times New Roman"/>
          <w:noProof/>
          <w:color w:val="E36C0A"/>
        </w:rPr>
        <w:t xml:space="preserve">  </w:t>
      </w:r>
      <w:sdt>
        <w:sdtPr>
          <w:rPr>
            <w:rFonts w:ascii="Times New Roman" w:hAnsi="Times New Roman"/>
            <w:noProof/>
            <w:color w:val="E36C0A"/>
          </w:rPr>
          <w:id w:val="1862932846"/>
          <w:citation/>
        </w:sdtPr>
        <w:sdtEndPr/>
        <w:sdtContent>
          <w:r w:rsidRPr="00B92044">
            <w:rPr>
              <w:rFonts w:ascii="Times New Roman" w:hAnsi="Times New Roman"/>
              <w:noProof/>
              <w:color w:val="E36C0A"/>
            </w:rPr>
            <w:fldChar w:fldCharType="begin"/>
          </w:r>
          <w:r w:rsidRPr="00B92044">
            <w:rPr>
              <w:rFonts w:ascii="Times New Roman" w:hAnsi="Times New Roman"/>
              <w:noProof/>
              <w:lang w:val="en-GB"/>
            </w:rPr>
            <w:instrText xml:space="preserve"> CITATION Dyk07 \l 2057 </w:instrText>
          </w:r>
          <w:r w:rsidRPr="00B92044">
            <w:rPr>
              <w:rFonts w:ascii="Times New Roman" w:hAnsi="Times New Roman"/>
              <w:noProof/>
              <w:color w:val="E36C0A"/>
            </w:rPr>
            <w:fldChar w:fldCharType="separate"/>
          </w:r>
          <w:r w:rsidR="002D6947" w:rsidRPr="002D6947">
            <w:rPr>
              <w:rFonts w:ascii="Times New Roman" w:hAnsi="Times New Roman"/>
              <w:noProof/>
              <w:lang w:val="en-GB"/>
            </w:rPr>
            <w:t>[23]</w:t>
          </w:r>
          <w:r w:rsidRPr="00B92044">
            <w:rPr>
              <w:rFonts w:ascii="Times New Roman" w:hAnsi="Times New Roman"/>
              <w:noProof/>
              <w:color w:val="E36C0A"/>
            </w:rPr>
            <w:fldChar w:fldCharType="end"/>
          </w:r>
        </w:sdtContent>
      </w:sdt>
      <w:r w:rsidRPr="00B92044">
        <w:rPr>
          <w:rFonts w:ascii="Times New Roman" w:hAnsi="Times New Roman"/>
          <w:noProof/>
          <w:color w:val="E36C0A"/>
        </w:rPr>
        <w:t>.</w:t>
      </w:r>
      <w:r>
        <w:rPr>
          <w:noProof/>
          <w:color w:val="E36C0A"/>
        </w:rPr>
        <w:t xml:space="preserve"> </w:t>
      </w:r>
      <w:r w:rsidR="00904098" w:rsidRPr="00D4624E">
        <w:rPr>
          <w:rFonts w:ascii="Times New Roman" w:hAnsi="Times New Roman"/>
        </w:rPr>
        <w:t xml:space="preserve">The endpoints in use for the assessment of drug-induced mitochondrial toxicity are </w:t>
      </w:r>
      <w:r w:rsidR="004C2DB1">
        <w:rPr>
          <w:rFonts w:ascii="Times New Roman" w:hAnsi="Times New Roman"/>
        </w:rPr>
        <w:t>broad</w:t>
      </w:r>
      <w:r w:rsidR="004C2DB1" w:rsidRPr="00D4624E">
        <w:rPr>
          <w:rFonts w:ascii="Times New Roman" w:hAnsi="Times New Roman"/>
        </w:rPr>
        <w:t xml:space="preserve"> </w:t>
      </w:r>
      <w:r w:rsidR="00904098" w:rsidRPr="00D4624E">
        <w:rPr>
          <w:rFonts w:ascii="Times New Roman" w:hAnsi="Times New Roman"/>
        </w:rPr>
        <w:t xml:space="preserve">(Table </w:t>
      </w:r>
      <w:r w:rsidR="00B83A30">
        <w:rPr>
          <w:rFonts w:ascii="Times New Roman" w:hAnsi="Times New Roman"/>
        </w:rPr>
        <w:t>3</w:t>
      </w:r>
      <w:r w:rsidR="00417DBF">
        <w:rPr>
          <w:rFonts w:ascii="Times New Roman" w:hAnsi="Times New Roman"/>
        </w:rPr>
        <w:t>; Figure 2</w:t>
      </w:r>
      <w:r w:rsidR="00904098" w:rsidRPr="00D4624E">
        <w:rPr>
          <w:rFonts w:ascii="Times New Roman" w:hAnsi="Times New Roman"/>
        </w:rPr>
        <w:t xml:space="preserve">). Each of the assays and endpoint measurements offer complementary information from the global assessment of direct and indirect </w:t>
      </w:r>
      <w:r w:rsidR="002B698B">
        <w:rPr>
          <w:rFonts w:ascii="Times New Roman" w:hAnsi="Times New Roman"/>
        </w:rPr>
        <w:t xml:space="preserve">drug </w:t>
      </w:r>
      <w:r w:rsidR="002B698B" w:rsidRPr="00D4624E">
        <w:rPr>
          <w:rFonts w:ascii="Times New Roman" w:hAnsi="Times New Roman"/>
        </w:rPr>
        <w:t>effect</w:t>
      </w:r>
      <w:r w:rsidR="00B63B17">
        <w:rPr>
          <w:rFonts w:ascii="Times New Roman" w:hAnsi="Times New Roman"/>
        </w:rPr>
        <w:t>s</w:t>
      </w:r>
      <w:r w:rsidR="002B698B" w:rsidRPr="00D4624E">
        <w:rPr>
          <w:rFonts w:ascii="Times New Roman" w:hAnsi="Times New Roman"/>
        </w:rPr>
        <w:t xml:space="preserve"> </w:t>
      </w:r>
      <w:r w:rsidR="00904098" w:rsidRPr="00D4624E">
        <w:rPr>
          <w:rFonts w:ascii="Times New Roman" w:hAnsi="Times New Roman"/>
        </w:rPr>
        <w:t>on mitochondria to more specific assessment of mechanis</w:t>
      </w:r>
      <w:r w:rsidR="007F4E1A">
        <w:rPr>
          <w:rFonts w:ascii="Times New Roman" w:hAnsi="Times New Roman"/>
        </w:rPr>
        <w:t>ms related to</w:t>
      </w:r>
      <w:r w:rsidR="00904098" w:rsidRPr="00D4624E">
        <w:rPr>
          <w:rFonts w:ascii="Times New Roman" w:hAnsi="Times New Roman"/>
        </w:rPr>
        <w:t xml:space="preserve"> the putative </w:t>
      </w:r>
      <w:r w:rsidR="006835DF">
        <w:rPr>
          <w:rFonts w:ascii="Times New Roman" w:hAnsi="Times New Roman"/>
        </w:rPr>
        <w:t>MI</w:t>
      </w:r>
      <w:r w:rsidR="00080280">
        <w:rPr>
          <w:rFonts w:ascii="Times New Roman" w:hAnsi="Times New Roman"/>
        </w:rPr>
        <w:t>E</w:t>
      </w:r>
      <w:r w:rsidR="00904098" w:rsidRPr="00D4624E">
        <w:rPr>
          <w:rFonts w:ascii="Times New Roman" w:hAnsi="Times New Roman"/>
        </w:rPr>
        <w:t xml:space="preserve"> or mode of action</w:t>
      </w:r>
      <w:r w:rsidR="006835DF">
        <w:rPr>
          <w:rFonts w:ascii="Times New Roman" w:hAnsi="Times New Roman"/>
        </w:rPr>
        <w:t xml:space="preserve"> (</w:t>
      </w:r>
      <w:proofErr w:type="spellStart"/>
      <w:r w:rsidR="006835DF">
        <w:rPr>
          <w:rFonts w:ascii="Times New Roman" w:hAnsi="Times New Roman"/>
        </w:rPr>
        <w:t>MoA</w:t>
      </w:r>
      <w:proofErr w:type="spellEnd"/>
      <w:r w:rsidR="006835DF">
        <w:rPr>
          <w:rFonts w:ascii="Times New Roman" w:hAnsi="Times New Roman"/>
        </w:rPr>
        <w:t>)</w:t>
      </w:r>
      <w:r w:rsidR="00904098" w:rsidRPr="00D4624E">
        <w:rPr>
          <w:rFonts w:ascii="Times New Roman" w:hAnsi="Times New Roman"/>
        </w:rPr>
        <w:t xml:space="preserve">. </w:t>
      </w:r>
      <w:r w:rsidR="00576BD4" w:rsidRPr="00D4624E">
        <w:rPr>
          <w:rFonts w:ascii="Times New Roman" w:hAnsi="Times New Roman"/>
        </w:rPr>
        <w:t xml:space="preserve">The </w:t>
      </w:r>
      <w:r w:rsidR="00897E08">
        <w:rPr>
          <w:rFonts w:ascii="Times New Roman" w:hAnsi="Times New Roman"/>
        </w:rPr>
        <w:t>g</w:t>
      </w:r>
      <w:r w:rsidR="00576BD4" w:rsidRPr="00D4624E">
        <w:rPr>
          <w:rFonts w:ascii="Times New Roman" w:hAnsi="Times New Roman"/>
        </w:rPr>
        <w:t>lucose</w:t>
      </w:r>
      <w:r w:rsidR="00EB46E9">
        <w:rPr>
          <w:rFonts w:ascii="Times New Roman" w:hAnsi="Times New Roman"/>
        </w:rPr>
        <w:t>-g</w:t>
      </w:r>
      <w:r w:rsidR="00EB46E9" w:rsidRPr="00D4624E">
        <w:rPr>
          <w:rFonts w:ascii="Times New Roman" w:hAnsi="Times New Roman"/>
        </w:rPr>
        <w:t>alactose-</w:t>
      </w:r>
      <w:r w:rsidR="00966FA8">
        <w:rPr>
          <w:rFonts w:ascii="Times New Roman" w:hAnsi="Times New Roman"/>
        </w:rPr>
        <w:t>assay</w:t>
      </w:r>
      <w:r w:rsidR="00576BD4" w:rsidRPr="00D4624E">
        <w:rPr>
          <w:rFonts w:ascii="Times New Roman" w:hAnsi="Times New Roman"/>
        </w:rPr>
        <w:t xml:space="preserve"> </w:t>
      </w:r>
      <w:r w:rsidR="00B17C9E" w:rsidRPr="00D4624E">
        <w:rPr>
          <w:rFonts w:ascii="Times New Roman" w:hAnsi="Times New Roman"/>
        </w:rPr>
        <w:t>(</w:t>
      </w:r>
      <w:proofErr w:type="spellStart"/>
      <w:r w:rsidR="00F731A9">
        <w:rPr>
          <w:rFonts w:ascii="Times New Roman" w:hAnsi="Times New Roman"/>
        </w:rPr>
        <w:t>glu</w:t>
      </w:r>
      <w:proofErr w:type="spellEnd"/>
      <w:r w:rsidR="00F731A9">
        <w:rPr>
          <w:rFonts w:ascii="Times New Roman" w:hAnsi="Times New Roman"/>
        </w:rPr>
        <w:t>-gal</w:t>
      </w:r>
      <w:r w:rsidR="00B17C9E" w:rsidRPr="00D4624E">
        <w:rPr>
          <w:rFonts w:ascii="Times New Roman" w:hAnsi="Times New Roman"/>
        </w:rPr>
        <w:t>)</w:t>
      </w:r>
      <w:r w:rsidR="00897E08" w:rsidRPr="009F7F58">
        <w:rPr>
          <w:rFonts w:ascii="Times New Roman" w:hAnsi="Times New Roman"/>
          <w:noProof/>
          <w:lang w:val="en-GB"/>
        </w:rPr>
        <w:t xml:space="preserve"> </w:t>
      </w:r>
      <w:sdt>
        <w:sdtPr>
          <w:rPr>
            <w:rFonts w:ascii="Times New Roman" w:hAnsi="Times New Roman"/>
            <w:noProof/>
            <w:lang w:val="en-GB"/>
          </w:rPr>
          <w:id w:val="1660037503"/>
          <w:citation/>
        </w:sdtPr>
        <w:sdtEndPr/>
        <w:sdtContent>
          <w:r w:rsidR="00D96F6C">
            <w:rPr>
              <w:rFonts w:ascii="Times New Roman" w:hAnsi="Times New Roman"/>
              <w:noProof/>
              <w:lang w:val="en-GB"/>
            </w:rPr>
            <w:fldChar w:fldCharType="begin"/>
          </w:r>
          <w:r w:rsidR="00D96F6C">
            <w:rPr>
              <w:rFonts w:ascii="Times New Roman" w:hAnsi="Times New Roman"/>
              <w:noProof/>
              <w:lang w:val="en-GB"/>
            </w:rPr>
            <w:instrText xml:space="preserve"> CITATION Mar071 \l 2057 </w:instrText>
          </w:r>
          <w:r w:rsidR="00D96F6C">
            <w:rPr>
              <w:rFonts w:ascii="Times New Roman" w:hAnsi="Times New Roman"/>
              <w:noProof/>
              <w:lang w:val="en-GB"/>
            </w:rPr>
            <w:fldChar w:fldCharType="separate"/>
          </w:r>
          <w:r w:rsidR="002D6947" w:rsidRPr="002D6947">
            <w:rPr>
              <w:rFonts w:ascii="Times New Roman" w:hAnsi="Times New Roman"/>
              <w:noProof/>
              <w:lang w:val="en-GB"/>
            </w:rPr>
            <w:t>[30]</w:t>
          </w:r>
          <w:r w:rsidR="00D96F6C">
            <w:rPr>
              <w:rFonts w:ascii="Times New Roman" w:hAnsi="Times New Roman"/>
              <w:noProof/>
              <w:lang w:val="en-GB"/>
            </w:rPr>
            <w:fldChar w:fldCharType="end"/>
          </w:r>
        </w:sdtContent>
      </w:sdt>
      <w:sdt>
        <w:sdtPr>
          <w:rPr>
            <w:rFonts w:ascii="Times New Roman" w:hAnsi="Times New Roman"/>
            <w:noProof/>
            <w:lang w:val="en-GB"/>
          </w:rPr>
          <w:id w:val="-1015230967"/>
          <w:citation/>
        </w:sdtPr>
        <w:sdtEndPr/>
        <w:sdtContent>
          <w:r w:rsidR="00D96F6C">
            <w:rPr>
              <w:rFonts w:ascii="Times New Roman" w:hAnsi="Times New Roman"/>
              <w:noProof/>
              <w:lang w:val="en-GB"/>
            </w:rPr>
            <w:fldChar w:fldCharType="begin"/>
          </w:r>
          <w:r w:rsidR="00D96F6C">
            <w:rPr>
              <w:rFonts w:ascii="Times New Roman" w:hAnsi="Times New Roman"/>
              <w:noProof/>
              <w:lang w:val="en-GB"/>
            </w:rPr>
            <w:instrText xml:space="preserve"> CITATION Swi11 \l 2057 </w:instrText>
          </w:r>
          <w:r w:rsidR="00D96F6C">
            <w:rPr>
              <w:rFonts w:ascii="Times New Roman" w:hAnsi="Times New Roman"/>
              <w:noProof/>
              <w:lang w:val="en-GB"/>
            </w:rPr>
            <w:fldChar w:fldCharType="separate"/>
          </w:r>
          <w:r w:rsidR="002D6947">
            <w:rPr>
              <w:rFonts w:ascii="Times New Roman" w:hAnsi="Times New Roman"/>
              <w:noProof/>
              <w:lang w:val="en-GB"/>
            </w:rPr>
            <w:t xml:space="preserve"> </w:t>
          </w:r>
          <w:r w:rsidR="002D6947" w:rsidRPr="002D6947">
            <w:rPr>
              <w:rFonts w:ascii="Times New Roman" w:hAnsi="Times New Roman"/>
              <w:noProof/>
              <w:lang w:val="en-GB"/>
            </w:rPr>
            <w:t>[31]</w:t>
          </w:r>
          <w:r w:rsidR="00D96F6C">
            <w:rPr>
              <w:rFonts w:ascii="Times New Roman" w:hAnsi="Times New Roman"/>
              <w:noProof/>
              <w:lang w:val="en-GB"/>
            </w:rPr>
            <w:fldChar w:fldCharType="end"/>
          </w:r>
        </w:sdtContent>
      </w:sdt>
      <w:r w:rsidR="00897E08" w:rsidRPr="009F7F58">
        <w:rPr>
          <w:rFonts w:ascii="Times New Roman" w:hAnsi="Times New Roman"/>
          <w:noProof/>
          <w:lang w:val="en-GB"/>
        </w:rPr>
        <w:t xml:space="preserve"> </w:t>
      </w:r>
      <w:r w:rsidR="00576BD4" w:rsidRPr="00D4624E">
        <w:rPr>
          <w:rFonts w:ascii="Times New Roman" w:hAnsi="Times New Roman"/>
        </w:rPr>
        <w:t>and MMP assays form perhaps the most commonly applied endpoints in combination with cell</w:t>
      </w:r>
      <w:r w:rsidR="00DE58A5">
        <w:rPr>
          <w:rFonts w:ascii="Times New Roman" w:hAnsi="Times New Roman"/>
        </w:rPr>
        <w:t xml:space="preserve"> </w:t>
      </w:r>
      <w:r w:rsidR="00576BD4" w:rsidRPr="00D4624E">
        <w:rPr>
          <w:rFonts w:ascii="Times New Roman" w:hAnsi="Times New Roman"/>
        </w:rPr>
        <w:t>lines</w:t>
      </w:r>
      <w:r w:rsidR="007F4E1A">
        <w:rPr>
          <w:rFonts w:ascii="Times New Roman" w:hAnsi="Times New Roman"/>
        </w:rPr>
        <w:t>, which</w:t>
      </w:r>
      <w:r w:rsidR="00576BD4" w:rsidRPr="00D4624E">
        <w:rPr>
          <w:rFonts w:ascii="Times New Roman" w:hAnsi="Times New Roman"/>
        </w:rPr>
        <w:t xml:space="preserve"> offer</w:t>
      </w:r>
      <w:r w:rsidR="007F4E1A">
        <w:rPr>
          <w:rFonts w:ascii="Times New Roman" w:hAnsi="Times New Roman"/>
        </w:rPr>
        <w:t xml:space="preserve"> the</w:t>
      </w:r>
      <w:r w:rsidR="00576BD4" w:rsidRPr="00D4624E">
        <w:rPr>
          <w:rFonts w:ascii="Times New Roman" w:hAnsi="Times New Roman"/>
        </w:rPr>
        <w:t xml:space="preserve"> greatest simplicity and reproducible results. </w:t>
      </w:r>
      <w:r w:rsidR="00C1527F">
        <w:rPr>
          <w:rFonts w:ascii="Times New Roman" w:hAnsi="Times New Roman"/>
        </w:rPr>
        <w:t>The t</w:t>
      </w:r>
      <w:r w:rsidR="00845762">
        <w:rPr>
          <w:rFonts w:ascii="Times New Roman" w:hAnsi="Times New Roman"/>
        </w:rPr>
        <w:t>umor-derived HepG2 cell</w:t>
      </w:r>
      <w:r w:rsidR="006F5CCE">
        <w:rPr>
          <w:rFonts w:ascii="Times New Roman" w:hAnsi="Times New Roman"/>
        </w:rPr>
        <w:t xml:space="preserve"> </w:t>
      </w:r>
      <w:r w:rsidR="00C1527F">
        <w:rPr>
          <w:rFonts w:ascii="Times New Roman" w:hAnsi="Times New Roman"/>
        </w:rPr>
        <w:t xml:space="preserve">line is </w:t>
      </w:r>
      <w:r w:rsidR="00B63B17">
        <w:rPr>
          <w:rFonts w:ascii="Times New Roman" w:hAnsi="Times New Roman"/>
        </w:rPr>
        <w:t xml:space="preserve">more </w:t>
      </w:r>
      <w:r w:rsidR="001132D5">
        <w:rPr>
          <w:rFonts w:ascii="Times New Roman" w:hAnsi="Times New Roman"/>
        </w:rPr>
        <w:t>widely</w:t>
      </w:r>
      <w:r w:rsidR="00C1527F">
        <w:rPr>
          <w:rFonts w:ascii="Times New Roman" w:hAnsi="Times New Roman"/>
        </w:rPr>
        <w:t xml:space="preserve"> used in mitochondrial assays.</w:t>
      </w:r>
      <w:r w:rsidR="00845762">
        <w:rPr>
          <w:rFonts w:ascii="Times New Roman" w:hAnsi="Times New Roman"/>
        </w:rPr>
        <w:t xml:space="preserve"> </w:t>
      </w:r>
      <w:r w:rsidR="00C1527F">
        <w:rPr>
          <w:rFonts w:ascii="Times New Roman" w:hAnsi="Times New Roman"/>
        </w:rPr>
        <w:t>HepG2</w:t>
      </w:r>
      <w:r w:rsidR="004E6BD0">
        <w:rPr>
          <w:rFonts w:ascii="Times New Roman" w:hAnsi="Times New Roman"/>
        </w:rPr>
        <w:t xml:space="preserve"> </w:t>
      </w:r>
      <w:r w:rsidR="00485723">
        <w:rPr>
          <w:rFonts w:ascii="Times New Roman" w:hAnsi="Times New Roman"/>
        </w:rPr>
        <w:t xml:space="preserve">cells </w:t>
      </w:r>
      <w:r w:rsidR="00B63B17">
        <w:rPr>
          <w:rFonts w:ascii="Times New Roman" w:hAnsi="Times New Roman"/>
        </w:rPr>
        <w:t>f</w:t>
      </w:r>
      <w:r w:rsidR="004E6BD0">
        <w:rPr>
          <w:rFonts w:ascii="Times New Roman" w:hAnsi="Times New Roman"/>
        </w:rPr>
        <w:t>orm ATP</w:t>
      </w:r>
      <w:r w:rsidR="00B63B17">
        <w:rPr>
          <w:rFonts w:ascii="Times New Roman" w:hAnsi="Times New Roman"/>
        </w:rPr>
        <w:t xml:space="preserve"> </w:t>
      </w:r>
      <w:r w:rsidR="004E6BD0">
        <w:rPr>
          <w:rFonts w:ascii="Times New Roman" w:hAnsi="Times New Roman"/>
        </w:rPr>
        <w:t>through</w:t>
      </w:r>
      <w:r w:rsidR="00845762">
        <w:rPr>
          <w:rFonts w:ascii="Times New Roman" w:hAnsi="Times New Roman"/>
        </w:rPr>
        <w:t xml:space="preserve"> glycolysis alongside oxidative phosphorylation to </w:t>
      </w:r>
      <w:r w:rsidR="004C2DB1">
        <w:rPr>
          <w:rFonts w:ascii="Times New Roman" w:hAnsi="Times New Roman"/>
        </w:rPr>
        <w:t>maintain</w:t>
      </w:r>
      <w:r w:rsidR="00845762">
        <w:rPr>
          <w:rFonts w:ascii="Times New Roman" w:hAnsi="Times New Roman"/>
        </w:rPr>
        <w:t xml:space="preserve"> growth in anaerobic conditions, whereas primary hepatocytes lack such metabolic </w:t>
      </w:r>
      <w:r w:rsidR="004C2DB1">
        <w:rPr>
          <w:rFonts w:ascii="Times New Roman" w:hAnsi="Times New Roman"/>
        </w:rPr>
        <w:t>plasticity</w:t>
      </w:r>
      <w:r w:rsidR="009E260D">
        <w:rPr>
          <w:rFonts w:ascii="Times New Roman" w:hAnsi="Times New Roman"/>
        </w:rPr>
        <w:t xml:space="preserve"> </w:t>
      </w:r>
      <w:sdt>
        <w:sdtPr>
          <w:rPr>
            <w:rFonts w:ascii="Times New Roman" w:hAnsi="Times New Roman"/>
          </w:rPr>
          <w:id w:val="552195091"/>
          <w:citation/>
        </w:sdtPr>
        <w:sdtEndPr/>
        <w:sdtContent>
          <w:r w:rsidR="00D06CDC" w:rsidRPr="00696EBD">
            <w:rPr>
              <w:rFonts w:ascii="Times New Roman" w:hAnsi="Times New Roman"/>
            </w:rPr>
            <w:fldChar w:fldCharType="begin"/>
          </w:r>
          <w:r w:rsidR="00D06CDC" w:rsidRPr="006604E5">
            <w:rPr>
              <w:rFonts w:ascii="Times New Roman" w:hAnsi="Times New Roman"/>
              <w:lang w:val="en-GB"/>
            </w:rPr>
            <w:instrText xml:space="preserve"> CITATION Kam15 \l 2057 </w:instrText>
          </w:r>
          <w:r w:rsidR="00D06CDC" w:rsidRPr="00696EBD">
            <w:rPr>
              <w:rFonts w:ascii="Times New Roman" w:hAnsi="Times New Roman"/>
            </w:rPr>
            <w:fldChar w:fldCharType="separate"/>
          </w:r>
          <w:r w:rsidR="002D6947" w:rsidRPr="002D6947">
            <w:rPr>
              <w:rFonts w:ascii="Times New Roman" w:hAnsi="Times New Roman"/>
              <w:noProof/>
              <w:lang w:val="en-GB"/>
            </w:rPr>
            <w:t>[32]</w:t>
          </w:r>
          <w:r w:rsidR="00D06CDC" w:rsidRPr="00696EBD">
            <w:rPr>
              <w:rFonts w:ascii="Times New Roman" w:hAnsi="Times New Roman"/>
            </w:rPr>
            <w:fldChar w:fldCharType="end"/>
          </w:r>
        </w:sdtContent>
      </w:sdt>
      <w:r w:rsidR="005C2383">
        <w:rPr>
          <w:rFonts w:ascii="Times New Roman" w:hAnsi="Times New Roman"/>
        </w:rPr>
        <w:t>.</w:t>
      </w:r>
      <w:r w:rsidR="00382A7B">
        <w:rPr>
          <w:rFonts w:ascii="Times New Roman" w:hAnsi="Times New Roman"/>
        </w:rPr>
        <w:t xml:space="preserve">In the </w:t>
      </w:r>
      <w:proofErr w:type="spellStart"/>
      <w:r w:rsidR="00EB46E9">
        <w:rPr>
          <w:rFonts w:ascii="Times New Roman" w:hAnsi="Times New Roman"/>
        </w:rPr>
        <w:t>glu</w:t>
      </w:r>
      <w:proofErr w:type="spellEnd"/>
      <w:r w:rsidR="00EB46E9">
        <w:rPr>
          <w:rFonts w:ascii="Times New Roman" w:hAnsi="Times New Roman"/>
        </w:rPr>
        <w:t>-gal</w:t>
      </w:r>
      <w:r w:rsidR="00EB46E9" w:rsidDel="00EB46E9">
        <w:rPr>
          <w:rFonts w:ascii="Times New Roman" w:hAnsi="Times New Roman"/>
        </w:rPr>
        <w:t xml:space="preserve"> </w:t>
      </w:r>
      <w:r w:rsidR="00382A7B">
        <w:rPr>
          <w:rFonts w:ascii="Times New Roman" w:hAnsi="Times New Roman"/>
        </w:rPr>
        <w:t xml:space="preserve">assay, </w:t>
      </w:r>
      <w:r w:rsidR="007D6884">
        <w:rPr>
          <w:rFonts w:ascii="Times New Roman" w:hAnsi="Times New Roman"/>
        </w:rPr>
        <w:t xml:space="preserve">ATP production is </w:t>
      </w:r>
      <w:r w:rsidR="00845762">
        <w:rPr>
          <w:rFonts w:ascii="Times New Roman" w:hAnsi="Times New Roman"/>
        </w:rPr>
        <w:t xml:space="preserve">typically </w:t>
      </w:r>
      <w:r w:rsidR="007D6884">
        <w:rPr>
          <w:rFonts w:ascii="Times New Roman" w:hAnsi="Times New Roman"/>
        </w:rPr>
        <w:t xml:space="preserve">measured in </w:t>
      </w:r>
      <w:r w:rsidR="00845762">
        <w:rPr>
          <w:rFonts w:ascii="Times New Roman" w:hAnsi="Times New Roman"/>
        </w:rPr>
        <w:t xml:space="preserve">HepG2 </w:t>
      </w:r>
      <w:r w:rsidR="007D6884">
        <w:rPr>
          <w:rFonts w:ascii="Times New Roman" w:hAnsi="Times New Roman"/>
        </w:rPr>
        <w:t>cells cultivated in galactose</w:t>
      </w:r>
      <w:r w:rsidR="006835DF">
        <w:rPr>
          <w:rFonts w:ascii="Times New Roman" w:hAnsi="Times New Roman"/>
        </w:rPr>
        <w:t>-</w:t>
      </w:r>
      <w:r w:rsidR="007D6884">
        <w:rPr>
          <w:rFonts w:ascii="Times New Roman" w:hAnsi="Times New Roman"/>
        </w:rPr>
        <w:t>rich medium</w:t>
      </w:r>
      <w:r w:rsidR="004C2DB1">
        <w:rPr>
          <w:rFonts w:ascii="Times New Roman" w:hAnsi="Times New Roman"/>
        </w:rPr>
        <w:t>. This</w:t>
      </w:r>
      <w:r w:rsidR="007D6884">
        <w:rPr>
          <w:rFonts w:ascii="Times New Roman" w:hAnsi="Times New Roman"/>
        </w:rPr>
        <w:t xml:space="preserve"> </w:t>
      </w:r>
      <w:r w:rsidR="004C2DB1">
        <w:rPr>
          <w:rFonts w:ascii="Times New Roman" w:hAnsi="Times New Roman"/>
        </w:rPr>
        <w:t xml:space="preserve">promotes </w:t>
      </w:r>
      <w:r w:rsidR="007D6884">
        <w:rPr>
          <w:rFonts w:ascii="Times New Roman" w:hAnsi="Times New Roman"/>
        </w:rPr>
        <w:t xml:space="preserve">the oxidative phosphorylation pathway and </w:t>
      </w:r>
      <w:r w:rsidR="00C1527F">
        <w:rPr>
          <w:rFonts w:ascii="Times New Roman" w:hAnsi="Times New Roman"/>
        </w:rPr>
        <w:t xml:space="preserve">is </w:t>
      </w:r>
      <w:r w:rsidR="007D6884">
        <w:rPr>
          <w:rFonts w:ascii="Times New Roman" w:hAnsi="Times New Roman"/>
        </w:rPr>
        <w:t>compared to ATP production measured in cells cultivated in glucose</w:t>
      </w:r>
      <w:r w:rsidR="006835DF">
        <w:rPr>
          <w:rFonts w:ascii="Times New Roman" w:hAnsi="Times New Roman"/>
        </w:rPr>
        <w:t>-</w:t>
      </w:r>
      <w:r w:rsidR="007D6884">
        <w:rPr>
          <w:rFonts w:ascii="Times New Roman" w:hAnsi="Times New Roman"/>
        </w:rPr>
        <w:t xml:space="preserve">rich medium, where essentially </w:t>
      </w:r>
      <w:r w:rsidR="007D6884">
        <w:rPr>
          <w:rFonts w:ascii="Times New Roman" w:hAnsi="Times New Roman"/>
        </w:rPr>
        <w:lastRenderedPageBreak/>
        <w:t xml:space="preserve">glycolysis predominates. The MMP assay </w:t>
      </w:r>
      <w:r w:rsidR="00B63B17">
        <w:rPr>
          <w:rFonts w:ascii="Times New Roman" w:hAnsi="Times New Roman"/>
        </w:rPr>
        <w:t xml:space="preserve">is an indirect </w:t>
      </w:r>
      <w:r w:rsidR="007D6884">
        <w:rPr>
          <w:rFonts w:ascii="Times New Roman" w:hAnsi="Times New Roman"/>
        </w:rPr>
        <w:t xml:space="preserve">measure </w:t>
      </w:r>
      <w:r w:rsidR="00B63B17">
        <w:rPr>
          <w:rFonts w:ascii="Times New Roman" w:hAnsi="Times New Roman"/>
        </w:rPr>
        <w:t xml:space="preserve">of </w:t>
      </w:r>
      <w:r w:rsidR="007D6884">
        <w:rPr>
          <w:rFonts w:ascii="Times New Roman" w:hAnsi="Times New Roman"/>
        </w:rPr>
        <w:t>mitochondrial function</w:t>
      </w:r>
      <w:r w:rsidR="00B63B17">
        <w:rPr>
          <w:rFonts w:ascii="Times New Roman" w:hAnsi="Times New Roman"/>
        </w:rPr>
        <w:t xml:space="preserve">. </w:t>
      </w:r>
      <w:r w:rsidR="007D6884">
        <w:rPr>
          <w:rFonts w:ascii="Times New Roman" w:hAnsi="Times New Roman"/>
        </w:rPr>
        <w:t xml:space="preserve"> </w:t>
      </w:r>
      <w:r w:rsidR="00845762">
        <w:rPr>
          <w:rFonts w:ascii="Times New Roman" w:hAnsi="Times New Roman"/>
        </w:rPr>
        <w:t xml:space="preserve">In a </w:t>
      </w:r>
      <w:proofErr w:type="spellStart"/>
      <w:r w:rsidR="00845762">
        <w:rPr>
          <w:rFonts w:ascii="Times New Roman" w:hAnsi="Times New Roman"/>
        </w:rPr>
        <w:t>multiparameter</w:t>
      </w:r>
      <w:proofErr w:type="spellEnd"/>
      <w:r w:rsidR="00845762">
        <w:rPr>
          <w:rFonts w:ascii="Times New Roman" w:hAnsi="Times New Roman"/>
        </w:rPr>
        <w:t xml:space="preserve"> high</w:t>
      </w:r>
      <w:r w:rsidR="006F5CCE">
        <w:rPr>
          <w:rFonts w:ascii="Times New Roman" w:hAnsi="Times New Roman"/>
        </w:rPr>
        <w:t>-</w:t>
      </w:r>
      <w:r w:rsidR="00845762">
        <w:rPr>
          <w:rFonts w:ascii="Times New Roman" w:hAnsi="Times New Roman"/>
        </w:rPr>
        <w:t>content imaging set-up</w:t>
      </w:r>
      <w:r w:rsidR="00BC42C3">
        <w:rPr>
          <w:rFonts w:ascii="Times New Roman" w:hAnsi="Times New Roman"/>
        </w:rPr>
        <w:t>,</w:t>
      </w:r>
      <w:r w:rsidR="00845762">
        <w:rPr>
          <w:rFonts w:ascii="Times New Roman" w:hAnsi="Times New Roman"/>
        </w:rPr>
        <w:t xml:space="preserve"> other mitochondrial toxicity endpoints together with MMP can be measured, e.g. reactive oxygen species and steatosis. </w:t>
      </w:r>
      <w:r w:rsidR="00D4624E" w:rsidRPr="00D4624E">
        <w:rPr>
          <w:rFonts w:ascii="Times New Roman" w:hAnsi="Times New Roman"/>
        </w:rPr>
        <w:t>Neither</w:t>
      </w:r>
      <w:r w:rsidR="006835DF">
        <w:rPr>
          <w:rFonts w:ascii="Times New Roman" w:hAnsi="Times New Roman"/>
        </w:rPr>
        <w:t xml:space="preserve"> the</w:t>
      </w:r>
      <w:r w:rsidR="00D4624E" w:rsidRPr="00D4624E">
        <w:rPr>
          <w:rFonts w:ascii="Times New Roman" w:hAnsi="Times New Roman"/>
        </w:rPr>
        <w:t xml:space="preserve"> </w:t>
      </w:r>
      <w:proofErr w:type="spellStart"/>
      <w:r w:rsidR="00EB46E9">
        <w:rPr>
          <w:rFonts w:ascii="Times New Roman" w:hAnsi="Times New Roman"/>
        </w:rPr>
        <w:t>glu</w:t>
      </w:r>
      <w:proofErr w:type="spellEnd"/>
      <w:r w:rsidR="00EB46E9">
        <w:rPr>
          <w:rFonts w:ascii="Times New Roman" w:hAnsi="Times New Roman"/>
        </w:rPr>
        <w:t>-gal</w:t>
      </w:r>
      <w:r w:rsidR="001132D5">
        <w:rPr>
          <w:rFonts w:ascii="Times New Roman" w:hAnsi="Times New Roman"/>
        </w:rPr>
        <w:t xml:space="preserve"> assay</w:t>
      </w:r>
      <w:r w:rsidR="006835DF">
        <w:rPr>
          <w:rFonts w:ascii="Times New Roman" w:hAnsi="Times New Roman"/>
        </w:rPr>
        <w:t>,</w:t>
      </w:r>
      <w:r w:rsidR="00897E08" w:rsidRPr="00D4624E">
        <w:rPr>
          <w:rFonts w:ascii="Times New Roman" w:hAnsi="Times New Roman"/>
        </w:rPr>
        <w:t xml:space="preserve"> </w:t>
      </w:r>
      <w:r w:rsidR="00D4624E" w:rsidRPr="00D4624E">
        <w:rPr>
          <w:rFonts w:ascii="Times New Roman" w:hAnsi="Times New Roman"/>
        </w:rPr>
        <w:t xml:space="preserve">nor </w:t>
      </w:r>
      <w:r w:rsidR="006835DF">
        <w:rPr>
          <w:rFonts w:ascii="Times New Roman" w:hAnsi="Times New Roman"/>
        </w:rPr>
        <w:t xml:space="preserve">the </w:t>
      </w:r>
      <w:r w:rsidR="00D4624E" w:rsidRPr="00D4624E">
        <w:rPr>
          <w:rFonts w:ascii="Times New Roman" w:hAnsi="Times New Roman"/>
        </w:rPr>
        <w:t xml:space="preserve">MMP </w:t>
      </w:r>
      <w:r w:rsidR="001132D5">
        <w:rPr>
          <w:rFonts w:ascii="Times New Roman" w:hAnsi="Times New Roman"/>
        </w:rPr>
        <w:t xml:space="preserve">endpoint </w:t>
      </w:r>
      <w:r w:rsidR="007D6884">
        <w:rPr>
          <w:rFonts w:ascii="Times New Roman" w:hAnsi="Times New Roman"/>
        </w:rPr>
        <w:t>however</w:t>
      </w:r>
      <w:r w:rsidR="00D4624E" w:rsidRPr="00D4624E">
        <w:rPr>
          <w:rFonts w:ascii="Times New Roman" w:hAnsi="Times New Roman"/>
        </w:rPr>
        <w:t xml:space="preserve"> </w:t>
      </w:r>
      <w:r w:rsidR="0058005A">
        <w:rPr>
          <w:rFonts w:ascii="Times New Roman" w:hAnsi="Times New Roman"/>
        </w:rPr>
        <w:t>are</w:t>
      </w:r>
      <w:r w:rsidR="0058005A" w:rsidRPr="00D4624E">
        <w:rPr>
          <w:rFonts w:ascii="Times New Roman" w:hAnsi="Times New Roman"/>
        </w:rPr>
        <w:t xml:space="preserve"> </w:t>
      </w:r>
      <w:r w:rsidR="00D4624E" w:rsidRPr="00D4624E">
        <w:rPr>
          <w:rFonts w:ascii="Times New Roman" w:hAnsi="Times New Roman"/>
        </w:rPr>
        <w:t xml:space="preserve">able to distinguish whether mitochondrial dysfunction is </w:t>
      </w:r>
      <w:r w:rsidR="006835DF">
        <w:rPr>
          <w:rFonts w:ascii="Times New Roman" w:hAnsi="Times New Roman"/>
        </w:rPr>
        <w:t>due to</w:t>
      </w:r>
      <w:r w:rsidR="00D4624E" w:rsidRPr="00D4624E">
        <w:rPr>
          <w:rFonts w:ascii="Times New Roman" w:hAnsi="Times New Roman"/>
        </w:rPr>
        <w:t xml:space="preserve"> inhibition</w:t>
      </w:r>
      <w:r w:rsidR="001132D5">
        <w:rPr>
          <w:rFonts w:ascii="Times New Roman" w:hAnsi="Times New Roman"/>
        </w:rPr>
        <w:t xml:space="preserve"> or</w:t>
      </w:r>
      <w:r w:rsidR="00D4624E" w:rsidRPr="00D4624E">
        <w:rPr>
          <w:rFonts w:ascii="Times New Roman" w:hAnsi="Times New Roman"/>
        </w:rPr>
        <w:t xml:space="preserve"> uncoupling</w:t>
      </w:r>
      <w:r w:rsidR="001132D5">
        <w:rPr>
          <w:rFonts w:ascii="Times New Roman" w:hAnsi="Times New Roman"/>
        </w:rPr>
        <w:t xml:space="preserve"> of the ETC</w:t>
      </w:r>
      <w:r w:rsidR="00D4624E" w:rsidRPr="00D4624E">
        <w:rPr>
          <w:rFonts w:ascii="Times New Roman" w:hAnsi="Times New Roman"/>
        </w:rPr>
        <w:t xml:space="preserve">, or mitochondrial permeability transition. </w:t>
      </w:r>
      <w:r w:rsidR="008C616A">
        <w:rPr>
          <w:rFonts w:ascii="Times New Roman" w:hAnsi="Times New Roman"/>
        </w:rPr>
        <w:t>As several</w:t>
      </w:r>
      <w:r w:rsidR="00332477">
        <w:rPr>
          <w:rFonts w:ascii="Times New Roman" w:hAnsi="Times New Roman"/>
        </w:rPr>
        <w:t xml:space="preserve"> test</w:t>
      </w:r>
      <w:r w:rsidR="008C616A">
        <w:rPr>
          <w:rFonts w:ascii="Times New Roman" w:hAnsi="Times New Roman"/>
        </w:rPr>
        <w:t xml:space="preserve"> systems</w:t>
      </w:r>
      <w:r w:rsidR="00332477">
        <w:rPr>
          <w:rFonts w:ascii="Times New Roman" w:hAnsi="Times New Roman"/>
        </w:rPr>
        <w:t xml:space="preserve"> for mitochondrial toxicity </w:t>
      </w:r>
      <w:r w:rsidR="008C616A">
        <w:rPr>
          <w:rFonts w:ascii="Times New Roman" w:hAnsi="Times New Roman"/>
        </w:rPr>
        <w:t>can be</w:t>
      </w:r>
      <w:r w:rsidR="00332477">
        <w:rPr>
          <w:rFonts w:ascii="Times New Roman" w:hAnsi="Times New Roman"/>
        </w:rPr>
        <w:t xml:space="preserve"> employed</w:t>
      </w:r>
      <w:r w:rsidR="008C616A">
        <w:rPr>
          <w:rFonts w:ascii="Times New Roman" w:hAnsi="Times New Roman"/>
        </w:rPr>
        <w:t xml:space="preserve"> and little if </w:t>
      </w:r>
      <w:r w:rsidR="006835DF">
        <w:rPr>
          <w:rFonts w:ascii="Times New Roman" w:hAnsi="Times New Roman"/>
        </w:rPr>
        <w:t xml:space="preserve">any </w:t>
      </w:r>
      <w:r w:rsidR="008C616A">
        <w:rPr>
          <w:rFonts w:ascii="Times New Roman" w:hAnsi="Times New Roman"/>
        </w:rPr>
        <w:t xml:space="preserve">head-to-head comparative performance </w:t>
      </w:r>
      <w:r w:rsidR="006835DF">
        <w:rPr>
          <w:rFonts w:ascii="Times New Roman" w:hAnsi="Times New Roman"/>
        </w:rPr>
        <w:t xml:space="preserve">evaluation </w:t>
      </w:r>
      <w:r w:rsidR="008C616A">
        <w:rPr>
          <w:rFonts w:ascii="Times New Roman" w:hAnsi="Times New Roman"/>
        </w:rPr>
        <w:t>of these test</w:t>
      </w:r>
      <w:r w:rsidR="006835DF">
        <w:rPr>
          <w:rFonts w:ascii="Times New Roman" w:hAnsi="Times New Roman"/>
        </w:rPr>
        <w:t>s exists</w:t>
      </w:r>
      <w:r w:rsidR="008C616A">
        <w:rPr>
          <w:rFonts w:ascii="Times New Roman" w:hAnsi="Times New Roman"/>
        </w:rPr>
        <w:t xml:space="preserve">, a variety of different approaches are </w:t>
      </w:r>
      <w:r w:rsidR="001132D5">
        <w:rPr>
          <w:rFonts w:ascii="Times New Roman" w:hAnsi="Times New Roman"/>
        </w:rPr>
        <w:t xml:space="preserve">employed </w:t>
      </w:r>
      <w:r w:rsidR="008C616A">
        <w:rPr>
          <w:rFonts w:ascii="Times New Roman" w:hAnsi="Times New Roman"/>
        </w:rPr>
        <w:t xml:space="preserve">by companies that are perhaps driven more by the familiarity </w:t>
      </w:r>
      <w:r w:rsidR="006835DF">
        <w:rPr>
          <w:rFonts w:ascii="Times New Roman" w:hAnsi="Times New Roman"/>
        </w:rPr>
        <w:t xml:space="preserve">with </w:t>
      </w:r>
      <w:r w:rsidR="008C616A">
        <w:rPr>
          <w:rFonts w:ascii="Times New Roman" w:hAnsi="Times New Roman"/>
        </w:rPr>
        <w:t xml:space="preserve">the test rather than clear evidence-based choice of which system </w:t>
      </w:r>
      <w:r w:rsidR="006835DF">
        <w:rPr>
          <w:rFonts w:ascii="Times New Roman" w:hAnsi="Times New Roman"/>
        </w:rPr>
        <w:t xml:space="preserve">is </w:t>
      </w:r>
      <w:r w:rsidR="008C616A">
        <w:rPr>
          <w:rFonts w:ascii="Times New Roman" w:hAnsi="Times New Roman"/>
        </w:rPr>
        <w:t xml:space="preserve">most suitable for the detection of </w:t>
      </w:r>
      <w:r w:rsidR="001132D5">
        <w:rPr>
          <w:rFonts w:ascii="Times New Roman" w:hAnsi="Times New Roman"/>
        </w:rPr>
        <w:t>drug-induced</w:t>
      </w:r>
      <w:r w:rsidR="006835DF">
        <w:rPr>
          <w:rFonts w:ascii="Times New Roman" w:hAnsi="Times New Roman"/>
        </w:rPr>
        <w:t xml:space="preserve"> mitochondrial</w:t>
      </w:r>
      <w:r w:rsidR="008C616A">
        <w:rPr>
          <w:rFonts w:ascii="Times New Roman" w:hAnsi="Times New Roman"/>
        </w:rPr>
        <w:t xml:space="preserve"> </w:t>
      </w:r>
      <w:r w:rsidR="003A099E">
        <w:rPr>
          <w:rFonts w:ascii="Times New Roman" w:hAnsi="Times New Roman"/>
        </w:rPr>
        <w:t>liabilit</w:t>
      </w:r>
      <w:r w:rsidR="006835DF">
        <w:rPr>
          <w:rFonts w:ascii="Times New Roman" w:hAnsi="Times New Roman"/>
        </w:rPr>
        <w:t>y</w:t>
      </w:r>
      <w:r w:rsidR="003A099E">
        <w:rPr>
          <w:rFonts w:ascii="Times New Roman" w:hAnsi="Times New Roman"/>
        </w:rPr>
        <w:t xml:space="preserve"> </w:t>
      </w:r>
      <w:sdt>
        <w:sdtPr>
          <w:rPr>
            <w:rFonts w:ascii="Times New Roman" w:hAnsi="Times New Roman"/>
          </w:rPr>
          <w:id w:val="-1528090140"/>
          <w:citation/>
        </w:sdtPr>
        <w:sdtEndPr/>
        <w:sdtContent>
          <w:r w:rsidR="00F21C43">
            <w:rPr>
              <w:rFonts w:ascii="Times New Roman" w:hAnsi="Times New Roman"/>
            </w:rPr>
            <w:fldChar w:fldCharType="begin"/>
          </w:r>
          <w:r w:rsidR="00F21C43">
            <w:rPr>
              <w:rFonts w:ascii="Times New Roman" w:hAnsi="Times New Roman"/>
              <w:noProof/>
              <w:lang w:val="en-GB"/>
            </w:rPr>
            <w:instrText xml:space="preserve"> CITATION Mar11 \l 2057 </w:instrText>
          </w:r>
          <w:r w:rsidR="00F21C43">
            <w:rPr>
              <w:rFonts w:ascii="Times New Roman" w:hAnsi="Times New Roman"/>
            </w:rPr>
            <w:fldChar w:fldCharType="separate"/>
          </w:r>
          <w:r w:rsidR="002D6947" w:rsidRPr="002D6947">
            <w:rPr>
              <w:rFonts w:ascii="Times New Roman" w:hAnsi="Times New Roman"/>
              <w:noProof/>
              <w:lang w:val="en-GB"/>
            </w:rPr>
            <w:t>[33]</w:t>
          </w:r>
          <w:r w:rsidR="00F21C43">
            <w:rPr>
              <w:rFonts w:ascii="Times New Roman" w:hAnsi="Times New Roman"/>
            </w:rPr>
            <w:fldChar w:fldCharType="end"/>
          </w:r>
        </w:sdtContent>
      </w:sdt>
      <w:sdt>
        <w:sdtPr>
          <w:rPr>
            <w:rFonts w:ascii="Times New Roman" w:hAnsi="Times New Roman"/>
          </w:rPr>
          <w:id w:val="-1088680708"/>
          <w:citation/>
        </w:sdtPr>
        <w:sdtEndPr/>
        <w:sdtContent>
          <w:r w:rsidR="00F21C43">
            <w:rPr>
              <w:rFonts w:ascii="Times New Roman" w:hAnsi="Times New Roman"/>
            </w:rPr>
            <w:fldChar w:fldCharType="begin"/>
          </w:r>
          <w:r w:rsidR="00F21C43">
            <w:rPr>
              <w:rFonts w:ascii="Times New Roman" w:hAnsi="Times New Roman"/>
              <w:noProof/>
              <w:lang w:val="en-GB"/>
            </w:rPr>
            <w:instrText xml:space="preserve"> CITATION Per09 \l 2057 </w:instrText>
          </w:r>
          <w:r w:rsidR="00F21C43">
            <w:rPr>
              <w:rFonts w:ascii="Times New Roman" w:hAnsi="Times New Roman"/>
            </w:rPr>
            <w:fldChar w:fldCharType="separate"/>
          </w:r>
          <w:r w:rsidR="002D6947">
            <w:rPr>
              <w:rFonts w:ascii="Times New Roman" w:hAnsi="Times New Roman"/>
              <w:noProof/>
              <w:lang w:val="en-GB"/>
            </w:rPr>
            <w:t xml:space="preserve"> </w:t>
          </w:r>
          <w:r w:rsidR="002D6947" w:rsidRPr="002D6947">
            <w:rPr>
              <w:rFonts w:ascii="Times New Roman" w:hAnsi="Times New Roman"/>
              <w:noProof/>
              <w:lang w:val="en-GB"/>
            </w:rPr>
            <w:t>[34]</w:t>
          </w:r>
          <w:r w:rsidR="00F21C43">
            <w:rPr>
              <w:rFonts w:ascii="Times New Roman" w:hAnsi="Times New Roman"/>
            </w:rPr>
            <w:fldChar w:fldCharType="end"/>
          </w:r>
        </w:sdtContent>
      </w:sdt>
      <w:r w:rsidR="00F21C43">
        <w:rPr>
          <w:rFonts w:ascii="Times New Roman" w:hAnsi="Times New Roman"/>
        </w:rPr>
        <w:t>.</w:t>
      </w:r>
    </w:p>
    <w:p w14:paraId="7C0A0EEE" w14:textId="77777777" w:rsidR="00CD1872" w:rsidRDefault="00CD1872" w:rsidP="002733C7">
      <w:pPr>
        <w:spacing w:line="480" w:lineRule="auto"/>
        <w:jc w:val="both"/>
        <w:rPr>
          <w:noProof/>
          <w:color w:val="000000"/>
          <w:sz w:val="22"/>
          <w:szCs w:val="22"/>
          <w:lang w:val="en-US"/>
        </w:rPr>
      </w:pPr>
    </w:p>
    <w:p w14:paraId="591787E4" w14:textId="70AF98EC" w:rsidR="002733C7" w:rsidRPr="0023281F" w:rsidRDefault="00382A7B" w:rsidP="002733C7">
      <w:pPr>
        <w:spacing w:line="480" w:lineRule="auto"/>
        <w:jc w:val="both"/>
        <w:rPr>
          <w:noProof/>
          <w:color w:val="000000"/>
          <w:sz w:val="22"/>
          <w:szCs w:val="22"/>
          <w:lang w:val="en-US"/>
        </w:rPr>
      </w:pPr>
      <w:r>
        <w:rPr>
          <w:noProof/>
          <w:color w:val="000000"/>
          <w:sz w:val="22"/>
          <w:szCs w:val="22"/>
          <w:lang w:val="en-US"/>
        </w:rPr>
        <w:t>More mechanistic insight can be provided by</w:t>
      </w:r>
      <w:r w:rsidR="000F2425" w:rsidRPr="000016FB">
        <w:rPr>
          <w:noProof/>
          <w:color w:val="000000"/>
          <w:sz w:val="22"/>
          <w:szCs w:val="22"/>
          <w:lang w:val="en-US"/>
        </w:rPr>
        <w:t xml:space="preserve"> </w:t>
      </w:r>
      <w:r>
        <w:rPr>
          <w:noProof/>
          <w:color w:val="000000"/>
          <w:sz w:val="22"/>
          <w:szCs w:val="22"/>
          <w:lang w:val="en-US"/>
        </w:rPr>
        <w:t xml:space="preserve">the </w:t>
      </w:r>
      <w:r w:rsidR="00DE58A5">
        <w:rPr>
          <w:noProof/>
          <w:color w:val="000000"/>
          <w:sz w:val="22"/>
          <w:szCs w:val="22"/>
          <w:lang w:val="en-US"/>
        </w:rPr>
        <w:t>measure</w:t>
      </w:r>
      <w:r>
        <w:rPr>
          <w:noProof/>
          <w:color w:val="000000"/>
          <w:sz w:val="22"/>
          <w:szCs w:val="22"/>
          <w:lang w:val="en-US"/>
        </w:rPr>
        <w:t>ment of</w:t>
      </w:r>
      <w:r w:rsidR="00DE58A5" w:rsidRPr="000016FB">
        <w:rPr>
          <w:noProof/>
          <w:color w:val="000000"/>
          <w:sz w:val="22"/>
          <w:szCs w:val="22"/>
          <w:lang w:val="en-US"/>
        </w:rPr>
        <w:t xml:space="preserve"> </w:t>
      </w:r>
      <w:r w:rsidR="00814E05">
        <w:rPr>
          <w:noProof/>
          <w:color w:val="000000"/>
          <w:sz w:val="22"/>
          <w:szCs w:val="22"/>
          <w:lang w:val="en-US"/>
        </w:rPr>
        <w:t xml:space="preserve">the </w:t>
      </w:r>
      <w:r w:rsidR="000F2425" w:rsidRPr="000016FB">
        <w:rPr>
          <w:noProof/>
          <w:color w:val="000000"/>
          <w:sz w:val="22"/>
          <w:szCs w:val="22"/>
          <w:lang w:val="en-US"/>
        </w:rPr>
        <w:t xml:space="preserve">oxygen consumption </w:t>
      </w:r>
      <w:r w:rsidR="00814E05">
        <w:rPr>
          <w:noProof/>
          <w:color w:val="000000"/>
          <w:sz w:val="22"/>
          <w:szCs w:val="22"/>
          <w:lang w:val="en-US"/>
        </w:rPr>
        <w:t xml:space="preserve">rate </w:t>
      </w:r>
      <w:r w:rsidR="000F2425" w:rsidRPr="000016FB">
        <w:rPr>
          <w:noProof/>
          <w:color w:val="000000"/>
          <w:sz w:val="22"/>
          <w:szCs w:val="22"/>
          <w:lang w:val="en-US"/>
        </w:rPr>
        <w:t>(OCR)</w:t>
      </w:r>
      <w:r w:rsidR="006835DF">
        <w:rPr>
          <w:noProof/>
          <w:color w:val="000000"/>
          <w:sz w:val="22"/>
          <w:szCs w:val="22"/>
          <w:lang w:val="en-US"/>
        </w:rPr>
        <w:t>. The</w:t>
      </w:r>
      <w:r w:rsidR="00EE06B3">
        <w:rPr>
          <w:noProof/>
          <w:color w:val="000000"/>
          <w:sz w:val="22"/>
          <w:szCs w:val="22"/>
          <w:lang w:val="en-US"/>
        </w:rPr>
        <w:t xml:space="preserve"> </w:t>
      </w:r>
      <w:r w:rsidR="000F2425" w:rsidRPr="000016FB">
        <w:rPr>
          <w:noProof/>
          <w:sz w:val="22"/>
          <w:szCs w:val="22"/>
          <w:lang w:val="en-US"/>
        </w:rPr>
        <w:t xml:space="preserve">XF96 Extracellular Flux Analyser (Seahorse Bioscience) uses label-free fluorescence technology to measure </w:t>
      </w:r>
      <w:r w:rsidR="006835DF">
        <w:rPr>
          <w:noProof/>
          <w:sz w:val="22"/>
          <w:szCs w:val="22"/>
          <w:lang w:val="en-US"/>
        </w:rPr>
        <w:t>OCR</w:t>
      </w:r>
      <w:r w:rsidR="000F2425" w:rsidRPr="000016FB">
        <w:rPr>
          <w:noProof/>
          <w:sz w:val="22"/>
          <w:szCs w:val="22"/>
          <w:lang w:val="en-US"/>
        </w:rPr>
        <w:t xml:space="preserve"> and extracellular acidification rate (ECAR)</w:t>
      </w:r>
      <w:r w:rsidR="00512DC8">
        <w:rPr>
          <w:noProof/>
          <w:sz w:val="22"/>
          <w:szCs w:val="22"/>
          <w:lang w:val="en-US"/>
        </w:rPr>
        <w:t>.</w:t>
      </w:r>
      <w:r w:rsidR="005F2465">
        <w:rPr>
          <w:noProof/>
          <w:sz w:val="22"/>
          <w:szCs w:val="22"/>
          <w:lang w:val="en-US"/>
        </w:rPr>
        <w:t xml:space="preserve"> </w:t>
      </w:r>
      <w:r w:rsidR="005F2465" w:rsidRPr="001F1AAA">
        <w:rPr>
          <w:noProof/>
          <w:sz w:val="22"/>
          <w:szCs w:val="22"/>
          <w:lang w:val="en-US"/>
        </w:rPr>
        <w:t>OCR is primarily a measure of mitochondrial respiration</w:t>
      </w:r>
      <w:r w:rsidR="006835DF">
        <w:rPr>
          <w:noProof/>
          <w:sz w:val="22"/>
          <w:szCs w:val="22"/>
          <w:lang w:val="en-US"/>
        </w:rPr>
        <w:t>, while</w:t>
      </w:r>
      <w:r w:rsidR="005F2465" w:rsidRPr="001F1AAA">
        <w:rPr>
          <w:noProof/>
          <w:sz w:val="22"/>
          <w:szCs w:val="22"/>
          <w:lang w:val="en-US"/>
        </w:rPr>
        <w:t xml:space="preserve"> ECAR is a measure of lactic acid release indicating glycolysis</w:t>
      </w:r>
      <w:r w:rsidR="007E1E5C">
        <w:rPr>
          <w:noProof/>
          <w:sz w:val="22"/>
          <w:szCs w:val="22"/>
          <w:lang w:val="en-US"/>
        </w:rPr>
        <w:t xml:space="preserve"> (Table 3)</w:t>
      </w:r>
      <w:r w:rsidR="005F2465" w:rsidRPr="001F1AAA">
        <w:rPr>
          <w:noProof/>
          <w:sz w:val="22"/>
          <w:szCs w:val="22"/>
          <w:lang w:val="en-US"/>
        </w:rPr>
        <w:t xml:space="preserve">. In addition to basal respiration and glycolysis rates, specific mechanistic endpoints can be measured </w:t>
      </w:r>
      <w:r w:rsidR="006835DF">
        <w:rPr>
          <w:noProof/>
          <w:sz w:val="22"/>
          <w:szCs w:val="22"/>
          <w:lang w:val="en-US"/>
        </w:rPr>
        <w:t>with</w:t>
      </w:r>
      <w:r w:rsidR="005F2465" w:rsidRPr="001F1AAA">
        <w:rPr>
          <w:noProof/>
          <w:sz w:val="22"/>
          <w:szCs w:val="22"/>
          <w:lang w:val="en-US"/>
        </w:rPr>
        <w:t xml:space="preserve"> stress tests, e.g. ATP production, uncoupling and spare respiratory capacity</w:t>
      </w:r>
      <w:r w:rsidR="0025462B" w:rsidRPr="000016FB">
        <w:rPr>
          <w:noProof/>
          <w:sz w:val="22"/>
          <w:szCs w:val="22"/>
          <w:lang w:val="en-GB"/>
        </w:rPr>
        <w:t xml:space="preserve"> </w:t>
      </w:r>
      <w:sdt>
        <w:sdtPr>
          <w:rPr>
            <w:noProof/>
            <w:sz w:val="22"/>
            <w:szCs w:val="22"/>
            <w:lang w:val="en-GB"/>
          </w:rPr>
          <w:id w:val="-1077744121"/>
          <w:citation/>
        </w:sdtPr>
        <w:sdtEndPr/>
        <w:sdtContent>
          <w:r w:rsidR="00F21C43">
            <w:rPr>
              <w:noProof/>
              <w:sz w:val="22"/>
              <w:szCs w:val="22"/>
              <w:lang w:val="en-GB"/>
            </w:rPr>
            <w:fldChar w:fldCharType="begin"/>
          </w:r>
          <w:r w:rsidR="00F21C43">
            <w:rPr>
              <w:noProof/>
              <w:sz w:val="22"/>
              <w:szCs w:val="22"/>
              <w:lang w:val="en-GB"/>
            </w:rPr>
            <w:instrText xml:space="preserve"> CITATION Nad12 \l 2057 </w:instrText>
          </w:r>
          <w:r w:rsidR="00F21C43">
            <w:rPr>
              <w:noProof/>
              <w:sz w:val="22"/>
              <w:szCs w:val="22"/>
              <w:lang w:val="en-GB"/>
            </w:rPr>
            <w:fldChar w:fldCharType="separate"/>
          </w:r>
          <w:r w:rsidR="002D6947" w:rsidRPr="002D6947">
            <w:rPr>
              <w:noProof/>
              <w:sz w:val="22"/>
              <w:szCs w:val="22"/>
              <w:lang w:val="en-GB"/>
            </w:rPr>
            <w:t>[26]</w:t>
          </w:r>
          <w:r w:rsidR="00F21C43">
            <w:rPr>
              <w:noProof/>
              <w:sz w:val="22"/>
              <w:szCs w:val="22"/>
              <w:lang w:val="en-GB"/>
            </w:rPr>
            <w:fldChar w:fldCharType="end"/>
          </w:r>
        </w:sdtContent>
      </w:sdt>
      <w:sdt>
        <w:sdtPr>
          <w:rPr>
            <w:noProof/>
            <w:sz w:val="22"/>
            <w:szCs w:val="22"/>
            <w:lang w:val="en-GB"/>
          </w:rPr>
          <w:id w:val="-46839869"/>
          <w:citation/>
        </w:sdtPr>
        <w:sdtEndPr/>
        <w:sdtContent>
          <w:r w:rsidR="00F21C43">
            <w:rPr>
              <w:noProof/>
              <w:sz w:val="22"/>
              <w:szCs w:val="22"/>
              <w:lang w:val="en-GB"/>
            </w:rPr>
            <w:fldChar w:fldCharType="begin"/>
          </w:r>
          <w:r w:rsidR="00F21C43">
            <w:rPr>
              <w:noProof/>
              <w:sz w:val="22"/>
              <w:szCs w:val="22"/>
              <w:lang w:val="en-GB"/>
            </w:rPr>
            <w:instrText xml:space="preserve"> CITATION Eak16 \l 2057 </w:instrText>
          </w:r>
          <w:r w:rsidR="00F21C43">
            <w:rPr>
              <w:noProof/>
              <w:sz w:val="22"/>
              <w:szCs w:val="22"/>
              <w:lang w:val="en-GB"/>
            </w:rPr>
            <w:fldChar w:fldCharType="separate"/>
          </w:r>
          <w:r w:rsidR="002D6947">
            <w:rPr>
              <w:noProof/>
              <w:sz w:val="22"/>
              <w:szCs w:val="22"/>
              <w:lang w:val="en-GB"/>
            </w:rPr>
            <w:t xml:space="preserve"> </w:t>
          </w:r>
          <w:r w:rsidR="002D6947" w:rsidRPr="002D6947">
            <w:rPr>
              <w:noProof/>
              <w:sz w:val="22"/>
              <w:szCs w:val="22"/>
              <w:lang w:val="en-GB"/>
            </w:rPr>
            <w:t>[35]</w:t>
          </w:r>
          <w:r w:rsidR="00F21C43">
            <w:rPr>
              <w:noProof/>
              <w:sz w:val="22"/>
              <w:szCs w:val="22"/>
              <w:lang w:val="en-GB"/>
            </w:rPr>
            <w:fldChar w:fldCharType="end"/>
          </w:r>
        </w:sdtContent>
      </w:sdt>
      <w:r w:rsidR="000F2425" w:rsidRPr="000016FB">
        <w:rPr>
          <w:noProof/>
          <w:sz w:val="22"/>
          <w:szCs w:val="22"/>
          <w:lang w:val="en-US"/>
        </w:rPr>
        <w:t xml:space="preserve">. </w:t>
      </w:r>
      <w:r w:rsidR="00DE58A5">
        <w:rPr>
          <w:noProof/>
          <w:sz w:val="22"/>
          <w:szCs w:val="22"/>
          <w:lang w:val="en-US"/>
        </w:rPr>
        <w:t>T</w:t>
      </w:r>
      <w:r w:rsidR="00DB742B" w:rsidRPr="000016FB">
        <w:rPr>
          <w:noProof/>
          <w:sz w:val="22"/>
          <w:szCs w:val="22"/>
          <w:lang w:val="en-US"/>
        </w:rPr>
        <w:t xml:space="preserve">he </w:t>
      </w:r>
      <w:r w:rsidR="00DB2C3E" w:rsidRPr="000016FB">
        <w:rPr>
          <w:noProof/>
          <w:sz w:val="22"/>
          <w:szCs w:val="22"/>
          <w:lang w:val="en-US"/>
        </w:rPr>
        <w:t xml:space="preserve">assay </w:t>
      </w:r>
      <w:r w:rsidR="0028679D">
        <w:rPr>
          <w:noProof/>
          <w:sz w:val="22"/>
          <w:szCs w:val="22"/>
          <w:lang w:val="en-US"/>
        </w:rPr>
        <w:t xml:space="preserve">often </w:t>
      </w:r>
      <w:r w:rsidR="00DB2C3E" w:rsidRPr="000016FB">
        <w:rPr>
          <w:noProof/>
          <w:sz w:val="22"/>
          <w:szCs w:val="22"/>
          <w:lang w:val="en-US"/>
        </w:rPr>
        <w:t xml:space="preserve">performs well </w:t>
      </w:r>
      <w:r w:rsidR="00DE58A5">
        <w:rPr>
          <w:noProof/>
          <w:sz w:val="22"/>
          <w:szCs w:val="22"/>
          <w:lang w:val="en-US"/>
        </w:rPr>
        <w:t>i</w:t>
      </w:r>
      <w:r w:rsidR="00DE58A5" w:rsidRPr="000016FB">
        <w:rPr>
          <w:noProof/>
          <w:sz w:val="22"/>
          <w:szCs w:val="22"/>
          <w:lang w:val="en-US"/>
        </w:rPr>
        <w:t xml:space="preserve">n routine use </w:t>
      </w:r>
      <w:r w:rsidR="00DB2C3E" w:rsidRPr="000016FB">
        <w:rPr>
          <w:noProof/>
          <w:sz w:val="22"/>
          <w:szCs w:val="22"/>
          <w:lang w:val="en-US"/>
        </w:rPr>
        <w:t xml:space="preserve">with </w:t>
      </w:r>
      <w:r w:rsidR="000F2425" w:rsidRPr="000016FB">
        <w:rPr>
          <w:noProof/>
          <w:color w:val="000000"/>
          <w:sz w:val="22"/>
          <w:szCs w:val="22"/>
          <w:lang w:val="en-US"/>
        </w:rPr>
        <w:t xml:space="preserve">cell lines </w:t>
      </w:r>
      <w:r w:rsidR="00DB2C3E" w:rsidRPr="000016FB">
        <w:rPr>
          <w:noProof/>
          <w:color w:val="000000"/>
          <w:sz w:val="22"/>
          <w:szCs w:val="22"/>
          <w:lang w:val="en-US"/>
        </w:rPr>
        <w:t>such as HepG2</w:t>
      </w:r>
      <w:r w:rsidR="00BF5780">
        <w:rPr>
          <w:noProof/>
          <w:color w:val="000000"/>
          <w:sz w:val="22"/>
          <w:szCs w:val="22"/>
          <w:lang w:val="en-US"/>
        </w:rPr>
        <w:t>. It is also possible to use OCR and ECAR</w:t>
      </w:r>
      <w:r w:rsidR="00DE58A5" w:rsidRPr="000016FB">
        <w:rPr>
          <w:noProof/>
          <w:color w:val="000000"/>
          <w:sz w:val="22"/>
          <w:szCs w:val="22"/>
          <w:lang w:val="en-US"/>
        </w:rPr>
        <w:t xml:space="preserve"> </w:t>
      </w:r>
      <w:r w:rsidR="00DE58A5">
        <w:rPr>
          <w:noProof/>
          <w:color w:val="000000"/>
          <w:sz w:val="22"/>
          <w:szCs w:val="22"/>
          <w:lang w:val="en-US"/>
        </w:rPr>
        <w:t>with other</w:t>
      </w:r>
      <w:r w:rsidR="000F2425" w:rsidRPr="000016FB">
        <w:rPr>
          <w:noProof/>
          <w:color w:val="000000"/>
          <w:sz w:val="22"/>
          <w:szCs w:val="22"/>
          <w:lang w:val="en-US"/>
        </w:rPr>
        <w:t xml:space="preserve"> </w:t>
      </w:r>
      <w:r w:rsidR="00DB2C3E" w:rsidRPr="000016FB">
        <w:rPr>
          <w:noProof/>
          <w:color w:val="000000"/>
          <w:sz w:val="22"/>
          <w:szCs w:val="22"/>
          <w:lang w:val="en-US"/>
        </w:rPr>
        <w:t>cell</w:t>
      </w:r>
      <w:r w:rsidR="00DE58A5">
        <w:rPr>
          <w:noProof/>
          <w:color w:val="000000"/>
          <w:sz w:val="22"/>
          <w:szCs w:val="22"/>
          <w:lang w:val="en-US"/>
        </w:rPr>
        <w:t xml:space="preserve"> </w:t>
      </w:r>
      <w:r w:rsidR="00DB2C3E" w:rsidRPr="000016FB">
        <w:rPr>
          <w:noProof/>
          <w:color w:val="000000"/>
          <w:sz w:val="22"/>
          <w:szCs w:val="22"/>
          <w:lang w:val="en-US"/>
        </w:rPr>
        <w:t xml:space="preserve">types and </w:t>
      </w:r>
      <w:r w:rsidR="000F2425" w:rsidRPr="000016FB">
        <w:rPr>
          <w:noProof/>
          <w:color w:val="000000"/>
          <w:sz w:val="22"/>
          <w:szCs w:val="22"/>
          <w:lang w:val="en-US"/>
        </w:rPr>
        <w:t>cell models</w:t>
      </w:r>
      <w:r w:rsidR="00DE58A5">
        <w:rPr>
          <w:noProof/>
          <w:color w:val="000000"/>
          <w:sz w:val="22"/>
          <w:szCs w:val="22"/>
          <w:lang w:val="en-US"/>
        </w:rPr>
        <w:t xml:space="preserve"> (</w:t>
      </w:r>
      <w:r w:rsidR="000F2425" w:rsidRPr="000016FB">
        <w:rPr>
          <w:noProof/>
          <w:color w:val="000000"/>
          <w:sz w:val="22"/>
          <w:szCs w:val="22"/>
          <w:lang w:val="en-US"/>
        </w:rPr>
        <w:t>e.g. disease models, 3D cell cultures or isolated mitochondria</w:t>
      </w:r>
      <w:r w:rsidR="00DE58A5">
        <w:rPr>
          <w:noProof/>
          <w:color w:val="000000"/>
          <w:sz w:val="22"/>
          <w:szCs w:val="22"/>
          <w:lang w:val="en-US"/>
        </w:rPr>
        <w:t>)</w:t>
      </w:r>
      <w:r w:rsidR="009D407E">
        <w:rPr>
          <w:noProof/>
          <w:color w:val="000000"/>
          <w:sz w:val="22"/>
          <w:szCs w:val="22"/>
          <w:lang w:val="en-US"/>
        </w:rPr>
        <w:t>.</w:t>
      </w:r>
      <w:r w:rsidR="0067792D">
        <w:rPr>
          <w:noProof/>
          <w:sz w:val="22"/>
          <w:szCs w:val="22"/>
          <w:lang w:val="en-GB"/>
        </w:rPr>
        <w:t xml:space="preserve"> </w:t>
      </w:r>
      <w:r w:rsidR="005C05D0">
        <w:rPr>
          <w:noProof/>
          <w:sz w:val="22"/>
          <w:szCs w:val="22"/>
          <w:lang w:val="en-GB"/>
        </w:rPr>
        <w:t>Changes to m</w:t>
      </w:r>
      <w:r w:rsidR="00BE6C9D" w:rsidRPr="000959D0">
        <w:rPr>
          <w:noProof/>
          <w:color w:val="000000"/>
          <w:sz w:val="22"/>
          <w:szCs w:val="22"/>
          <w:lang w:val="en-US"/>
        </w:rPr>
        <w:t>itochondrial DNA (mtDNA)</w:t>
      </w:r>
      <w:r w:rsidR="005C05D0">
        <w:rPr>
          <w:noProof/>
          <w:color w:val="000000"/>
          <w:sz w:val="22"/>
          <w:szCs w:val="22"/>
          <w:lang w:val="en-US"/>
        </w:rPr>
        <w:t>,</w:t>
      </w:r>
      <w:r w:rsidR="00BE6C9D" w:rsidRPr="000959D0">
        <w:rPr>
          <w:noProof/>
          <w:color w:val="000000"/>
          <w:sz w:val="22"/>
          <w:szCs w:val="22"/>
          <w:lang w:val="en-US"/>
        </w:rPr>
        <w:t xml:space="preserve"> </w:t>
      </w:r>
      <w:r w:rsidR="005C05D0">
        <w:rPr>
          <w:noProof/>
          <w:color w:val="000000"/>
          <w:sz w:val="22"/>
          <w:szCs w:val="22"/>
          <w:lang w:val="en-US"/>
        </w:rPr>
        <w:t>in certain individuals with</w:t>
      </w:r>
      <w:r w:rsidR="00C2122F" w:rsidRPr="000016FB">
        <w:rPr>
          <w:noProof/>
          <w:color w:val="000000"/>
          <w:sz w:val="22"/>
          <w:szCs w:val="22"/>
          <w:lang w:val="en-US"/>
        </w:rPr>
        <w:t xml:space="preserve"> </w:t>
      </w:r>
      <w:r w:rsidR="005C05D0">
        <w:rPr>
          <w:noProof/>
          <w:color w:val="000000"/>
          <w:sz w:val="22"/>
          <w:szCs w:val="22"/>
          <w:lang w:val="en-US"/>
        </w:rPr>
        <w:t>pre-</w:t>
      </w:r>
      <w:r w:rsidR="000F2425" w:rsidRPr="000016FB">
        <w:rPr>
          <w:noProof/>
          <w:color w:val="000000"/>
          <w:sz w:val="22"/>
          <w:szCs w:val="22"/>
          <w:lang w:val="en-US"/>
        </w:rPr>
        <w:t xml:space="preserve">existing </w:t>
      </w:r>
      <w:r w:rsidR="00DE58A5">
        <w:rPr>
          <w:noProof/>
          <w:color w:val="000000"/>
          <w:sz w:val="22"/>
          <w:szCs w:val="22"/>
          <w:lang w:val="en-US"/>
        </w:rPr>
        <w:t xml:space="preserve">liver </w:t>
      </w:r>
      <w:r w:rsidR="000F2425" w:rsidRPr="000016FB">
        <w:rPr>
          <w:noProof/>
          <w:color w:val="000000"/>
          <w:sz w:val="22"/>
          <w:szCs w:val="22"/>
          <w:lang w:val="en-US"/>
        </w:rPr>
        <w:t>pathologies</w:t>
      </w:r>
      <w:r w:rsidR="00C2122F">
        <w:rPr>
          <w:noProof/>
          <w:color w:val="000000"/>
          <w:sz w:val="22"/>
          <w:szCs w:val="22"/>
          <w:lang w:val="en-US"/>
        </w:rPr>
        <w:t>,</w:t>
      </w:r>
      <w:r w:rsidR="000F2425" w:rsidRPr="000016FB">
        <w:rPr>
          <w:noProof/>
          <w:color w:val="000000"/>
          <w:sz w:val="22"/>
          <w:szCs w:val="22"/>
          <w:lang w:val="en-US"/>
        </w:rPr>
        <w:t xml:space="preserve"> </w:t>
      </w:r>
      <w:r w:rsidR="00E12E76" w:rsidRPr="000016FB">
        <w:rPr>
          <w:noProof/>
          <w:color w:val="000000"/>
          <w:sz w:val="22"/>
          <w:szCs w:val="22"/>
          <w:lang w:val="en-US"/>
        </w:rPr>
        <w:t xml:space="preserve">such </w:t>
      </w:r>
      <w:r w:rsidR="000F2425" w:rsidRPr="000016FB">
        <w:rPr>
          <w:noProof/>
          <w:color w:val="000000"/>
          <w:sz w:val="22"/>
          <w:szCs w:val="22"/>
          <w:lang w:val="en-US"/>
        </w:rPr>
        <w:t xml:space="preserve">as diabetes </w:t>
      </w:r>
      <w:r w:rsidR="00751B91">
        <w:rPr>
          <w:noProof/>
          <w:color w:val="000000"/>
          <w:sz w:val="22"/>
          <w:szCs w:val="22"/>
          <w:lang w:val="en-US"/>
        </w:rPr>
        <w:t xml:space="preserve">or </w:t>
      </w:r>
      <w:r w:rsidR="000F2425" w:rsidRPr="000016FB">
        <w:rPr>
          <w:noProof/>
          <w:color w:val="000000"/>
          <w:sz w:val="22"/>
          <w:szCs w:val="22"/>
          <w:lang w:val="en-US"/>
        </w:rPr>
        <w:t>non alcoholic fatty liver diseases (NAFL</w:t>
      </w:r>
      <w:r w:rsidR="000F2425" w:rsidRPr="000016FB">
        <w:rPr>
          <w:noProof/>
          <w:sz w:val="22"/>
          <w:szCs w:val="22"/>
          <w:lang w:val="en-US"/>
        </w:rPr>
        <w:t xml:space="preserve">D) </w:t>
      </w:r>
      <w:r w:rsidR="00134275" w:rsidRPr="000016FB">
        <w:rPr>
          <w:noProof/>
          <w:sz w:val="22"/>
          <w:szCs w:val="22"/>
          <w:lang w:val="en-GB"/>
        </w:rPr>
        <w:t xml:space="preserve"> </w:t>
      </w:r>
      <w:sdt>
        <w:sdtPr>
          <w:rPr>
            <w:noProof/>
            <w:sz w:val="22"/>
            <w:szCs w:val="22"/>
            <w:lang w:val="en-GB"/>
          </w:rPr>
          <w:id w:val="-889494148"/>
          <w:citation/>
        </w:sdtPr>
        <w:sdtEndPr/>
        <w:sdtContent>
          <w:r w:rsidR="00F21C43">
            <w:rPr>
              <w:noProof/>
              <w:sz w:val="22"/>
              <w:szCs w:val="22"/>
              <w:lang w:val="en-GB"/>
            </w:rPr>
            <w:fldChar w:fldCharType="begin"/>
          </w:r>
          <w:r w:rsidR="00F21C43">
            <w:rPr>
              <w:noProof/>
              <w:sz w:val="22"/>
              <w:szCs w:val="22"/>
              <w:lang w:val="en-GB"/>
            </w:rPr>
            <w:instrText xml:space="preserve"> CITATION Mas12 \l 2057 </w:instrText>
          </w:r>
          <w:r w:rsidR="00F21C43">
            <w:rPr>
              <w:noProof/>
              <w:sz w:val="22"/>
              <w:szCs w:val="22"/>
              <w:lang w:val="en-GB"/>
            </w:rPr>
            <w:fldChar w:fldCharType="separate"/>
          </w:r>
          <w:r w:rsidR="002D6947" w:rsidRPr="002D6947">
            <w:rPr>
              <w:noProof/>
              <w:sz w:val="22"/>
              <w:szCs w:val="22"/>
              <w:lang w:val="en-GB"/>
            </w:rPr>
            <w:t>[36]</w:t>
          </w:r>
          <w:r w:rsidR="00F21C43">
            <w:rPr>
              <w:noProof/>
              <w:sz w:val="22"/>
              <w:szCs w:val="22"/>
              <w:lang w:val="en-GB"/>
            </w:rPr>
            <w:fldChar w:fldCharType="end"/>
          </w:r>
        </w:sdtContent>
      </w:sdt>
      <w:sdt>
        <w:sdtPr>
          <w:rPr>
            <w:noProof/>
            <w:sz w:val="22"/>
            <w:szCs w:val="22"/>
            <w:lang w:val="en-GB"/>
          </w:rPr>
          <w:id w:val="-591629420"/>
          <w:citation/>
        </w:sdtPr>
        <w:sdtEndPr/>
        <w:sdtContent>
          <w:r w:rsidR="00F21C43">
            <w:rPr>
              <w:noProof/>
              <w:sz w:val="22"/>
              <w:szCs w:val="22"/>
              <w:lang w:val="en-GB"/>
            </w:rPr>
            <w:fldChar w:fldCharType="begin"/>
          </w:r>
          <w:r w:rsidR="00F21C43">
            <w:rPr>
              <w:noProof/>
              <w:sz w:val="22"/>
              <w:szCs w:val="22"/>
              <w:lang w:val="en-GB"/>
            </w:rPr>
            <w:instrText xml:space="preserve"> CITATION Aub12 \l 2057 </w:instrText>
          </w:r>
          <w:r w:rsidR="00F21C43">
            <w:rPr>
              <w:noProof/>
              <w:sz w:val="22"/>
              <w:szCs w:val="22"/>
              <w:lang w:val="en-GB"/>
            </w:rPr>
            <w:fldChar w:fldCharType="separate"/>
          </w:r>
          <w:r w:rsidR="002D6947">
            <w:rPr>
              <w:noProof/>
              <w:sz w:val="22"/>
              <w:szCs w:val="22"/>
              <w:lang w:val="en-GB"/>
            </w:rPr>
            <w:t xml:space="preserve"> </w:t>
          </w:r>
          <w:r w:rsidR="002D6947" w:rsidRPr="002D6947">
            <w:rPr>
              <w:noProof/>
              <w:sz w:val="22"/>
              <w:szCs w:val="22"/>
              <w:lang w:val="en-GB"/>
            </w:rPr>
            <w:t>[37]</w:t>
          </w:r>
          <w:r w:rsidR="00F21C43">
            <w:rPr>
              <w:noProof/>
              <w:sz w:val="22"/>
              <w:szCs w:val="22"/>
              <w:lang w:val="en-GB"/>
            </w:rPr>
            <w:fldChar w:fldCharType="end"/>
          </w:r>
        </w:sdtContent>
      </w:sdt>
      <w:sdt>
        <w:sdtPr>
          <w:rPr>
            <w:noProof/>
            <w:sz w:val="22"/>
            <w:szCs w:val="22"/>
            <w:lang w:val="en-GB"/>
          </w:rPr>
          <w:id w:val="-1284488294"/>
          <w:citation/>
        </w:sdtPr>
        <w:sdtEndPr/>
        <w:sdtContent>
          <w:r w:rsidR="00F21C43">
            <w:rPr>
              <w:noProof/>
              <w:sz w:val="22"/>
              <w:szCs w:val="22"/>
              <w:lang w:val="en-GB"/>
            </w:rPr>
            <w:fldChar w:fldCharType="begin"/>
          </w:r>
          <w:r w:rsidR="00F21C43">
            <w:rPr>
              <w:noProof/>
              <w:sz w:val="22"/>
              <w:szCs w:val="22"/>
              <w:lang w:val="en-GB"/>
            </w:rPr>
            <w:instrText xml:space="preserve"> CITATION Fro13 \l 2057 </w:instrText>
          </w:r>
          <w:r w:rsidR="00F21C43">
            <w:rPr>
              <w:noProof/>
              <w:sz w:val="22"/>
              <w:szCs w:val="22"/>
              <w:lang w:val="en-GB"/>
            </w:rPr>
            <w:fldChar w:fldCharType="separate"/>
          </w:r>
          <w:r w:rsidR="002D6947">
            <w:rPr>
              <w:noProof/>
              <w:sz w:val="22"/>
              <w:szCs w:val="22"/>
              <w:lang w:val="en-GB"/>
            </w:rPr>
            <w:t xml:space="preserve"> </w:t>
          </w:r>
          <w:r w:rsidR="002D6947" w:rsidRPr="002D6947">
            <w:rPr>
              <w:noProof/>
              <w:sz w:val="22"/>
              <w:szCs w:val="22"/>
              <w:lang w:val="en-GB"/>
            </w:rPr>
            <w:t>[25]</w:t>
          </w:r>
          <w:r w:rsidR="00F21C43">
            <w:rPr>
              <w:noProof/>
              <w:sz w:val="22"/>
              <w:szCs w:val="22"/>
              <w:lang w:val="en-GB"/>
            </w:rPr>
            <w:fldChar w:fldCharType="end"/>
          </w:r>
        </w:sdtContent>
      </w:sdt>
      <w:r w:rsidR="006F5CCE">
        <w:rPr>
          <w:noProof/>
          <w:sz w:val="22"/>
          <w:szCs w:val="22"/>
          <w:lang w:val="en-GB"/>
        </w:rPr>
        <w:t>,</w:t>
      </w:r>
      <w:r w:rsidR="00F21C43">
        <w:rPr>
          <w:noProof/>
          <w:sz w:val="22"/>
          <w:szCs w:val="22"/>
          <w:lang w:val="en-GB"/>
        </w:rPr>
        <w:t xml:space="preserve"> </w:t>
      </w:r>
      <w:r w:rsidR="003B05BB">
        <w:rPr>
          <w:noProof/>
          <w:sz w:val="22"/>
          <w:szCs w:val="22"/>
          <w:lang w:val="en-GB"/>
        </w:rPr>
        <w:t xml:space="preserve">may </w:t>
      </w:r>
      <w:r w:rsidR="005C05D0">
        <w:rPr>
          <w:noProof/>
          <w:color w:val="000000"/>
          <w:sz w:val="22"/>
          <w:szCs w:val="22"/>
          <w:lang w:val="en-US"/>
        </w:rPr>
        <w:t xml:space="preserve">predispose </w:t>
      </w:r>
      <w:r w:rsidR="003B05BB">
        <w:rPr>
          <w:noProof/>
          <w:color w:val="000000"/>
          <w:sz w:val="22"/>
          <w:szCs w:val="22"/>
          <w:lang w:val="en-US"/>
        </w:rPr>
        <w:t>these</w:t>
      </w:r>
      <w:r w:rsidR="005C05D0">
        <w:rPr>
          <w:noProof/>
          <w:color w:val="000000"/>
          <w:sz w:val="22"/>
          <w:szCs w:val="22"/>
          <w:lang w:val="en-US"/>
        </w:rPr>
        <w:t xml:space="preserve"> individuals to DILI. </w:t>
      </w:r>
      <w:r w:rsidR="003B05BB">
        <w:rPr>
          <w:noProof/>
          <w:color w:val="000000"/>
          <w:sz w:val="22"/>
          <w:szCs w:val="22"/>
          <w:lang w:val="en-US"/>
        </w:rPr>
        <w:t>However, as a</w:t>
      </w:r>
      <w:r w:rsidR="005C05D0">
        <w:rPr>
          <w:noProof/>
          <w:color w:val="000000"/>
          <w:sz w:val="22"/>
          <w:szCs w:val="22"/>
          <w:lang w:val="en-US"/>
        </w:rPr>
        <w:t xml:space="preserve"> mechanism </w:t>
      </w:r>
      <w:r w:rsidR="003B05BB">
        <w:rPr>
          <w:noProof/>
          <w:color w:val="000000"/>
          <w:sz w:val="22"/>
          <w:szCs w:val="22"/>
          <w:lang w:val="en-US"/>
        </w:rPr>
        <w:t>for study of</w:t>
      </w:r>
      <w:r w:rsidR="005C05D0">
        <w:rPr>
          <w:noProof/>
          <w:color w:val="000000"/>
          <w:sz w:val="22"/>
          <w:szCs w:val="22"/>
          <w:lang w:val="en-US"/>
        </w:rPr>
        <w:t xml:space="preserve"> </w:t>
      </w:r>
      <w:r w:rsidR="005C05D0" w:rsidRPr="000016FB">
        <w:rPr>
          <w:noProof/>
          <w:color w:val="000000"/>
          <w:sz w:val="22"/>
          <w:szCs w:val="22"/>
          <w:lang w:val="en-US"/>
        </w:rPr>
        <w:t>drug-induced liver toxicities</w:t>
      </w:r>
      <w:r w:rsidR="00031050">
        <w:rPr>
          <w:noProof/>
          <w:color w:val="000000"/>
          <w:sz w:val="22"/>
          <w:szCs w:val="22"/>
          <w:lang w:val="en-US"/>
        </w:rPr>
        <w:t>,</w:t>
      </w:r>
      <w:r w:rsidR="005C05D0" w:rsidRPr="000016FB">
        <w:rPr>
          <w:noProof/>
          <w:color w:val="000000"/>
          <w:sz w:val="22"/>
          <w:szCs w:val="22"/>
          <w:lang w:val="en-US"/>
        </w:rPr>
        <w:t xml:space="preserve"> </w:t>
      </w:r>
      <w:r w:rsidR="002E2404">
        <w:rPr>
          <w:noProof/>
          <w:sz w:val="22"/>
          <w:szCs w:val="22"/>
          <w:lang w:val="en-GB"/>
        </w:rPr>
        <w:t xml:space="preserve">it </w:t>
      </w:r>
      <w:r w:rsidR="007D6884">
        <w:rPr>
          <w:noProof/>
          <w:sz w:val="22"/>
          <w:szCs w:val="22"/>
          <w:lang w:val="en-GB"/>
        </w:rPr>
        <w:t>remains unidentified in short</w:t>
      </w:r>
      <w:r w:rsidR="006835DF">
        <w:rPr>
          <w:noProof/>
          <w:sz w:val="22"/>
          <w:szCs w:val="22"/>
          <w:lang w:val="en-GB"/>
        </w:rPr>
        <w:t>-</w:t>
      </w:r>
      <w:r w:rsidR="007D6884">
        <w:rPr>
          <w:noProof/>
          <w:sz w:val="22"/>
          <w:szCs w:val="22"/>
          <w:lang w:val="en-GB"/>
        </w:rPr>
        <w:t>term assays</w:t>
      </w:r>
      <w:r w:rsidR="003B05BB">
        <w:rPr>
          <w:noProof/>
          <w:sz w:val="22"/>
          <w:szCs w:val="22"/>
          <w:lang w:val="en-GB"/>
        </w:rPr>
        <w:t xml:space="preserve"> </w:t>
      </w:r>
      <w:r w:rsidR="00031050">
        <w:rPr>
          <w:noProof/>
          <w:sz w:val="22"/>
          <w:szCs w:val="22"/>
          <w:lang w:val="en-GB"/>
        </w:rPr>
        <w:t xml:space="preserve">currently employed </w:t>
      </w:r>
      <w:r w:rsidR="003B05BB">
        <w:rPr>
          <w:noProof/>
          <w:sz w:val="22"/>
          <w:szCs w:val="22"/>
          <w:lang w:val="en-GB"/>
        </w:rPr>
        <w:t xml:space="preserve">within </w:t>
      </w:r>
      <w:r w:rsidR="00031050">
        <w:rPr>
          <w:noProof/>
          <w:sz w:val="22"/>
          <w:szCs w:val="22"/>
          <w:lang w:val="en-GB"/>
        </w:rPr>
        <w:t xml:space="preserve">the </w:t>
      </w:r>
      <w:r w:rsidR="003B05BB">
        <w:rPr>
          <w:noProof/>
          <w:sz w:val="22"/>
          <w:szCs w:val="22"/>
          <w:lang w:val="en-GB"/>
        </w:rPr>
        <w:t>industry</w:t>
      </w:r>
      <w:r w:rsidR="00BE6C9D" w:rsidRPr="000016FB">
        <w:rPr>
          <w:noProof/>
          <w:sz w:val="22"/>
          <w:szCs w:val="22"/>
          <w:lang w:val="en-US"/>
        </w:rPr>
        <w:t xml:space="preserve">. </w:t>
      </w:r>
      <w:r w:rsidR="003B05BB">
        <w:rPr>
          <w:noProof/>
          <w:sz w:val="22"/>
          <w:szCs w:val="22"/>
          <w:lang w:val="en-US"/>
        </w:rPr>
        <w:t xml:space="preserve">This </w:t>
      </w:r>
      <w:r w:rsidR="002E2404">
        <w:rPr>
          <w:noProof/>
          <w:sz w:val="22"/>
          <w:szCs w:val="22"/>
          <w:lang w:val="en-US"/>
        </w:rPr>
        <w:t>ackno</w:t>
      </w:r>
      <w:r w:rsidR="00031050">
        <w:rPr>
          <w:noProof/>
          <w:sz w:val="22"/>
          <w:szCs w:val="22"/>
          <w:lang w:val="en-US"/>
        </w:rPr>
        <w:t>w</w:t>
      </w:r>
      <w:r w:rsidR="002E2404">
        <w:rPr>
          <w:noProof/>
          <w:sz w:val="22"/>
          <w:szCs w:val="22"/>
          <w:lang w:val="en-US"/>
        </w:rPr>
        <w:t>ledges</w:t>
      </w:r>
      <w:r w:rsidR="003B05BB">
        <w:rPr>
          <w:noProof/>
          <w:sz w:val="22"/>
          <w:szCs w:val="22"/>
          <w:lang w:val="en-US"/>
        </w:rPr>
        <w:t xml:space="preserve"> a gap in </w:t>
      </w:r>
      <w:r w:rsidR="00031050">
        <w:rPr>
          <w:noProof/>
          <w:sz w:val="22"/>
          <w:szCs w:val="22"/>
          <w:lang w:val="en-US"/>
        </w:rPr>
        <w:t xml:space="preserve">the </w:t>
      </w:r>
      <w:r w:rsidR="003B05BB">
        <w:rPr>
          <w:noProof/>
          <w:sz w:val="22"/>
          <w:szCs w:val="22"/>
          <w:lang w:val="en-US"/>
        </w:rPr>
        <w:t xml:space="preserve">tools </w:t>
      </w:r>
      <w:r w:rsidR="00031050">
        <w:rPr>
          <w:noProof/>
          <w:sz w:val="22"/>
          <w:szCs w:val="22"/>
          <w:lang w:val="en-US"/>
        </w:rPr>
        <w:t xml:space="preserve">currently available in the </w:t>
      </w:r>
      <w:r w:rsidR="003B05BB">
        <w:rPr>
          <w:noProof/>
          <w:sz w:val="22"/>
          <w:szCs w:val="22"/>
          <w:lang w:val="en-US"/>
        </w:rPr>
        <w:t xml:space="preserve">industy </w:t>
      </w:r>
      <w:r w:rsidR="00031050">
        <w:rPr>
          <w:noProof/>
          <w:sz w:val="22"/>
          <w:szCs w:val="22"/>
          <w:lang w:val="en-US"/>
        </w:rPr>
        <w:t>for</w:t>
      </w:r>
      <w:r w:rsidR="003B05BB">
        <w:rPr>
          <w:noProof/>
          <w:sz w:val="22"/>
          <w:szCs w:val="22"/>
          <w:lang w:val="en-US"/>
        </w:rPr>
        <w:t xml:space="preserve"> the assessment of drug safety. </w:t>
      </w:r>
      <w:r w:rsidR="00C2122F">
        <w:rPr>
          <w:noProof/>
          <w:sz w:val="22"/>
          <w:szCs w:val="22"/>
          <w:lang w:val="en-US"/>
        </w:rPr>
        <w:t>The</w:t>
      </w:r>
      <w:r w:rsidR="00E12E76" w:rsidRPr="000016FB">
        <w:rPr>
          <w:noProof/>
          <w:sz w:val="22"/>
          <w:szCs w:val="22"/>
          <w:lang w:val="en-US"/>
        </w:rPr>
        <w:t xml:space="preserve"> use of </w:t>
      </w:r>
      <w:r w:rsidR="000F2425" w:rsidRPr="000016FB">
        <w:rPr>
          <w:noProof/>
          <w:sz w:val="22"/>
          <w:szCs w:val="22"/>
          <w:lang w:val="en-US"/>
        </w:rPr>
        <w:t xml:space="preserve"> </w:t>
      </w:r>
      <w:r w:rsidR="00E12E76" w:rsidRPr="000016FB">
        <w:rPr>
          <w:noProof/>
          <w:color w:val="000000"/>
          <w:sz w:val="22"/>
          <w:szCs w:val="22"/>
          <w:lang w:val="en-US"/>
        </w:rPr>
        <w:t>cell</w:t>
      </w:r>
      <w:r w:rsidR="00751B91">
        <w:rPr>
          <w:noProof/>
          <w:color w:val="000000"/>
          <w:sz w:val="22"/>
          <w:szCs w:val="22"/>
          <w:lang w:val="en-US"/>
        </w:rPr>
        <w:t xml:space="preserve"> </w:t>
      </w:r>
      <w:r w:rsidR="000F2425" w:rsidRPr="000016FB">
        <w:rPr>
          <w:noProof/>
          <w:color w:val="000000"/>
          <w:sz w:val="22"/>
          <w:szCs w:val="22"/>
          <w:lang w:val="en-US"/>
        </w:rPr>
        <w:t xml:space="preserve">lines or 2D/3D models </w:t>
      </w:r>
      <w:r w:rsidR="00E12E76" w:rsidRPr="000016FB">
        <w:rPr>
          <w:noProof/>
          <w:color w:val="000000"/>
          <w:sz w:val="22"/>
          <w:szCs w:val="22"/>
          <w:lang w:val="en-US"/>
        </w:rPr>
        <w:t>amenable to</w:t>
      </w:r>
      <w:r w:rsidR="000F2425" w:rsidRPr="000016FB">
        <w:rPr>
          <w:noProof/>
          <w:color w:val="000000"/>
          <w:sz w:val="22"/>
          <w:szCs w:val="22"/>
          <w:lang w:val="en-US"/>
        </w:rPr>
        <w:t xml:space="preserve"> long</w:t>
      </w:r>
      <w:r w:rsidR="006835DF">
        <w:rPr>
          <w:noProof/>
          <w:color w:val="000000"/>
          <w:sz w:val="22"/>
          <w:szCs w:val="22"/>
          <w:lang w:val="en-US"/>
        </w:rPr>
        <w:t>-</w:t>
      </w:r>
      <w:r w:rsidR="000F2425" w:rsidRPr="000016FB">
        <w:rPr>
          <w:noProof/>
          <w:color w:val="000000"/>
          <w:sz w:val="22"/>
          <w:szCs w:val="22"/>
          <w:lang w:val="en-US"/>
        </w:rPr>
        <w:t>term cultur</w:t>
      </w:r>
      <w:r w:rsidR="006835DF">
        <w:rPr>
          <w:noProof/>
          <w:color w:val="000000"/>
          <w:sz w:val="22"/>
          <w:szCs w:val="22"/>
          <w:lang w:val="en-US"/>
        </w:rPr>
        <w:t>es</w:t>
      </w:r>
      <w:r w:rsidR="000F2425" w:rsidRPr="000016FB">
        <w:rPr>
          <w:noProof/>
          <w:color w:val="000000"/>
          <w:sz w:val="22"/>
          <w:szCs w:val="22"/>
          <w:lang w:val="en-US"/>
        </w:rPr>
        <w:t xml:space="preserve"> </w:t>
      </w:r>
      <w:r w:rsidR="00C2122F">
        <w:rPr>
          <w:noProof/>
          <w:color w:val="000000"/>
          <w:sz w:val="22"/>
          <w:szCs w:val="22"/>
          <w:lang w:val="en-US"/>
        </w:rPr>
        <w:t>ha</w:t>
      </w:r>
      <w:r w:rsidR="006835DF">
        <w:rPr>
          <w:noProof/>
          <w:color w:val="000000"/>
          <w:sz w:val="22"/>
          <w:szCs w:val="22"/>
          <w:lang w:val="en-US"/>
        </w:rPr>
        <w:t>s</w:t>
      </w:r>
      <w:r w:rsidR="00C2122F">
        <w:rPr>
          <w:noProof/>
          <w:color w:val="000000"/>
          <w:sz w:val="22"/>
          <w:szCs w:val="22"/>
          <w:lang w:val="en-US"/>
        </w:rPr>
        <w:t xml:space="preserve"> </w:t>
      </w:r>
      <w:r w:rsidR="000F2425" w:rsidRPr="000016FB">
        <w:rPr>
          <w:noProof/>
          <w:color w:val="000000"/>
          <w:sz w:val="22"/>
          <w:szCs w:val="22"/>
          <w:lang w:val="en-US"/>
        </w:rPr>
        <w:t>succeed</w:t>
      </w:r>
      <w:r w:rsidR="00ED11E2">
        <w:rPr>
          <w:noProof/>
          <w:color w:val="000000"/>
          <w:sz w:val="22"/>
          <w:szCs w:val="22"/>
          <w:lang w:val="en-US"/>
        </w:rPr>
        <w:t>ed</w:t>
      </w:r>
      <w:r w:rsidR="000F2425" w:rsidRPr="000016FB">
        <w:rPr>
          <w:noProof/>
          <w:color w:val="000000"/>
          <w:sz w:val="22"/>
          <w:szCs w:val="22"/>
          <w:lang w:val="en-US"/>
        </w:rPr>
        <w:t xml:space="preserve"> at identifying the </w:t>
      </w:r>
      <w:r w:rsidR="007150F4" w:rsidRPr="007150F4">
        <w:rPr>
          <w:sz w:val="22"/>
          <w:lang w:val="en-GB"/>
        </w:rPr>
        <w:t>deleterious</w:t>
      </w:r>
      <w:r w:rsidR="000F2425" w:rsidRPr="007150F4">
        <w:rPr>
          <w:noProof/>
          <w:color w:val="000000"/>
          <w:sz w:val="24"/>
          <w:szCs w:val="22"/>
          <w:lang w:val="en-US"/>
        </w:rPr>
        <w:t xml:space="preserve"> </w:t>
      </w:r>
      <w:r w:rsidR="000F2425" w:rsidRPr="000016FB">
        <w:rPr>
          <w:noProof/>
          <w:color w:val="000000"/>
          <w:sz w:val="22"/>
          <w:szCs w:val="22"/>
          <w:lang w:val="en-US"/>
        </w:rPr>
        <w:t xml:space="preserve">effect of </w:t>
      </w:r>
      <w:r w:rsidR="00DE58A5">
        <w:rPr>
          <w:noProof/>
          <w:color w:val="000000"/>
          <w:sz w:val="22"/>
          <w:szCs w:val="22"/>
          <w:lang w:val="en-US"/>
        </w:rPr>
        <w:t>some</w:t>
      </w:r>
      <w:r w:rsidR="00DE58A5" w:rsidRPr="000016FB">
        <w:rPr>
          <w:noProof/>
          <w:color w:val="000000"/>
          <w:sz w:val="22"/>
          <w:szCs w:val="22"/>
          <w:lang w:val="en-US"/>
        </w:rPr>
        <w:t xml:space="preserve"> </w:t>
      </w:r>
      <w:r w:rsidR="00E12E76" w:rsidRPr="000016FB">
        <w:rPr>
          <w:noProof/>
          <w:color w:val="000000"/>
          <w:sz w:val="22"/>
          <w:szCs w:val="22"/>
          <w:lang w:val="en-US"/>
        </w:rPr>
        <w:t>drugs</w:t>
      </w:r>
      <w:r w:rsidR="000F2425" w:rsidRPr="000016FB">
        <w:rPr>
          <w:noProof/>
          <w:color w:val="000000"/>
          <w:sz w:val="22"/>
          <w:szCs w:val="22"/>
          <w:lang w:val="en-US"/>
        </w:rPr>
        <w:t xml:space="preserve"> on mtDNA </w:t>
      </w:r>
      <w:r w:rsidR="00E12E76" w:rsidRPr="000016FB">
        <w:rPr>
          <w:noProof/>
          <w:color w:val="000000"/>
          <w:sz w:val="22"/>
          <w:szCs w:val="22"/>
          <w:lang w:val="en-US"/>
        </w:rPr>
        <w:t>replication</w:t>
      </w:r>
      <w:r w:rsidR="00C2122F">
        <w:rPr>
          <w:noProof/>
          <w:color w:val="000000"/>
          <w:sz w:val="22"/>
          <w:szCs w:val="22"/>
          <w:lang w:val="en-US"/>
        </w:rPr>
        <w:t xml:space="preserve"> </w:t>
      </w:r>
      <w:r w:rsidR="00130809">
        <w:rPr>
          <w:noProof/>
          <w:color w:val="000000"/>
          <w:sz w:val="22"/>
          <w:szCs w:val="22"/>
          <w:lang w:val="en-US"/>
        </w:rPr>
        <w:t>even if the toxicity is apparently difficult to detect</w:t>
      </w:r>
      <w:r w:rsidR="000F2425" w:rsidRPr="000016FB">
        <w:rPr>
          <w:noProof/>
          <w:color w:val="000000"/>
          <w:sz w:val="22"/>
          <w:szCs w:val="22"/>
          <w:lang w:val="en-US"/>
        </w:rPr>
        <w:t>.</w:t>
      </w:r>
      <w:r w:rsidR="006835DF">
        <w:rPr>
          <w:noProof/>
          <w:color w:val="E36C0A"/>
          <w:sz w:val="22"/>
          <w:szCs w:val="22"/>
          <w:lang w:val="en-US"/>
        </w:rPr>
        <w:t xml:space="preserve"> </w:t>
      </w:r>
      <w:r w:rsidR="006835DF" w:rsidRPr="00814E05">
        <w:rPr>
          <w:noProof/>
          <w:color w:val="000000" w:themeColor="text1"/>
          <w:sz w:val="22"/>
          <w:szCs w:val="22"/>
          <w:lang w:val="en-US"/>
        </w:rPr>
        <w:t>Finally, m</w:t>
      </w:r>
      <w:r w:rsidR="00E12E76" w:rsidRPr="000016FB">
        <w:rPr>
          <w:noProof/>
          <w:color w:val="000000"/>
          <w:sz w:val="22"/>
          <w:szCs w:val="22"/>
          <w:lang w:val="en-US"/>
        </w:rPr>
        <w:t>itochondrial protein synthesis</w:t>
      </w:r>
      <w:r w:rsidR="00C2122F">
        <w:rPr>
          <w:noProof/>
          <w:color w:val="000000"/>
          <w:sz w:val="22"/>
          <w:szCs w:val="22"/>
          <w:lang w:val="en-US"/>
        </w:rPr>
        <w:t xml:space="preserve"> can be measured</w:t>
      </w:r>
      <w:r w:rsidR="00E12E76" w:rsidRPr="000016FB">
        <w:rPr>
          <w:noProof/>
          <w:color w:val="000000"/>
          <w:sz w:val="22"/>
          <w:szCs w:val="22"/>
          <w:lang w:val="en-US"/>
        </w:rPr>
        <w:t xml:space="preserve"> by </w:t>
      </w:r>
      <w:r w:rsidR="00C2122F">
        <w:rPr>
          <w:noProof/>
          <w:color w:val="000000"/>
          <w:sz w:val="22"/>
          <w:szCs w:val="22"/>
          <w:lang w:val="en-US"/>
        </w:rPr>
        <w:t xml:space="preserve">a </w:t>
      </w:r>
      <w:r w:rsidR="00E12E76" w:rsidRPr="000016FB">
        <w:rPr>
          <w:noProof/>
          <w:color w:val="000000"/>
          <w:sz w:val="22"/>
          <w:szCs w:val="22"/>
          <w:lang w:val="en-US"/>
        </w:rPr>
        <w:t>lateral flow immunoassay</w:t>
      </w:r>
      <w:r w:rsidR="00C2122F">
        <w:rPr>
          <w:noProof/>
          <w:color w:val="000000"/>
          <w:sz w:val="22"/>
          <w:szCs w:val="22"/>
          <w:lang w:val="en-US"/>
        </w:rPr>
        <w:t>,</w:t>
      </w:r>
      <w:r w:rsidR="00E12E76" w:rsidRPr="000016FB">
        <w:rPr>
          <w:noProof/>
          <w:color w:val="000000"/>
          <w:sz w:val="22"/>
          <w:szCs w:val="22"/>
          <w:lang w:val="en-US"/>
        </w:rPr>
        <w:t xml:space="preserve"> </w:t>
      </w:r>
      <w:r w:rsidR="003339A8">
        <w:rPr>
          <w:noProof/>
          <w:color w:val="000000"/>
          <w:sz w:val="22"/>
          <w:szCs w:val="22"/>
          <w:lang w:val="en-US"/>
        </w:rPr>
        <w:t xml:space="preserve">typically </w:t>
      </w:r>
      <w:r w:rsidR="00E12E76" w:rsidRPr="000016FB">
        <w:rPr>
          <w:noProof/>
          <w:color w:val="000000"/>
          <w:sz w:val="22"/>
          <w:szCs w:val="22"/>
          <w:lang w:val="en-US"/>
        </w:rPr>
        <w:t>us</w:t>
      </w:r>
      <w:r w:rsidR="00C2122F">
        <w:rPr>
          <w:noProof/>
          <w:color w:val="000000"/>
          <w:sz w:val="22"/>
          <w:szCs w:val="22"/>
          <w:lang w:val="en-US"/>
        </w:rPr>
        <w:t>ing</w:t>
      </w:r>
      <w:r w:rsidR="00E12E76" w:rsidRPr="000016FB">
        <w:rPr>
          <w:noProof/>
          <w:color w:val="000000"/>
          <w:sz w:val="22"/>
          <w:szCs w:val="22"/>
          <w:lang w:val="en-US"/>
        </w:rPr>
        <w:t xml:space="preserve"> HepG2 </w:t>
      </w:r>
      <w:r w:rsidR="00C2122F">
        <w:rPr>
          <w:noProof/>
          <w:color w:val="000000"/>
          <w:sz w:val="22"/>
          <w:szCs w:val="22"/>
          <w:lang w:val="en-US"/>
        </w:rPr>
        <w:t>cells</w:t>
      </w:r>
      <w:r w:rsidR="006835DF">
        <w:rPr>
          <w:noProof/>
          <w:color w:val="000000"/>
          <w:sz w:val="22"/>
          <w:szCs w:val="22"/>
          <w:lang w:val="en-US"/>
        </w:rPr>
        <w:t xml:space="preserve">, that </w:t>
      </w:r>
      <w:r w:rsidR="00DE58A5">
        <w:rPr>
          <w:noProof/>
          <w:color w:val="000000"/>
          <w:sz w:val="22"/>
          <w:szCs w:val="22"/>
          <w:lang w:val="en-US"/>
        </w:rPr>
        <w:t xml:space="preserve"> </w:t>
      </w:r>
      <w:r w:rsidR="00C2122F">
        <w:rPr>
          <w:noProof/>
          <w:color w:val="000000"/>
          <w:sz w:val="22"/>
          <w:szCs w:val="22"/>
          <w:lang w:val="en-US"/>
        </w:rPr>
        <w:t>monitor</w:t>
      </w:r>
      <w:r w:rsidR="006835DF">
        <w:rPr>
          <w:noProof/>
          <w:color w:val="000000"/>
          <w:sz w:val="22"/>
          <w:szCs w:val="22"/>
          <w:lang w:val="en-US"/>
        </w:rPr>
        <w:t>s</w:t>
      </w:r>
      <w:r w:rsidR="00C2122F">
        <w:rPr>
          <w:noProof/>
          <w:color w:val="000000"/>
          <w:sz w:val="22"/>
          <w:szCs w:val="22"/>
          <w:lang w:val="en-US"/>
        </w:rPr>
        <w:t xml:space="preserve"> </w:t>
      </w:r>
      <w:r w:rsidR="00E12E76" w:rsidRPr="000016FB">
        <w:rPr>
          <w:noProof/>
          <w:color w:val="000000"/>
          <w:sz w:val="22"/>
          <w:szCs w:val="22"/>
          <w:lang w:val="en-US"/>
        </w:rPr>
        <w:t>the ratio of complex IV:frataxin</w:t>
      </w:r>
      <w:r w:rsidR="00BC42C3">
        <w:rPr>
          <w:noProof/>
          <w:color w:val="000000"/>
          <w:sz w:val="22"/>
          <w:szCs w:val="22"/>
          <w:lang w:val="en-US"/>
        </w:rPr>
        <w:t>. This</w:t>
      </w:r>
      <w:r w:rsidR="00E12E76" w:rsidRPr="000016FB">
        <w:rPr>
          <w:noProof/>
          <w:color w:val="000000"/>
          <w:sz w:val="22"/>
          <w:szCs w:val="22"/>
          <w:lang w:val="en-US"/>
        </w:rPr>
        <w:t xml:space="preserve"> </w:t>
      </w:r>
      <w:r w:rsidR="00C2122F">
        <w:rPr>
          <w:noProof/>
          <w:color w:val="000000"/>
          <w:sz w:val="22"/>
          <w:szCs w:val="22"/>
          <w:lang w:val="en-US"/>
        </w:rPr>
        <w:t xml:space="preserve">is known to </w:t>
      </w:r>
      <w:r w:rsidR="00E12E76" w:rsidRPr="000016FB">
        <w:rPr>
          <w:noProof/>
          <w:color w:val="000000"/>
          <w:sz w:val="22"/>
          <w:szCs w:val="22"/>
          <w:lang w:val="en-US"/>
        </w:rPr>
        <w:t xml:space="preserve">decrease </w:t>
      </w:r>
      <w:r w:rsidR="00BE6C9D" w:rsidRPr="000016FB">
        <w:rPr>
          <w:noProof/>
          <w:color w:val="000000"/>
          <w:sz w:val="22"/>
          <w:szCs w:val="22"/>
          <w:lang w:val="en-US"/>
        </w:rPr>
        <w:lastRenderedPageBreak/>
        <w:t>with</w:t>
      </w:r>
      <w:r w:rsidR="00E12E76" w:rsidRPr="000016FB">
        <w:rPr>
          <w:noProof/>
          <w:color w:val="000000"/>
          <w:sz w:val="22"/>
          <w:szCs w:val="22"/>
          <w:lang w:val="en-US"/>
        </w:rPr>
        <w:t xml:space="preserve"> drugs </w:t>
      </w:r>
      <w:r w:rsidR="00C2122F">
        <w:rPr>
          <w:noProof/>
          <w:color w:val="000000"/>
          <w:sz w:val="22"/>
          <w:szCs w:val="22"/>
          <w:lang w:val="en-US"/>
        </w:rPr>
        <w:t xml:space="preserve">that </w:t>
      </w:r>
      <w:r w:rsidR="00E12E76" w:rsidRPr="000016FB">
        <w:rPr>
          <w:noProof/>
          <w:color w:val="000000"/>
          <w:sz w:val="22"/>
          <w:szCs w:val="22"/>
          <w:lang w:val="en-US"/>
        </w:rPr>
        <w:t xml:space="preserve">inhibit either mtDNA replication or mtDNA-encoded protein synthesis </w:t>
      </w:r>
      <w:r w:rsidR="005C20DF">
        <w:rPr>
          <w:noProof/>
          <w:color w:val="000000"/>
          <w:sz w:val="22"/>
          <w:szCs w:val="22"/>
          <w:lang w:val="en-GB"/>
        </w:rPr>
        <w:t xml:space="preserve"> </w:t>
      </w:r>
      <w:sdt>
        <w:sdtPr>
          <w:rPr>
            <w:noProof/>
            <w:color w:val="000000"/>
            <w:sz w:val="22"/>
            <w:szCs w:val="22"/>
            <w:lang w:val="en-GB"/>
          </w:rPr>
          <w:id w:val="506256350"/>
          <w:citation/>
        </w:sdtPr>
        <w:sdtEndPr/>
        <w:sdtContent>
          <w:r w:rsidR="00F21C43">
            <w:rPr>
              <w:noProof/>
              <w:color w:val="000000"/>
              <w:sz w:val="22"/>
              <w:szCs w:val="22"/>
              <w:lang w:val="en-GB"/>
            </w:rPr>
            <w:fldChar w:fldCharType="begin"/>
          </w:r>
          <w:r w:rsidR="00F21C43">
            <w:rPr>
              <w:noProof/>
              <w:color w:val="000000"/>
              <w:sz w:val="22"/>
              <w:szCs w:val="22"/>
              <w:lang w:val="en-GB"/>
            </w:rPr>
            <w:instrText xml:space="preserve"> CITATION Nad12 \l 2057 </w:instrText>
          </w:r>
          <w:r w:rsidR="00F21C43">
            <w:rPr>
              <w:noProof/>
              <w:color w:val="000000"/>
              <w:sz w:val="22"/>
              <w:szCs w:val="22"/>
              <w:lang w:val="en-GB"/>
            </w:rPr>
            <w:fldChar w:fldCharType="separate"/>
          </w:r>
          <w:r w:rsidR="002D6947" w:rsidRPr="002D6947">
            <w:rPr>
              <w:noProof/>
              <w:color w:val="000000"/>
              <w:sz w:val="22"/>
              <w:szCs w:val="22"/>
              <w:lang w:val="en-GB"/>
            </w:rPr>
            <w:t>[26]</w:t>
          </w:r>
          <w:r w:rsidR="00F21C43">
            <w:rPr>
              <w:noProof/>
              <w:color w:val="000000"/>
              <w:sz w:val="22"/>
              <w:szCs w:val="22"/>
              <w:lang w:val="en-GB"/>
            </w:rPr>
            <w:fldChar w:fldCharType="end"/>
          </w:r>
        </w:sdtContent>
      </w:sdt>
      <w:r w:rsidR="00D8700F">
        <w:rPr>
          <w:noProof/>
          <w:color w:val="000000"/>
          <w:sz w:val="22"/>
          <w:szCs w:val="22"/>
          <w:lang w:val="en-GB"/>
        </w:rPr>
        <w:t xml:space="preserve">, </w:t>
      </w:r>
      <w:r w:rsidR="006835DF">
        <w:rPr>
          <w:noProof/>
          <w:color w:val="000000"/>
          <w:sz w:val="22"/>
          <w:szCs w:val="22"/>
          <w:lang w:val="en-GB"/>
        </w:rPr>
        <w:t xml:space="preserve">or indirectly through measurement of </w:t>
      </w:r>
      <w:r w:rsidR="00D8700F">
        <w:rPr>
          <w:noProof/>
          <w:color w:val="000000"/>
          <w:sz w:val="22"/>
          <w:szCs w:val="22"/>
          <w:lang w:val="en-GB"/>
        </w:rPr>
        <w:t>mtDNA and mtRNA levels</w:t>
      </w:r>
      <w:r w:rsidR="00E12E76" w:rsidRPr="000016FB">
        <w:rPr>
          <w:noProof/>
          <w:color w:val="000000"/>
          <w:sz w:val="22"/>
          <w:szCs w:val="22"/>
          <w:lang w:val="en-US"/>
        </w:rPr>
        <w:t>.</w:t>
      </w:r>
      <w:r w:rsidR="00845762">
        <w:rPr>
          <w:noProof/>
          <w:color w:val="000000"/>
          <w:sz w:val="22"/>
          <w:szCs w:val="22"/>
          <w:lang w:val="en-US"/>
        </w:rPr>
        <w:t xml:space="preserve"> </w:t>
      </w:r>
      <w:r w:rsidR="00936857">
        <w:rPr>
          <w:noProof/>
          <w:sz w:val="22"/>
          <w:szCs w:val="22"/>
          <w:lang w:val="en-US"/>
        </w:rPr>
        <w:t>However, d</w:t>
      </w:r>
      <w:r w:rsidR="00936857">
        <w:rPr>
          <w:noProof/>
          <w:color w:val="000000"/>
          <w:sz w:val="22"/>
          <w:szCs w:val="22"/>
          <w:lang w:val="en-US"/>
        </w:rPr>
        <w:t xml:space="preserve">espite evidence of the impact of many drugs on mitochondrial function in </w:t>
      </w:r>
      <w:r w:rsidR="00936857" w:rsidRPr="004C2DB1">
        <w:rPr>
          <w:i/>
          <w:noProof/>
          <w:color w:val="000000"/>
          <w:sz w:val="22"/>
          <w:szCs w:val="22"/>
          <w:lang w:val="en-US"/>
        </w:rPr>
        <w:t>in vitro</w:t>
      </w:r>
      <w:r w:rsidR="00936857">
        <w:rPr>
          <w:noProof/>
          <w:color w:val="000000"/>
          <w:sz w:val="22"/>
          <w:szCs w:val="22"/>
          <w:lang w:val="en-US"/>
        </w:rPr>
        <w:t>, l</w:t>
      </w:r>
      <w:r w:rsidR="00936857" w:rsidRPr="000016FB">
        <w:rPr>
          <w:noProof/>
          <w:color w:val="000000"/>
          <w:sz w:val="22"/>
          <w:szCs w:val="22"/>
          <w:lang w:val="en-US"/>
        </w:rPr>
        <w:t xml:space="preserve">ittle information on </w:t>
      </w:r>
      <w:r w:rsidR="00936857" w:rsidRPr="00CD38AB">
        <w:rPr>
          <w:i/>
          <w:noProof/>
          <w:color w:val="000000"/>
          <w:sz w:val="22"/>
          <w:szCs w:val="22"/>
          <w:lang w:val="en-US"/>
        </w:rPr>
        <w:t>in vitro</w:t>
      </w:r>
      <w:r w:rsidR="00936857" w:rsidRPr="000016FB">
        <w:rPr>
          <w:noProof/>
          <w:color w:val="000000"/>
          <w:sz w:val="22"/>
          <w:szCs w:val="22"/>
          <w:lang w:val="en-US"/>
        </w:rPr>
        <w:t>-</w:t>
      </w:r>
      <w:r w:rsidR="00936857" w:rsidRPr="00CD38AB">
        <w:rPr>
          <w:i/>
          <w:noProof/>
          <w:color w:val="000000"/>
          <w:sz w:val="22"/>
          <w:szCs w:val="22"/>
          <w:lang w:val="en-US"/>
        </w:rPr>
        <w:t>in vivo</w:t>
      </w:r>
      <w:r w:rsidR="00936857" w:rsidRPr="000016FB">
        <w:rPr>
          <w:noProof/>
          <w:color w:val="000000"/>
          <w:sz w:val="22"/>
          <w:szCs w:val="22"/>
          <w:lang w:val="en-US"/>
        </w:rPr>
        <w:t xml:space="preserve"> </w:t>
      </w:r>
      <w:r w:rsidR="00936857" w:rsidRPr="000016FB">
        <w:rPr>
          <w:noProof/>
          <w:sz w:val="22"/>
          <w:szCs w:val="22"/>
          <w:lang w:val="en-US"/>
        </w:rPr>
        <w:t>correlation</w:t>
      </w:r>
      <w:r w:rsidR="00936857" w:rsidRPr="000016FB">
        <w:rPr>
          <w:noProof/>
          <w:sz w:val="22"/>
          <w:szCs w:val="22"/>
          <w:lang w:val="en-GB"/>
        </w:rPr>
        <w:t xml:space="preserve"> </w:t>
      </w:r>
      <w:r w:rsidR="00936857">
        <w:rPr>
          <w:noProof/>
          <w:sz w:val="22"/>
          <w:szCs w:val="22"/>
          <w:lang w:val="en-GB"/>
        </w:rPr>
        <w:t>of mitochondrial toxi</w:t>
      </w:r>
      <w:r w:rsidR="00031050">
        <w:rPr>
          <w:noProof/>
          <w:sz w:val="22"/>
          <w:szCs w:val="22"/>
          <w:lang w:val="en-GB"/>
        </w:rPr>
        <w:t xml:space="preserve">cants </w:t>
      </w:r>
      <w:r w:rsidR="00936857">
        <w:rPr>
          <w:noProof/>
          <w:sz w:val="22"/>
          <w:szCs w:val="22"/>
          <w:lang w:val="en-GB"/>
        </w:rPr>
        <w:t xml:space="preserve">has been reported to date, possibly in part due to the technical challenges associated with existing assays and the high rates of false positives in these assays </w:t>
      </w:r>
      <w:r w:rsidR="00031050">
        <w:rPr>
          <w:noProof/>
          <w:sz w:val="22"/>
          <w:szCs w:val="22"/>
          <w:lang w:val="en-GB"/>
        </w:rPr>
        <w:t xml:space="preserve">due to the </w:t>
      </w:r>
      <w:r w:rsidR="00724F62">
        <w:rPr>
          <w:noProof/>
          <w:sz w:val="22"/>
          <w:szCs w:val="22"/>
          <w:lang w:val="en-GB"/>
        </w:rPr>
        <w:t>high drug concentrations</w:t>
      </w:r>
      <w:r w:rsidR="00031050">
        <w:rPr>
          <w:noProof/>
          <w:sz w:val="22"/>
          <w:szCs w:val="22"/>
          <w:lang w:val="en-GB"/>
        </w:rPr>
        <w:t xml:space="preserve"> used</w:t>
      </w:r>
      <w:r w:rsidR="00D0358F">
        <w:rPr>
          <w:noProof/>
          <w:sz w:val="22"/>
          <w:szCs w:val="22"/>
          <w:lang w:val="en-GB"/>
        </w:rPr>
        <w:t xml:space="preserve"> </w:t>
      </w:r>
      <w:sdt>
        <w:sdtPr>
          <w:rPr>
            <w:noProof/>
            <w:sz w:val="22"/>
            <w:szCs w:val="22"/>
            <w:lang w:val="en-GB"/>
          </w:rPr>
          <w:id w:val="-1198467688"/>
          <w:citation/>
        </w:sdtPr>
        <w:sdtEndPr/>
        <w:sdtContent>
          <w:r w:rsidR="00936857">
            <w:rPr>
              <w:noProof/>
              <w:sz w:val="22"/>
              <w:szCs w:val="22"/>
              <w:lang w:val="en-GB"/>
            </w:rPr>
            <w:fldChar w:fldCharType="begin"/>
          </w:r>
          <w:r w:rsidR="00936857">
            <w:rPr>
              <w:noProof/>
              <w:sz w:val="22"/>
              <w:szCs w:val="22"/>
              <w:lang w:val="en-GB"/>
            </w:rPr>
            <w:instrText xml:space="preserve">CITATION Weg07 \l 2057 </w:instrText>
          </w:r>
          <w:r w:rsidR="00936857">
            <w:rPr>
              <w:noProof/>
              <w:sz w:val="22"/>
              <w:szCs w:val="22"/>
              <w:lang w:val="en-GB"/>
            </w:rPr>
            <w:fldChar w:fldCharType="separate"/>
          </w:r>
          <w:r w:rsidR="002D6947" w:rsidRPr="002D6947">
            <w:rPr>
              <w:noProof/>
              <w:sz w:val="22"/>
              <w:szCs w:val="22"/>
              <w:lang w:val="en-GB"/>
            </w:rPr>
            <w:t>[38]</w:t>
          </w:r>
          <w:r w:rsidR="00936857">
            <w:rPr>
              <w:noProof/>
              <w:sz w:val="22"/>
              <w:szCs w:val="22"/>
              <w:lang w:val="en-GB"/>
            </w:rPr>
            <w:fldChar w:fldCharType="end"/>
          </w:r>
        </w:sdtContent>
      </w:sdt>
      <w:r w:rsidR="00936857">
        <w:rPr>
          <w:noProof/>
          <w:sz w:val="22"/>
          <w:szCs w:val="22"/>
          <w:lang w:val="en-GB"/>
        </w:rPr>
        <w:t xml:space="preserve"> </w:t>
      </w:r>
      <w:sdt>
        <w:sdtPr>
          <w:rPr>
            <w:noProof/>
            <w:sz w:val="22"/>
            <w:szCs w:val="22"/>
            <w:lang w:val="en-GB"/>
          </w:rPr>
          <w:id w:val="-1548831578"/>
          <w:citation/>
        </w:sdtPr>
        <w:sdtEndPr/>
        <w:sdtContent>
          <w:r w:rsidR="00936857">
            <w:rPr>
              <w:noProof/>
              <w:sz w:val="22"/>
              <w:szCs w:val="22"/>
              <w:lang w:val="en-GB"/>
            </w:rPr>
            <w:fldChar w:fldCharType="begin"/>
          </w:r>
          <w:r w:rsidR="00936857">
            <w:rPr>
              <w:noProof/>
              <w:sz w:val="22"/>
              <w:szCs w:val="22"/>
              <w:lang w:val="en-GB"/>
            </w:rPr>
            <w:instrText xml:space="preserve"> CITATION Lia13 \l 2057 </w:instrText>
          </w:r>
          <w:r w:rsidR="00936857">
            <w:rPr>
              <w:noProof/>
              <w:sz w:val="22"/>
              <w:szCs w:val="22"/>
              <w:lang w:val="en-GB"/>
            </w:rPr>
            <w:fldChar w:fldCharType="separate"/>
          </w:r>
          <w:r w:rsidR="002D6947" w:rsidRPr="002D6947">
            <w:rPr>
              <w:noProof/>
              <w:sz w:val="22"/>
              <w:szCs w:val="22"/>
              <w:lang w:val="en-GB"/>
            </w:rPr>
            <w:t>[39]</w:t>
          </w:r>
          <w:r w:rsidR="00936857">
            <w:rPr>
              <w:noProof/>
              <w:sz w:val="22"/>
              <w:szCs w:val="22"/>
              <w:lang w:val="en-GB"/>
            </w:rPr>
            <w:fldChar w:fldCharType="end"/>
          </w:r>
        </w:sdtContent>
      </w:sdt>
      <w:sdt>
        <w:sdtPr>
          <w:rPr>
            <w:noProof/>
            <w:sz w:val="22"/>
            <w:szCs w:val="22"/>
            <w:lang w:val="en-GB"/>
          </w:rPr>
          <w:id w:val="-1212424061"/>
          <w:citation/>
        </w:sdtPr>
        <w:sdtEndPr/>
        <w:sdtContent>
          <w:r w:rsidR="00936857">
            <w:rPr>
              <w:noProof/>
              <w:sz w:val="22"/>
              <w:szCs w:val="22"/>
              <w:lang w:val="en-GB"/>
            </w:rPr>
            <w:fldChar w:fldCharType="begin"/>
          </w:r>
          <w:r w:rsidR="00936857">
            <w:rPr>
              <w:noProof/>
              <w:sz w:val="22"/>
              <w:szCs w:val="22"/>
              <w:lang w:val="en-GB"/>
            </w:rPr>
            <w:instrText xml:space="preserve">CITATION Haa08 \l 2057 </w:instrText>
          </w:r>
          <w:r w:rsidR="00936857">
            <w:rPr>
              <w:noProof/>
              <w:sz w:val="22"/>
              <w:szCs w:val="22"/>
              <w:lang w:val="en-GB"/>
            </w:rPr>
            <w:fldChar w:fldCharType="separate"/>
          </w:r>
          <w:r w:rsidR="002D6947">
            <w:rPr>
              <w:noProof/>
              <w:sz w:val="22"/>
              <w:szCs w:val="22"/>
              <w:lang w:val="en-GB"/>
            </w:rPr>
            <w:t xml:space="preserve"> </w:t>
          </w:r>
          <w:r w:rsidR="002D6947" w:rsidRPr="002D6947">
            <w:rPr>
              <w:noProof/>
              <w:sz w:val="22"/>
              <w:szCs w:val="22"/>
              <w:lang w:val="en-GB"/>
            </w:rPr>
            <w:t>[40]</w:t>
          </w:r>
          <w:r w:rsidR="00936857">
            <w:rPr>
              <w:noProof/>
              <w:sz w:val="22"/>
              <w:szCs w:val="22"/>
              <w:lang w:val="en-GB"/>
            </w:rPr>
            <w:fldChar w:fldCharType="end"/>
          </w:r>
        </w:sdtContent>
      </w:sdt>
      <w:r w:rsidR="00936857">
        <w:rPr>
          <w:noProof/>
          <w:sz w:val="22"/>
          <w:szCs w:val="22"/>
          <w:lang w:val="en-GB"/>
        </w:rPr>
        <w:t xml:space="preserve"> </w:t>
      </w:r>
      <w:sdt>
        <w:sdtPr>
          <w:rPr>
            <w:noProof/>
            <w:sz w:val="22"/>
            <w:szCs w:val="22"/>
            <w:lang w:val="en-GB"/>
          </w:rPr>
          <w:id w:val="2034293654"/>
          <w:citation/>
        </w:sdtPr>
        <w:sdtEndPr/>
        <w:sdtContent>
          <w:r w:rsidR="00936857">
            <w:rPr>
              <w:noProof/>
              <w:sz w:val="22"/>
              <w:szCs w:val="22"/>
              <w:lang w:val="en-GB"/>
            </w:rPr>
            <w:fldChar w:fldCharType="begin"/>
          </w:r>
          <w:r w:rsidR="00936857">
            <w:rPr>
              <w:noProof/>
              <w:sz w:val="22"/>
              <w:szCs w:val="22"/>
              <w:lang w:val="en-GB"/>
            </w:rPr>
            <w:instrText xml:space="preserve">CITATION Ale14 \l 1036 </w:instrText>
          </w:r>
          <w:r w:rsidR="00936857">
            <w:rPr>
              <w:noProof/>
              <w:sz w:val="22"/>
              <w:szCs w:val="22"/>
              <w:lang w:val="en-GB"/>
            </w:rPr>
            <w:fldChar w:fldCharType="separate"/>
          </w:r>
          <w:r w:rsidR="002D6947" w:rsidRPr="002D6947">
            <w:rPr>
              <w:noProof/>
              <w:sz w:val="22"/>
              <w:szCs w:val="22"/>
              <w:lang w:val="en-GB"/>
            </w:rPr>
            <w:t>[41]</w:t>
          </w:r>
          <w:r w:rsidR="00936857">
            <w:rPr>
              <w:noProof/>
              <w:sz w:val="22"/>
              <w:szCs w:val="22"/>
              <w:lang w:val="en-GB"/>
            </w:rPr>
            <w:fldChar w:fldCharType="end"/>
          </w:r>
        </w:sdtContent>
      </w:sdt>
      <w:r w:rsidR="00936857">
        <w:rPr>
          <w:noProof/>
          <w:sz w:val="22"/>
          <w:szCs w:val="22"/>
          <w:lang w:val="en-GB"/>
        </w:rPr>
        <w:t>.</w:t>
      </w:r>
      <w:r w:rsidR="002733C7">
        <w:rPr>
          <w:noProof/>
          <w:sz w:val="22"/>
          <w:szCs w:val="22"/>
          <w:lang w:val="en-GB"/>
        </w:rPr>
        <w:t xml:space="preserve"> </w:t>
      </w:r>
      <w:r w:rsidR="002733C7" w:rsidRPr="0023281F">
        <w:rPr>
          <w:noProof/>
          <w:color w:val="000000"/>
          <w:sz w:val="22"/>
          <w:szCs w:val="22"/>
          <w:lang w:val="en-US"/>
        </w:rPr>
        <w:t xml:space="preserve">Recent developments might improve the </w:t>
      </w:r>
      <w:r w:rsidR="002733C7" w:rsidRPr="004A317E">
        <w:rPr>
          <w:i/>
          <w:noProof/>
          <w:color w:val="000000"/>
          <w:sz w:val="22"/>
          <w:szCs w:val="22"/>
          <w:lang w:val="en-US"/>
        </w:rPr>
        <w:t>in vitro</w:t>
      </w:r>
      <w:r w:rsidR="00D0358F">
        <w:rPr>
          <w:i/>
          <w:noProof/>
          <w:color w:val="000000"/>
          <w:sz w:val="22"/>
          <w:szCs w:val="22"/>
          <w:lang w:val="en-US"/>
        </w:rPr>
        <w:t>-</w:t>
      </w:r>
      <w:r w:rsidR="002733C7" w:rsidRPr="004A317E">
        <w:rPr>
          <w:i/>
          <w:noProof/>
          <w:color w:val="000000"/>
          <w:sz w:val="22"/>
          <w:szCs w:val="22"/>
          <w:lang w:val="en-US"/>
        </w:rPr>
        <w:t>in vivo</w:t>
      </w:r>
      <w:r w:rsidR="002733C7" w:rsidRPr="0023281F">
        <w:rPr>
          <w:noProof/>
          <w:color w:val="000000"/>
          <w:sz w:val="22"/>
          <w:szCs w:val="22"/>
          <w:lang w:val="en-US"/>
        </w:rPr>
        <w:t xml:space="preserve"> correlation</w:t>
      </w:r>
      <w:r w:rsidR="00D0358F">
        <w:rPr>
          <w:noProof/>
          <w:color w:val="000000"/>
          <w:sz w:val="22"/>
          <w:szCs w:val="22"/>
          <w:lang w:val="en-US"/>
        </w:rPr>
        <w:t xml:space="preserve"> </w:t>
      </w:r>
      <w:r w:rsidR="00031050">
        <w:rPr>
          <w:noProof/>
          <w:color w:val="000000"/>
          <w:sz w:val="22"/>
          <w:szCs w:val="22"/>
          <w:lang w:val="en-US"/>
        </w:rPr>
        <w:t xml:space="preserve">through the use of </w:t>
      </w:r>
      <w:r w:rsidR="002733C7" w:rsidRPr="0023281F">
        <w:rPr>
          <w:noProof/>
          <w:color w:val="000000"/>
          <w:sz w:val="22"/>
          <w:szCs w:val="22"/>
          <w:lang w:val="en-US"/>
        </w:rPr>
        <w:t xml:space="preserve">cell </w:t>
      </w:r>
      <w:r w:rsidR="002733C7">
        <w:rPr>
          <w:noProof/>
          <w:color w:val="000000"/>
          <w:sz w:val="22"/>
          <w:szCs w:val="22"/>
          <w:lang w:val="en-US"/>
        </w:rPr>
        <w:t xml:space="preserve">models </w:t>
      </w:r>
      <w:r w:rsidR="00724F62">
        <w:rPr>
          <w:noProof/>
          <w:color w:val="000000"/>
          <w:sz w:val="22"/>
          <w:szCs w:val="22"/>
          <w:lang w:val="en-US"/>
        </w:rPr>
        <w:t xml:space="preserve">amenable to incubation </w:t>
      </w:r>
      <w:r w:rsidR="00C02038">
        <w:rPr>
          <w:noProof/>
          <w:color w:val="000000"/>
          <w:sz w:val="22"/>
          <w:szCs w:val="22"/>
          <w:lang w:val="en-US"/>
        </w:rPr>
        <w:t>with</w:t>
      </w:r>
      <w:r w:rsidR="00724F62">
        <w:rPr>
          <w:noProof/>
          <w:color w:val="000000"/>
          <w:sz w:val="22"/>
          <w:szCs w:val="22"/>
          <w:lang w:val="en-US"/>
        </w:rPr>
        <w:t xml:space="preserve"> drugs </w:t>
      </w:r>
      <w:r w:rsidR="004A317E">
        <w:rPr>
          <w:noProof/>
          <w:color w:val="000000"/>
          <w:sz w:val="22"/>
          <w:szCs w:val="22"/>
          <w:lang w:val="en-US"/>
        </w:rPr>
        <w:t xml:space="preserve">of between </w:t>
      </w:r>
      <w:r w:rsidR="00724F62">
        <w:rPr>
          <w:noProof/>
          <w:color w:val="000000"/>
          <w:sz w:val="22"/>
          <w:szCs w:val="22"/>
          <w:lang w:val="en-US"/>
        </w:rPr>
        <w:t>10</w:t>
      </w:r>
      <w:r w:rsidR="002733C7">
        <w:rPr>
          <w:noProof/>
          <w:color w:val="000000"/>
          <w:sz w:val="22"/>
          <w:szCs w:val="22"/>
          <w:lang w:val="en-US"/>
        </w:rPr>
        <w:t>-15 days</w:t>
      </w:r>
      <w:r w:rsidR="00C02038">
        <w:rPr>
          <w:noProof/>
          <w:color w:val="000000"/>
          <w:sz w:val="22"/>
          <w:szCs w:val="22"/>
          <w:lang w:val="en-US"/>
        </w:rPr>
        <w:t xml:space="preserve"> at </w:t>
      </w:r>
      <w:r w:rsidR="004A317E">
        <w:rPr>
          <w:noProof/>
          <w:color w:val="000000"/>
          <w:sz w:val="22"/>
          <w:szCs w:val="22"/>
          <w:lang w:val="en-US"/>
        </w:rPr>
        <w:t>therapeutic</w:t>
      </w:r>
      <w:r w:rsidR="00C02038">
        <w:rPr>
          <w:noProof/>
          <w:color w:val="000000"/>
          <w:sz w:val="22"/>
          <w:szCs w:val="22"/>
          <w:lang w:val="en-US"/>
        </w:rPr>
        <w:t xml:space="preserve"> relevant concentrations</w:t>
      </w:r>
      <w:r w:rsidR="002733C7" w:rsidRPr="0023281F">
        <w:rPr>
          <w:noProof/>
          <w:color w:val="000000"/>
          <w:sz w:val="22"/>
          <w:szCs w:val="22"/>
          <w:lang w:val="en-US"/>
        </w:rPr>
        <w:t xml:space="preserve">. </w:t>
      </w:r>
      <w:r w:rsidR="008A0325">
        <w:rPr>
          <w:noProof/>
          <w:color w:val="000000"/>
          <w:sz w:val="22"/>
          <w:szCs w:val="22"/>
          <w:lang w:val="en-US"/>
        </w:rPr>
        <w:t>Such changes may</w:t>
      </w:r>
      <w:r w:rsidR="00724F62">
        <w:rPr>
          <w:noProof/>
          <w:color w:val="000000"/>
          <w:sz w:val="22"/>
          <w:szCs w:val="22"/>
          <w:lang w:val="en-US"/>
        </w:rPr>
        <w:t xml:space="preserve"> reflect</w:t>
      </w:r>
      <w:r w:rsidR="002733C7" w:rsidRPr="0023281F">
        <w:rPr>
          <w:noProof/>
          <w:color w:val="000000"/>
          <w:sz w:val="22"/>
          <w:szCs w:val="22"/>
          <w:lang w:val="en-US"/>
        </w:rPr>
        <w:t xml:space="preserve"> </w:t>
      </w:r>
      <w:r w:rsidR="00724F62">
        <w:rPr>
          <w:noProof/>
          <w:color w:val="000000"/>
          <w:sz w:val="22"/>
          <w:szCs w:val="22"/>
          <w:lang w:val="en-US"/>
        </w:rPr>
        <w:t xml:space="preserve">greater relevance </w:t>
      </w:r>
      <w:r w:rsidR="004A317E">
        <w:rPr>
          <w:noProof/>
          <w:color w:val="000000"/>
          <w:sz w:val="22"/>
          <w:szCs w:val="22"/>
          <w:lang w:val="en-US"/>
        </w:rPr>
        <w:t xml:space="preserve">to the </w:t>
      </w:r>
      <w:r w:rsidR="00724F62" w:rsidRPr="008A0325">
        <w:rPr>
          <w:i/>
          <w:noProof/>
          <w:color w:val="000000"/>
          <w:sz w:val="22"/>
          <w:szCs w:val="22"/>
          <w:lang w:val="en-US"/>
        </w:rPr>
        <w:t>in vivo</w:t>
      </w:r>
      <w:r w:rsidR="002733C7" w:rsidRPr="0023281F">
        <w:rPr>
          <w:noProof/>
          <w:color w:val="000000"/>
          <w:sz w:val="22"/>
          <w:szCs w:val="22"/>
          <w:lang w:val="en-US"/>
        </w:rPr>
        <w:t xml:space="preserve"> </w:t>
      </w:r>
      <w:r w:rsidR="004A317E">
        <w:rPr>
          <w:noProof/>
          <w:color w:val="000000"/>
          <w:sz w:val="22"/>
          <w:szCs w:val="22"/>
          <w:lang w:val="en-US"/>
        </w:rPr>
        <w:t xml:space="preserve">situation </w:t>
      </w:r>
      <w:sdt>
        <w:sdtPr>
          <w:rPr>
            <w:noProof/>
            <w:color w:val="000000"/>
            <w:sz w:val="22"/>
            <w:szCs w:val="22"/>
            <w:lang w:val="en-US"/>
          </w:rPr>
          <w:id w:val="1393466839"/>
          <w:citation/>
        </w:sdtPr>
        <w:sdtEndPr/>
        <w:sdtContent>
          <w:r w:rsidR="008A0325">
            <w:rPr>
              <w:noProof/>
              <w:color w:val="000000"/>
              <w:sz w:val="22"/>
              <w:szCs w:val="22"/>
              <w:lang w:val="en-US"/>
            </w:rPr>
            <w:fldChar w:fldCharType="begin"/>
          </w:r>
          <w:r w:rsidR="008A0325">
            <w:rPr>
              <w:noProof/>
              <w:color w:val="000000"/>
              <w:sz w:val="22"/>
              <w:szCs w:val="22"/>
              <w:lang w:val="en-GB"/>
            </w:rPr>
            <w:instrText xml:space="preserve"> CITATION Dyk08 \l 2057 </w:instrText>
          </w:r>
          <w:r w:rsidR="008A0325">
            <w:rPr>
              <w:noProof/>
              <w:color w:val="000000"/>
              <w:sz w:val="22"/>
              <w:szCs w:val="22"/>
              <w:lang w:val="en-US"/>
            </w:rPr>
            <w:fldChar w:fldCharType="separate"/>
          </w:r>
          <w:r w:rsidR="002D6947" w:rsidRPr="002D6947">
            <w:rPr>
              <w:noProof/>
              <w:color w:val="000000"/>
              <w:sz w:val="22"/>
              <w:szCs w:val="22"/>
              <w:lang w:val="en-GB"/>
            </w:rPr>
            <w:t>[42]</w:t>
          </w:r>
          <w:r w:rsidR="008A0325">
            <w:rPr>
              <w:noProof/>
              <w:color w:val="000000"/>
              <w:sz w:val="22"/>
              <w:szCs w:val="22"/>
              <w:lang w:val="en-US"/>
            </w:rPr>
            <w:fldChar w:fldCharType="end"/>
          </w:r>
        </w:sdtContent>
      </w:sdt>
      <w:r w:rsidR="00943078">
        <w:rPr>
          <w:noProof/>
          <w:color w:val="000000"/>
          <w:sz w:val="22"/>
          <w:szCs w:val="22"/>
          <w:lang w:val="en-US"/>
        </w:rPr>
        <w:t xml:space="preserve"> </w:t>
      </w:r>
      <w:r w:rsidR="00031050">
        <w:rPr>
          <w:noProof/>
          <w:color w:val="000000"/>
          <w:sz w:val="22"/>
          <w:szCs w:val="22"/>
          <w:lang w:val="en-US"/>
        </w:rPr>
        <w:t xml:space="preserve">and </w:t>
      </w:r>
      <w:r w:rsidR="008A0325">
        <w:rPr>
          <w:noProof/>
          <w:color w:val="000000"/>
          <w:sz w:val="22"/>
          <w:szCs w:val="22"/>
          <w:lang w:val="en-US"/>
        </w:rPr>
        <w:t xml:space="preserve">can address issues </w:t>
      </w:r>
      <w:r w:rsidR="00031050">
        <w:rPr>
          <w:noProof/>
          <w:color w:val="000000"/>
          <w:sz w:val="22"/>
          <w:szCs w:val="22"/>
          <w:lang w:val="en-US"/>
        </w:rPr>
        <w:t xml:space="preserve">associated </w:t>
      </w:r>
      <w:r w:rsidR="008A0325">
        <w:rPr>
          <w:noProof/>
          <w:color w:val="000000"/>
          <w:sz w:val="22"/>
          <w:szCs w:val="22"/>
          <w:lang w:val="en-US"/>
        </w:rPr>
        <w:t xml:space="preserve">with </w:t>
      </w:r>
      <w:r w:rsidR="00031050">
        <w:rPr>
          <w:noProof/>
          <w:color w:val="000000"/>
          <w:sz w:val="22"/>
          <w:szCs w:val="22"/>
          <w:lang w:val="en-US"/>
        </w:rPr>
        <w:t xml:space="preserve">the </w:t>
      </w:r>
      <w:r w:rsidR="008A0325">
        <w:rPr>
          <w:noProof/>
          <w:color w:val="000000"/>
          <w:sz w:val="22"/>
          <w:szCs w:val="22"/>
          <w:lang w:val="en-US"/>
        </w:rPr>
        <w:t>use of</w:t>
      </w:r>
      <w:r w:rsidR="00724F62">
        <w:rPr>
          <w:noProof/>
          <w:color w:val="000000"/>
          <w:sz w:val="22"/>
          <w:szCs w:val="22"/>
          <w:lang w:val="en-US"/>
        </w:rPr>
        <w:t xml:space="preserve"> short-</w:t>
      </w:r>
      <w:r w:rsidR="002733C7" w:rsidRPr="0023281F">
        <w:rPr>
          <w:noProof/>
          <w:color w:val="000000"/>
          <w:sz w:val="22"/>
          <w:szCs w:val="22"/>
          <w:lang w:val="en-US"/>
        </w:rPr>
        <w:t xml:space="preserve">term assays </w:t>
      </w:r>
      <w:r w:rsidR="00031050">
        <w:rPr>
          <w:noProof/>
          <w:color w:val="000000"/>
          <w:sz w:val="22"/>
          <w:szCs w:val="22"/>
          <w:lang w:val="en-US"/>
        </w:rPr>
        <w:t>and</w:t>
      </w:r>
      <w:r w:rsidR="004A317E">
        <w:rPr>
          <w:noProof/>
          <w:color w:val="000000"/>
          <w:sz w:val="22"/>
          <w:szCs w:val="22"/>
          <w:lang w:val="en-US"/>
        </w:rPr>
        <w:t xml:space="preserve"> </w:t>
      </w:r>
      <w:r w:rsidR="002733C7" w:rsidRPr="0023281F">
        <w:rPr>
          <w:noProof/>
          <w:color w:val="000000"/>
          <w:sz w:val="22"/>
          <w:szCs w:val="22"/>
          <w:lang w:val="en-US"/>
        </w:rPr>
        <w:t xml:space="preserve">high </w:t>
      </w:r>
      <w:r w:rsidR="004A317E">
        <w:rPr>
          <w:noProof/>
          <w:color w:val="000000"/>
          <w:sz w:val="22"/>
          <w:szCs w:val="22"/>
          <w:lang w:val="en-US"/>
        </w:rPr>
        <w:t>drug concentrations</w:t>
      </w:r>
      <w:r w:rsidR="002733C7" w:rsidRPr="0023281F">
        <w:rPr>
          <w:noProof/>
          <w:color w:val="000000"/>
          <w:sz w:val="22"/>
          <w:szCs w:val="22"/>
          <w:lang w:val="en-US"/>
        </w:rPr>
        <w:t xml:space="preserve">. </w:t>
      </w:r>
    </w:p>
    <w:p w14:paraId="323A919B" w14:textId="3C10519B" w:rsidR="00936857" w:rsidRPr="008A0325" w:rsidRDefault="00936857" w:rsidP="00936857">
      <w:pPr>
        <w:spacing w:line="480" w:lineRule="auto"/>
        <w:jc w:val="both"/>
        <w:rPr>
          <w:noProof/>
          <w:sz w:val="22"/>
          <w:szCs w:val="22"/>
          <w:lang w:val="en-US"/>
        </w:rPr>
      </w:pPr>
    </w:p>
    <w:p w14:paraId="7B3A5CD4" w14:textId="77777777" w:rsidR="00A736FA" w:rsidRPr="007553A2" w:rsidRDefault="00A736FA" w:rsidP="006730B6">
      <w:pPr>
        <w:spacing w:line="480" w:lineRule="auto"/>
        <w:jc w:val="both"/>
        <w:rPr>
          <w:noProof/>
          <w:color w:val="000000"/>
          <w:sz w:val="22"/>
          <w:szCs w:val="22"/>
          <w:lang w:val="en-US"/>
        </w:rPr>
      </w:pPr>
    </w:p>
    <w:p w14:paraId="0908272E" w14:textId="1B8A9C9C" w:rsidR="000959D0" w:rsidRDefault="00173D45" w:rsidP="006730B6">
      <w:pPr>
        <w:spacing w:line="480" w:lineRule="auto"/>
        <w:jc w:val="both"/>
        <w:rPr>
          <w:i/>
          <w:noProof/>
          <w:sz w:val="22"/>
          <w:szCs w:val="22"/>
          <w:lang w:val="en-US"/>
        </w:rPr>
      </w:pPr>
      <w:r>
        <w:rPr>
          <w:i/>
          <w:noProof/>
          <w:sz w:val="22"/>
          <w:szCs w:val="22"/>
          <w:lang w:val="en-US"/>
        </w:rPr>
        <w:t>2.2.3.</w:t>
      </w:r>
      <w:r w:rsidR="000959D0" w:rsidRPr="000959D0">
        <w:rPr>
          <w:i/>
          <w:noProof/>
          <w:sz w:val="22"/>
          <w:szCs w:val="22"/>
          <w:lang w:val="en-US"/>
        </w:rPr>
        <w:t xml:space="preserve"> </w:t>
      </w:r>
      <w:r w:rsidR="00033190" w:rsidRPr="000959D0">
        <w:rPr>
          <w:i/>
          <w:noProof/>
          <w:sz w:val="22"/>
          <w:szCs w:val="22"/>
          <w:lang w:val="en-US"/>
        </w:rPr>
        <w:t>In vivo models for the de</w:t>
      </w:r>
      <w:r w:rsidR="00175A04" w:rsidRPr="000959D0">
        <w:rPr>
          <w:i/>
          <w:noProof/>
          <w:sz w:val="22"/>
          <w:szCs w:val="22"/>
          <w:lang w:val="en-US"/>
        </w:rPr>
        <w:t>te</w:t>
      </w:r>
      <w:r w:rsidR="00033190" w:rsidRPr="000959D0">
        <w:rPr>
          <w:i/>
          <w:noProof/>
          <w:sz w:val="22"/>
          <w:szCs w:val="22"/>
          <w:lang w:val="en-US"/>
        </w:rPr>
        <w:t>ction of mitochondrial toxicity</w:t>
      </w:r>
    </w:p>
    <w:p w14:paraId="2DEB87B9" w14:textId="16FA5F7E" w:rsidR="00031050" w:rsidRPr="00061BD7" w:rsidRDefault="005759EB" w:rsidP="00FC3B5A">
      <w:pPr>
        <w:spacing w:line="480" w:lineRule="auto"/>
        <w:jc w:val="both"/>
        <w:rPr>
          <w:noProof/>
          <w:sz w:val="22"/>
          <w:lang w:val="en-GB"/>
        </w:rPr>
      </w:pPr>
      <w:r w:rsidRPr="000016FB">
        <w:rPr>
          <w:noProof/>
          <w:sz w:val="22"/>
          <w:szCs w:val="22"/>
          <w:lang w:val="en-US"/>
        </w:rPr>
        <w:t>E</w:t>
      </w:r>
      <w:r w:rsidR="00547BE0" w:rsidRPr="000016FB">
        <w:rPr>
          <w:noProof/>
          <w:sz w:val="22"/>
          <w:szCs w:val="22"/>
          <w:lang w:val="en-US"/>
        </w:rPr>
        <w:t>vidence of</w:t>
      </w:r>
      <w:r w:rsidR="00547BE0" w:rsidRPr="000016FB">
        <w:rPr>
          <w:b/>
          <w:noProof/>
          <w:sz w:val="22"/>
          <w:szCs w:val="22"/>
          <w:lang w:val="en-US"/>
        </w:rPr>
        <w:t xml:space="preserve"> </w:t>
      </w:r>
      <w:r w:rsidR="000F2425" w:rsidRPr="000016FB">
        <w:rPr>
          <w:noProof/>
          <w:sz w:val="22"/>
          <w:szCs w:val="22"/>
          <w:lang w:val="en-US"/>
        </w:rPr>
        <w:t xml:space="preserve">mitochondrial impairment </w:t>
      </w:r>
      <w:r w:rsidR="00E12E76" w:rsidRPr="000016FB">
        <w:rPr>
          <w:noProof/>
          <w:sz w:val="22"/>
          <w:szCs w:val="22"/>
          <w:lang w:val="en-US"/>
        </w:rPr>
        <w:t xml:space="preserve">in </w:t>
      </w:r>
      <w:r w:rsidRPr="000016FB">
        <w:rPr>
          <w:noProof/>
          <w:sz w:val="22"/>
          <w:szCs w:val="22"/>
          <w:lang w:val="en-US"/>
        </w:rPr>
        <w:t xml:space="preserve">the liver of </w:t>
      </w:r>
      <w:r w:rsidR="008715F3">
        <w:rPr>
          <w:noProof/>
          <w:sz w:val="22"/>
          <w:szCs w:val="22"/>
          <w:lang w:val="en-US"/>
        </w:rPr>
        <w:t>preclinical</w:t>
      </w:r>
      <w:r w:rsidR="008715F3" w:rsidRPr="000016FB">
        <w:rPr>
          <w:noProof/>
          <w:sz w:val="22"/>
          <w:szCs w:val="22"/>
          <w:lang w:val="en-US"/>
        </w:rPr>
        <w:t xml:space="preserve"> </w:t>
      </w:r>
      <w:r w:rsidRPr="000016FB">
        <w:rPr>
          <w:noProof/>
          <w:sz w:val="22"/>
          <w:szCs w:val="22"/>
          <w:lang w:val="en-US"/>
        </w:rPr>
        <w:t>species</w:t>
      </w:r>
      <w:r w:rsidR="00B87D35" w:rsidRPr="000016FB">
        <w:rPr>
          <w:noProof/>
          <w:sz w:val="22"/>
          <w:szCs w:val="22"/>
          <w:lang w:val="en-US"/>
        </w:rPr>
        <w:t xml:space="preserve"> is often lacking</w:t>
      </w:r>
      <w:r w:rsidR="00E12E76" w:rsidRPr="000016FB">
        <w:rPr>
          <w:noProof/>
          <w:sz w:val="22"/>
          <w:szCs w:val="22"/>
          <w:lang w:val="en-US"/>
        </w:rPr>
        <w:t xml:space="preserve"> </w:t>
      </w:r>
      <w:r w:rsidR="000F2425" w:rsidRPr="000016FB">
        <w:rPr>
          <w:noProof/>
          <w:sz w:val="22"/>
          <w:szCs w:val="22"/>
          <w:lang w:val="en-US"/>
        </w:rPr>
        <w:t xml:space="preserve">and </w:t>
      </w:r>
      <w:r w:rsidR="008715F3">
        <w:rPr>
          <w:noProof/>
          <w:sz w:val="22"/>
          <w:szCs w:val="22"/>
          <w:lang w:val="en-US"/>
        </w:rPr>
        <w:t>con</w:t>
      </w:r>
      <w:r w:rsidR="00B87D35" w:rsidRPr="000016FB">
        <w:rPr>
          <w:noProof/>
          <w:sz w:val="22"/>
          <w:szCs w:val="22"/>
          <w:lang w:val="en-US"/>
        </w:rPr>
        <w:t>sequently there</w:t>
      </w:r>
      <w:r w:rsidR="000F2425" w:rsidRPr="000016FB">
        <w:rPr>
          <w:noProof/>
          <w:sz w:val="22"/>
          <w:szCs w:val="22"/>
          <w:lang w:val="en-US"/>
        </w:rPr>
        <w:t xml:space="preserve"> </w:t>
      </w:r>
      <w:r w:rsidR="00E12E76" w:rsidRPr="000016FB">
        <w:rPr>
          <w:noProof/>
          <w:sz w:val="22"/>
          <w:szCs w:val="22"/>
          <w:lang w:val="en-US"/>
        </w:rPr>
        <w:t>remains</w:t>
      </w:r>
      <w:r w:rsidR="000F2425" w:rsidRPr="000016FB">
        <w:rPr>
          <w:noProof/>
          <w:sz w:val="22"/>
          <w:szCs w:val="22"/>
          <w:lang w:val="en-US"/>
        </w:rPr>
        <w:t xml:space="preserve"> a disconnect between </w:t>
      </w:r>
      <w:r w:rsidRPr="000016FB">
        <w:rPr>
          <w:i/>
          <w:noProof/>
          <w:sz w:val="22"/>
          <w:szCs w:val="22"/>
          <w:lang w:val="en-US"/>
        </w:rPr>
        <w:t>in vitro</w:t>
      </w:r>
      <w:r w:rsidRPr="000016FB">
        <w:rPr>
          <w:noProof/>
          <w:sz w:val="22"/>
          <w:szCs w:val="22"/>
          <w:lang w:val="en-US"/>
        </w:rPr>
        <w:t xml:space="preserve"> </w:t>
      </w:r>
      <w:r w:rsidR="000F2425" w:rsidRPr="000016FB">
        <w:rPr>
          <w:noProof/>
          <w:sz w:val="22"/>
          <w:szCs w:val="22"/>
          <w:lang w:val="en-US"/>
        </w:rPr>
        <w:t xml:space="preserve">studies </w:t>
      </w:r>
      <w:r w:rsidR="00BE6C9D" w:rsidRPr="000016FB">
        <w:rPr>
          <w:noProof/>
          <w:sz w:val="22"/>
          <w:szCs w:val="22"/>
          <w:lang w:val="en-US"/>
        </w:rPr>
        <w:t>of</w:t>
      </w:r>
      <w:r w:rsidR="000F2425" w:rsidRPr="000016FB">
        <w:rPr>
          <w:noProof/>
          <w:sz w:val="22"/>
          <w:szCs w:val="22"/>
          <w:lang w:val="en-US"/>
        </w:rPr>
        <w:t xml:space="preserve"> mitochondrial </w:t>
      </w:r>
      <w:r w:rsidR="00E12E76" w:rsidRPr="000016FB">
        <w:rPr>
          <w:noProof/>
          <w:sz w:val="22"/>
          <w:szCs w:val="22"/>
          <w:lang w:val="en-US"/>
        </w:rPr>
        <w:t xml:space="preserve">dysfunction and </w:t>
      </w:r>
      <w:r w:rsidR="000F2425" w:rsidRPr="000016FB">
        <w:rPr>
          <w:noProof/>
          <w:sz w:val="22"/>
          <w:szCs w:val="22"/>
          <w:lang w:val="en-US"/>
        </w:rPr>
        <w:t xml:space="preserve"> </w:t>
      </w:r>
      <w:r w:rsidR="00DE58A5" w:rsidRPr="00DE66F2">
        <w:rPr>
          <w:i/>
          <w:noProof/>
          <w:sz w:val="22"/>
          <w:szCs w:val="22"/>
          <w:lang w:val="en-US"/>
        </w:rPr>
        <w:t>in vivo</w:t>
      </w:r>
      <w:r w:rsidR="00DE58A5">
        <w:rPr>
          <w:noProof/>
          <w:sz w:val="22"/>
          <w:szCs w:val="22"/>
          <w:lang w:val="en-US"/>
        </w:rPr>
        <w:t xml:space="preserve"> effects in</w:t>
      </w:r>
      <w:r w:rsidR="000F2425" w:rsidRPr="000016FB">
        <w:rPr>
          <w:noProof/>
          <w:sz w:val="22"/>
          <w:szCs w:val="22"/>
          <w:lang w:val="en-US"/>
        </w:rPr>
        <w:t xml:space="preserve"> preclinical animal models </w:t>
      </w:r>
      <w:sdt>
        <w:sdtPr>
          <w:rPr>
            <w:noProof/>
            <w:sz w:val="22"/>
            <w:szCs w:val="22"/>
            <w:lang w:val="en-US"/>
          </w:rPr>
          <w:id w:val="-1426644762"/>
          <w:citation/>
        </w:sdtPr>
        <w:sdtEndPr/>
        <w:sdtContent>
          <w:r w:rsidR="00F21C43">
            <w:rPr>
              <w:noProof/>
              <w:sz w:val="22"/>
              <w:szCs w:val="22"/>
              <w:lang w:val="en-US"/>
            </w:rPr>
            <w:fldChar w:fldCharType="begin"/>
          </w:r>
          <w:r w:rsidR="00F21C43">
            <w:rPr>
              <w:noProof/>
              <w:sz w:val="22"/>
              <w:szCs w:val="22"/>
              <w:lang w:val="en-GB"/>
            </w:rPr>
            <w:instrText xml:space="preserve"> CITATION Dyk07 \l 2057 </w:instrText>
          </w:r>
          <w:r w:rsidR="00F21C43">
            <w:rPr>
              <w:noProof/>
              <w:sz w:val="22"/>
              <w:szCs w:val="22"/>
              <w:lang w:val="en-US"/>
            </w:rPr>
            <w:fldChar w:fldCharType="separate"/>
          </w:r>
          <w:r w:rsidR="002D6947" w:rsidRPr="002D6947">
            <w:rPr>
              <w:noProof/>
              <w:sz w:val="22"/>
              <w:szCs w:val="22"/>
              <w:lang w:val="en-GB"/>
            </w:rPr>
            <w:t>[23]</w:t>
          </w:r>
          <w:r w:rsidR="00F21C43">
            <w:rPr>
              <w:noProof/>
              <w:sz w:val="22"/>
              <w:szCs w:val="22"/>
              <w:lang w:val="en-US"/>
            </w:rPr>
            <w:fldChar w:fldCharType="end"/>
          </w:r>
        </w:sdtContent>
      </w:sdt>
      <w:sdt>
        <w:sdtPr>
          <w:rPr>
            <w:noProof/>
            <w:sz w:val="22"/>
            <w:szCs w:val="22"/>
            <w:lang w:val="en-US"/>
          </w:rPr>
          <w:id w:val="-338687906"/>
          <w:citation/>
        </w:sdtPr>
        <w:sdtEndPr/>
        <w:sdtContent>
          <w:r w:rsidR="00F21C43">
            <w:rPr>
              <w:noProof/>
              <w:sz w:val="22"/>
              <w:szCs w:val="22"/>
              <w:lang w:val="en-US"/>
            </w:rPr>
            <w:fldChar w:fldCharType="begin"/>
          </w:r>
          <w:r w:rsidR="00F21C43">
            <w:rPr>
              <w:noProof/>
              <w:sz w:val="22"/>
              <w:szCs w:val="22"/>
              <w:lang w:val="en-GB"/>
            </w:rPr>
            <w:instrText xml:space="preserve"> CITATION Bro16 \l 2057 </w:instrText>
          </w:r>
          <w:r w:rsidR="00F21C43">
            <w:rPr>
              <w:noProof/>
              <w:sz w:val="22"/>
              <w:szCs w:val="22"/>
              <w:lang w:val="en-US"/>
            </w:rPr>
            <w:fldChar w:fldCharType="separate"/>
          </w:r>
          <w:r w:rsidR="002D6947">
            <w:rPr>
              <w:noProof/>
              <w:sz w:val="22"/>
              <w:szCs w:val="22"/>
              <w:lang w:val="en-GB"/>
            </w:rPr>
            <w:t xml:space="preserve"> </w:t>
          </w:r>
          <w:r w:rsidR="002D6947" w:rsidRPr="002D6947">
            <w:rPr>
              <w:noProof/>
              <w:sz w:val="22"/>
              <w:szCs w:val="22"/>
              <w:lang w:val="en-GB"/>
            </w:rPr>
            <w:t>[43]</w:t>
          </w:r>
          <w:r w:rsidR="00F21C43">
            <w:rPr>
              <w:noProof/>
              <w:sz w:val="22"/>
              <w:szCs w:val="22"/>
              <w:lang w:val="en-US"/>
            </w:rPr>
            <w:fldChar w:fldCharType="end"/>
          </w:r>
        </w:sdtContent>
      </w:sdt>
      <w:r w:rsidR="000F2425" w:rsidRPr="000016FB">
        <w:rPr>
          <w:noProof/>
          <w:sz w:val="22"/>
          <w:szCs w:val="22"/>
          <w:lang w:val="en-US"/>
        </w:rPr>
        <w:t xml:space="preserve">. </w:t>
      </w:r>
      <w:r w:rsidR="00F06FEF" w:rsidRPr="007923B1">
        <w:rPr>
          <w:sz w:val="22"/>
          <w:szCs w:val="22"/>
          <w:lang w:val="en-US"/>
        </w:rPr>
        <w:t xml:space="preserve">In </w:t>
      </w:r>
      <w:r w:rsidR="00B05270" w:rsidRPr="007923B1">
        <w:rPr>
          <w:sz w:val="22"/>
          <w:szCs w:val="22"/>
          <w:lang w:val="en-US"/>
        </w:rPr>
        <w:t>many</w:t>
      </w:r>
      <w:r w:rsidR="00F06FEF" w:rsidRPr="007923B1">
        <w:rPr>
          <w:sz w:val="22"/>
          <w:szCs w:val="22"/>
          <w:lang w:val="en-US"/>
        </w:rPr>
        <w:t xml:space="preserve"> instances, animal models fail to reveal such toxicity, as is the case for </w:t>
      </w:r>
      <w:proofErr w:type="spellStart"/>
      <w:r w:rsidR="00F06FEF" w:rsidRPr="007923B1">
        <w:rPr>
          <w:sz w:val="22"/>
          <w:szCs w:val="22"/>
          <w:lang w:val="en-US"/>
        </w:rPr>
        <w:t>troglitazone</w:t>
      </w:r>
      <w:proofErr w:type="spellEnd"/>
      <w:r w:rsidR="00F06FEF" w:rsidRPr="007923B1">
        <w:rPr>
          <w:sz w:val="22"/>
          <w:szCs w:val="22"/>
          <w:lang w:val="en-US"/>
        </w:rPr>
        <w:t xml:space="preserve">, </w:t>
      </w:r>
      <w:proofErr w:type="spellStart"/>
      <w:r w:rsidR="00F06FEF" w:rsidRPr="007923B1">
        <w:rPr>
          <w:sz w:val="22"/>
          <w:szCs w:val="22"/>
          <w:lang w:val="en-US"/>
        </w:rPr>
        <w:t>nefazodone</w:t>
      </w:r>
      <w:proofErr w:type="spellEnd"/>
      <w:r w:rsidR="00F06FEF" w:rsidRPr="007923B1">
        <w:rPr>
          <w:sz w:val="22"/>
          <w:szCs w:val="22"/>
          <w:lang w:val="en-US"/>
        </w:rPr>
        <w:t xml:space="preserve"> and </w:t>
      </w:r>
      <w:proofErr w:type="spellStart"/>
      <w:r w:rsidR="00F06FEF" w:rsidRPr="007923B1">
        <w:rPr>
          <w:sz w:val="22"/>
          <w:szCs w:val="22"/>
          <w:lang w:val="en-US"/>
        </w:rPr>
        <w:t>cerivastatin</w:t>
      </w:r>
      <w:proofErr w:type="spellEnd"/>
      <w:r w:rsidR="00F06FEF" w:rsidRPr="007923B1">
        <w:rPr>
          <w:sz w:val="22"/>
          <w:szCs w:val="22"/>
          <w:lang w:val="en-US"/>
        </w:rPr>
        <w:t xml:space="preserve">, all of which passed the requisite regulatory animal studies without any signs of liver injury. </w:t>
      </w:r>
      <w:r w:rsidR="00571A1A" w:rsidRPr="007923B1">
        <w:rPr>
          <w:sz w:val="22"/>
          <w:szCs w:val="22"/>
          <w:lang w:val="en-US"/>
        </w:rPr>
        <w:t>T</w:t>
      </w:r>
      <w:r w:rsidR="00F06FEF" w:rsidRPr="007923B1">
        <w:rPr>
          <w:sz w:val="22"/>
          <w:szCs w:val="22"/>
          <w:lang w:val="en-US"/>
        </w:rPr>
        <w:t xml:space="preserve">he lack of response </w:t>
      </w:r>
      <w:r w:rsidR="00031050">
        <w:rPr>
          <w:sz w:val="22"/>
          <w:szCs w:val="22"/>
          <w:lang w:val="en-US"/>
        </w:rPr>
        <w:t xml:space="preserve">is likely </w:t>
      </w:r>
      <w:r w:rsidR="00571A1A" w:rsidRPr="007923B1">
        <w:rPr>
          <w:sz w:val="22"/>
          <w:szCs w:val="22"/>
          <w:lang w:val="en-US"/>
        </w:rPr>
        <w:t>multifactorial</w:t>
      </w:r>
      <w:r w:rsidR="00D64ECC">
        <w:rPr>
          <w:sz w:val="22"/>
          <w:szCs w:val="22"/>
          <w:lang w:val="en-US"/>
        </w:rPr>
        <w:t xml:space="preserve"> </w:t>
      </w:r>
      <w:r w:rsidR="00031050">
        <w:rPr>
          <w:sz w:val="22"/>
          <w:szCs w:val="22"/>
          <w:lang w:val="en-US"/>
        </w:rPr>
        <w:t xml:space="preserve">and related to the fact that </w:t>
      </w:r>
      <w:r w:rsidR="00031050" w:rsidRPr="00031050">
        <w:rPr>
          <w:i/>
          <w:sz w:val="22"/>
          <w:szCs w:val="22"/>
          <w:lang w:val="en-US"/>
        </w:rPr>
        <w:t>in vivo</w:t>
      </w:r>
      <w:r w:rsidR="00031050">
        <w:rPr>
          <w:sz w:val="22"/>
          <w:szCs w:val="22"/>
          <w:lang w:val="en-US"/>
        </w:rPr>
        <w:t xml:space="preserve"> </w:t>
      </w:r>
      <w:r w:rsidR="00F06FEF" w:rsidRPr="007923B1">
        <w:rPr>
          <w:sz w:val="22"/>
          <w:szCs w:val="22"/>
          <w:lang w:val="en-US"/>
        </w:rPr>
        <w:t xml:space="preserve">toxicity studies are </w:t>
      </w:r>
      <w:r w:rsidR="00031050">
        <w:rPr>
          <w:sz w:val="22"/>
          <w:szCs w:val="22"/>
          <w:lang w:val="en-US"/>
        </w:rPr>
        <w:t xml:space="preserve">conducted using </w:t>
      </w:r>
      <w:r w:rsidR="00571A1A" w:rsidRPr="007923B1">
        <w:rPr>
          <w:sz w:val="22"/>
          <w:szCs w:val="22"/>
          <w:lang w:val="en-US"/>
        </w:rPr>
        <w:t>limited numbers of young drug-naïve animals with high mitochondrial reserves</w:t>
      </w:r>
      <w:r w:rsidR="00F06FEF" w:rsidRPr="007923B1">
        <w:rPr>
          <w:sz w:val="22"/>
          <w:szCs w:val="22"/>
          <w:lang w:val="en-US"/>
        </w:rPr>
        <w:t xml:space="preserve"> </w:t>
      </w:r>
      <w:r w:rsidR="00031050">
        <w:rPr>
          <w:sz w:val="22"/>
          <w:szCs w:val="22"/>
          <w:lang w:val="en-US"/>
        </w:rPr>
        <w:t xml:space="preserve">and </w:t>
      </w:r>
      <w:r w:rsidR="00571A1A" w:rsidRPr="007923B1">
        <w:rPr>
          <w:sz w:val="22"/>
          <w:szCs w:val="22"/>
          <w:lang w:val="en-US"/>
        </w:rPr>
        <w:t>exhibiting low</w:t>
      </w:r>
      <w:r w:rsidR="00F06FEF" w:rsidRPr="007923B1">
        <w:rPr>
          <w:sz w:val="22"/>
          <w:szCs w:val="22"/>
          <w:lang w:val="en-US"/>
        </w:rPr>
        <w:t xml:space="preserve"> genetic diversity </w:t>
      </w:r>
      <w:sdt>
        <w:sdtPr>
          <w:rPr>
            <w:sz w:val="22"/>
            <w:szCs w:val="22"/>
            <w:lang w:val="en-US"/>
          </w:rPr>
          <w:id w:val="-624700471"/>
          <w:citation/>
        </w:sdtPr>
        <w:sdtEndPr/>
        <w:sdtContent>
          <w:r w:rsidR="00571A1A" w:rsidRPr="007923B1">
            <w:rPr>
              <w:sz w:val="22"/>
              <w:szCs w:val="22"/>
              <w:lang w:val="en-US"/>
            </w:rPr>
            <w:fldChar w:fldCharType="begin"/>
          </w:r>
          <w:r w:rsidR="00571A1A" w:rsidRPr="007923B1">
            <w:rPr>
              <w:sz w:val="22"/>
              <w:szCs w:val="22"/>
              <w:lang w:val="en-GB"/>
            </w:rPr>
            <w:instrText xml:space="preserve"> CITATION Wil14 \l 2057 </w:instrText>
          </w:r>
          <w:r w:rsidR="00571A1A" w:rsidRPr="007923B1">
            <w:rPr>
              <w:sz w:val="22"/>
              <w:szCs w:val="22"/>
              <w:lang w:val="en-US"/>
            </w:rPr>
            <w:fldChar w:fldCharType="separate"/>
          </w:r>
          <w:r w:rsidR="002D6947" w:rsidRPr="002D6947">
            <w:rPr>
              <w:noProof/>
              <w:sz w:val="22"/>
              <w:szCs w:val="22"/>
              <w:lang w:val="en-GB"/>
            </w:rPr>
            <w:t>[44]</w:t>
          </w:r>
          <w:r w:rsidR="00571A1A" w:rsidRPr="007923B1">
            <w:rPr>
              <w:sz w:val="22"/>
              <w:szCs w:val="22"/>
              <w:lang w:val="en-US"/>
            </w:rPr>
            <w:fldChar w:fldCharType="end"/>
          </w:r>
        </w:sdtContent>
      </w:sdt>
      <w:r w:rsidR="00D64ECC">
        <w:rPr>
          <w:sz w:val="22"/>
          <w:szCs w:val="22"/>
          <w:lang w:val="en-US"/>
        </w:rPr>
        <w:t xml:space="preserve">. </w:t>
      </w:r>
      <w:r w:rsidR="00031050">
        <w:rPr>
          <w:sz w:val="22"/>
          <w:szCs w:val="22"/>
          <w:lang w:val="en-US"/>
        </w:rPr>
        <w:t xml:space="preserve">In addition, the traditional endpoints used in these in vivo toxicity studies do not offer the sensitivity to detect changes in </w:t>
      </w:r>
      <w:r w:rsidR="00F06FEF" w:rsidRPr="007923B1">
        <w:rPr>
          <w:sz w:val="22"/>
          <w:szCs w:val="22"/>
          <w:lang w:val="en-US"/>
        </w:rPr>
        <w:t>mitochondrial</w:t>
      </w:r>
      <w:r w:rsidR="00031050">
        <w:rPr>
          <w:sz w:val="22"/>
          <w:szCs w:val="22"/>
          <w:lang w:val="en-US"/>
        </w:rPr>
        <w:t xml:space="preserve"> function not correlated with functional organ changes</w:t>
      </w:r>
      <w:r w:rsidR="00B05270" w:rsidRPr="007923B1">
        <w:rPr>
          <w:sz w:val="22"/>
          <w:szCs w:val="22"/>
          <w:lang w:val="en-US"/>
        </w:rPr>
        <w:t>.</w:t>
      </w:r>
      <w:r w:rsidR="00F06FEF">
        <w:rPr>
          <w:b/>
          <w:lang w:val="en-US"/>
        </w:rPr>
        <w:t xml:space="preserve"> </w:t>
      </w:r>
      <w:r w:rsidR="00C2122F">
        <w:rPr>
          <w:noProof/>
          <w:sz w:val="22"/>
          <w:szCs w:val="22"/>
          <w:lang w:val="en-US"/>
        </w:rPr>
        <w:t>Therefore</w:t>
      </w:r>
      <w:r w:rsidR="000F2425" w:rsidRPr="000016FB">
        <w:rPr>
          <w:noProof/>
          <w:sz w:val="22"/>
          <w:szCs w:val="22"/>
          <w:lang w:val="en-US"/>
        </w:rPr>
        <w:t xml:space="preserve">, animal models that are predictive of the clinical outcome need to be developed. Several transgenic </w:t>
      </w:r>
      <w:r w:rsidR="006D3AAB">
        <w:rPr>
          <w:noProof/>
          <w:sz w:val="22"/>
          <w:szCs w:val="22"/>
          <w:lang w:val="en-US"/>
        </w:rPr>
        <w:t xml:space="preserve">and humanized animal </w:t>
      </w:r>
      <w:r w:rsidR="000F2425" w:rsidRPr="000016FB">
        <w:rPr>
          <w:noProof/>
          <w:sz w:val="22"/>
          <w:szCs w:val="22"/>
          <w:lang w:val="en-US"/>
        </w:rPr>
        <w:t xml:space="preserve">models </w:t>
      </w:r>
      <w:r w:rsidR="000F76DC">
        <w:rPr>
          <w:noProof/>
          <w:sz w:val="22"/>
          <w:szCs w:val="22"/>
          <w:lang w:val="en-US"/>
        </w:rPr>
        <w:t xml:space="preserve">have been </w:t>
      </w:r>
      <w:r w:rsidR="000F2425" w:rsidRPr="000016FB">
        <w:rPr>
          <w:noProof/>
          <w:sz w:val="22"/>
          <w:szCs w:val="22"/>
          <w:lang w:val="en-US"/>
        </w:rPr>
        <w:t>used to explore drug</w:t>
      </w:r>
      <w:r w:rsidR="00D64ECC">
        <w:rPr>
          <w:noProof/>
          <w:sz w:val="22"/>
          <w:szCs w:val="22"/>
          <w:lang w:val="en-US"/>
        </w:rPr>
        <w:t>-</w:t>
      </w:r>
      <w:r w:rsidR="00C9426A">
        <w:rPr>
          <w:noProof/>
          <w:sz w:val="22"/>
          <w:szCs w:val="22"/>
          <w:lang w:val="en-US"/>
        </w:rPr>
        <w:t xml:space="preserve">induced </w:t>
      </w:r>
      <w:r w:rsidR="000F2425" w:rsidRPr="000016FB">
        <w:rPr>
          <w:noProof/>
          <w:sz w:val="22"/>
          <w:szCs w:val="22"/>
          <w:lang w:val="en-US"/>
        </w:rPr>
        <w:t>toxicit</w:t>
      </w:r>
      <w:r w:rsidR="00C9426A">
        <w:rPr>
          <w:noProof/>
          <w:sz w:val="22"/>
          <w:szCs w:val="22"/>
          <w:lang w:val="en-US"/>
        </w:rPr>
        <w:t>ies</w:t>
      </w:r>
      <w:r w:rsidR="000F2425" w:rsidRPr="000016FB">
        <w:rPr>
          <w:noProof/>
          <w:sz w:val="22"/>
          <w:szCs w:val="22"/>
          <w:lang w:val="en-US"/>
        </w:rPr>
        <w:t xml:space="preserve">,. </w:t>
      </w:r>
      <w:sdt>
        <w:sdtPr>
          <w:rPr>
            <w:noProof/>
            <w:sz w:val="22"/>
            <w:szCs w:val="22"/>
            <w:lang w:val="en-US"/>
          </w:rPr>
          <w:id w:val="-1209103005"/>
          <w:citation/>
        </w:sdtPr>
        <w:sdtEndPr/>
        <w:sdtContent>
          <w:r w:rsidR="00F21C43">
            <w:rPr>
              <w:noProof/>
              <w:sz w:val="22"/>
              <w:szCs w:val="22"/>
              <w:lang w:val="en-US"/>
            </w:rPr>
            <w:fldChar w:fldCharType="begin"/>
          </w:r>
          <w:r w:rsidR="00F21C43">
            <w:rPr>
              <w:noProof/>
              <w:sz w:val="22"/>
              <w:szCs w:val="22"/>
              <w:lang w:val="en-GB"/>
            </w:rPr>
            <w:instrText xml:space="preserve"> CITATION Ong06 \l 2057 </w:instrText>
          </w:r>
          <w:r w:rsidR="00F21C43">
            <w:rPr>
              <w:noProof/>
              <w:sz w:val="22"/>
              <w:szCs w:val="22"/>
              <w:lang w:val="en-US"/>
            </w:rPr>
            <w:fldChar w:fldCharType="separate"/>
          </w:r>
          <w:r w:rsidR="002D6947" w:rsidRPr="002D6947">
            <w:rPr>
              <w:noProof/>
              <w:sz w:val="22"/>
              <w:szCs w:val="22"/>
              <w:lang w:val="en-GB"/>
            </w:rPr>
            <w:t>[45]</w:t>
          </w:r>
          <w:r w:rsidR="00F21C43">
            <w:rPr>
              <w:noProof/>
              <w:sz w:val="22"/>
              <w:szCs w:val="22"/>
              <w:lang w:val="en-US"/>
            </w:rPr>
            <w:fldChar w:fldCharType="end"/>
          </w:r>
        </w:sdtContent>
      </w:sdt>
      <w:sdt>
        <w:sdtPr>
          <w:rPr>
            <w:noProof/>
            <w:sz w:val="22"/>
            <w:szCs w:val="22"/>
            <w:lang w:val="en-US"/>
          </w:rPr>
          <w:id w:val="628205610"/>
          <w:citation/>
        </w:sdtPr>
        <w:sdtEndPr/>
        <w:sdtContent>
          <w:r w:rsidR="00F21C43">
            <w:rPr>
              <w:noProof/>
              <w:sz w:val="22"/>
              <w:szCs w:val="22"/>
              <w:lang w:val="en-US"/>
            </w:rPr>
            <w:fldChar w:fldCharType="begin"/>
          </w:r>
          <w:r w:rsidR="00F21C43">
            <w:rPr>
              <w:noProof/>
              <w:sz w:val="22"/>
              <w:szCs w:val="22"/>
              <w:lang w:val="en-GB"/>
            </w:rPr>
            <w:instrText xml:space="preserve"> CITATION Ong07 \l 2057 </w:instrText>
          </w:r>
          <w:r w:rsidR="00F21C43">
            <w:rPr>
              <w:noProof/>
              <w:sz w:val="22"/>
              <w:szCs w:val="22"/>
              <w:lang w:val="en-US"/>
            </w:rPr>
            <w:fldChar w:fldCharType="separate"/>
          </w:r>
          <w:r w:rsidR="002D6947">
            <w:rPr>
              <w:noProof/>
              <w:sz w:val="22"/>
              <w:szCs w:val="22"/>
              <w:lang w:val="en-GB"/>
            </w:rPr>
            <w:t xml:space="preserve"> </w:t>
          </w:r>
          <w:r w:rsidR="002D6947" w:rsidRPr="002D6947">
            <w:rPr>
              <w:noProof/>
              <w:sz w:val="22"/>
              <w:szCs w:val="22"/>
              <w:lang w:val="en-GB"/>
            </w:rPr>
            <w:t>[46]</w:t>
          </w:r>
          <w:r w:rsidR="00F21C43">
            <w:rPr>
              <w:noProof/>
              <w:sz w:val="22"/>
              <w:szCs w:val="22"/>
              <w:lang w:val="en-US"/>
            </w:rPr>
            <w:fldChar w:fldCharType="end"/>
          </w:r>
        </w:sdtContent>
      </w:sdt>
      <w:r w:rsidR="00A736FA">
        <w:rPr>
          <w:noProof/>
          <w:sz w:val="22"/>
          <w:szCs w:val="22"/>
          <w:lang w:val="en-US"/>
        </w:rPr>
        <w:t xml:space="preserve"> </w:t>
      </w:r>
      <w:sdt>
        <w:sdtPr>
          <w:rPr>
            <w:noProof/>
            <w:sz w:val="22"/>
            <w:szCs w:val="22"/>
            <w:lang w:val="en-US"/>
          </w:rPr>
          <w:id w:val="-1179814074"/>
          <w:citation/>
        </w:sdtPr>
        <w:sdtEndPr/>
        <w:sdtContent>
          <w:r w:rsidR="00A736FA">
            <w:rPr>
              <w:noProof/>
              <w:sz w:val="22"/>
              <w:szCs w:val="22"/>
              <w:lang w:val="en-US"/>
            </w:rPr>
            <w:fldChar w:fldCharType="begin"/>
          </w:r>
          <w:r w:rsidR="00AA0440">
            <w:rPr>
              <w:noProof/>
              <w:sz w:val="22"/>
              <w:szCs w:val="22"/>
              <w:lang w:val="en-GB"/>
            </w:rPr>
            <w:instrText xml:space="preserve">CITATION XuD14 \l 2057 </w:instrText>
          </w:r>
          <w:r w:rsidR="00A736FA">
            <w:rPr>
              <w:noProof/>
              <w:sz w:val="22"/>
              <w:szCs w:val="22"/>
              <w:lang w:val="en-US"/>
            </w:rPr>
            <w:fldChar w:fldCharType="separate"/>
          </w:r>
          <w:r w:rsidR="002D6947" w:rsidRPr="002D6947">
            <w:rPr>
              <w:noProof/>
              <w:sz w:val="22"/>
              <w:szCs w:val="22"/>
              <w:lang w:val="en-GB"/>
            </w:rPr>
            <w:t>[47]</w:t>
          </w:r>
          <w:r w:rsidR="00A736FA">
            <w:rPr>
              <w:noProof/>
              <w:sz w:val="22"/>
              <w:szCs w:val="22"/>
              <w:lang w:val="en-US"/>
            </w:rPr>
            <w:fldChar w:fldCharType="end"/>
          </w:r>
        </w:sdtContent>
      </w:sdt>
      <w:r w:rsidR="00FC3B5A">
        <w:rPr>
          <w:noProof/>
          <w:sz w:val="22"/>
          <w:szCs w:val="22"/>
          <w:lang w:val="en-GB"/>
        </w:rPr>
        <w:t>.</w:t>
      </w:r>
      <w:r w:rsidR="00845762">
        <w:rPr>
          <w:noProof/>
          <w:sz w:val="22"/>
          <w:szCs w:val="22"/>
          <w:lang w:val="en-GB"/>
        </w:rPr>
        <w:t xml:space="preserve"> </w:t>
      </w:r>
      <w:r w:rsidR="00485723">
        <w:rPr>
          <w:noProof/>
          <w:sz w:val="22"/>
          <w:szCs w:val="22"/>
          <w:lang w:val="en-GB"/>
        </w:rPr>
        <w:t>For example, t</w:t>
      </w:r>
      <w:r w:rsidR="00C9426A">
        <w:rPr>
          <w:noProof/>
          <w:sz w:val="22"/>
          <w:szCs w:val="22"/>
          <w:lang w:val="en-US"/>
        </w:rPr>
        <w:t xml:space="preserve">he heterozygous SOD 2+/- mouse model with reduced expression of the mitochondrial isoform of the antioxidant Mn-SOD </w:t>
      </w:r>
      <w:r w:rsidR="00485723">
        <w:rPr>
          <w:noProof/>
          <w:sz w:val="22"/>
          <w:szCs w:val="22"/>
          <w:lang w:val="en-US"/>
        </w:rPr>
        <w:t>has been shown to</w:t>
      </w:r>
      <w:r w:rsidR="00DB780C">
        <w:rPr>
          <w:noProof/>
          <w:sz w:val="22"/>
          <w:szCs w:val="22"/>
          <w:lang w:val="en-US"/>
        </w:rPr>
        <w:t xml:space="preserve"> detect</w:t>
      </w:r>
      <w:r w:rsidR="00C9426A">
        <w:rPr>
          <w:noProof/>
          <w:sz w:val="22"/>
          <w:szCs w:val="22"/>
          <w:lang w:val="en-US"/>
        </w:rPr>
        <w:t xml:space="preserve"> troglitazone </w:t>
      </w:r>
      <w:r w:rsidR="002D0DF6">
        <w:rPr>
          <w:noProof/>
          <w:sz w:val="22"/>
          <w:szCs w:val="22"/>
          <w:lang w:val="en-US"/>
        </w:rPr>
        <w:t>induced liver toxici</w:t>
      </w:r>
      <w:r w:rsidR="00054DCE">
        <w:rPr>
          <w:noProof/>
          <w:sz w:val="22"/>
          <w:szCs w:val="22"/>
          <w:lang w:val="en-US"/>
        </w:rPr>
        <w:t>ty</w:t>
      </w:r>
      <w:r w:rsidR="00485723">
        <w:rPr>
          <w:noProof/>
          <w:sz w:val="22"/>
          <w:szCs w:val="22"/>
          <w:lang w:val="en-US"/>
        </w:rPr>
        <w:t xml:space="preserve"> in contrast to </w:t>
      </w:r>
      <w:r w:rsidR="00C9426A">
        <w:rPr>
          <w:noProof/>
          <w:sz w:val="22"/>
          <w:szCs w:val="22"/>
          <w:lang w:val="en-US"/>
        </w:rPr>
        <w:t xml:space="preserve">wild-type mice </w:t>
      </w:r>
      <w:sdt>
        <w:sdtPr>
          <w:rPr>
            <w:noProof/>
            <w:sz w:val="22"/>
            <w:szCs w:val="22"/>
            <w:lang w:val="en-US"/>
          </w:rPr>
          <w:id w:val="803274226"/>
          <w:citation/>
        </w:sdtPr>
        <w:sdtEndPr/>
        <w:sdtContent>
          <w:r w:rsidR="006F6CAA">
            <w:rPr>
              <w:noProof/>
              <w:sz w:val="22"/>
              <w:szCs w:val="22"/>
              <w:lang w:val="en-US"/>
            </w:rPr>
            <w:fldChar w:fldCharType="begin"/>
          </w:r>
          <w:r w:rsidR="006F6CAA" w:rsidRPr="006F6CAA">
            <w:rPr>
              <w:noProof/>
              <w:sz w:val="22"/>
              <w:szCs w:val="22"/>
              <w:lang w:val="en-GB"/>
            </w:rPr>
            <w:instrText xml:space="preserve"> CITATION Ong07 \l 1036 </w:instrText>
          </w:r>
          <w:r w:rsidR="006F6CAA">
            <w:rPr>
              <w:noProof/>
              <w:sz w:val="22"/>
              <w:szCs w:val="22"/>
              <w:lang w:val="en-US"/>
            </w:rPr>
            <w:fldChar w:fldCharType="separate"/>
          </w:r>
          <w:r w:rsidR="002D6947" w:rsidRPr="002D6947">
            <w:rPr>
              <w:noProof/>
              <w:sz w:val="22"/>
              <w:szCs w:val="22"/>
              <w:lang w:val="en-GB"/>
            </w:rPr>
            <w:t>[46]</w:t>
          </w:r>
          <w:r w:rsidR="006F6CAA">
            <w:rPr>
              <w:noProof/>
              <w:sz w:val="22"/>
              <w:szCs w:val="22"/>
              <w:lang w:val="en-US"/>
            </w:rPr>
            <w:fldChar w:fldCharType="end"/>
          </w:r>
        </w:sdtContent>
      </w:sdt>
      <w:r w:rsidR="00C9426A">
        <w:rPr>
          <w:noProof/>
          <w:sz w:val="22"/>
          <w:szCs w:val="22"/>
          <w:lang w:val="en-GB"/>
        </w:rPr>
        <w:t xml:space="preserve">. </w:t>
      </w:r>
      <w:r w:rsidR="00C9426A">
        <w:rPr>
          <w:noProof/>
          <w:sz w:val="22"/>
          <w:szCs w:val="22"/>
          <w:lang w:val="en-US"/>
        </w:rPr>
        <w:t xml:space="preserve">Similarly, nimesulide, an NSAID that potently uncouples </w:t>
      </w:r>
      <w:r w:rsidR="00C9426A">
        <w:rPr>
          <w:noProof/>
          <w:sz w:val="22"/>
          <w:szCs w:val="22"/>
          <w:lang w:val="en-US"/>
        </w:rPr>
        <w:lastRenderedPageBreak/>
        <w:t xml:space="preserve">respiration </w:t>
      </w:r>
      <w:r w:rsidR="00C9426A" w:rsidRPr="00BC42C3">
        <w:rPr>
          <w:i/>
          <w:noProof/>
          <w:sz w:val="22"/>
          <w:szCs w:val="22"/>
          <w:lang w:val="en-US"/>
        </w:rPr>
        <w:t>in vitro</w:t>
      </w:r>
      <w:r w:rsidR="00C9426A">
        <w:rPr>
          <w:noProof/>
          <w:sz w:val="22"/>
          <w:szCs w:val="22"/>
          <w:lang w:val="en-US"/>
        </w:rPr>
        <w:t>, also elicits liver mi</w:t>
      </w:r>
      <w:r w:rsidR="00054DCE">
        <w:rPr>
          <w:noProof/>
          <w:sz w:val="22"/>
          <w:szCs w:val="22"/>
          <w:lang w:val="en-US"/>
        </w:rPr>
        <w:t>tochondrial damage, loss of ATP</w:t>
      </w:r>
      <w:r w:rsidR="00C9426A">
        <w:rPr>
          <w:noProof/>
          <w:sz w:val="22"/>
          <w:szCs w:val="22"/>
          <w:lang w:val="en-US"/>
        </w:rPr>
        <w:t xml:space="preserve"> and ensuing apoptosis in the </w:t>
      </w:r>
      <w:r w:rsidR="006F6CAA">
        <w:rPr>
          <w:noProof/>
          <w:sz w:val="22"/>
          <w:szCs w:val="22"/>
          <w:lang w:val="en-US"/>
        </w:rPr>
        <w:t xml:space="preserve">SOD 2+/- </w:t>
      </w:r>
      <w:r w:rsidR="00C9426A">
        <w:rPr>
          <w:noProof/>
          <w:sz w:val="22"/>
          <w:szCs w:val="22"/>
          <w:lang w:val="en-US"/>
        </w:rPr>
        <w:t xml:space="preserve"> animals </w:t>
      </w:r>
      <w:r w:rsidR="002D0DF6">
        <w:rPr>
          <w:noProof/>
          <w:sz w:val="22"/>
          <w:szCs w:val="22"/>
          <w:lang w:val="en-US"/>
        </w:rPr>
        <w:t xml:space="preserve">but not </w:t>
      </w:r>
      <w:r w:rsidR="00485723">
        <w:rPr>
          <w:noProof/>
          <w:sz w:val="22"/>
          <w:szCs w:val="22"/>
          <w:lang w:val="en-US"/>
        </w:rPr>
        <w:t xml:space="preserve">in </w:t>
      </w:r>
      <w:r w:rsidR="00C9426A">
        <w:rPr>
          <w:noProof/>
          <w:sz w:val="22"/>
          <w:szCs w:val="22"/>
          <w:lang w:val="en-US"/>
        </w:rPr>
        <w:t xml:space="preserve">wild-type animals </w:t>
      </w:r>
      <w:r w:rsidR="00C9426A">
        <w:rPr>
          <w:noProof/>
          <w:sz w:val="22"/>
          <w:szCs w:val="22"/>
          <w:lang w:val="en-GB"/>
        </w:rPr>
        <w:t xml:space="preserve"> </w:t>
      </w:r>
      <w:sdt>
        <w:sdtPr>
          <w:rPr>
            <w:noProof/>
            <w:sz w:val="22"/>
            <w:szCs w:val="22"/>
            <w:lang w:val="en-GB"/>
          </w:rPr>
          <w:id w:val="-777651023"/>
          <w:citation/>
        </w:sdtPr>
        <w:sdtEndPr/>
        <w:sdtContent>
          <w:r w:rsidR="006F6CAA">
            <w:rPr>
              <w:noProof/>
              <w:sz w:val="22"/>
              <w:szCs w:val="22"/>
              <w:lang w:val="en-GB"/>
            </w:rPr>
            <w:fldChar w:fldCharType="begin"/>
          </w:r>
          <w:r w:rsidR="006F6CAA" w:rsidRPr="006F6CAA">
            <w:rPr>
              <w:noProof/>
              <w:sz w:val="22"/>
              <w:szCs w:val="22"/>
              <w:lang w:val="en-GB"/>
            </w:rPr>
            <w:instrText xml:space="preserve"> CITATION Ong06 \l 1036 </w:instrText>
          </w:r>
          <w:r w:rsidR="006F6CAA">
            <w:rPr>
              <w:noProof/>
              <w:sz w:val="22"/>
              <w:szCs w:val="22"/>
              <w:lang w:val="en-GB"/>
            </w:rPr>
            <w:fldChar w:fldCharType="separate"/>
          </w:r>
          <w:r w:rsidR="002D6947" w:rsidRPr="002D6947">
            <w:rPr>
              <w:noProof/>
              <w:sz w:val="22"/>
              <w:szCs w:val="22"/>
              <w:lang w:val="en-GB"/>
            </w:rPr>
            <w:t>[45]</w:t>
          </w:r>
          <w:r w:rsidR="006F6CAA">
            <w:rPr>
              <w:noProof/>
              <w:sz w:val="22"/>
              <w:szCs w:val="22"/>
              <w:lang w:val="en-GB"/>
            </w:rPr>
            <w:fldChar w:fldCharType="end"/>
          </w:r>
        </w:sdtContent>
      </w:sdt>
      <w:r w:rsidR="00C9426A">
        <w:rPr>
          <w:noProof/>
          <w:sz w:val="22"/>
          <w:szCs w:val="22"/>
          <w:lang w:val="en-US"/>
        </w:rPr>
        <w:t>.</w:t>
      </w:r>
      <w:r w:rsidR="00054DCE">
        <w:rPr>
          <w:noProof/>
          <w:sz w:val="22"/>
          <w:szCs w:val="22"/>
          <w:lang w:val="en-US"/>
        </w:rPr>
        <w:t xml:space="preserve"> </w:t>
      </w:r>
      <w:r w:rsidR="002E2404">
        <w:rPr>
          <w:noProof/>
          <w:sz w:val="22"/>
          <w:szCs w:val="22"/>
          <w:lang w:val="en-US"/>
        </w:rPr>
        <w:t>However, contrasting findings have been reported</w:t>
      </w:r>
      <w:r w:rsidR="004B0EC6">
        <w:rPr>
          <w:noProof/>
          <w:sz w:val="22"/>
          <w:szCs w:val="22"/>
          <w:lang w:val="en-US"/>
        </w:rPr>
        <w:t xml:space="preserve"> on the use of SOD 2+/- model for the dection of liver toxicants </w:t>
      </w:r>
      <w:sdt>
        <w:sdtPr>
          <w:rPr>
            <w:noProof/>
            <w:sz w:val="22"/>
            <w:szCs w:val="22"/>
            <w:lang w:val="en-US"/>
          </w:rPr>
          <w:id w:val="-1328048010"/>
          <w:citation/>
        </w:sdtPr>
        <w:sdtEndPr/>
        <w:sdtContent>
          <w:r w:rsidR="00FC22F5">
            <w:rPr>
              <w:noProof/>
              <w:sz w:val="22"/>
              <w:szCs w:val="22"/>
              <w:lang w:val="en-US"/>
            </w:rPr>
            <w:fldChar w:fldCharType="begin"/>
          </w:r>
          <w:r w:rsidR="00FC22F5">
            <w:rPr>
              <w:noProof/>
              <w:sz w:val="22"/>
              <w:szCs w:val="22"/>
              <w:lang w:val="en-GB"/>
            </w:rPr>
            <w:instrText xml:space="preserve"> CITATION Kas09 \l 2057 </w:instrText>
          </w:r>
          <w:r w:rsidR="00FC22F5">
            <w:rPr>
              <w:noProof/>
              <w:sz w:val="22"/>
              <w:szCs w:val="22"/>
              <w:lang w:val="en-US"/>
            </w:rPr>
            <w:fldChar w:fldCharType="separate"/>
          </w:r>
          <w:r w:rsidR="002D6947" w:rsidRPr="002D6947">
            <w:rPr>
              <w:noProof/>
              <w:sz w:val="22"/>
              <w:szCs w:val="22"/>
              <w:lang w:val="en-GB"/>
            </w:rPr>
            <w:t>[48]</w:t>
          </w:r>
          <w:r w:rsidR="00FC22F5">
            <w:rPr>
              <w:noProof/>
              <w:sz w:val="22"/>
              <w:szCs w:val="22"/>
              <w:lang w:val="en-US"/>
            </w:rPr>
            <w:fldChar w:fldCharType="end"/>
          </w:r>
        </w:sdtContent>
      </w:sdt>
      <w:sdt>
        <w:sdtPr>
          <w:rPr>
            <w:noProof/>
            <w:sz w:val="22"/>
            <w:szCs w:val="22"/>
            <w:lang w:val="en-US"/>
          </w:rPr>
          <w:id w:val="1382826279"/>
          <w:citation/>
        </w:sdtPr>
        <w:sdtEndPr/>
        <w:sdtContent>
          <w:r w:rsidR="00FC22F5">
            <w:rPr>
              <w:noProof/>
              <w:sz w:val="22"/>
              <w:szCs w:val="22"/>
              <w:lang w:val="en-US"/>
            </w:rPr>
            <w:fldChar w:fldCharType="begin"/>
          </w:r>
          <w:r w:rsidR="00FC22F5">
            <w:rPr>
              <w:noProof/>
              <w:sz w:val="22"/>
              <w:szCs w:val="22"/>
              <w:lang w:val="en-GB"/>
            </w:rPr>
            <w:instrText xml:space="preserve"> CITATION Fuj09 \l 2057 </w:instrText>
          </w:r>
          <w:r w:rsidR="00FC22F5">
            <w:rPr>
              <w:noProof/>
              <w:sz w:val="22"/>
              <w:szCs w:val="22"/>
              <w:lang w:val="en-US"/>
            </w:rPr>
            <w:fldChar w:fldCharType="separate"/>
          </w:r>
          <w:r w:rsidR="002D6947">
            <w:rPr>
              <w:noProof/>
              <w:sz w:val="22"/>
              <w:szCs w:val="22"/>
              <w:lang w:val="en-GB"/>
            </w:rPr>
            <w:t xml:space="preserve"> </w:t>
          </w:r>
          <w:r w:rsidR="002D6947" w:rsidRPr="002D6947">
            <w:rPr>
              <w:noProof/>
              <w:sz w:val="22"/>
              <w:szCs w:val="22"/>
              <w:lang w:val="en-GB"/>
            </w:rPr>
            <w:t>[49]</w:t>
          </w:r>
          <w:r w:rsidR="00FC22F5">
            <w:rPr>
              <w:noProof/>
              <w:sz w:val="22"/>
              <w:szCs w:val="22"/>
              <w:lang w:val="en-US"/>
            </w:rPr>
            <w:fldChar w:fldCharType="end"/>
          </w:r>
        </w:sdtContent>
      </w:sdt>
      <w:r w:rsidR="002E2404">
        <w:rPr>
          <w:noProof/>
          <w:sz w:val="22"/>
          <w:szCs w:val="22"/>
          <w:lang w:val="en-US"/>
        </w:rPr>
        <w:t xml:space="preserve">. </w:t>
      </w:r>
      <w:r w:rsidR="004B0EC6">
        <w:rPr>
          <w:noProof/>
          <w:sz w:val="22"/>
          <w:szCs w:val="22"/>
          <w:lang w:val="en-US"/>
        </w:rPr>
        <w:t>T</w:t>
      </w:r>
      <w:r w:rsidR="002E2404">
        <w:rPr>
          <w:noProof/>
          <w:sz w:val="22"/>
          <w:szCs w:val="22"/>
          <w:lang w:val="en-US"/>
        </w:rPr>
        <w:t xml:space="preserve">he use of </w:t>
      </w:r>
      <w:r w:rsidR="00031050">
        <w:rPr>
          <w:noProof/>
          <w:sz w:val="22"/>
          <w:szCs w:val="22"/>
          <w:lang w:val="en-US"/>
        </w:rPr>
        <w:t xml:space="preserve">several </w:t>
      </w:r>
      <w:r w:rsidR="00FC22F5">
        <w:rPr>
          <w:noProof/>
          <w:sz w:val="22"/>
          <w:szCs w:val="22"/>
          <w:lang w:val="en-US"/>
        </w:rPr>
        <w:t xml:space="preserve">rodent </w:t>
      </w:r>
      <w:r w:rsidR="002E2404">
        <w:rPr>
          <w:noProof/>
          <w:sz w:val="22"/>
          <w:szCs w:val="22"/>
          <w:lang w:val="en-US"/>
        </w:rPr>
        <w:t xml:space="preserve">strains to increase genetic diversity </w:t>
      </w:r>
      <w:r w:rsidR="00031050">
        <w:rPr>
          <w:noProof/>
          <w:sz w:val="22"/>
          <w:szCs w:val="22"/>
          <w:lang w:val="en-US"/>
        </w:rPr>
        <w:t xml:space="preserve">the toxicologic </w:t>
      </w:r>
      <w:r w:rsidR="002E2404">
        <w:rPr>
          <w:noProof/>
          <w:sz w:val="22"/>
          <w:szCs w:val="22"/>
          <w:lang w:val="en-US"/>
        </w:rPr>
        <w:t xml:space="preserve">preclinical species </w:t>
      </w:r>
      <w:r w:rsidR="004B0EC6">
        <w:rPr>
          <w:noProof/>
          <w:sz w:val="22"/>
          <w:szCs w:val="22"/>
          <w:lang w:val="en-US"/>
        </w:rPr>
        <w:t xml:space="preserve">has </w:t>
      </w:r>
      <w:r w:rsidR="00FC22F5">
        <w:rPr>
          <w:noProof/>
          <w:sz w:val="22"/>
          <w:szCs w:val="22"/>
          <w:lang w:val="en-US"/>
        </w:rPr>
        <w:t xml:space="preserve">equally </w:t>
      </w:r>
      <w:r w:rsidR="004B0EC6">
        <w:rPr>
          <w:noProof/>
          <w:sz w:val="22"/>
          <w:szCs w:val="22"/>
          <w:lang w:val="en-US"/>
        </w:rPr>
        <w:t xml:space="preserve">been proposed </w:t>
      </w:r>
      <w:sdt>
        <w:sdtPr>
          <w:rPr>
            <w:noProof/>
            <w:sz w:val="22"/>
            <w:szCs w:val="22"/>
            <w:lang w:val="en-US"/>
          </w:rPr>
          <w:id w:val="-186758428"/>
          <w:citation/>
        </w:sdtPr>
        <w:sdtEndPr/>
        <w:sdtContent>
          <w:r w:rsidR="00ED3A69">
            <w:rPr>
              <w:noProof/>
              <w:sz w:val="22"/>
              <w:szCs w:val="22"/>
              <w:lang w:val="en-US"/>
            </w:rPr>
            <w:fldChar w:fldCharType="begin"/>
          </w:r>
          <w:r w:rsidR="00ED3A69" w:rsidRPr="00ED3A69">
            <w:rPr>
              <w:noProof/>
              <w:sz w:val="22"/>
              <w:szCs w:val="22"/>
              <w:lang w:val="en-GB"/>
            </w:rPr>
            <w:instrText xml:space="preserve"> CITATION Fes10 \l 1036 </w:instrText>
          </w:r>
          <w:r w:rsidR="00ED3A69">
            <w:rPr>
              <w:noProof/>
              <w:sz w:val="22"/>
              <w:szCs w:val="22"/>
              <w:lang w:val="en-US"/>
            </w:rPr>
            <w:fldChar w:fldCharType="separate"/>
          </w:r>
          <w:r w:rsidR="002D6947" w:rsidRPr="002D6947">
            <w:rPr>
              <w:noProof/>
              <w:sz w:val="22"/>
              <w:szCs w:val="22"/>
              <w:lang w:val="en-GB"/>
            </w:rPr>
            <w:t>[50]</w:t>
          </w:r>
          <w:r w:rsidR="00ED3A69">
            <w:rPr>
              <w:noProof/>
              <w:sz w:val="22"/>
              <w:szCs w:val="22"/>
              <w:lang w:val="en-US"/>
            </w:rPr>
            <w:fldChar w:fldCharType="end"/>
          </w:r>
        </w:sdtContent>
      </w:sdt>
      <w:r w:rsidR="004B0EC6">
        <w:rPr>
          <w:noProof/>
          <w:sz w:val="22"/>
          <w:szCs w:val="22"/>
          <w:lang w:val="en-US"/>
        </w:rPr>
        <w:t>. Yet</w:t>
      </w:r>
      <w:r w:rsidR="002E2404">
        <w:rPr>
          <w:noProof/>
          <w:sz w:val="22"/>
          <w:szCs w:val="22"/>
          <w:lang w:val="en-US"/>
        </w:rPr>
        <w:t xml:space="preserve"> </w:t>
      </w:r>
      <w:r w:rsidR="004B0EC6">
        <w:rPr>
          <w:noProof/>
          <w:sz w:val="22"/>
          <w:szCs w:val="22"/>
          <w:lang w:val="en-US"/>
        </w:rPr>
        <w:t>much further work is required</w:t>
      </w:r>
      <w:r w:rsidR="002E2404">
        <w:rPr>
          <w:noProof/>
          <w:sz w:val="22"/>
          <w:szCs w:val="22"/>
          <w:lang w:val="en-US"/>
        </w:rPr>
        <w:t xml:space="preserve"> </w:t>
      </w:r>
      <w:r w:rsidR="004B0EC6">
        <w:rPr>
          <w:noProof/>
          <w:sz w:val="22"/>
          <w:szCs w:val="22"/>
          <w:lang w:val="en-US"/>
        </w:rPr>
        <w:t>alongside</w:t>
      </w:r>
      <w:r w:rsidR="00031050">
        <w:rPr>
          <w:noProof/>
          <w:sz w:val="22"/>
          <w:szCs w:val="22"/>
          <w:lang w:val="en-US"/>
        </w:rPr>
        <w:t xml:space="preserve"> the</w:t>
      </w:r>
      <w:r w:rsidR="002E2404">
        <w:rPr>
          <w:noProof/>
          <w:sz w:val="22"/>
          <w:szCs w:val="22"/>
          <w:lang w:val="en-US"/>
        </w:rPr>
        <w:t xml:space="preserve"> </w:t>
      </w:r>
      <w:r w:rsidR="005A2402">
        <w:rPr>
          <w:noProof/>
          <w:sz w:val="22"/>
          <w:szCs w:val="22"/>
          <w:lang w:val="en-US"/>
        </w:rPr>
        <w:t xml:space="preserve">need </w:t>
      </w:r>
      <w:r w:rsidR="00031050">
        <w:rPr>
          <w:noProof/>
          <w:sz w:val="22"/>
          <w:szCs w:val="22"/>
          <w:lang w:val="en-US"/>
        </w:rPr>
        <w:t xml:space="preserve">to identify </w:t>
      </w:r>
      <w:r w:rsidR="002E2404">
        <w:rPr>
          <w:noProof/>
          <w:sz w:val="22"/>
          <w:szCs w:val="22"/>
          <w:lang w:val="en-US"/>
        </w:rPr>
        <w:t xml:space="preserve">sensitive and specific biomarkers </w:t>
      </w:r>
      <w:r w:rsidR="00FC22F5">
        <w:rPr>
          <w:noProof/>
          <w:sz w:val="22"/>
          <w:szCs w:val="22"/>
          <w:lang w:val="en-US"/>
        </w:rPr>
        <w:t>of</w:t>
      </w:r>
      <w:r w:rsidR="002E2404">
        <w:rPr>
          <w:noProof/>
          <w:sz w:val="22"/>
          <w:szCs w:val="22"/>
          <w:lang w:val="en-US"/>
        </w:rPr>
        <w:t xml:space="preserve"> mitochondrial toxicity. Routine measurement of serum lactate levels has been suggested, since </w:t>
      </w:r>
      <w:r w:rsidR="002E2404">
        <w:rPr>
          <w:color w:val="000000"/>
          <w:sz w:val="22"/>
          <w:shd w:val="clear" w:color="auto" w:fill="FFFFFF"/>
          <w:lang w:val="en-GB"/>
        </w:rPr>
        <w:t>t</w:t>
      </w:r>
      <w:r w:rsidR="00054DCE" w:rsidRPr="006F6CAA">
        <w:rPr>
          <w:color w:val="000000"/>
          <w:sz w:val="22"/>
          <w:shd w:val="clear" w:color="auto" w:fill="FFFFFF"/>
          <w:lang w:val="en-GB"/>
        </w:rPr>
        <w:t xml:space="preserve">he liver </w:t>
      </w:r>
      <w:r w:rsidR="006F6CAA">
        <w:rPr>
          <w:color w:val="000000"/>
          <w:sz w:val="22"/>
          <w:shd w:val="clear" w:color="auto" w:fill="FFFFFF"/>
          <w:lang w:val="en-GB"/>
        </w:rPr>
        <w:t>is</w:t>
      </w:r>
      <w:r w:rsidR="00054DCE" w:rsidRPr="006F6CAA">
        <w:rPr>
          <w:color w:val="000000"/>
          <w:sz w:val="22"/>
          <w:shd w:val="clear" w:color="auto" w:fill="FFFFFF"/>
          <w:lang w:val="en-GB"/>
        </w:rPr>
        <w:t xml:space="preserve"> primarily re</w:t>
      </w:r>
      <w:r w:rsidR="006F6CAA">
        <w:rPr>
          <w:color w:val="000000"/>
          <w:sz w:val="22"/>
          <w:shd w:val="clear" w:color="auto" w:fill="FFFFFF"/>
          <w:lang w:val="en-GB"/>
        </w:rPr>
        <w:t>sponsible for lactate clearance</w:t>
      </w:r>
      <w:r w:rsidR="00054DCE" w:rsidRPr="006F6CAA">
        <w:rPr>
          <w:color w:val="000000"/>
          <w:sz w:val="22"/>
          <w:shd w:val="clear" w:color="auto" w:fill="FFFFFF"/>
          <w:lang w:val="en-GB"/>
        </w:rPr>
        <w:t xml:space="preserve"> and lactate clearance may be impaired</w:t>
      </w:r>
      <w:r w:rsidR="00485723" w:rsidRPr="00485723">
        <w:rPr>
          <w:color w:val="000000"/>
          <w:sz w:val="22"/>
          <w:shd w:val="clear" w:color="auto" w:fill="FFFFFF"/>
          <w:lang w:val="en-GB"/>
        </w:rPr>
        <w:t xml:space="preserve"> </w:t>
      </w:r>
      <w:r w:rsidR="00485723" w:rsidRPr="006F6CAA">
        <w:rPr>
          <w:color w:val="000000"/>
          <w:sz w:val="22"/>
          <w:shd w:val="clear" w:color="auto" w:fill="FFFFFF"/>
          <w:lang w:val="en-GB"/>
        </w:rPr>
        <w:t>in the presence of significant liver dysfunction</w:t>
      </w:r>
      <w:r w:rsidR="00054DCE" w:rsidRPr="006F6CAA">
        <w:rPr>
          <w:color w:val="000000"/>
          <w:sz w:val="22"/>
          <w:shd w:val="clear" w:color="auto" w:fill="FFFFFF"/>
          <w:lang w:val="en-GB"/>
        </w:rPr>
        <w:t xml:space="preserve">. </w:t>
      </w:r>
      <w:r w:rsidR="006F6CAA">
        <w:rPr>
          <w:color w:val="000000"/>
          <w:sz w:val="22"/>
          <w:shd w:val="clear" w:color="auto" w:fill="FFFFFF"/>
          <w:lang w:val="en-GB"/>
        </w:rPr>
        <w:t>S</w:t>
      </w:r>
      <w:r w:rsidR="00054DCE" w:rsidRPr="006F6CAA">
        <w:rPr>
          <w:color w:val="000000"/>
          <w:sz w:val="22"/>
          <w:shd w:val="clear" w:color="auto" w:fill="FFFFFF"/>
          <w:lang w:val="en-GB"/>
        </w:rPr>
        <w:t>tudies have shown the acutely injured liver may itself act as a source of lactate</w:t>
      </w:r>
      <w:r w:rsidR="0037684D">
        <w:rPr>
          <w:color w:val="000000"/>
          <w:sz w:val="22"/>
          <w:shd w:val="clear" w:color="auto" w:fill="FFFFFF"/>
          <w:lang w:val="en-GB"/>
        </w:rPr>
        <w:t xml:space="preserve">, but as a biomarker of mitochondrial toxicity, elevation of lactate does not appear to show a clear correlation with lactic acidosis </w:t>
      </w:r>
      <w:sdt>
        <w:sdtPr>
          <w:rPr>
            <w:color w:val="000000"/>
            <w:sz w:val="22"/>
            <w:shd w:val="clear" w:color="auto" w:fill="FFFFFF"/>
            <w:lang w:val="en-GB"/>
          </w:rPr>
          <w:id w:val="144867827"/>
          <w:citation/>
        </w:sdtPr>
        <w:sdtEndPr/>
        <w:sdtContent>
          <w:r w:rsidR="006501C4">
            <w:rPr>
              <w:color w:val="000000"/>
              <w:sz w:val="22"/>
              <w:shd w:val="clear" w:color="auto" w:fill="FFFFFF"/>
              <w:lang w:val="en-GB"/>
            </w:rPr>
            <w:fldChar w:fldCharType="begin"/>
          </w:r>
          <w:r w:rsidR="006501C4" w:rsidRPr="006501C4">
            <w:rPr>
              <w:color w:val="000000"/>
              <w:sz w:val="22"/>
              <w:shd w:val="clear" w:color="auto" w:fill="FFFFFF"/>
              <w:lang w:val="en-GB"/>
            </w:rPr>
            <w:instrText xml:space="preserve"> CITATION Mon04 \l 1036 </w:instrText>
          </w:r>
          <w:r w:rsidR="006501C4">
            <w:rPr>
              <w:color w:val="000000"/>
              <w:sz w:val="22"/>
              <w:shd w:val="clear" w:color="auto" w:fill="FFFFFF"/>
              <w:lang w:val="en-GB"/>
            </w:rPr>
            <w:fldChar w:fldCharType="separate"/>
          </w:r>
          <w:r w:rsidR="002D6947" w:rsidRPr="002D6947">
            <w:rPr>
              <w:noProof/>
              <w:color w:val="000000"/>
              <w:sz w:val="22"/>
              <w:shd w:val="clear" w:color="auto" w:fill="FFFFFF"/>
              <w:lang w:val="en-GB"/>
            </w:rPr>
            <w:t>[51]</w:t>
          </w:r>
          <w:r w:rsidR="006501C4">
            <w:rPr>
              <w:color w:val="000000"/>
              <w:sz w:val="22"/>
              <w:shd w:val="clear" w:color="auto" w:fill="FFFFFF"/>
              <w:lang w:val="en-GB"/>
            </w:rPr>
            <w:fldChar w:fldCharType="end"/>
          </w:r>
        </w:sdtContent>
      </w:sdt>
      <w:r w:rsidR="006501C4">
        <w:rPr>
          <w:color w:val="000000"/>
          <w:sz w:val="22"/>
          <w:shd w:val="clear" w:color="auto" w:fill="FFFFFF"/>
          <w:lang w:val="en-GB"/>
        </w:rPr>
        <w:t xml:space="preserve">. </w:t>
      </w:r>
      <w:r w:rsidR="0037684D">
        <w:rPr>
          <w:color w:val="000000"/>
          <w:sz w:val="22"/>
          <w:shd w:val="clear" w:color="auto" w:fill="FFFFFF"/>
          <w:lang w:val="en-GB"/>
        </w:rPr>
        <w:t xml:space="preserve"> </w:t>
      </w:r>
    </w:p>
    <w:p w14:paraId="3FC299DA" w14:textId="77777777" w:rsidR="00031050" w:rsidRDefault="00031050" w:rsidP="00FC3B5A">
      <w:pPr>
        <w:spacing w:line="480" w:lineRule="auto"/>
        <w:jc w:val="both"/>
        <w:rPr>
          <w:b/>
          <w:smallCaps/>
          <w:sz w:val="22"/>
          <w:szCs w:val="22"/>
          <w:lang w:val="en-GB"/>
        </w:rPr>
      </w:pPr>
    </w:p>
    <w:p w14:paraId="4F46606A" w14:textId="77777777" w:rsidR="00FC3B5A" w:rsidRDefault="00FC3B5A" w:rsidP="00FC3B5A">
      <w:pPr>
        <w:spacing w:line="480" w:lineRule="auto"/>
        <w:jc w:val="both"/>
        <w:rPr>
          <w:b/>
          <w:smallCaps/>
          <w:sz w:val="22"/>
          <w:szCs w:val="22"/>
          <w:lang w:val="en-US"/>
        </w:rPr>
      </w:pPr>
      <w:r>
        <w:rPr>
          <w:b/>
          <w:smallCaps/>
          <w:sz w:val="22"/>
          <w:szCs w:val="22"/>
          <w:lang w:val="en-US"/>
        </w:rPr>
        <w:t xml:space="preserve">3. </w:t>
      </w:r>
      <w:r w:rsidR="00A51E07" w:rsidRPr="000016FB">
        <w:rPr>
          <w:b/>
          <w:smallCaps/>
          <w:sz w:val="22"/>
          <w:szCs w:val="22"/>
          <w:lang w:val="en-US"/>
        </w:rPr>
        <w:t xml:space="preserve">Cholestasis </w:t>
      </w:r>
    </w:p>
    <w:p w14:paraId="59ED9A2C" w14:textId="77777777" w:rsidR="005E405C" w:rsidRPr="000016FB" w:rsidRDefault="00E90A23" w:rsidP="006730B6">
      <w:pPr>
        <w:spacing w:line="480" w:lineRule="auto"/>
        <w:jc w:val="both"/>
        <w:rPr>
          <w:b/>
          <w:smallCaps/>
          <w:sz w:val="22"/>
          <w:szCs w:val="22"/>
          <w:lang w:val="en-US"/>
        </w:rPr>
      </w:pPr>
      <w:r>
        <w:rPr>
          <w:i/>
          <w:noProof/>
          <w:sz w:val="22"/>
          <w:szCs w:val="22"/>
          <w:lang w:val="en-US"/>
        </w:rPr>
        <w:t>3.1.</w:t>
      </w:r>
      <w:r w:rsidRPr="000016FB">
        <w:rPr>
          <w:i/>
          <w:noProof/>
          <w:sz w:val="22"/>
          <w:szCs w:val="22"/>
          <w:lang w:val="en-US"/>
        </w:rPr>
        <w:t xml:space="preserve"> </w:t>
      </w:r>
      <w:r w:rsidR="00783402" w:rsidRPr="000016FB">
        <w:rPr>
          <w:i/>
          <w:noProof/>
          <w:sz w:val="22"/>
          <w:szCs w:val="22"/>
          <w:lang w:val="en-US"/>
        </w:rPr>
        <w:t>Current understanding &amp; importance</w:t>
      </w:r>
    </w:p>
    <w:p w14:paraId="0B4077C2" w14:textId="73A5CEDB" w:rsidR="00A51E07" w:rsidRPr="000016FB" w:rsidRDefault="00EE323C" w:rsidP="006730B6">
      <w:pPr>
        <w:spacing w:line="480" w:lineRule="auto"/>
        <w:jc w:val="both"/>
        <w:rPr>
          <w:sz w:val="22"/>
          <w:szCs w:val="22"/>
          <w:lang w:val="en-US"/>
        </w:rPr>
      </w:pPr>
      <w:r>
        <w:rPr>
          <w:sz w:val="22"/>
          <w:szCs w:val="22"/>
          <w:lang w:val="en-US"/>
        </w:rPr>
        <w:t xml:space="preserve">Cholestasis is defined </w:t>
      </w:r>
      <w:r w:rsidR="00E172EB">
        <w:rPr>
          <w:sz w:val="22"/>
          <w:szCs w:val="22"/>
          <w:lang w:val="en-US"/>
        </w:rPr>
        <w:t xml:space="preserve">as an impairment of bile flow that can manifest </w:t>
      </w:r>
      <w:r>
        <w:rPr>
          <w:sz w:val="22"/>
          <w:szCs w:val="22"/>
          <w:lang w:val="en-US"/>
        </w:rPr>
        <w:t xml:space="preserve">clinically as </w:t>
      </w:r>
      <w:r w:rsidR="00E172EB">
        <w:rPr>
          <w:sz w:val="22"/>
          <w:szCs w:val="22"/>
          <w:lang w:val="en-US"/>
        </w:rPr>
        <w:t xml:space="preserve">jaundice or icterus (due to increase in </w:t>
      </w:r>
      <w:r>
        <w:rPr>
          <w:sz w:val="22"/>
          <w:szCs w:val="22"/>
          <w:lang w:val="en-US"/>
        </w:rPr>
        <w:t>total bilirubin</w:t>
      </w:r>
      <w:r w:rsidR="00E172EB">
        <w:rPr>
          <w:sz w:val="22"/>
          <w:szCs w:val="22"/>
          <w:lang w:val="en-US"/>
        </w:rPr>
        <w:t>).  Elevated serum total bilirubin levels</w:t>
      </w:r>
      <w:r>
        <w:rPr>
          <w:sz w:val="22"/>
          <w:szCs w:val="22"/>
          <w:lang w:val="en-US"/>
        </w:rPr>
        <w:t xml:space="preserve"> combined with </w:t>
      </w:r>
      <w:r w:rsidR="008715F3">
        <w:rPr>
          <w:sz w:val="22"/>
          <w:szCs w:val="22"/>
          <w:lang w:val="en-US"/>
        </w:rPr>
        <w:t>increased serum transaminase levels</w:t>
      </w:r>
      <w:r w:rsidR="00E172EB">
        <w:rPr>
          <w:sz w:val="22"/>
          <w:szCs w:val="22"/>
          <w:lang w:val="en-US"/>
        </w:rPr>
        <w:t xml:space="preserve"> are</w:t>
      </w:r>
      <w:r w:rsidR="00BC42C3">
        <w:rPr>
          <w:sz w:val="22"/>
          <w:szCs w:val="22"/>
          <w:lang w:val="en-US"/>
        </w:rPr>
        <w:t xml:space="preserve"> </w:t>
      </w:r>
      <w:r w:rsidR="00E172EB">
        <w:rPr>
          <w:sz w:val="22"/>
          <w:szCs w:val="22"/>
          <w:lang w:val="en-US"/>
        </w:rPr>
        <w:t xml:space="preserve">the </w:t>
      </w:r>
      <w:r>
        <w:rPr>
          <w:sz w:val="22"/>
          <w:szCs w:val="22"/>
          <w:lang w:val="en-US"/>
        </w:rPr>
        <w:t>component</w:t>
      </w:r>
      <w:r w:rsidR="00E172EB">
        <w:rPr>
          <w:sz w:val="22"/>
          <w:szCs w:val="22"/>
          <w:lang w:val="en-US"/>
        </w:rPr>
        <w:t>s</w:t>
      </w:r>
      <w:r>
        <w:rPr>
          <w:sz w:val="22"/>
          <w:szCs w:val="22"/>
          <w:lang w:val="en-US"/>
        </w:rPr>
        <w:t xml:space="preserve"> of </w:t>
      </w:r>
      <w:proofErr w:type="spellStart"/>
      <w:r>
        <w:rPr>
          <w:sz w:val="22"/>
          <w:szCs w:val="22"/>
          <w:lang w:val="en-US"/>
        </w:rPr>
        <w:t>Hy’s</w:t>
      </w:r>
      <w:proofErr w:type="spellEnd"/>
      <w:r>
        <w:rPr>
          <w:sz w:val="22"/>
          <w:szCs w:val="22"/>
          <w:lang w:val="en-US"/>
        </w:rPr>
        <w:t xml:space="preserve"> Law</w:t>
      </w:r>
      <w:r w:rsidR="00E172EB">
        <w:rPr>
          <w:sz w:val="22"/>
          <w:szCs w:val="22"/>
          <w:lang w:val="en-US"/>
        </w:rPr>
        <w:t xml:space="preserve"> and are</w:t>
      </w:r>
      <w:r w:rsidR="008715F3">
        <w:rPr>
          <w:sz w:val="22"/>
          <w:szCs w:val="22"/>
          <w:lang w:val="en-US"/>
        </w:rPr>
        <w:t xml:space="preserve"> relevant commonly used </w:t>
      </w:r>
      <w:r w:rsidR="003A099E">
        <w:rPr>
          <w:sz w:val="22"/>
          <w:szCs w:val="22"/>
          <w:lang w:val="en-US"/>
        </w:rPr>
        <w:t>clinical</w:t>
      </w:r>
      <w:r>
        <w:rPr>
          <w:sz w:val="22"/>
          <w:szCs w:val="22"/>
          <w:lang w:val="en-US"/>
        </w:rPr>
        <w:t xml:space="preserve"> indicator</w:t>
      </w:r>
      <w:r w:rsidR="00E172EB">
        <w:rPr>
          <w:sz w:val="22"/>
          <w:szCs w:val="22"/>
          <w:lang w:val="en-US"/>
        </w:rPr>
        <w:t>s</w:t>
      </w:r>
      <w:r>
        <w:rPr>
          <w:sz w:val="22"/>
          <w:szCs w:val="22"/>
          <w:lang w:val="en-US"/>
        </w:rPr>
        <w:t xml:space="preserve"> of severe liver injury. </w:t>
      </w:r>
      <w:r w:rsidR="00FD643C">
        <w:rPr>
          <w:sz w:val="22"/>
          <w:szCs w:val="22"/>
          <w:lang w:val="en-US"/>
        </w:rPr>
        <w:t>Hyperbilir</w:t>
      </w:r>
      <w:r w:rsidR="00485723">
        <w:rPr>
          <w:sz w:val="22"/>
          <w:szCs w:val="22"/>
          <w:lang w:val="en-US"/>
        </w:rPr>
        <w:t>u</w:t>
      </w:r>
      <w:r w:rsidR="00FD643C">
        <w:rPr>
          <w:sz w:val="22"/>
          <w:szCs w:val="22"/>
          <w:lang w:val="en-US"/>
        </w:rPr>
        <w:t>binemia can be caused by multiple mechanisms that fall into the following three broad categories: (1) overproduction, such as in hemolytic anemia; (2) inadequate hepatic uptake, conjugation or secretion of bilirubin; and (3) intrahepatic or extrahepatic impairment of bile flow (i.e., cholestasis).  D</w:t>
      </w:r>
      <w:r w:rsidR="005932EE">
        <w:rPr>
          <w:sz w:val="22"/>
          <w:szCs w:val="22"/>
          <w:lang w:val="en-US"/>
        </w:rPr>
        <w:t xml:space="preserve">etection of cholestasis </w:t>
      </w:r>
      <w:r w:rsidR="00DB387E">
        <w:rPr>
          <w:sz w:val="22"/>
          <w:szCs w:val="22"/>
          <w:lang w:val="en-US"/>
        </w:rPr>
        <w:t>in toxicology species</w:t>
      </w:r>
      <w:r>
        <w:rPr>
          <w:sz w:val="22"/>
          <w:szCs w:val="22"/>
          <w:lang w:val="en-US"/>
        </w:rPr>
        <w:t xml:space="preserve"> or during clinical testing</w:t>
      </w:r>
      <w:r w:rsidR="00DB387E">
        <w:rPr>
          <w:sz w:val="22"/>
          <w:szCs w:val="22"/>
          <w:lang w:val="en-US"/>
        </w:rPr>
        <w:t xml:space="preserve"> </w:t>
      </w:r>
      <w:r w:rsidR="008F68AB">
        <w:rPr>
          <w:sz w:val="22"/>
          <w:szCs w:val="22"/>
          <w:lang w:val="en-US"/>
        </w:rPr>
        <w:t xml:space="preserve">frequently </w:t>
      </w:r>
      <w:r w:rsidR="0096482E">
        <w:rPr>
          <w:sz w:val="22"/>
          <w:szCs w:val="22"/>
          <w:lang w:val="en-US"/>
        </w:rPr>
        <w:t>impact</w:t>
      </w:r>
      <w:r w:rsidR="00D27C32">
        <w:rPr>
          <w:sz w:val="22"/>
          <w:szCs w:val="22"/>
          <w:lang w:val="en-US"/>
        </w:rPr>
        <w:t>s</w:t>
      </w:r>
      <w:r w:rsidR="0096482E">
        <w:rPr>
          <w:sz w:val="22"/>
          <w:szCs w:val="22"/>
          <w:lang w:val="en-US"/>
        </w:rPr>
        <w:t xml:space="preserve"> </w:t>
      </w:r>
      <w:r w:rsidR="00FB538D">
        <w:rPr>
          <w:sz w:val="22"/>
          <w:szCs w:val="22"/>
          <w:lang w:val="en-US"/>
        </w:rPr>
        <w:t xml:space="preserve">the </w:t>
      </w:r>
      <w:r w:rsidR="00DB387E">
        <w:rPr>
          <w:sz w:val="22"/>
          <w:szCs w:val="22"/>
          <w:lang w:val="en-US"/>
        </w:rPr>
        <w:t xml:space="preserve">development of </w:t>
      </w:r>
      <w:r w:rsidR="002072AC" w:rsidRPr="000016FB">
        <w:rPr>
          <w:sz w:val="22"/>
          <w:szCs w:val="22"/>
          <w:lang w:val="en-US"/>
        </w:rPr>
        <w:t>novel pharmaceutical compounds</w:t>
      </w:r>
      <w:r w:rsidR="00DB387E">
        <w:rPr>
          <w:sz w:val="22"/>
          <w:szCs w:val="22"/>
          <w:lang w:val="en-US"/>
        </w:rPr>
        <w:t xml:space="preserve">. </w:t>
      </w:r>
      <w:r w:rsidR="00FD643C">
        <w:rPr>
          <w:sz w:val="22"/>
          <w:szCs w:val="22"/>
          <w:lang w:val="en-US"/>
        </w:rPr>
        <w:t>In addition, i</w:t>
      </w:r>
      <w:r w:rsidR="00A51E07" w:rsidRPr="000016FB">
        <w:rPr>
          <w:sz w:val="22"/>
          <w:szCs w:val="22"/>
          <w:lang w:val="en-US"/>
        </w:rPr>
        <w:t>n</w:t>
      </w:r>
      <w:r w:rsidR="00CA3902" w:rsidRPr="000016FB">
        <w:rPr>
          <w:sz w:val="22"/>
          <w:szCs w:val="22"/>
          <w:lang w:val="en-US"/>
        </w:rPr>
        <w:t>jury of the biliary epithelium,</w:t>
      </w:r>
      <w:r w:rsidR="00D12E7E">
        <w:rPr>
          <w:sz w:val="22"/>
          <w:szCs w:val="22"/>
          <w:lang w:val="en-US"/>
        </w:rPr>
        <w:t xml:space="preserve"> </w:t>
      </w:r>
      <w:r w:rsidR="005932EE">
        <w:rPr>
          <w:sz w:val="22"/>
          <w:szCs w:val="22"/>
          <w:lang w:val="en-US"/>
        </w:rPr>
        <w:t xml:space="preserve">with or without cholestasis, </w:t>
      </w:r>
      <w:r w:rsidR="00A51E07" w:rsidRPr="000016FB">
        <w:rPr>
          <w:sz w:val="22"/>
          <w:szCs w:val="22"/>
          <w:lang w:val="en-US"/>
        </w:rPr>
        <w:t xml:space="preserve">can be species specific and </w:t>
      </w:r>
      <w:r w:rsidR="00D27C32">
        <w:rPr>
          <w:sz w:val="22"/>
          <w:szCs w:val="22"/>
          <w:lang w:val="en-US"/>
        </w:rPr>
        <w:t>can</w:t>
      </w:r>
      <w:r w:rsidR="00D27C32" w:rsidRPr="000016FB">
        <w:rPr>
          <w:sz w:val="22"/>
          <w:szCs w:val="22"/>
          <w:lang w:val="en-US"/>
        </w:rPr>
        <w:t xml:space="preserve"> </w:t>
      </w:r>
      <w:r w:rsidR="00A51E07" w:rsidRPr="000016FB">
        <w:rPr>
          <w:sz w:val="22"/>
          <w:szCs w:val="22"/>
          <w:lang w:val="en-US"/>
        </w:rPr>
        <w:t xml:space="preserve">occur only after months of dosing of a test </w:t>
      </w:r>
      <w:r w:rsidR="00317115">
        <w:rPr>
          <w:sz w:val="22"/>
          <w:szCs w:val="22"/>
          <w:lang w:val="en-US"/>
        </w:rPr>
        <w:t>compound</w:t>
      </w:r>
      <w:r>
        <w:rPr>
          <w:noProof/>
          <w:sz w:val="22"/>
          <w:szCs w:val="22"/>
          <w:lang w:val="en-GB"/>
        </w:rPr>
        <w:t xml:space="preserve"> </w:t>
      </w:r>
      <w:sdt>
        <w:sdtPr>
          <w:rPr>
            <w:noProof/>
            <w:sz w:val="22"/>
            <w:szCs w:val="22"/>
            <w:lang w:val="en-GB"/>
          </w:rPr>
          <w:id w:val="-2026087579"/>
          <w:citation/>
        </w:sdtPr>
        <w:sdtEndPr/>
        <w:sdtContent>
          <w:r w:rsidR="00F21C43">
            <w:rPr>
              <w:noProof/>
              <w:sz w:val="22"/>
              <w:szCs w:val="22"/>
              <w:lang w:val="en-GB"/>
            </w:rPr>
            <w:fldChar w:fldCharType="begin"/>
          </w:r>
          <w:r w:rsidR="00F21C43">
            <w:rPr>
              <w:noProof/>
              <w:sz w:val="22"/>
              <w:szCs w:val="22"/>
              <w:lang w:val="en-GB"/>
            </w:rPr>
            <w:instrText xml:space="preserve"> CITATION Hai14 \l 2057 </w:instrText>
          </w:r>
          <w:r w:rsidR="00F21C43">
            <w:rPr>
              <w:noProof/>
              <w:sz w:val="22"/>
              <w:szCs w:val="22"/>
              <w:lang w:val="en-GB"/>
            </w:rPr>
            <w:fldChar w:fldCharType="separate"/>
          </w:r>
          <w:r w:rsidR="002D6947" w:rsidRPr="002D6947">
            <w:rPr>
              <w:noProof/>
              <w:sz w:val="22"/>
              <w:szCs w:val="22"/>
              <w:lang w:val="en-GB"/>
            </w:rPr>
            <w:t>[52]</w:t>
          </w:r>
          <w:r w:rsidR="00F21C43">
            <w:rPr>
              <w:noProof/>
              <w:sz w:val="22"/>
              <w:szCs w:val="22"/>
              <w:lang w:val="en-GB"/>
            </w:rPr>
            <w:fldChar w:fldCharType="end"/>
          </w:r>
        </w:sdtContent>
      </w:sdt>
      <w:r w:rsidR="00A51E07" w:rsidRPr="000016FB">
        <w:rPr>
          <w:sz w:val="22"/>
          <w:szCs w:val="22"/>
          <w:lang w:val="en-US"/>
        </w:rPr>
        <w:t xml:space="preserve">. The injury can be </w:t>
      </w:r>
      <w:r w:rsidR="009C7638" w:rsidRPr="000016FB">
        <w:rPr>
          <w:sz w:val="22"/>
          <w:szCs w:val="22"/>
          <w:lang w:val="en-US"/>
        </w:rPr>
        <w:t>slight</w:t>
      </w:r>
      <w:r w:rsidR="00A51E07" w:rsidRPr="000016FB">
        <w:rPr>
          <w:sz w:val="22"/>
          <w:szCs w:val="22"/>
          <w:lang w:val="en-US"/>
        </w:rPr>
        <w:t>, only detectable by histopathological evaluation or can be severe with concomitant cholestasis and hepatocellular necrosis. When present in toxicology studies, its relevance to human is often difficult, if not impossible</w:t>
      </w:r>
      <w:r w:rsidR="00D27C32">
        <w:rPr>
          <w:sz w:val="22"/>
          <w:szCs w:val="22"/>
          <w:lang w:val="en-US"/>
        </w:rPr>
        <w:t>,</w:t>
      </w:r>
      <w:r w:rsidR="00317115">
        <w:rPr>
          <w:sz w:val="22"/>
          <w:szCs w:val="22"/>
          <w:lang w:val="en-US"/>
        </w:rPr>
        <w:t xml:space="preserve"> to </w:t>
      </w:r>
      <w:r w:rsidR="00675F21">
        <w:rPr>
          <w:sz w:val="22"/>
          <w:szCs w:val="22"/>
          <w:lang w:val="en-US"/>
        </w:rPr>
        <w:t>ascertain</w:t>
      </w:r>
      <w:r w:rsidR="00A51E07" w:rsidRPr="000016FB">
        <w:rPr>
          <w:sz w:val="22"/>
          <w:szCs w:val="22"/>
          <w:lang w:val="en-US"/>
        </w:rPr>
        <w:t xml:space="preserve">. Frequently, this type of lesion </w:t>
      </w:r>
      <w:r w:rsidR="002072AC">
        <w:rPr>
          <w:sz w:val="22"/>
          <w:szCs w:val="22"/>
          <w:lang w:val="en-US"/>
        </w:rPr>
        <w:t>in toxicology species only becomes apparent</w:t>
      </w:r>
      <w:r w:rsidR="002072AC" w:rsidRPr="000016FB">
        <w:rPr>
          <w:sz w:val="22"/>
          <w:szCs w:val="22"/>
          <w:lang w:val="en-US"/>
        </w:rPr>
        <w:t xml:space="preserve"> </w:t>
      </w:r>
      <w:r w:rsidR="00A51E07" w:rsidRPr="000016FB">
        <w:rPr>
          <w:sz w:val="22"/>
          <w:szCs w:val="22"/>
          <w:lang w:val="en-US"/>
        </w:rPr>
        <w:t xml:space="preserve">after </w:t>
      </w:r>
      <w:r w:rsidR="008F588A">
        <w:rPr>
          <w:sz w:val="22"/>
          <w:szCs w:val="22"/>
          <w:lang w:val="en-US"/>
        </w:rPr>
        <w:t>the initiation of</w:t>
      </w:r>
      <w:r w:rsidR="008924A2">
        <w:rPr>
          <w:sz w:val="22"/>
          <w:szCs w:val="22"/>
          <w:lang w:val="en-US"/>
        </w:rPr>
        <w:t xml:space="preserve"> </w:t>
      </w:r>
      <w:r w:rsidR="002072AC">
        <w:rPr>
          <w:sz w:val="22"/>
          <w:szCs w:val="22"/>
          <w:lang w:val="en-US"/>
        </w:rPr>
        <w:t>clinical</w:t>
      </w:r>
      <w:r w:rsidR="00A51E07" w:rsidRPr="000016FB">
        <w:rPr>
          <w:sz w:val="22"/>
          <w:szCs w:val="22"/>
          <w:lang w:val="en-US"/>
        </w:rPr>
        <w:t xml:space="preserve"> enabling toxicology studies </w:t>
      </w:r>
      <w:r w:rsidR="00CA3902" w:rsidRPr="000016FB">
        <w:rPr>
          <w:sz w:val="22"/>
          <w:szCs w:val="22"/>
          <w:lang w:val="en-US"/>
        </w:rPr>
        <w:t>and</w:t>
      </w:r>
      <w:r w:rsidR="00A51E07" w:rsidRPr="000016FB">
        <w:rPr>
          <w:sz w:val="22"/>
          <w:szCs w:val="22"/>
          <w:lang w:val="en-US"/>
        </w:rPr>
        <w:t xml:space="preserve"> </w:t>
      </w:r>
      <w:r w:rsidR="008F588A">
        <w:rPr>
          <w:sz w:val="22"/>
          <w:szCs w:val="22"/>
          <w:lang w:val="en-US"/>
        </w:rPr>
        <w:t xml:space="preserve">following </w:t>
      </w:r>
      <w:r w:rsidR="00A51E07" w:rsidRPr="000016FB">
        <w:rPr>
          <w:sz w:val="22"/>
          <w:szCs w:val="22"/>
          <w:lang w:val="en-US"/>
        </w:rPr>
        <w:t xml:space="preserve">substantial investment of resources. </w:t>
      </w:r>
      <w:r w:rsidR="002072AC">
        <w:rPr>
          <w:sz w:val="22"/>
          <w:szCs w:val="22"/>
          <w:lang w:val="en-US"/>
        </w:rPr>
        <w:t xml:space="preserve">No </w:t>
      </w:r>
      <w:r w:rsidR="002072AC">
        <w:rPr>
          <w:sz w:val="22"/>
          <w:szCs w:val="22"/>
          <w:lang w:val="en-US"/>
        </w:rPr>
        <w:lastRenderedPageBreak/>
        <w:t xml:space="preserve">reliable biomarkers </w:t>
      </w:r>
      <w:r w:rsidR="00675F21">
        <w:rPr>
          <w:sz w:val="22"/>
          <w:szCs w:val="22"/>
          <w:lang w:val="en-US"/>
        </w:rPr>
        <w:t xml:space="preserve">or </w:t>
      </w:r>
      <w:r w:rsidR="00675F21" w:rsidRPr="000016FB">
        <w:rPr>
          <w:sz w:val="22"/>
          <w:szCs w:val="22"/>
          <w:lang w:val="en-US"/>
        </w:rPr>
        <w:t>clinical pathology correlate</w:t>
      </w:r>
      <w:r w:rsidR="00675F21">
        <w:rPr>
          <w:sz w:val="22"/>
          <w:szCs w:val="22"/>
          <w:lang w:val="en-US"/>
        </w:rPr>
        <w:t>s</w:t>
      </w:r>
      <w:r w:rsidR="00675F21" w:rsidRPr="000016FB">
        <w:rPr>
          <w:sz w:val="22"/>
          <w:szCs w:val="22"/>
          <w:lang w:val="en-US"/>
        </w:rPr>
        <w:t xml:space="preserve"> </w:t>
      </w:r>
      <w:r w:rsidR="002072AC">
        <w:rPr>
          <w:sz w:val="22"/>
          <w:szCs w:val="22"/>
          <w:lang w:val="en-US"/>
        </w:rPr>
        <w:t xml:space="preserve">exist for detection of biliary lesions, </w:t>
      </w:r>
      <w:r w:rsidR="00A51CC5">
        <w:rPr>
          <w:sz w:val="22"/>
          <w:szCs w:val="22"/>
          <w:lang w:val="en-US"/>
        </w:rPr>
        <w:t>thus assessing the risk for translation to human based on observations</w:t>
      </w:r>
      <w:r w:rsidR="002072AC">
        <w:rPr>
          <w:sz w:val="22"/>
          <w:szCs w:val="22"/>
          <w:lang w:val="en-US"/>
        </w:rPr>
        <w:t xml:space="preserve"> in preclinical species </w:t>
      </w:r>
      <w:r w:rsidR="00C82E5E">
        <w:rPr>
          <w:sz w:val="22"/>
          <w:szCs w:val="22"/>
          <w:lang w:val="en-US"/>
        </w:rPr>
        <w:t xml:space="preserve">is </w:t>
      </w:r>
      <w:r w:rsidR="002072AC">
        <w:rPr>
          <w:sz w:val="22"/>
          <w:szCs w:val="22"/>
          <w:lang w:val="en-US"/>
        </w:rPr>
        <w:t>difficult</w:t>
      </w:r>
      <w:r w:rsidR="00A51E07" w:rsidRPr="000016FB">
        <w:rPr>
          <w:sz w:val="22"/>
          <w:szCs w:val="22"/>
          <w:lang w:val="en-US"/>
        </w:rPr>
        <w:t xml:space="preserve"> </w:t>
      </w:r>
      <w:r w:rsidR="00CA3902" w:rsidRPr="000016FB">
        <w:rPr>
          <w:sz w:val="22"/>
          <w:szCs w:val="22"/>
          <w:lang w:val="en-US"/>
        </w:rPr>
        <w:t>(Table</w:t>
      </w:r>
      <w:r w:rsidR="00FD79D9">
        <w:rPr>
          <w:sz w:val="22"/>
          <w:szCs w:val="22"/>
          <w:lang w:val="en-US"/>
        </w:rPr>
        <w:t xml:space="preserve"> 4</w:t>
      </w:r>
      <w:r w:rsidR="00CA3902" w:rsidRPr="000016FB">
        <w:rPr>
          <w:sz w:val="22"/>
          <w:szCs w:val="22"/>
          <w:lang w:val="en-US"/>
        </w:rPr>
        <w:t>)</w:t>
      </w:r>
      <w:r w:rsidR="00A51E07" w:rsidRPr="000016FB">
        <w:rPr>
          <w:sz w:val="22"/>
          <w:szCs w:val="22"/>
          <w:lang w:val="en-US"/>
        </w:rPr>
        <w:t>.  As such, advancement of a candidate to clinical trials can be hindered with the finding of biliary lesion</w:t>
      </w:r>
      <w:r w:rsidR="00CA3902" w:rsidRPr="000016FB">
        <w:rPr>
          <w:sz w:val="22"/>
          <w:szCs w:val="22"/>
          <w:lang w:val="en-US"/>
        </w:rPr>
        <w:t xml:space="preserve"> </w:t>
      </w:r>
      <w:r w:rsidR="00FD643C">
        <w:rPr>
          <w:sz w:val="22"/>
          <w:szCs w:val="22"/>
          <w:lang w:val="en-US"/>
        </w:rPr>
        <w:t xml:space="preserve">or cholestasis </w:t>
      </w:r>
      <w:r w:rsidR="00CA3902" w:rsidRPr="000016FB">
        <w:rPr>
          <w:sz w:val="22"/>
          <w:szCs w:val="22"/>
          <w:lang w:val="en-US"/>
        </w:rPr>
        <w:t xml:space="preserve">arising in </w:t>
      </w:r>
      <w:r w:rsidR="00ED11E2">
        <w:rPr>
          <w:sz w:val="22"/>
          <w:szCs w:val="22"/>
          <w:lang w:val="en-US"/>
        </w:rPr>
        <w:t>sub-chronic and chronic</w:t>
      </w:r>
      <w:r w:rsidR="00CA3902" w:rsidRPr="000016FB">
        <w:rPr>
          <w:sz w:val="22"/>
          <w:szCs w:val="22"/>
          <w:lang w:val="en-US"/>
        </w:rPr>
        <w:t xml:space="preserve"> toxicology studies. </w:t>
      </w:r>
    </w:p>
    <w:p w14:paraId="433F04EC" w14:textId="77777777" w:rsidR="00A51E07" w:rsidRPr="000016FB" w:rsidRDefault="00A51E07" w:rsidP="006730B6">
      <w:pPr>
        <w:spacing w:line="480" w:lineRule="auto"/>
        <w:jc w:val="both"/>
        <w:rPr>
          <w:sz w:val="22"/>
          <w:szCs w:val="22"/>
          <w:lang w:val="en-US"/>
        </w:rPr>
      </w:pPr>
    </w:p>
    <w:p w14:paraId="63ACBB75" w14:textId="5F8172AE" w:rsidR="00A51E07" w:rsidRPr="000016FB" w:rsidRDefault="00A51E07" w:rsidP="006730B6">
      <w:pPr>
        <w:spacing w:line="480" w:lineRule="auto"/>
        <w:jc w:val="both"/>
        <w:rPr>
          <w:sz w:val="22"/>
          <w:szCs w:val="22"/>
          <w:lang w:val="en-US"/>
        </w:rPr>
      </w:pPr>
      <w:r w:rsidRPr="000016FB">
        <w:rPr>
          <w:sz w:val="22"/>
          <w:szCs w:val="22"/>
          <w:lang w:val="en-US"/>
        </w:rPr>
        <w:t xml:space="preserve">When a drug candidate causes </w:t>
      </w:r>
      <w:r w:rsidR="00FD643C">
        <w:rPr>
          <w:sz w:val="22"/>
          <w:szCs w:val="22"/>
          <w:lang w:val="en-US"/>
        </w:rPr>
        <w:t xml:space="preserve">biliary </w:t>
      </w:r>
      <w:r w:rsidR="00CC2954">
        <w:rPr>
          <w:sz w:val="22"/>
          <w:szCs w:val="22"/>
          <w:lang w:val="en-US"/>
        </w:rPr>
        <w:t xml:space="preserve">hyperplasia or </w:t>
      </w:r>
      <w:proofErr w:type="spellStart"/>
      <w:r w:rsidR="00CC2954">
        <w:rPr>
          <w:sz w:val="22"/>
          <w:szCs w:val="22"/>
          <w:lang w:val="en-US"/>
        </w:rPr>
        <w:t>cholangiopathies</w:t>
      </w:r>
      <w:proofErr w:type="spellEnd"/>
      <w:r w:rsidRPr="000016FB">
        <w:rPr>
          <w:sz w:val="22"/>
          <w:szCs w:val="22"/>
          <w:lang w:val="en-US"/>
        </w:rPr>
        <w:t xml:space="preserve"> in preclinical species, no </w:t>
      </w:r>
      <w:r w:rsidR="00FD643C">
        <w:rPr>
          <w:sz w:val="22"/>
          <w:szCs w:val="22"/>
          <w:lang w:val="en-US"/>
        </w:rPr>
        <w:t xml:space="preserve">general </w:t>
      </w:r>
      <w:r w:rsidR="00386B42">
        <w:rPr>
          <w:i/>
          <w:sz w:val="22"/>
          <w:szCs w:val="22"/>
          <w:lang w:val="en-US"/>
        </w:rPr>
        <w:t>i</w:t>
      </w:r>
      <w:r w:rsidR="00CA3902" w:rsidRPr="000016FB">
        <w:rPr>
          <w:i/>
          <w:sz w:val="22"/>
          <w:szCs w:val="22"/>
          <w:lang w:val="en-US"/>
        </w:rPr>
        <w:t>n vitro</w:t>
      </w:r>
      <w:r w:rsidR="00CA3902" w:rsidRPr="000016FB">
        <w:rPr>
          <w:sz w:val="22"/>
          <w:szCs w:val="22"/>
          <w:lang w:val="en-US"/>
        </w:rPr>
        <w:t xml:space="preserve"> </w:t>
      </w:r>
      <w:r w:rsidRPr="000016FB">
        <w:rPr>
          <w:sz w:val="22"/>
          <w:szCs w:val="22"/>
          <w:lang w:val="en-US"/>
        </w:rPr>
        <w:t xml:space="preserve">assays </w:t>
      </w:r>
      <w:r w:rsidR="0047610B" w:rsidRPr="000016FB">
        <w:rPr>
          <w:sz w:val="22"/>
          <w:szCs w:val="22"/>
          <w:lang w:val="en-US"/>
        </w:rPr>
        <w:t>have been</w:t>
      </w:r>
      <w:r w:rsidRPr="000016FB">
        <w:rPr>
          <w:sz w:val="22"/>
          <w:szCs w:val="22"/>
          <w:lang w:val="en-US"/>
        </w:rPr>
        <w:t xml:space="preserve"> available to test back</w:t>
      </w:r>
      <w:r w:rsidR="00675F21">
        <w:rPr>
          <w:sz w:val="22"/>
          <w:szCs w:val="22"/>
          <w:lang w:val="en-US"/>
        </w:rPr>
        <w:t>-</w:t>
      </w:r>
      <w:r w:rsidRPr="000016FB">
        <w:rPr>
          <w:sz w:val="22"/>
          <w:szCs w:val="22"/>
          <w:lang w:val="en-US"/>
        </w:rPr>
        <w:t>up candidates</w:t>
      </w:r>
      <w:r w:rsidR="008F588A">
        <w:rPr>
          <w:sz w:val="22"/>
          <w:szCs w:val="22"/>
          <w:lang w:val="en-US"/>
        </w:rPr>
        <w:t xml:space="preserve"> to screen-out </w:t>
      </w:r>
      <w:r w:rsidR="00C557FF">
        <w:rPr>
          <w:sz w:val="22"/>
          <w:szCs w:val="22"/>
          <w:lang w:val="en-US"/>
        </w:rPr>
        <w:t xml:space="preserve">this </w:t>
      </w:r>
      <w:r w:rsidR="008F588A">
        <w:rPr>
          <w:sz w:val="22"/>
          <w:szCs w:val="22"/>
          <w:lang w:val="en-US"/>
        </w:rPr>
        <w:t>chemical liability</w:t>
      </w:r>
      <w:r w:rsidR="00A51CC5">
        <w:rPr>
          <w:sz w:val="22"/>
          <w:szCs w:val="22"/>
          <w:lang w:val="en-US"/>
        </w:rPr>
        <w:t xml:space="preserve"> (Table 3)</w:t>
      </w:r>
      <w:r w:rsidRPr="000016FB">
        <w:rPr>
          <w:sz w:val="22"/>
          <w:szCs w:val="22"/>
          <w:lang w:val="en-US"/>
        </w:rPr>
        <w:t>. Consequently,</w:t>
      </w:r>
      <w:r w:rsidR="0047610B" w:rsidRPr="000016FB">
        <w:rPr>
          <w:sz w:val="22"/>
          <w:szCs w:val="22"/>
          <w:lang w:val="en-US"/>
        </w:rPr>
        <w:t xml:space="preserve"> multiple </w:t>
      </w:r>
      <w:r w:rsidR="0047610B" w:rsidRPr="005932EE">
        <w:rPr>
          <w:i/>
          <w:sz w:val="22"/>
          <w:szCs w:val="22"/>
          <w:lang w:val="en-US"/>
        </w:rPr>
        <w:t>in vivo</w:t>
      </w:r>
      <w:r w:rsidR="0047610B" w:rsidRPr="000016FB">
        <w:rPr>
          <w:sz w:val="22"/>
          <w:szCs w:val="22"/>
          <w:lang w:val="en-US"/>
        </w:rPr>
        <w:t xml:space="preserve"> studies </w:t>
      </w:r>
      <w:r w:rsidR="00F87242">
        <w:rPr>
          <w:sz w:val="22"/>
          <w:szCs w:val="22"/>
          <w:lang w:val="en-US"/>
        </w:rPr>
        <w:t>may be</w:t>
      </w:r>
      <w:r w:rsidR="00F87242" w:rsidRPr="000016FB">
        <w:rPr>
          <w:sz w:val="22"/>
          <w:szCs w:val="22"/>
          <w:lang w:val="en-US"/>
        </w:rPr>
        <w:t xml:space="preserve"> </w:t>
      </w:r>
      <w:r w:rsidRPr="000016FB">
        <w:rPr>
          <w:sz w:val="22"/>
          <w:szCs w:val="22"/>
          <w:lang w:val="en-US"/>
        </w:rPr>
        <w:t>required to determine if an alternat</w:t>
      </w:r>
      <w:r w:rsidR="00F87242">
        <w:rPr>
          <w:sz w:val="22"/>
          <w:szCs w:val="22"/>
          <w:lang w:val="en-US"/>
        </w:rPr>
        <w:t>ive</w:t>
      </w:r>
      <w:r w:rsidRPr="000016FB">
        <w:rPr>
          <w:sz w:val="22"/>
          <w:szCs w:val="22"/>
          <w:lang w:val="en-US"/>
        </w:rPr>
        <w:t xml:space="preserve"> compound can be found. Depending on the time it takes for the lesion to manifest, which </w:t>
      </w:r>
      <w:r w:rsidR="00CC2954">
        <w:rPr>
          <w:sz w:val="22"/>
          <w:szCs w:val="22"/>
          <w:lang w:val="en-US"/>
        </w:rPr>
        <w:t>can</w:t>
      </w:r>
      <w:r w:rsidR="00CC2954" w:rsidRPr="000016FB">
        <w:rPr>
          <w:sz w:val="22"/>
          <w:szCs w:val="22"/>
          <w:lang w:val="en-US"/>
        </w:rPr>
        <w:t xml:space="preserve"> </w:t>
      </w:r>
      <w:r w:rsidRPr="000016FB">
        <w:rPr>
          <w:sz w:val="22"/>
          <w:szCs w:val="22"/>
          <w:lang w:val="en-US"/>
        </w:rPr>
        <w:t xml:space="preserve">be months, substantial </w:t>
      </w:r>
      <w:r w:rsidR="00B86A0C">
        <w:rPr>
          <w:sz w:val="22"/>
          <w:szCs w:val="22"/>
          <w:lang w:val="en-US"/>
        </w:rPr>
        <w:t>investment of resource</w:t>
      </w:r>
      <w:r w:rsidR="00675F21">
        <w:rPr>
          <w:sz w:val="22"/>
          <w:szCs w:val="22"/>
          <w:lang w:val="en-US"/>
        </w:rPr>
        <w:t>s</w:t>
      </w:r>
      <w:r w:rsidR="00B86A0C">
        <w:rPr>
          <w:sz w:val="22"/>
          <w:szCs w:val="22"/>
          <w:lang w:val="en-US"/>
        </w:rPr>
        <w:t xml:space="preserve"> will have be</w:t>
      </w:r>
      <w:r w:rsidR="0096482E">
        <w:rPr>
          <w:sz w:val="22"/>
          <w:szCs w:val="22"/>
          <w:lang w:val="en-US"/>
        </w:rPr>
        <w:t>en</w:t>
      </w:r>
      <w:r w:rsidR="00B86A0C">
        <w:rPr>
          <w:sz w:val="22"/>
          <w:szCs w:val="22"/>
          <w:lang w:val="en-US"/>
        </w:rPr>
        <w:t xml:space="preserve"> </w:t>
      </w:r>
      <w:r w:rsidR="0096482E">
        <w:rPr>
          <w:sz w:val="22"/>
          <w:szCs w:val="22"/>
          <w:lang w:val="en-US"/>
        </w:rPr>
        <w:t>committed</w:t>
      </w:r>
      <w:r w:rsidR="00B86A0C">
        <w:rPr>
          <w:sz w:val="22"/>
          <w:szCs w:val="22"/>
          <w:lang w:val="en-US"/>
        </w:rPr>
        <w:t xml:space="preserve"> with</w:t>
      </w:r>
      <w:r w:rsidRPr="000016FB">
        <w:rPr>
          <w:sz w:val="22"/>
          <w:szCs w:val="22"/>
          <w:lang w:val="en-US"/>
        </w:rPr>
        <w:t xml:space="preserve"> no guarantee of success. Clearly, </w:t>
      </w:r>
      <w:r w:rsidR="00CA3902" w:rsidRPr="000016FB">
        <w:rPr>
          <w:sz w:val="22"/>
          <w:szCs w:val="22"/>
          <w:lang w:val="en-US"/>
        </w:rPr>
        <w:t xml:space="preserve">effective </w:t>
      </w:r>
      <w:r w:rsidRPr="00D12E7E">
        <w:rPr>
          <w:i/>
          <w:sz w:val="22"/>
          <w:szCs w:val="22"/>
          <w:lang w:val="en-US"/>
        </w:rPr>
        <w:t>in vitro</w:t>
      </w:r>
      <w:r w:rsidRPr="000016FB">
        <w:rPr>
          <w:sz w:val="22"/>
          <w:szCs w:val="22"/>
          <w:lang w:val="en-US"/>
        </w:rPr>
        <w:t xml:space="preserve"> methods </w:t>
      </w:r>
      <w:r w:rsidR="00CC2954">
        <w:rPr>
          <w:sz w:val="22"/>
          <w:szCs w:val="22"/>
          <w:lang w:val="en-US"/>
        </w:rPr>
        <w:t xml:space="preserve">of translational relevance </w:t>
      </w:r>
      <w:r w:rsidRPr="000016FB">
        <w:rPr>
          <w:sz w:val="22"/>
          <w:szCs w:val="22"/>
          <w:lang w:val="en-US"/>
        </w:rPr>
        <w:t xml:space="preserve">would provide a substantial advantage toward the </w:t>
      </w:r>
      <w:r w:rsidR="00F87242">
        <w:rPr>
          <w:sz w:val="22"/>
          <w:szCs w:val="22"/>
          <w:lang w:val="en-US"/>
        </w:rPr>
        <w:t>hit</w:t>
      </w:r>
      <w:r w:rsidR="00CA3902" w:rsidRPr="000016FB">
        <w:rPr>
          <w:sz w:val="22"/>
          <w:szCs w:val="22"/>
          <w:lang w:val="en-US"/>
        </w:rPr>
        <w:t>-</w:t>
      </w:r>
      <w:r w:rsidR="000F76DC">
        <w:rPr>
          <w:sz w:val="22"/>
          <w:szCs w:val="22"/>
          <w:lang w:val="en-US"/>
        </w:rPr>
        <w:t>to</w:t>
      </w:r>
      <w:r w:rsidR="00CA3902" w:rsidRPr="000016FB">
        <w:rPr>
          <w:sz w:val="22"/>
          <w:szCs w:val="22"/>
          <w:lang w:val="en-US"/>
        </w:rPr>
        <w:t>-</w:t>
      </w:r>
      <w:r w:rsidR="00F87242">
        <w:rPr>
          <w:sz w:val="22"/>
          <w:szCs w:val="22"/>
          <w:lang w:val="en-US"/>
        </w:rPr>
        <w:t>lead</w:t>
      </w:r>
      <w:r w:rsidR="00CA3902" w:rsidRPr="000016FB">
        <w:rPr>
          <w:sz w:val="22"/>
          <w:szCs w:val="22"/>
          <w:lang w:val="en-US"/>
        </w:rPr>
        <w:t xml:space="preserve">, lead optimization and candidate back-up strategies. </w:t>
      </w:r>
    </w:p>
    <w:p w14:paraId="74A05CA7" w14:textId="77777777" w:rsidR="00A51E07" w:rsidRPr="000016FB" w:rsidRDefault="00A51E07" w:rsidP="006730B6">
      <w:pPr>
        <w:spacing w:line="480" w:lineRule="auto"/>
        <w:jc w:val="both"/>
        <w:rPr>
          <w:sz w:val="22"/>
          <w:szCs w:val="22"/>
          <w:lang w:val="en-US"/>
        </w:rPr>
      </w:pPr>
    </w:p>
    <w:p w14:paraId="470F7B1D" w14:textId="2AE14695" w:rsidR="00A51E07" w:rsidRDefault="009C7638" w:rsidP="006730B6">
      <w:pPr>
        <w:spacing w:line="480" w:lineRule="auto"/>
        <w:jc w:val="both"/>
        <w:rPr>
          <w:sz w:val="22"/>
          <w:szCs w:val="22"/>
          <w:lang w:val="en-US"/>
        </w:rPr>
      </w:pPr>
      <w:r w:rsidRPr="000016FB">
        <w:rPr>
          <w:sz w:val="22"/>
          <w:szCs w:val="22"/>
          <w:lang w:val="en-US"/>
        </w:rPr>
        <w:t>T</w:t>
      </w:r>
      <w:r w:rsidR="00A51E07" w:rsidRPr="000016FB">
        <w:rPr>
          <w:sz w:val="22"/>
          <w:szCs w:val="22"/>
          <w:lang w:val="en-US"/>
        </w:rPr>
        <w:t>he development of a reliable, predictive screening method has prove</w:t>
      </w:r>
      <w:r w:rsidR="0039156D">
        <w:rPr>
          <w:sz w:val="22"/>
          <w:szCs w:val="22"/>
          <w:lang w:val="en-US"/>
        </w:rPr>
        <w:t>n</w:t>
      </w:r>
      <w:r w:rsidR="00E11321">
        <w:rPr>
          <w:sz w:val="22"/>
          <w:szCs w:val="22"/>
          <w:lang w:val="en-US"/>
        </w:rPr>
        <w:t xml:space="preserve"> difficult</w:t>
      </w:r>
      <w:r w:rsidR="00CC2954">
        <w:rPr>
          <w:sz w:val="22"/>
          <w:szCs w:val="22"/>
          <w:lang w:val="en-US"/>
        </w:rPr>
        <w:t xml:space="preserve"> for two reasons</w:t>
      </w:r>
      <w:r w:rsidR="00FD643C">
        <w:rPr>
          <w:sz w:val="22"/>
          <w:szCs w:val="22"/>
          <w:lang w:val="en-US"/>
        </w:rPr>
        <w:t xml:space="preserve">: </w:t>
      </w:r>
      <w:r w:rsidR="00CC2954">
        <w:rPr>
          <w:sz w:val="22"/>
          <w:szCs w:val="22"/>
          <w:lang w:val="en-US"/>
        </w:rPr>
        <w:t xml:space="preserve"> </w:t>
      </w:r>
      <w:r w:rsidR="00EE06B3">
        <w:rPr>
          <w:sz w:val="22"/>
          <w:szCs w:val="22"/>
          <w:lang w:val="en-US"/>
        </w:rPr>
        <w:t>firstly</w:t>
      </w:r>
      <w:r w:rsidR="00CC2954">
        <w:rPr>
          <w:sz w:val="22"/>
          <w:szCs w:val="22"/>
          <w:lang w:val="en-US"/>
        </w:rPr>
        <w:t xml:space="preserve"> the tissue architecture </w:t>
      </w:r>
      <w:r w:rsidR="00CD572A">
        <w:rPr>
          <w:sz w:val="22"/>
          <w:szCs w:val="22"/>
          <w:lang w:val="en-US"/>
        </w:rPr>
        <w:t>required to establish the</w:t>
      </w:r>
      <w:r w:rsidR="00CC2954">
        <w:rPr>
          <w:sz w:val="22"/>
          <w:szCs w:val="22"/>
          <w:lang w:val="en-US"/>
        </w:rPr>
        <w:t xml:space="preserve"> </w:t>
      </w:r>
      <w:r w:rsidR="00CD572A">
        <w:rPr>
          <w:sz w:val="22"/>
          <w:szCs w:val="22"/>
          <w:lang w:val="en-US"/>
        </w:rPr>
        <w:t>hepatocellular</w:t>
      </w:r>
      <w:r w:rsidR="00CC2954">
        <w:rPr>
          <w:sz w:val="22"/>
          <w:szCs w:val="22"/>
          <w:lang w:val="en-US"/>
        </w:rPr>
        <w:t xml:space="preserve"> </w:t>
      </w:r>
      <w:r w:rsidR="00CD572A">
        <w:rPr>
          <w:sz w:val="22"/>
          <w:szCs w:val="22"/>
          <w:lang w:val="en-US"/>
        </w:rPr>
        <w:t>-</w:t>
      </w:r>
      <w:r w:rsidR="00CC2954">
        <w:rPr>
          <w:sz w:val="22"/>
          <w:szCs w:val="22"/>
          <w:lang w:val="en-US"/>
        </w:rPr>
        <w:t xml:space="preserve"> </w:t>
      </w:r>
      <w:proofErr w:type="spellStart"/>
      <w:r w:rsidR="00CC2954">
        <w:rPr>
          <w:sz w:val="22"/>
          <w:szCs w:val="22"/>
          <w:lang w:val="en-US"/>
        </w:rPr>
        <w:t>cholangiocyte</w:t>
      </w:r>
      <w:proofErr w:type="spellEnd"/>
      <w:r w:rsidR="00CC2954">
        <w:rPr>
          <w:sz w:val="22"/>
          <w:szCs w:val="22"/>
          <w:lang w:val="en-US"/>
        </w:rPr>
        <w:t xml:space="preserve"> networks</w:t>
      </w:r>
      <w:r w:rsidR="00CD572A">
        <w:rPr>
          <w:sz w:val="22"/>
          <w:szCs w:val="22"/>
          <w:lang w:val="en-US"/>
        </w:rPr>
        <w:t xml:space="preserve"> and</w:t>
      </w:r>
      <w:r w:rsidR="0052701B">
        <w:rPr>
          <w:sz w:val="22"/>
          <w:szCs w:val="22"/>
          <w:lang w:val="en-US"/>
        </w:rPr>
        <w:t xml:space="preserve"> the</w:t>
      </w:r>
      <w:r w:rsidR="00CD572A">
        <w:rPr>
          <w:sz w:val="22"/>
          <w:szCs w:val="22"/>
          <w:lang w:val="en-US"/>
        </w:rPr>
        <w:t xml:space="preserve"> bile flow and </w:t>
      </w:r>
      <w:r w:rsidR="00EE06B3">
        <w:rPr>
          <w:sz w:val="22"/>
          <w:szCs w:val="22"/>
          <w:lang w:val="en-US"/>
        </w:rPr>
        <w:t>secondly</w:t>
      </w:r>
      <w:r w:rsidR="00CD572A">
        <w:rPr>
          <w:sz w:val="22"/>
          <w:szCs w:val="22"/>
          <w:lang w:val="en-US"/>
        </w:rPr>
        <w:t xml:space="preserve"> </w:t>
      </w:r>
      <w:r w:rsidR="004352B9">
        <w:rPr>
          <w:sz w:val="22"/>
          <w:szCs w:val="22"/>
          <w:lang w:val="en-US"/>
        </w:rPr>
        <w:t xml:space="preserve">the </w:t>
      </w:r>
      <w:r w:rsidR="00CD572A">
        <w:rPr>
          <w:sz w:val="22"/>
          <w:szCs w:val="22"/>
          <w:lang w:val="en-US"/>
        </w:rPr>
        <w:t>still largely unknown</w:t>
      </w:r>
      <w:r w:rsidR="00A51E07" w:rsidRPr="000016FB">
        <w:rPr>
          <w:sz w:val="22"/>
          <w:szCs w:val="22"/>
          <w:lang w:val="en-US"/>
        </w:rPr>
        <w:t xml:space="preserve"> mechanistic nature of biliary injury</w:t>
      </w:r>
      <w:r w:rsidR="00D16CB7" w:rsidRPr="000016FB">
        <w:rPr>
          <w:sz w:val="22"/>
          <w:szCs w:val="22"/>
          <w:lang w:val="en-US"/>
        </w:rPr>
        <w:t xml:space="preserve"> and </w:t>
      </w:r>
      <w:r w:rsidR="00CD572A">
        <w:rPr>
          <w:sz w:val="22"/>
          <w:szCs w:val="22"/>
          <w:lang w:val="en-US"/>
        </w:rPr>
        <w:t xml:space="preserve">association with </w:t>
      </w:r>
      <w:r w:rsidR="00D16CB7" w:rsidRPr="000016FB">
        <w:rPr>
          <w:sz w:val="22"/>
          <w:szCs w:val="22"/>
          <w:lang w:val="en-US"/>
        </w:rPr>
        <w:t xml:space="preserve">intrahepatic </w:t>
      </w:r>
      <w:proofErr w:type="spellStart"/>
      <w:r w:rsidR="00D16CB7" w:rsidRPr="000016FB">
        <w:rPr>
          <w:sz w:val="22"/>
          <w:szCs w:val="22"/>
          <w:lang w:val="en-US"/>
        </w:rPr>
        <w:t>cholestatic</w:t>
      </w:r>
      <w:proofErr w:type="spellEnd"/>
      <w:r w:rsidR="00D16CB7" w:rsidRPr="000016FB">
        <w:rPr>
          <w:sz w:val="22"/>
          <w:szCs w:val="22"/>
          <w:lang w:val="en-US"/>
        </w:rPr>
        <w:t xml:space="preserve"> </w:t>
      </w:r>
      <w:r w:rsidR="00A51E07" w:rsidRPr="000016FB">
        <w:rPr>
          <w:sz w:val="22"/>
          <w:szCs w:val="22"/>
          <w:lang w:val="en-US"/>
        </w:rPr>
        <w:t xml:space="preserve">mechanisms </w:t>
      </w:r>
      <w:r w:rsidR="008F588A">
        <w:rPr>
          <w:sz w:val="22"/>
          <w:szCs w:val="22"/>
          <w:lang w:val="en-US"/>
        </w:rPr>
        <w:t xml:space="preserve">which </w:t>
      </w:r>
      <w:r w:rsidR="00A51E07" w:rsidRPr="000016FB">
        <w:rPr>
          <w:sz w:val="22"/>
          <w:szCs w:val="22"/>
          <w:lang w:val="en-US"/>
        </w:rPr>
        <w:t xml:space="preserve">are multifactorial in nature. The underlying pathology often manifests differently </w:t>
      </w:r>
      <w:r w:rsidR="001B4226" w:rsidRPr="000016FB">
        <w:rPr>
          <w:sz w:val="22"/>
          <w:szCs w:val="22"/>
          <w:lang w:val="en-US"/>
        </w:rPr>
        <w:t>and these</w:t>
      </w:r>
      <w:r w:rsidR="00A51E07" w:rsidRPr="000016FB">
        <w:rPr>
          <w:sz w:val="22"/>
          <w:szCs w:val="22"/>
          <w:lang w:val="en-US"/>
        </w:rPr>
        <w:t xml:space="preserve"> mechanisms </w:t>
      </w:r>
      <w:r w:rsidR="001B4226" w:rsidRPr="000016FB">
        <w:rPr>
          <w:sz w:val="22"/>
          <w:szCs w:val="22"/>
          <w:lang w:val="en-US"/>
        </w:rPr>
        <w:t xml:space="preserve">are </w:t>
      </w:r>
      <w:r w:rsidR="00A51E07" w:rsidRPr="000016FB">
        <w:rPr>
          <w:sz w:val="22"/>
          <w:szCs w:val="22"/>
          <w:lang w:val="en-US"/>
        </w:rPr>
        <w:t xml:space="preserve">likely </w:t>
      </w:r>
      <w:r w:rsidR="008F588A">
        <w:rPr>
          <w:sz w:val="22"/>
          <w:szCs w:val="22"/>
          <w:lang w:val="en-US"/>
        </w:rPr>
        <w:t xml:space="preserve">to </w:t>
      </w:r>
      <w:r w:rsidR="00A51E07" w:rsidRPr="000016FB">
        <w:rPr>
          <w:sz w:val="22"/>
          <w:szCs w:val="22"/>
          <w:lang w:val="en-US"/>
        </w:rPr>
        <w:t>depend o</w:t>
      </w:r>
      <w:r w:rsidR="001B4226" w:rsidRPr="000016FB">
        <w:rPr>
          <w:sz w:val="22"/>
          <w:szCs w:val="22"/>
          <w:lang w:val="en-US"/>
        </w:rPr>
        <w:t xml:space="preserve">n intra- and extra-hepatic functionality of </w:t>
      </w:r>
      <w:r w:rsidR="00A51E07" w:rsidRPr="000016FB">
        <w:rPr>
          <w:sz w:val="22"/>
          <w:szCs w:val="22"/>
          <w:lang w:val="en-US"/>
        </w:rPr>
        <w:t>bile flow</w:t>
      </w:r>
      <w:r w:rsidR="001B4226" w:rsidRPr="000016FB">
        <w:rPr>
          <w:sz w:val="22"/>
          <w:szCs w:val="22"/>
          <w:lang w:val="en-US"/>
        </w:rPr>
        <w:t xml:space="preserve"> and bile formation</w:t>
      </w:r>
      <w:r w:rsidR="005B2429">
        <w:rPr>
          <w:sz w:val="22"/>
          <w:szCs w:val="22"/>
          <w:lang w:val="en-US"/>
        </w:rPr>
        <w:t>.</w:t>
      </w:r>
      <w:r w:rsidR="00AD7BB2">
        <w:rPr>
          <w:sz w:val="22"/>
          <w:szCs w:val="22"/>
          <w:lang w:val="en-US"/>
        </w:rPr>
        <w:t xml:space="preserve"> </w:t>
      </w:r>
      <w:r w:rsidR="005B2429">
        <w:rPr>
          <w:sz w:val="22"/>
          <w:szCs w:val="22"/>
          <w:lang w:val="en-US"/>
        </w:rPr>
        <w:t>A greater k</w:t>
      </w:r>
      <w:r w:rsidR="005B2429" w:rsidRPr="000016FB">
        <w:rPr>
          <w:sz w:val="22"/>
          <w:szCs w:val="22"/>
          <w:lang w:val="en-US"/>
        </w:rPr>
        <w:t xml:space="preserve">nowledge </w:t>
      </w:r>
      <w:r w:rsidR="0039156D">
        <w:rPr>
          <w:sz w:val="22"/>
          <w:szCs w:val="22"/>
          <w:lang w:val="en-US"/>
        </w:rPr>
        <w:t>of</w:t>
      </w:r>
      <w:r w:rsidR="0039156D" w:rsidRPr="000016FB">
        <w:rPr>
          <w:sz w:val="22"/>
          <w:szCs w:val="22"/>
          <w:lang w:val="en-US"/>
        </w:rPr>
        <w:t xml:space="preserve"> </w:t>
      </w:r>
      <w:r w:rsidR="00A51E07" w:rsidRPr="000016FB">
        <w:rPr>
          <w:sz w:val="22"/>
          <w:szCs w:val="22"/>
          <w:lang w:val="en-US"/>
        </w:rPr>
        <w:t>the</w:t>
      </w:r>
      <w:r w:rsidR="0039156D">
        <w:rPr>
          <w:sz w:val="22"/>
          <w:szCs w:val="22"/>
          <w:lang w:val="en-US"/>
        </w:rPr>
        <w:t xml:space="preserve"> </w:t>
      </w:r>
      <w:r w:rsidR="00C229A7">
        <w:rPr>
          <w:sz w:val="22"/>
          <w:szCs w:val="22"/>
          <w:lang w:val="en-US"/>
        </w:rPr>
        <w:t>MIE</w:t>
      </w:r>
      <w:r w:rsidR="008F68AB">
        <w:rPr>
          <w:sz w:val="22"/>
          <w:szCs w:val="22"/>
          <w:lang w:val="en-US"/>
        </w:rPr>
        <w:t xml:space="preserve"> in </w:t>
      </w:r>
      <w:r w:rsidR="005B2429">
        <w:rPr>
          <w:sz w:val="22"/>
          <w:szCs w:val="22"/>
          <w:lang w:val="en-US"/>
        </w:rPr>
        <w:t xml:space="preserve">drug-induced </w:t>
      </w:r>
      <w:r w:rsidR="008F68AB">
        <w:rPr>
          <w:sz w:val="22"/>
          <w:szCs w:val="22"/>
          <w:lang w:val="en-US"/>
        </w:rPr>
        <w:t>cholestasis</w:t>
      </w:r>
      <w:r w:rsidR="00A51E07" w:rsidRPr="000016FB">
        <w:rPr>
          <w:sz w:val="22"/>
          <w:szCs w:val="22"/>
          <w:lang w:val="en-US"/>
        </w:rPr>
        <w:t xml:space="preserve"> </w:t>
      </w:r>
      <w:r w:rsidR="005B2429">
        <w:rPr>
          <w:sz w:val="22"/>
          <w:szCs w:val="22"/>
          <w:lang w:val="en-US"/>
        </w:rPr>
        <w:t>and</w:t>
      </w:r>
      <w:r w:rsidR="00A51E07" w:rsidRPr="000016FB">
        <w:rPr>
          <w:sz w:val="22"/>
          <w:szCs w:val="22"/>
          <w:lang w:val="en-US"/>
        </w:rPr>
        <w:t xml:space="preserve"> </w:t>
      </w:r>
      <w:r w:rsidR="00AB20BF" w:rsidRPr="000016FB">
        <w:rPr>
          <w:sz w:val="22"/>
          <w:szCs w:val="22"/>
          <w:lang w:val="en-US"/>
        </w:rPr>
        <w:t>hepato</w:t>
      </w:r>
      <w:r w:rsidR="00A51E07" w:rsidRPr="000016FB">
        <w:rPr>
          <w:sz w:val="22"/>
          <w:szCs w:val="22"/>
          <w:lang w:val="en-US"/>
        </w:rPr>
        <w:t xml:space="preserve">biliary injury </w:t>
      </w:r>
      <w:r w:rsidR="0039156D">
        <w:rPr>
          <w:sz w:val="22"/>
          <w:szCs w:val="22"/>
          <w:lang w:val="en-US"/>
        </w:rPr>
        <w:t xml:space="preserve">as well </w:t>
      </w:r>
      <w:r w:rsidR="005B2429">
        <w:rPr>
          <w:sz w:val="22"/>
          <w:szCs w:val="22"/>
          <w:lang w:val="en-US"/>
        </w:rPr>
        <w:t xml:space="preserve">our current knowledge on </w:t>
      </w:r>
      <w:r w:rsidR="0077440F">
        <w:rPr>
          <w:sz w:val="22"/>
          <w:szCs w:val="22"/>
          <w:lang w:val="en-US"/>
        </w:rPr>
        <w:t>the</w:t>
      </w:r>
      <w:r w:rsidR="008F588A">
        <w:rPr>
          <w:sz w:val="22"/>
          <w:szCs w:val="22"/>
          <w:lang w:val="en-US"/>
        </w:rPr>
        <w:t xml:space="preserve"> role</w:t>
      </w:r>
      <w:r w:rsidR="00AB20BF" w:rsidRPr="000016FB">
        <w:rPr>
          <w:sz w:val="22"/>
          <w:szCs w:val="22"/>
          <w:lang w:val="en-US"/>
        </w:rPr>
        <w:t xml:space="preserve"> of tra</w:t>
      </w:r>
      <w:r w:rsidR="00A51E07" w:rsidRPr="000016FB">
        <w:rPr>
          <w:sz w:val="22"/>
          <w:szCs w:val="22"/>
          <w:lang w:val="en-US"/>
        </w:rPr>
        <w:t xml:space="preserve">nsporters </w:t>
      </w:r>
      <w:r w:rsidR="005B2429">
        <w:rPr>
          <w:sz w:val="22"/>
          <w:szCs w:val="22"/>
          <w:lang w:val="en-US"/>
        </w:rPr>
        <w:t>form</w:t>
      </w:r>
      <w:r w:rsidR="00A51E07" w:rsidRPr="000016FB">
        <w:rPr>
          <w:sz w:val="22"/>
          <w:szCs w:val="22"/>
          <w:lang w:val="en-US"/>
        </w:rPr>
        <w:t xml:space="preserve"> </w:t>
      </w:r>
      <w:r w:rsidR="00FD643C">
        <w:rPr>
          <w:sz w:val="22"/>
          <w:szCs w:val="22"/>
          <w:lang w:val="en-US"/>
        </w:rPr>
        <w:t xml:space="preserve">a </w:t>
      </w:r>
      <w:r w:rsidR="00D12E7E">
        <w:rPr>
          <w:sz w:val="22"/>
          <w:szCs w:val="22"/>
          <w:lang w:val="en-US"/>
        </w:rPr>
        <w:t xml:space="preserve">central </w:t>
      </w:r>
      <w:r w:rsidR="00A42D07">
        <w:rPr>
          <w:sz w:val="22"/>
          <w:szCs w:val="22"/>
          <w:lang w:val="en-US"/>
        </w:rPr>
        <w:t>tenet</w:t>
      </w:r>
      <w:r w:rsidR="00AB20BF" w:rsidRPr="000016FB">
        <w:rPr>
          <w:sz w:val="22"/>
          <w:szCs w:val="22"/>
          <w:lang w:val="en-US"/>
        </w:rPr>
        <w:t xml:space="preserve"> </w:t>
      </w:r>
      <w:r w:rsidR="005B2429">
        <w:rPr>
          <w:sz w:val="22"/>
          <w:szCs w:val="22"/>
          <w:lang w:val="en-US"/>
        </w:rPr>
        <w:t>to manage</w:t>
      </w:r>
      <w:r w:rsidR="00010272">
        <w:rPr>
          <w:sz w:val="22"/>
          <w:szCs w:val="22"/>
          <w:lang w:val="en-US"/>
        </w:rPr>
        <w:t xml:space="preserve"> drug-induced</w:t>
      </w:r>
      <w:r w:rsidR="0039156D" w:rsidRPr="000016FB">
        <w:rPr>
          <w:sz w:val="22"/>
          <w:szCs w:val="22"/>
          <w:lang w:val="en-US"/>
        </w:rPr>
        <w:t xml:space="preserve"> </w:t>
      </w:r>
      <w:r w:rsidR="00A51E07" w:rsidRPr="000016FB">
        <w:rPr>
          <w:sz w:val="22"/>
          <w:szCs w:val="22"/>
          <w:lang w:val="en-US"/>
        </w:rPr>
        <w:t>biliary injur</w:t>
      </w:r>
      <w:r w:rsidR="00010272">
        <w:rPr>
          <w:sz w:val="22"/>
          <w:szCs w:val="22"/>
          <w:lang w:val="en-US"/>
        </w:rPr>
        <w:t>ies</w:t>
      </w:r>
      <w:r w:rsidR="0019391B">
        <w:rPr>
          <w:noProof/>
          <w:sz w:val="22"/>
          <w:szCs w:val="22"/>
          <w:lang w:val="en-US"/>
        </w:rPr>
        <w:t>.</w:t>
      </w:r>
      <w:r w:rsidR="00A51E07" w:rsidRPr="000016FB">
        <w:rPr>
          <w:sz w:val="22"/>
          <w:szCs w:val="22"/>
          <w:lang w:val="en-US"/>
        </w:rPr>
        <w:t xml:space="preserve"> </w:t>
      </w:r>
    </w:p>
    <w:p w14:paraId="3C2895DD" w14:textId="77777777" w:rsidR="00CD1872" w:rsidRDefault="00CD1872" w:rsidP="006730B6">
      <w:pPr>
        <w:spacing w:line="480" w:lineRule="auto"/>
        <w:jc w:val="both"/>
        <w:rPr>
          <w:sz w:val="22"/>
          <w:szCs w:val="22"/>
          <w:lang w:val="en-US"/>
        </w:rPr>
      </w:pPr>
    </w:p>
    <w:p w14:paraId="37F2D889" w14:textId="1F5D8B56" w:rsidR="00B466C5" w:rsidRDefault="009D6607" w:rsidP="006730B6">
      <w:pPr>
        <w:spacing w:line="480" w:lineRule="auto"/>
        <w:jc w:val="both"/>
        <w:rPr>
          <w:sz w:val="22"/>
          <w:szCs w:val="22"/>
          <w:lang w:val="en-US"/>
        </w:rPr>
      </w:pPr>
      <w:r>
        <w:rPr>
          <w:sz w:val="22"/>
          <w:szCs w:val="22"/>
          <w:lang w:val="en-US"/>
        </w:rPr>
        <w:t>I</w:t>
      </w:r>
      <w:r w:rsidR="00010272">
        <w:rPr>
          <w:sz w:val="22"/>
          <w:szCs w:val="22"/>
          <w:lang w:val="en-US"/>
        </w:rPr>
        <w:t xml:space="preserve">ntrahepatic cholestasis </w:t>
      </w:r>
      <w:r>
        <w:rPr>
          <w:sz w:val="22"/>
          <w:szCs w:val="22"/>
          <w:lang w:val="en-US"/>
        </w:rPr>
        <w:t xml:space="preserve">evaluation routinely </w:t>
      </w:r>
      <w:r w:rsidR="00010272">
        <w:rPr>
          <w:sz w:val="22"/>
          <w:szCs w:val="22"/>
          <w:lang w:val="en-US"/>
        </w:rPr>
        <w:t>use</w:t>
      </w:r>
      <w:r>
        <w:rPr>
          <w:sz w:val="22"/>
          <w:szCs w:val="22"/>
          <w:lang w:val="en-US"/>
        </w:rPr>
        <w:t>s</w:t>
      </w:r>
      <w:r w:rsidR="00010272">
        <w:rPr>
          <w:sz w:val="22"/>
          <w:szCs w:val="22"/>
          <w:lang w:val="en-US"/>
        </w:rPr>
        <w:t xml:space="preserve"> cultured hepatocytes and </w:t>
      </w:r>
      <w:r>
        <w:rPr>
          <w:sz w:val="22"/>
          <w:szCs w:val="22"/>
          <w:lang w:val="en-US"/>
        </w:rPr>
        <w:t xml:space="preserve">cell or vesicle systems with </w:t>
      </w:r>
      <w:proofErr w:type="spellStart"/>
      <w:r w:rsidR="00010272">
        <w:rPr>
          <w:sz w:val="22"/>
          <w:szCs w:val="22"/>
          <w:lang w:val="en-US"/>
        </w:rPr>
        <w:t>heterologously</w:t>
      </w:r>
      <w:proofErr w:type="spellEnd"/>
      <w:r w:rsidR="00010272">
        <w:rPr>
          <w:sz w:val="22"/>
          <w:szCs w:val="22"/>
          <w:lang w:val="en-US"/>
        </w:rPr>
        <w:t xml:space="preserve"> expressed membrane transporters. </w:t>
      </w:r>
      <w:r w:rsidR="007E393F">
        <w:rPr>
          <w:sz w:val="22"/>
          <w:szCs w:val="22"/>
          <w:lang w:val="en-US"/>
        </w:rPr>
        <w:t xml:space="preserve">A number of </w:t>
      </w:r>
      <w:r w:rsidR="004C124E" w:rsidRPr="003705F4">
        <w:rPr>
          <w:i/>
          <w:sz w:val="22"/>
          <w:szCs w:val="22"/>
          <w:lang w:val="en-US"/>
        </w:rPr>
        <w:t>in vitro</w:t>
      </w:r>
      <w:r w:rsidR="007E393F">
        <w:rPr>
          <w:sz w:val="22"/>
          <w:szCs w:val="22"/>
          <w:lang w:val="en-US"/>
        </w:rPr>
        <w:t xml:space="preserve"> assays</w:t>
      </w:r>
      <w:r w:rsidR="004C124E">
        <w:rPr>
          <w:sz w:val="22"/>
          <w:szCs w:val="22"/>
          <w:lang w:val="en-US"/>
        </w:rPr>
        <w:t xml:space="preserve"> are available to industry for the study of DILI and drug effect on hepatobiliary transporters on bile acid uptake and efflux. The widely recognized and physiologically </w:t>
      </w:r>
      <w:r w:rsidR="00333175">
        <w:rPr>
          <w:sz w:val="22"/>
          <w:szCs w:val="22"/>
          <w:lang w:val="en-US"/>
        </w:rPr>
        <w:t xml:space="preserve">most relevant </w:t>
      </w:r>
      <w:r>
        <w:rPr>
          <w:sz w:val="22"/>
          <w:szCs w:val="22"/>
          <w:lang w:val="en-US"/>
        </w:rPr>
        <w:t xml:space="preserve">systems </w:t>
      </w:r>
      <w:r w:rsidR="00333175">
        <w:rPr>
          <w:sz w:val="22"/>
          <w:szCs w:val="22"/>
          <w:lang w:val="en-US"/>
        </w:rPr>
        <w:t xml:space="preserve">are cultured human hepatocytes. These are deemed valuable for use in detailed late discovery work requiring close examination of the </w:t>
      </w:r>
      <w:r w:rsidR="00333175">
        <w:rPr>
          <w:sz w:val="22"/>
          <w:szCs w:val="22"/>
          <w:lang w:val="en-US"/>
        </w:rPr>
        <w:lastRenderedPageBreak/>
        <w:t xml:space="preserve">mechanistic understanding of drugs with suspected chemical safety liabilities to cause intrahepatic cholestasis. An alternative cell model is </w:t>
      </w:r>
      <w:r w:rsidR="004352B9">
        <w:rPr>
          <w:sz w:val="22"/>
          <w:szCs w:val="22"/>
          <w:lang w:val="en-US"/>
        </w:rPr>
        <w:t xml:space="preserve">the </w:t>
      </w:r>
      <w:proofErr w:type="spellStart"/>
      <w:r w:rsidR="00333175">
        <w:rPr>
          <w:sz w:val="22"/>
          <w:szCs w:val="22"/>
          <w:lang w:val="en-US"/>
        </w:rPr>
        <w:t>HepaRG</w:t>
      </w:r>
      <w:proofErr w:type="spellEnd"/>
      <w:r w:rsidR="00333175">
        <w:rPr>
          <w:sz w:val="22"/>
          <w:szCs w:val="22"/>
          <w:lang w:val="en-US"/>
        </w:rPr>
        <w:t xml:space="preserve"> cell</w:t>
      </w:r>
      <w:r w:rsidR="00485723">
        <w:rPr>
          <w:sz w:val="22"/>
          <w:szCs w:val="22"/>
          <w:lang w:val="en-US"/>
        </w:rPr>
        <w:t xml:space="preserve"> </w:t>
      </w:r>
      <w:r w:rsidR="00333175">
        <w:rPr>
          <w:sz w:val="22"/>
          <w:szCs w:val="22"/>
          <w:lang w:val="en-US"/>
        </w:rPr>
        <w:t>line with</w:t>
      </w:r>
      <w:r w:rsidR="004352B9">
        <w:rPr>
          <w:sz w:val="22"/>
          <w:szCs w:val="22"/>
          <w:lang w:val="en-US"/>
        </w:rPr>
        <w:t xml:space="preserve"> several</w:t>
      </w:r>
      <w:r w:rsidR="000649B4">
        <w:rPr>
          <w:sz w:val="22"/>
          <w:szCs w:val="22"/>
          <w:lang w:val="en-US"/>
        </w:rPr>
        <w:t xml:space="preserve"> of the physiological </w:t>
      </w:r>
      <w:r w:rsidR="00333175">
        <w:rPr>
          <w:sz w:val="22"/>
          <w:szCs w:val="22"/>
          <w:lang w:val="en-US"/>
        </w:rPr>
        <w:t>characteristic</w:t>
      </w:r>
      <w:r w:rsidR="000649B4">
        <w:rPr>
          <w:sz w:val="22"/>
          <w:szCs w:val="22"/>
          <w:lang w:val="en-US"/>
        </w:rPr>
        <w:t xml:space="preserve">s </w:t>
      </w:r>
      <w:r w:rsidR="004023BE">
        <w:rPr>
          <w:sz w:val="22"/>
          <w:szCs w:val="22"/>
          <w:lang w:val="en-US"/>
        </w:rPr>
        <w:t xml:space="preserve">of human hepatocytes that are </w:t>
      </w:r>
      <w:r w:rsidR="000649B4">
        <w:rPr>
          <w:sz w:val="22"/>
          <w:szCs w:val="22"/>
          <w:lang w:val="en-US"/>
        </w:rPr>
        <w:t>essential for the study of hepatobiliary transporter function</w:t>
      </w:r>
      <w:r w:rsidR="004023BE">
        <w:rPr>
          <w:sz w:val="22"/>
          <w:szCs w:val="22"/>
          <w:lang w:val="en-US"/>
        </w:rPr>
        <w:t xml:space="preserve"> and cholestasis. These include</w:t>
      </w:r>
      <w:r w:rsidR="000649B4">
        <w:rPr>
          <w:sz w:val="22"/>
          <w:szCs w:val="22"/>
          <w:lang w:val="en-US"/>
        </w:rPr>
        <w:t xml:space="preserve"> </w:t>
      </w:r>
      <w:r w:rsidR="004023BE">
        <w:rPr>
          <w:sz w:val="22"/>
          <w:szCs w:val="22"/>
          <w:lang w:val="en-US"/>
        </w:rPr>
        <w:t>the</w:t>
      </w:r>
      <w:r w:rsidR="000649B4">
        <w:rPr>
          <w:sz w:val="22"/>
          <w:szCs w:val="22"/>
          <w:lang w:val="en-US"/>
        </w:rPr>
        <w:t xml:space="preserve"> polarity of transporters associated to the basolateral and </w:t>
      </w:r>
      <w:proofErr w:type="spellStart"/>
      <w:r w:rsidR="000649B4">
        <w:rPr>
          <w:sz w:val="22"/>
          <w:szCs w:val="22"/>
          <w:lang w:val="en-US"/>
        </w:rPr>
        <w:t>canalicular</w:t>
      </w:r>
      <w:proofErr w:type="spellEnd"/>
      <w:r w:rsidR="000649B4">
        <w:rPr>
          <w:sz w:val="22"/>
          <w:szCs w:val="22"/>
          <w:lang w:val="en-US"/>
        </w:rPr>
        <w:t xml:space="preserve"> membranes</w:t>
      </w:r>
      <w:r w:rsidR="008706C9">
        <w:rPr>
          <w:sz w:val="22"/>
          <w:szCs w:val="22"/>
          <w:lang w:val="en-US"/>
        </w:rPr>
        <w:t>, regulation and expression of transporters</w:t>
      </w:r>
      <w:r w:rsidR="000649B4">
        <w:rPr>
          <w:sz w:val="22"/>
          <w:szCs w:val="22"/>
          <w:lang w:val="en-US"/>
        </w:rPr>
        <w:t>, and well-formed bile canaliculi and production of bile acids</w:t>
      </w:r>
      <w:r w:rsidR="004023BE">
        <w:rPr>
          <w:sz w:val="22"/>
          <w:szCs w:val="22"/>
          <w:lang w:val="en-US"/>
        </w:rPr>
        <w:t xml:space="preserve">. </w:t>
      </w:r>
      <w:r w:rsidR="00B466C5">
        <w:rPr>
          <w:sz w:val="22"/>
          <w:szCs w:val="22"/>
          <w:lang w:val="en-US"/>
        </w:rPr>
        <w:t xml:space="preserve">Despite the relevance of </w:t>
      </w:r>
      <w:r w:rsidR="004352B9">
        <w:rPr>
          <w:sz w:val="22"/>
          <w:szCs w:val="22"/>
          <w:lang w:val="en-US"/>
        </w:rPr>
        <w:t>h</w:t>
      </w:r>
      <w:r w:rsidR="00B466C5">
        <w:rPr>
          <w:sz w:val="22"/>
          <w:szCs w:val="22"/>
          <w:lang w:val="en-US"/>
        </w:rPr>
        <w:t xml:space="preserve">uman hepatocytes and </w:t>
      </w:r>
      <w:proofErr w:type="spellStart"/>
      <w:r w:rsidR="00B466C5">
        <w:rPr>
          <w:sz w:val="22"/>
          <w:szCs w:val="22"/>
          <w:lang w:val="en-US"/>
        </w:rPr>
        <w:t>HepaRG</w:t>
      </w:r>
      <w:proofErr w:type="spellEnd"/>
      <w:r w:rsidR="00B466C5">
        <w:rPr>
          <w:sz w:val="22"/>
          <w:szCs w:val="22"/>
          <w:lang w:val="en-US"/>
        </w:rPr>
        <w:t xml:space="preserve"> cells for use in the study </w:t>
      </w:r>
      <w:r>
        <w:rPr>
          <w:sz w:val="22"/>
          <w:szCs w:val="22"/>
          <w:lang w:val="en-US"/>
        </w:rPr>
        <w:t xml:space="preserve">or detection of </w:t>
      </w:r>
      <w:proofErr w:type="spellStart"/>
      <w:r w:rsidR="00B466C5">
        <w:rPr>
          <w:sz w:val="22"/>
          <w:szCs w:val="22"/>
          <w:lang w:val="en-US"/>
        </w:rPr>
        <w:t>cholestatic</w:t>
      </w:r>
      <w:proofErr w:type="spellEnd"/>
      <w:r w:rsidR="00B466C5">
        <w:rPr>
          <w:sz w:val="22"/>
          <w:szCs w:val="22"/>
          <w:lang w:val="en-US"/>
        </w:rPr>
        <w:t xml:space="preserve"> drugs, high demand in </w:t>
      </w:r>
      <w:r>
        <w:rPr>
          <w:sz w:val="22"/>
          <w:szCs w:val="22"/>
          <w:lang w:val="en-US"/>
        </w:rPr>
        <w:t xml:space="preserve">the </w:t>
      </w:r>
      <w:r w:rsidR="00B466C5">
        <w:rPr>
          <w:sz w:val="22"/>
          <w:szCs w:val="22"/>
          <w:lang w:val="en-US"/>
        </w:rPr>
        <w:t>hit-</w:t>
      </w:r>
      <w:r w:rsidR="004352B9">
        <w:rPr>
          <w:sz w:val="22"/>
          <w:szCs w:val="22"/>
          <w:lang w:val="en-US"/>
        </w:rPr>
        <w:t>to-lead</w:t>
      </w:r>
      <w:r w:rsidR="00B466C5">
        <w:rPr>
          <w:sz w:val="22"/>
          <w:szCs w:val="22"/>
          <w:lang w:val="en-US"/>
        </w:rPr>
        <w:t xml:space="preserve"> and lead optimization</w:t>
      </w:r>
      <w:r>
        <w:rPr>
          <w:sz w:val="22"/>
          <w:szCs w:val="22"/>
          <w:lang w:val="en-US"/>
        </w:rPr>
        <w:t xml:space="preserve"> stages of discovery </w:t>
      </w:r>
      <w:r w:rsidR="00B466C5">
        <w:rPr>
          <w:sz w:val="22"/>
          <w:szCs w:val="22"/>
          <w:lang w:val="en-US"/>
        </w:rPr>
        <w:t xml:space="preserve">have fueled </w:t>
      </w:r>
      <w:r>
        <w:rPr>
          <w:sz w:val="22"/>
          <w:szCs w:val="22"/>
          <w:lang w:val="en-US"/>
        </w:rPr>
        <w:t>the development</w:t>
      </w:r>
      <w:r w:rsidR="00B466C5">
        <w:rPr>
          <w:sz w:val="22"/>
          <w:szCs w:val="22"/>
          <w:lang w:val="en-US"/>
        </w:rPr>
        <w:t xml:space="preserve"> of high-throughput screening platforms</w:t>
      </w:r>
      <w:r w:rsidR="00933D57">
        <w:rPr>
          <w:sz w:val="22"/>
          <w:szCs w:val="22"/>
          <w:lang w:val="en-US"/>
        </w:rPr>
        <w:t>. Such platforms have included use of</w:t>
      </w:r>
      <w:r w:rsidR="00B466C5">
        <w:rPr>
          <w:sz w:val="22"/>
          <w:szCs w:val="22"/>
          <w:lang w:val="en-US"/>
        </w:rPr>
        <w:t xml:space="preserve"> vesicles </w:t>
      </w:r>
      <w:r>
        <w:rPr>
          <w:sz w:val="22"/>
          <w:szCs w:val="22"/>
          <w:lang w:val="en-US"/>
        </w:rPr>
        <w:t>with</w:t>
      </w:r>
      <w:r w:rsidR="00B466C5">
        <w:rPr>
          <w:sz w:val="22"/>
          <w:szCs w:val="22"/>
          <w:lang w:val="en-US"/>
        </w:rPr>
        <w:t xml:space="preserve"> heterologous express</w:t>
      </w:r>
      <w:r>
        <w:rPr>
          <w:sz w:val="22"/>
          <w:szCs w:val="22"/>
          <w:lang w:val="en-US"/>
        </w:rPr>
        <w:t>ion of</w:t>
      </w:r>
      <w:r w:rsidR="00B466C5">
        <w:rPr>
          <w:sz w:val="22"/>
          <w:szCs w:val="22"/>
          <w:lang w:val="en-US"/>
        </w:rPr>
        <w:t xml:space="preserve"> human transporter</w:t>
      </w:r>
      <w:r>
        <w:rPr>
          <w:sz w:val="22"/>
          <w:szCs w:val="22"/>
          <w:lang w:val="en-US"/>
        </w:rPr>
        <w:t>s</w:t>
      </w:r>
      <w:r w:rsidR="00B466C5">
        <w:rPr>
          <w:sz w:val="22"/>
          <w:szCs w:val="22"/>
          <w:lang w:val="en-US"/>
        </w:rPr>
        <w:t xml:space="preserve"> to </w:t>
      </w:r>
      <w:r>
        <w:rPr>
          <w:sz w:val="22"/>
          <w:szCs w:val="22"/>
          <w:lang w:val="en-US"/>
        </w:rPr>
        <w:t xml:space="preserve">rapidly identify </w:t>
      </w:r>
      <w:r w:rsidR="00B466C5">
        <w:rPr>
          <w:sz w:val="22"/>
          <w:szCs w:val="22"/>
          <w:lang w:val="en-US"/>
        </w:rPr>
        <w:t xml:space="preserve">bile acid transporter </w:t>
      </w:r>
      <w:r>
        <w:rPr>
          <w:sz w:val="22"/>
          <w:szCs w:val="22"/>
          <w:lang w:val="en-US"/>
        </w:rPr>
        <w:t>inhibitors</w:t>
      </w:r>
      <w:r w:rsidR="00B466C5">
        <w:rPr>
          <w:sz w:val="22"/>
          <w:szCs w:val="22"/>
          <w:lang w:val="en-US"/>
        </w:rPr>
        <w:t xml:space="preserve">. </w:t>
      </w:r>
      <w:r w:rsidR="00D751A8">
        <w:rPr>
          <w:sz w:val="22"/>
          <w:szCs w:val="22"/>
          <w:lang w:val="en-US"/>
        </w:rPr>
        <w:t xml:space="preserve">These have both advantages and limitations </w:t>
      </w:r>
      <w:r w:rsidR="006B5C16">
        <w:rPr>
          <w:sz w:val="22"/>
          <w:szCs w:val="22"/>
          <w:lang w:val="en-US"/>
        </w:rPr>
        <w:t>that are important to understand</w:t>
      </w:r>
      <w:r w:rsidR="00D751A8">
        <w:rPr>
          <w:sz w:val="22"/>
          <w:szCs w:val="22"/>
          <w:lang w:val="en-US"/>
        </w:rPr>
        <w:t xml:space="preserve"> for </w:t>
      </w:r>
      <w:r w:rsidR="006B5C16">
        <w:rPr>
          <w:sz w:val="22"/>
          <w:szCs w:val="22"/>
          <w:lang w:val="en-US"/>
        </w:rPr>
        <w:t xml:space="preserve">proper </w:t>
      </w:r>
      <w:r w:rsidR="00D751A8">
        <w:rPr>
          <w:sz w:val="22"/>
          <w:szCs w:val="22"/>
          <w:lang w:val="en-US"/>
        </w:rPr>
        <w:t>decision making</w:t>
      </w:r>
      <w:r w:rsidR="00924E7F">
        <w:rPr>
          <w:sz w:val="22"/>
          <w:szCs w:val="22"/>
          <w:lang w:val="en-US"/>
        </w:rPr>
        <w:t xml:space="preserve"> </w:t>
      </w:r>
      <w:sdt>
        <w:sdtPr>
          <w:rPr>
            <w:sz w:val="22"/>
            <w:szCs w:val="22"/>
            <w:lang w:val="en-US"/>
          </w:rPr>
          <w:id w:val="-61334285"/>
          <w:citation/>
        </w:sdtPr>
        <w:sdtEndPr/>
        <w:sdtContent>
          <w:r w:rsidR="00924E7F">
            <w:rPr>
              <w:sz w:val="22"/>
              <w:szCs w:val="22"/>
              <w:lang w:val="en-US"/>
            </w:rPr>
            <w:fldChar w:fldCharType="begin"/>
          </w:r>
          <w:r w:rsidR="00924E7F">
            <w:rPr>
              <w:sz w:val="22"/>
              <w:szCs w:val="22"/>
              <w:lang w:val="en-GB"/>
            </w:rPr>
            <w:instrText xml:space="preserve"> CITATION Köc14 \l 2057 </w:instrText>
          </w:r>
          <w:r w:rsidR="00924E7F">
            <w:rPr>
              <w:sz w:val="22"/>
              <w:szCs w:val="22"/>
              <w:lang w:val="en-US"/>
            </w:rPr>
            <w:fldChar w:fldCharType="separate"/>
          </w:r>
          <w:r w:rsidR="002D6947" w:rsidRPr="002D6947">
            <w:rPr>
              <w:noProof/>
              <w:sz w:val="22"/>
              <w:szCs w:val="22"/>
              <w:lang w:val="en-GB"/>
            </w:rPr>
            <w:t>[53]</w:t>
          </w:r>
          <w:r w:rsidR="00924E7F">
            <w:rPr>
              <w:sz w:val="22"/>
              <w:szCs w:val="22"/>
              <w:lang w:val="en-US"/>
            </w:rPr>
            <w:fldChar w:fldCharType="end"/>
          </w:r>
        </w:sdtContent>
      </w:sdt>
      <w:sdt>
        <w:sdtPr>
          <w:rPr>
            <w:sz w:val="22"/>
            <w:szCs w:val="22"/>
            <w:lang w:val="en-US"/>
          </w:rPr>
          <w:id w:val="135304006"/>
          <w:citation/>
        </w:sdtPr>
        <w:sdtEndPr/>
        <w:sdtContent>
          <w:r w:rsidR="00924E7F">
            <w:rPr>
              <w:sz w:val="22"/>
              <w:szCs w:val="22"/>
              <w:lang w:val="en-US"/>
            </w:rPr>
            <w:fldChar w:fldCharType="begin"/>
          </w:r>
          <w:r w:rsidR="00924E7F">
            <w:rPr>
              <w:sz w:val="22"/>
              <w:szCs w:val="22"/>
              <w:lang w:val="en-GB"/>
            </w:rPr>
            <w:instrText xml:space="preserve"> CITATION Mor13 \l 2057 </w:instrText>
          </w:r>
          <w:r w:rsidR="00924E7F">
            <w:rPr>
              <w:sz w:val="22"/>
              <w:szCs w:val="22"/>
              <w:lang w:val="en-US"/>
            </w:rPr>
            <w:fldChar w:fldCharType="separate"/>
          </w:r>
          <w:r w:rsidR="002D6947">
            <w:rPr>
              <w:noProof/>
              <w:sz w:val="22"/>
              <w:szCs w:val="22"/>
              <w:lang w:val="en-GB"/>
            </w:rPr>
            <w:t xml:space="preserve"> </w:t>
          </w:r>
          <w:r w:rsidR="002D6947" w:rsidRPr="002D6947">
            <w:rPr>
              <w:noProof/>
              <w:sz w:val="22"/>
              <w:szCs w:val="22"/>
              <w:lang w:val="en-GB"/>
            </w:rPr>
            <w:t>[54]</w:t>
          </w:r>
          <w:r w:rsidR="00924E7F">
            <w:rPr>
              <w:sz w:val="22"/>
              <w:szCs w:val="22"/>
              <w:lang w:val="en-US"/>
            </w:rPr>
            <w:fldChar w:fldCharType="end"/>
          </w:r>
        </w:sdtContent>
      </w:sdt>
      <w:r w:rsidR="00924E7F">
        <w:rPr>
          <w:sz w:val="22"/>
          <w:szCs w:val="22"/>
          <w:lang w:val="en-US"/>
        </w:rPr>
        <w:t xml:space="preserve">. </w:t>
      </w:r>
    </w:p>
    <w:p w14:paraId="28EBC3E3" w14:textId="77777777" w:rsidR="00CD1872" w:rsidRDefault="00CD1872" w:rsidP="006730B6">
      <w:pPr>
        <w:spacing w:line="480" w:lineRule="auto"/>
        <w:jc w:val="both"/>
        <w:rPr>
          <w:noProof/>
          <w:sz w:val="22"/>
          <w:szCs w:val="22"/>
          <w:lang w:val="en-US"/>
        </w:rPr>
      </w:pPr>
    </w:p>
    <w:p w14:paraId="46169227" w14:textId="63DC8B40" w:rsidR="005E405C" w:rsidRPr="000016FB" w:rsidRDefault="00485723" w:rsidP="006730B6">
      <w:pPr>
        <w:spacing w:line="480" w:lineRule="auto"/>
        <w:jc w:val="both"/>
        <w:rPr>
          <w:i/>
          <w:noProof/>
          <w:sz w:val="22"/>
          <w:szCs w:val="22"/>
          <w:lang w:val="en-US"/>
        </w:rPr>
      </w:pPr>
      <w:r>
        <w:rPr>
          <w:noProof/>
          <w:sz w:val="22"/>
          <w:szCs w:val="22"/>
          <w:lang w:val="en-US"/>
        </w:rPr>
        <w:t>3.2</w:t>
      </w:r>
      <w:r w:rsidR="005E405C" w:rsidRPr="000016FB">
        <w:rPr>
          <w:noProof/>
          <w:sz w:val="22"/>
          <w:szCs w:val="22"/>
          <w:lang w:val="en-US"/>
        </w:rPr>
        <w:t>.</w:t>
      </w:r>
      <w:r w:rsidR="00675F21">
        <w:rPr>
          <w:noProof/>
          <w:sz w:val="22"/>
          <w:szCs w:val="22"/>
          <w:lang w:val="en-US"/>
        </w:rPr>
        <w:t xml:space="preserve"> </w:t>
      </w:r>
      <w:r w:rsidR="000F76DC">
        <w:rPr>
          <w:i/>
          <w:noProof/>
          <w:sz w:val="22"/>
          <w:szCs w:val="22"/>
          <w:lang w:val="en-US"/>
        </w:rPr>
        <w:t>Routinely used</w:t>
      </w:r>
      <w:r w:rsidR="000F76DC" w:rsidRPr="000016FB">
        <w:rPr>
          <w:i/>
          <w:noProof/>
          <w:sz w:val="22"/>
          <w:szCs w:val="22"/>
          <w:lang w:val="en-US"/>
        </w:rPr>
        <w:t xml:space="preserve"> </w:t>
      </w:r>
      <w:r w:rsidR="005E405C" w:rsidRPr="000016FB">
        <w:rPr>
          <w:i/>
          <w:noProof/>
          <w:sz w:val="22"/>
          <w:szCs w:val="22"/>
          <w:lang w:val="en-US"/>
        </w:rPr>
        <w:t>endpoint</w:t>
      </w:r>
      <w:r w:rsidR="000F76DC">
        <w:rPr>
          <w:i/>
          <w:noProof/>
          <w:sz w:val="22"/>
          <w:szCs w:val="22"/>
          <w:lang w:val="en-US"/>
        </w:rPr>
        <w:t>s</w:t>
      </w:r>
    </w:p>
    <w:p w14:paraId="6AF1AA9F" w14:textId="026D1C74" w:rsidR="005E405C" w:rsidRDefault="00DE1889" w:rsidP="006730B6">
      <w:pPr>
        <w:spacing w:line="480" w:lineRule="auto"/>
        <w:jc w:val="both"/>
        <w:rPr>
          <w:sz w:val="22"/>
          <w:szCs w:val="22"/>
          <w:lang w:val="en-US"/>
        </w:rPr>
      </w:pPr>
      <w:r>
        <w:rPr>
          <w:sz w:val="22"/>
          <w:szCs w:val="22"/>
          <w:lang w:val="en-US"/>
        </w:rPr>
        <w:t>Ex</w:t>
      </w:r>
      <w:r w:rsidR="006B5C16">
        <w:rPr>
          <w:sz w:val="22"/>
          <w:szCs w:val="22"/>
          <w:lang w:val="en-US"/>
        </w:rPr>
        <w:t xml:space="preserve"> </w:t>
      </w:r>
      <w:r>
        <w:rPr>
          <w:sz w:val="22"/>
          <w:szCs w:val="22"/>
          <w:lang w:val="en-US"/>
        </w:rPr>
        <w:t>vivo analyses for the q</w:t>
      </w:r>
      <w:r w:rsidR="00A51E07" w:rsidRPr="000016FB">
        <w:rPr>
          <w:sz w:val="22"/>
          <w:szCs w:val="22"/>
          <w:lang w:val="en-US"/>
        </w:rPr>
        <w:t xml:space="preserve">uantitation of conjugated and unconjugated </w:t>
      </w:r>
      <w:r w:rsidR="00A51CC5">
        <w:rPr>
          <w:sz w:val="22"/>
          <w:szCs w:val="22"/>
          <w:lang w:val="en-US"/>
        </w:rPr>
        <w:t xml:space="preserve">bilirubin and </w:t>
      </w:r>
      <w:r w:rsidR="00A51E07" w:rsidRPr="000016FB">
        <w:rPr>
          <w:sz w:val="22"/>
          <w:szCs w:val="22"/>
          <w:lang w:val="en-US"/>
        </w:rPr>
        <w:t xml:space="preserve">serum bile acids represents </w:t>
      </w:r>
      <w:r w:rsidR="00AB20BF" w:rsidRPr="000016FB">
        <w:rPr>
          <w:sz w:val="22"/>
          <w:szCs w:val="22"/>
          <w:lang w:val="en-US"/>
        </w:rPr>
        <w:t xml:space="preserve">physiologically relevant </w:t>
      </w:r>
      <w:r w:rsidR="00A51E07" w:rsidRPr="000016FB">
        <w:rPr>
          <w:sz w:val="22"/>
          <w:szCs w:val="22"/>
          <w:lang w:val="en-US"/>
        </w:rPr>
        <w:t xml:space="preserve">biomarkers. Overproduction and excessive </w:t>
      </w:r>
      <w:r w:rsidR="00A51CC5">
        <w:rPr>
          <w:sz w:val="22"/>
          <w:szCs w:val="22"/>
          <w:lang w:val="en-US"/>
        </w:rPr>
        <w:t>accumulation</w:t>
      </w:r>
      <w:r w:rsidR="00A51CC5" w:rsidRPr="000016FB">
        <w:rPr>
          <w:sz w:val="22"/>
          <w:szCs w:val="22"/>
          <w:lang w:val="en-US"/>
        </w:rPr>
        <w:t xml:space="preserve"> </w:t>
      </w:r>
      <w:r w:rsidR="00A51E07" w:rsidRPr="000016FB">
        <w:rPr>
          <w:sz w:val="22"/>
          <w:szCs w:val="22"/>
          <w:lang w:val="en-US"/>
        </w:rPr>
        <w:t>of bile acids can be theoretically linked to biliary injury</w:t>
      </w:r>
      <w:r w:rsidR="00AB20BF" w:rsidRPr="000016FB">
        <w:rPr>
          <w:sz w:val="22"/>
          <w:szCs w:val="22"/>
          <w:lang w:val="en-US"/>
        </w:rPr>
        <w:t xml:space="preserve"> and t</w:t>
      </w:r>
      <w:r w:rsidR="00A51E07" w:rsidRPr="000016FB">
        <w:rPr>
          <w:sz w:val="22"/>
          <w:szCs w:val="22"/>
          <w:lang w:val="en-US"/>
        </w:rPr>
        <w:t xml:space="preserve">echniques used for the detection of bile acids are sensitive and specific. However, in </w:t>
      </w:r>
      <w:r w:rsidR="00AB20BF" w:rsidRPr="000016FB">
        <w:rPr>
          <w:sz w:val="22"/>
          <w:szCs w:val="22"/>
          <w:lang w:val="en-US"/>
        </w:rPr>
        <w:t>practice</w:t>
      </w:r>
      <w:r w:rsidR="00675F21">
        <w:rPr>
          <w:sz w:val="22"/>
          <w:szCs w:val="22"/>
          <w:lang w:val="en-US"/>
        </w:rPr>
        <w:t>,</w:t>
      </w:r>
      <w:r w:rsidR="00A51E07" w:rsidRPr="000016FB">
        <w:rPr>
          <w:sz w:val="22"/>
          <w:szCs w:val="22"/>
          <w:lang w:val="en-US"/>
        </w:rPr>
        <w:t xml:space="preserve"> bile </w:t>
      </w:r>
      <w:r w:rsidR="00A51CC5" w:rsidRPr="000016FB">
        <w:rPr>
          <w:sz w:val="22"/>
          <w:szCs w:val="22"/>
          <w:lang w:val="en-US"/>
        </w:rPr>
        <w:t>acid</w:t>
      </w:r>
      <w:r w:rsidR="00A51CC5">
        <w:rPr>
          <w:sz w:val="22"/>
          <w:szCs w:val="22"/>
          <w:lang w:val="en-US"/>
        </w:rPr>
        <w:t xml:space="preserve"> concentrations and efflux into bile</w:t>
      </w:r>
      <w:r w:rsidR="00A51CC5" w:rsidRPr="000016FB">
        <w:rPr>
          <w:sz w:val="22"/>
          <w:szCs w:val="22"/>
          <w:lang w:val="en-US"/>
        </w:rPr>
        <w:t xml:space="preserve"> </w:t>
      </w:r>
      <w:r w:rsidR="0039156D">
        <w:rPr>
          <w:sz w:val="22"/>
          <w:szCs w:val="22"/>
          <w:lang w:val="en-US"/>
        </w:rPr>
        <w:t>are</w:t>
      </w:r>
      <w:r w:rsidR="00A51E07" w:rsidRPr="000016FB">
        <w:rPr>
          <w:sz w:val="22"/>
          <w:szCs w:val="22"/>
          <w:lang w:val="en-US"/>
        </w:rPr>
        <w:t xml:space="preserve"> associated with significant variability</w:t>
      </w:r>
      <w:r w:rsidR="0077440F">
        <w:rPr>
          <w:sz w:val="22"/>
          <w:szCs w:val="22"/>
          <w:lang w:val="en-US"/>
        </w:rPr>
        <w:t>,</w:t>
      </w:r>
      <w:r w:rsidR="00A51E07" w:rsidRPr="000016FB">
        <w:rPr>
          <w:sz w:val="22"/>
          <w:szCs w:val="22"/>
          <w:lang w:val="en-US"/>
        </w:rPr>
        <w:t xml:space="preserve"> </w:t>
      </w:r>
      <w:r w:rsidR="00AB20BF" w:rsidRPr="000016FB">
        <w:rPr>
          <w:sz w:val="22"/>
          <w:szCs w:val="22"/>
          <w:lang w:val="en-US"/>
        </w:rPr>
        <w:t>exhibit diurnal variation and inter-animal variability of the composite bile acid pool</w:t>
      </w:r>
      <w:r w:rsidR="00A51E07" w:rsidRPr="000016FB">
        <w:rPr>
          <w:sz w:val="22"/>
          <w:szCs w:val="22"/>
          <w:lang w:val="en-US"/>
        </w:rPr>
        <w:t xml:space="preserve">, </w:t>
      </w:r>
      <w:r w:rsidR="0039156D">
        <w:rPr>
          <w:sz w:val="22"/>
          <w:szCs w:val="22"/>
          <w:lang w:val="en-US"/>
        </w:rPr>
        <w:t>leading to</w:t>
      </w:r>
      <w:r w:rsidR="0039156D" w:rsidRPr="000016FB">
        <w:rPr>
          <w:sz w:val="22"/>
          <w:szCs w:val="22"/>
          <w:lang w:val="en-US"/>
        </w:rPr>
        <w:t xml:space="preserve"> </w:t>
      </w:r>
      <w:r w:rsidR="0039156D">
        <w:rPr>
          <w:sz w:val="22"/>
          <w:szCs w:val="22"/>
          <w:lang w:val="en-US"/>
        </w:rPr>
        <w:t>high probability of</w:t>
      </w:r>
      <w:r w:rsidR="00BF0794" w:rsidRPr="000016FB">
        <w:rPr>
          <w:sz w:val="22"/>
          <w:szCs w:val="22"/>
          <w:lang w:val="en-US"/>
        </w:rPr>
        <w:t xml:space="preserve"> miss</w:t>
      </w:r>
      <w:r w:rsidR="0039156D">
        <w:rPr>
          <w:sz w:val="22"/>
          <w:szCs w:val="22"/>
          <w:lang w:val="en-US"/>
        </w:rPr>
        <w:t>ing</w:t>
      </w:r>
      <w:r w:rsidR="00BF0794" w:rsidRPr="000016FB">
        <w:rPr>
          <w:sz w:val="22"/>
          <w:szCs w:val="22"/>
          <w:lang w:val="en-US"/>
        </w:rPr>
        <w:t xml:space="preserve"> relevant </w:t>
      </w:r>
      <w:r w:rsidR="00A51E07" w:rsidRPr="000016FB">
        <w:rPr>
          <w:sz w:val="22"/>
          <w:szCs w:val="22"/>
          <w:lang w:val="en-US"/>
        </w:rPr>
        <w:t>signal</w:t>
      </w:r>
      <w:r w:rsidR="0047610B" w:rsidRPr="000016FB">
        <w:rPr>
          <w:sz w:val="22"/>
          <w:szCs w:val="22"/>
          <w:lang w:val="en-US"/>
        </w:rPr>
        <w:t>s</w:t>
      </w:r>
      <w:r w:rsidR="00A51E07" w:rsidRPr="000016FB">
        <w:rPr>
          <w:sz w:val="22"/>
          <w:szCs w:val="22"/>
          <w:lang w:val="en-US"/>
        </w:rPr>
        <w:t xml:space="preserve"> </w:t>
      </w:r>
      <w:r w:rsidR="00BF0794" w:rsidRPr="000016FB">
        <w:rPr>
          <w:sz w:val="22"/>
          <w:szCs w:val="22"/>
          <w:lang w:val="en-US"/>
        </w:rPr>
        <w:t xml:space="preserve">of hepatobiliary injury, </w:t>
      </w:r>
      <w:r w:rsidR="00A51E07" w:rsidRPr="000016FB">
        <w:rPr>
          <w:sz w:val="22"/>
          <w:szCs w:val="22"/>
          <w:lang w:val="en-US"/>
        </w:rPr>
        <w:t>particularly for more chronic</w:t>
      </w:r>
      <w:r w:rsidR="00BF0794" w:rsidRPr="000016FB">
        <w:rPr>
          <w:sz w:val="22"/>
          <w:szCs w:val="22"/>
          <w:lang w:val="en-US"/>
        </w:rPr>
        <w:t xml:space="preserve"> </w:t>
      </w:r>
      <w:r w:rsidR="00A51E07" w:rsidRPr="000016FB">
        <w:rPr>
          <w:sz w:val="22"/>
          <w:szCs w:val="22"/>
          <w:lang w:val="en-US"/>
        </w:rPr>
        <w:t xml:space="preserve">injuries. </w:t>
      </w:r>
      <w:r>
        <w:rPr>
          <w:sz w:val="22"/>
          <w:szCs w:val="22"/>
          <w:lang w:val="en-US"/>
        </w:rPr>
        <w:t xml:space="preserve">Nevertheless, appreciation for the appropriate use of controls affords a utility in the use of bile acid measurements to detect chemical safety liabilities. </w:t>
      </w:r>
    </w:p>
    <w:p w14:paraId="542B8867" w14:textId="77777777" w:rsidR="00CF3FEB" w:rsidRPr="000016FB" w:rsidRDefault="00CF3FEB" w:rsidP="006730B6">
      <w:pPr>
        <w:spacing w:line="480" w:lineRule="auto"/>
        <w:jc w:val="both"/>
        <w:rPr>
          <w:noProof/>
          <w:sz w:val="22"/>
          <w:szCs w:val="22"/>
          <w:lang w:val="en-US"/>
        </w:rPr>
      </w:pPr>
    </w:p>
    <w:p w14:paraId="71A8F853" w14:textId="277246DE" w:rsidR="004A4F7F" w:rsidRDefault="00DE1889" w:rsidP="006730B6">
      <w:pPr>
        <w:spacing w:line="480" w:lineRule="auto"/>
        <w:jc w:val="both"/>
        <w:rPr>
          <w:sz w:val="22"/>
          <w:szCs w:val="22"/>
          <w:lang w:val="en-US"/>
        </w:rPr>
      </w:pPr>
      <w:r>
        <w:rPr>
          <w:sz w:val="22"/>
          <w:szCs w:val="22"/>
          <w:lang w:val="en-US"/>
        </w:rPr>
        <w:t xml:space="preserve">The use of vesicle </w:t>
      </w:r>
      <w:r w:rsidR="00124885">
        <w:rPr>
          <w:sz w:val="22"/>
          <w:szCs w:val="22"/>
          <w:lang w:val="en-US"/>
        </w:rPr>
        <w:t xml:space="preserve">or insect cell </w:t>
      </w:r>
      <w:r>
        <w:rPr>
          <w:sz w:val="22"/>
          <w:szCs w:val="22"/>
          <w:lang w:val="en-US"/>
        </w:rPr>
        <w:t xml:space="preserve">preparations to study </w:t>
      </w:r>
      <w:r w:rsidR="009907A4" w:rsidRPr="000016FB">
        <w:rPr>
          <w:sz w:val="22"/>
          <w:szCs w:val="22"/>
          <w:lang w:val="en-US"/>
        </w:rPr>
        <w:t>transporter</w:t>
      </w:r>
      <w:r w:rsidR="0047610B" w:rsidRPr="000016FB">
        <w:rPr>
          <w:sz w:val="22"/>
          <w:szCs w:val="22"/>
          <w:lang w:val="en-US"/>
        </w:rPr>
        <w:t xml:space="preserve"> inhibition</w:t>
      </w:r>
      <w:r>
        <w:rPr>
          <w:sz w:val="22"/>
          <w:szCs w:val="22"/>
          <w:lang w:val="en-US"/>
        </w:rPr>
        <w:t xml:space="preserve"> is a</w:t>
      </w:r>
      <w:r w:rsidR="009907A4" w:rsidRPr="000016FB">
        <w:rPr>
          <w:sz w:val="22"/>
          <w:szCs w:val="22"/>
          <w:lang w:val="en-US"/>
        </w:rPr>
        <w:t xml:space="preserve"> component of current </w:t>
      </w:r>
      <w:r w:rsidR="009907A4" w:rsidRPr="00BE66C3">
        <w:rPr>
          <w:i/>
          <w:sz w:val="22"/>
          <w:szCs w:val="22"/>
          <w:lang w:val="en-US"/>
        </w:rPr>
        <w:t>in vitro</w:t>
      </w:r>
      <w:r w:rsidR="009907A4" w:rsidRPr="000016FB">
        <w:rPr>
          <w:sz w:val="22"/>
          <w:szCs w:val="22"/>
          <w:lang w:val="en-US"/>
        </w:rPr>
        <w:t xml:space="preserve"> test systems</w:t>
      </w:r>
      <w:r>
        <w:rPr>
          <w:sz w:val="22"/>
          <w:szCs w:val="22"/>
          <w:lang w:val="en-US"/>
        </w:rPr>
        <w:t xml:space="preserve"> employed in discovery research</w:t>
      </w:r>
      <w:r w:rsidR="00A51E07" w:rsidRPr="000016FB">
        <w:rPr>
          <w:sz w:val="22"/>
          <w:szCs w:val="22"/>
          <w:lang w:val="en-US"/>
        </w:rPr>
        <w:t xml:space="preserve">. </w:t>
      </w:r>
      <w:r>
        <w:rPr>
          <w:sz w:val="22"/>
          <w:szCs w:val="22"/>
          <w:lang w:val="en-US"/>
        </w:rPr>
        <w:t>In part</w:t>
      </w:r>
      <w:r w:rsidR="006B5C16">
        <w:rPr>
          <w:sz w:val="22"/>
          <w:szCs w:val="22"/>
          <w:lang w:val="en-US"/>
        </w:rPr>
        <w:t>,</w:t>
      </w:r>
      <w:r>
        <w:rPr>
          <w:sz w:val="22"/>
          <w:szCs w:val="22"/>
          <w:lang w:val="en-US"/>
        </w:rPr>
        <w:t xml:space="preserve"> this has been fueled by the technological ability to express </w:t>
      </w:r>
      <w:r w:rsidR="00562C7F">
        <w:rPr>
          <w:sz w:val="22"/>
          <w:szCs w:val="22"/>
          <w:lang w:val="en-US"/>
        </w:rPr>
        <w:t xml:space="preserve">human </w:t>
      </w:r>
      <w:r>
        <w:rPr>
          <w:sz w:val="22"/>
          <w:szCs w:val="22"/>
          <w:lang w:val="en-US"/>
        </w:rPr>
        <w:t xml:space="preserve">hepatocellular transporter proteins and </w:t>
      </w:r>
      <w:r w:rsidR="00DD4199">
        <w:rPr>
          <w:sz w:val="22"/>
          <w:szCs w:val="22"/>
          <w:lang w:val="en-US"/>
        </w:rPr>
        <w:t xml:space="preserve">adapt these to </w:t>
      </w:r>
      <w:r>
        <w:rPr>
          <w:sz w:val="22"/>
          <w:szCs w:val="22"/>
          <w:lang w:val="en-US"/>
        </w:rPr>
        <w:t>relatively high-throughput screening platforms. Nevertheless, this</w:t>
      </w:r>
      <w:r w:rsidR="00090303">
        <w:rPr>
          <w:sz w:val="22"/>
          <w:szCs w:val="22"/>
          <w:lang w:val="en-US"/>
        </w:rPr>
        <w:t xml:space="preserve"> techn</w:t>
      </w:r>
      <w:r>
        <w:rPr>
          <w:sz w:val="22"/>
          <w:szCs w:val="22"/>
          <w:lang w:val="en-US"/>
        </w:rPr>
        <w:t xml:space="preserve">ology has both </w:t>
      </w:r>
      <w:r w:rsidR="00090303">
        <w:rPr>
          <w:sz w:val="22"/>
          <w:szCs w:val="22"/>
          <w:lang w:val="en-US"/>
        </w:rPr>
        <w:t xml:space="preserve">advantages and limitations to identify and select drug candidates </w:t>
      </w:r>
      <w:r w:rsidR="00206AA9">
        <w:rPr>
          <w:sz w:val="22"/>
          <w:szCs w:val="22"/>
          <w:lang w:val="en-US"/>
        </w:rPr>
        <w:t>with optimal safety profiles</w:t>
      </w:r>
      <w:r w:rsidR="00090303">
        <w:rPr>
          <w:sz w:val="22"/>
          <w:szCs w:val="22"/>
          <w:lang w:val="en-US"/>
        </w:rPr>
        <w:t xml:space="preserve">. </w:t>
      </w:r>
      <w:r>
        <w:rPr>
          <w:sz w:val="22"/>
          <w:szCs w:val="22"/>
          <w:lang w:val="en-US"/>
        </w:rPr>
        <w:t xml:space="preserve"> </w:t>
      </w:r>
      <w:r w:rsidR="00206AA9">
        <w:rPr>
          <w:sz w:val="22"/>
          <w:szCs w:val="22"/>
          <w:lang w:val="en-US"/>
        </w:rPr>
        <w:t xml:space="preserve">The use of </w:t>
      </w:r>
      <w:r w:rsidR="00A51E07" w:rsidRPr="000016FB">
        <w:rPr>
          <w:sz w:val="22"/>
          <w:szCs w:val="22"/>
          <w:lang w:val="en-US"/>
        </w:rPr>
        <w:t xml:space="preserve">BSEP </w:t>
      </w:r>
      <w:r w:rsidR="00A51CC5">
        <w:rPr>
          <w:sz w:val="22"/>
          <w:szCs w:val="22"/>
          <w:lang w:val="en-US"/>
        </w:rPr>
        <w:t>(ABCB11)</w:t>
      </w:r>
      <w:r w:rsidR="005A2402">
        <w:rPr>
          <w:sz w:val="22"/>
          <w:szCs w:val="22"/>
          <w:lang w:val="en-US"/>
        </w:rPr>
        <w:t xml:space="preserve"> </w:t>
      </w:r>
      <w:r w:rsidR="00A51E07" w:rsidRPr="000016FB">
        <w:rPr>
          <w:sz w:val="22"/>
          <w:szCs w:val="22"/>
          <w:lang w:val="en-US"/>
        </w:rPr>
        <w:lastRenderedPageBreak/>
        <w:t xml:space="preserve">inhibition </w:t>
      </w:r>
      <w:r w:rsidR="002717BF">
        <w:rPr>
          <w:sz w:val="22"/>
          <w:szCs w:val="22"/>
          <w:lang w:val="en-US"/>
        </w:rPr>
        <w:t>has been proposed</w:t>
      </w:r>
      <w:r w:rsidR="001110E8">
        <w:rPr>
          <w:sz w:val="22"/>
          <w:szCs w:val="22"/>
          <w:lang w:val="en-US"/>
        </w:rPr>
        <w:t xml:space="preserve"> </w:t>
      </w:r>
      <w:sdt>
        <w:sdtPr>
          <w:rPr>
            <w:sz w:val="22"/>
            <w:szCs w:val="22"/>
            <w:lang w:val="en-US"/>
          </w:rPr>
          <w:id w:val="749001822"/>
          <w:citation/>
        </w:sdtPr>
        <w:sdtEndPr/>
        <w:sdtContent>
          <w:r w:rsidR="001110E8">
            <w:rPr>
              <w:sz w:val="22"/>
              <w:szCs w:val="22"/>
              <w:lang w:val="en-US"/>
            </w:rPr>
            <w:fldChar w:fldCharType="begin"/>
          </w:r>
          <w:r w:rsidR="001110E8">
            <w:rPr>
              <w:sz w:val="22"/>
              <w:szCs w:val="22"/>
              <w:lang w:val="en-GB"/>
            </w:rPr>
            <w:instrText xml:space="preserve"> CITATION Blo16 \l 2057 </w:instrText>
          </w:r>
          <w:r w:rsidR="001110E8">
            <w:rPr>
              <w:sz w:val="22"/>
              <w:szCs w:val="22"/>
              <w:lang w:val="en-US"/>
            </w:rPr>
            <w:fldChar w:fldCharType="separate"/>
          </w:r>
          <w:r w:rsidR="002D6947" w:rsidRPr="002D6947">
            <w:rPr>
              <w:noProof/>
              <w:sz w:val="22"/>
              <w:szCs w:val="22"/>
              <w:lang w:val="en-GB"/>
            </w:rPr>
            <w:t>[55]</w:t>
          </w:r>
          <w:r w:rsidR="001110E8">
            <w:rPr>
              <w:sz w:val="22"/>
              <w:szCs w:val="22"/>
              <w:lang w:val="en-US"/>
            </w:rPr>
            <w:fldChar w:fldCharType="end"/>
          </w:r>
        </w:sdtContent>
      </w:sdt>
      <w:r w:rsidR="00B9510C">
        <w:rPr>
          <w:sz w:val="22"/>
          <w:szCs w:val="22"/>
          <w:lang w:val="en-US"/>
        </w:rPr>
        <w:t xml:space="preserve">  </w:t>
      </w:r>
      <w:r w:rsidR="002717BF">
        <w:rPr>
          <w:sz w:val="22"/>
          <w:szCs w:val="22"/>
          <w:lang w:val="en-US"/>
        </w:rPr>
        <w:t xml:space="preserve">and </w:t>
      </w:r>
      <w:r w:rsidR="00206AA9">
        <w:rPr>
          <w:sz w:val="22"/>
          <w:szCs w:val="22"/>
          <w:lang w:val="en-US"/>
        </w:rPr>
        <w:t>employed</w:t>
      </w:r>
      <w:r w:rsidR="002717BF">
        <w:rPr>
          <w:sz w:val="22"/>
          <w:szCs w:val="22"/>
          <w:lang w:val="en-US"/>
        </w:rPr>
        <w:t xml:space="preserve"> </w:t>
      </w:r>
      <w:r w:rsidR="00B9510C">
        <w:rPr>
          <w:sz w:val="22"/>
          <w:szCs w:val="22"/>
          <w:lang w:val="en-US"/>
        </w:rPr>
        <w:t xml:space="preserve">by </w:t>
      </w:r>
      <w:r w:rsidR="002717BF">
        <w:rPr>
          <w:sz w:val="22"/>
          <w:szCs w:val="22"/>
          <w:lang w:val="en-US"/>
        </w:rPr>
        <w:t xml:space="preserve">some pharmaceutical R&amp;D organizations </w:t>
      </w:r>
      <w:r w:rsidR="00206AA9">
        <w:rPr>
          <w:sz w:val="22"/>
          <w:szCs w:val="22"/>
          <w:lang w:val="en-US"/>
        </w:rPr>
        <w:t xml:space="preserve">to identify hazard of human </w:t>
      </w:r>
      <w:proofErr w:type="gramStart"/>
      <w:r w:rsidR="00206AA9">
        <w:rPr>
          <w:sz w:val="22"/>
          <w:szCs w:val="22"/>
          <w:lang w:val="en-US"/>
        </w:rPr>
        <w:t xml:space="preserve">DILI </w:t>
      </w:r>
      <w:r w:rsidR="00A51CC5">
        <w:rPr>
          <w:noProof/>
          <w:sz w:val="22"/>
          <w:szCs w:val="22"/>
          <w:lang w:val="en-GB"/>
        </w:rPr>
        <w:t xml:space="preserve"> </w:t>
      </w:r>
      <w:proofErr w:type="gramEnd"/>
      <w:sdt>
        <w:sdtPr>
          <w:rPr>
            <w:noProof/>
            <w:sz w:val="22"/>
            <w:szCs w:val="22"/>
            <w:lang w:val="en-GB"/>
          </w:rPr>
          <w:id w:val="252481300"/>
          <w:citation/>
        </w:sdtPr>
        <w:sdtEndPr/>
        <w:sdtContent>
          <w:r w:rsidR="00F21C43">
            <w:rPr>
              <w:noProof/>
              <w:sz w:val="22"/>
              <w:szCs w:val="22"/>
              <w:lang w:val="en-GB"/>
            </w:rPr>
            <w:fldChar w:fldCharType="begin"/>
          </w:r>
          <w:r w:rsidR="00F21C43">
            <w:rPr>
              <w:noProof/>
              <w:sz w:val="22"/>
              <w:szCs w:val="22"/>
              <w:lang w:val="en-GB"/>
            </w:rPr>
            <w:instrText xml:space="preserve"> CITATION Mor13 \l 2057 </w:instrText>
          </w:r>
          <w:r w:rsidR="00F21C43">
            <w:rPr>
              <w:noProof/>
              <w:sz w:val="22"/>
              <w:szCs w:val="22"/>
              <w:lang w:val="en-GB"/>
            </w:rPr>
            <w:fldChar w:fldCharType="separate"/>
          </w:r>
          <w:r w:rsidR="002D6947" w:rsidRPr="002D6947">
            <w:rPr>
              <w:noProof/>
              <w:sz w:val="22"/>
              <w:szCs w:val="22"/>
              <w:lang w:val="en-GB"/>
            </w:rPr>
            <w:t>[54]</w:t>
          </w:r>
          <w:r w:rsidR="00F21C43">
            <w:rPr>
              <w:noProof/>
              <w:sz w:val="22"/>
              <w:szCs w:val="22"/>
              <w:lang w:val="en-GB"/>
            </w:rPr>
            <w:fldChar w:fldCharType="end"/>
          </w:r>
        </w:sdtContent>
      </w:sdt>
      <w:r w:rsidR="006B591F" w:rsidRPr="000016FB">
        <w:rPr>
          <w:sz w:val="22"/>
          <w:szCs w:val="22"/>
          <w:lang w:val="en-US"/>
        </w:rPr>
        <w:t xml:space="preserve">. </w:t>
      </w:r>
      <w:r w:rsidR="00206AA9">
        <w:rPr>
          <w:sz w:val="22"/>
          <w:szCs w:val="22"/>
          <w:lang w:val="en-US"/>
        </w:rPr>
        <w:t xml:space="preserve">Nevertheless, the </w:t>
      </w:r>
      <w:r w:rsidR="00796EF2">
        <w:rPr>
          <w:sz w:val="22"/>
          <w:szCs w:val="22"/>
          <w:lang w:val="en-US"/>
        </w:rPr>
        <w:t xml:space="preserve">high </w:t>
      </w:r>
      <w:r w:rsidR="00206AA9">
        <w:rPr>
          <w:sz w:val="22"/>
          <w:szCs w:val="22"/>
          <w:lang w:val="en-US"/>
        </w:rPr>
        <w:t xml:space="preserve">number of false positives </w:t>
      </w:r>
      <w:r w:rsidR="00DD4199">
        <w:rPr>
          <w:sz w:val="22"/>
          <w:szCs w:val="22"/>
          <w:lang w:val="en-US"/>
        </w:rPr>
        <w:t xml:space="preserve">is now appreciated </w:t>
      </w:r>
      <w:r w:rsidR="00206AA9">
        <w:rPr>
          <w:sz w:val="22"/>
          <w:szCs w:val="22"/>
          <w:lang w:val="en-US"/>
        </w:rPr>
        <w:t xml:space="preserve">when </w:t>
      </w:r>
      <w:r w:rsidR="00034514">
        <w:rPr>
          <w:sz w:val="22"/>
          <w:szCs w:val="22"/>
          <w:lang w:val="en-US"/>
        </w:rPr>
        <w:t xml:space="preserve">solely </w:t>
      </w:r>
      <w:r w:rsidR="00206AA9">
        <w:rPr>
          <w:sz w:val="22"/>
          <w:szCs w:val="22"/>
          <w:lang w:val="en-US"/>
        </w:rPr>
        <w:t>screening for liabilities associated with BSEP inhibition</w:t>
      </w:r>
      <w:r w:rsidR="00796EF2">
        <w:rPr>
          <w:sz w:val="22"/>
          <w:szCs w:val="22"/>
          <w:lang w:val="en-US"/>
        </w:rPr>
        <w:t xml:space="preserve"> </w:t>
      </w:r>
      <w:sdt>
        <w:sdtPr>
          <w:rPr>
            <w:sz w:val="22"/>
            <w:szCs w:val="22"/>
            <w:lang w:val="en-US"/>
          </w:rPr>
          <w:id w:val="-997569481"/>
          <w:citation/>
        </w:sdtPr>
        <w:sdtEndPr/>
        <w:sdtContent>
          <w:r w:rsidR="001110E8">
            <w:rPr>
              <w:sz w:val="22"/>
              <w:szCs w:val="22"/>
              <w:lang w:val="en-US"/>
            </w:rPr>
            <w:fldChar w:fldCharType="begin"/>
          </w:r>
          <w:r w:rsidR="001110E8">
            <w:rPr>
              <w:sz w:val="22"/>
              <w:szCs w:val="22"/>
              <w:lang w:val="en-GB"/>
            </w:rPr>
            <w:instrText xml:space="preserve"> CITATION Blo16 \l 2057 </w:instrText>
          </w:r>
          <w:r w:rsidR="001110E8">
            <w:rPr>
              <w:sz w:val="22"/>
              <w:szCs w:val="22"/>
              <w:lang w:val="en-US"/>
            </w:rPr>
            <w:fldChar w:fldCharType="separate"/>
          </w:r>
          <w:r w:rsidR="002D6947" w:rsidRPr="002D6947">
            <w:rPr>
              <w:noProof/>
              <w:sz w:val="22"/>
              <w:szCs w:val="22"/>
              <w:lang w:val="en-GB"/>
            </w:rPr>
            <w:t>[55]</w:t>
          </w:r>
          <w:r w:rsidR="001110E8">
            <w:rPr>
              <w:sz w:val="22"/>
              <w:szCs w:val="22"/>
              <w:lang w:val="en-US"/>
            </w:rPr>
            <w:fldChar w:fldCharType="end"/>
          </w:r>
        </w:sdtContent>
      </w:sdt>
      <w:r w:rsidR="00034514">
        <w:rPr>
          <w:sz w:val="22"/>
          <w:szCs w:val="22"/>
          <w:lang w:val="en-US"/>
        </w:rPr>
        <w:t>. M</w:t>
      </w:r>
      <w:r w:rsidR="00796EF2">
        <w:rPr>
          <w:sz w:val="22"/>
          <w:szCs w:val="22"/>
          <w:lang w:val="en-US"/>
        </w:rPr>
        <w:t>ore recent</w:t>
      </w:r>
      <w:r w:rsidR="00034514">
        <w:rPr>
          <w:sz w:val="22"/>
          <w:szCs w:val="22"/>
          <w:lang w:val="en-US"/>
        </w:rPr>
        <w:t xml:space="preserve"> studies have </w:t>
      </w:r>
      <w:r w:rsidR="00F760DC">
        <w:rPr>
          <w:sz w:val="22"/>
          <w:szCs w:val="22"/>
          <w:lang w:val="en-US"/>
        </w:rPr>
        <w:t xml:space="preserve">strived </w:t>
      </w:r>
      <w:r w:rsidR="00034514">
        <w:rPr>
          <w:sz w:val="22"/>
          <w:szCs w:val="22"/>
          <w:lang w:val="en-US"/>
        </w:rPr>
        <w:t>to improve the predictive outcomes by including the MRPs transporter proteins in screens with varying degrees of success</w:t>
      </w:r>
      <w:r w:rsidR="00124885">
        <w:rPr>
          <w:sz w:val="22"/>
          <w:szCs w:val="22"/>
          <w:lang w:val="en-US"/>
        </w:rPr>
        <w:t xml:space="preserve"> </w:t>
      </w:r>
      <w:sdt>
        <w:sdtPr>
          <w:rPr>
            <w:sz w:val="22"/>
            <w:szCs w:val="22"/>
            <w:lang w:val="en-US"/>
          </w:rPr>
          <w:id w:val="-1008204589"/>
          <w:citation/>
        </w:sdtPr>
        <w:sdtEndPr/>
        <w:sdtContent>
          <w:r w:rsidR="001110E8">
            <w:rPr>
              <w:sz w:val="22"/>
              <w:szCs w:val="22"/>
              <w:lang w:val="en-US"/>
            </w:rPr>
            <w:fldChar w:fldCharType="begin"/>
          </w:r>
          <w:r w:rsidR="001110E8">
            <w:rPr>
              <w:sz w:val="22"/>
              <w:szCs w:val="22"/>
              <w:lang w:val="en-GB"/>
            </w:rPr>
            <w:instrText xml:space="preserve"> CITATION Köc14 \l 2057 </w:instrText>
          </w:r>
          <w:r w:rsidR="001110E8">
            <w:rPr>
              <w:sz w:val="22"/>
              <w:szCs w:val="22"/>
              <w:lang w:val="en-US"/>
            </w:rPr>
            <w:fldChar w:fldCharType="separate"/>
          </w:r>
          <w:r w:rsidR="002D6947" w:rsidRPr="002D6947">
            <w:rPr>
              <w:noProof/>
              <w:sz w:val="22"/>
              <w:szCs w:val="22"/>
              <w:lang w:val="en-GB"/>
            </w:rPr>
            <w:t>[53]</w:t>
          </w:r>
          <w:r w:rsidR="001110E8">
            <w:rPr>
              <w:sz w:val="22"/>
              <w:szCs w:val="22"/>
              <w:lang w:val="en-US"/>
            </w:rPr>
            <w:fldChar w:fldCharType="end"/>
          </w:r>
        </w:sdtContent>
      </w:sdt>
      <w:sdt>
        <w:sdtPr>
          <w:rPr>
            <w:sz w:val="22"/>
            <w:szCs w:val="22"/>
            <w:lang w:val="en-US"/>
          </w:rPr>
          <w:id w:val="1963841707"/>
          <w:citation/>
        </w:sdtPr>
        <w:sdtEndPr/>
        <w:sdtContent>
          <w:r w:rsidR="001110E8">
            <w:rPr>
              <w:sz w:val="22"/>
              <w:szCs w:val="22"/>
              <w:lang w:val="en-US"/>
            </w:rPr>
            <w:fldChar w:fldCharType="begin"/>
          </w:r>
          <w:r w:rsidR="001110E8">
            <w:rPr>
              <w:sz w:val="22"/>
              <w:szCs w:val="22"/>
              <w:lang w:val="en-GB"/>
            </w:rPr>
            <w:instrText xml:space="preserve"> CITATION Mor13 \l 2057 </w:instrText>
          </w:r>
          <w:r w:rsidR="001110E8">
            <w:rPr>
              <w:sz w:val="22"/>
              <w:szCs w:val="22"/>
              <w:lang w:val="en-US"/>
            </w:rPr>
            <w:fldChar w:fldCharType="separate"/>
          </w:r>
          <w:r w:rsidR="002D6947">
            <w:rPr>
              <w:noProof/>
              <w:sz w:val="22"/>
              <w:szCs w:val="22"/>
              <w:lang w:val="en-GB"/>
            </w:rPr>
            <w:t xml:space="preserve"> </w:t>
          </w:r>
          <w:r w:rsidR="002D6947" w:rsidRPr="002D6947">
            <w:rPr>
              <w:noProof/>
              <w:sz w:val="22"/>
              <w:szCs w:val="22"/>
              <w:lang w:val="en-GB"/>
            </w:rPr>
            <w:t>[54]</w:t>
          </w:r>
          <w:r w:rsidR="001110E8">
            <w:rPr>
              <w:sz w:val="22"/>
              <w:szCs w:val="22"/>
              <w:lang w:val="en-US"/>
            </w:rPr>
            <w:fldChar w:fldCharType="end"/>
          </w:r>
        </w:sdtContent>
      </w:sdt>
      <w:r w:rsidR="00034514">
        <w:rPr>
          <w:sz w:val="22"/>
          <w:szCs w:val="22"/>
          <w:lang w:val="en-US"/>
        </w:rPr>
        <w:t xml:space="preserve">. </w:t>
      </w:r>
      <w:r w:rsidR="00206AA9">
        <w:rPr>
          <w:sz w:val="22"/>
          <w:szCs w:val="22"/>
          <w:lang w:val="en-US"/>
        </w:rPr>
        <w:t xml:space="preserve"> </w:t>
      </w:r>
      <w:r w:rsidR="00034514">
        <w:rPr>
          <w:sz w:val="22"/>
          <w:szCs w:val="22"/>
          <w:lang w:val="en-US"/>
        </w:rPr>
        <w:t xml:space="preserve">Whilst these studies shed light </w:t>
      </w:r>
      <w:r w:rsidR="00796EF2">
        <w:rPr>
          <w:sz w:val="22"/>
          <w:szCs w:val="22"/>
          <w:lang w:val="en-US"/>
        </w:rPr>
        <w:t>on perhaps improving the predictive outcome, transporter inhibition remain</w:t>
      </w:r>
      <w:r w:rsidR="00124885">
        <w:rPr>
          <w:sz w:val="22"/>
          <w:szCs w:val="22"/>
          <w:lang w:val="en-US"/>
        </w:rPr>
        <w:t>s only one</w:t>
      </w:r>
      <w:r w:rsidR="00796EF2">
        <w:rPr>
          <w:sz w:val="22"/>
          <w:szCs w:val="22"/>
          <w:lang w:val="en-US"/>
        </w:rPr>
        <w:t xml:space="preserve"> </w:t>
      </w:r>
      <w:r w:rsidR="00F760DC">
        <w:rPr>
          <w:sz w:val="22"/>
          <w:szCs w:val="22"/>
          <w:lang w:val="en-US"/>
        </w:rPr>
        <w:t>portion</w:t>
      </w:r>
      <w:r w:rsidR="00796EF2">
        <w:rPr>
          <w:sz w:val="22"/>
          <w:szCs w:val="22"/>
          <w:lang w:val="en-US"/>
        </w:rPr>
        <w:t xml:space="preserve"> of the n</w:t>
      </w:r>
      <w:r w:rsidR="00FA09C2">
        <w:rPr>
          <w:sz w:val="22"/>
          <w:szCs w:val="22"/>
          <w:lang w:val="en-US"/>
        </w:rPr>
        <w:t>um</w:t>
      </w:r>
      <w:r w:rsidR="00796EF2">
        <w:rPr>
          <w:sz w:val="22"/>
          <w:szCs w:val="22"/>
          <w:lang w:val="en-US"/>
        </w:rPr>
        <w:t>e</w:t>
      </w:r>
      <w:r w:rsidR="00FA09C2">
        <w:rPr>
          <w:sz w:val="22"/>
          <w:szCs w:val="22"/>
          <w:lang w:val="en-US"/>
        </w:rPr>
        <w:t>r</w:t>
      </w:r>
      <w:r w:rsidR="00796EF2">
        <w:rPr>
          <w:sz w:val="22"/>
          <w:szCs w:val="22"/>
          <w:lang w:val="en-US"/>
        </w:rPr>
        <w:t xml:space="preserve">ous mechanisms associated with intrahepatic cholestasis and </w:t>
      </w:r>
      <w:r w:rsidR="00124885">
        <w:rPr>
          <w:sz w:val="22"/>
          <w:szCs w:val="22"/>
          <w:lang w:val="en-US"/>
        </w:rPr>
        <w:t xml:space="preserve">the </w:t>
      </w:r>
      <w:r w:rsidR="00796EF2">
        <w:rPr>
          <w:sz w:val="22"/>
          <w:szCs w:val="22"/>
          <w:lang w:val="en-US"/>
        </w:rPr>
        <w:t xml:space="preserve">direct and indirect effects </w:t>
      </w:r>
      <w:r w:rsidR="00124885">
        <w:rPr>
          <w:sz w:val="22"/>
          <w:szCs w:val="22"/>
          <w:lang w:val="en-US"/>
        </w:rPr>
        <w:t xml:space="preserve">that </w:t>
      </w:r>
      <w:r w:rsidR="00796EF2">
        <w:rPr>
          <w:sz w:val="22"/>
          <w:szCs w:val="22"/>
          <w:lang w:val="en-US"/>
        </w:rPr>
        <w:t>drugs may have on hepatobiliary func</w:t>
      </w:r>
      <w:r w:rsidR="00B9510C">
        <w:rPr>
          <w:sz w:val="22"/>
          <w:szCs w:val="22"/>
          <w:lang w:val="en-US"/>
        </w:rPr>
        <w:t>tion</w:t>
      </w:r>
      <w:sdt>
        <w:sdtPr>
          <w:rPr>
            <w:sz w:val="22"/>
            <w:szCs w:val="22"/>
            <w:lang w:val="en-US"/>
          </w:rPr>
          <w:id w:val="1785923722"/>
          <w:citation/>
        </w:sdtPr>
        <w:sdtEndPr/>
        <w:sdtContent>
          <w:r w:rsidR="002943A6">
            <w:rPr>
              <w:sz w:val="22"/>
              <w:szCs w:val="22"/>
              <w:lang w:val="en-US"/>
            </w:rPr>
            <w:fldChar w:fldCharType="begin"/>
          </w:r>
          <w:r w:rsidR="002943A6">
            <w:rPr>
              <w:sz w:val="22"/>
              <w:szCs w:val="22"/>
              <w:lang w:val="en-GB"/>
            </w:rPr>
            <w:instrText xml:space="preserve"> CITATION LiT14 \l 2057 </w:instrText>
          </w:r>
          <w:r w:rsidR="002943A6">
            <w:rPr>
              <w:sz w:val="22"/>
              <w:szCs w:val="22"/>
              <w:lang w:val="en-US"/>
            </w:rPr>
            <w:fldChar w:fldCharType="separate"/>
          </w:r>
          <w:r w:rsidR="002D6947">
            <w:rPr>
              <w:noProof/>
              <w:sz w:val="22"/>
              <w:szCs w:val="22"/>
              <w:lang w:val="en-GB"/>
            </w:rPr>
            <w:t xml:space="preserve"> </w:t>
          </w:r>
          <w:r w:rsidR="002D6947" w:rsidRPr="002D6947">
            <w:rPr>
              <w:noProof/>
              <w:sz w:val="22"/>
              <w:szCs w:val="22"/>
              <w:lang w:val="en-GB"/>
            </w:rPr>
            <w:t>[56]</w:t>
          </w:r>
          <w:r w:rsidR="002943A6">
            <w:rPr>
              <w:sz w:val="22"/>
              <w:szCs w:val="22"/>
              <w:lang w:val="en-US"/>
            </w:rPr>
            <w:fldChar w:fldCharType="end"/>
          </w:r>
        </w:sdtContent>
      </w:sdt>
      <w:r w:rsidR="00B9510C">
        <w:rPr>
          <w:sz w:val="22"/>
          <w:szCs w:val="22"/>
          <w:lang w:val="en-US"/>
        </w:rPr>
        <w:t xml:space="preserve"> </w:t>
      </w:r>
      <w:sdt>
        <w:sdtPr>
          <w:rPr>
            <w:sz w:val="22"/>
            <w:szCs w:val="22"/>
            <w:lang w:val="en-US"/>
          </w:rPr>
          <w:id w:val="-601409387"/>
          <w:citation/>
        </w:sdtPr>
        <w:sdtEndPr/>
        <w:sdtContent>
          <w:r w:rsidR="001110E8">
            <w:rPr>
              <w:sz w:val="22"/>
              <w:szCs w:val="22"/>
              <w:lang w:val="en-US"/>
            </w:rPr>
            <w:fldChar w:fldCharType="begin"/>
          </w:r>
          <w:r w:rsidR="001110E8">
            <w:rPr>
              <w:sz w:val="22"/>
              <w:szCs w:val="22"/>
              <w:lang w:val="en-GB"/>
            </w:rPr>
            <w:instrText xml:space="preserve"> CITATION Rog14 \l 2057 </w:instrText>
          </w:r>
          <w:r w:rsidR="001110E8">
            <w:rPr>
              <w:sz w:val="22"/>
              <w:szCs w:val="22"/>
              <w:lang w:val="en-US"/>
            </w:rPr>
            <w:fldChar w:fldCharType="separate"/>
          </w:r>
          <w:r w:rsidR="002D6947" w:rsidRPr="002D6947">
            <w:rPr>
              <w:noProof/>
              <w:sz w:val="22"/>
              <w:szCs w:val="22"/>
              <w:lang w:val="en-GB"/>
            </w:rPr>
            <w:t>[57]</w:t>
          </w:r>
          <w:r w:rsidR="001110E8">
            <w:rPr>
              <w:sz w:val="22"/>
              <w:szCs w:val="22"/>
              <w:lang w:val="en-US"/>
            </w:rPr>
            <w:fldChar w:fldCharType="end"/>
          </w:r>
        </w:sdtContent>
      </w:sdt>
      <w:sdt>
        <w:sdtPr>
          <w:rPr>
            <w:sz w:val="22"/>
            <w:szCs w:val="22"/>
            <w:lang w:val="en-US"/>
          </w:rPr>
          <w:id w:val="-624696766"/>
          <w:citation/>
        </w:sdtPr>
        <w:sdtEndPr/>
        <w:sdtContent>
          <w:r w:rsidR="001110E8">
            <w:rPr>
              <w:sz w:val="22"/>
              <w:szCs w:val="22"/>
              <w:lang w:val="en-US"/>
            </w:rPr>
            <w:fldChar w:fldCharType="begin"/>
          </w:r>
          <w:r w:rsidR="001110E8">
            <w:rPr>
              <w:sz w:val="22"/>
              <w:szCs w:val="22"/>
              <w:lang w:val="en-GB"/>
            </w:rPr>
            <w:instrText xml:space="preserve"> CITATION Bur16 \l 2057 </w:instrText>
          </w:r>
          <w:r w:rsidR="001110E8">
            <w:rPr>
              <w:sz w:val="22"/>
              <w:szCs w:val="22"/>
              <w:lang w:val="en-US"/>
            </w:rPr>
            <w:fldChar w:fldCharType="separate"/>
          </w:r>
          <w:r w:rsidR="002D6947">
            <w:rPr>
              <w:noProof/>
              <w:sz w:val="22"/>
              <w:szCs w:val="22"/>
              <w:lang w:val="en-GB"/>
            </w:rPr>
            <w:t xml:space="preserve"> </w:t>
          </w:r>
          <w:r w:rsidR="002D6947" w:rsidRPr="002D6947">
            <w:rPr>
              <w:noProof/>
              <w:sz w:val="22"/>
              <w:szCs w:val="22"/>
              <w:lang w:val="en-GB"/>
            </w:rPr>
            <w:t>[58]</w:t>
          </w:r>
          <w:r w:rsidR="001110E8">
            <w:rPr>
              <w:sz w:val="22"/>
              <w:szCs w:val="22"/>
              <w:lang w:val="en-US"/>
            </w:rPr>
            <w:fldChar w:fldCharType="end"/>
          </w:r>
        </w:sdtContent>
      </w:sdt>
      <w:r w:rsidR="00796EF2">
        <w:rPr>
          <w:sz w:val="22"/>
          <w:szCs w:val="22"/>
          <w:lang w:val="en-US"/>
        </w:rPr>
        <w:t xml:space="preserve">. </w:t>
      </w:r>
      <w:r w:rsidR="00FA188B">
        <w:rPr>
          <w:sz w:val="22"/>
          <w:szCs w:val="22"/>
          <w:lang w:val="en-US"/>
        </w:rPr>
        <w:t xml:space="preserve">A </w:t>
      </w:r>
      <w:r w:rsidR="00124885">
        <w:rPr>
          <w:sz w:val="22"/>
          <w:szCs w:val="22"/>
          <w:lang w:val="en-US"/>
        </w:rPr>
        <w:t xml:space="preserve">noteworthy </w:t>
      </w:r>
      <w:r w:rsidR="00FA188B">
        <w:rPr>
          <w:sz w:val="22"/>
          <w:szCs w:val="22"/>
          <w:lang w:val="en-US"/>
        </w:rPr>
        <w:t xml:space="preserve">limitation in transfected transporter model systems (e.g. insect cell systems) is the inability to assess the effect of transporter redundancy </w:t>
      </w:r>
      <w:sdt>
        <w:sdtPr>
          <w:rPr>
            <w:sz w:val="22"/>
            <w:szCs w:val="22"/>
            <w:lang w:val="en-US"/>
          </w:rPr>
          <w:id w:val="1797020214"/>
          <w:citation/>
        </w:sdtPr>
        <w:sdtEndPr/>
        <w:sdtContent>
          <w:r w:rsidR="002943A6">
            <w:rPr>
              <w:sz w:val="22"/>
              <w:szCs w:val="22"/>
              <w:lang w:val="en-US"/>
            </w:rPr>
            <w:fldChar w:fldCharType="begin"/>
          </w:r>
          <w:r w:rsidR="002943A6">
            <w:rPr>
              <w:sz w:val="22"/>
              <w:szCs w:val="22"/>
              <w:lang w:val="en-GB"/>
            </w:rPr>
            <w:instrText xml:space="preserve"> CITATION Blo16 \l 2057 </w:instrText>
          </w:r>
          <w:r w:rsidR="002943A6">
            <w:rPr>
              <w:sz w:val="22"/>
              <w:szCs w:val="22"/>
              <w:lang w:val="en-US"/>
            </w:rPr>
            <w:fldChar w:fldCharType="separate"/>
          </w:r>
          <w:r w:rsidR="002D6947" w:rsidRPr="002D6947">
            <w:rPr>
              <w:noProof/>
              <w:sz w:val="22"/>
              <w:szCs w:val="22"/>
              <w:lang w:val="en-GB"/>
            </w:rPr>
            <w:t>[55]</w:t>
          </w:r>
          <w:r w:rsidR="002943A6">
            <w:rPr>
              <w:sz w:val="22"/>
              <w:szCs w:val="22"/>
              <w:lang w:val="en-US"/>
            </w:rPr>
            <w:fldChar w:fldCharType="end"/>
          </w:r>
        </w:sdtContent>
      </w:sdt>
      <w:r w:rsidR="00FA188B">
        <w:rPr>
          <w:sz w:val="22"/>
          <w:szCs w:val="22"/>
          <w:lang w:val="en-US"/>
        </w:rPr>
        <w:t xml:space="preserve">. </w:t>
      </w:r>
      <w:r w:rsidR="00124885">
        <w:rPr>
          <w:sz w:val="22"/>
          <w:szCs w:val="22"/>
          <w:lang w:val="en-US"/>
        </w:rPr>
        <w:t>Furthermore, understanding the relevant concentrations for evaluation is a major challenge at the early stages of drug discovery. Hence, t</w:t>
      </w:r>
      <w:r w:rsidR="00B9510C">
        <w:rPr>
          <w:sz w:val="22"/>
          <w:szCs w:val="22"/>
          <w:lang w:val="en-US"/>
        </w:rPr>
        <w:t>he complexit</w:t>
      </w:r>
      <w:r w:rsidR="00F760DC">
        <w:rPr>
          <w:sz w:val="22"/>
          <w:szCs w:val="22"/>
          <w:lang w:val="en-US"/>
        </w:rPr>
        <w:t>y</w:t>
      </w:r>
      <w:r w:rsidR="00B9510C">
        <w:rPr>
          <w:sz w:val="22"/>
          <w:szCs w:val="22"/>
          <w:lang w:val="en-US"/>
        </w:rPr>
        <w:t xml:space="preserve"> of hepatobiliary function points to </w:t>
      </w:r>
      <w:r w:rsidR="00124885">
        <w:rPr>
          <w:sz w:val="22"/>
          <w:szCs w:val="22"/>
          <w:lang w:val="en-US"/>
        </w:rPr>
        <w:t xml:space="preserve">the need to </w:t>
      </w:r>
      <w:r w:rsidR="00F760DC">
        <w:rPr>
          <w:sz w:val="22"/>
          <w:szCs w:val="22"/>
          <w:lang w:val="en-US"/>
        </w:rPr>
        <w:t xml:space="preserve">assess </w:t>
      </w:r>
      <w:r w:rsidR="00124885">
        <w:rPr>
          <w:sz w:val="22"/>
          <w:szCs w:val="22"/>
          <w:lang w:val="en-US"/>
        </w:rPr>
        <w:t xml:space="preserve">selected compounds </w:t>
      </w:r>
      <w:r w:rsidR="00F760DC">
        <w:rPr>
          <w:sz w:val="22"/>
          <w:szCs w:val="22"/>
          <w:lang w:val="en-US"/>
        </w:rPr>
        <w:t xml:space="preserve">in </w:t>
      </w:r>
      <w:r w:rsidR="00B9510C">
        <w:rPr>
          <w:sz w:val="22"/>
          <w:szCs w:val="22"/>
          <w:lang w:val="en-US"/>
        </w:rPr>
        <w:t>definitive studies with well-characterized hepatocellular systems</w:t>
      </w:r>
      <w:r w:rsidR="00045509">
        <w:rPr>
          <w:sz w:val="22"/>
          <w:szCs w:val="22"/>
          <w:lang w:val="en-US"/>
        </w:rPr>
        <w:t>.</w:t>
      </w:r>
    </w:p>
    <w:p w14:paraId="233C47A4" w14:textId="77777777" w:rsidR="00CD1872" w:rsidRDefault="00CD1872" w:rsidP="006730B6">
      <w:pPr>
        <w:spacing w:line="480" w:lineRule="auto"/>
        <w:jc w:val="both"/>
        <w:rPr>
          <w:sz w:val="22"/>
          <w:szCs w:val="22"/>
          <w:lang w:val="en-US"/>
        </w:rPr>
      </w:pPr>
    </w:p>
    <w:p w14:paraId="251CADF6" w14:textId="70BE9287" w:rsidR="00CF3FEB" w:rsidRDefault="00D104C1" w:rsidP="006730B6">
      <w:pPr>
        <w:spacing w:line="480" w:lineRule="auto"/>
        <w:jc w:val="both"/>
        <w:rPr>
          <w:sz w:val="22"/>
          <w:szCs w:val="22"/>
          <w:lang w:val="en-US"/>
        </w:rPr>
      </w:pPr>
      <w:r>
        <w:rPr>
          <w:sz w:val="22"/>
          <w:szCs w:val="22"/>
          <w:lang w:val="en-US"/>
        </w:rPr>
        <w:t>Tissue</w:t>
      </w:r>
      <w:r w:rsidRPr="000016FB">
        <w:rPr>
          <w:sz w:val="22"/>
          <w:szCs w:val="22"/>
          <w:lang w:val="en-US"/>
        </w:rPr>
        <w:t xml:space="preserve"> slices</w:t>
      </w:r>
      <w:r w:rsidR="00F55327" w:rsidRPr="000016FB">
        <w:rPr>
          <w:sz w:val="22"/>
          <w:szCs w:val="22"/>
          <w:lang w:val="en-US"/>
        </w:rPr>
        <w:t xml:space="preserve"> have also been used to </w:t>
      </w:r>
      <w:r w:rsidR="00F55327">
        <w:rPr>
          <w:sz w:val="22"/>
          <w:szCs w:val="22"/>
          <w:lang w:val="en-US"/>
        </w:rPr>
        <w:t>study</w:t>
      </w:r>
      <w:r w:rsidR="00F55327" w:rsidRPr="000016FB">
        <w:rPr>
          <w:sz w:val="22"/>
          <w:szCs w:val="22"/>
          <w:lang w:val="en-US"/>
        </w:rPr>
        <w:t xml:space="preserve"> the relevance of transporter inhibition </w:t>
      </w:r>
      <w:sdt>
        <w:sdtPr>
          <w:rPr>
            <w:noProof/>
            <w:sz w:val="22"/>
            <w:szCs w:val="22"/>
            <w:lang w:val="en-GB"/>
          </w:rPr>
          <w:id w:val="1940488239"/>
          <w:citation/>
        </w:sdtPr>
        <w:sdtEndPr/>
        <w:sdtContent>
          <w:r w:rsidR="00F21C43">
            <w:rPr>
              <w:noProof/>
              <w:sz w:val="22"/>
              <w:szCs w:val="22"/>
              <w:lang w:val="en-GB"/>
            </w:rPr>
            <w:fldChar w:fldCharType="begin"/>
          </w:r>
          <w:r w:rsidR="00F21C43">
            <w:rPr>
              <w:noProof/>
              <w:sz w:val="22"/>
              <w:szCs w:val="22"/>
              <w:lang w:val="en-GB"/>
            </w:rPr>
            <w:instrText xml:space="preserve"> CITATION Sta16 \l 2057 </w:instrText>
          </w:r>
          <w:r w:rsidR="00F21C43">
            <w:rPr>
              <w:noProof/>
              <w:sz w:val="22"/>
              <w:szCs w:val="22"/>
              <w:lang w:val="en-GB"/>
            </w:rPr>
            <w:fldChar w:fldCharType="separate"/>
          </w:r>
          <w:r w:rsidR="002D6947" w:rsidRPr="002D6947">
            <w:rPr>
              <w:noProof/>
              <w:sz w:val="22"/>
              <w:szCs w:val="22"/>
              <w:lang w:val="en-GB"/>
            </w:rPr>
            <w:t>[59]</w:t>
          </w:r>
          <w:r w:rsidR="00F21C43">
            <w:rPr>
              <w:noProof/>
              <w:sz w:val="22"/>
              <w:szCs w:val="22"/>
              <w:lang w:val="en-GB"/>
            </w:rPr>
            <w:fldChar w:fldCharType="end"/>
          </w:r>
        </w:sdtContent>
      </w:sdt>
      <w:r w:rsidR="00F55327" w:rsidRPr="000016FB">
        <w:rPr>
          <w:sz w:val="22"/>
          <w:szCs w:val="22"/>
          <w:lang w:val="en-US"/>
        </w:rPr>
        <w:t xml:space="preserve">. </w:t>
      </w:r>
      <w:r w:rsidR="003D3471">
        <w:rPr>
          <w:sz w:val="22"/>
          <w:szCs w:val="22"/>
          <w:lang w:val="en-US"/>
        </w:rPr>
        <w:t xml:space="preserve">In </w:t>
      </w:r>
      <w:r w:rsidR="00DB4C23">
        <w:rPr>
          <w:sz w:val="22"/>
          <w:szCs w:val="22"/>
          <w:lang w:val="en-US"/>
        </w:rPr>
        <w:t>tissue</w:t>
      </w:r>
      <w:r w:rsidR="003D3471">
        <w:rPr>
          <w:sz w:val="22"/>
          <w:szCs w:val="22"/>
          <w:lang w:val="en-US"/>
        </w:rPr>
        <w:t xml:space="preserve"> slices, i</w:t>
      </w:r>
      <w:r w:rsidR="00F55327" w:rsidRPr="000016FB">
        <w:rPr>
          <w:sz w:val="22"/>
          <w:szCs w:val="22"/>
          <w:lang w:val="en-US"/>
        </w:rPr>
        <w:t>ncubation of a compound in the presence of a pan-inhibitor of transporters followed by analytical quantitation of drug uptake allows for a</w:t>
      </w:r>
      <w:r w:rsidR="00F55327">
        <w:rPr>
          <w:sz w:val="22"/>
          <w:szCs w:val="22"/>
          <w:lang w:val="en-US"/>
        </w:rPr>
        <w:t>n</w:t>
      </w:r>
      <w:r w:rsidR="00DF1FE6">
        <w:rPr>
          <w:sz w:val="22"/>
          <w:szCs w:val="22"/>
          <w:lang w:val="en-US"/>
        </w:rPr>
        <w:t xml:space="preserve"> indirect</w:t>
      </w:r>
      <w:r w:rsidR="00F55327">
        <w:rPr>
          <w:sz w:val="22"/>
          <w:szCs w:val="22"/>
          <w:lang w:val="en-US"/>
        </w:rPr>
        <w:t xml:space="preserve"> analysis </w:t>
      </w:r>
      <w:r w:rsidR="00F55327" w:rsidRPr="000016FB">
        <w:rPr>
          <w:sz w:val="22"/>
          <w:szCs w:val="22"/>
          <w:lang w:val="en-US"/>
        </w:rPr>
        <w:t>of all potential transporters</w:t>
      </w:r>
      <w:r w:rsidR="00281EF9">
        <w:rPr>
          <w:sz w:val="22"/>
          <w:szCs w:val="22"/>
          <w:lang w:val="en-US"/>
        </w:rPr>
        <w:t xml:space="preserve"> (</w:t>
      </w:r>
      <w:r w:rsidR="00DF1FE6">
        <w:rPr>
          <w:sz w:val="22"/>
          <w:szCs w:val="22"/>
          <w:lang w:val="en-US"/>
        </w:rPr>
        <w:t>unpublished observations)</w:t>
      </w:r>
      <w:r w:rsidR="008B299D">
        <w:rPr>
          <w:sz w:val="22"/>
          <w:szCs w:val="22"/>
          <w:lang w:val="en-US"/>
        </w:rPr>
        <w:t>.</w:t>
      </w:r>
      <w:r w:rsidR="00F55327" w:rsidRPr="000016FB">
        <w:rPr>
          <w:sz w:val="22"/>
          <w:szCs w:val="22"/>
          <w:lang w:val="en-US"/>
        </w:rPr>
        <w:t xml:space="preserve"> </w:t>
      </w:r>
      <w:r w:rsidR="00783E05">
        <w:rPr>
          <w:sz w:val="22"/>
          <w:szCs w:val="22"/>
          <w:lang w:val="en-US"/>
        </w:rPr>
        <w:t>Liver slices also</w:t>
      </w:r>
      <w:r w:rsidR="00F55327" w:rsidRPr="000016FB">
        <w:rPr>
          <w:sz w:val="22"/>
          <w:szCs w:val="22"/>
          <w:lang w:val="en-US"/>
        </w:rPr>
        <w:t xml:space="preserve"> represent an opportunity to interrogate effects across animal species</w:t>
      </w:r>
      <w:r w:rsidR="007150F4">
        <w:rPr>
          <w:sz w:val="22"/>
          <w:szCs w:val="22"/>
          <w:lang w:val="en-US"/>
        </w:rPr>
        <w:t xml:space="preserve"> and human</w:t>
      </w:r>
      <w:r w:rsidR="00675F21">
        <w:rPr>
          <w:sz w:val="22"/>
          <w:szCs w:val="22"/>
          <w:lang w:val="en-US"/>
        </w:rPr>
        <w:t>s</w:t>
      </w:r>
      <w:r w:rsidR="00F55327">
        <w:rPr>
          <w:sz w:val="22"/>
          <w:szCs w:val="22"/>
          <w:lang w:val="en-US"/>
        </w:rPr>
        <w:t>,</w:t>
      </w:r>
      <w:r w:rsidR="00F55327" w:rsidRPr="000016FB">
        <w:rPr>
          <w:sz w:val="22"/>
          <w:szCs w:val="22"/>
          <w:lang w:val="en-US"/>
        </w:rPr>
        <w:t xml:space="preserve"> since slice cultures can be readily prepared</w:t>
      </w:r>
      <w:r w:rsidR="00D75209">
        <w:rPr>
          <w:sz w:val="22"/>
          <w:szCs w:val="22"/>
          <w:lang w:val="en-US"/>
        </w:rPr>
        <w:t xml:space="preserve"> and </w:t>
      </w:r>
      <w:r w:rsidR="00995F02">
        <w:rPr>
          <w:sz w:val="22"/>
          <w:szCs w:val="22"/>
          <w:lang w:val="en-US"/>
        </w:rPr>
        <w:t>used to classify toxicants</w:t>
      </w:r>
      <w:r w:rsidR="006604E5">
        <w:rPr>
          <w:sz w:val="22"/>
          <w:szCs w:val="22"/>
          <w:lang w:val="en-US"/>
        </w:rPr>
        <w:t xml:space="preserve"> </w:t>
      </w:r>
      <w:sdt>
        <w:sdtPr>
          <w:rPr>
            <w:sz w:val="22"/>
            <w:szCs w:val="22"/>
            <w:lang w:val="en-US"/>
          </w:rPr>
          <w:id w:val="1654022922"/>
          <w:citation/>
        </w:sdtPr>
        <w:sdtEndPr/>
        <w:sdtContent>
          <w:r w:rsidR="006604E5">
            <w:rPr>
              <w:sz w:val="22"/>
              <w:szCs w:val="22"/>
              <w:lang w:val="en-US"/>
            </w:rPr>
            <w:fldChar w:fldCharType="begin"/>
          </w:r>
          <w:r w:rsidR="006604E5">
            <w:rPr>
              <w:sz w:val="22"/>
              <w:szCs w:val="22"/>
              <w:lang w:val="en-GB"/>
            </w:rPr>
            <w:instrText xml:space="preserve"> CITATION Vat16 \l 2057 </w:instrText>
          </w:r>
          <w:r w:rsidR="006604E5">
            <w:rPr>
              <w:sz w:val="22"/>
              <w:szCs w:val="22"/>
              <w:lang w:val="en-US"/>
            </w:rPr>
            <w:fldChar w:fldCharType="separate"/>
          </w:r>
          <w:r w:rsidR="002D6947" w:rsidRPr="002D6947">
            <w:rPr>
              <w:noProof/>
              <w:sz w:val="22"/>
              <w:szCs w:val="22"/>
              <w:lang w:val="en-GB"/>
            </w:rPr>
            <w:t>[60]</w:t>
          </w:r>
          <w:r w:rsidR="006604E5">
            <w:rPr>
              <w:sz w:val="22"/>
              <w:szCs w:val="22"/>
              <w:lang w:val="en-US"/>
            </w:rPr>
            <w:fldChar w:fldCharType="end"/>
          </w:r>
        </w:sdtContent>
      </w:sdt>
      <w:r w:rsidR="00F55327" w:rsidRPr="000016FB">
        <w:rPr>
          <w:sz w:val="22"/>
          <w:szCs w:val="22"/>
          <w:lang w:val="en-US"/>
        </w:rPr>
        <w:t>.</w:t>
      </w:r>
      <w:r w:rsidR="00C82E5E">
        <w:rPr>
          <w:sz w:val="22"/>
          <w:szCs w:val="22"/>
          <w:lang w:val="en-US"/>
        </w:rPr>
        <w:t xml:space="preserve"> </w:t>
      </w:r>
      <w:r w:rsidR="007B2E97">
        <w:rPr>
          <w:sz w:val="22"/>
          <w:szCs w:val="22"/>
          <w:lang w:val="en-GB"/>
        </w:rPr>
        <w:t>U</w:t>
      </w:r>
      <w:r w:rsidR="007B2E97" w:rsidRPr="000016FB">
        <w:rPr>
          <w:sz w:val="22"/>
          <w:szCs w:val="22"/>
          <w:lang w:val="en-GB"/>
        </w:rPr>
        <w:t xml:space="preserve">se of </w:t>
      </w:r>
      <w:r w:rsidR="007B2E97">
        <w:rPr>
          <w:sz w:val="22"/>
          <w:szCs w:val="22"/>
          <w:lang w:val="en-GB"/>
        </w:rPr>
        <w:t>PHH</w:t>
      </w:r>
      <w:r w:rsidR="007B2E97" w:rsidRPr="000016FB">
        <w:rPr>
          <w:sz w:val="22"/>
          <w:szCs w:val="22"/>
          <w:lang w:val="en-GB"/>
        </w:rPr>
        <w:t xml:space="preserve"> sandwich cultures and the </w:t>
      </w:r>
      <w:proofErr w:type="spellStart"/>
      <w:r w:rsidR="007B2E97" w:rsidRPr="000016FB">
        <w:rPr>
          <w:sz w:val="22"/>
          <w:szCs w:val="22"/>
          <w:lang w:val="en-GB"/>
        </w:rPr>
        <w:t>HepaRG</w:t>
      </w:r>
      <w:proofErr w:type="spellEnd"/>
      <w:r w:rsidR="007B2E97" w:rsidRPr="000016FB">
        <w:rPr>
          <w:sz w:val="22"/>
          <w:szCs w:val="22"/>
          <w:lang w:val="en-GB"/>
        </w:rPr>
        <w:t xml:space="preserve"> cell</w:t>
      </w:r>
      <w:r w:rsidR="007B2E97">
        <w:rPr>
          <w:sz w:val="22"/>
          <w:szCs w:val="22"/>
          <w:lang w:val="en-GB"/>
        </w:rPr>
        <w:t xml:space="preserve"> </w:t>
      </w:r>
      <w:r w:rsidR="007B2E97" w:rsidRPr="000016FB">
        <w:rPr>
          <w:sz w:val="22"/>
          <w:szCs w:val="22"/>
          <w:lang w:val="en-GB"/>
        </w:rPr>
        <w:t xml:space="preserve">line </w:t>
      </w:r>
      <w:r w:rsidR="007B2E97">
        <w:rPr>
          <w:sz w:val="22"/>
          <w:szCs w:val="22"/>
          <w:lang w:val="en-GB"/>
        </w:rPr>
        <w:t>are</w:t>
      </w:r>
      <w:r w:rsidR="007B2E97" w:rsidRPr="000016FB">
        <w:rPr>
          <w:sz w:val="22"/>
          <w:szCs w:val="22"/>
          <w:lang w:val="en-GB"/>
        </w:rPr>
        <w:t xml:space="preserve"> suitable for hepatobiliary studies</w:t>
      </w:r>
      <w:r w:rsidR="007B2E97" w:rsidRPr="00A64BBB">
        <w:rPr>
          <w:noProof/>
          <w:sz w:val="22"/>
          <w:szCs w:val="22"/>
          <w:lang w:val="en-US"/>
        </w:rPr>
        <w:t xml:space="preserve"> </w:t>
      </w:r>
      <w:sdt>
        <w:sdtPr>
          <w:rPr>
            <w:noProof/>
            <w:sz w:val="22"/>
            <w:szCs w:val="22"/>
            <w:lang w:val="en-US"/>
          </w:rPr>
          <w:id w:val="-875544149"/>
          <w:citation/>
        </w:sdtPr>
        <w:sdtEndPr/>
        <w:sdtContent>
          <w:r w:rsidR="007B2E97">
            <w:rPr>
              <w:noProof/>
              <w:sz w:val="22"/>
              <w:szCs w:val="22"/>
              <w:lang w:val="en-US"/>
            </w:rPr>
            <w:fldChar w:fldCharType="begin"/>
          </w:r>
          <w:r w:rsidR="007B2E97">
            <w:rPr>
              <w:noProof/>
              <w:sz w:val="22"/>
              <w:szCs w:val="22"/>
              <w:lang w:val="en-GB"/>
            </w:rPr>
            <w:instrText xml:space="preserve"> CITATION LeV13 \l 2057 </w:instrText>
          </w:r>
          <w:r w:rsidR="007B2E97">
            <w:rPr>
              <w:noProof/>
              <w:sz w:val="22"/>
              <w:szCs w:val="22"/>
              <w:lang w:val="en-US"/>
            </w:rPr>
            <w:fldChar w:fldCharType="separate"/>
          </w:r>
          <w:r w:rsidR="002D6947" w:rsidRPr="002D6947">
            <w:rPr>
              <w:noProof/>
              <w:sz w:val="22"/>
              <w:szCs w:val="22"/>
              <w:lang w:val="en-GB"/>
            </w:rPr>
            <w:t>[61]</w:t>
          </w:r>
          <w:r w:rsidR="007B2E97">
            <w:rPr>
              <w:noProof/>
              <w:sz w:val="22"/>
              <w:szCs w:val="22"/>
              <w:lang w:val="en-US"/>
            </w:rPr>
            <w:fldChar w:fldCharType="end"/>
          </w:r>
        </w:sdtContent>
      </w:sdt>
      <w:sdt>
        <w:sdtPr>
          <w:rPr>
            <w:noProof/>
            <w:sz w:val="22"/>
            <w:szCs w:val="22"/>
            <w:lang w:val="en-US"/>
          </w:rPr>
          <w:id w:val="-1944990902"/>
          <w:citation/>
        </w:sdtPr>
        <w:sdtEndPr/>
        <w:sdtContent>
          <w:r w:rsidR="007B2E97">
            <w:rPr>
              <w:noProof/>
              <w:sz w:val="22"/>
              <w:szCs w:val="22"/>
              <w:lang w:val="en-US"/>
            </w:rPr>
            <w:fldChar w:fldCharType="begin"/>
          </w:r>
          <w:r w:rsidR="007B2E97">
            <w:rPr>
              <w:noProof/>
              <w:sz w:val="22"/>
              <w:szCs w:val="22"/>
              <w:lang w:val="en-GB"/>
            </w:rPr>
            <w:instrText xml:space="preserve"> CITATION Bur16 \l 2057 </w:instrText>
          </w:r>
          <w:r w:rsidR="007B2E97">
            <w:rPr>
              <w:noProof/>
              <w:sz w:val="22"/>
              <w:szCs w:val="22"/>
              <w:lang w:val="en-US"/>
            </w:rPr>
            <w:fldChar w:fldCharType="separate"/>
          </w:r>
          <w:r w:rsidR="002D6947">
            <w:rPr>
              <w:noProof/>
              <w:sz w:val="22"/>
              <w:szCs w:val="22"/>
              <w:lang w:val="en-GB"/>
            </w:rPr>
            <w:t xml:space="preserve"> </w:t>
          </w:r>
          <w:r w:rsidR="002D6947" w:rsidRPr="002D6947">
            <w:rPr>
              <w:noProof/>
              <w:sz w:val="22"/>
              <w:szCs w:val="22"/>
              <w:lang w:val="en-GB"/>
            </w:rPr>
            <w:t>[58]</w:t>
          </w:r>
          <w:r w:rsidR="007B2E97">
            <w:rPr>
              <w:noProof/>
              <w:sz w:val="22"/>
              <w:szCs w:val="22"/>
              <w:lang w:val="en-US"/>
            </w:rPr>
            <w:fldChar w:fldCharType="end"/>
          </w:r>
        </w:sdtContent>
      </w:sdt>
      <w:r w:rsidR="002943A6">
        <w:rPr>
          <w:sz w:val="22"/>
          <w:szCs w:val="22"/>
          <w:lang w:val="en-US"/>
        </w:rPr>
        <w:t xml:space="preserve"> </w:t>
      </w:r>
      <w:r w:rsidR="009907A4" w:rsidRPr="000016FB">
        <w:rPr>
          <w:sz w:val="22"/>
          <w:szCs w:val="22"/>
          <w:lang w:val="en-US"/>
        </w:rPr>
        <w:t xml:space="preserve">. </w:t>
      </w:r>
      <w:r w:rsidR="008D2A3E">
        <w:rPr>
          <w:sz w:val="22"/>
          <w:szCs w:val="22"/>
          <w:lang w:val="en-US"/>
        </w:rPr>
        <w:t>The a</w:t>
      </w:r>
      <w:r w:rsidR="00471DC2">
        <w:rPr>
          <w:sz w:val="22"/>
          <w:szCs w:val="22"/>
          <w:lang w:val="en-US"/>
        </w:rPr>
        <w:t>doption of</w:t>
      </w:r>
      <w:r w:rsidR="008D2A3E">
        <w:rPr>
          <w:sz w:val="22"/>
          <w:szCs w:val="22"/>
          <w:lang w:val="en-US"/>
        </w:rPr>
        <w:t xml:space="preserve"> hepatocyte-based assays for routine employment in drug discovery will greatly benefit from the identification </w:t>
      </w:r>
      <w:r w:rsidR="00471DC2">
        <w:rPr>
          <w:sz w:val="22"/>
          <w:szCs w:val="22"/>
          <w:lang w:val="en-US"/>
        </w:rPr>
        <w:t>and use of</w:t>
      </w:r>
      <w:r w:rsidR="008D2A3E">
        <w:rPr>
          <w:sz w:val="22"/>
          <w:szCs w:val="22"/>
          <w:lang w:val="en-US"/>
        </w:rPr>
        <w:t xml:space="preserve"> </w:t>
      </w:r>
      <w:r w:rsidR="007B2E97">
        <w:rPr>
          <w:sz w:val="22"/>
          <w:szCs w:val="22"/>
          <w:lang w:val="en-US"/>
        </w:rPr>
        <w:t xml:space="preserve">novel </w:t>
      </w:r>
      <w:r w:rsidR="008D2A3E">
        <w:rPr>
          <w:sz w:val="22"/>
          <w:szCs w:val="22"/>
          <w:lang w:val="en-US"/>
        </w:rPr>
        <w:t xml:space="preserve">transporter </w:t>
      </w:r>
      <w:r w:rsidR="00471DC2">
        <w:rPr>
          <w:sz w:val="22"/>
          <w:szCs w:val="22"/>
          <w:lang w:val="en-US"/>
        </w:rPr>
        <w:t>selective</w:t>
      </w:r>
      <w:r w:rsidR="008D2A3E">
        <w:rPr>
          <w:sz w:val="22"/>
          <w:szCs w:val="22"/>
          <w:lang w:val="en-US"/>
        </w:rPr>
        <w:t xml:space="preserve"> probe substrates</w:t>
      </w:r>
      <w:r w:rsidR="0085130A">
        <w:rPr>
          <w:sz w:val="22"/>
          <w:szCs w:val="22"/>
          <w:lang w:val="en-US"/>
        </w:rPr>
        <w:t xml:space="preserve">. </w:t>
      </w:r>
      <w:r w:rsidR="00471DC2">
        <w:rPr>
          <w:sz w:val="22"/>
          <w:szCs w:val="22"/>
          <w:lang w:val="en-US"/>
        </w:rPr>
        <w:t xml:space="preserve"> </w:t>
      </w:r>
      <w:r w:rsidR="0085130A">
        <w:rPr>
          <w:sz w:val="22"/>
          <w:szCs w:val="22"/>
          <w:lang w:val="en-US"/>
        </w:rPr>
        <w:t xml:space="preserve">In </w:t>
      </w:r>
      <w:r w:rsidR="005C2383">
        <w:rPr>
          <w:sz w:val="22"/>
          <w:szCs w:val="22"/>
          <w:lang w:val="en-US"/>
        </w:rPr>
        <w:t>addition, biomarkers</w:t>
      </w:r>
      <w:r w:rsidR="00471DC2">
        <w:rPr>
          <w:sz w:val="22"/>
          <w:szCs w:val="22"/>
          <w:lang w:val="en-US"/>
        </w:rPr>
        <w:t xml:space="preserve"> for use </w:t>
      </w:r>
      <w:r w:rsidR="00471DC2" w:rsidRPr="00CF0F70">
        <w:rPr>
          <w:i/>
          <w:sz w:val="22"/>
          <w:szCs w:val="22"/>
          <w:lang w:val="en-US"/>
        </w:rPr>
        <w:t>in situ</w:t>
      </w:r>
      <w:r w:rsidR="00471DC2">
        <w:rPr>
          <w:sz w:val="22"/>
          <w:szCs w:val="22"/>
          <w:lang w:val="en-US"/>
        </w:rPr>
        <w:t xml:space="preserve"> hepatocyte studies</w:t>
      </w:r>
      <w:r w:rsidR="008D2A3E">
        <w:rPr>
          <w:sz w:val="22"/>
          <w:szCs w:val="22"/>
          <w:lang w:val="en-US"/>
        </w:rPr>
        <w:t xml:space="preserve"> </w:t>
      </w:r>
      <w:r w:rsidR="00471DC2">
        <w:rPr>
          <w:sz w:val="22"/>
          <w:szCs w:val="22"/>
          <w:lang w:val="en-US"/>
        </w:rPr>
        <w:t>will facilitate greater use of cellular assays in drug discover</w:t>
      </w:r>
      <w:r w:rsidR="0085130A">
        <w:rPr>
          <w:sz w:val="22"/>
          <w:szCs w:val="22"/>
          <w:lang w:val="en-US"/>
        </w:rPr>
        <w:t>y such as microRNAs (miRNAs</w:t>
      </w:r>
      <w:r w:rsidR="005C2383">
        <w:rPr>
          <w:sz w:val="22"/>
          <w:szCs w:val="22"/>
          <w:lang w:val="en-US"/>
        </w:rPr>
        <w:t xml:space="preserve">). </w:t>
      </w:r>
      <w:r w:rsidR="0085130A">
        <w:rPr>
          <w:sz w:val="22"/>
          <w:szCs w:val="22"/>
          <w:lang w:val="en-US"/>
        </w:rPr>
        <w:t xml:space="preserve">These </w:t>
      </w:r>
      <w:r w:rsidR="005C2383">
        <w:rPr>
          <w:sz w:val="22"/>
          <w:szCs w:val="22"/>
          <w:lang w:val="en-US"/>
        </w:rPr>
        <w:t>miRNAs</w:t>
      </w:r>
      <w:r w:rsidR="00675F21">
        <w:rPr>
          <w:sz w:val="22"/>
          <w:szCs w:val="22"/>
          <w:lang w:val="en-US"/>
        </w:rPr>
        <w:t xml:space="preserve"> either rel</w:t>
      </w:r>
      <w:r w:rsidR="00103ADA">
        <w:rPr>
          <w:sz w:val="22"/>
          <w:szCs w:val="22"/>
          <w:lang w:val="en-US"/>
        </w:rPr>
        <w:t>e</w:t>
      </w:r>
      <w:r w:rsidR="00675F21">
        <w:rPr>
          <w:sz w:val="22"/>
          <w:szCs w:val="22"/>
          <w:lang w:val="en-US"/>
        </w:rPr>
        <w:t xml:space="preserve">ased or upregulated, </w:t>
      </w:r>
      <w:r w:rsidR="00471DC2">
        <w:rPr>
          <w:sz w:val="22"/>
          <w:szCs w:val="22"/>
          <w:lang w:val="en-US"/>
        </w:rPr>
        <w:t>hold</w:t>
      </w:r>
      <w:r w:rsidR="00675F21">
        <w:rPr>
          <w:sz w:val="22"/>
          <w:szCs w:val="22"/>
          <w:lang w:val="en-US"/>
        </w:rPr>
        <w:t xml:space="preserve"> </w:t>
      </w:r>
      <w:r w:rsidR="004C3CA2">
        <w:rPr>
          <w:sz w:val="22"/>
          <w:szCs w:val="22"/>
          <w:lang w:val="en-US"/>
        </w:rPr>
        <w:t xml:space="preserve">potential </w:t>
      </w:r>
      <w:r w:rsidR="00471DC2">
        <w:rPr>
          <w:sz w:val="22"/>
          <w:szCs w:val="22"/>
          <w:lang w:val="en-US"/>
        </w:rPr>
        <w:t xml:space="preserve">as </w:t>
      </w:r>
      <w:r w:rsidR="00CF3FEB" w:rsidRPr="00CF3FEB">
        <w:rPr>
          <w:sz w:val="22"/>
          <w:szCs w:val="22"/>
          <w:lang w:val="en-US"/>
        </w:rPr>
        <w:t>biomarker</w:t>
      </w:r>
      <w:r w:rsidR="00103ADA">
        <w:rPr>
          <w:sz w:val="22"/>
          <w:szCs w:val="22"/>
          <w:lang w:val="en-US"/>
        </w:rPr>
        <w:t>s</w:t>
      </w:r>
      <w:r w:rsidR="00CF3FEB" w:rsidRPr="00CF3FEB">
        <w:rPr>
          <w:sz w:val="22"/>
          <w:szCs w:val="22"/>
          <w:lang w:val="en-US"/>
        </w:rPr>
        <w:t xml:space="preserve"> of theoretical promise (see section 4).</w:t>
      </w:r>
    </w:p>
    <w:p w14:paraId="584A8856" w14:textId="77777777" w:rsidR="007553A2" w:rsidRDefault="007553A2" w:rsidP="006730B6">
      <w:pPr>
        <w:spacing w:line="480" w:lineRule="auto"/>
        <w:jc w:val="both"/>
        <w:rPr>
          <w:sz w:val="22"/>
          <w:szCs w:val="22"/>
          <w:lang w:val="en-US"/>
        </w:rPr>
      </w:pPr>
    </w:p>
    <w:p w14:paraId="313DDA84" w14:textId="77777777" w:rsidR="00061BD7" w:rsidRDefault="00061BD7" w:rsidP="006730B6">
      <w:pPr>
        <w:spacing w:line="480" w:lineRule="auto"/>
        <w:jc w:val="both"/>
        <w:rPr>
          <w:sz w:val="22"/>
          <w:szCs w:val="22"/>
          <w:lang w:val="en-US"/>
        </w:rPr>
      </w:pPr>
    </w:p>
    <w:p w14:paraId="2CF4BF1D" w14:textId="77777777" w:rsidR="00061BD7" w:rsidRPr="007553A2" w:rsidRDefault="00061BD7" w:rsidP="006730B6">
      <w:pPr>
        <w:spacing w:line="480" w:lineRule="auto"/>
        <w:jc w:val="both"/>
        <w:rPr>
          <w:sz w:val="22"/>
          <w:szCs w:val="22"/>
          <w:lang w:val="en-US"/>
        </w:rPr>
      </w:pPr>
    </w:p>
    <w:p w14:paraId="3E5D4081" w14:textId="345BD7DD" w:rsidR="001F60D5" w:rsidRPr="000016FB" w:rsidRDefault="0098693E" w:rsidP="0098693E">
      <w:pPr>
        <w:spacing w:line="480" w:lineRule="auto"/>
        <w:jc w:val="both"/>
        <w:rPr>
          <w:b/>
          <w:sz w:val="22"/>
          <w:szCs w:val="22"/>
          <w:lang w:val="en-GB"/>
        </w:rPr>
      </w:pPr>
      <w:r>
        <w:rPr>
          <w:b/>
          <w:sz w:val="22"/>
          <w:szCs w:val="22"/>
          <w:lang w:val="en-GB"/>
        </w:rPr>
        <w:lastRenderedPageBreak/>
        <w:t xml:space="preserve">4.  </w:t>
      </w:r>
      <w:r w:rsidR="001F4850" w:rsidRPr="000016FB">
        <w:rPr>
          <w:b/>
          <w:sz w:val="22"/>
          <w:szCs w:val="22"/>
          <w:lang w:val="en-GB"/>
        </w:rPr>
        <w:t xml:space="preserve">Role of the immune system in human </w:t>
      </w:r>
      <w:r w:rsidR="001F60D5" w:rsidRPr="000016FB">
        <w:rPr>
          <w:b/>
          <w:sz w:val="22"/>
          <w:szCs w:val="22"/>
          <w:lang w:val="en-GB"/>
        </w:rPr>
        <w:t>DILI</w:t>
      </w:r>
    </w:p>
    <w:p w14:paraId="1A8078F8" w14:textId="5A083968" w:rsidR="00B7115B" w:rsidRPr="000016FB" w:rsidRDefault="00D94968" w:rsidP="006730B6">
      <w:pPr>
        <w:spacing w:line="480" w:lineRule="auto"/>
        <w:jc w:val="both"/>
        <w:rPr>
          <w:i/>
          <w:noProof/>
          <w:sz w:val="22"/>
          <w:szCs w:val="22"/>
          <w:lang w:val="en-US"/>
        </w:rPr>
      </w:pPr>
      <w:r w:rsidRPr="00525724">
        <w:rPr>
          <w:noProof/>
          <w:sz w:val="22"/>
          <w:szCs w:val="22"/>
          <w:lang w:val="en-US"/>
        </w:rPr>
        <w:t>4.1.</w:t>
      </w:r>
      <w:r w:rsidR="00675F21" w:rsidRPr="00525724">
        <w:rPr>
          <w:noProof/>
          <w:sz w:val="22"/>
          <w:szCs w:val="22"/>
          <w:lang w:val="en-US"/>
        </w:rPr>
        <w:t>.</w:t>
      </w:r>
      <w:r w:rsidR="00B7115B" w:rsidRPr="000016FB">
        <w:rPr>
          <w:i/>
          <w:noProof/>
          <w:sz w:val="22"/>
          <w:szCs w:val="22"/>
          <w:lang w:val="en-US"/>
        </w:rPr>
        <w:t xml:space="preserve"> Current understanding &amp; importance </w:t>
      </w:r>
    </w:p>
    <w:p w14:paraId="4DAD8F58" w14:textId="1058941C" w:rsidR="00141902" w:rsidRDefault="00D96787" w:rsidP="006730B6">
      <w:pPr>
        <w:spacing w:line="480" w:lineRule="auto"/>
        <w:jc w:val="both"/>
        <w:rPr>
          <w:sz w:val="22"/>
          <w:szCs w:val="22"/>
          <w:lang w:val="en-GB"/>
        </w:rPr>
      </w:pPr>
      <w:r w:rsidRPr="000016FB">
        <w:rPr>
          <w:sz w:val="22"/>
          <w:szCs w:val="22"/>
          <w:lang w:val="en-GB"/>
        </w:rPr>
        <w:t>DILI can be broadly classified into predicable dose-dependent ADRs and</w:t>
      </w:r>
      <w:r w:rsidR="005A18F8" w:rsidRPr="000016FB">
        <w:rPr>
          <w:sz w:val="22"/>
          <w:szCs w:val="22"/>
          <w:lang w:val="en-GB"/>
        </w:rPr>
        <w:t xml:space="preserve"> unpredictable ADRs (idiosyncratic). </w:t>
      </w:r>
      <w:r w:rsidR="00490F93">
        <w:rPr>
          <w:sz w:val="22"/>
          <w:szCs w:val="22"/>
          <w:lang w:val="en-GB"/>
        </w:rPr>
        <w:t xml:space="preserve">Although idiosyncratic ADRs often present with a complex concentration-response relationship, and occur with only a few drugs, a high concentration of a given drug has a higher probability of initiating an immune response. </w:t>
      </w:r>
      <w:r w:rsidR="005A18F8" w:rsidRPr="000016FB">
        <w:rPr>
          <w:sz w:val="22"/>
          <w:szCs w:val="22"/>
          <w:lang w:val="en-GB"/>
        </w:rPr>
        <w:t xml:space="preserve">The immune </w:t>
      </w:r>
      <w:r w:rsidR="00490F93">
        <w:rPr>
          <w:sz w:val="22"/>
          <w:szCs w:val="22"/>
          <w:lang w:val="en-GB"/>
        </w:rPr>
        <w:t>system</w:t>
      </w:r>
      <w:r w:rsidR="00490F93" w:rsidRPr="000016FB">
        <w:rPr>
          <w:sz w:val="22"/>
          <w:szCs w:val="22"/>
          <w:lang w:val="en-GB"/>
        </w:rPr>
        <w:t xml:space="preserve"> </w:t>
      </w:r>
      <w:r w:rsidR="005A18F8" w:rsidRPr="000016FB">
        <w:rPr>
          <w:sz w:val="22"/>
          <w:szCs w:val="22"/>
          <w:lang w:val="en-GB"/>
        </w:rPr>
        <w:t xml:space="preserve">is highly implicated in most </w:t>
      </w:r>
      <w:r w:rsidR="00623BF3" w:rsidRPr="000016FB">
        <w:rPr>
          <w:sz w:val="22"/>
          <w:szCs w:val="22"/>
          <w:lang w:val="en-GB"/>
        </w:rPr>
        <w:t>cases</w:t>
      </w:r>
      <w:r w:rsidR="005A18F8" w:rsidRPr="000016FB">
        <w:rPr>
          <w:sz w:val="22"/>
          <w:szCs w:val="22"/>
          <w:lang w:val="en-GB"/>
        </w:rPr>
        <w:t xml:space="preserve"> of idiosyncratic toxicities, yet the direct </w:t>
      </w:r>
      <w:r w:rsidR="00FB571A" w:rsidRPr="000016FB">
        <w:rPr>
          <w:sz w:val="22"/>
          <w:szCs w:val="22"/>
          <w:lang w:val="en-GB"/>
        </w:rPr>
        <w:t xml:space="preserve">evidence and </w:t>
      </w:r>
      <w:r w:rsidR="005A18F8" w:rsidRPr="000016FB">
        <w:rPr>
          <w:sz w:val="22"/>
          <w:szCs w:val="22"/>
          <w:lang w:val="en-GB"/>
        </w:rPr>
        <w:t>implication of</w:t>
      </w:r>
      <w:r w:rsidR="00487350">
        <w:rPr>
          <w:sz w:val="22"/>
          <w:szCs w:val="22"/>
          <w:lang w:val="en-GB"/>
        </w:rPr>
        <w:t xml:space="preserve"> the</w:t>
      </w:r>
      <w:r w:rsidR="005A18F8" w:rsidRPr="000016FB">
        <w:rPr>
          <w:sz w:val="22"/>
          <w:szCs w:val="22"/>
          <w:lang w:val="en-GB"/>
        </w:rPr>
        <w:t xml:space="preserve"> immune </w:t>
      </w:r>
      <w:r w:rsidR="00487350">
        <w:rPr>
          <w:sz w:val="22"/>
          <w:szCs w:val="22"/>
          <w:lang w:val="en-GB"/>
        </w:rPr>
        <w:t>system</w:t>
      </w:r>
      <w:r w:rsidR="00487350" w:rsidRPr="000016FB">
        <w:rPr>
          <w:sz w:val="22"/>
          <w:szCs w:val="22"/>
          <w:lang w:val="en-GB"/>
        </w:rPr>
        <w:t xml:space="preserve"> </w:t>
      </w:r>
      <w:r w:rsidR="005A18F8" w:rsidRPr="000016FB">
        <w:rPr>
          <w:sz w:val="22"/>
          <w:szCs w:val="22"/>
          <w:lang w:val="en-GB"/>
        </w:rPr>
        <w:t>in the initiation, progress</w:t>
      </w:r>
      <w:r w:rsidR="00FB571A" w:rsidRPr="000016FB">
        <w:rPr>
          <w:sz w:val="22"/>
          <w:szCs w:val="22"/>
          <w:lang w:val="en-GB"/>
        </w:rPr>
        <w:t>ion</w:t>
      </w:r>
      <w:r w:rsidR="005A18F8" w:rsidRPr="000016FB">
        <w:rPr>
          <w:sz w:val="22"/>
          <w:szCs w:val="22"/>
          <w:lang w:val="en-GB"/>
        </w:rPr>
        <w:t xml:space="preserve"> and resolution of DILI is only </w:t>
      </w:r>
      <w:r w:rsidR="00997109">
        <w:rPr>
          <w:sz w:val="22"/>
          <w:szCs w:val="22"/>
          <w:lang w:val="en-GB"/>
        </w:rPr>
        <w:t>recently</w:t>
      </w:r>
      <w:r w:rsidR="00997109" w:rsidRPr="000016FB">
        <w:rPr>
          <w:sz w:val="22"/>
          <w:szCs w:val="22"/>
          <w:lang w:val="en-GB"/>
        </w:rPr>
        <w:t xml:space="preserve"> </w:t>
      </w:r>
      <w:r w:rsidR="00FB571A" w:rsidRPr="000016FB">
        <w:rPr>
          <w:sz w:val="22"/>
          <w:szCs w:val="22"/>
          <w:lang w:val="en-GB"/>
        </w:rPr>
        <w:t xml:space="preserve">making progress with experimental evidence </w:t>
      </w:r>
      <w:r w:rsidR="009F00B1" w:rsidRPr="000016FB">
        <w:rPr>
          <w:sz w:val="22"/>
          <w:szCs w:val="22"/>
          <w:lang w:val="en-GB"/>
        </w:rPr>
        <w:t>and</w:t>
      </w:r>
      <w:r w:rsidR="00FB571A" w:rsidRPr="000016FB">
        <w:rPr>
          <w:sz w:val="22"/>
          <w:szCs w:val="22"/>
          <w:lang w:val="en-GB"/>
        </w:rPr>
        <w:t xml:space="preserve"> clinical </w:t>
      </w:r>
      <w:r w:rsidR="00141902" w:rsidRPr="000016FB">
        <w:rPr>
          <w:sz w:val="22"/>
          <w:szCs w:val="22"/>
          <w:lang w:val="en-GB"/>
        </w:rPr>
        <w:t>reports</w:t>
      </w:r>
      <w:r w:rsidR="00FB571A" w:rsidRPr="000016FB">
        <w:rPr>
          <w:sz w:val="22"/>
          <w:szCs w:val="22"/>
          <w:lang w:val="en-GB"/>
        </w:rPr>
        <w:t xml:space="preserve"> (Table </w:t>
      </w:r>
      <w:r w:rsidR="00C50B28">
        <w:rPr>
          <w:sz w:val="22"/>
          <w:szCs w:val="22"/>
          <w:lang w:val="en-GB"/>
        </w:rPr>
        <w:t>5</w:t>
      </w:r>
      <w:r w:rsidR="00FB571A" w:rsidRPr="000016FB">
        <w:rPr>
          <w:sz w:val="22"/>
          <w:szCs w:val="22"/>
          <w:lang w:val="en-GB"/>
        </w:rPr>
        <w:t>)</w:t>
      </w:r>
      <w:r w:rsidR="005A18F8" w:rsidRPr="000016FB">
        <w:rPr>
          <w:sz w:val="22"/>
          <w:szCs w:val="22"/>
          <w:lang w:val="en-GB"/>
        </w:rPr>
        <w:t xml:space="preserve">. </w:t>
      </w:r>
    </w:p>
    <w:p w14:paraId="1661073A" w14:textId="77777777" w:rsidR="007553A2" w:rsidRPr="000016FB" w:rsidRDefault="007553A2" w:rsidP="006730B6">
      <w:pPr>
        <w:spacing w:line="480" w:lineRule="auto"/>
        <w:jc w:val="both"/>
        <w:rPr>
          <w:sz w:val="22"/>
          <w:szCs w:val="22"/>
          <w:lang w:val="en-GB"/>
        </w:rPr>
      </w:pPr>
    </w:p>
    <w:p w14:paraId="235EF0E6" w14:textId="6106A83F" w:rsidR="00CC0052" w:rsidRPr="000016FB" w:rsidRDefault="00276BEF" w:rsidP="006730B6">
      <w:pPr>
        <w:spacing w:line="480" w:lineRule="auto"/>
        <w:jc w:val="both"/>
        <w:rPr>
          <w:sz w:val="22"/>
          <w:szCs w:val="22"/>
          <w:lang w:val="en-GB"/>
        </w:rPr>
      </w:pPr>
      <w:r w:rsidRPr="000016FB">
        <w:rPr>
          <w:sz w:val="22"/>
          <w:szCs w:val="22"/>
          <w:lang w:val="en-GB"/>
        </w:rPr>
        <w:t xml:space="preserve">Compared to the intracellular events associated with mitochondrial toxicity, cytotoxicity and intrahepatic </w:t>
      </w:r>
      <w:r w:rsidR="00B7115B" w:rsidRPr="000016FB">
        <w:rPr>
          <w:sz w:val="22"/>
          <w:szCs w:val="22"/>
          <w:lang w:val="en-GB"/>
        </w:rPr>
        <w:t>cholestasis,</w:t>
      </w:r>
      <w:r w:rsidRPr="000016FB">
        <w:rPr>
          <w:sz w:val="22"/>
          <w:szCs w:val="22"/>
          <w:lang w:val="en-GB"/>
        </w:rPr>
        <w:t xml:space="preserve"> immune-mediated DILI </w:t>
      </w:r>
      <w:r w:rsidR="008F68AB">
        <w:rPr>
          <w:sz w:val="22"/>
          <w:szCs w:val="22"/>
          <w:lang w:val="en-GB"/>
        </w:rPr>
        <w:t>(</w:t>
      </w:r>
      <w:proofErr w:type="spellStart"/>
      <w:r w:rsidR="008F68AB">
        <w:rPr>
          <w:sz w:val="22"/>
          <w:szCs w:val="22"/>
          <w:lang w:val="en-GB"/>
        </w:rPr>
        <w:t>iDILI</w:t>
      </w:r>
      <w:proofErr w:type="spellEnd"/>
      <w:r w:rsidR="008F68AB">
        <w:rPr>
          <w:sz w:val="22"/>
          <w:szCs w:val="22"/>
          <w:lang w:val="en-GB"/>
        </w:rPr>
        <w:t xml:space="preserve">) </w:t>
      </w:r>
      <w:r w:rsidRPr="000016FB">
        <w:rPr>
          <w:sz w:val="22"/>
          <w:szCs w:val="22"/>
          <w:lang w:val="en-GB"/>
        </w:rPr>
        <w:t>is a complex association of both intra- and extra-hepatic signalling</w:t>
      </w:r>
      <w:r w:rsidR="00B13681">
        <w:rPr>
          <w:noProof/>
          <w:sz w:val="22"/>
          <w:szCs w:val="22"/>
          <w:lang w:val="en-GB"/>
        </w:rPr>
        <w:t xml:space="preserve"> </w:t>
      </w:r>
      <w:sdt>
        <w:sdtPr>
          <w:rPr>
            <w:noProof/>
            <w:sz w:val="22"/>
            <w:szCs w:val="22"/>
            <w:lang w:val="en-GB"/>
          </w:rPr>
          <w:id w:val="391320246"/>
          <w:citation/>
        </w:sdtPr>
        <w:sdtEndPr/>
        <w:sdtContent>
          <w:r w:rsidR="00F21C43">
            <w:rPr>
              <w:noProof/>
              <w:sz w:val="22"/>
              <w:szCs w:val="22"/>
              <w:lang w:val="en-GB"/>
            </w:rPr>
            <w:fldChar w:fldCharType="begin"/>
          </w:r>
          <w:r w:rsidR="00A80F56">
            <w:rPr>
              <w:noProof/>
              <w:sz w:val="22"/>
              <w:szCs w:val="22"/>
              <w:lang w:val="en-GB"/>
            </w:rPr>
            <w:instrText xml:space="preserve">CITATION Ste14 \l 2057 </w:instrText>
          </w:r>
          <w:r w:rsidR="00F21C43">
            <w:rPr>
              <w:noProof/>
              <w:sz w:val="22"/>
              <w:szCs w:val="22"/>
              <w:lang w:val="en-GB"/>
            </w:rPr>
            <w:fldChar w:fldCharType="separate"/>
          </w:r>
          <w:r w:rsidR="002D6947" w:rsidRPr="002D6947">
            <w:rPr>
              <w:noProof/>
              <w:sz w:val="22"/>
              <w:szCs w:val="22"/>
              <w:lang w:val="en-GB"/>
            </w:rPr>
            <w:t>[62]</w:t>
          </w:r>
          <w:r w:rsidR="00F21C43">
            <w:rPr>
              <w:noProof/>
              <w:sz w:val="22"/>
              <w:szCs w:val="22"/>
              <w:lang w:val="en-GB"/>
            </w:rPr>
            <w:fldChar w:fldCharType="end"/>
          </w:r>
        </w:sdtContent>
      </w:sdt>
      <w:r w:rsidRPr="000016FB">
        <w:rPr>
          <w:sz w:val="22"/>
          <w:szCs w:val="22"/>
          <w:lang w:val="en-GB"/>
        </w:rPr>
        <w:t>. Thus</w:t>
      </w:r>
      <w:r w:rsidR="00487350">
        <w:rPr>
          <w:sz w:val="22"/>
          <w:szCs w:val="22"/>
          <w:lang w:val="en-GB"/>
        </w:rPr>
        <w:t>,</w:t>
      </w:r>
      <w:r w:rsidRPr="000016FB">
        <w:rPr>
          <w:sz w:val="22"/>
          <w:szCs w:val="22"/>
          <w:lang w:val="en-GB"/>
        </w:rPr>
        <w:t xml:space="preserve"> hepatocellular damage and dysregulation of the microenvironment</w:t>
      </w:r>
      <w:r w:rsidR="004C3CA2">
        <w:rPr>
          <w:sz w:val="22"/>
          <w:szCs w:val="22"/>
          <w:lang w:val="en-GB"/>
        </w:rPr>
        <w:t xml:space="preserve"> </w:t>
      </w:r>
      <w:r w:rsidRPr="000016FB">
        <w:rPr>
          <w:sz w:val="22"/>
          <w:szCs w:val="22"/>
          <w:lang w:val="en-GB"/>
        </w:rPr>
        <w:t xml:space="preserve">of the liver </w:t>
      </w:r>
      <w:r w:rsidR="00487350">
        <w:rPr>
          <w:sz w:val="22"/>
          <w:szCs w:val="22"/>
          <w:lang w:val="en-GB"/>
        </w:rPr>
        <w:t>are</w:t>
      </w:r>
      <w:r w:rsidR="00487350" w:rsidRPr="000016FB">
        <w:rPr>
          <w:sz w:val="22"/>
          <w:szCs w:val="22"/>
          <w:lang w:val="en-GB"/>
        </w:rPr>
        <w:t xml:space="preserve"> </w:t>
      </w:r>
      <w:r w:rsidRPr="000016FB">
        <w:rPr>
          <w:sz w:val="22"/>
          <w:szCs w:val="22"/>
          <w:lang w:val="en-GB"/>
        </w:rPr>
        <w:t>believed to play a critical role in the initiation of</w:t>
      </w:r>
      <w:r w:rsidR="0036677D">
        <w:rPr>
          <w:sz w:val="22"/>
          <w:szCs w:val="22"/>
          <w:lang w:val="en-GB"/>
        </w:rPr>
        <w:t xml:space="preserve"> the</w:t>
      </w:r>
      <w:r w:rsidRPr="000016FB">
        <w:rPr>
          <w:sz w:val="22"/>
          <w:szCs w:val="22"/>
          <w:lang w:val="en-GB"/>
        </w:rPr>
        <w:t xml:space="preserve"> immune response</w:t>
      </w:r>
      <w:r w:rsidR="0036677D">
        <w:rPr>
          <w:sz w:val="22"/>
          <w:szCs w:val="22"/>
          <w:lang w:val="en-GB"/>
        </w:rPr>
        <w:t xml:space="preserve">. </w:t>
      </w:r>
      <w:r w:rsidR="004C3CA2">
        <w:rPr>
          <w:sz w:val="22"/>
          <w:szCs w:val="22"/>
          <w:lang w:val="en-GB"/>
        </w:rPr>
        <w:t>T</w:t>
      </w:r>
      <w:r w:rsidR="00F664D3" w:rsidRPr="000016FB">
        <w:rPr>
          <w:sz w:val="22"/>
          <w:szCs w:val="22"/>
          <w:lang w:val="en-GB"/>
        </w:rPr>
        <w:t xml:space="preserve">he </w:t>
      </w:r>
      <w:r w:rsidRPr="000016FB">
        <w:rPr>
          <w:sz w:val="22"/>
          <w:szCs w:val="22"/>
          <w:lang w:val="en-GB"/>
        </w:rPr>
        <w:t xml:space="preserve">potentiation and resolution of immune </w:t>
      </w:r>
      <w:r w:rsidR="00F664D3" w:rsidRPr="000016FB">
        <w:rPr>
          <w:sz w:val="22"/>
          <w:szCs w:val="22"/>
          <w:lang w:val="en-GB"/>
        </w:rPr>
        <w:t>response attributed to resident innate immune cells and infiltrating neutrophils and lymphocytes</w:t>
      </w:r>
      <w:r w:rsidR="00B13681">
        <w:rPr>
          <w:noProof/>
          <w:sz w:val="22"/>
          <w:szCs w:val="22"/>
          <w:lang w:val="en-GB"/>
        </w:rPr>
        <w:t xml:space="preserve"> </w:t>
      </w:r>
      <w:sdt>
        <w:sdtPr>
          <w:rPr>
            <w:noProof/>
            <w:sz w:val="22"/>
            <w:szCs w:val="22"/>
            <w:lang w:val="en-GB"/>
          </w:rPr>
          <w:id w:val="1800106453"/>
          <w:citation/>
        </w:sdtPr>
        <w:sdtEndPr/>
        <w:sdtContent>
          <w:r w:rsidR="00F21C43">
            <w:rPr>
              <w:noProof/>
              <w:sz w:val="22"/>
              <w:szCs w:val="22"/>
              <w:lang w:val="en-GB"/>
            </w:rPr>
            <w:fldChar w:fldCharType="begin"/>
          </w:r>
          <w:r w:rsidR="00F21C43">
            <w:rPr>
              <w:noProof/>
              <w:sz w:val="22"/>
              <w:szCs w:val="22"/>
              <w:lang w:val="en-GB"/>
            </w:rPr>
            <w:instrText xml:space="preserve"> CITATION JuC12 \l 2057 </w:instrText>
          </w:r>
          <w:r w:rsidR="00F21C43">
            <w:rPr>
              <w:noProof/>
              <w:sz w:val="22"/>
              <w:szCs w:val="22"/>
              <w:lang w:val="en-GB"/>
            </w:rPr>
            <w:fldChar w:fldCharType="separate"/>
          </w:r>
          <w:r w:rsidR="002D6947" w:rsidRPr="002D6947">
            <w:rPr>
              <w:noProof/>
              <w:sz w:val="22"/>
              <w:szCs w:val="22"/>
              <w:lang w:val="en-GB"/>
            </w:rPr>
            <w:t>[63]</w:t>
          </w:r>
          <w:r w:rsidR="00F21C43">
            <w:rPr>
              <w:noProof/>
              <w:sz w:val="22"/>
              <w:szCs w:val="22"/>
              <w:lang w:val="en-GB"/>
            </w:rPr>
            <w:fldChar w:fldCharType="end"/>
          </w:r>
        </w:sdtContent>
      </w:sdt>
      <w:r w:rsidR="00B13681">
        <w:rPr>
          <w:noProof/>
          <w:sz w:val="22"/>
          <w:szCs w:val="22"/>
          <w:lang w:val="en-GB"/>
        </w:rPr>
        <w:t xml:space="preserve"> </w:t>
      </w:r>
      <w:sdt>
        <w:sdtPr>
          <w:rPr>
            <w:noProof/>
            <w:sz w:val="22"/>
            <w:szCs w:val="22"/>
            <w:lang w:val="en-GB"/>
          </w:rPr>
          <w:id w:val="-1387025309"/>
          <w:citation/>
        </w:sdtPr>
        <w:sdtEndPr/>
        <w:sdtContent>
          <w:r w:rsidR="00F21C43">
            <w:rPr>
              <w:noProof/>
              <w:sz w:val="22"/>
              <w:szCs w:val="22"/>
              <w:lang w:val="en-GB"/>
            </w:rPr>
            <w:fldChar w:fldCharType="begin"/>
          </w:r>
          <w:r w:rsidR="00F21C43">
            <w:rPr>
              <w:noProof/>
              <w:sz w:val="22"/>
              <w:szCs w:val="22"/>
              <w:lang w:val="en-GB"/>
            </w:rPr>
            <w:instrText xml:space="preserve"> CITATION Rac06 \l 2057 </w:instrText>
          </w:r>
          <w:r w:rsidR="00F21C43">
            <w:rPr>
              <w:noProof/>
              <w:sz w:val="22"/>
              <w:szCs w:val="22"/>
              <w:lang w:val="en-GB"/>
            </w:rPr>
            <w:fldChar w:fldCharType="separate"/>
          </w:r>
          <w:r w:rsidR="002D6947" w:rsidRPr="002D6947">
            <w:rPr>
              <w:noProof/>
              <w:sz w:val="22"/>
              <w:szCs w:val="22"/>
              <w:lang w:val="en-GB"/>
            </w:rPr>
            <w:t>[64]</w:t>
          </w:r>
          <w:r w:rsidR="00F21C43">
            <w:rPr>
              <w:noProof/>
              <w:sz w:val="22"/>
              <w:szCs w:val="22"/>
              <w:lang w:val="en-GB"/>
            </w:rPr>
            <w:fldChar w:fldCharType="end"/>
          </w:r>
        </w:sdtContent>
      </w:sdt>
      <w:r w:rsidR="00F664D3" w:rsidRPr="000016FB">
        <w:rPr>
          <w:sz w:val="22"/>
          <w:szCs w:val="22"/>
          <w:lang w:val="en-GB"/>
        </w:rPr>
        <w:t xml:space="preserve">. </w:t>
      </w:r>
      <w:r w:rsidR="00B70C3E">
        <w:rPr>
          <w:sz w:val="22"/>
          <w:szCs w:val="22"/>
          <w:lang w:val="en-GB"/>
        </w:rPr>
        <w:t xml:space="preserve">Figure 4 illustrates the cellular aspects of immune-mediated DILI. </w:t>
      </w:r>
      <w:r w:rsidR="00F664D3" w:rsidRPr="000016FB">
        <w:rPr>
          <w:sz w:val="22"/>
          <w:szCs w:val="22"/>
          <w:lang w:val="en-GB"/>
        </w:rPr>
        <w:t xml:space="preserve">The role of the adaptive immune response is supported by evidence </w:t>
      </w:r>
      <w:r w:rsidR="0036677D">
        <w:rPr>
          <w:sz w:val="22"/>
          <w:szCs w:val="22"/>
          <w:lang w:val="en-GB"/>
        </w:rPr>
        <w:t>related to</w:t>
      </w:r>
      <w:r w:rsidR="0036677D" w:rsidRPr="000016FB">
        <w:rPr>
          <w:sz w:val="22"/>
          <w:szCs w:val="22"/>
          <w:lang w:val="en-GB"/>
        </w:rPr>
        <w:t xml:space="preserve"> </w:t>
      </w:r>
      <w:r w:rsidR="00F664D3" w:rsidRPr="000016FB">
        <w:rPr>
          <w:sz w:val="22"/>
          <w:szCs w:val="22"/>
          <w:lang w:val="en-GB"/>
        </w:rPr>
        <w:t>delayed onset of symptoms and a rapid onset upon re-challenge</w:t>
      </w:r>
      <w:r w:rsidR="00FC2B5E">
        <w:rPr>
          <w:noProof/>
          <w:sz w:val="22"/>
          <w:szCs w:val="22"/>
          <w:lang w:val="en-GB"/>
        </w:rPr>
        <w:t xml:space="preserve"> </w:t>
      </w:r>
      <w:sdt>
        <w:sdtPr>
          <w:rPr>
            <w:noProof/>
            <w:sz w:val="22"/>
            <w:szCs w:val="22"/>
            <w:lang w:val="en-GB"/>
          </w:rPr>
          <w:id w:val="-1744177965"/>
          <w:citation/>
        </w:sdtPr>
        <w:sdtEndPr/>
        <w:sdtContent>
          <w:r w:rsidR="00F21C43">
            <w:rPr>
              <w:noProof/>
              <w:sz w:val="22"/>
              <w:szCs w:val="22"/>
              <w:lang w:val="en-GB"/>
            </w:rPr>
            <w:fldChar w:fldCharType="begin"/>
          </w:r>
          <w:r w:rsidR="00F21C43">
            <w:rPr>
              <w:noProof/>
              <w:sz w:val="22"/>
              <w:szCs w:val="22"/>
              <w:lang w:val="en-GB"/>
            </w:rPr>
            <w:instrText xml:space="preserve"> CITATION Pap09 \l 2057 </w:instrText>
          </w:r>
          <w:r w:rsidR="00F21C43">
            <w:rPr>
              <w:noProof/>
              <w:sz w:val="22"/>
              <w:szCs w:val="22"/>
              <w:lang w:val="en-GB"/>
            </w:rPr>
            <w:fldChar w:fldCharType="separate"/>
          </w:r>
          <w:r w:rsidR="002D6947" w:rsidRPr="002D6947">
            <w:rPr>
              <w:noProof/>
              <w:sz w:val="22"/>
              <w:szCs w:val="22"/>
              <w:lang w:val="en-GB"/>
            </w:rPr>
            <w:t>[65]</w:t>
          </w:r>
          <w:r w:rsidR="00F21C43">
            <w:rPr>
              <w:noProof/>
              <w:sz w:val="22"/>
              <w:szCs w:val="22"/>
              <w:lang w:val="en-GB"/>
            </w:rPr>
            <w:fldChar w:fldCharType="end"/>
          </w:r>
        </w:sdtContent>
      </w:sdt>
      <w:r w:rsidR="00D27C32">
        <w:rPr>
          <w:sz w:val="22"/>
          <w:szCs w:val="22"/>
          <w:lang w:val="en-GB"/>
        </w:rPr>
        <w:t>, as well as by the</w:t>
      </w:r>
      <w:r w:rsidR="0036677D">
        <w:rPr>
          <w:sz w:val="22"/>
          <w:szCs w:val="22"/>
          <w:lang w:val="en-GB"/>
        </w:rPr>
        <w:t xml:space="preserve"> clear </w:t>
      </w:r>
      <w:r w:rsidR="00F664D3" w:rsidRPr="000016FB">
        <w:rPr>
          <w:sz w:val="22"/>
          <w:szCs w:val="22"/>
          <w:lang w:val="en-GB"/>
        </w:rPr>
        <w:t xml:space="preserve">association </w:t>
      </w:r>
      <w:r w:rsidR="00D27C32">
        <w:rPr>
          <w:sz w:val="22"/>
          <w:szCs w:val="22"/>
          <w:lang w:val="en-GB"/>
        </w:rPr>
        <w:t>with certain</w:t>
      </w:r>
      <w:r w:rsidR="00D27C32" w:rsidRPr="000016FB">
        <w:rPr>
          <w:sz w:val="22"/>
          <w:szCs w:val="22"/>
          <w:lang w:val="en-GB"/>
        </w:rPr>
        <w:t xml:space="preserve"> </w:t>
      </w:r>
      <w:r w:rsidR="00F664D3" w:rsidRPr="000016FB">
        <w:rPr>
          <w:sz w:val="22"/>
          <w:szCs w:val="22"/>
          <w:lang w:val="en-GB"/>
        </w:rPr>
        <w:t>human leukocyte antigens (HLA)</w:t>
      </w:r>
      <w:r w:rsidR="00FC2B5E">
        <w:rPr>
          <w:noProof/>
          <w:sz w:val="22"/>
          <w:szCs w:val="22"/>
          <w:lang w:val="en-GB"/>
        </w:rPr>
        <w:t xml:space="preserve"> </w:t>
      </w:r>
      <w:sdt>
        <w:sdtPr>
          <w:rPr>
            <w:noProof/>
            <w:sz w:val="22"/>
            <w:szCs w:val="22"/>
            <w:lang w:val="en-GB"/>
          </w:rPr>
          <w:id w:val="-504519299"/>
          <w:citation/>
        </w:sdtPr>
        <w:sdtEndPr/>
        <w:sdtContent>
          <w:r w:rsidR="00F21C43">
            <w:rPr>
              <w:noProof/>
              <w:sz w:val="22"/>
              <w:szCs w:val="22"/>
              <w:lang w:val="en-GB"/>
            </w:rPr>
            <w:fldChar w:fldCharType="begin"/>
          </w:r>
          <w:r w:rsidR="008E117E">
            <w:rPr>
              <w:noProof/>
              <w:sz w:val="22"/>
              <w:szCs w:val="22"/>
              <w:lang w:val="en-GB"/>
            </w:rPr>
            <w:instrText xml:space="preserve">CITATION Oge16 \l 2057 </w:instrText>
          </w:r>
          <w:r w:rsidR="00F21C43">
            <w:rPr>
              <w:noProof/>
              <w:sz w:val="22"/>
              <w:szCs w:val="22"/>
              <w:lang w:val="en-GB"/>
            </w:rPr>
            <w:fldChar w:fldCharType="separate"/>
          </w:r>
          <w:r w:rsidR="002D6947" w:rsidRPr="002D6947">
            <w:rPr>
              <w:noProof/>
              <w:sz w:val="22"/>
              <w:szCs w:val="22"/>
              <w:lang w:val="en-GB"/>
            </w:rPr>
            <w:t>[66]</w:t>
          </w:r>
          <w:r w:rsidR="00F21C43">
            <w:rPr>
              <w:noProof/>
              <w:sz w:val="22"/>
              <w:szCs w:val="22"/>
              <w:lang w:val="en-GB"/>
            </w:rPr>
            <w:fldChar w:fldCharType="end"/>
          </w:r>
        </w:sdtContent>
      </w:sdt>
      <w:r w:rsidR="00F21C43">
        <w:rPr>
          <w:noProof/>
          <w:sz w:val="22"/>
          <w:szCs w:val="22"/>
          <w:lang w:val="en-GB"/>
        </w:rPr>
        <w:t xml:space="preserve"> </w:t>
      </w:r>
      <w:r w:rsidR="00F664D3" w:rsidRPr="000016FB">
        <w:rPr>
          <w:sz w:val="22"/>
          <w:szCs w:val="22"/>
          <w:lang w:val="en-GB"/>
        </w:rPr>
        <w:t xml:space="preserve">and </w:t>
      </w:r>
      <w:r w:rsidR="00D27C32">
        <w:rPr>
          <w:sz w:val="22"/>
          <w:szCs w:val="22"/>
          <w:lang w:val="en-GB"/>
        </w:rPr>
        <w:t xml:space="preserve">the </w:t>
      </w:r>
      <w:r w:rsidR="00F664D3" w:rsidRPr="000016FB">
        <w:rPr>
          <w:sz w:val="22"/>
          <w:szCs w:val="22"/>
          <w:lang w:val="en-GB"/>
        </w:rPr>
        <w:t>presence of antibodies to drug and</w:t>
      </w:r>
      <w:r w:rsidR="00487350">
        <w:rPr>
          <w:sz w:val="22"/>
          <w:szCs w:val="22"/>
          <w:lang w:val="en-GB"/>
        </w:rPr>
        <w:t>/</w:t>
      </w:r>
      <w:r w:rsidR="00F664D3" w:rsidRPr="000016FB">
        <w:rPr>
          <w:sz w:val="22"/>
          <w:szCs w:val="22"/>
          <w:lang w:val="en-GB"/>
        </w:rPr>
        <w:t>or modified drug-peptide antigens</w:t>
      </w:r>
      <w:r w:rsidR="00D4661B">
        <w:rPr>
          <w:noProof/>
          <w:sz w:val="22"/>
          <w:szCs w:val="22"/>
          <w:lang w:val="en-GB"/>
        </w:rPr>
        <w:t xml:space="preserve"> </w:t>
      </w:r>
      <w:sdt>
        <w:sdtPr>
          <w:rPr>
            <w:noProof/>
            <w:sz w:val="22"/>
            <w:szCs w:val="22"/>
            <w:lang w:val="en-GB"/>
          </w:rPr>
          <w:id w:val="1200202723"/>
          <w:citation/>
        </w:sdtPr>
        <w:sdtEndPr/>
        <w:sdtContent>
          <w:r w:rsidR="00F21C43">
            <w:rPr>
              <w:noProof/>
              <w:sz w:val="22"/>
              <w:szCs w:val="22"/>
              <w:lang w:val="en-GB"/>
            </w:rPr>
            <w:fldChar w:fldCharType="begin"/>
          </w:r>
          <w:r w:rsidR="00F21C43">
            <w:rPr>
              <w:noProof/>
              <w:sz w:val="22"/>
              <w:szCs w:val="22"/>
              <w:lang w:val="en-GB"/>
            </w:rPr>
            <w:instrText xml:space="preserve"> CITATION Met14 \l 2057 </w:instrText>
          </w:r>
          <w:r w:rsidR="00F21C43">
            <w:rPr>
              <w:noProof/>
              <w:sz w:val="22"/>
              <w:szCs w:val="22"/>
              <w:lang w:val="en-GB"/>
            </w:rPr>
            <w:fldChar w:fldCharType="separate"/>
          </w:r>
          <w:r w:rsidR="002D6947" w:rsidRPr="002D6947">
            <w:rPr>
              <w:noProof/>
              <w:sz w:val="22"/>
              <w:szCs w:val="22"/>
              <w:lang w:val="en-GB"/>
            </w:rPr>
            <w:t>[67]</w:t>
          </w:r>
          <w:r w:rsidR="00F21C43">
            <w:rPr>
              <w:noProof/>
              <w:sz w:val="22"/>
              <w:szCs w:val="22"/>
              <w:lang w:val="en-GB"/>
            </w:rPr>
            <w:fldChar w:fldCharType="end"/>
          </w:r>
        </w:sdtContent>
      </w:sdt>
      <w:r w:rsidR="00F664D3" w:rsidRPr="000016FB">
        <w:rPr>
          <w:sz w:val="22"/>
          <w:szCs w:val="22"/>
          <w:lang w:val="en-GB"/>
        </w:rPr>
        <w:t xml:space="preserve">. </w:t>
      </w:r>
      <w:r w:rsidR="00490F93">
        <w:rPr>
          <w:sz w:val="22"/>
          <w:szCs w:val="22"/>
          <w:lang w:val="en-GB"/>
        </w:rPr>
        <w:t xml:space="preserve">Some </w:t>
      </w:r>
      <w:r w:rsidR="007443AA">
        <w:rPr>
          <w:sz w:val="22"/>
          <w:szCs w:val="22"/>
          <w:lang w:val="en-GB"/>
        </w:rPr>
        <w:t>e</w:t>
      </w:r>
      <w:r w:rsidR="00F664D3" w:rsidRPr="000016FB">
        <w:rPr>
          <w:sz w:val="22"/>
          <w:szCs w:val="22"/>
          <w:lang w:val="en-GB"/>
        </w:rPr>
        <w:t xml:space="preserve">xamples of established </w:t>
      </w:r>
      <w:r w:rsidR="00490F93">
        <w:rPr>
          <w:sz w:val="22"/>
          <w:szCs w:val="22"/>
          <w:lang w:val="en-GB"/>
        </w:rPr>
        <w:t xml:space="preserve">DILI associated with specific HLA alleles or HLA haplotypes </w:t>
      </w:r>
      <w:r w:rsidR="00F664D3" w:rsidRPr="000016FB">
        <w:rPr>
          <w:sz w:val="22"/>
          <w:szCs w:val="22"/>
          <w:lang w:val="en-GB"/>
        </w:rPr>
        <w:t>include amoxicillin-</w:t>
      </w:r>
      <w:proofErr w:type="spellStart"/>
      <w:r w:rsidR="00F664D3" w:rsidRPr="000016FB">
        <w:rPr>
          <w:sz w:val="22"/>
          <w:szCs w:val="22"/>
          <w:lang w:val="en-GB"/>
        </w:rPr>
        <w:t>clavulanate</w:t>
      </w:r>
      <w:proofErr w:type="spellEnd"/>
      <w:r w:rsidR="00490F93">
        <w:rPr>
          <w:sz w:val="22"/>
          <w:szCs w:val="22"/>
          <w:lang w:val="en-GB"/>
        </w:rPr>
        <w:t xml:space="preserve"> (HLA-DRB1*15:01-HLA-DQB1*06:02) </w:t>
      </w:r>
      <w:sdt>
        <w:sdtPr>
          <w:rPr>
            <w:sz w:val="22"/>
            <w:szCs w:val="22"/>
            <w:lang w:val="en-GB"/>
          </w:rPr>
          <w:id w:val="-1169093071"/>
          <w:citation/>
        </w:sdtPr>
        <w:sdtEndPr/>
        <w:sdtContent>
          <w:r w:rsidR="002473D4">
            <w:rPr>
              <w:sz w:val="22"/>
              <w:szCs w:val="22"/>
              <w:lang w:val="en-GB"/>
            </w:rPr>
            <w:fldChar w:fldCharType="begin"/>
          </w:r>
          <w:r w:rsidR="002473D4" w:rsidRPr="004C3CA2">
            <w:rPr>
              <w:noProof/>
              <w:sz w:val="22"/>
              <w:szCs w:val="22"/>
              <w:lang w:val="en-GB"/>
            </w:rPr>
            <w:instrText xml:space="preserve"> CITATION Kim15 \l 1036 </w:instrText>
          </w:r>
          <w:r w:rsidR="002473D4">
            <w:rPr>
              <w:sz w:val="22"/>
              <w:szCs w:val="22"/>
              <w:lang w:val="en-GB"/>
            </w:rPr>
            <w:fldChar w:fldCharType="separate"/>
          </w:r>
          <w:r w:rsidR="002D6947" w:rsidRPr="002D6947">
            <w:rPr>
              <w:noProof/>
              <w:sz w:val="22"/>
              <w:szCs w:val="22"/>
              <w:lang w:val="en-GB"/>
            </w:rPr>
            <w:t>[68]</w:t>
          </w:r>
          <w:r w:rsidR="002473D4">
            <w:rPr>
              <w:sz w:val="22"/>
              <w:szCs w:val="22"/>
              <w:lang w:val="en-GB"/>
            </w:rPr>
            <w:fldChar w:fldCharType="end"/>
          </w:r>
        </w:sdtContent>
      </w:sdt>
      <w:r w:rsidR="002473D4">
        <w:rPr>
          <w:sz w:val="22"/>
          <w:szCs w:val="22"/>
          <w:lang w:val="en-GB"/>
        </w:rPr>
        <w:t xml:space="preserve">  </w:t>
      </w:r>
      <w:proofErr w:type="spellStart"/>
      <w:r w:rsidR="00D4661B">
        <w:rPr>
          <w:sz w:val="22"/>
          <w:szCs w:val="22"/>
          <w:lang w:val="en-GB"/>
        </w:rPr>
        <w:t>flucloxacillin</w:t>
      </w:r>
      <w:proofErr w:type="spellEnd"/>
      <w:r w:rsidR="00490F93">
        <w:rPr>
          <w:sz w:val="22"/>
          <w:szCs w:val="22"/>
          <w:lang w:val="en-GB"/>
        </w:rPr>
        <w:t xml:space="preserve"> (HLA-B*57:01)</w:t>
      </w:r>
      <w:r w:rsidR="00D4661B">
        <w:rPr>
          <w:noProof/>
          <w:sz w:val="22"/>
          <w:szCs w:val="22"/>
          <w:lang w:val="en-GB"/>
        </w:rPr>
        <w:t xml:space="preserve"> </w:t>
      </w:r>
      <w:sdt>
        <w:sdtPr>
          <w:rPr>
            <w:noProof/>
            <w:sz w:val="22"/>
            <w:szCs w:val="22"/>
            <w:lang w:val="en-GB"/>
          </w:rPr>
          <w:id w:val="-1472053355"/>
          <w:citation/>
        </w:sdtPr>
        <w:sdtEndPr/>
        <w:sdtContent>
          <w:r w:rsidR="00F21C43">
            <w:rPr>
              <w:noProof/>
              <w:sz w:val="22"/>
              <w:szCs w:val="22"/>
              <w:lang w:val="en-GB"/>
            </w:rPr>
            <w:fldChar w:fldCharType="begin"/>
          </w:r>
          <w:r w:rsidR="00F21C43">
            <w:rPr>
              <w:noProof/>
              <w:sz w:val="22"/>
              <w:szCs w:val="22"/>
              <w:lang w:val="en-GB"/>
            </w:rPr>
            <w:instrText xml:space="preserve"> CITATION Dal \l 2057 </w:instrText>
          </w:r>
          <w:r w:rsidR="00F21C43">
            <w:rPr>
              <w:noProof/>
              <w:sz w:val="22"/>
              <w:szCs w:val="22"/>
              <w:lang w:val="en-GB"/>
            </w:rPr>
            <w:fldChar w:fldCharType="separate"/>
          </w:r>
          <w:r w:rsidR="002D6947" w:rsidRPr="002D6947">
            <w:rPr>
              <w:noProof/>
              <w:sz w:val="22"/>
              <w:szCs w:val="22"/>
              <w:lang w:val="en-GB"/>
            </w:rPr>
            <w:t>[69]</w:t>
          </w:r>
          <w:r w:rsidR="00F21C43">
            <w:rPr>
              <w:noProof/>
              <w:sz w:val="22"/>
              <w:szCs w:val="22"/>
              <w:lang w:val="en-GB"/>
            </w:rPr>
            <w:fldChar w:fldCharType="end"/>
          </w:r>
        </w:sdtContent>
      </w:sdt>
      <w:sdt>
        <w:sdtPr>
          <w:rPr>
            <w:noProof/>
            <w:sz w:val="22"/>
            <w:szCs w:val="22"/>
            <w:lang w:val="en-GB"/>
          </w:rPr>
          <w:id w:val="-1388189927"/>
          <w:citation/>
        </w:sdtPr>
        <w:sdtEndPr/>
        <w:sdtContent>
          <w:r w:rsidR="00F21C43">
            <w:rPr>
              <w:noProof/>
              <w:sz w:val="22"/>
              <w:szCs w:val="22"/>
              <w:lang w:val="en-GB"/>
            </w:rPr>
            <w:fldChar w:fldCharType="begin"/>
          </w:r>
          <w:r w:rsidR="00F21C43">
            <w:rPr>
              <w:noProof/>
              <w:sz w:val="22"/>
              <w:szCs w:val="22"/>
              <w:lang w:val="en-GB"/>
            </w:rPr>
            <w:instrText xml:space="preserve"> CITATION Mon14 \l 2057 </w:instrText>
          </w:r>
          <w:r w:rsidR="00F21C43">
            <w:rPr>
              <w:noProof/>
              <w:sz w:val="22"/>
              <w:szCs w:val="22"/>
              <w:lang w:val="en-GB"/>
            </w:rPr>
            <w:fldChar w:fldCharType="separate"/>
          </w:r>
          <w:r w:rsidR="002D6947">
            <w:rPr>
              <w:noProof/>
              <w:sz w:val="22"/>
              <w:szCs w:val="22"/>
              <w:lang w:val="en-GB"/>
            </w:rPr>
            <w:t xml:space="preserve"> </w:t>
          </w:r>
          <w:r w:rsidR="002D6947" w:rsidRPr="002D6947">
            <w:rPr>
              <w:noProof/>
              <w:sz w:val="22"/>
              <w:szCs w:val="22"/>
              <w:lang w:val="en-GB"/>
            </w:rPr>
            <w:t>[70]</w:t>
          </w:r>
          <w:r w:rsidR="00F21C43">
            <w:rPr>
              <w:noProof/>
              <w:sz w:val="22"/>
              <w:szCs w:val="22"/>
              <w:lang w:val="en-GB"/>
            </w:rPr>
            <w:fldChar w:fldCharType="end"/>
          </w:r>
        </w:sdtContent>
      </w:sdt>
      <w:r w:rsidR="00F664D3" w:rsidRPr="000016FB">
        <w:rPr>
          <w:sz w:val="22"/>
          <w:szCs w:val="22"/>
          <w:lang w:val="en-GB"/>
        </w:rPr>
        <w:t xml:space="preserve">, </w:t>
      </w:r>
      <w:proofErr w:type="spellStart"/>
      <w:r w:rsidR="00F664D3" w:rsidRPr="000016FB">
        <w:rPr>
          <w:sz w:val="22"/>
          <w:szCs w:val="22"/>
          <w:lang w:val="en-GB"/>
        </w:rPr>
        <w:t>lapatinib</w:t>
      </w:r>
      <w:proofErr w:type="spellEnd"/>
      <w:r w:rsidR="000E210C">
        <w:rPr>
          <w:noProof/>
          <w:sz w:val="22"/>
          <w:szCs w:val="22"/>
          <w:lang w:val="en-GB"/>
        </w:rPr>
        <w:t xml:space="preserve"> </w:t>
      </w:r>
      <w:r w:rsidR="00490F93">
        <w:rPr>
          <w:sz w:val="22"/>
          <w:szCs w:val="22"/>
          <w:lang w:val="en-GB"/>
        </w:rPr>
        <w:t>(HLA-DRB1*07:01, HLA-DQA1*02:01)</w:t>
      </w:r>
      <w:sdt>
        <w:sdtPr>
          <w:rPr>
            <w:noProof/>
            <w:sz w:val="22"/>
            <w:szCs w:val="22"/>
            <w:lang w:val="en-GB"/>
          </w:rPr>
          <w:id w:val="-1901748098"/>
          <w:citation/>
        </w:sdtPr>
        <w:sdtEndPr/>
        <w:sdtContent>
          <w:r w:rsidR="00F21C43">
            <w:rPr>
              <w:noProof/>
              <w:sz w:val="22"/>
              <w:szCs w:val="22"/>
              <w:lang w:val="en-GB"/>
            </w:rPr>
            <w:fldChar w:fldCharType="begin"/>
          </w:r>
          <w:r w:rsidR="00AA0440">
            <w:rPr>
              <w:noProof/>
              <w:sz w:val="22"/>
              <w:szCs w:val="22"/>
              <w:lang w:val="en-GB"/>
            </w:rPr>
            <w:instrText xml:space="preserve">CITATION Spr11 \l 2057 </w:instrText>
          </w:r>
          <w:r w:rsidR="00F21C43">
            <w:rPr>
              <w:noProof/>
              <w:sz w:val="22"/>
              <w:szCs w:val="22"/>
              <w:lang w:val="en-GB"/>
            </w:rPr>
            <w:fldChar w:fldCharType="separate"/>
          </w:r>
          <w:r w:rsidR="002D6947">
            <w:rPr>
              <w:noProof/>
              <w:sz w:val="22"/>
              <w:szCs w:val="22"/>
              <w:lang w:val="en-GB"/>
            </w:rPr>
            <w:t xml:space="preserve"> </w:t>
          </w:r>
          <w:r w:rsidR="002D6947" w:rsidRPr="002D6947">
            <w:rPr>
              <w:noProof/>
              <w:sz w:val="22"/>
              <w:szCs w:val="22"/>
              <w:lang w:val="en-GB"/>
            </w:rPr>
            <w:t>[71]</w:t>
          </w:r>
          <w:r w:rsidR="00F21C43">
            <w:rPr>
              <w:noProof/>
              <w:sz w:val="22"/>
              <w:szCs w:val="22"/>
              <w:lang w:val="en-GB"/>
            </w:rPr>
            <w:fldChar w:fldCharType="end"/>
          </w:r>
        </w:sdtContent>
      </w:sdt>
      <w:r w:rsidR="00F664D3" w:rsidRPr="000016FB">
        <w:rPr>
          <w:sz w:val="22"/>
          <w:szCs w:val="22"/>
          <w:lang w:val="en-GB"/>
        </w:rPr>
        <w:t xml:space="preserve">, and </w:t>
      </w:r>
      <w:proofErr w:type="spellStart"/>
      <w:r w:rsidR="00F664D3" w:rsidRPr="000016FB">
        <w:rPr>
          <w:sz w:val="22"/>
          <w:szCs w:val="22"/>
          <w:lang w:val="en-GB"/>
        </w:rPr>
        <w:t>ximelagatran</w:t>
      </w:r>
      <w:proofErr w:type="spellEnd"/>
      <w:r w:rsidR="00490F93">
        <w:rPr>
          <w:sz w:val="22"/>
          <w:szCs w:val="22"/>
          <w:lang w:val="en-GB"/>
        </w:rPr>
        <w:t xml:space="preserve"> (HLA-DRB1*07:01)</w:t>
      </w:r>
      <w:r w:rsidR="000E210C">
        <w:rPr>
          <w:noProof/>
          <w:sz w:val="22"/>
          <w:szCs w:val="22"/>
          <w:lang w:val="en-GB"/>
        </w:rPr>
        <w:t xml:space="preserve"> </w:t>
      </w:r>
      <w:sdt>
        <w:sdtPr>
          <w:rPr>
            <w:noProof/>
            <w:sz w:val="22"/>
            <w:szCs w:val="22"/>
            <w:lang w:val="en-GB"/>
          </w:rPr>
          <w:id w:val="1477486957"/>
          <w:citation/>
        </w:sdtPr>
        <w:sdtEndPr/>
        <w:sdtContent>
          <w:r w:rsidR="00F21C43">
            <w:rPr>
              <w:noProof/>
              <w:sz w:val="22"/>
              <w:szCs w:val="22"/>
              <w:lang w:val="en-GB"/>
            </w:rPr>
            <w:fldChar w:fldCharType="begin"/>
          </w:r>
          <w:r w:rsidR="00F21C43">
            <w:rPr>
              <w:noProof/>
              <w:sz w:val="22"/>
              <w:szCs w:val="22"/>
              <w:lang w:val="en-GB"/>
            </w:rPr>
            <w:instrText xml:space="preserve"> CITATION Kei10 \l 2057 </w:instrText>
          </w:r>
          <w:r w:rsidR="00F21C43">
            <w:rPr>
              <w:noProof/>
              <w:sz w:val="22"/>
              <w:szCs w:val="22"/>
              <w:lang w:val="en-GB"/>
            </w:rPr>
            <w:fldChar w:fldCharType="separate"/>
          </w:r>
          <w:r w:rsidR="002D6947" w:rsidRPr="002D6947">
            <w:rPr>
              <w:noProof/>
              <w:sz w:val="22"/>
              <w:szCs w:val="22"/>
              <w:lang w:val="en-GB"/>
            </w:rPr>
            <w:t>[72]</w:t>
          </w:r>
          <w:r w:rsidR="00F21C43">
            <w:rPr>
              <w:noProof/>
              <w:sz w:val="22"/>
              <w:szCs w:val="22"/>
              <w:lang w:val="en-GB"/>
            </w:rPr>
            <w:fldChar w:fldCharType="end"/>
          </w:r>
        </w:sdtContent>
      </w:sdt>
      <w:r w:rsidR="00B7115B" w:rsidRPr="000016FB">
        <w:rPr>
          <w:sz w:val="22"/>
          <w:szCs w:val="22"/>
          <w:lang w:val="en-GB"/>
        </w:rPr>
        <w:t>.</w:t>
      </w:r>
      <w:r w:rsidR="00F664D3" w:rsidRPr="000016FB">
        <w:rPr>
          <w:sz w:val="22"/>
          <w:szCs w:val="22"/>
          <w:lang w:val="en-GB"/>
        </w:rPr>
        <w:t xml:space="preserve"> </w:t>
      </w:r>
      <w:r w:rsidR="00490F93">
        <w:rPr>
          <w:sz w:val="22"/>
          <w:szCs w:val="22"/>
          <w:lang w:val="en-GB"/>
        </w:rPr>
        <w:t>Although the expression of these alleles predispose</w:t>
      </w:r>
      <w:r w:rsidR="00CD1872">
        <w:rPr>
          <w:sz w:val="22"/>
          <w:szCs w:val="22"/>
          <w:lang w:val="en-GB"/>
        </w:rPr>
        <w:t>s</w:t>
      </w:r>
      <w:r w:rsidR="00490F93">
        <w:rPr>
          <w:sz w:val="22"/>
          <w:szCs w:val="22"/>
          <w:lang w:val="en-GB"/>
        </w:rPr>
        <w:t xml:space="preserve"> some patients to DILI, the exact molecular mechanism by which the presence of a particular HLA allele increases a patient’s susceptibility to DILI remains undefined and </w:t>
      </w:r>
      <w:r w:rsidR="00EB0984">
        <w:rPr>
          <w:sz w:val="22"/>
          <w:szCs w:val="22"/>
          <w:lang w:val="en-GB"/>
        </w:rPr>
        <w:t xml:space="preserve">is an area of </w:t>
      </w:r>
      <w:proofErr w:type="gramStart"/>
      <w:r w:rsidR="00EB0984">
        <w:rPr>
          <w:sz w:val="22"/>
          <w:szCs w:val="22"/>
          <w:lang w:val="en-GB"/>
        </w:rPr>
        <w:t xml:space="preserve">continuing </w:t>
      </w:r>
      <w:r w:rsidR="00490F93">
        <w:rPr>
          <w:sz w:val="22"/>
          <w:szCs w:val="22"/>
          <w:lang w:val="en-GB"/>
        </w:rPr>
        <w:t xml:space="preserve"> research</w:t>
      </w:r>
      <w:proofErr w:type="gramEnd"/>
      <w:r w:rsidR="00490F93">
        <w:rPr>
          <w:sz w:val="22"/>
          <w:szCs w:val="22"/>
          <w:lang w:val="en-GB"/>
        </w:rPr>
        <w:t xml:space="preserve">. Furthermore, information is lacking on the mechanism of tolerance in individuals that express the implicated alleles but do not suffer from DILI upon drug exposure. These obvious knowledge gaps </w:t>
      </w:r>
      <w:r w:rsidR="00490F93">
        <w:rPr>
          <w:sz w:val="22"/>
          <w:szCs w:val="22"/>
          <w:lang w:val="en-GB"/>
        </w:rPr>
        <w:lastRenderedPageBreak/>
        <w:t xml:space="preserve">remain major limiting factors in the use of HLA alleles as predictive biomarkers during the pre-clinical stages of drug development.  </w:t>
      </w:r>
    </w:p>
    <w:p w14:paraId="0C4C5D35" w14:textId="77777777" w:rsidR="00B7115B" w:rsidRPr="000016FB" w:rsidRDefault="00B7115B" w:rsidP="006730B6">
      <w:pPr>
        <w:spacing w:line="480" w:lineRule="auto"/>
        <w:jc w:val="both"/>
        <w:rPr>
          <w:sz w:val="22"/>
          <w:szCs w:val="22"/>
          <w:lang w:val="en-GB"/>
        </w:rPr>
      </w:pPr>
    </w:p>
    <w:p w14:paraId="68A06FD3" w14:textId="5771745E" w:rsidR="008F68AB" w:rsidRDefault="000E5BC6" w:rsidP="006730B6">
      <w:pPr>
        <w:spacing w:line="480" w:lineRule="auto"/>
        <w:jc w:val="both"/>
        <w:rPr>
          <w:i/>
          <w:noProof/>
          <w:sz w:val="22"/>
          <w:szCs w:val="22"/>
          <w:lang w:val="en-US"/>
        </w:rPr>
      </w:pPr>
      <w:r>
        <w:rPr>
          <w:noProof/>
          <w:sz w:val="22"/>
          <w:szCs w:val="22"/>
          <w:lang w:val="en-US"/>
        </w:rPr>
        <w:t>4.2.</w:t>
      </w:r>
      <w:r w:rsidR="00B7115B" w:rsidRPr="000016FB">
        <w:rPr>
          <w:noProof/>
          <w:sz w:val="22"/>
          <w:szCs w:val="22"/>
          <w:lang w:val="en-US"/>
        </w:rPr>
        <w:t>.</w:t>
      </w:r>
      <w:r w:rsidR="00487350">
        <w:rPr>
          <w:noProof/>
          <w:sz w:val="22"/>
          <w:szCs w:val="22"/>
          <w:lang w:val="en-US"/>
        </w:rPr>
        <w:t xml:space="preserve"> </w:t>
      </w:r>
      <w:r w:rsidR="002717BF">
        <w:rPr>
          <w:i/>
          <w:noProof/>
          <w:sz w:val="22"/>
          <w:szCs w:val="22"/>
          <w:lang w:val="en-US"/>
        </w:rPr>
        <w:t>M</w:t>
      </w:r>
      <w:r w:rsidR="0017298D">
        <w:rPr>
          <w:i/>
          <w:noProof/>
          <w:sz w:val="22"/>
          <w:szCs w:val="22"/>
          <w:lang w:val="en-US"/>
        </w:rPr>
        <w:t xml:space="preserve">odel systems </w:t>
      </w:r>
      <w:r w:rsidR="00B7115B" w:rsidRPr="000016FB">
        <w:rPr>
          <w:i/>
          <w:noProof/>
          <w:sz w:val="22"/>
          <w:szCs w:val="22"/>
          <w:lang w:val="en-US"/>
        </w:rPr>
        <w:t>i</w:t>
      </w:r>
      <w:r w:rsidR="008F68AB">
        <w:rPr>
          <w:i/>
          <w:noProof/>
          <w:sz w:val="22"/>
          <w:szCs w:val="22"/>
          <w:lang w:val="en-US"/>
        </w:rPr>
        <w:t>n use for detection of immune</w:t>
      </w:r>
      <w:r w:rsidR="00CD1872">
        <w:rPr>
          <w:i/>
          <w:noProof/>
          <w:sz w:val="22"/>
          <w:szCs w:val="22"/>
          <w:lang w:val="en-US"/>
        </w:rPr>
        <w:t>-</w:t>
      </w:r>
      <w:r w:rsidR="008F68AB">
        <w:rPr>
          <w:i/>
          <w:noProof/>
          <w:sz w:val="22"/>
          <w:szCs w:val="22"/>
          <w:lang w:val="en-US"/>
        </w:rPr>
        <w:t>mediated DILI</w:t>
      </w:r>
    </w:p>
    <w:p w14:paraId="6DEEECFB" w14:textId="77777777" w:rsidR="00547BE0" w:rsidRPr="000016FB" w:rsidRDefault="00B7115B" w:rsidP="006730B6">
      <w:pPr>
        <w:spacing w:line="480" w:lineRule="auto"/>
        <w:jc w:val="both"/>
        <w:rPr>
          <w:sz w:val="22"/>
          <w:szCs w:val="22"/>
          <w:lang w:val="en-GB"/>
        </w:rPr>
      </w:pPr>
      <w:r w:rsidRPr="000016FB">
        <w:rPr>
          <w:sz w:val="22"/>
          <w:szCs w:val="22"/>
          <w:lang w:val="en-GB"/>
        </w:rPr>
        <w:t xml:space="preserve">Given the unpredictable nature of idiosyncratic DILI and associated severity of ADRs in patients, there is </w:t>
      </w:r>
      <w:r w:rsidR="0017298D">
        <w:rPr>
          <w:sz w:val="22"/>
          <w:szCs w:val="22"/>
          <w:lang w:val="en-GB"/>
        </w:rPr>
        <w:t xml:space="preserve">an urgent </w:t>
      </w:r>
      <w:r w:rsidRPr="000016FB">
        <w:rPr>
          <w:sz w:val="22"/>
          <w:szCs w:val="22"/>
          <w:lang w:val="en-GB"/>
        </w:rPr>
        <w:t xml:space="preserve">need for early </w:t>
      </w:r>
      <w:r w:rsidRPr="006C4647">
        <w:rPr>
          <w:i/>
          <w:sz w:val="22"/>
          <w:szCs w:val="22"/>
          <w:lang w:val="en-GB"/>
        </w:rPr>
        <w:t>in</w:t>
      </w:r>
      <w:r w:rsidR="002717BF" w:rsidRPr="006C4647">
        <w:rPr>
          <w:i/>
          <w:sz w:val="22"/>
          <w:szCs w:val="22"/>
          <w:lang w:val="en-GB"/>
        </w:rPr>
        <w:t xml:space="preserve"> </w:t>
      </w:r>
      <w:r w:rsidRPr="006C4647">
        <w:rPr>
          <w:i/>
          <w:sz w:val="22"/>
          <w:szCs w:val="22"/>
          <w:lang w:val="en-GB"/>
        </w:rPr>
        <w:t>vitro</w:t>
      </w:r>
      <w:r w:rsidRPr="000016FB">
        <w:rPr>
          <w:sz w:val="22"/>
          <w:szCs w:val="22"/>
          <w:lang w:val="en-GB"/>
        </w:rPr>
        <w:t xml:space="preserve"> screening and non-clinical tests to aid prediction and risk assessment of </w:t>
      </w:r>
      <w:proofErr w:type="spellStart"/>
      <w:r w:rsidRPr="000016FB">
        <w:rPr>
          <w:sz w:val="22"/>
          <w:szCs w:val="22"/>
          <w:lang w:val="en-GB"/>
        </w:rPr>
        <w:t>iDILI</w:t>
      </w:r>
      <w:proofErr w:type="spellEnd"/>
      <w:r w:rsidRPr="000016FB">
        <w:rPr>
          <w:sz w:val="22"/>
          <w:szCs w:val="22"/>
          <w:lang w:val="en-GB"/>
        </w:rPr>
        <w:t xml:space="preserve"> before clinical development. Unfortunately, </w:t>
      </w:r>
      <w:r w:rsidRPr="006C4647">
        <w:rPr>
          <w:i/>
          <w:sz w:val="22"/>
          <w:szCs w:val="22"/>
          <w:lang w:val="en-GB"/>
        </w:rPr>
        <w:t>in vitro</w:t>
      </w:r>
      <w:r w:rsidR="00F06F1B">
        <w:rPr>
          <w:sz w:val="22"/>
          <w:szCs w:val="22"/>
          <w:lang w:val="en-GB"/>
        </w:rPr>
        <w:t>-</w:t>
      </w:r>
      <w:r w:rsidRPr="000016FB">
        <w:rPr>
          <w:sz w:val="22"/>
          <w:szCs w:val="22"/>
          <w:lang w:val="en-GB"/>
        </w:rPr>
        <w:t xml:space="preserve">based models for application in drug discovery are distinctly lacking. </w:t>
      </w:r>
      <w:r w:rsidR="00997109">
        <w:rPr>
          <w:sz w:val="22"/>
          <w:szCs w:val="22"/>
          <w:lang w:val="en-GB"/>
        </w:rPr>
        <w:t xml:space="preserve">The predictive capacity of </w:t>
      </w:r>
      <w:r w:rsidR="00997109" w:rsidRPr="006C4647">
        <w:rPr>
          <w:i/>
          <w:sz w:val="22"/>
          <w:szCs w:val="22"/>
          <w:lang w:val="en-GB"/>
        </w:rPr>
        <w:t>in vitro</w:t>
      </w:r>
      <w:r w:rsidR="00997109">
        <w:rPr>
          <w:sz w:val="22"/>
          <w:szCs w:val="22"/>
          <w:lang w:val="en-GB"/>
        </w:rPr>
        <w:t xml:space="preserve"> tests to assess </w:t>
      </w:r>
      <w:proofErr w:type="spellStart"/>
      <w:r w:rsidR="00997109">
        <w:rPr>
          <w:sz w:val="22"/>
          <w:szCs w:val="22"/>
          <w:lang w:val="en-GB"/>
        </w:rPr>
        <w:t>iDILI</w:t>
      </w:r>
      <w:proofErr w:type="spellEnd"/>
      <w:r w:rsidR="00997109">
        <w:rPr>
          <w:sz w:val="22"/>
          <w:szCs w:val="22"/>
          <w:lang w:val="en-GB"/>
        </w:rPr>
        <w:t xml:space="preserve"> potential using covalent binding</w:t>
      </w:r>
      <w:r w:rsidR="007E335C">
        <w:rPr>
          <w:sz w:val="22"/>
          <w:szCs w:val="22"/>
          <w:lang w:val="en-GB"/>
        </w:rPr>
        <w:t xml:space="preserve">, glutathione trapping </w:t>
      </w:r>
      <w:r w:rsidR="00997109">
        <w:rPr>
          <w:sz w:val="22"/>
          <w:szCs w:val="22"/>
          <w:lang w:val="en-GB"/>
        </w:rPr>
        <w:t>and cell viability assays is limited by low sensitivity</w:t>
      </w:r>
      <w:r w:rsidR="001F0680">
        <w:rPr>
          <w:sz w:val="22"/>
          <w:szCs w:val="22"/>
          <w:lang w:val="en-GB"/>
        </w:rPr>
        <w:t xml:space="preserve"> and poor predictive value of liver injury. </w:t>
      </w:r>
      <w:r w:rsidR="00760295">
        <w:rPr>
          <w:sz w:val="22"/>
          <w:szCs w:val="22"/>
          <w:lang w:val="en-GB"/>
        </w:rPr>
        <w:t>However, the elimination of potential chemical liabilities, such as covalent binding, could simplify drug discovery if an alternative lead compound with the requisite pharmacology is already available. Nevertheless</w:t>
      </w:r>
      <w:r w:rsidR="006C4647">
        <w:rPr>
          <w:sz w:val="22"/>
          <w:szCs w:val="22"/>
          <w:lang w:val="en-GB"/>
        </w:rPr>
        <w:t xml:space="preserve"> </w:t>
      </w:r>
      <w:r w:rsidR="00760295">
        <w:rPr>
          <w:sz w:val="22"/>
          <w:szCs w:val="22"/>
          <w:lang w:val="en-GB"/>
        </w:rPr>
        <w:t>t</w:t>
      </w:r>
      <w:r w:rsidR="001F0680">
        <w:rPr>
          <w:sz w:val="22"/>
          <w:szCs w:val="22"/>
          <w:lang w:val="en-GB"/>
        </w:rPr>
        <w:t xml:space="preserve">here is an unmet need to develop predictive </w:t>
      </w:r>
      <w:r w:rsidR="00760295" w:rsidRPr="006C4647">
        <w:rPr>
          <w:i/>
          <w:sz w:val="22"/>
          <w:szCs w:val="22"/>
          <w:lang w:val="en-GB"/>
        </w:rPr>
        <w:t>in vitro</w:t>
      </w:r>
      <w:r w:rsidR="00760295">
        <w:rPr>
          <w:sz w:val="22"/>
          <w:szCs w:val="22"/>
          <w:lang w:val="en-GB"/>
        </w:rPr>
        <w:t xml:space="preserve"> </w:t>
      </w:r>
      <w:r w:rsidR="001F0680">
        <w:rPr>
          <w:sz w:val="22"/>
          <w:szCs w:val="22"/>
          <w:lang w:val="en-GB"/>
        </w:rPr>
        <w:t>test systems</w:t>
      </w:r>
      <w:r w:rsidR="00760295">
        <w:rPr>
          <w:sz w:val="22"/>
          <w:szCs w:val="22"/>
          <w:lang w:val="en-GB"/>
        </w:rPr>
        <w:t xml:space="preserve"> for risk assessment when it is necessary to progress a compound with such a chemical liability</w:t>
      </w:r>
      <w:r w:rsidR="001F0680">
        <w:rPr>
          <w:sz w:val="22"/>
          <w:szCs w:val="22"/>
          <w:lang w:val="en-GB"/>
        </w:rPr>
        <w:t xml:space="preserve">. </w:t>
      </w:r>
      <w:r w:rsidR="0017298D">
        <w:rPr>
          <w:sz w:val="22"/>
          <w:szCs w:val="22"/>
          <w:lang w:val="en-GB"/>
        </w:rPr>
        <w:t>T</w:t>
      </w:r>
      <w:r w:rsidRPr="000016FB">
        <w:rPr>
          <w:sz w:val="22"/>
          <w:szCs w:val="22"/>
          <w:lang w:val="en-GB"/>
        </w:rPr>
        <w:t xml:space="preserve">he development of co-cultures of parenchymal cells and non-parenchymal cells </w:t>
      </w:r>
      <w:r w:rsidR="00D27C32">
        <w:rPr>
          <w:sz w:val="22"/>
          <w:szCs w:val="22"/>
          <w:lang w:val="en-GB"/>
        </w:rPr>
        <w:t>is</w:t>
      </w:r>
      <w:r w:rsidR="00D27C32" w:rsidRPr="000016FB">
        <w:rPr>
          <w:sz w:val="22"/>
          <w:szCs w:val="22"/>
          <w:lang w:val="en-GB"/>
        </w:rPr>
        <w:t xml:space="preserve"> </w:t>
      </w:r>
      <w:r w:rsidRPr="000016FB">
        <w:rPr>
          <w:sz w:val="22"/>
          <w:szCs w:val="22"/>
          <w:lang w:val="en-GB"/>
        </w:rPr>
        <w:t xml:space="preserve">offering </w:t>
      </w:r>
      <w:r w:rsidR="0017298D">
        <w:rPr>
          <w:sz w:val="22"/>
          <w:szCs w:val="22"/>
          <w:lang w:val="en-GB"/>
        </w:rPr>
        <w:t xml:space="preserve">the </w:t>
      </w:r>
      <w:r w:rsidRPr="000016FB">
        <w:rPr>
          <w:sz w:val="22"/>
          <w:szCs w:val="22"/>
          <w:lang w:val="en-GB"/>
        </w:rPr>
        <w:t xml:space="preserve">potential for the assessment of innate response to chemical insult, </w:t>
      </w:r>
      <w:r w:rsidR="0017298D">
        <w:rPr>
          <w:sz w:val="22"/>
          <w:szCs w:val="22"/>
          <w:lang w:val="en-GB"/>
        </w:rPr>
        <w:t>however</w:t>
      </w:r>
      <w:r w:rsidRPr="000016FB">
        <w:rPr>
          <w:sz w:val="22"/>
          <w:szCs w:val="22"/>
          <w:lang w:val="en-GB"/>
        </w:rPr>
        <w:t xml:space="preserve"> </w:t>
      </w:r>
      <w:r w:rsidR="00760295">
        <w:rPr>
          <w:sz w:val="22"/>
          <w:szCs w:val="22"/>
          <w:lang w:val="en-GB"/>
        </w:rPr>
        <w:t xml:space="preserve">these models are still at an early stage and </w:t>
      </w:r>
      <w:r w:rsidRPr="000016FB">
        <w:rPr>
          <w:sz w:val="22"/>
          <w:szCs w:val="22"/>
          <w:lang w:val="en-GB"/>
        </w:rPr>
        <w:t>much has yet to be</w:t>
      </w:r>
      <w:r w:rsidR="000B46A0" w:rsidRPr="000016FB">
        <w:rPr>
          <w:sz w:val="22"/>
          <w:szCs w:val="22"/>
          <w:lang w:val="en-GB"/>
        </w:rPr>
        <w:t xml:space="preserve"> accomplished to </w:t>
      </w:r>
      <w:r w:rsidR="00760295">
        <w:rPr>
          <w:sz w:val="22"/>
          <w:szCs w:val="22"/>
          <w:lang w:val="en-GB"/>
        </w:rPr>
        <w:t>define</w:t>
      </w:r>
      <w:r w:rsidR="00760295" w:rsidRPr="000016FB">
        <w:rPr>
          <w:sz w:val="22"/>
          <w:szCs w:val="22"/>
          <w:lang w:val="en-GB"/>
        </w:rPr>
        <w:t xml:space="preserve"> </w:t>
      </w:r>
      <w:r w:rsidR="000B46A0" w:rsidRPr="000016FB">
        <w:rPr>
          <w:sz w:val="22"/>
          <w:szCs w:val="22"/>
          <w:lang w:val="en-GB"/>
        </w:rPr>
        <w:t xml:space="preserve">the significance of the physiological, pharmacological and toxicological relevance to </w:t>
      </w:r>
      <w:r w:rsidR="0077440F">
        <w:rPr>
          <w:sz w:val="22"/>
          <w:szCs w:val="22"/>
          <w:lang w:val="en-GB"/>
        </w:rPr>
        <w:t xml:space="preserve">the </w:t>
      </w:r>
      <w:r w:rsidR="000B46A0" w:rsidRPr="0077440F">
        <w:rPr>
          <w:i/>
          <w:sz w:val="22"/>
          <w:szCs w:val="22"/>
          <w:lang w:val="en-GB"/>
        </w:rPr>
        <w:t>in vivo</w:t>
      </w:r>
      <w:r w:rsidR="000B46A0" w:rsidRPr="000016FB">
        <w:rPr>
          <w:sz w:val="22"/>
          <w:szCs w:val="22"/>
          <w:lang w:val="en-GB"/>
        </w:rPr>
        <w:t xml:space="preserve"> situation in human</w:t>
      </w:r>
      <w:r w:rsidR="00A2607D">
        <w:rPr>
          <w:sz w:val="22"/>
          <w:szCs w:val="22"/>
          <w:lang w:val="en-GB"/>
        </w:rPr>
        <w:t>s</w:t>
      </w:r>
      <w:r w:rsidR="000B46A0" w:rsidRPr="000016FB">
        <w:rPr>
          <w:sz w:val="22"/>
          <w:szCs w:val="22"/>
          <w:lang w:val="en-GB"/>
        </w:rPr>
        <w:t xml:space="preserve">. </w:t>
      </w:r>
    </w:p>
    <w:p w14:paraId="020658A4" w14:textId="77777777" w:rsidR="00B7115B" w:rsidRPr="000016FB" w:rsidRDefault="00B7115B" w:rsidP="006730B6">
      <w:pPr>
        <w:spacing w:line="480" w:lineRule="auto"/>
        <w:jc w:val="both"/>
        <w:rPr>
          <w:sz w:val="22"/>
          <w:szCs w:val="22"/>
          <w:lang w:val="en-GB"/>
        </w:rPr>
      </w:pPr>
    </w:p>
    <w:p w14:paraId="48833E01" w14:textId="33654FC6" w:rsidR="00B7115B" w:rsidRPr="000016FB" w:rsidRDefault="000E5BC6" w:rsidP="006730B6">
      <w:pPr>
        <w:spacing w:line="480" w:lineRule="auto"/>
        <w:jc w:val="both"/>
        <w:rPr>
          <w:i/>
          <w:sz w:val="22"/>
          <w:szCs w:val="22"/>
          <w:lang w:val="en-GB"/>
        </w:rPr>
      </w:pPr>
      <w:r w:rsidRPr="00525724">
        <w:rPr>
          <w:sz w:val="22"/>
          <w:szCs w:val="22"/>
          <w:lang w:val="en-GB"/>
        </w:rPr>
        <w:t>4.3</w:t>
      </w:r>
      <w:r w:rsidR="000B46A0" w:rsidRPr="000016FB">
        <w:rPr>
          <w:i/>
          <w:sz w:val="22"/>
          <w:szCs w:val="22"/>
          <w:lang w:val="en-GB"/>
        </w:rPr>
        <w:t xml:space="preserve">. </w:t>
      </w:r>
      <w:r w:rsidR="00B7115B" w:rsidRPr="000016FB">
        <w:rPr>
          <w:i/>
          <w:sz w:val="22"/>
          <w:szCs w:val="22"/>
          <w:lang w:val="en-GB"/>
        </w:rPr>
        <w:t>In vivo</w:t>
      </w:r>
      <w:r w:rsidR="000B46A0" w:rsidRPr="000016FB">
        <w:rPr>
          <w:i/>
          <w:sz w:val="22"/>
          <w:szCs w:val="22"/>
          <w:lang w:val="en-GB"/>
        </w:rPr>
        <w:t xml:space="preserve"> </w:t>
      </w:r>
      <w:r w:rsidR="00B22C41" w:rsidRPr="000016FB">
        <w:rPr>
          <w:i/>
          <w:sz w:val="22"/>
          <w:szCs w:val="22"/>
          <w:lang w:val="en-GB"/>
        </w:rPr>
        <w:t>non-clinical</w:t>
      </w:r>
      <w:r w:rsidR="00B7115B" w:rsidRPr="000016FB">
        <w:rPr>
          <w:i/>
          <w:sz w:val="22"/>
          <w:szCs w:val="22"/>
          <w:lang w:val="en-GB"/>
        </w:rPr>
        <w:t xml:space="preserve"> models for </w:t>
      </w:r>
      <w:r w:rsidR="00B22C41" w:rsidRPr="000016FB">
        <w:rPr>
          <w:i/>
          <w:sz w:val="22"/>
          <w:szCs w:val="22"/>
          <w:lang w:val="en-GB"/>
        </w:rPr>
        <w:t xml:space="preserve">the </w:t>
      </w:r>
      <w:r w:rsidR="00B7115B" w:rsidRPr="000016FB">
        <w:rPr>
          <w:i/>
          <w:sz w:val="22"/>
          <w:szCs w:val="22"/>
          <w:lang w:val="en-GB"/>
        </w:rPr>
        <w:t>detection of immune</w:t>
      </w:r>
      <w:r w:rsidR="00CE2F82">
        <w:rPr>
          <w:i/>
          <w:sz w:val="22"/>
          <w:szCs w:val="22"/>
          <w:lang w:val="en-GB"/>
        </w:rPr>
        <w:t>-mediated</w:t>
      </w:r>
      <w:r w:rsidR="00B7115B" w:rsidRPr="000016FB">
        <w:rPr>
          <w:i/>
          <w:sz w:val="22"/>
          <w:szCs w:val="22"/>
          <w:lang w:val="en-GB"/>
        </w:rPr>
        <w:t xml:space="preserve"> DILI</w:t>
      </w:r>
    </w:p>
    <w:p w14:paraId="56BFD548" w14:textId="1F84F33E" w:rsidR="00C45ED5" w:rsidRPr="000016FB" w:rsidRDefault="001F60D5" w:rsidP="00C45ED5">
      <w:pPr>
        <w:spacing w:line="480" w:lineRule="auto"/>
        <w:jc w:val="both"/>
        <w:rPr>
          <w:sz w:val="22"/>
          <w:szCs w:val="22"/>
          <w:lang w:val="en-GB"/>
        </w:rPr>
      </w:pPr>
      <w:r w:rsidRPr="000016FB">
        <w:rPr>
          <w:sz w:val="22"/>
          <w:szCs w:val="22"/>
          <w:lang w:val="en-GB"/>
        </w:rPr>
        <w:t>Despite the difficulties in developing animal models of hepatotoxicity, progress has been made using experimental mouse models to understand the pathogenesis and the role of the immune system in DILI</w:t>
      </w:r>
      <w:r w:rsidR="00C50B28">
        <w:rPr>
          <w:sz w:val="22"/>
          <w:szCs w:val="22"/>
          <w:lang w:val="en-GB"/>
        </w:rPr>
        <w:t xml:space="preserve"> </w:t>
      </w:r>
      <w:r w:rsidR="00C50B28" w:rsidRPr="00C50B28">
        <w:rPr>
          <w:noProof/>
          <w:sz w:val="22"/>
          <w:szCs w:val="22"/>
          <w:lang w:val="en-US"/>
        </w:rPr>
        <w:t xml:space="preserve"> </w:t>
      </w:r>
      <w:sdt>
        <w:sdtPr>
          <w:rPr>
            <w:noProof/>
            <w:sz w:val="22"/>
            <w:szCs w:val="22"/>
            <w:lang w:val="en-US"/>
          </w:rPr>
          <w:id w:val="1293403558"/>
          <w:citation/>
        </w:sdtPr>
        <w:sdtEndPr/>
        <w:sdtContent>
          <w:r w:rsidR="00F21C43">
            <w:rPr>
              <w:noProof/>
              <w:sz w:val="22"/>
              <w:szCs w:val="22"/>
              <w:lang w:val="en-US"/>
            </w:rPr>
            <w:fldChar w:fldCharType="begin"/>
          </w:r>
          <w:r w:rsidR="00F21C43">
            <w:rPr>
              <w:noProof/>
              <w:sz w:val="22"/>
              <w:szCs w:val="22"/>
              <w:lang w:val="en-GB"/>
            </w:rPr>
            <w:instrText xml:space="preserve"> CITATION Met15 \l 2057 </w:instrText>
          </w:r>
          <w:r w:rsidR="00F21C43">
            <w:rPr>
              <w:noProof/>
              <w:sz w:val="22"/>
              <w:szCs w:val="22"/>
              <w:lang w:val="en-US"/>
            </w:rPr>
            <w:fldChar w:fldCharType="separate"/>
          </w:r>
          <w:r w:rsidR="002D6947" w:rsidRPr="002D6947">
            <w:rPr>
              <w:noProof/>
              <w:sz w:val="22"/>
              <w:szCs w:val="22"/>
              <w:lang w:val="en-GB"/>
            </w:rPr>
            <w:t>[73]</w:t>
          </w:r>
          <w:r w:rsidR="00F21C43">
            <w:rPr>
              <w:noProof/>
              <w:sz w:val="22"/>
              <w:szCs w:val="22"/>
              <w:lang w:val="en-US"/>
            </w:rPr>
            <w:fldChar w:fldCharType="end"/>
          </w:r>
        </w:sdtContent>
      </w:sdt>
      <w:sdt>
        <w:sdtPr>
          <w:rPr>
            <w:noProof/>
            <w:sz w:val="22"/>
            <w:szCs w:val="22"/>
            <w:lang w:val="en-US"/>
          </w:rPr>
          <w:id w:val="-369535068"/>
          <w:citation/>
        </w:sdtPr>
        <w:sdtEndPr/>
        <w:sdtContent>
          <w:r w:rsidR="00F21C43">
            <w:rPr>
              <w:noProof/>
              <w:sz w:val="22"/>
              <w:szCs w:val="22"/>
              <w:lang w:val="en-US"/>
            </w:rPr>
            <w:fldChar w:fldCharType="begin"/>
          </w:r>
          <w:r w:rsidR="00F21C43">
            <w:rPr>
              <w:noProof/>
              <w:sz w:val="22"/>
              <w:szCs w:val="22"/>
              <w:lang w:val="en-GB"/>
            </w:rPr>
            <w:instrText xml:space="preserve"> CITATION Nat15 \l 2057 </w:instrText>
          </w:r>
          <w:r w:rsidR="00F21C43">
            <w:rPr>
              <w:noProof/>
              <w:sz w:val="22"/>
              <w:szCs w:val="22"/>
              <w:lang w:val="en-US"/>
            </w:rPr>
            <w:fldChar w:fldCharType="separate"/>
          </w:r>
          <w:r w:rsidR="002D6947">
            <w:rPr>
              <w:noProof/>
              <w:sz w:val="22"/>
              <w:szCs w:val="22"/>
              <w:lang w:val="en-GB"/>
            </w:rPr>
            <w:t xml:space="preserve"> </w:t>
          </w:r>
          <w:r w:rsidR="002D6947" w:rsidRPr="002D6947">
            <w:rPr>
              <w:noProof/>
              <w:sz w:val="22"/>
              <w:szCs w:val="22"/>
              <w:lang w:val="en-GB"/>
            </w:rPr>
            <w:t>[74]</w:t>
          </w:r>
          <w:r w:rsidR="00F21C43">
            <w:rPr>
              <w:noProof/>
              <w:sz w:val="22"/>
              <w:szCs w:val="22"/>
              <w:lang w:val="en-US"/>
            </w:rPr>
            <w:fldChar w:fldCharType="end"/>
          </w:r>
        </w:sdtContent>
      </w:sdt>
      <w:r w:rsidRPr="000016FB">
        <w:rPr>
          <w:sz w:val="22"/>
          <w:szCs w:val="22"/>
          <w:lang w:val="en-GB"/>
        </w:rPr>
        <w:fldChar w:fldCharType="begin">
          <w:fldData xml:space="preserve">PEVuZE5vdGU+PENpdGU+PEF1dGhvcj5NZXR1c2hpPC9BdXRob3I+PFllYXI+MjAxNTwvWWVhcj48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</w:fldData>
        </w:fldChar>
      </w:r>
      <w:r w:rsidRPr="000016FB">
        <w:rPr>
          <w:sz w:val="22"/>
          <w:szCs w:val="22"/>
          <w:lang w:val="en-GB"/>
        </w:rPr>
        <w:instrText xml:space="preserve"> ADDIN EN.CITE </w:instrText>
      </w:r>
      <w:r w:rsidRPr="000016FB">
        <w:rPr>
          <w:sz w:val="22"/>
          <w:szCs w:val="22"/>
          <w:lang w:val="en-GB"/>
        </w:rPr>
        <w:fldChar w:fldCharType="begin">
          <w:fldData xml:space="preserve">PEVuZE5vdGU+PENpdGU+PEF1dGhvcj5NZXR1c2hpPC9BdXRob3I+PFllYXI+MjAxNTwvWWVhcj48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</w:fldData>
        </w:fldChar>
      </w:r>
      <w:r w:rsidRPr="000016FB">
        <w:rPr>
          <w:sz w:val="22"/>
          <w:szCs w:val="22"/>
          <w:lang w:val="en-GB"/>
        </w:rPr>
        <w:instrText xml:space="preserve"> ADDIN EN.CITE.DATA </w:instrText>
      </w:r>
      <w:r w:rsidRPr="000016FB">
        <w:rPr>
          <w:sz w:val="22"/>
          <w:szCs w:val="22"/>
          <w:lang w:val="en-GB"/>
        </w:rPr>
      </w:r>
      <w:r w:rsidRPr="000016FB">
        <w:rPr>
          <w:sz w:val="22"/>
          <w:szCs w:val="22"/>
          <w:lang w:val="en-GB"/>
        </w:rPr>
        <w:fldChar w:fldCharType="end"/>
      </w:r>
      <w:r w:rsidRPr="000016FB">
        <w:rPr>
          <w:sz w:val="22"/>
          <w:szCs w:val="22"/>
          <w:lang w:val="en-GB"/>
        </w:rPr>
      </w:r>
      <w:r w:rsidRPr="000016FB">
        <w:rPr>
          <w:sz w:val="22"/>
          <w:szCs w:val="22"/>
          <w:lang w:val="en-GB"/>
        </w:rPr>
        <w:fldChar w:fldCharType="end"/>
      </w:r>
      <w:r w:rsidR="000B46A0" w:rsidRPr="000016FB">
        <w:rPr>
          <w:sz w:val="22"/>
          <w:szCs w:val="22"/>
          <w:lang w:val="en-GB"/>
        </w:rPr>
        <w:t xml:space="preserve">. </w:t>
      </w:r>
      <w:r w:rsidR="00490F93">
        <w:rPr>
          <w:sz w:val="22"/>
          <w:szCs w:val="22"/>
          <w:lang w:val="en-GB"/>
        </w:rPr>
        <w:t xml:space="preserve">The susceptibility of rodents to </w:t>
      </w:r>
      <w:proofErr w:type="spellStart"/>
      <w:r w:rsidR="00490F93">
        <w:rPr>
          <w:sz w:val="22"/>
          <w:szCs w:val="22"/>
          <w:lang w:val="en-GB"/>
        </w:rPr>
        <w:t>trovafloxacin</w:t>
      </w:r>
      <w:proofErr w:type="spellEnd"/>
      <w:r w:rsidR="00490F93">
        <w:rPr>
          <w:sz w:val="22"/>
          <w:szCs w:val="22"/>
          <w:lang w:val="en-GB"/>
        </w:rPr>
        <w:t xml:space="preserve"> in the presence of </w:t>
      </w:r>
      <w:r w:rsidR="000E5BC6">
        <w:rPr>
          <w:sz w:val="22"/>
          <w:szCs w:val="22"/>
          <w:lang w:val="en-GB"/>
        </w:rPr>
        <w:t xml:space="preserve">an </w:t>
      </w:r>
      <w:r w:rsidR="00490F93">
        <w:rPr>
          <w:sz w:val="22"/>
          <w:szCs w:val="22"/>
          <w:lang w:val="en-GB"/>
        </w:rPr>
        <w:t xml:space="preserve">inflammatory stress induced by LPS demonstrates a role for the innate immune system in the induction of DILI and is potentially </w:t>
      </w:r>
      <w:r w:rsidR="000E5BC6">
        <w:rPr>
          <w:sz w:val="22"/>
          <w:szCs w:val="22"/>
          <w:lang w:val="en-GB"/>
        </w:rPr>
        <w:t xml:space="preserve">a </w:t>
      </w:r>
      <w:r w:rsidR="00490F93">
        <w:rPr>
          <w:sz w:val="22"/>
          <w:szCs w:val="22"/>
          <w:lang w:val="en-GB"/>
        </w:rPr>
        <w:t xml:space="preserve">critical </w:t>
      </w:r>
      <w:r w:rsidR="00711B9A">
        <w:rPr>
          <w:sz w:val="22"/>
          <w:szCs w:val="22"/>
          <w:lang w:val="en-GB"/>
        </w:rPr>
        <w:t xml:space="preserve">feature </w:t>
      </w:r>
      <w:r w:rsidR="00490F93">
        <w:rPr>
          <w:sz w:val="22"/>
          <w:szCs w:val="22"/>
          <w:lang w:val="en-GB"/>
        </w:rPr>
        <w:t>for adaptive immune activation</w:t>
      </w:r>
      <w:r w:rsidR="00711B9A">
        <w:rPr>
          <w:sz w:val="22"/>
          <w:szCs w:val="22"/>
          <w:lang w:val="en-GB"/>
        </w:rPr>
        <w:t xml:space="preserve"> </w:t>
      </w:r>
      <w:sdt>
        <w:sdtPr>
          <w:rPr>
            <w:sz w:val="22"/>
            <w:szCs w:val="22"/>
            <w:lang w:val="en-GB"/>
          </w:rPr>
          <w:id w:val="2075692245"/>
          <w:citation/>
        </w:sdtPr>
        <w:sdtEndPr/>
        <w:sdtContent>
          <w:r w:rsidR="00711B9A">
            <w:rPr>
              <w:sz w:val="22"/>
              <w:szCs w:val="22"/>
              <w:lang w:val="en-GB"/>
            </w:rPr>
            <w:fldChar w:fldCharType="begin"/>
          </w:r>
          <w:r w:rsidR="00696EBD">
            <w:rPr>
              <w:sz w:val="22"/>
              <w:szCs w:val="22"/>
              <w:lang w:val="en-GB"/>
            </w:rPr>
            <w:instrText xml:space="preserve">CITATION Sha07 \l 2057 </w:instrText>
          </w:r>
          <w:r w:rsidR="00711B9A">
            <w:rPr>
              <w:sz w:val="22"/>
              <w:szCs w:val="22"/>
              <w:lang w:val="en-GB"/>
            </w:rPr>
            <w:fldChar w:fldCharType="separate"/>
          </w:r>
          <w:r w:rsidR="002D6947" w:rsidRPr="002D6947">
            <w:rPr>
              <w:noProof/>
              <w:sz w:val="22"/>
              <w:szCs w:val="22"/>
              <w:lang w:val="en-GB"/>
            </w:rPr>
            <w:t>[75]</w:t>
          </w:r>
          <w:r w:rsidR="00711B9A">
            <w:rPr>
              <w:sz w:val="22"/>
              <w:szCs w:val="22"/>
              <w:lang w:val="en-GB"/>
            </w:rPr>
            <w:fldChar w:fldCharType="end"/>
          </w:r>
        </w:sdtContent>
      </w:sdt>
      <w:r w:rsidR="00D542F0" w:rsidRPr="00D542F0">
        <w:rPr>
          <w:sz w:val="22"/>
          <w:szCs w:val="22"/>
          <w:lang w:val="en-GB"/>
        </w:rPr>
        <w:t xml:space="preserve"> </w:t>
      </w:r>
      <w:sdt>
        <w:sdtPr>
          <w:rPr>
            <w:sz w:val="22"/>
            <w:szCs w:val="22"/>
            <w:lang w:val="en-GB"/>
          </w:rPr>
          <w:id w:val="1334108889"/>
          <w:citation/>
        </w:sdtPr>
        <w:sdtEndPr/>
        <w:sdtContent>
          <w:r w:rsidR="00D542F0">
            <w:rPr>
              <w:sz w:val="22"/>
              <w:szCs w:val="22"/>
              <w:lang w:val="en-GB"/>
            </w:rPr>
            <w:fldChar w:fldCharType="begin"/>
          </w:r>
          <w:r w:rsidR="00D542F0">
            <w:rPr>
              <w:sz w:val="22"/>
              <w:szCs w:val="22"/>
              <w:lang w:val="en-GB"/>
            </w:rPr>
            <w:instrText xml:space="preserve">CITATION War06 \l 2057 </w:instrText>
          </w:r>
          <w:r w:rsidR="00D542F0">
            <w:rPr>
              <w:sz w:val="22"/>
              <w:szCs w:val="22"/>
              <w:lang w:val="en-GB"/>
            </w:rPr>
            <w:fldChar w:fldCharType="separate"/>
          </w:r>
          <w:r w:rsidR="002D6947" w:rsidRPr="002D6947">
            <w:rPr>
              <w:noProof/>
              <w:sz w:val="22"/>
              <w:szCs w:val="22"/>
              <w:lang w:val="en-GB"/>
            </w:rPr>
            <w:t>[76]</w:t>
          </w:r>
          <w:r w:rsidR="00D542F0">
            <w:rPr>
              <w:sz w:val="22"/>
              <w:szCs w:val="22"/>
              <w:lang w:val="en-GB"/>
            </w:rPr>
            <w:fldChar w:fldCharType="end"/>
          </w:r>
        </w:sdtContent>
      </w:sdt>
      <w:r w:rsidR="007443AA" w:rsidRPr="007443AA">
        <w:rPr>
          <w:sz w:val="22"/>
          <w:szCs w:val="22"/>
          <w:lang w:val="en-GB"/>
        </w:rPr>
        <w:t xml:space="preserve"> </w:t>
      </w:r>
      <w:sdt>
        <w:sdtPr>
          <w:rPr>
            <w:sz w:val="22"/>
            <w:szCs w:val="22"/>
            <w:lang w:val="en-GB"/>
          </w:rPr>
          <w:id w:val="1549184436"/>
          <w:citation/>
        </w:sdtPr>
        <w:sdtEndPr/>
        <w:sdtContent>
          <w:r w:rsidR="007443AA">
            <w:rPr>
              <w:sz w:val="22"/>
              <w:szCs w:val="22"/>
              <w:lang w:val="en-GB"/>
            </w:rPr>
            <w:fldChar w:fldCharType="begin"/>
          </w:r>
          <w:r w:rsidR="007443AA">
            <w:rPr>
              <w:sz w:val="22"/>
              <w:szCs w:val="22"/>
              <w:lang w:val="en-GB"/>
            </w:rPr>
            <w:instrText xml:space="preserve">CITATION War06 \l 2057 </w:instrText>
          </w:r>
          <w:r w:rsidR="007443AA">
            <w:rPr>
              <w:sz w:val="22"/>
              <w:szCs w:val="22"/>
              <w:lang w:val="en-GB"/>
            </w:rPr>
            <w:fldChar w:fldCharType="separate"/>
          </w:r>
          <w:r w:rsidR="002D6947" w:rsidRPr="002D6947">
            <w:rPr>
              <w:noProof/>
              <w:sz w:val="22"/>
              <w:szCs w:val="22"/>
              <w:lang w:val="en-GB"/>
            </w:rPr>
            <w:t>[76]</w:t>
          </w:r>
          <w:r w:rsidR="007443AA">
            <w:rPr>
              <w:sz w:val="22"/>
              <w:szCs w:val="22"/>
              <w:lang w:val="en-GB"/>
            </w:rPr>
            <w:fldChar w:fldCharType="end"/>
          </w:r>
        </w:sdtContent>
      </w:sdt>
      <w:r w:rsidR="00711B9A">
        <w:rPr>
          <w:sz w:val="22"/>
          <w:szCs w:val="22"/>
          <w:lang w:val="en-GB"/>
        </w:rPr>
        <w:t>.</w:t>
      </w:r>
      <w:r w:rsidR="005A2402">
        <w:rPr>
          <w:sz w:val="22"/>
          <w:szCs w:val="22"/>
          <w:lang w:val="en-GB"/>
        </w:rPr>
        <w:t xml:space="preserve"> In the </w:t>
      </w:r>
      <w:r w:rsidR="0017298D">
        <w:rPr>
          <w:sz w:val="22"/>
          <w:szCs w:val="22"/>
          <w:lang w:val="en-GB"/>
        </w:rPr>
        <w:t>m</w:t>
      </w:r>
      <w:r w:rsidRPr="000016FB">
        <w:rPr>
          <w:sz w:val="22"/>
          <w:szCs w:val="22"/>
          <w:lang w:val="en-GB"/>
        </w:rPr>
        <w:t xml:space="preserve">ouse </w:t>
      </w:r>
      <w:r w:rsidR="005A2402">
        <w:rPr>
          <w:sz w:val="22"/>
          <w:szCs w:val="22"/>
          <w:lang w:val="en-GB"/>
        </w:rPr>
        <w:t xml:space="preserve">model of isoniazid-induced liver injury developed by </w:t>
      </w:r>
      <w:proofErr w:type="spellStart"/>
      <w:r w:rsidR="005A2402">
        <w:rPr>
          <w:sz w:val="22"/>
          <w:szCs w:val="22"/>
          <w:lang w:val="en-GB"/>
        </w:rPr>
        <w:t>Metushi</w:t>
      </w:r>
      <w:proofErr w:type="spellEnd"/>
      <w:r w:rsidR="005A2402">
        <w:rPr>
          <w:sz w:val="22"/>
          <w:szCs w:val="22"/>
          <w:lang w:val="en-GB"/>
        </w:rPr>
        <w:t xml:space="preserve"> and </w:t>
      </w:r>
      <w:proofErr w:type="spellStart"/>
      <w:r w:rsidR="005A2402">
        <w:rPr>
          <w:sz w:val="22"/>
          <w:szCs w:val="22"/>
          <w:lang w:val="en-GB"/>
        </w:rPr>
        <w:t>Uetrecht</w:t>
      </w:r>
      <w:proofErr w:type="spellEnd"/>
      <w:r w:rsidR="00EF6783">
        <w:rPr>
          <w:sz w:val="22"/>
          <w:szCs w:val="22"/>
          <w:lang w:val="en-GB"/>
        </w:rPr>
        <w:t xml:space="preserve"> </w:t>
      </w:r>
      <w:sdt>
        <w:sdtPr>
          <w:rPr>
            <w:sz w:val="22"/>
            <w:szCs w:val="22"/>
            <w:lang w:val="en-GB"/>
          </w:rPr>
          <w:id w:val="-1911769207"/>
          <w:citation/>
        </w:sdtPr>
        <w:sdtEndPr/>
        <w:sdtContent>
          <w:r w:rsidR="00EF6783">
            <w:rPr>
              <w:sz w:val="22"/>
              <w:szCs w:val="22"/>
              <w:lang w:val="en-GB"/>
            </w:rPr>
            <w:fldChar w:fldCharType="begin"/>
          </w:r>
          <w:r w:rsidR="00EF6783">
            <w:rPr>
              <w:sz w:val="22"/>
              <w:szCs w:val="22"/>
              <w:lang w:val="en-GB"/>
            </w:rPr>
            <w:instrText xml:space="preserve"> CITATION Met141 \l 2057 </w:instrText>
          </w:r>
          <w:r w:rsidR="00EF6783">
            <w:rPr>
              <w:sz w:val="22"/>
              <w:szCs w:val="22"/>
              <w:lang w:val="en-GB"/>
            </w:rPr>
            <w:fldChar w:fldCharType="separate"/>
          </w:r>
          <w:r w:rsidR="002D6947" w:rsidRPr="002D6947">
            <w:rPr>
              <w:noProof/>
              <w:sz w:val="22"/>
              <w:szCs w:val="22"/>
              <w:lang w:val="en-GB"/>
            </w:rPr>
            <w:t>[77]</w:t>
          </w:r>
          <w:r w:rsidR="00EF6783">
            <w:rPr>
              <w:sz w:val="22"/>
              <w:szCs w:val="22"/>
              <w:lang w:val="en-GB"/>
            </w:rPr>
            <w:fldChar w:fldCharType="end"/>
          </w:r>
        </w:sdtContent>
      </w:sdt>
      <w:r w:rsidR="005A2402">
        <w:rPr>
          <w:sz w:val="22"/>
          <w:szCs w:val="22"/>
          <w:lang w:val="en-GB"/>
        </w:rPr>
        <w:t xml:space="preserve">, the authors suggested that overcoming the dominant immunological tolerance in the liver was critical to the development of a valid animal model of idiosyncratic DILI. In subsequent experiments involving </w:t>
      </w:r>
      <w:r w:rsidR="000B46A0" w:rsidRPr="000016FB">
        <w:rPr>
          <w:sz w:val="22"/>
          <w:szCs w:val="22"/>
          <w:lang w:val="en-GB"/>
        </w:rPr>
        <w:t xml:space="preserve">PD-1 </w:t>
      </w:r>
      <w:r w:rsidR="005A2402">
        <w:rPr>
          <w:sz w:val="22"/>
          <w:szCs w:val="22"/>
          <w:lang w:val="en-GB"/>
        </w:rPr>
        <w:t xml:space="preserve">(-/-) mice treated </w:t>
      </w:r>
      <w:r w:rsidR="005A2402">
        <w:rPr>
          <w:sz w:val="22"/>
          <w:szCs w:val="22"/>
          <w:lang w:val="en-GB"/>
        </w:rPr>
        <w:lastRenderedPageBreak/>
        <w:t xml:space="preserve">with </w:t>
      </w:r>
      <w:proofErr w:type="spellStart"/>
      <w:r w:rsidRPr="000016FB">
        <w:rPr>
          <w:sz w:val="22"/>
          <w:szCs w:val="22"/>
          <w:lang w:val="en-GB"/>
        </w:rPr>
        <w:t>amodiaquine</w:t>
      </w:r>
      <w:proofErr w:type="spellEnd"/>
      <w:r w:rsidR="005A2402">
        <w:rPr>
          <w:sz w:val="22"/>
          <w:szCs w:val="22"/>
          <w:lang w:val="en-GB"/>
        </w:rPr>
        <w:t xml:space="preserve"> and antiCTLA4, the authors reported features of liver injury similar to idiosyncratic</w:t>
      </w:r>
      <w:r w:rsidRPr="000016FB">
        <w:rPr>
          <w:sz w:val="22"/>
          <w:szCs w:val="22"/>
          <w:lang w:val="en-GB"/>
        </w:rPr>
        <w:t xml:space="preserve"> DILI</w:t>
      </w:r>
      <w:r w:rsidR="00A2607D">
        <w:rPr>
          <w:sz w:val="22"/>
          <w:szCs w:val="22"/>
          <w:lang w:val="en-GB"/>
        </w:rPr>
        <w:t xml:space="preserve"> </w:t>
      </w:r>
      <w:r w:rsidR="000B46A0" w:rsidRPr="000016FB">
        <w:rPr>
          <w:sz w:val="22"/>
          <w:szCs w:val="22"/>
          <w:lang w:val="en-GB"/>
        </w:rPr>
        <w:t>observed in patients</w:t>
      </w:r>
      <w:r w:rsidR="00490F93">
        <w:rPr>
          <w:sz w:val="22"/>
          <w:szCs w:val="22"/>
          <w:lang w:val="en-GB"/>
        </w:rPr>
        <w:t xml:space="preserve"> </w:t>
      </w:r>
      <w:sdt>
        <w:sdtPr>
          <w:rPr>
            <w:sz w:val="22"/>
            <w:szCs w:val="22"/>
            <w:lang w:val="en-GB"/>
          </w:rPr>
          <w:id w:val="-653461420"/>
          <w:citation/>
        </w:sdtPr>
        <w:sdtEndPr/>
        <w:sdtContent>
          <w:r w:rsidR="008E117E">
            <w:rPr>
              <w:sz w:val="22"/>
              <w:szCs w:val="22"/>
              <w:lang w:val="en-GB"/>
            </w:rPr>
            <w:fldChar w:fldCharType="begin"/>
          </w:r>
          <w:r w:rsidR="008E117E">
            <w:rPr>
              <w:sz w:val="22"/>
              <w:szCs w:val="22"/>
              <w:lang w:val="en-GB"/>
            </w:rPr>
            <w:instrText xml:space="preserve"> CITATION Met15 \l 2057 </w:instrText>
          </w:r>
          <w:r w:rsidR="008E117E">
            <w:rPr>
              <w:sz w:val="22"/>
              <w:szCs w:val="22"/>
              <w:lang w:val="en-GB"/>
            </w:rPr>
            <w:fldChar w:fldCharType="separate"/>
          </w:r>
          <w:r w:rsidR="002D6947" w:rsidRPr="002D6947">
            <w:rPr>
              <w:noProof/>
              <w:sz w:val="22"/>
              <w:szCs w:val="22"/>
              <w:lang w:val="en-GB"/>
            </w:rPr>
            <w:t>[73]</w:t>
          </w:r>
          <w:r w:rsidR="008E117E">
            <w:rPr>
              <w:sz w:val="22"/>
              <w:szCs w:val="22"/>
              <w:lang w:val="en-GB"/>
            </w:rPr>
            <w:fldChar w:fldCharType="end"/>
          </w:r>
        </w:sdtContent>
      </w:sdt>
      <w:r w:rsidR="00D24825">
        <w:rPr>
          <w:sz w:val="22"/>
          <w:szCs w:val="22"/>
          <w:lang w:val="en-GB"/>
        </w:rPr>
        <w:t xml:space="preserve">; Also, </w:t>
      </w:r>
      <w:r w:rsidR="000B46A0" w:rsidRPr="000016FB">
        <w:rPr>
          <w:sz w:val="22"/>
          <w:szCs w:val="22"/>
          <w:lang w:val="en-GB"/>
        </w:rPr>
        <w:t xml:space="preserve">C57BL/6 CD4+-deficient mice devoid of the major histocompatibility complex (MHC) class II molecules </w:t>
      </w:r>
      <w:r w:rsidR="0017298D">
        <w:rPr>
          <w:sz w:val="22"/>
          <w:szCs w:val="22"/>
          <w:lang w:val="en-GB"/>
        </w:rPr>
        <w:t>ha</w:t>
      </w:r>
      <w:r w:rsidR="00487350">
        <w:rPr>
          <w:sz w:val="22"/>
          <w:szCs w:val="22"/>
          <w:lang w:val="en-GB"/>
        </w:rPr>
        <w:t>ve</w:t>
      </w:r>
      <w:r w:rsidR="0017298D">
        <w:rPr>
          <w:sz w:val="22"/>
          <w:szCs w:val="22"/>
          <w:lang w:val="en-GB"/>
        </w:rPr>
        <w:t xml:space="preserve"> been </w:t>
      </w:r>
      <w:r w:rsidR="00487350">
        <w:rPr>
          <w:sz w:val="22"/>
          <w:szCs w:val="22"/>
          <w:lang w:val="en-GB"/>
        </w:rPr>
        <w:t>used to study</w:t>
      </w:r>
      <w:r w:rsidR="000B46A0" w:rsidRPr="000016FB">
        <w:rPr>
          <w:sz w:val="22"/>
          <w:szCs w:val="22"/>
          <w:lang w:val="en-GB"/>
        </w:rPr>
        <w:t xml:space="preserve"> </w:t>
      </w:r>
      <w:proofErr w:type="spellStart"/>
      <w:r w:rsidR="000B46A0" w:rsidRPr="000016FB">
        <w:rPr>
          <w:sz w:val="22"/>
          <w:szCs w:val="22"/>
          <w:lang w:val="en-GB"/>
        </w:rPr>
        <w:t>flucloxacillin</w:t>
      </w:r>
      <w:proofErr w:type="spellEnd"/>
      <w:r w:rsidR="000B46A0" w:rsidRPr="000016FB">
        <w:rPr>
          <w:sz w:val="22"/>
          <w:szCs w:val="22"/>
          <w:lang w:val="en-GB"/>
        </w:rPr>
        <w:t xml:space="preserve"> sensitization</w:t>
      </w:r>
      <w:r w:rsidR="00E7275F">
        <w:rPr>
          <w:noProof/>
          <w:sz w:val="22"/>
          <w:szCs w:val="22"/>
          <w:lang w:val="en-GB"/>
        </w:rPr>
        <w:t xml:space="preserve"> </w:t>
      </w:r>
      <w:sdt>
        <w:sdtPr>
          <w:rPr>
            <w:noProof/>
            <w:sz w:val="22"/>
            <w:szCs w:val="22"/>
            <w:lang w:val="en-GB"/>
          </w:rPr>
          <w:id w:val="1627204298"/>
          <w:citation/>
        </w:sdtPr>
        <w:sdtEndPr/>
        <w:sdtContent>
          <w:r w:rsidR="00F21C43">
            <w:rPr>
              <w:noProof/>
              <w:sz w:val="22"/>
              <w:szCs w:val="22"/>
              <w:lang w:val="en-GB"/>
            </w:rPr>
            <w:fldChar w:fldCharType="begin"/>
          </w:r>
          <w:r w:rsidR="00F21C43">
            <w:rPr>
              <w:noProof/>
              <w:sz w:val="22"/>
              <w:szCs w:val="22"/>
              <w:lang w:val="en-GB"/>
            </w:rPr>
            <w:instrText xml:space="preserve"> CITATION Nat15 \l 2057 </w:instrText>
          </w:r>
          <w:r w:rsidR="00F21C43">
            <w:rPr>
              <w:noProof/>
              <w:sz w:val="22"/>
              <w:szCs w:val="22"/>
              <w:lang w:val="en-GB"/>
            </w:rPr>
            <w:fldChar w:fldCharType="separate"/>
          </w:r>
          <w:r w:rsidR="002D6947" w:rsidRPr="002D6947">
            <w:rPr>
              <w:noProof/>
              <w:sz w:val="22"/>
              <w:szCs w:val="22"/>
              <w:lang w:val="en-GB"/>
            </w:rPr>
            <w:t>[74]</w:t>
          </w:r>
          <w:r w:rsidR="00F21C43">
            <w:rPr>
              <w:noProof/>
              <w:sz w:val="22"/>
              <w:szCs w:val="22"/>
              <w:lang w:val="en-GB"/>
            </w:rPr>
            <w:fldChar w:fldCharType="end"/>
          </w:r>
        </w:sdtContent>
      </w:sdt>
      <w:r w:rsidRPr="000016FB">
        <w:rPr>
          <w:sz w:val="22"/>
          <w:szCs w:val="22"/>
          <w:lang w:val="en-GB"/>
        </w:rPr>
        <w:t xml:space="preserve">. </w:t>
      </w:r>
      <w:r w:rsidR="00490F93">
        <w:rPr>
          <w:sz w:val="22"/>
          <w:szCs w:val="22"/>
          <w:lang w:val="en-GB"/>
        </w:rPr>
        <w:t xml:space="preserve">Furthermore, </w:t>
      </w:r>
      <w:r w:rsidR="009C680A">
        <w:rPr>
          <w:sz w:val="22"/>
          <w:szCs w:val="22"/>
          <w:lang w:val="en-GB"/>
        </w:rPr>
        <w:t>it has been</w:t>
      </w:r>
      <w:r w:rsidR="00490F93">
        <w:rPr>
          <w:sz w:val="22"/>
          <w:szCs w:val="22"/>
          <w:lang w:val="en-GB"/>
        </w:rPr>
        <w:t xml:space="preserve"> demonstrated that inhibition of immune tolerance by depleting myeloid derived suppressor cells in </w:t>
      </w:r>
      <w:proofErr w:type="spellStart"/>
      <w:r w:rsidR="00490F93">
        <w:rPr>
          <w:sz w:val="22"/>
          <w:szCs w:val="22"/>
          <w:lang w:val="en-GB"/>
        </w:rPr>
        <w:t>Balb</w:t>
      </w:r>
      <w:proofErr w:type="spellEnd"/>
      <w:r w:rsidR="00490F93">
        <w:rPr>
          <w:sz w:val="22"/>
          <w:szCs w:val="22"/>
          <w:lang w:val="en-GB"/>
        </w:rPr>
        <w:t>/</w:t>
      </w:r>
      <w:proofErr w:type="spellStart"/>
      <w:r w:rsidR="00490F93">
        <w:rPr>
          <w:sz w:val="22"/>
          <w:szCs w:val="22"/>
          <w:lang w:val="en-GB"/>
        </w:rPr>
        <w:t>cj</w:t>
      </w:r>
      <w:proofErr w:type="spellEnd"/>
      <w:r w:rsidR="00490F93">
        <w:rPr>
          <w:sz w:val="22"/>
          <w:szCs w:val="22"/>
          <w:lang w:val="en-GB"/>
        </w:rPr>
        <w:t xml:space="preserve"> mice resulted in halothane-induced </w:t>
      </w:r>
      <w:r w:rsidR="00490F93" w:rsidRPr="00C45ED5">
        <w:rPr>
          <w:sz w:val="22"/>
          <w:szCs w:val="22"/>
          <w:lang w:val="en-GB"/>
        </w:rPr>
        <w:t xml:space="preserve">hepatitis </w:t>
      </w:r>
      <w:sdt>
        <w:sdtPr>
          <w:rPr>
            <w:sz w:val="22"/>
            <w:szCs w:val="22"/>
            <w:lang w:val="en-GB"/>
          </w:rPr>
          <w:id w:val="67395848"/>
          <w:citation/>
        </w:sdtPr>
        <w:sdtEndPr/>
        <w:sdtContent>
          <w:r w:rsidR="009C680A" w:rsidRPr="00C45ED5">
            <w:rPr>
              <w:sz w:val="22"/>
              <w:szCs w:val="22"/>
              <w:lang w:val="en-GB"/>
            </w:rPr>
            <w:fldChar w:fldCharType="begin"/>
          </w:r>
          <w:r w:rsidR="00696EBD" w:rsidRPr="007443AA">
            <w:rPr>
              <w:sz w:val="22"/>
              <w:szCs w:val="22"/>
              <w:lang w:val="en-GB"/>
            </w:rPr>
            <w:instrText xml:space="preserve">CITATION Cha15 \l 2057 </w:instrText>
          </w:r>
          <w:r w:rsidR="009C680A" w:rsidRPr="00C45ED5">
            <w:rPr>
              <w:sz w:val="22"/>
              <w:szCs w:val="22"/>
              <w:lang w:val="en-GB"/>
            </w:rPr>
            <w:fldChar w:fldCharType="separate"/>
          </w:r>
          <w:r w:rsidR="002D6947" w:rsidRPr="002D6947">
            <w:rPr>
              <w:noProof/>
              <w:sz w:val="22"/>
              <w:szCs w:val="22"/>
              <w:lang w:val="en-GB"/>
            </w:rPr>
            <w:t>[78]</w:t>
          </w:r>
          <w:r w:rsidR="009C680A" w:rsidRPr="00C45ED5">
            <w:rPr>
              <w:sz w:val="22"/>
              <w:szCs w:val="22"/>
              <w:lang w:val="en-GB"/>
            </w:rPr>
            <w:fldChar w:fldCharType="end"/>
          </w:r>
        </w:sdtContent>
      </w:sdt>
      <w:r w:rsidR="00490F93" w:rsidRPr="00C45ED5">
        <w:rPr>
          <w:sz w:val="22"/>
          <w:szCs w:val="22"/>
          <w:lang w:val="en-GB"/>
        </w:rPr>
        <w:t>.</w:t>
      </w:r>
      <w:r w:rsidR="00490F93">
        <w:rPr>
          <w:sz w:val="22"/>
          <w:szCs w:val="22"/>
          <w:lang w:val="en-GB"/>
        </w:rPr>
        <w:t xml:space="preserve"> These animal</w:t>
      </w:r>
      <w:r w:rsidR="00490F93" w:rsidRPr="000016FB">
        <w:rPr>
          <w:sz w:val="22"/>
          <w:szCs w:val="22"/>
          <w:lang w:val="en-GB"/>
        </w:rPr>
        <w:t xml:space="preserve"> </w:t>
      </w:r>
      <w:r w:rsidR="000B46A0" w:rsidRPr="000016FB">
        <w:rPr>
          <w:sz w:val="22"/>
          <w:szCs w:val="22"/>
          <w:lang w:val="en-GB"/>
        </w:rPr>
        <w:t>models</w:t>
      </w:r>
      <w:r w:rsidRPr="000016FB">
        <w:rPr>
          <w:sz w:val="22"/>
          <w:szCs w:val="22"/>
          <w:lang w:val="en-GB"/>
        </w:rPr>
        <w:t xml:space="preserve"> </w:t>
      </w:r>
      <w:r w:rsidR="00490F93">
        <w:rPr>
          <w:sz w:val="22"/>
          <w:szCs w:val="22"/>
          <w:lang w:val="en-GB"/>
        </w:rPr>
        <w:t xml:space="preserve">of DILI </w:t>
      </w:r>
      <w:r w:rsidRPr="000016FB">
        <w:rPr>
          <w:sz w:val="22"/>
          <w:szCs w:val="22"/>
          <w:lang w:val="en-GB"/>
        </w:rPr>
        <w:t xml:space="preserve">demonstrate a role for the immune system in drug-induced hepatotoxicity. </w:t>
      </w:r>
      <w:r w:rsidR="00B22C41" w:rsidRPr="000016FB">
        <w:rPr>
          <w:sz w:val="22"/>
          <w:szCs w:val="22"/>
          <w:lang w:val="en-GB"/>
        </w:rPr>
        <w:t xml:space="preserve">The immune-mediated toxicity of </w:t>
      </w:r>
      <w:proofErr w:type="spellStart"/>
      <w:r w:rsidR="00B22C41" w:rsidRPr="000016FB">
        <w:rPr>
          <w:sz w:val="22"/>
          <w:szCs w:val="22"/>
          <w:lang w:val="en-GB"/>
        </w:rPr>
        <w:t>flucloxacillin</w:t>
      </w:r>
      <w:proofErr w:type="spellEnd"/>
      <w:r w:rsidR="00B22C41" w:rsidRPr="000016FB">
        <w:rPr>
          <w:sz w:val="22"/>
          <w:szCs w:val="22"/>
          <w:lang w:val="en-GB"/>
        </w:rPr>
        <w:t xml:space="preserve"> is further supported </w:t>
      </w:r>
      <w:r w:rsidR="00181BB1">
        <w:rPr>
          <w:sz w:val="22"/>
          <w:szCs w:val="22"/>
          <w:lang w:val="en-GB"/>
        </w:rPr>
        <w:t>by</w:t>
      </w:r>
      <w:r w:rsidR="00181BB1" w:rsidRPr="000016FB">
        <w:rPr>
          <w:sz w:val="22"/>
          <w:szCs w:val="22"/>
          <w:lang w:val="en-GB"/>
        </w:rPr>
        <w:t xml:space="preserve"> </w:t>
      </w:r>
      <w:r w:rsidR="00B22C41" w:rsidRPr="000016FB">
        <w:rPr>
          <w:sz w:val="22"/>
          <w:szCs w:val="22"/>
          <w:lang w:val="en-GB"/>
        </w:rPr>
        <w:t>work showing</w:t>
      </w:r>
      <w:r w:rsidRPr="000016FB">
        <w:rPr>
          <w:sz w:val="22"/>
          <w:szCs w:val="22"/>
          <w:lang w:val="en-GB"/>
        </w:rPr>
        <w:t xml:space="preserve"> the upregulation of immune and inflammatory genes </w:t>
      </w:r>
      <w:r w:rsidR="00487350">
        <w:rPr>
          <w:sz w:val="22"/>
          <w:szCs w:val="22"/>
          <w:lang w:val="en-GB"/>
        </w:rPr>
        <w:t>in treated</w:t>
      </w:r>
      <w:r w:rsidR="00487350" w:rsidRPr="000016FB">
        <w:rPr>
          <w:sz w:val="22"/>
          <w:szCs w:val="22"/>
          <w:lang w:val="en-GB"/>
        </w:rPr>
        <w:t xml:space="preserve"> </w:t>
      </w:r>
      <w:r w:rsidRPr="000016FB">
        <w:rPr>
          <w:sz w:val="22"/>
          <w:szCs w:val="22"/>
          <w:lang w:val="en-GB"/>
        </w:rPr>
        <w:t xml:space="preserve">mice </w:t>
      </w:r>
      <w:sdt>
        <w:sdtPr>
          <w:rPr>
            <w:noProof/>
            <w:sz w:val="22"/>
            <w:szCs w:val="22"/>
            <w:lang w:val="en-US"/>
          </w:rPr>
          <w:id w:val="-1288503122"/>
          <w:citation/>
        </w:sdtPr>
        <w:sdtEndPr/>
        <w:sdtContent>
          <w:r w:rsidR="00F21C43">
            <w:rPr>
              <w:noProof/>
              <w:sz w:val="22"/>
              <w:szCs w:val="22"/>
              <w:lang w:val="en-US"/>
            </w:rPr>
            <w:fldChar w:fldCharType="begin"/>
          </w:r>
          <w:r w:rsidR="00F21C43">
            <w:rPr>
              <w:noProof/>
              <w:sz w:val="22"/>
              <w:szCs w:val="22"/>
              <w:lang w:val="en-GB"/>
            </w:rPr>
            <w:instrText xml:space="preserve"> CITATION Tak15 \l 2057 </w:instrText>
          </w:r>
          <w:r w:rsidR="00F21C43">
            <w:rPr>
              <w:noProof/>
              <w:sz w:val="22"/>
              <w:szCs w:val="22"/>
              <w:lang w:val="en-US"/>
            </w:rPr>
            <w:fldChar w:fldCharType="separate"/>
          </w:r>
          <w:r w:rsidR="002D6947" w:rsidRPr="002D6947">
            <w:rPr>
              <w:noProof/>
              <w:sz w:val="22"/>
              <w:szCs w:val="22"/>
              <w:lang w:val="en-GB"/>
            </w:rPr>
            <w:t>[79]</w:t>
          </w:r>
          <w:r w:rsidR="00F21C43">
            <w:rPr>
              <w:noProof/>
              <w:sz w:val="22"/>
              <w:szCs w:val="22"/>
              <w:lang w:val="en-US"/>
            </w:rPr>
            <w:fldChar w:fldCharType="end"/>
          </w:r>
        </w:sdtContent>
      </w:sdt>
      <w:r w:rsidRPr="000016FB">
        <w:rPr>
          <w:sz w:val="22"/>
          <w:szCs w:val="22"/>
          <w:lang w:val="en-GB"/>
        </w:rPr>
        <w:t xml:space="preserve">. </w:t>
      </w:r>
      <w:r w:rsidR="00487350">
        <w:rPr>
          <w:sz w:val="22"/>
          <w:szCs w:val="22"/>
          <w:lang w:val="en-GB"/>
        </w:rPr>
        <w:t>T</w:t>
      </w:r>
      <w:r w:rsidR="00ED11E2">
        <w:rPr>
          <w:sz w:val="22"/>
          <w:szCs w:val="22"/>
          <w:lang w:val="en-GB"/>
        </w:rPr>
        <w:t xml:space="preserve">hese </w:t>
      </w:r>
      <w:r w:rsidR="00487350">
        <w:rPr>
          <w:sz w:val="22"/>
          <w:szCs w:val="22"/>
          <w:lang w:val="en-GB"/>
        </w:rPr>
        <w:t xml:space="preserve">murine </w:t>
      </w:r>
      <w:r w:rsidR="00ED11E2">
        <w:rPr>
          <w:sz w:val="22"/>
          <w:szCs w:val="22"/>
          <w:lang w:val="en-GB"/>
        </w:rPr>
        <w:t xml:space="preserve">models with </w:t>
      </w:r>
      <w:r w:rsidR="00487350">
        <w:rPr>
          <w:sz w:val="22"/>
          <w:szCs w:val="22"/>
          <w:lang w:val="en-GB"/>
        </w:rPr>
        <w:t xml:space="preserve">a </w:t>
      </w:r>
      <w:r w:rsidR="00ED11E2">
        <w:rPr>
          <w:sz w:val="22"/>
          <w:szCs w:val="22"/>
          <w:lang w:val="en-GB"/>
        </w:rPr>
        <w:t xml:space="preserve">perturbed immunological function have been selected in the pursuit of an animal model that might mimic idiosyncratic DILI. </w:t>
      </w:r>
      <w:r w:rsidR="00281C62">
        <w:rPr>
          <w:sz w:val="22"/>
          <w:szCs w:val="22"/>
          <w:lang w:val="en-GB"/>
        </w:rPr>
        <w:t xml:space="preserve"> </w:t>
      </w:r>
      <w:r w:rsidR="00C45ED5">
        <w:rPr>
          <w:sz w:val="22"/>
          <w:szCs w:val="22"/>
          <w:lang w:val="en-GB"/>
        </w:rPr>
        <w:t>Nevertheless, such models cannot be employed prospectively by the pharmaceutical industry until the models have been validated with appropriate sets of positive and negative test compounds.</w:t>
      </w:r>
    </w:p>
    <w:p w14:paraId="15F25C50" w14:textId="3DE3FB13" w:rsidR="0062232A" w:rsidRDefault="0062232A" w:rsidP="006730B6">
      <w:pPr>
        <w:spacing w:line="480" w:lineRule="auto"/>
        <w:jc w:val="both"/>
        <w:rPr>
          <w:sz w:val="22"/>
          <w:szCs w:val="22"/>
          <w:lang w:val="en-GB"/>
        </w:rPr>
      </w:pPr>
    </w:p>
    <w:p w14:paraId="3FD07C7B" w14:textId="770B914A" w:rsidR="00E96E88" w:rsidRDefault="00D80D82" w:rsidP="006730B6">
      <w:pPr>
        <w:spacing w:line="480" w:lineRule="auto"/>
        <w:jc w:val="both"/>
        <w:rPr>
          <w:sz w:val="22"/>
          <w:szCs w:val="22"/>
          <w:lang w:val="en-GB"/>
        </w:rPr>
      </w:pPr>
      <w:r w:rsidRPr="000016FB">
        <w:rPr>
          <w:sz w:val="22"/>
          <w:szCs w:val="22"/>
          <w:lang w:val="en-GB"/>
        </w:rPr>
        <w:t>T</w:t>
      </w:r>
      <w:r w:rsidR="001F60D5" w:rsidRPr="000016FB">
        <w:rPr>
          <w:sz w:val="22"/>
          <w:szCs w:val="22"/>
          <w:lang w:val="en-GB"/>
        </w:rPr>
        <w:t xml:space="preserve">he lymphocyte transformation test, which measures </w:t>
      </w:r>
      <w:r w:rsidR="001F60D5" w:rsidRPr="000016FB">
        <w:rPr>
          <w:i/>
          <w:sz w:val="22"/>
          <w:szCs w:val="22"/>
          <w:lang w:val="en-GB"/>
        </w:rPr>
        <w:t>in vitro</w:t>
      </w:r>
      <w:r w:rsidR="001F60D5" w:rsidRPr="000016FB">
        <w:rPr>
          <w:b/>
          <w:sz w:val="22"/>
          <w:szCs w:val="22"/>
          <w:lang w:val="en-GB"/>
        </w:rPr>
        <w:t xml:space="preserve"> </w:t>
      </w:r>
      <w:r w:rsidR="001F60D5" w:rsidRPr="000016FB">
        <w:rPr>
          <w:sz w:val="22"/>
          <w:szCs w:val="22"/>
          <w:lang w:val="en-GB"/>
        </w:rPr>
        <w:t xml:space="preserve">T cell proliferation in response to </w:t>
      </w:r>
      <w:r w:rsidRPr="000016FB">
        <w:rPr>
          <w:sz w:val="22"/>
          <w:szCs w:val="22"/>
          <w:lang w:val="en-GB"/>
        </w:rPr>
        <w:t>chemical insult</w:t>
      </w:r>
      <w:r w:rsidR="00F06F1B">
        <w:rPr>
          <w:sz w:val="22"/>
          <w:szCs w:val="22"/>
          <w:lang w:val="en-GB"/>
        </w:rPr>
        <w:t>,</w:t>
      </w:r>
      <w:r w:rsidR="001F60D5" w:rsidRPr="000016FB">
        <w:rPr>
          <w:sz w:val="22"/>
          <w:szCs w:val="22"/>
          <w:lang w:val="en-GB"/>
        </w:rPr>
        <w:t xml:space="preserve"> and the ELISpot cytokine secretion assay have been </w:t>
      </w:r>
      <w:r w:rsidRPr="000016FB">
        <w:rPr>
          <w:sz w:val="22"/>
          <w:szCs w:val="22"/>
          <w:lang w:val="en-GB"/>
        </w:rPr>
        <w:t xml:space="preserve">successfully </w:t>
      </w:r>
      <w:r w:rsidR="001F60D5" w:rsidRPr="000016FB">
        <w:rPr>
          <w:sz w:val="22"/>
          <w:szCs w:val="22"/>
          <w:lang w:val="en-GB"/>
        </w:rPr>
        <w:t>used to confirm clinical dia</w:t>
      </w:r>
      <w:r w:rsidRPr="000016FB">
        <w:rPr>
          <w:sz w:val="22"/>
          <w:szCs w:val="22"/>
          <w:lang w:val="en-GB"/>
        </w:rPr>
        <w:t>gnosis of drug hypersensitivity</w:t>
      </w:r>
      <w:sdt>
        <w:sdtPr>
          <w:rPr>
            <w:sz w:val="22"/>
            <w:szCs w:val="22"/>
            <w:lang w:val="en-GB"/>
          </w:rPr>
          <w:id w:val="-1575508031"/>
          <w:citation/>
        </w:sdtPr>
        <w:sdtEndPr/>
        <w:sdtContent>
          <w:r w:rsidR="00F21C43">
            <w:rPr>
              <w:sz w:val="22"/>
              <w:szCs w:val="22"/>
              <w:lang w:val="en-GB"/>
            </w:rPr>
            <w:fldChar w:fldCharType="begin"/>
          </w:r>
          <w:r w:rsidR="00F21C43">
            <w:rPr>
              <w:b/>
              <w:sz w:val="22"/>
              <w:szCs w:val="22"/>
              <w:lang w:val="en-GB"/>
            </w:rPr>
            <w:instrText xml:space="preserve"> CITATION Mon14 \l 2057 </w:instrText>
          </w:r>
          <w:r w:rsidR="00F21C43">
            <w:rPr>
              <w:sz w:val="22"/>
              <w:szCs w:val="22"/>
              <w:lang w:val="en-GB"/>
            </w:rPr>
            <w:fldChar w:fldCharType="separate"/>
          </w:r>
          <w:r w:rsidR="002D6947">
            <w:rPr>
              <w:b/>
              <w:noProof/>
              <w:sz w:val="22"/>
              <w:szCs w:val="22"/>
              <w:lang w:val="en-GB"/>
            </w:rPr>
            <w:t xml:space="preserve"> </w:t>
          </w:r>
          <w:r w:rsidR="002D6947" w:rsidRPr="002D6947">
            <w:rPr>
              <w:noProof/>
              <w:sz w:val="22"/>
              <w:szCs w:val="22"/>
              <w:lang w:val="en-GB"/>
            </w:rPr>
            <w:t>[70]</w:t>
          </w:r>
          <w:r w:rsidR="00F21C43">
            <w:rPr>
              <w:sz w:val="22"/>
              <w:szCs w:val="22"/>
              <w:lang w:val="en-GB"/>
            </w:rPr>
            <w:fldChar w:fldCharType="end"/>
          </w:r>
        </w:sdtContent>
      </w:sdt>
      <w:r w:rsidR="001F60D5" w:rsidRPr="000016FB">
        <w:rPr>
          <w:sz w:val="22"/>
          <w:szCs w:val="22"/>
          <w:lang w:val="en-GB"/>
        </w:rPr>
        <w:t>. In addition</w:t>
      </w:r>
      <w:r w:rsidR="003B4117">
        <w:rPr>
          <w:sz w:val="22"/>
          <w:szCs w:val="22"/>
          <w:lang w:val="en-GB"/>
        </w:rPr>
        <w:t>,</w:t>
      </w:r>
      <w:r w:rsidR="001F60D5" w:rsidRPr="000016FB">
        <w:rPr>
          <w:sz w:val="22"/>
          <w:szCs w:val="22"/>
          <w:lang w:val="en-GB"/>
        </w:rPr>
        <w:t xml:space="preserve"> the generation of drug antigen specific T cells from peripheral blood mononuclear cells of either healthy volunteers or hypersensitive patients</w:t>
      </w:r>
      <w:r w:rsidR="00E7275F">
        <w:rPr>
          <w:sz w:val="22"/>
          <w:szCs w:val="22"/>
          <w:lang w:val="en-GB"/>
        </w:rPr>
        <w:t xml:space="preserve"> </w:t>
      </w:r>
      <w:r w:rsidR="003B4381">
        <w:rPr>
          <w:sz w:val="22"/>
          <w:szCs w:val="22"/>
          <w:lang w:val="en-GB"/>
        </w:rPr>
        <w:t>ha</w:t>
      </w:r>
      <w:r w:rsidR="00A2607D">
        <w:rPr>
          <w:sz w:val="22"/>
          <w:szCs w:val="22"/>
          <w:lang w:val="en-GB"/>
        </w:rPr>
        <w:t>s</w:t>
      </w:r>
      <w:r w:rsidR="003B4381">
        <w:rPr>
          <w:sz w:val="22"/>
          <w:szCs w:val="22"/>
          <w:lang w:val="en-GB"/>
        </w:rPr>
        <w:t xml:space="preserve"> </w:t>
      </w:r>
      <w:r w:rsidR="003B4117">
        <w:rPr>
          <w:sz w:val="22"/>
          <w:szCs w:val="22"/>
          <w:lang w:val="en-GB"/>
        </w:rPr>
        <w:t xml:space="preserve">been reported </w:t>
      </w:r>
      <w:r w:rsidR="00A2607D">
        <w:rPr>
          <w:sz w:val="22"/>
          <w:szCs w:val="22"/>
          <w:lang w:val="en-GB"/>
        </w:rPr>
        <w:t>and offer</w:t>
      </w:r>
      <w:r w:rsidR="00D24825">
        <w:rPr>
          <w:sz w:val="22"/>
          <w:szCs w:val="22"/>
          <w:lang w:val="en-GB"/>
        </w:rPr>
        <w:t xml:space="preserve"> an</w:t>
      </w:r>
      <w:r w:rsidR="00A2607D">
        <w:rPr>
          <w:sz w:val="22"/>
          <w:szCs w:val="22"/>
          <w:lang w:val="en-GB"/>
        </w:rPr>
        <w:t xml:space="preserve"> </w:t>
      </w:r>
      <w:r w:rsidR="00D24825">
        <w:rPr>
          <w:sz w:val="22"/>
          <w:szCs w:val="22"/>
          <w:lang w:val="en-GB"/>
        </w:rPr>
        <w:t>a</w:t>
      </w:r>
      <w:r w:rsidR="00A2607D">
        <w:rPr>
          <w:sz w:val="22"/>
          <w:szCs w:val="22"/>
          <w:lang w:val="en-GB"/>
        </w:rPr>
        <w:t xml:space="preserve">venue for improved mechanistic understanding of the role of T cell activation in </w:t>
      </w:r>
      <w:proofErr w:type="spellStart"/>
      <w:r w:rsidR="00A2607D">
        <w:rPr>
          <w:sz w:val="22"/>
          <w:szCs w:val="22"/>
          <w:lang w:val="en-GB"/>
        </w:rPr>
        <w:t>iDILI</w:t>
      </w:r>
      <w:proofErr w:type="spellEnd"/>
      <w:sdt>
        <w:sdtPr>
          <w:rPr>
            <w:noProof/>
            <w:sz w:val="22"/>
            <w:szCs w:val="22"/>
            <w:lang w:val="en-GB"/>
          </w:rPr>
          <w:id w:val="-1435905532"/>
          <w:citation/>
        </w:sdtPr>
        <w:sdtEndPr/>
        <w:sdtContent>
          <w:r w:rsidR="00771B81">
            <w:rPr>
              <w:noProof/>
              <w:sz w:val="22"/>
              <w:szCs w:val="22"/>
              <w:lang w:val="en-GB"/>
            </w:rPr>
            <w:fldChar w:fldCharType="begin"/>
          </w:r>
          <w:r w:rsidR="00771B81">
            <w:rPr>
              <w:noProof/>
              <w:sz w:val="22"/>
              <w:szCs w:val="22"/>
              <w:lang w:val="en-GB"/>
            </w:rPr>
            <w:instrText xml:space="preserve"> CITATION Kim15 \l 2057 </w:instrText>
          </w:r>
          <w:r w:rsidR="00771B81">
            <w:rPr>
              <w:noProof/>
              <w:sz w:val="22"/>
              <w:szCs w:val="22"/>
              <w:lang w:val="en-GB"/>
            </w:rPr>
            <w:fldChar w:fldCharType="separate"/>
          </w:r>
          <w:r w:rsidR="002D6947">
            <w:rPr>
              <w:noProof/>
              <w:sz w:val="22"/>
              <w:szCs w:val="22"/>
              <w:lang w:val="en-GB"/>
            </w:rPr>
            <w:t xml:space="preserve"> </w:t>
          </w:r>
          <w:r w:rsidR="002D6947" w:rsidRPr="002D6947">
            <w:rPr>
              <w:noProof/>
              <w:sz w:val="22"/>
              <w:szCs w:val="22"/>
              <w:lang w:val="en-GB"/>
            </w:rPr>
            <w:t>[68]</w:t>
          </w:r>
          <w:r w:rsidR="00771B81">
            <w:rPr>
              <w:noProof/>
              <w:sz w:val="22"/>
              <w:szCs w:val="22"/>
              <w:lang w:val="en-GB"/>
            </w:rPr>
            <w:fldChar w:fldCharType="end"/>
          </w:r>
        </w:sdtContent>
      </w:sdt>
      <w:sdt>
        <w:sdtPr>
          <w:rPr>
            <w:noProof/>
            <w:sz w:val="22"/>
            <w:szCs w:val="22"/>
            <w:lang w:val="en-GB"/>
          </w:rPr>
          <w:id w:val="2053108601"/>
          <w:citation/>
        </w:sdtPr>
        <w:sdtEndPr/>
        <w:sdtContent>
          <w:r w:rsidR="00771B81">
            <w:rPr>
              <w:noProof/>
              <w:sz w:val="22"/>
              <w:szCs w:val="22"/>
              <w:lang w:val="en-GB"/>
            </w:rPr>
            <w:fldChar w:fldCharType="begin"/>
          </w:r>
          <w:r w:rsidR="00771B81">
            <w:rPr>
              <w:noProof/>
              <w:sz w:val="22"/>
              <w:szCs w:val="22"/>
              <w:lang w:val="en-GB"/>
            </w:rPr>
            <w:instrText xml:space="preserve"> CITATION Mon14 \l 2057 </w:instrText>
          </w:r>
          <w:r w:rsidR="00771B81">
            <w:rPr>
              <w:noProof/>
              <w:sz w:val="22"/>
              <w:szCs w:val="22"/>
              <w:lang w:val="en-GB"/>
            </w:rPr>
            <w:fldChar w:fldCharType="separate"/>
          </w:r>
          <w:r w:rsidR="002D6947">
            <w:rPr>
              <w:noProof/>
              <w:sz w:val="22"/>
              <w:szCs w:val="22"/>
              <w:lang w:val="en-GB"/>
            </w:rPr>
            <w:t xml:space="preserve"> </w:t>
          </w:r>
          <w:r w:rsidR="002D6947" w:rsidRPr="002D6947">
            <w:rPr>
              <w:noProof/>
              <w:sz w:val="22"/>
              <w:szCs w:val="22"/>
              <w:lang w:val="en-GB"/>
            </w:rPr>
            <w:t>[70]</w:t>
          </w:r>
          <w:r w:rsidR="00771B81">
            <w:rPr>
              <w:noProof/>
              <w:sz w:val="22"/>
              <w:szCs w:val="22"/>
              <w:lang w:val="en-GB"/>
            </w:rPr>
            <w:fldChar w:fldCharType="end"/>
          </w:r>
        </w:sdtContent>
      </w:sdt>
      <w:r w:rsidR="0047701E" w:rsidRPr="000016FB">
        <w:rPr>
          <w:sz w:val="22"/>
          <w:szCs w:val="22"/>
          <w:lang w:val="en-GB"/>
        </w:rPr>
        <w:t>. These tests</w:t>
      </w:r>
      <w:r w:rsidR="001F60D5" w:rsidRPr="000016FB">
        <w:rPr>
          <w:sz w:val="22"/>
          <w:szCs w:val="22"/>
          <w:lang w:val="en-GB"/>
        </w:rPr>
        <w:t xml:space="preserve"> have </w:t>
      </w:r>
      <w:r w:rsidRPr="000016FB">
        <w:rPr>
          <w:sz w:val="22"/>
          <w:szCs w:val="22"/>
          <w:lang w:val="en-GB"/>
        </w:rPr>
        <w:t xml:space="preserve">greatly </w:t>
      </w:r>
      <w:r w:rsidR="001F60D5" w:rsidRPr="000016FB">
        <w:rPr>
          <w:sz w:val="22"/>
          <w:szCs w:val="22"/>
          <w:lang w:val="en-GB"/>
        </w:rPr>
        <w:t>enhanced our understanding of the pathogenesis of DILI</w:t>
      </w:r>
      <w:r w:rsidRPr="000016FB">
        <w:rPr>
          <w:sz w:val="22"/>
          <w:szCs w:val="22"/>
          <w:lang w:val="en-GB"/>
        </w:rPr>
        <w:t xml:space="preserve"> through </w:t>
      </w:r>
      <w:r w:rsidR="003B4117">
        <w:rPr>
          <w:sz w:val="22"/>
          <w:szCs w:val="22"/>
          <w:lang w:val="en-GB"/>
        </w:rPr>
        <w:t xml:space="preserve">the </w:t>
      </w:r>
      <w:r w:rsidRPr="000016FB">
        <w:rPr>
          <w:sz w:val="22"/>
          <w:szCs w:val="22"/>
          <w:lang w:val="en-GB"/>
        </w:rPr>
        <w:t xml:space="preserve">adaptive immune response, but the diversity of HLA phenotypes does not at this time allow the assay to be used </w:t>
      </w:r>
      <w:r w:rsidRPr="00DC0637">
        <w:rPr>
          <w:i/>
          <w:sz w:val="22"/>
          <w:szCs w:val="22"/>
          <w:lang w:val="en-GB"/>
        </w:rPr>
        <w:t>ab initio</w:t>
      </w:r>
      <w:r w:rsidRPr="000016FB">
        <w:rPr>
          <w:sz w:val="22"/>
          <w:szCs w:val="22"/>
          <w:lang w:val="en-GB"/>
        </w:rPr>
        <w:t xml:space="preserve"> in drug discovery</w:t>
      </w:r>
      <w:r w:rsidR="00F06F1B">
        <w:rPr>
          <w:sz w:val="22"/>
          <w:szCs w:val="22"/>
          <w:lang w:val="en-GB"/>
        </w:rPr>
        <w:t xml:space="preserve"> </w:t>
      </w:r>
      <w:r w:rsidRPr="000016FB">
        <w:rPr>
          <w:sz w:val="22"/>
          <w:szCs w:val="22"/>
          <w:lang w:val="en-GB"/>
        </w:rPr>
        <w:t>to identify back-up candidates</w:t>
      </w:r>
      <w:r w:rsidR="00F06F1B">
        <w:rPr>
          <w:sz w:val="22"/>
          <w:szCs w:val="22"/>
          <w:lang w:val="en-GB"/>
        </w:rPr>
        <w:t xml:space="preserve"> or</w:t>
      </w:r>
      <w:r w:rsidRPr="000016FB">
        <w:rPr>
          <w:sz w:val="22"/>
          <w:szCs w:val="22"/>
          <w:lang w:val="en-GB"/>
        </w:rPr>
        <w:t xml:space="preserve"> to design-out immune activation of candidates identified from clinical research. </w:t>
      </w:r>
    </w:p>
    <w:p w14:paraId="3C446036" w14:textId="77777777" w:rsidR="00C67537" w:rsidRPr="00AE4C41" w:rsidRDefault="00C67537" w:rsidP="006730B6">
      <w:pPr>
        <w:spacing w:line="480" w:lineRule="auto"/>
        <w:jc w:val="both"/>
        <w:rPr>
          <w:b/>
          <w:sz w:val="22"/>
          <w:szCs w:val="22"/>
          <w:lang w:val="en-GB"/>
        </w:rPr>
      </w:pPr>
    </w:p>
    <w:p w14:paraId="262BD62E" w14:textId="18253EE1" w:rsidR="00AE4C41" w:rsidRDefault="0098693E" w:rsidP="0098693E">
      <w:pPr>
        <w:rPr>
          <w:lang w:val="en-GB"/>
        </w:rPr>
      </w:pPr>
      <w:r>
        <w:rPr>
          <w:b/>
          <w:i/>
          <w:sz w:val="22"/>
          <w:szCs w:val="22"/>
          <w:lang w:val="en-GB"/>
        </w:rPr>
        <w:t xml:space="preserve">5.  </w:t>
      </w:r>
      <w:r w:rsidR="008205C7" w:rsidRPr="007417A7">
        <w:rPr>
          <w:b/>
          <w:i/>
          <w:sz w:val="22"/>
          <w:szCs w:val="22"/>
          <w:lang w:val="en-GB"/>
        </w:rPr>
        <w:t>In vitro</w:t>
      </w:r>
      <w:r w:rsidR="008205C7" w:rsidRPr="00AE4C41">
        <w:rPr>
          <w:b/>
          <w:sz w:val="22"/>
          <w:szCs w:val="22"/>
          <w:lang w:val="en-GB"/>
        </w:rPr>
        <w:t xml:space="preserve"> </w:t>
      </w:r>
      <w:r w:rsidR="00B16B32">
        <w:rPr>
          <w:b/>
          <w:sz w:val="22"/>
          <w:szCs w:val="22"/>
          <w:lang w:val="en-GB"/>
        </w:rPr>
        <w:t>transcriptomic</w:t>
      </w:r>
      <w:r w:rsidR="00B16B32" w:rsidRPr="00AE4C41">
        <w:rPr>
          <w:b/>
          <w:sz w:val="22"/>
          <w:szCs w:val="22"/>
          <w:lang w:val="en-GB"/>
        </w:rPr>
        <w:t xml:space="preserve"> </w:t>
      </w:r>
      <w:r w:rsidR="008205C7" w:rsidRPr="00AE4C41">
        <w:rPr>
          <w:b/>
          <w:sz w:val="22"/>
          <w:szCs w:val="22"/>
          <w:lang w:val="en-GB"/>
        </w:rPr>
        <w:t>ap</w:t>
      </w:r>
      <w:r w:rsidR="008205C7">
        <w:rPr>
          <w:b/>
          <w:sz w:val="22"/>
          <w:szCs w:val="22"/>
          <w:lang w:val="en-GB"/>
        </w:rPr>
        <w:t xml:space="preserve">proaches </w:t>
      </w:r>
      <w:r w:rsidR="00B63F49">
        <w:rPr>
          <w:b/>
          <w:sz w:val="22"/>
          <w:szCs w:val="22"/>
          <w:lang w:val="en-GB"/>
        </w:rPr>
        <w:t>to DILI</w:t>
      </w:r>
      <w:r w:rsidR="00AE4C41" w:rsidRPr="00AE4C41">
        <w:rPr>
          <w:lang w:val="en-GB"/>
        </w:rPr>
        <w:t xml:space="preserve"> </w:t>
      </w:r>
    </w:p>
    <w:p w14:paraId="7AC45F06" w14:textId="77777777" w:rsidR="00C67537" w:rsidRDefault="00C67537" w:rsidP="00C67537">
      <w:pPr>
        <w:ind w:left="360"/>
        <w:rPr>
          <w:lang w:val="en-GB"/>
        </w:rPr>
      </w:pPr>
    </w:p>
    <w:p w14:paraId="5A7E71D9" w14:textId="6CACBE75" w:rsidR="00CF3FEB" w:rsidRDefault="00B16B32" w:rsidP="0019391B">
      <w:pPr>
        <w:spacing w:line="480" w:lineRule="auto"/>
        <w:jc w:val="both"/>
        <w:rPr>
          <w:sz w:val="22"/>
          <w:szCs w:val="22"/>
          <w:lang w:val="en-GB"/>
        </w:rPr>
      </w:pPr>
      <w:r>
        <w:rPr>
          <w:sz w:val="22"/>
          <w:szCs w:val="22"/>
          <w:lang w:val="en-GB"/>
        </w:rPr>
        <w:t>Among different ‘</w:t>
      </w:r>
      <w:proofErr w:type="spellStart"/>
      <w:r>
        <w:rPr>
          <w:sz w:val="22"/>
          <w:szCs w:val="22"/>
          <w:lang w:val="en-GB"/>
        </w:rPr>
        <w:t>omic</w:t>
      </w:r>
      <w:proofErr w:type="spellEnd"/>
      <w:r>
        <w:rPr>
          <w:sz w:val="22"/>
          <w:szCs w:val="22"/>
          <w:lang w:val="en-GB"/>
        </w:rPr>
        <w:t xml:space="preserve"> approaches</w:t>
      </w:r>
      <w:r w:rsidR="000E5BC6">
        <w:rPr>
          <w:sz w:val="22"/>
          <w:szCs w:val="22"/>
          <w:lang w:val="en-GB"/>
        </w:rPr>
        <w:t>,</w:t>
      </w:r>
      <w:r>
        <w:rPr>
          <w:sz w:val="22"/>
          <w:szCs w:val="22"/>
          <w:lang w:val="en-GB"/>
        </w:rPr>
        <w:t xml:space="preserve"> t</w:t>
      </w:r>
      <w:r w:rsidR="00635741">
        <w:rPr>
          <w:sz w:val="22"/>
          <w:szCs w:val="22"/>
          <w:lang w:val="en-GB"/>
        </w:rPr>
        <w:t xml:space="preserve">he use of </w:t>
      </w:r>
      <w:r w:rsidR="00AE4C41" w:rsidRPr="00C67537">
        <w:rPr>
          <w:sz w:val="22"/>
          <w:szCs w:val="22"/>
          <w:lang w:val="en-GB"/>
        </w:rPr>
        <w:t>miR</w:t>
      </w:r>
      <w:r w:rsidR="00C67537" w:rsidRPr="00C67537">
        <w:rPr>
          <w:sz w:val="22"/>
          <w:szCs w:val="22"/>
          <w:lang w:val="en-GB"/>
        </w:rPr>
        <w:t>NA</w:t>
      </w:r>
      <w:r w:rsidR="00487350">
        <w:rPr>
          <w:sz w:val="22"/>
          <w:szCs w:val="22"/>
          <w:lang w:val="en-GB"/>
        </w:rPr>
        <w:t>s</w:t>
      </w:r>
      <w:r w:rsidR="00AE4C41" w:rsidRPr="00C67537">
        <w:rPr>
          <w:sz w:val="22"/>
          <w:szCs w:val="22"/>
          <w:lang w:val="en-GB"/>
        </w:rPr>
        <w:t xml:space="preserve"> and </w:t>
      </w:r>
      <w:r>
        <w:rPr>
          <w:sz w:val="22"/>
          <w:szCs w:val="22"/>
          <w:lang w:val="en-GB"/>
        </w:rPr>
        <w:t>tran</w:t>
      </w:r>
      <w:r w:rsidR="006461DF">
        <w:rPr>
          <w:sz w:val="22"/>
          <w:szCs w:val="22"/>
          <w:lang w:val="en-GB"/>
        </w:rPr>
        <w:t>s</w:t>
      </w:r>
      <w:r>
        <w:rPr>
          <w:sz w:val="22"/>
          <w:szCs w:val="22"/>
          <w:lang w:val="en-GB"/>
        </w:rPr>
        <w:t>crip</w:t>
      </w:r>
      <w:r w:rsidR="006461DF">
        <w:rPr>
          <w:sz w:val="22"/>
          <w:szCs w:val="22"/>
          <w:lang w:val="en-GB"/>
        </w:rPr>
        <w:t>t</w:t>
      </w:r>
      <w:r>
        <w:rPr>
          <w:sz w:val="22"/>
          <w:szCs w:val="22"/>
          <w:lang w:val="en-GB"/>
        </w:rPr>
        <w:t>omic</w:t>
      </w:r>
      <w:r w:rsidR="00AE4C41" w:rsidRPr="00C67537">
        <w:rPr>
          <w:sz w:val="22"/>
          <w:szCs w:val="22"/>
          <w:lang w:val="en-GB"/>
        </w:rPr>
        <w:t xml:space="preserve"> </w:t>
      </w:r>
      <w:r w:rsidR="00487350">
        <w:rPr>
          <w:sz w:val="22"/>
          <w:szCs w:val="22"/>
          <w:lang w:val="en-GB"/>
        </w:rPr>
        <w:t>profiling</w:t>
      </w:r>
      <w:r w:rsidR="00487350" w:rsidRPr="00C67537">
        <w:rPr>
          <w:sz w:val="22"/>
          <w:szCs w:val="22"/>
          <w:lang w:val="en-GB"/>
        </w:rPr>
        <w:t xml:space="preserve"> </w:t>
      </w:r>
      <w:r w:rsidR="00AE4C41" w:rsidRPr="00C67537">
        <w:rPr>
          <w:sz w:val="22"/>
          <w:szCs w:val="22"/>
          <w:lang w:val="en-GB"/>
        </w:rPr>
        <w:t>have been investigated extensively as mechanistic markers of liver injury</w:t>
      </w:r>
      <w:sdt>
        <w:sdtPr>
          <w:rPr>
            <w:sz w:val="22"/>
            <w:szCs w:val="22"/>
            <w:lang w:val="en-GB"/>
          </w:rPr>
          <w:id w:val="-671883278"/>
          <w:citation/>
        </w:sdtPr>
        <w:sdtEndPr/>
        <w:sdtContent>
          <w:r w:rsidR="005809A7">
            <w:rPr>
              <w:sz w:val="22"/>
              <w:szCs w:val="22"/>
              <w:lang w:val="en-GB"/>
            </w:rPr>
            <w:fldChar w:fldCharType="begin"/>
          </w:r>
          <w:r w:rsidR="005809A7">
            <w:rPr>
              <w:sz w:val="22"/>
              <w:szCs w:val="22"/>
              <w:lang w:val="en-GB"/>
            </w:rPr>
            <w:instrText xml:space="preserve"> CITATION Rob161 \l 2057 </w:instrText>
          </w:r>
          <w:r w:rsidR="005809A7">
            <w:rPr>
              <w:sz w:val="22"/>
              <w:szCs w:val="22"/>
              <w:lang w:val="en-GB"/>
            </w:rPr>
            <w:fldChar w:fldCharType="separate"/>
          </w:r>
          <w:r w:rsidR="002D6947">
            <w:rPr>
              <w:noProof/>
              <w:sz w:val="22"/>
              <w:szCs w:val="22"/>
              <w:lang w:val="en-GB"/>
            </w:rPr>
            <w:t xml:space="preserve"> </w:t>
          </w:r>
          <w:r w:rsidR="002D6947" w:rsidRPr="002D6947">
            <w:rPr>
              <w:noProof/>
              <w:sz w:val="22"/>
              <w:szCs w:val="22"/>
              <w:lang w:val="en-GB"/>
            </w:rPr>
            <w:t>[80]</w:t>
          </w:r>
          <w:r w:rsidR="005809A7">
            <w:rPr>
              <w:sz w:val="22"/>
              <w:szCs w:val="22"/>
              <w:lang w:val="en-GB"/>
            </w:rPr>
            <w:fldChar w:fldCharType="end"/>
          </w:r>
        </w:sdtContent>
      </w:sdt>
      <w:sdt>
        <w:sdtPr>
          <w:rPr>
            <w:sz w:val="22"/>
            <w:szCs w:val="22"/>
            <w:lang w:val="en-GB"/>
          </w:rPr>
          <w:id w:val="900179614"/>
          <w:citation/>
        </w:sdtPr>
        <w:sdtEndPr/>
        <w:sdtContent>
          <w:r w:rsidR="005809A7">
            <w:rPr>
              <w:sz w:val="22"/>
              <w:szCs w:val="22"/>
              <w:lang w:val="en-GB"/>
            </w:rPr>
            <w:fldChar w:fldCharType="begin"/>
          </w:r>
          <w:r w:rsidR="005809A7">
            <w:rPr>
              <w:sz w:val="22"/>
              <w:szCs w:val="22"/>
              <w:lang w:val="en-GB"/>
            </w:rPr>
            <w:instrText xml:space="preserve"> CITATION Hor14 \l 2057 </w:instrText>
          </w:r>
          <w:r w:rsidR="005809A7">
            <w:rPr>
              <w:sz w:val="22"/>
              <w:szCs w:val="22"/>
              <w:lang w:val="en-GB"/>
            </w:rPr>
            <w:fldChar w:fldCharType="separate"/>
          </w:r>
          <w:r w:rsidR="002D6947">
            <w:rPr>
              <w:noProof/>
              <w:sz w:val="22"/>
              <w:szCs w:val="22"/>
              <w:lang w:val="en-GB"/>
            </w:rPr>
            <w:t xml:space="preserve"> </w:t>
          </w:r>
          <w:r w:rsidR="002D6947" w:rsidRPr="002D6947">
            <w:rPr>
              <w:noProof/>
              <w:sz w:val="22"/>
              <w:szCs w:val="22"/>
              <w:lang w:val="en-GB"/>
            </w:rPr>
            <w:t>[81]</w:t>
          </w:r>
          <w:r w:rsidR="005809A7">
            <w:rPr>
              <w:sz w:val="22"/>
              <w:szCs w:val="22"/>
              <w:lang w:val="en-GB"/>
            </w:rPr>
            <w:fldChar w:fldCharType="end"/>
          </w:r>
        </w:sdtContent>
      </w:sdt>
      <w:sdt>
        <w:sdtPr>
          <w:rPr>
            <w:sz w:val="22"/>
            <w:szCs w:val="22"/>
            <w:lang w:val="en-GB"/>
          </w:rPr>
          <w:id w:val="1086257596"/>
          <w:citation/>
        </w:sdtPr>
        <w:sdtEndPr/>
        <w:sdtContent>
          <w:r w:rsidR="005809A7">
            <w:rPr>
              <w:sz w:val="22"/>
              <w:szCs w:val="22"/>
              <w:lang w:val="en-GB"/>
            </w:rPr>
            <w:fldChar w:fldCharType="begin"/>
          </w:r>
          <w:r w:rsidR="005809A7">
            <w:rPr>
              <w:sz w:val="22"/>
              <w:szCs w:val="22"/>
              <w:lang w:val="en-GB"/>
            </w:rPr>
            <w:instrText xml:space="preserve"> CITATION Zha12 \l 2057 </w:instrText>
          </w:r>
          <w:r w:rsidR="005809A7">
            <w:rPr>
              <w:sz w:val="22"/>
              <w:szCs w:val="22"/>
              <w:lang w:val="en-GB"/>
            </w:rPr>
            <w:fldChar w:fldCharType="separate"/>
          </w:r>
          <w:r w:rsidR="002D6947">
            <w:rPr>
              <w:noProof/>
              <w:sz w:val="22"/>
              <w:szCs w:val="22"/>
              <w:lang w:val="en-GB"/>
            </w:rPr>
            <w:t xml:space="preserve"> </w:t>
          </w:r>
          <w:r w:rsidR="002D6947" w:rsidRPr="002D6947">
            <w:rPr>
              <w:noProof/>
              <w:sz w:val="22"/>
              <w:szCs w:val="22"/>
              <w:lang w:val="en-GB"/>
            </w:rPr>
            <w:t>[82]</w:t>
          </w:r>
          <w:r w:rsidR="005809A7">
            <w:rPr>
              <w:sz w:val="22"/>
              <w:szCs w:val="22"/>
              <w:lang w:val="en-GB"/>
            </w:rPr>
            <w:fldChar w:fldCharType="end"/>
          </w:r>
        </w:sdtContent>
      </w:sdt>
      <w:r w:rsidR="00B750C7" w:rsidRPr="00C67537">
        <w:rPr>
          <w:sz w:val="22"/>
          <w:szCs w:val="22"/>
          <w:lang w:val="en-GB"/>
        </w:rPr>
        <w:t>.</w:t>
      </w:r>
      <w:r w:rsidR="00AE4C41" w:rsidRPr="00C67537">
        <w:rPr>
          <w:sz w:val="22"/>
          <w:szCs w:val="22"/>
          <w:lang w:val="en-GB"/>
        </w:rPr>
        <w:t xml:space="preserve">  Release </w:t>
      </w:r>
      <w:r w:rsidR="00D4338F" w:rsidRPr="00C67537">
        <w:rPr>
          <w:sz w:val="22"/>
          <w:szCs w:val="22"/>
          <w:lang w:val="en-GB"/>
        </w:rPr>
        <w:t>or overexpression of miRNAs</w:t>
      </w:r>
      <w:r w:rsidR="00C67537" w:rsidRPr="00C67537">
        <w:rPr>
          <w:sz w:val="22"/>
          <w:szCs w:val="22"/>
          <w:lang w:val="en-GB"/>
        </w:rPr>
        <w:t>, such as miRNA122</w:t>
      </w:r>
      <w:r w:rsidR="00487350">
        <w:rPr>
          <w:sz w:val="22"/>
          <w:szCs w:val="22"/>
          <w:lang w:val="en-GB"/>
        </w:rPr>
        <w:t>,</w:t>
      </w:r>
      <w:r w:rsidR="00AE4C41" w:rsidRPr="00C67537">
        <w:rPr>
          <w:sz w:val="22"/>
          <w:szCs w:val="22"/>
          <w:lang w:val="en-GB"/>
        </w:rPr>
        <w:t xml:space="preserve"> is diagnostic of liver injury.  Tissue specific </w:t>
      </w:r>
      <w:r w:rsidR="00C67537" w:rsidRPr="00C67537">
        <w:rPr>
          <w:sz w:val="22"/>
          <w:szCs w:val="22"/>
          <w:lang w:val="en-GB"/>
        </w:rPr>
        <w:t xml:space="preserve">miRNAs </w:t>
      </w:r>
      <w:r w:rsidR="00AE4C41" w:rsidRPr="00C67537">
        <w:rPr>
          <w:sz w:val="22"/>
          <w:szCs w:val="22"/>
          <w:lang w:val="en-GB"/>
        </w:rPr>
        <w:lastRenderedPageBreak/>
        <w:t>can be compared in human and animal tissues to develop miR</w:t>
      </w:r>
      <w:r w:rsidR="00C67537" w:rsidRPr="00C67537">
        <w:rPr>
          <w:sz w:val="22"/>
          <w:szCs w:val="22"/>
          <w:lang w:val="en-GB"/>
        </w:rPr>
        <w:t>NA</w:t>
      </w:r>
      <w:r w:rsidR="00AE4C41" w:rsidRPr="00C67537">
        <w:rPr>
          <w:sz w:val="22"/>
          <w:szCs w:val="22"/>
          <w:lang w:val="en-GB"/>
        </w:rPr>
        <w:t xml:space="preserve"> panels reflective of liver injury</w:t>
      </w:r>
      <w:r w:rsidR="00635741">
        <w:rPr>
          <w:sz w:val="22"/>
          <w:szCs w:val="22"/>
          <w:lang w:val="en-GB"/>
        </w:rPr>
        <w:t xml:space="preserve"> </w:t>
      </w:r>
      <w:sdt>
        <w:sdtPr>
          <w:rPr>
            <w:noProof/>
            <w:sz w:val="22"/>
            <w:szCs w:val="22"/>
            <w:lang w:val="en-GB"/>
          </w:rPr>
          <w:id w:val="1004170501"/>
          <w:citation/>
        </w:sdtPr>
        <w:sdtEndPr/>
        <w:sdtContent>
          <w:r w:rsidR="005809A7">
            <w:rPr>
              <w:noProof/>
              <w:sz w:val="22"/>
              <w:szCs w:val="22"/>
              <w:lang w:val="en-GB"/>
            </w:rPr>
            <w:fldChar w:fldCharType="begin"/>
          </w:r>
          <w:r w:rsidR="005809A7">
            <w:rPr>
              <w:noProof/>
              <w:sz w:val="22"/>
              <w:szCs w:val="22"/>
              <w:lang w:val="en-GB"/>
            </w:rPr>
            <w:instrText xml:space="preserve"> CITATION Smi16 \l 2057 </w:instrText>
          </w:r>
          <w:r w:rsidR="005809A7">
            <w:rPr>
              <w:noProof/>
              <w:sz w:val="22"/>
              <w:szCs w:val="22"/>
              <w:lang w:val="en-GB"/>
            </w:rPr>
            <w:fldChar w:fldCharType="separate"/>
          </w:r>
          <w:r w:rsidR="002D6947" w:rsidRPr="002D6947">
            <w:rPr>
              <w:noProof/>
              <w:sz w:val="22"/>
              <w:szCs w:val="22"/>
              <w:lang w:val="en-GB"/>
            </w:rPr>
            <w:t>[83]</w:t>
          </w:r>
          <w:r w:rsidR="005809A7">
            <w:rPr>
              <w:noProof/>
              <w:sz w:val="22"/>
              <w:szCs w:val="22"/>
              <w:lang w:val="en-GB"/>
            </w:rPr>
            <w:fldChar w:fldCharType="end"/>
          </w:r>
        </w:sdtContent>
      </w:sdt>
      <w:sdt>
        <w:sdtPr>
          <w:rPr>
            <w:noProof/>
            <w:sz w:val="22"/>
            <w:szCs w:val="22"/>
            <w:lang w:val="en-GB"/>
          </w:rPr>
          <w:id w:val="1029147370"/>
          <w:citation/>
        </w:sdtPr>
        <w:sdtEndPr/>
        <w:sdtContent>
          <w:r w:rsidR="005809A7">
            <w:rPr>
              <w:noProof/>
              <w:sz w:val="22"/>
              <w:szCs w:val="22"/>
              <w:lang w:val="en-GB"/>
            </w:rPr>
            <w:fldChar w:fldCharType="begin"/>
          </w:r>
          <w:r w:rsidR="005809A7">
            <w:rPr>
              <w:noProof/>
              <w:sz w:val="22"/>
              <w:szCs w:val="22"/>
              <w:lang w:val="en-GB"/>
            </w:rPr>
            <w:instrText xml:space="preserve"> CITATION Fis16 \l 2057 </w:instrText>
          </w:r>
          <w:r w:rsidR="005809A7">
            <w:rPr>
              <w:noProof/>
              <w:sz w:val="22"/>
              <w:szCs w:val="22"/>
              <w:lang w:val="en-GB"/>
            </w:rPr>
            <w:fldChar w:fldCharType="separate"/>
          </w:r>
          <w:r w:rsidR="002D6947">
            <w:rPr>
              <w:noProof/>
              <w:sz w:val="22"/>
              <w:szCs w:val="22"/>
              <w:lang w:val="en-GB"/>
            </w:rPr>
            <w:t xml:space="preserve"> </w:t>
          </w:r>
          <w:r w:rsidR="002D6947" w:rsidRPr="002D6947">
            <w:rPr>
              <w:noProof/>
              <w:sz w:val="22"/>
              <w:szCs w:val="22"/>
              <w:lang w:val="en-GB"/>
            </w:rPr>
            <w:t>[84]</w:t>
          </w:r>
          <w:r w:rsidR="005809A7">
            <w:rPr>
              <w:noProof/>
              <w:sz w:val="22"/>
              <w:szCs w:val="22"/>
              <w:lang w:val="en-GB"/>
            </w:rPr>
            <w:fldChar w:fldCharType="end"/>
          </w:r>
        </w:sdtContent>
      </w:sdt>
      <w:r w:rsidR="00A736FA">
        <w:rPr>
          <w:noProof/>
          <w:sz w:val="22"/>
          <w:szCs w:val="22"/>
          <w:lang w:val="en-GB"/>
        </w:rPr>
        <w:t xml:space="preserve">. </w:t>
      </w:r>
      <w:r w:rsidR="00644E00">
        <w:rPr>
          <w:noProof/>
          <w:sz w:val="22"/>
          <w:szCs w:val="22"/>
          <w:lang w:val="en-GB"/>
        </w:rPr>
        <w:t xml:space="preserve">The </w:t>
      </w:r>
      <w:r w:rsidR="00487350">
        <w:rPr>
          <w:noProof/>
          <w:sz w:val="22"/>
          <w:szCs w:val="22"/>
          <w:lang w:val="en-GB"/>
        </w:rPr>
        <w:t>m</w:t>
      </w:r>
      <w:proofErr w:type="spellStart"/>
      <w:r w:rsidR="00D4338F" w:rsidRPr="00C67537">
        <w:rPr>
          <w:sz w:val="22"/>
          <w:szCs w:val="22"/>
          <w:lang w:val="en-US"/>
        </w:rPr>
        <w:t>iRNAs</w:t>
      </w:r>
      <w:proofErr w:type="spellEnd"/>
      <w:r w:rsidR="00D4338F" w:rsidRPr="00C67537">
        <w:rPr>
          <w:sz w:val="22"/>
          <w:szCs w:val="22"/>
          <w:lang w:val="en-US"/>
        </w:rPr>
        <w:t xml:space="preserve"> are stable in plasma and thus allow opportunities for quantitation. However, miRNAs have limitations </w:t>
      </w:r>
      <w:r w:rsidR="00487350" w:rsidRPr="00C67537">
        <w:rPr>
          <w:sz w:val="22"/>
          <w:szCs w:val="22"/>
          <w:lang w:val="en-US"/>
        </w:rPr>
        <w:t>similar</w:t>
      </w:r>
      <w:r w:rsidR="00487350">
        <w:rPr>
          <w:sz w:val="22"/>
          <w:szCs w:val="22"/>
          <w:lang w:val="en-US"/>
        </w:rPr>
        <w:t xml:space="preserve"> to</w:t>
      </w:r>
      <w:r w:rsidR="00D4338F" w:rsidRPr="00C67537">
        <w:rPr>
          <w:sz w:val="22"/>
          <w:szCs w:val="22"/>
          <w:lang w:val="en-US"/>
        </w:rPr>
        <w:t xml:space="preserve"> </w:t>
      </w:r>
      <w:r w:rsidR="00C67537" w:rsidRPr="00C67537">
        <w:rPr>
          <w:sz w:val="22"/>
          <w:szCs w:val="22"/>
          <w:lang w:val="en-US"/>
        </w:rPr>
        <w:t>other biomarkers, such as bile acids</w:t>
      </w:r>
      <w:r w:rsidR="00D4338F" w:rsidRPr="00C67537">
        <w:rPr>
          <w:sz w:val="22"/>
          <w:szCs w:val="22"/>
          <w:lang w:val="en-US"/>
        </w:rPr>
        <w:t>, which are also highly dependent on time of sampling</w:t>
      </w:r>
      <w:r w:rsidR="00C67537" w:rsidRPr="00C67537">
        <w:rPr>
          <w:sz w:val="22"/>
          <w:szCs w:val="22"/>
          <w:lang w:val="en-US"/>
        </w:rPr>
        <w:t xml:space="preserve">. </w:t>
      </w:r>
      <w:r w:rsidR="00F2191E">
        <w:rPr>
          <w:sz w:val="22"/>
          <w:szCs w:val="22"/>
          <w:lang w:val="en-US"/>
        </w:rPr>
        <w:t xml:space="preserve">Despite these limitations, evaluation of miRNAs and newer biomarkers of liver injury, as </w:t>
      </w:r>
      <w:r w:rsidR="00CF0D45">
        <w:rPr>
          <w:sz w:val="22"/>
          <w:szCs w:val="22"/>
          <w:lang w:val="en-US"/>
        </w:rPr>
        <w:t xml:space="preserve">potentially </w:t>
      </w:r>
      <w:r w:rsidR="00F2191E">
        <w:rPr>
          <w:sz w:val="22"/>
          <w:szCs w:val="22"/>
          <w:lang w:val="en-US"/>
        </w:rPr>
        <w:t xml:space="preserve">fit-for-purpose for use in drug discovery and investigative toxicology, </w:t>
      </w:r>
      <w:r w:rsidR="000E5BC6">
        <w:rPr>
          <w:sz w:val="22"/>
          <w:szCs w:val="22"/>
          <w:lang w:val="en-US"/>
        </w:rPr>
        <w:t>is</w:t>
      </w:r>
      <w:r w:rsidR="00F2191E">
        <w:rPr>
          <w:sz w:val="22"/>
          <w:szCs w:val="22"/>
          <w:lang w:val="en-US"/>
        </w:rPr>
        <w:t xml:space="preserve"> gaining traction to help bridge pre-clinical and clinical safety evaluations in risk assessment. What will greatly help the future uptake and consolidation of these novel biomarkers will be the availability of control </w:t>
      </w:r>
      <w:r w:rsidR="00CF0D45">
        <w:rPr>
          <w:sz w:val="22"/>
          <w:szCs w:val="22"/>
          <w:lang w:val="en-US"/>
        </w:rPr>
        <w:t xml:space="preserve">baseline </w:t>
      </w:r>
      <w:r w:rsidR="00F2191E">
        <w:rPr>
          <w:sz w:val="22"/>
          <w:szCs w:val="22"/>
          <w:lang w:val="en-US"/>
        </w:rPr>
        <w:t xml:space="preserve">datasets </w:t>
      </w:r>
      <w:r w:rsidR="00CF0D45">
        <w:rPr>
          <w:sz w:val="22"/>
          <w:szCs w:val="22"/>
          <w:lang w:val="en-US"/>
        </w:rPr>
        <w:t xml:space="preserve">validated </w:t>
      </w:r>
      <w:r w:rsidR="00F2191E">
        <w:rPr>
          <w:sz w:val="22"/>
          <w:szCs w:val="22"/>
          <w:lang w:val="en-US"/>
        </w:rPr>
        <w:t xml:space="preserve">for animal </w:t>
      </w:r>
      <w:r w:rsidR="00CF0D45">
        <w:rPr>
          <w:sz w:val="22"/>
          <w:szCs w:val="22"/>
          <w:lang w:val="en-US"/>
        </w:rPr>
        <w:t>and human populations</w:t>
      </w:r>
      <w:r w:rsidR="00F2191E">
        <w:rPr>
          <w:sz w:val="22"/>
          <w:szCs w:val="22"/>
          <w:lang w:val="en-US"/>
        </w:rPr>
        <w:t xml:space="preserve">. </w:t>
      </w:r>
      <w:r w:rsidR="00AE4C41" w:rsidRPr="00C67537">
        <w:rPr>
          <w:sz w:val="22"/>
          <w:szCs w:val="22"/>
          <w:lang w:val="en-GB"/>
        </w:rPr>
        <w:t xml:space="preserve">Gene signatures are sets of transcripts identified </w:t>
      </w:r>
      <w:r w:rsidR="00B030E0">
        <w:rPr>
          <w:sz w:val="22"/>
          <w:szCs w:val="22"/>
          <w:lang w:val="en-GB"/>
        </w:rPr>
        <w:t>using machine learning algorithms from database</w:t>
      </w:r>
      <w:r w:rsidR="00AE4C41" w:rsidRPr="00C67537">
        <w:rPr>
          <w:sz w:val="22"/>
          <w:szCs w:val="22"/>
          <w:lang w:val="en-GB"/>
        </w:rPr>
        <w:t xml:space="preserve">s </w:t>
      </w:r>
      <w:r w:rsidR="00B030E0">
        <w:rPr>
          <w:sz w:val="22"/>
          <w:szCs w:val="22"/>
          <w:lang w:val="en-GB"/>
        </w:rPr>
        <w:t xml:space="preserve">of </w:t>
      </w:r>
      <w:r w:rsidR="00B030E0" w:rsidRPr="00C67537">
        <w:rPr>
          <w:sz w:val="22"/>
          <w:szCs w:val="22"/>
          <w:lang w:val="en-GB"/>
        </w:rPr>
        <w:t>transcriptomic profile</w:t>
      </w:r>
      <w:r w:rsidR="00B030E0">
        <w:rPr>
          <w:sz w:val="22"/>
          <w:szCs w:val="22"/>
          <w:lang w:val="en-GB"/>
        </w:rPr>
        <w:t>s of</w:t>
      </w:r>
      <w:r w:rsidR="00AE4C41" w:rsidRPr="00C67537">
        <w:rPr>
          <w:sz w:val="22"/>
          <w:szCs w:val="22"/>
          <w:lang w:val="en-GB"/>
        </w:rPr>
        <w:t xml:space="preserve"> </w:t>
      </w:r>
      <w:r w:rsidR="00570865">
        <w:rPr>
          <w:sz w:val="22"/>
          <w:szCs w:val="22"/>
          <w:lang w:val="en-GB"/>
        </w:rPr>
        <w:t xml:space="preserve">sets of </w:t>
      </w:r>
      <w:r w:rsidR="00AE4C41" w:rsidRPr="00C67537">
        <w:rPr>
          <w:sz w:val="22"/>
          <w:szCs w:val="22"/>
          <w:lang w:val="en-GB"/>
        </w:rPr>
        <w:t xml:space="preserve">training </w:t>
      </w:r>
      <w:r w:rsidR="00B030E0">
        <w:rPr>
          <w:sz w:val="22"/>
          <w:szCs w:val="22"/>
          <w:lang w:val="en-GB"/>
        </w:rPr>
        <w:t xml:space="preserve">and testing </w:t>
      </w:r>
      <w:r w:rsidR="00AE4C41" w:rsidRPr="00C67537">
        <w:rPr>
          <w:sz w:val="22"/>
          <w:szCs w:val="22"/>
          <w:lang w:val="en-GB"/>
        </w:rPr>
        <w:t>compounds</w:t>
      </w:r>
      <w:r w:rsidR="006F0AC0" w:rsidRPr="00C67537">
        <w:rPr>
          <w:noProof/>
          <w:sz w:val="22"/>
          <w:szCs w:val="22"/>
          <w:lang w:val="en-GB"/>
        </w:rPr>
        <w:t xml:space="preserve"> </w:t>
      </w:r>
      <w:sdt>
        <w:sdtPr>
          <w:rPr>
            <w:noProof/>
            <w:sz w:val="22"/>
            <w:szCs w:val="22"/>
            <w:lang w:val="en-GB"/>
          </w:rPr>
          <w:id w:val="-1680189273"/>
          <w:citation/>
        </w:sdtPr>
        <w:sdtEndPr/>
        <w:sdtContent>
          <w:r w:rsidR="00F21C43">
            <w:rPr>
              <w:noProof/>
              <w:sz w:val="22"/>
              <w:szCs w:val="22"/>
              <w:lang w:val="en-GB"/>
            </w:rPr>
            <w:fldChar w:fldCharType="begin"/>
          </w:r>
          <w:r w:rsidR="00F21C43">
            <w:rPr>
              <w:noProof/>
              <w:sz w:val="22"/>
              <w:szCs w:val="22"/>
              <w:lang w:val="en-GB"/>
            </w:rPr>
            <w:instrText xml:space="preserve"> CITATION Zha12 \l 2057 </w:instrText>
          </w:r>
          <w:r w:rsidR="00F21C43">
            <w:rPr>
              <w:noProof/>
              <w:sz w:val="22"/>
              <w:szCs w:val="22"/>
              <w:lang w:val="en-GB"/>
            </w:rPr>
            <w:fldChar w:fldCharType="separate"/>
          </w:r>
          <w:r w:rsidR="002D6947" w:rsidRPr="002D6947">
            <w:rPr>
              <w:noProof/>
              <w:sz w:val="22"/>
              <w:szCs w:val="22"/>
              <w:lang w:val="en-GB"/>
            </w:rPr>
            <w:t>[82]</w:t>
          </w:r>
          <w:r w:rsidR="00F21C43">
            <w:rPr>
              <w:noProof/>
              <w:sz w:val="22"/>
              <w:szCs w:val="22"/>
              <w:lang w:val="en-GB"/>
            </w:rPr>
            <w:fldChar w:fldCharType="end"/>
          </w:r>
        </w:sdtContent>
      </w:sdt>
      <w:r w:rsidR="00AE4C41" w:rsidRPr="00C67537">
        <w:rPr>
          <w:sz w:val="22"/>
          <w:szCs w:val="22"/>
          <w:lang w:val="en-GB"/>
        </w:rPr>
        <w:t xml:space="preserve">. </w:t>
      </w:r>
      <w:r w:rsidR="00B030E0">
        <w:rPr>
          <w:sz w:val="22"/>
          <w:szCs w:val="22"/>
          <w:lang w:val="en-GB"/>
        </w:rPr>
        <w:t>These</w:t>
      </w:r>
      <w:r w:rsidR="00B030E0" w:rsidRPr="00C67537">
        <w:rPr>
          <w:sz w:val="22"/>
          <w:szCs w:val="22"/>
          <w:lang w:val="en-GB"/>
        </w:rPr>
        <w:t xml:space="preserve"> </w:t>
      </w:r>
      <w:r w:rsidR="00D4338F" w:rsidRPr="00C67537">
        <w:rPr>
          <w:sz w:val="22"/>
          <w:szCs w:val="22"/>
          <w:lang w:val="en-GB"/>
        </w:rPr>
        <w:t>s</w:t>
      </w:r>
      <w:r w:rsidR="00AE4C41" w:rsidRPr="00C67537">
        <w:rPr>
          <w:sz w:val="22"/>
          <w:szCs w:val="22"/>
          <w:lang w:val="en-GB"/>
        </w:rPr>
        <w:t>ignature</w:t>
      </w:r>
      <w:r w:rsidR="00D4338F" w:rsidRPr="00C67537">
        <w:rPr>
          <w:sz w:val="22"/>
          <w:szCs w:val="22"/>
          <w:lang w:val="en-GB"/>
        </w:rPr>
        <w:t>s</w:t>
      </w:r>
      <w:r w:rsidR="00AE4C41" w:rsidRPr="00C67537">
        <w:rPr>
          <w:sz w:val="22"/>
          <w:szCs w:val="22"/>
          <w:lang w:val="en-GB"/>
        </w:rPr>
        <w:t xml:space="preserve"> </w:t>
      </w:r>
      <w:r w:rsidR="00B030E0">
        <w:rPr>
          <w:sz w:val="22"/>
          <w:szCs w:val="22"/>
          <w:lang w:val="en-GB"/>
        </w:rPr>
        <w:t xml:space="preserve">can help categorize the </w:t>
      </w:r>
      <w:proofErr w:type="spellStart"/>
      <w:r w:rsidR="00B030E0">
        <w:rPr>
          <w:sz w:val="22"/>
          <w:szCs w:val="22"/>
          <w:lang w:val="en-GB"/>
        </w:rPr>
        <w:t>MoA</w:t>
      </w:r>
      <w:proofErr w:type="spellEnd"/>
      <w:r w:rsidR="00B030E0">
        <w:rPr>
          <w:sz w:val="22"/>
          <w:szCs w:val="22"/>
          <w:lang w:val="en-GB"/>
        </w:rPr>
        <w:t xml:space="preserve"> of novel experimental </w:t>
      </w:r>
      <w:r w:rsidR="00AE4C41" w:rsidRPr="00C67537">
        <w:rPr>
          <w:sz w:val="22"/>
          <w:szCs w:val="22"/>
          <w:lang w:val="en-GB"/>
        </w:rPr>
        <w:t>compounds</w:t>
      </w:r>
      <w:r w:rsidR="00B030E0">
        <w:rPr>
          <w:sz w:val="22"/>
          <w:szCs w:val="22"/>
          <w:lang w:val="en-GB"/>
        </w:rPr>
        <w:t xml:space="preserve"> (</w:t>
      </w:r>
      <w:proofErr w:type="spellStart"/>
      <w:r w:rsidR="00B030E0" w:rsidRPr="00C67537">
        <w:rPr>
          <w:sz w:val="22"/>
          <w:szCs w:val="22"/>
          <w:lang w:val="en-GB"/>
        </w:rPr>
        <w:t>chemogenomic</w:t>
      </w:r>
      <w:proofErr w:type="spellEnd"/>
      <w:r w:rsidR="00B030E0" w:rsidRPr="00C67537">
        <w:rPr>
          <w:sz w:val="22"/>
          <w:szCs w:val="22"/>
          <w:lang w:val="en-GB"/>
        </w:rPr>
        <w:t xml:space="preserve"> approaches as chemical classifiers</w:t>
      </w:r>
      <w:r w:rsidR="00B030E0">
        <w:rPr>
          <w:sz w:val="22"/>
          <w:szCs w:val="22"/>
          <w:lang w:val="en-GB"/>
        </w:rPr>
        <w:t>), but</w:t>
      </w:r>
      <w:r w:rsidR="00AE4C41" w:rsidRPr="00C67537">
        <w:rPr>
          <w:sz w:val="22"/>
          <w:szCs w:val="22"/>
          <w:lang w:val="en-GB"/>
        </w:rPr>
        <w:t xml:space="preserve"> may </w:t>
      </w:r>
      <w:r w:rsidR="00B030E0">
        <w:rPr>
          <w:sz w:val="22"/>
          <w:szCs w:val="22"/>
          <w:lang w:val="en-GB"/>
        </w:rPr>
        <w:t>also</w:t>
      </w:r>
      <w:r w:rsidR="00AE4C41" w:rsidRPr="00C67537">
        <w:rPr>
          <w:sz w:val="22"/>
          <w:szCs w:val="22"/>
          <w:lang w:val="en-GB"/>
        </w:rPr>
        <w:t xml:space="preserve"> </w:t>
      </w:r>
      <w:r w:rsidR="00B030E0">
        <w:rPr>
          <w:sz w:val="22"/>
          <w:szCs w:val="22"/>
          <w:lang w:val="en-GB"/>
        </w:rPr>
        <w:t>provide mechanistic and</w:t>
      </w:r>
      <w:r w:rsidR="00B030E0" w:rsidRPr="00C67537">
        <w:rPr>
          <w:sz w:val="22"/>
          <w:szCs w:val="22"/>
          <w:lang w:val="en-GB"/>
        </w:rPr>
        <w:t xml:space="preserve"> </w:t>
      </w:r>
      <w:r w:rsidR="00AE4C41" w:rsidRPr="00C67537">
        <w:rPr>
          <w:sz w:val="22"/>
          <w:szCs w:val="22"/>
          <w:lang w:val="en-GB"/>
        </w:rPr>
        <w:t xml:space="preserve">physiological insight </w:t>
      </w:r>
      <w:r w:rsidR="00CD1872">
        <w:rPr>
          <w:sz w:val="22"/>
          <w:szCs w:val="22"/>
          <w:lang w:val="en-GB"/>
        </w:rPr>
        <w:t>into</w:t>
      </w:r>
      <w:r w:rsidR="00CD1872" w:rsidRPr="00644E00">
        <w:rPr>
          <w:sz w:val="22"/>
          <w:szCs w:val="22"/>
          <w:lang w:val="en-GB"/>
        </w:rPr>
        <w:t xml:space="preserve"> </w:t>
      </w:r>
      <w:r w:rsidR="00B030E0" w:rsidRPr="00644E00">
        <w:rPr>
          <w:sz w:val="22"/>
          <w:szCs w:val="22"/>
          <w:lang w:val="en-GB"/>
        </w:rPr>
        <w:t>toxic changes</w:t>
      </w:r>
      <w:r w:rsidR="00B030E0">
        <w:rPr>
          <w:i/>
          <w:sz w:val="22"/>
          <w:szCs w:val="22"/>
          <w:lang w:val="en-GB"/>
        </w:rPr>
        <w:t>.</w:t>
      </w:r>
      <w:r w:rsidR="00AE4C41" w:rsidRPr="00C67537">
        <w:rPr>
          <w:sz w:val="22"/>
          <w:szCs w:val="22"/>
          <w:lang w:val="en-GB"/>
        </w:rPr>
        <w:t xml:space="preserve"> Unsupervised network methods organize transcriptomic data into networks using coalescent properties of the biological systems, e.g. co-expression</w:t>
      </w:r>
      <w:r w:rsidR="006F0AC0" w:rsidRPr="00C67537">
        <w:rPr>
          <w:sz w:val="22"/>
          <w:szCs w:val="22"/>
          <w:lang w:val="en-GB"/>
        </w:rPr>
        <w:t xml:space="preserve"> </w:t>
      </w:r>
      <w:sdt>
        <w:sdtPr>
          <w:rPr>
            <w:sz w:val="22"/>
            <w:szCs w:val="22"/>
            <w:lang w:val="en-GB"/>
          </w:rPr>
          <w:id w:val="1437637558"/>
          <w:citation/>
        </w:sdtPr>
        <w:sdtEndPr/>
        <w:sdtContent>
          <w:r w:rsidR="00F21C43">
            <w:rPr>
              <w:sz w:val="22"/>
              <w:szCs w:val="22"/>
              <w:lang w:val="en-GB"/>
            </w:rPr>
            <w:fldChar w:fldCharType="begin"/>
          </w:r>
          <w:r w:rsidR="00F21C43">
            <w:rPr>
              <w:noProof/>
              <w:sz w:val="22"/>
              <w:szCs w:val="22"/>
              <w:lang w:val="en-GB"/>
            </w:rPr>
            <w:instrText xml:space="preserve"> CITATION Cal12 \l 2057 </w:instrText>
          </w:r>
          <w:r w:rsidR="00F21C43">
            <w:rPr>
              <w:sz w:val="22"/>
              <w:szCs w:val="22"/>
              <w:lang w:val="en-GB"/>
            </w:rPr>
            <w:fldChar w:fldCharType="separate"/>
          </w:r>
          <w:r w:rsidR="002D6947" w:rsidRPr="002D6947">
            <w:rPr>
              <w:noProof/>
              <w:sz w:val="22"/>
              <w:szCs w:val="22"/>
              <w:lang w:val="en-GB"/>
            </w:rPr>
            <w:t>[85]</w:t>
          </w:r>
          <w:r w:rsidR="00F21C43">
            <w:rPr>
              <w:sz w:val="22"/>
              <w:szCs w:val="22"/>
              <w:lang w:val="en-GB"/>
            </w:rPr>
            <w:fldChar w:fldCharType="end"/>
          </w:r>
        </w:sdtContent>
      </w:sdt>
      <w:r w:rsidR="00AE4C41" w:rsidRPr="00C67537">
        <w:rPr>
          <w:sz w:val="22"/>
          <w:szCs w:val="22"/>
          <w:lang w:val="en-GB"/>
        </w:rPr>
        <w:t xml:space="preserve">.  In many cases, co-expression networks recapitulate known biological response pathways but may also define novel responses networks.  Co-expression networks are highly perturbed in cultured hepatocytes in the absence of chemical treatment contributing to poor concordance in network responses to chemical comparing </w:t>
      </w:r>
      <w:r w:rsidR="00AE4C41" w:rsidRPr="00C67537">
        <w:rPr>
          <w:i/>
          <w:sz w:val="22"/>
          <w:szCs w:val="22"/>
          <w:lang w:val="en-GB"/>
        </w:rPr>
        <w:t>in vitro</w:t>
      </w:r>
      <w:r w:rsidR="00AE4C41" w:rsidRPr="00C67537">
        <w:rPr>
          <w:sz w:val="22"/>
          <w:szCs w:val="22"/>
          <w:lang w:val="en-GB"/>
        </w:rPr>
        <w:t xml:space="preserve"> to </w:t>
      </w:r>
      <w:r w:rsidR="00AE4C41" w:rsidRPr="00C67537">
        <w:rPr>
          <w:i/>
          <w:sz w:val="22"/>
          <w:szCs w:val="22"/>
          <w:lang w:val="en-GB"/>
        </w:rPr>
        <w:t>in vivo</w:t>
      </w:r>
      <w:r w:rsidR="00AE4C41" w:rsidRPr="00C67537">
        <w:rPr>
          <w:sz w:val="22"/>
          <w:szCs w:val="22"/>
          <w:lang w:val="en-GB"/>
        </w:rPr>
        <w:t xml:space="preserve"> results</w:t>
      </w:r>
      <w:r w:rsidR="006F0AC0" w:rsidRPr="00C67537">
        <w:rPr>
          <w:noProof/>
          <w:sz w:val="22"/>
          <w:szCs w:val="22"/>
          <w:lang w:val="en-GB"/>
        </w:rPr>
        <w:t xml:space="preserve"> </w:t>
      </w:r>
      <w:sdt>
        <w:sdtPr>
          <w:rPr>
            <w:noProof/>
            <w:sz w:val="22"/>
            <w:szCs w:val="22"/>
            <w:lang w:val="en-GB"/>
          </w:rPr>
          <w:id w:val="-272330349"/>
          <w:citation/>
        </w:sdtPr>
        <w:sdtEndPr/>
        <w:sdtContent>
          <w:r w:rsidR="007A7FB5">
            <w:rPr>
              <w:noProof/>
              <w:sz w:val="22"/>
              <w:szCs w:val="22"/>
              <w:lang w:val="en-GB"/>
            </w:rPr>
            <w:fldChar w:fldCharType="begin"/>
          </w:r>
          <w:r w:rsidR="007A7FB5">
            <w:rPr>
              <w:noProof/>
              <w:sz w:val="22"/>
              <w:szCs w:val="22"/>
              <w:lang w:val="en-GB"/>
            </w:rPr>
            <w:instrText xml:space="preserve"> CITATION Sut16 \l 2057 </w:instrText>
          </w:r>
          <w:r w:rsidR="007A7FB5">
            <w:rPr>
              <w:noProof/>
              <w:sz w:val="22"/>
              <w:szCs w:val="22"/>
              <w:lang w:val="en-GB"/>
            </w:rPr>
            <w:fldChar w:fldCharType="separate"/>
          </w:r>
          <w:r w:rsidR="002D6947" w:rsidRPr="002D6947">
            <w:rPr>
              <w:noProof/>
              <w:sz w:val="22"/>
              <w:szCs w:val="22"/>
              <w:lang w:val="en-GB"/>
            </w:rPr>
            <w:t>[86]</w:t>
          </w:r>
          <w:r w:rsidR="007A7FB5">
            <w:rPr>
              <w:noProof/>
              <w:sz w:val="22"/>
              <w:szCs w:val="22"/>
              <w:lang w:val="en-GB"/>
            </w:rPr>
            <w:fldChar w:fldCharType="end"/>
          </w:r>
        </w:sdtContent>
      </w:sdt>
      <w:r w:rsidR="00AE4C41" w:rsidRPr="00C67537">
        <w:rPr>
          <w:sz w:val="22"/>
          <w:szCs w:val="22"/>
          <w:lang w:val="en-GB"/>
        </w:rPr>
        <w:t xml:space="preserve">.  Network methods may provide a systems level approach to monitoring the integrity of biological response networks in next generation hepatocyte culture models.  Thus, genomic approach applied to </w:t>
      </w:r>
      <w:r w:rsidR="00AE4C41" w:rsidRPr="00C67537">
        <w:rPr>
          <w:i/>
          <w:sz w:val="22"/>
          <w:szCs w:val="22"/>
          <w:lang w:val="en-GB"/>
        </w:rPr>
        <w:t>in vitro</w:t>
      </w:r>
      <w:r w:rsidR="00AE4C41" w:rsidRPr="00C67537">
        <w:rPr>
          <w:sz w:val="22"/>
          <w:szCs w:val="22"/>
          <w:lang w:val="en-GB"/>
        </w:rPr>
        <w:t xml:space="preserve"> liver model</w:t>
      </w:r>
      <w:r w:rsidR="00C67537" w:rsidRPr="00C67537">
        <w:rPr>
          <w:sz w:val="22"/>
          <w:szCs w:val="22"/>
          <w:lang w:val="en-GB"/>
        </w:rPr>
        <w:t>s</w:t>
      </w:r>
      <w:r w:rsidR="00AE4C41" w:rsidRPr="00C67537">
        <w:rPr>
          <w:sz w:val="22"/>
          <w:szCs w:val="22"/>
          <w:lang w:val="en-GB"/>
        </w:rPr>
        <w:t xml:space="preserve"> hold promise not only for elucidating mechanistic markers of DILI and predicting DILI potential for new chemical entities, but as a method to evaluate the similarity of </w:t>
      </w:r>
      <w:r w:rsidR="00EF6783" w:rsidRPr="00061BD7">
        <w:rPr>
          <w:sz w:val="22"/>
          <w:szCs w:val="22"/>
          <w:lang w:val="en-US"/>
        </w:rPr>
        <w:t xml:space="preserve">responses in improved next generation liver culture </w:t>
      </w:r>
      <w:r w:rsidR="00AE4C41" w:rsidRPr="00061BD7">
        <w:rPr>
          <w:i/>
          <w:sz w:val="22"/>
          <w:szCs w:val="22"/>
          <w:lang w:val="en-GB"/>
        </w:rPr>
        <w:t>in vitro</w:t>
      </w:r>
      <w:r w:rsidR="00AE4C41" w:rsidRPr="00061BD7">
        <w:rPr>
          <w:sz w:val="22"/>
          <w:szCs w:val="22"/>
          <w:lang w:val="en-GB"/>
        </w:rPr>
        <w:t xml:space="preserve"> systems to intact liver</w:t>
      </w:r>
      <w:r w:rsidR="00EF6783" w:rsidRPr="00061BD7">
        <w:rPr>
          <w:sz w:val="22"/>
          <w:szCs w:val="22"/>
          <w:lang w:val="en-GB"/>
        </w:rPr>
        <w:t xml:space="preserve"> </w:t>
      </w:r>
      <w:r w:rsidR="00EF6783" w:rsidRPr="00061BD7">
        <w:rPr>
          <w:sz w:val="22"/>
          <w:szCs w:val="22"/>
          <w:lang w:val="en-US"/>
        </w:rPr>
        <w:t>compared to simple 2D culture models commonly employed in mechanistic studies</w:t>
      </w:r>
      <w:r w:rsidR="006F0AC0" w:rsidRPr="00061BD7">
        <w:rPr>
          <w:noProof/>
          <w:sz w:val="22"/>
          <w:szCs w:val="22"/>
          <w:lang w:val="en-GB"/>
        </w:rPr>
        <w:t xml:space="preserve"> </w:t>
      </w:r>
      <w:sdt>
        <w:sdtPr>
          <w:rPr>
            <w:noProof/>
            <w:sz w:val="22"/>
            <w:szCs w:val="22"/>
            <w:lang w:val="en-GB"/>
          </w:rPr>
          <w:id w:val="-257065061"/>
          <w:citation/>
        </w:sdtPr>
        <w:sdtEndPr/>
        <w:sdtContent>
          <w:r w:rsidR="007A7FB5">
            <w:rPr>
              <w:noProof/>
              <w:sz w:val="22"/>
              <w:szCs w:val="22"/>
              <w:lang w:val="en-GB"/>
            </w:rPr>
            <w:fldChar w:fldCharType="begin"/>
          </w:r>
          <w:r w:rsidR="007A7FB5">
            <w:rPr>
              <w:noProof/>
              <w:sz w:val="22"/>
              <w:szCs w:val="22"/>
              <w:lang w:val="en-GB"/>
            </w:rPr>
            <w:instrText xml:space="preserve"> CITATION Jia15 \l 2057 </w:instrText>
          </w:r>
          <w:r w:rsidR="007A7FB5">
            <w:rPr>
              <w:noProof/>
              <w:sz w:val="22"/>
              <w:szCs w:val="22"/>
              <w:lang w:val="en-GB"/>
            </w:rPr>
            <w:fldChar w:fldCharType="separate"/>
          </w:r>
          <w:r w:rsidR="002D6947" w:rsidRPr="002D6947">
            <w:rPr>
              <w:noProof/>
              <w:sz w:val="22"/>
              <w:szCs w:val="22"/>
              <w:lang w:val="en-GB"/>
            </w:rPr>
            <w:t>[87]</w:t>
          </w:r>
          <w:r w:rsidR="007A7FB5">
            <w:rPr>
              <w:noProof/>
              <w:sz w:val="22"/>
              <w:szCs w:val="22"/>
              <w:lang w:val="en-GB"/>
            </w:rPr>
            <w:fldChar w:fldCharType="end"/>
          </w:r>
        </w:sdtContent>
      </w:sdt>
      <w:r w:rsidR="006F0AC0" w:rsidRPr="00C67537">
        <w:rPr>
          <w:sz w:val="22"/>
          <w:szCs w:val="22"/>
          <w:lang w:val="en-GB"/>
        </w:rPr>
        <w:t>.</w:t>
      </w:r>
    </w:p>
    <w:p w14:paraId="4D772935" w14:textId="77777777" w:rsidR="00F2782A" w:rsidRDefault="00F2782A" w:rsidP="0019391B">
      <w:pPr>
        <w:spacing w:line="480" w:lineRule="auto"/>
        <w:jc w:val="both"/>
        <w:rPr>
          <w:sz w:val="22"/>
          <w:szCs w:val="22"/>
          <w:lang w:val="en-GB"/>
        </w:rPr>
      </w:pPr>
    </w:p>
    <w:p w14:paraId="2C261CCB" w14:textId="1081458A" w:rsidR="00F2782A" w:rsidRPr="00B92044" w:rsidRDefault="00021F2B" w:rsidP="00525724">
      <w:pPr>
        <w:pStyle w:val="Paragraphedeliste"/>
        <w:numPr>
          <w:ilvl w:val="0"/>
          <w:numId w:val="25"/>
        </w:numPr>
        <w:spacing w:line="480" w:lineRule="auto"/>
        <w:jc w:val="both"/>
        <w:rPr>
          <w:rFonts w:ascii="Times New Roman" w:hAnsi="Times New Roman"/>
        </w:rPr>
      </w:pPr>
      <w:r w:rsidRPr="00B92044">
        <w:rPr>
          <w:rFonts w:ascii="Times New Roman" w:hAnsi="Times New Roman"/>
          <w:b/>
          <w:lang w:val="en-GB"/>
        </w:rPr>
        <w:t>Chemically reactive metabolites</w:t>
      </w:r>
      <w:r w:rsidR="00F2782A" w:rsidRPr="00B92044">
        <w:rPr>
          <w:rFonts w:ascii="Times New Roman" w:hAnsi="Times New Roman"/>
        </w:rPr>
        <w:t xml:space="preserve"> </w:t>
      </w:r>
    </w:p>
    <w:p w14:paraId="27DEE537" w14:textId="6A0C3ED0" w:rsidR="00F2782A" w:rsidRPr="00F2782A" w:rsidRDefault="00F2782A" w:rsidP="00F2782A">
      <w:pPr>
        <w:spacing w:line="480" w:lineRule="auto"/>
        <w:jc w:val="both"/>
        <w:rPr>
          <w:sz w:val="22"/>
          <w:szCs w:val="22"/>
          <w:lang w:val="en-US"/>
        </w:rPr>
      </w:pPr>
      <w:r w:rsidRPr="00F2782A">
        <w:rPr>
          <w:sz w:val="22"/>
          <w:szCs w:val="22"/>
          <w:lang w:val="en-US"/>
        </w:rPr>
        <w:t xml:space="preserve">Chemically reactive metabolites are recognized as a potential causative factor for DILI </w:t>
      </w:r>
      <w:sdt>
        <w:sdtPr>
          <w:rPr>
            <w:sz w:val="22"/>
            <w:szCs w:val="22"/>
            <w:lang w:val="en-US"/>
          </w:rPr>
          <w:id w:val="-1291966382"/>
          <w:citation/>
        </w:sdtPr>
        <w:sdtEndPr/>
        <w:sdtContent>
          <w:r w:rsidRPr="00F2782A">
            <w:rPr>
              <w:sz w:val="22"/>
              <w:szCs w:val="22"/>
              <w:lang w:val="en-US"/>
            </w:rPr>
            <w:fldChar w:fldCharType="begin"/>
          </w:r>
          <w:r w:rsidRPr="00F2782A">
            <w:rPr>
              <w:sz w:val="22"/>
              <w:szCs w:val="22"/>
              <w:lang w:val="en-GB"/>
            </w:rPr>
            <w:instrText xml:space="preserve"> CITATION Par \l 2057 </w:instrText>
          </w:r>
          <w:r w:rsidRPr="00F2782A">
            <w:rPr>
              <w:sz w:val="22"/>
              <w:szCs w:val="22"/>
              <w:lang w:val="en-US"/>
            </w:rPr>
            <w:fldChar w:fldCharType="separate"/>
          </w:r>
          <w:r w:rsidR="002D6947" w:rsidRPr="002D6947">
            <w:rPr>
              <w:noProof/>
              <w:sz w:val="22"/>
              <w:szCs w:val="22"/>
              <w:lang w:val="en-GB"/>
            </w:rPr>
            <w:t>[88]</w:t>
          </w:r>
          <w:r w:rsidRPr="00F2782A">
            <w:rPr>
              <w:sz w:val="22"/>
              <w:szCs w:val="22"/>
              <w:lang w:val="en-US"/>
            </w:rPr>
            <w:fldChar w:fldCharType="end"/>
          </w:r>
        </w:sdtContent>
      </w:sdt>
      <w:r w:rsidRPr="00F2782A">
        <w:rPr>
          <w:sz w:val="22"/>
          <w:szCs w:val="22"/>
          <w:lang w:val="en-US"/>
        </w:rPr>
        <w:t xml:space="preserve">. Several groups have published that quantification of reactive metabolite formation by covalent binding </w:t>
      </w:r>
      <w:r w:rsidRPr="00F2782A">
        <w:rPr>
          <w:sz w:val="22"/>
          <w:szCs w:val="22"/>
          <w:lang w:val="en-US"/>
        </w:rPr>
        <w:lastRenderedPageBreak/>
        <w:t xml:space="preserve">assessment in </w:t>
      </w:r>
      <w:r w:rsidRPr="00F2782A">
        <w:rPr>
          <w:i/>
          <w:sz w:val="22"/>
          <w:szCs w:val="22"/>
          <w:lang w:val="en-US"/>
        </w:rPr>
        <w:t>in vitro</w:t>
      </w:r>
      <w:r w:rsidRPr="00F2782A">
        <w:rPr>
          <w:sz w:val="22"/>
          <w:szCs w:val="22"/>
          <w:lang w:val="en-US"/>
        </w:rPr>
        <w:t xml:space="preserve"> human liver models and calculation of body burden by use of daily dose and </w:t>
      </w:r>
      <w:r w:rsidRPr="00F2782A">
        <w:rPr>
          <w:i/>
          <w:sz w:val="22"/>
          <w:szCs w:val="22"/>
          <w:lang w:val="en-US"/>
        </w:rPr>
        <w:t>in vitro</w:t>
      </w:r>
      <w:r w:rsidRPr="00F2782A">
        <w:rPr>
          <w:sz w:val="22"/>
          <w:szCs w:val="22"/>
          <w:lang w:val="en-US"/>
        </w:rPr>
        <w:t xml:space="preserve"> intrinsic clearance values can distinguish hepatotoxic from non-hepatotoxic compounds </w:t>
      </w:r>
      <w:sdt>
        <w:sdtPr>
          <w:rPr>
            <w:sz w:val="22"/>
            <w:szCs w:val="22"/>
            <w:lang w:val="en-US"/>
          </w:rPr>
          <w:id w:val="673080288"/>
          <w:citation/>
        </w:sdtPr>
        <w:sdtEndPr/>
        <w:sdtContent>
          <w:r w:rsidRPr="00F2782A">
            <w:rPr>
              <w:sz w:val="22"/>
              <w:szCs w:val="22"/>
              <w:lang w:val="en-US"/>
            </w:rPr>
            <w:fldChar w:fldCharType="begin"/>
          </w:r>
          <w:r w:rsidRPr="00F2782A">
            <w:rPr>
              <w:sz w:val="22"/>
              <w:szCs w:val="22"/>
              <w:lang w:val="en-GB"/>
            </w:rPr>
            <w:instrText xml:space="preserve"> CITATION Tho12 \l 2057 </w:instrText>
          </w:r>
          <w:r w:rsidRPr="00F2782A">
            <w:rPr>
              <w:sz w:val="22"/>
              <w:szCs w:val="22"/>
              <w:lang w:val="en-US"/>
            </w:rPr>
            <w:fldChar w:fldCharType="separate"/>
          </w:r>
          <w:r w:rsidR="002D6947" w:rsidRPr="002D6947">
            <w:rPr>
              <w:noProof/>
              <w:sz w:val="22"/>
              <w:szCs w:val="22"/>
              <w:lang w:val="en-GB"/>
            </w:rPr>
            <w:t>[89]</w:t>
          </w:r>
          <w:r w:rsidRPr="00F2782A">
            <w:rPr>
              <w:sz w:val="22"/>
              <w:szCs w:val="22"/>
              <w:lang w:val="en-US"/>
            </w:rPr>
            <w:fldChar w:fldCharType="end"/>
          </w:r>
        </w:sdtContent>
      </w:sdt>
      <w:r w:rsidRPr="00F2782A">
        <w:rPr>
          <w:sz w:val="22"/>
          <w:szCs w:val="22"/>
          <w:lang w:val="en-US"/>
        </w:rPr>
        <w:t xml:space="preserve"> </w:t>
      </w:r>
      <w:sdt>
        <w:sdtPr>
          <w:rPr>
            <w:sz w:val="22"/>
            <w:szCs w:val="22"/>
            <w:lang w:val="en-US"/>
          </w:rPr>
          <w:id w:val="417604590"/>
          <w:citation/>
        </w:sdtPr>
        <w:sdtEndPr/>
        <w:sdtContent>
          <w:r w:rsidRPr="00F2782A">
            <w:rPr>
              <w:sz w:val="22"/>
              <w:szCs w:val="22"/>
              <w:lang w:val="en-US"/>
            </w:rPr>
            <w:fldChar w:fldCharType="begin"/>
          </w:r>
          <w:r w:rsidRPr="00F2782A">
            <w:rPr>
              <w:sz w:val="22"/>
              <w:szCs w:val="22"/>
              <w:lang w:val="en-GB"/>
            </w:rPr>
            <w:instrText xml:space="preserve"> CITATION Nak09 \l 2057 </w:instrText>
          </w:r>
          <w:r w:rsidRPr="00F2782A">
            <w:rPr>
              <w:sz w:val="22"/>
              <w:szCs w:val="22"/>
              <w:lang w:val="en-US"/>
            </w:rPr>
            <w:fldChar w:fldCharType="separate"/>
          </w:r>
          <w:r w:rsidR="002D6947" w:rsidRPr="002D6947">
            <w:rPr>
              <w:noProof/>
              <w:sz w:val="22"/>
              <w:szCs w:val="22"/>
              <w:lang w:val="en-GB"/>
            </w:rPr>
            <w:t>[90]</w:t>
          </w:r>
          <w:r w:rsidRPr="00F2782A">
            <w:rPr>
              <w:sz w:val="22"/>
              <w:szCs w:val="22"/>
              <w:lang w:val="en-US"/>
            </w:rPr>
            <w:fldChar w:fldCharType="end"/>
          </w:r>
        </w:sdtContent>
      </w:sdt>
      <w:r w:rsidRPr="00F2782A">
        <w:rPr>
          <w:sz w:val="22"/>
          <w:szCs w:val="22"/>
          <w:lang w:val="en-US"/>
        </w:rPr>
        <w:t xml:space="preserve"> </w:t>
      </w:r>
      <w:sdt>
        <w:sdtPr>
          <w:rPr>
            <w:sz w:val="22"/>
            <w:szCs w:val="22"/>
            <w:lang w:val="en-US"/>
          </w:rPr>
          <w:id w:val="1375503330"/>
          <w:citation/>
        </w:sdtPr>
        <w:sdtEndPr/>
        <w:sdtContent>
          <w:r w:rsidRPr="00F2782A">
            <w:rPr>
              <w:sz w:val="22"/>
              <w:szCs w:val="22"/>
              <w:lang w:val="en-US"/>
            </w:rPr>
            <w:fldChar w:fldCharType="begin"/>
          </w:r>
          <w:r w:rsidRPr="00F2782A">
            <w:rPr>
              <w:sz w:val="22"/>
              <w:szCs w:val="22"/>
              <w:lang w:val="en-GB"/>
            </w:rPr>
            <w:instrText xml:space="preserve"> CITATION Oba08 \l 2057 </w:instrText>
          </w:r>
          <w:r w:rsidRPr="00F2782A">
            <w:rPr>
              <w:sz w:val="22"/>
              <w:szCs w:val="22"/>
              <w:lang w:val="en-US"/>
            </w:rPr>
            <w:fldChar w:fldCharType="separate"/>
          </w:r>
          <w:r w:rsidR="002D6947" w:rsidRPr="002D6947">
            <w:rPr>
              <w:noProof/>
              <w:sz w:val="22"/>
              <w:szCs w:val="22"/>
              <w:lang w:val="en-GB"/>
            </w:rPr>
            <w:t>[91]</w:t>
          </w:r>
          <w:r w:rsidRPr="00F2782A">
            <w:rPr>
              <w:sz w:val="22"/>
              <w:szCs w:val="22"/>
              <w:lang w:val="en-US"/>
            </w:rPr>
            <w:fldChar w:fldCharType="end"/>
          </w:r>
        </w:sdtContent>
      </w:sdt>
      <w:r w:rsidRPr="00F2782A">
        <w:rPr>
          <w:sz w:val="22"/>
          <w:szCs w:val="22"/>
          <w:lang w:val="en-US"/>
        </w:rPr>
        <w:t>.</w:t>
      </w:r>
    </w:p>
    <w:p w14:paraId="2D0C4440" w14:textId="77777777" w:rsidR="00F2782A" w:rsidRPr="00F2782A" w:rsidRDefault="00F2782A" w:rsidP="00F2782A">
      <w:pPr>
        <w:spacing w:line="480" w:lineRule="auto"/>
        <w:jc w:val="both"/>
        <w:rPr>
          <w:sz w:val="22"/>
          <w:szCs w:val="22"/>
          <w:lang w:val="en-US"/>
        </w:rPr>
      </w:pPr>
    </w:p>
    <w:p w14:paraId="4AA319D9" w14:textId="036BC84C" w:rsidR="00F2782A" w:rsidRPr="00F2782A" w:rsidRDefault="00F2782A" w:rsidP="00F2782A">
      <w:pPr>
        <w:spacing w:line="480" w:lineRule="auto"/>
        <w:jc w:val="both"/>
        <w:rPr>
          <w:sz w:val="22"/>
          <w:szCs w:val="22"/>
          <w:lang w:val="en-GB"/>
        </w:rPr>
      </w:pPr>
      <w:r w:rsidRPr="00F2782A">
        <w:rPr>
          <w:sz w:val="22"/>
          <w:szCs w:val="22"/>
          <w:lang w:val="en-US"/>
        </w:rPr>
        <w:t>In a drug discovery setting, covalent binding of reactive metabolites to liver proteins is typically not assessed due to lack of availability of radiolabeled compound</w:t>
      </w:r>
      <w:r w:rsidR="000E5BC6">
        <w:rPr>
          <w:sz w:val="22"/>
          <w:szCs w:val="22"/>
          <w:lang w:val="en-US"/>
        </w:rPr>
        <w:t xml:space="preserve"> at </w:t>
      </w:r>
      <w:r w:rsidR="007443AA">
        <w:rPr>
          <w:sz w:val="22"/>
          <w:szCs w:val="22"/>
          <w:lang w:val="en-US"/>
        </w:rPr>
        <w:t>this</w:t>
      </w:r>
      <w:r w:rsidR="000E5BC6">
        <w:rPr>
          <w:sz w:val="22"/>
          <w:szCs w:val="22"/>
          <w:lang w:val="en-US"/>
        </w:rPr>
        <w:t xml:space="preserve"> stage</w:t>
      </w:r>
      <w:r w:rsidRPr="00F2782A">
        <w:rPr>
          <w:sz w:val="22"/>
          <w:szCs w:val="22"/>
          <w:lang w:val="en-US"/>
        </w:rPr>
        <w:t xml:space="preserve">.  Instead, pharmaceutical companies have implemented reactive metabolite trapping assays and mechanism based </w:t>
      </w:r>
      <w:r w:rsidR="005C2383" w:rsidRPr="00F2782A">
        <w:rPr>
          <w:sz w:val="22"/>
          <w:szCs w:val="22"/>
          <w:lang w:val="en-US"/>
        </w:rPr>
        <w:t>CYP inactivation</w:t>
      </w:r>
      <w:r w:rsidRPr="00F2782A">
        <w:rPr>
          <w:sz w:val="22"/>
          <w:szCs w:val="22"/>
          <w:lang w:val="en-US"/>
        </w:rPr>
        <w:t xml:space="preserve"> screens to help identify reactive metabolite formation and elucidate the structure of reactive metabolites to guide medical chemistry to reduce and/or avoid the formation of reactive metabolites</w:t>
      </w:r>
      <w:sdt>
        <w:sdtPr>
          <w:rPr>
            <w:sz w:val="22"/>
            <w:szCs w:val="22"/>
            <w:lang w:val="en-US"/>
          </w:rPr>
          <w:id w:val="1946039936"/>
          <w:citation/>
        </w:sdtPr>
        <w:sdtEndPr/>
        <w:sdtContent>
          <w:r w:rsidRPr="00F2782A">
            <w:rPr>
              <w:sz w:val="22"/>
              <w:szCs w:val="22"/>
              <w:lang w:val="en-US"/>
            </w:rPr>
            <w:fldChar w:fldCharType="begin"/>
          </w:r>
          <w:r w:rsidRPr="00F2782A">
            <w:rPr>
              <w:sz w:val="22"/>
              <w:szCs w:val="22"/>
              <w:lang w:val="en-GB"/>
            </w:rPr>
            <w:instrText xml:space="preserve"> CITATION Par \l 2057 </w:instrText>
          </w:r>
          <w:r w:rsidRPr="00F2782A">
            <w:rPr>
              <w:sz w:val="22"/>
              <w:szCs w:val="22"/>
              <w:lang w:val="en-US"/>
            </w:rPr>
            <w:fldChar w:fldCharType="separate"/>
          </w:r>
          <w:r w:rsidR="002D6947">
            <w:rPr>
              <w:noProof/>
              <w:sz w:val="22"/>
              <w:szCs w:val="22"/>
              <w:lang w:val="en-GB"/>
            </w:rPr>
            <w:t xml:space="preserve"> </w:t>
          </w:r>
          <w:r w:rsidR="002D6947" w:rsidRPr="002D6947">
            <w:rPr>
              <w:noProof/>
              <w:sz w:val="22"/>
              <w:szCs w:val="22"/>
              <w:lang w:val="en-GB"/>
            </w:rPr>
            <w:t>[88]</w:t>
          </w:r>
          <w:r w:rsidRPr="00F2782A">
            <w:rPr>
              <w:sz w:val="22"/>
              <w:szCs w:val="22"/>
              <w:lang w:val="en-US"/>
            </w:rPr>
            <w:fldChar w:fldCharType="end"/>
          </w:r>
        </w:sdtContent>
      </w:sdt>
      <w:r w:rsidRPr="00F2782A">
        <w:rPr>
          <w:sz w:val="22"/>
          <w:szCs w:val="22"/>
          <w:lang w:val="en-US"/>
        </w:rPr>
        <w:t xml:space="preserve">. </w:t>
      </w:r>
      <w:proofErr w:type="spellStart"/>
      <w:r w:rsidRPr="00F2782A">
        <w:rPr>
          <w:sz w:val="22"/>
          <w:szCs w:val="22"/>
          <w:lang w:val="en-US"/>
        </w:rPr>
        <w:t>Sakatis</w:t>
      </w:r>
      <w:proofErr w:type="spellEnd"/>
      <w:r w:rsidRPr="00F2782A">
        <w:rPr>
          <w:sz w:val="22"/>
          <w:szCs w:val="22"/>
          <w:lang w:val="en-US"/>
        </w:rPr>
        <w:t xml:space="preserve"> </w:t>
      </w:r>
      <w:r w:rsidRPr="00F2782A">
        <w:rPr>
          <w:i/>
          <w:sz w:val="22"/>
          <w:szCs w:val="22"/>
          <w:lang w:val="en-US"/>
        </w:rPr>
        <w:t>et al.</w:t>
      </w:r>
      <w:r w:rsidRPr="00F2782A">
        <w:rPr>
          <w:sz w:val="22"/>
          <w:szCs w:val="22"/>
          <w:lang w:val="en-US"/>
        </w:rPr>
        <w:t xml:space="preserve"> </w:t>
      </w:r>
      <w:sdt>
        <w:sdtPr>
          <w:rPr>
            <w:sz w:val="22"/>
            <w:szCs w:val="22"/>
            <w:lang w:val="en-US"/>
          </w:rPr>
          <w:id w:val="1339969551"/>
          <w:citation/>
        </w:sdtPr>
        <w:sdtEndPr/>
        <w:sdtContent>
          <w:r w:rsidRPr="00F2782A">
            <w:rPr>
              <w:sz w:val="22"/>
              <w:szCs w:val="22"/>
              <w:lang w:val="en-US"/>
            </w:rPr>
            <w:fldChar w:fldCharType="begin"/>
          </w:r>
          <w:r w:rsidRPr="00F2782A">
            <w:rPr>
              <w:sz w:val="22"/>
              <w:szCs w:val="22"/>
              <w:lang w:val="en-GB"/>
            </w:rPr>
            <w:instrText xml:space="preserve"> CITATION Sak12 \l 2057 </w:instrText>
          </w:r>
          <w:r w:rsidRPr="00F2782A">
            <w:rPr>
              <w:sz w:val="22"/>
              <w:szCs w:val="22"/>
              <w:lang w:val="en-US"/>
            </w:rPr>
            <w:fldChar w:fldCharType="separate"/>
          </w:r>
          <w:r w:rsidR="002D6947" w:rsidRPr="002D6947">
            <w:rPr>
              <w:noProof/>
              <w:sz w:val="22"/>
              <w:szCs w:val="22"/>
              <w:lang w:val="en-GB"/>
            </w:rPr>
            <w:t>[92]</w:t>
          </w:r>
          <w:r w:rsidRPr="00F2782A">
            <w:rPr>
              <w:sz w:val="22"/>
              <w:szCs w:val="22"/>
              <w:lang w:val="en-US"/>
            </w:rPr>
            <w:fldChar w:fldCharType="end"/>
          </w:r>
        </w:sdtContent>
      </w:sdt>
      <w:r w:rsidRPr="00F2782A">
        <w:rPr>
          <w:sz w:val="22"/>
          <w:szCs w:val="22"/>
          <w:lang w:val="en-US"/>
        </w:rPr>
        <w:t xml:space="preserve"> have published the concordance between clinical hepatotoxicity liability, dose and </w:t>
      </w:r>
      <w:proofErr w:type="spellStart"/>
      <w:r w:rsidRPr="00F2782A">
        <w:rPr>
          <w:sz w:val="22"/>
          <w:szCs w:val="22"/>
          <w:lang w:val="en-US"/>
        </w:rPr>
        <w:t>bioactivation</w:t>
      </w:r>
      <w:proofErr w:type="spellEnd"/>
      <w:r w:rsidRPr="00F2782A">
        <w:rPr>
          <w:sz w:val="22"/>
          <w:szCs w:val="22"/>
          <w:lang w:val="en-US"/>
        </w:rPr>
        <w:t xml:space="preserve"> potential by use of glutathione trapping assays, mechanism based </w:t>
      </w:r>
      <w:proofErr w:type="gramStart"/>
      <w:r w:rsidRPr="00F2782A">
        <w:rPr>
          <w:sz w:val="22"/>
          <w:szCs w:val="22"/>
          <w:lang w:val="en-US"/>
        </w:rPr>
        <w:t>CYP  inactivation</w:t>
      </w:r>
      <w:proofErr w:type="gramEnd"/>
      <w:r w:rsidRPr="00F2782A">
        <w:rPr>
          <w:sz w:val="22"/>
          <w:szCs w:val="22"/>
          <w:lang w:val="en-US"/>
        </w:rPr>
        <w:t xml:space="preserve"> screens or covalent binding assessment. </w:t>
      </w:r>
      <w:r w:rsidRPr="00F2782A">
        <w:rPr>
          <w:color w:val="000000"/>
          <w:sz w:val="22"/>
          <w:szCs w:val="22"/>
          <w:shd w:val="clear" w:color="auto" w:fill="FFFFFF"/>
          <w:lang w:val="en-GB"/>
        </w:rPr>
        <w:t xml:space="preserve">Immune-mediated DILI are not yet fully understood. Among several hypotheses is the high proportion of drugs involved in immune reactions which will form reactive metabolites and covalently bind to proteins to form immunogenic </w:t>
      </w:r>
      <w:proofErr w:type="spellStart"/>
      <w:r w:rsidRPr="00F2782A">
        <w:rPr>
          <w:color w:val="000000"/>
          <w:sz w:val="22"/>
          <w:szCs w:val="22"/>
          <w:shd w:val="clear" w:color="auto" w:fill="FFFFFF"/>
          <w:lang w:val="en-GB"/>
        </w:rPr>
        <w:t>haptens</w:t>
      </w:r>
      <w:proofErr w:type="spellEnd"/>
      <w:r w:rsidRPr="00F2782A">
        <w:rPr>
          <w:color w:val="000000"/>
          <w:sz w:val="22"/>
          <w:szCs w:val="22"/>
          <w:shd w:val="clear" w:color="auto" w:fill="FFFFFF"/>
          <w:lang w:val="en-GB"/>
        </w:rPr>
        <w:t xml:space="preserve"> which in many case</w:t>
      </w:r>
      <w:r w:rsidR="007443AA">
        <w:rPr>
          <w:color w:val="000000"/>
          <w:sz w:val="22"/>
          <w:szCs w:val="22"/>
          <w:shd w:val="clear" w:color="auto" w:fill="FFFFFF"/>
          <w:lang w:val="en-GB"/>
        </w:rPr>
        <w:t>s</w:t>
      </w:r>
      <w:r w:rsidRPr="00F2782A">
        <w:rPr>
          <w:color w:val="000000"/>
          <w:sz w:val="22"/>
          <w:szCs w:val="22"/>
          <w:shd w:val="clear" w:color="auto" w:fill="FFFFFF"/>
          <w:lang w:val="en-GB"/>
        </w:rPr>
        <w:t xml:space="preserve"> forms a first step in the generation of an idiosyncratic response </w:t>
      </w:r>
      <w:sdt>
        <w:sdtPr>
          <w:rPr>
            <w:color w:val="000000"/>
            <w:sz w:val="22"/>
            <w:szCs w:val="22"/>
            <w:shd w:val="clear" w:color="auto" w:fill="FFFFFF"/>
            <w:lang w:val="en-GB"/>
          </w:rPr>
          <w:id w:val="1765033756"/>
          <w:citation/>
        </w:sdtPr>
        <w:sdtEndPr/>
        <w:sdtContent>
          <w:r w:rsidRPr="00F2782A">
            <w:rPr>
              <w:color w:val="000000"/>
              <w:sz w:val="22"/>
              <w:szCs w:val="22"/>
              <w:shd w:val="clear" w:color="auto" w:fill="FFFFFF"/>
              <w:lang w:val="en-GB"/>
            </w:rPr>
            <w:fldChar w:fldCharType="begin"/>
          </w:r>
          <w:r w:rsidRPr="00F2782A">
            <w:rPr>
              <w:color w:val="000000"/>
              <w:sz w:val="22"/>
              <w:szCs w:val="22"/>
              <w:shd w:val="clear" w:color="auto" w:fill="FFFFFF"/>
              <w:lang w:val="en-GB"/>
            </w:rPr>
            <w:instrText xml:space="preserve"> CITATION Uet \l 2057 </w:instrText>
          </w:r>
          <w:r w:rsidRPr="00F2782A">
            <w:rPr>
              <w:color w:val="000000"/>
              <w:sz w:val="22"/>
              <w:szCs w:val="22"/>
              <w:shd w:val="clear" w:color="auto" w:fill="FFFFFF"/>
              <w:lang w:val="en-GB"/>
            </w:rPr>
            <w:fldChar w:fldCharType="separate"/>
          </w:r>
          <w:r w:rsidR="002D6947" w:rsidRPr="002D6947">
            <w:rPr>
              <w:noProof/>
              <w:color w:val="000000"/>
              <w:sz w:val="22"/>
              <w:szCs w:val="22"/>
              <w:shd w:val="clear" w:color="auto" w:fill="FFFFFF"/>
              <w:lang w:val="en-GB"/>
            </w:rPr>
            <w:t>[93]</w:t>
          </w:r>
          <w:r w:rsidRPr="00F2782A">
            <w:rPr>
              <w:color w:val="000000"/>
              <w:sz w:val="22"/>
              <w:szCs w:val="22"/>
              <w:shd w:val="clear" w:color="auto" w:fill="FFFFFF"/>
              <w:lang w:val="en-GB"/>
            </w:rPr>
            <w:fldChar w:fldCharType="end"/>
          </w:r>
        </w:sdtContent>
      </w:sdt>
      <w:r w:rsidRPr="00F2782A">
        <w:rPr>
          <w:color w:val="000000"/>
          <w:sz w:val="22"/>
          <w:szCs w:val="22"/>
          <w:shd w:val="clear" w:color="auto" w:fill="FFFFFF"/>
          <w:lang w:val="en-GB"/>
        </w:rPr>
        <w:t xml:space="preserve"> </w:t>
      </w:r>
      <w:sdt>
        <w:sdtPr>
          <w:rPr>
            <w:color w:val="000000"/>
            <w:sz w:val="22"/>
            <w:szCs w:val="22"/>
            <w:shd w:val="clear" w:color="auto" w:fill="FFFFFF"/>
            <w:lang w:val="en-GB"/>
          </w:rPr>
          <w:id w:val="-1059389145"/>
          <w:citation/>
        </w:sdtPr>
        <w:sdtEndPr/>
        <w:sdtContent>
          <w:r w:rsidRPr="00F2782A">
            <w:rPr>
              <w:color w:val="000000"/>
              <w:sz w:val="22"/>
              <w:szCs w:val="22"/>
              <w:shd w:val="clear" w:color="auto" w:fill="FFFFFF"/>
              <w:lang w:val="en-GB"/>
            </w:rPr>
            <w:fldChar w:fldCharType="begin"/>
          </w:r>
          <w:r w:rsidRPr="00F2782A">
            <w:rPr>
              <w:color w:val="000000"/>
              <w:sz w:val="22"/>
              <w:szCs w:val="22"/>
              <w:shd w:val="clear" w:color="auto" w:fill="FFFFFF"/>
              <w:lang w:val="en-GB"/>
            </w:rPr>
            <w:instrText xml:space="preserve"> CITATION Wal05 \l 2057 </w:instrText>
          </w:r>
          <w:r w:rsidRPr="00F2782A">
            <w:rPr>
              <w:color w:val="000000"/>
              <w:sz w:val="22"/>
              <w:szCs w:val="22"/>
              <w:shd w:val="clear" w:color="auto" w:fill="FFFFFF"/>
              <w:lang w:val="en-GB"/>
            </w:rPr>
            <w:fldChar w:fldCharType="separate"/>
          </w:r>
          <w:r w:rsidR="002D6947" w:rsidRPr="002D6947">
            <w:rPr>
              <w:noProof/>
              <w:color w:val="000000"/>
              <w:sz w:val="22"/>
              <w:szCs w:val="22"/>
              <w:shd w:val="clear" w:color="auto" w:fill="FFFFFF"/>
              <w:lang w:val="en-GB"/>
            </w:rPr>
            <w:t>[94]</w:t>
          </w:r>
          <w:r w:rsidRPr="00F2782A">
            <w:rPr>
              <w:color w:val="000000"/>
              <w:sz w:val="22"/>
              <w:szCs w:val="22"/>
              <w:shd w:val="clear" w:color="auto" w:fill="FFFFFF"/>
              <w:lang w:val="en-GB"/>
            </w:rPr>
            <w:fldChar w:fldCharType="end"/>
          </w:r>
        </w:sdtContent>
      </w:sdt>
      <w:r w:rsidRPr="00F2782A">
        <w:rPr>
          <w:color w:val="000000"/>
          <w:sz w:val="22"/>
          <w:szCs w:val="22"/>
          <w:shd w:val="clear" w:color="auto" w:fill="FFFFFF"/>
          <w:lang w:val="en-GB"/>
        </w:rPr>
        <w:t>.</w:t>
      </w:r>
    </w:p>
    <w:p w14:paraId="3F5ADCCB" w14:textId="15D61CD3" w:rsidR="00021F2B" w:rsidRPr="00021F2B" w:rsidRDefault="00021F2B" w:rsidP="00F2782A">
      <w:pPr>
        <w:pStyle w:val="Paragraphedeliste"/>
        <w:spacing w:line="480" w:lineRule="auto"/>
        <w:ind w:left="360"/>
        <w:jc w:val="both"/>
        <w:rPr>
          <w:b/>
        </w:rPr>
      </w:pPr>
    </w:p>
    <w:p w14:paraId="6E156276" w14:textId="452B6519" w:rsidR="007B0FDA" w:rsidRDefault="0098693E" w:rsidP="0098693E">
      <w:pPr>
        <w:spacing w:line="480" w:lineRule="auto"/>
        <w:jc w:val="both"/>
        <w:rPr>
          <w:b/>
          <w:sz w:val="22"/>
          <w:szCs w:val="22"/>
          <w:lang w:val="en-GB"/>
        </w:rPr>
      </w:pPr>
      <w:r>
        <w:rPr>
          <w:b/>
          <w:sz w:val="22"/>
          <w:szCs w:val="22"/>
          <w:lang w:val="en-GB"/>
        </w:rPr>
        <w:t xml:space="preserve">7. </w:t>
      </w:r>
      <w:r w:rsidR="007B0FDA" w:rsidRPr="000016FB">
        <w:rPr>
          <w:b/>
          <w:sz w:val="22"/>
          <w:szCs w:val="22"/>
          <w:lang w:val="en-GB"/>
        </w:rPr>
        <w:t xml:space="preserve">Cell-based models for </w:t>
      </w:r>
      <w:r w:rsidR="003C0B5B">
        <w:rPr>
          <w:b/>
          <w:sz w:val="22"/>
          <w:szCs w:val="22"/>
          <w:lang w:val="en-GB"/>
        </w:rPr>
        <w:t xml:space="preserve">DILI </w:t>
      </w:r>
      <w:r w:rsidR="007B0FDA" w:rsidRPr="000016FB">
        <w:rPr>
          <w:b/>
          <w:sz w:val="22"/>
          <w:szCs w:val="22"/>
          <w:lang w:val="en-GB"/>
        </w:rPr>
        <w:t>risk assessment</w:t>
      </w:r>
    </w:p>
    <w:p w14:paraId="5EB53F99" w14:textId="31CB6DB3" w:rsidR="0012646B" w:rsidRDefault="007B0FDA" w:rsidP="0012646B">
      <w:pPr>
        <w:spacing w:line="480" w:lineRule="auto"/>
        <w:jc w:val="both"/>
        <w:rPr>
          <w:sz w:val="22"/>
          <w:szCs w:val="22"/>
          <w:lang w:val="en-GB"/>
        </w:rPr>
      </w:pPr>
      <w:r w:rsidRPr="000016FB">
        <w:rPr>
          <w:sz w:val="22"/>
          <w:szCs w:val="22"/>
          <w:lang w:val="en-GB"/>
        </w:rPr>
        <w:t xml:space="preserve">Liver-derived </w:t>
      </w:r>
      <w:r w:rsidRPr="006C4647">
        <w:rPr>
          <w:i/>
          <w:sz w:val="22"/>
          <w:szCs w:val="22"/>
          <w:lang w:val="en-GB"/>
        </w:rPr>
        <w:t>in vitro</w:t>
      </w:r>
      <w:r w:rsidRPr="000016FB">
        <w:rPr>
          <w:sz w:val="22"/>
          <w:szCs w:val="22"/>
          <w:lang w:val="en-GB"/>
        </w:rPr>
        <w:t xml:space="preserve"> models are widely adopted for use in ADMET stud</w:t>
      </w:r>
      <w:r w:rsidR="00456EDF" w:rsidRPr="000016FB">
        <w:rPr>
          <w:sz w:val="22"/>
          <w:szCs w:val="22"/>
          <w:lang w:val="en-GB"/>
        </w:rPr>
        <w:t xml:space="preserve">ies in </w:t>
      </w:r>
      <w:r w:rsidR="00031050">
        <w:rPr>
          <w:sz w:val="22"/>
          <w:szCs w:val="22"/>
          <w:lang w:val="en-GB"/>
        </w:rPr>
        <w:t xml:space="preserve">pharmaceutical </w:t>
      </w:r>
      <w:r w:rsidR="00456EDF" w:rsidRPr="000016FB">
        <w:rPr>
          <w:sz w:val="22"/>
          <w:szCs w:val="22"/>
          <w:lang w:val="en-GB"/>
        </w:rPr>
        <w:t>R&amp;D</w:t>
      </w:r>
      <w:r w:rsidRPr="000016FB">
        <w:rPr>
          <w:sz w:val="22"/>
          <w:szCs w:val="22"/>
          <w:lang w:val="en-GB"/>
        </w:rPr>
        <w:t xml:space="preserve">. </w:t>
      </w:r>
      <w:r w:rsidR="00256134" w:rsidRPr="000016FB">
        <w:rPr>
          <w:sz w:val="22"/>
          <w:szCs w:val="22"/>
          <w:lang w:val="en-GB"/>
        </w:rPr>
        <w:t xml:space="preserve">Over recent years, </w:t>
      </w:r>
      <w:r w:rsidR="0011751A" w:rsidRPr="000016FB">
        <w:rPr>
          <w:sz w:val="22"/>
          <w:szCs w:val="22"/>
          <w:lang w:val="en-GB"/>
        </w:rPr>
        <w:t>many of these</w:t>
      </w:r>
      <w:r w:rsidR="00256134" w:rsidRPr="000016FB">
        <w:rPr>
          <w:sz w:val="22"/>
          <w:szCs w:val="22"/>
          <w:lang w:val="en-GB"/>
        </w:rPr>
        <w:t xml:space="preserve"> models have been very thoroughly and extensively reviewed</w:t>
      </w:r>
      <w:r w:rsidR="00512DC8">
        <w:rPr>
          <w:sz w:val="22"/>
          <w:szCs w:val="22"/>
          <w:lang w:val="en-GB"/>
        </w:rPr>
        <w:t xml:space="preserve"> </w:t>
      </w:r>
      <w:sdt>
        <w:sdtPr>
          <w:rPr>
            <w:sz w:val="22"/>
            <w:szCs w:val="22"/>
            <w:lang w:val="en-GB"/>
          </w:rPr>
          <w:id w:val="-1709558551"/>
          <w:citation/>
        </w:sdtPr>
        <w:sdtEndPr/>
        <w:sdtContent>
          <w:r w:rsidR="002473D4">
            <w:rPr>
              <w:sz w:val="22"/>
              <w:szCs w:val="22"/>
              <w:lang w:val="en-GB"/>
            </w:rPr>
            <w:fldChar w:fldCharType="begin"/>
          </w:r>
          <w:r w:rsidR="002473D4" w:rsidRPr="00644E00">
            <w:rPr>
              <w:noProof/>
              <w:sz w:val="22"/>
              <w:szCs w:val="22"/>
              <w:lang w:val="en-GB"/>
            </w:rPr>
            <w:instrText xml:space="preserve"> CITATION God13 \l 1036 </w:instrText>
          </w:r>
          <w:r w:rsidR="002473D4">
            <w:rPr>
              <w:sz w:val="22"/>
              <w:szCs w:val="22"/>
              <w:lang w:val="en-GB"/>
            </w:rPr>
            <w:fldChar w:fldCharType="separate"/>
          </w:r>
          <w:r w:rsidR="002D6947" w:rsidRPr="002D6947">
            <w:rPr>
              <w:noProof/>
              <w:sz w:val="22"/>
              <w:szCs w:val="22"/>
              <w:lang w:val="en-GB"/>
            </w:rPr>
            <w:t>[3]</w:t>
          </w:r>
          <w:r w:rsidR="002473D4">
            <w:rPr>
              <w:sz w:val="22"/>
              <w:szCs w:val="22"/>
              <w:lang w:val="en-GB"/>
            </w:rPr>
            <w:fldChar w:fldCharType="end"/>
          </w:r>
        </w:sdtContent>
      </w:sdt>
      <w:r w:rsidR="00683C42">
        <w:rPr>
          <w:sz w:val="22"/>
          <w:szCs w:val="22"/>
          <w:lang w:val="en-GB"/>
        </w:rPr>
        <w:t xml:space="preserve">. </w:t>
      </w:r>
      <w:r w:rsidR="00AF6ACE" w:rsidRPr="000016FB">
        <w:rPr>
          <w:sz w:val="22"/>
          <w:szCs w:val="22"/>
          <w:lang w:val="en-GB"/>
        </w:rPr>
        <w:t xml:space="preserve">Freshly isolated and cultured </w:t>
      </w:r>
      <w:r w:rsidR="003B4117">
        <w:rPr>
          <w:sz w:val="22"/>
          <w:szCs w:val="22"/>
          <w:lang w:val="en-GB"/>
        </w:rPr>
        <w:t>p</w:t>
      </w:r>
      <w:r w:rsidR="00200EEB" w:rsidRPr="000016FB">
        <w:rPr>
          <w:sz w:val="22"/>
          <w:szCs w:val="22"/>
          <w:lang w:val="en-GB"/>
        </w:rPr>
        <w:t>rimary hepatocytes and cell</w:t>
      </w:r>
      <w:r w:rsidR="00F06F1B">
        <w:rPr>
          <w:sz w:val="22"/>
          <w:szCs w:val="22"/>
          <w:lang w:val="en-GB"/>
        </w:rPr>
        <w:t xml:space="preserve"> </w:t>
      </w:r>
      <w:r w:rsidR="00200EEB" w:rsidRPr="000016FB">
        <w:rPr>
          <w:sz w:val="22"/>
          <w:szCs w:val="22"/>
          <w:lang w:val="en-GB"/>
        </w:rPr>
        <w:t xml:space="preserve">lines are currently the most commonly accepted cell models for use in toxicological studies. </w:t>
      </w:r>
      <w:r w:rsidR="00880BC0">
        <w:rPr>
          <w:sz w:val="22"/>
          <w:szCs w:val="22"/>
          <w:lang w:val="en-GB"/>
        </w:rPr>
        <w:t>C</w:t>
      </w:r>
      <w:r w:rsidR="00522E88">
        <w:rPr>
          <w:sz w:val="22"/>
          <w:szCs w:val="22"/>
          <w:lang w:val="en-GB"/>
        </w:rPr>
        <w:t xml:space="preserve">hanges </w:t>
      </w:r>
      <w:r w:rsidR="00726D10">
        <w:rPr>
          <w:sz w:val="22"/>
          <w:szCs w:val="22"/>
          <w:lang w:val="en-GB"/>
        </w:rPr>
        <w:t xml:space="preserve">in </w:t>
      </w:r>
      <w:r w:rsidR="005C2383">
        <w:rPr>
          <w:sz w:val="22"/>
          <w:szCs w:val="22"/>
          <w:lang w:val="en-GB"/>
        </w:rPr>
        <w:t>phenotype cell</w:t>
      </w:r>
      <w:r w:rsidR="00200EEB" w:rsidRPr="000016FB">
        <w:rPr>
          <w:sz w:val="22"/>
          <w:szCs w:val="22"/>
          <w:lang w:val="en-GB"/>
        </w:rPr>
        <w:t xml:space="preserve"> function and gene expression are </w:t>
      </w:r>
      <w:r w:rsidR="00880BC0">
        <w:rPr>
          <w:sz w:val="22"/>
          <w:szCs w:val="22"/>
          <w:lang w:val="en-GB"/>
        </w:rPr>
        <w:t xml:space="preserve">nevertheless a </w:t>
      </w:r>
      <w:r w:rsidR="00381687">
        <w:rPr>
          <w:sz w:val="22"/>
          <w:szCs w:val="22"/>
          <w:lang w:val="en-GB"/>
        </w:rPr>
        <w:t>feature associated with</w:t>
      </w:r>
      <w:r w:rsidR="00381687" w:rsidRPr="000016FB">
        <w:rPr>
          <w:sz w:val="22"/>
          <w:szCs w:val="22"/>
          <w:lang w:val="en-GB"/>
        </w:rPr>
        <w:t xml:space="preserve"> </w:t>
      </w:r>
      <w:r w:rsidR="00C2227B">
        <w:rPr>
          <w:sz w:val="22"/>
          <w:szCs w:val="22"/>
          <w:lang w:val="en-GB"/>
        </w:rPr>
        <w:t xml:space="preserve">2D </w:t>
      </w:r>
      <w:r w:rsidR="00031050">
        <w:rPr>
          <w:sz w:val="22"/>
          <w:szCs w:val="22"/>
          <w:lang w:val="en-GB"/>
        </w:rPr>
        <w:t xml:space="preserve">primary human hepatocytes </w:t>
      </w:r>
      <w:r w:rsidR="00D25BEE">
        <w:rPr>
          <w:sz w:val="22"/>
          <w:szCs w:val="22"/>
          <w:lang w:val="en-GB"/>
        </w:rPr>
        <w:t>(</w:t>
      </w:r>
      <w:r w:rsidR="00FC671D">
        <w:rPr>
          <w:sz w:val="22"/>
          <w:szCs w:val="22"/>
          <w:lang w:val="en-GB"/>
        </w:rPr>
        <w:t>PHH</w:t>
      </w:r>
      <w:r w:rsidR="00D25BEE">
        <w:rPr>
          <w:sz w:val="22"/>
          <w:szCs w:val="22"/>
          <w:lang w:val="en-GB"/>
        </w:rPr>
        <w:t>)</w:t>
      </w:r>
      <w:r w:rsidR="000E5BC6">
        <w:rPr>
          <w:sz w:val="22"/>
          <w:szCs w:val="22"/>
          <w:lang w:val="en-GB"/>
        </w:rPr>
        <w:t xml:space="preserve"> cultures</w:t>
      </w:r>
      <w:r w:rsidR="005C2383">
        <w:rPr>
          <w:sz w:val="22"/>
          <w:szCs w:val="22"/>
          <w:lang w:val="en-GB"/>
        </w:rPr>
        <w:t>.</w:t>
      </w:r>
      <w:r w:rsidR="00200EEB" w:rsidRPr="000016FB">
        <w:rPr>
          <w:sz w:val="22"/>
          <w:szCs w:val="22"/>
          <w:lang w:val="en-GB"/>
        </w:rPr>
        <w:t xml:space="preserve"> </w:t>
      </w:r>
      <w:r w:rsidR="00381687">
        <w:rPr>
          <w:sz w:val="22"/>
          <w:szCs w:val="22"/>
          <w:lang w:val="en-GB"/>
        </w:rPr>
        <w:t xml:space="preserve"> The</w:t>
      </w:r>
      <w:r w:rsidR="00533F32">
        <w:rPr>
          <w:sz w:val="22"/>
          <w:szCs w:val="22"/>
          <w:lang w:val="en-GB"/>
        </w:rPr>
        <w:t>se</w:t>
      </w:r>
      <w:r w:rsidR="00522E88">
        <w:rPr>
          <w:sz w:val="22"/>
          <w:szCs w:val="22"/>
          <w:lang w:val="en-GB"/>
        </w:rPr>
        <w:t xml:space="preserve"> </w:t>
      </w:r>
      <w:r w:rsidR="00FC68D2">
        <w:rPr>
          <w:sz w:val="22"/>
          <w:szCs w:val="22"/>
          <w:lang w:val="en-GB"/>
        </w:rPr>
        <w:t xml:space="preserve">phenotypic </w:t>
      </w:r>
      <w:r w:rsidR="00522E88">
        <w:rPr>
          <w:sz w:val="22"/>
          <w:szCs w:val="22"/>
          <w:lang w:val="en-GB"/>
        </w:rPr>
        <w:t xml:space="preserve">changes </w:t>
      </w:r>
      <w:r w:rsidR="00F9514A" w:rsidRPr="000016FB">
        <w:rPr>
          <w:sz w:val="22"/>
          <w:szCs w:val="22"/>
          <w:lang w:val="en-GB"/>
        </w:rPr>
        <w:t>may</w:t>
      </w:r>
      <w:r w:rsidR="00AF6ACE" w:rsidRPr="000016FB">
        <w:rPr>
          <w:sz w:val="22"/>
          <w:szCs w:val="22"/>
          <w:lang w:val="en-GB"/>
        </w:rPr>
        <w:t xml:space="preserve"> </w:t>
      </w:r>
      <w:r w:rsidR="00200EEB" w:rsidRPr="000016FB">
        <w:rPr>
          <w:sz w:val="22"/>
          <w:szCs w:val="22"/>
          <w:lang w:val="en-GB"/>
        </w:rPr>
        <w:t xml:space="preserve">influence </w:t>
      </w:r>
      <w:r w:rsidR="00381687">
        <w:rPr>
          <w:sz w:val="22"/>
          <w:szCs w:val="22"/>
          <w:lang w:val="en-GB"/>
        </w:rPr>
        <w:t xml:space="preserve">the </w:t>
      </w:r>
      <w:r w:rsidR="00200EEB" w:rsidRPr="000016FB">
        <w:rPr>
          <w:sz w:val="22"/>
          <w:szCs w:val="22"/>
          <w:lang w:val="en-GB"/>
        </w:rPr>
        <w:t xml:space="preserve">toxicological </w:t>
      </w:r>
      <w:r w:rsidR="00C63756" w:rsidRPr="000016FB">
        <w:rPr>
          <w:sz w:val="22"/>
          <w:szCs w:val="22"/>
          <w:lang w:val="en-GB"/>
        </w:rPr>
        <w:t>interpretation of results</w:t>
      </w:r>
      <w:r w:rsidR="00533F32">
        <w:rPr>
          <w:sz w:val="22"/>
          <w:szCs w:val="22"/>
          <w:lang w:val="en-GB"/>
        </w:rPr>
        <w:t>.</w:t>
      </w:r>
      <w:r w:rsidR="0009067B">
        <w:rPr>
          <w:sz w:val="22"/>
          <w:szCs w:val="22"/>
          <w:lang w:val="en-GB"/>
        </w:rPr>
        <w:t xml:space="preserve"> However, evidence of marked differences in both sensitivity and specificity in detection of DILI </w:t>
      </w:r>
      <w:r w:rsidR="0009067B" w:rsidRPr="00533F32">
        <w:rPr>
          <w:i/>
          <w:sz w:val="22"/>
          <w:szCs w:val="22"/>
          <w:lang w:val="en-GB"/>
        </w:rPr>
        <w:t>versus</w:t>
      </w:r>
      <w:r w:rsidR="0009067B">
        <w:rPr>
          <w:sz w:val="22"/>
          <w:szCs w:val="22"/>
          <w:lang w:val="en-GB"/>
        </w:rPr>
        <w:t xml:space="preserve"> non-DILI compounds in monocultures of 2D PHH </w:t>
      </w:r>
      <w:r w:rsidR="0009067B" w:rsidRPr="008564E3">
        <w:rPr>
          <w:i/>
          <w:sz w:val="22"/>
          <w:szCs w:val="22"/>
          <w:lang w:val="en-GB"/>
        </w:rPr>
        <w:t>versus</w:t>
      </w:r>
      <w:r w:rsidR="0009067B">
        <w:rPr>
          <w:sz w:val="22"/>
          <w:szCs w:val="22"/>
          <w:lang w:val="en-GB"/>
        </w:rPr>
        <w:t xml:space="preserve"> hepatoma cell</w:t>
      </w:r>
      <w:r w:rsidR="009C5D62">
        <w:rPr>
          <w:sz w:val="22"/>
          <w:szCs w:val="22"/>
          <w:lang w:val="en-GB"/>
        </w:rPr>
        <w:t xml:space="preserve"> </w:t>
      </w:r>
      <w:r w:rsidR="0009067B">
        <w:rPr>
          <w:sz w:val="22"/>
          <w:szCs w:val="22"/>
          <w:lang w:val="en-GB"/>
        </w:rPr>
        <w:t xml:space="preserve">lines appears limited in short-term tests </w:t>
      </w:r>
      <w:sdt>
        <w:sdtPr>
          <w:rPr>
            <w:sz w:val="22"/>
            <w:szCs w:val="22"/>
            <w:lang w:val="en-GB"/>
          </w:rPr>
          <w:id w:val="149798995"/>
          <w:citation/>
        </w:sdtPr>
        <w:sdtEndPr/>
        <w:sdtContent>
          <w:r w:rsidR="0009067B">
            <w:rPr>
              <w:sz w:val="22"/>
              <w:szCs w:val="22"/>
              <w:lang w:val="en-GB"/>
            </w:rPr>
            <w:fldChar w:fldCharType="begin"/>
          </w:r>
          <w:r w:rsidR="0009067B">
            <w:rPr>
              <w:sz w:val="22"/>
              <w:szCs w:val="22"/>
              <w:lang w:val="en-GB"/>
            </w:rPr>
            <w:instrText xml:space="preserve"> CITATION Sis \l 2057 </w:instrText>
          </w:r>
          <w:r w:rsidR="0009067B">
            <w:rPr>
              <w:sz w:val="22"/>
              <w:szCs w:val="22"/>
              <w:lang w:val="en-GB"/>
            </w:rPr>
            <w:fldChar w:fldCharType="separate"/>
          </w:r>
          <w:r w:rsidR="002D6947" w:rsidRPr="002D6947">
            <w:rPr>
              <w:noProof/>
              <w:sz w:val="22"/>
              <w:szCs w:val="22"/>
              <w:lang w:val="en-GB"/>
            </w:rPr>
            <w:t>[95]</w:t>
          </w:r>
          <w:r w:rsidR="0009067B">
            <w:rPr>
              <w:sz w:val="22"/>
              <w:szCs w:val="22"/>
              <w:lang w:val="en-GB"/>
            </w:rPr>
            <w:fldChar w:fldCharType="end"/>
          </w:r>
        </w:sdtContent>
      </w:sdt>
      <w:r w:rsidR="0009067B">
        <w:rPr>
          <w:sz w:val="22"/>
          <w:szCs w:val="22"/>
          <w:lang w:val="en-GB"/>
        </w:rPr>
        <w:t>.</w:t>
      </w:r>
      <w:r w:rsidR="0009067B" w:rsidRPr="000016FB">
        <w:rPr>
          <w:sz w:val="22"/>
          <w:szCs w:val="22"/>
          <w:lang w:val="en-GB"/>
        </w:rPr>
        <w:t xml:space="preserve"> </w:t>
      </w:r>
      <w:r w:rsidR="008152C8">
        <w:rPr>
          <w:sz w:val="22"/>
          <w:szCs w:val="22"/>
          <w:lang w:val="en-GB"/>
        </w:rPr>
        <w:t xml:space="preserve">Such data point to potential improvements for the detection of </w:t>
      </w:r>
      <w:proofErr w:type="spellStart"/>
      <w:r w:rsidR="008152C8">
        <w:rPr>
          <w:sz w:val="22"/>
          <w:szCs w:val="22"/>
          <w:lang w:val="en-GB"/>
        </w:rPr>
        <w:t>hepatotoxicants</w:t>
      </w:r>
      <w:proofErr w:type="spellEnd"/>
      <w:r w:rsidR="008152C8">
        <w:rPr>
          <w:sz w:val="22"/>
          <w:szCs w:val="22"/>
          <w:lang w:val="en-GB"/>
        </w:rPr>
        <w:t xml:space="preserve"> by use of more advanced genetically engineered cells, 3D </w:t>
      </w:r>
      <w:r w:rsidR="007D59F4">
        <w:rPr>
          <w:sz w:val="22"/>
          <w:szCs w:val="22"/>
          <w:lang w:val="en-GB"/>
        </w:rPr>
        <w:t>or</w:t>
      </w:r>
      <w:r w:rsidR="008152C8">
        <w:rPr>
          <w:sz w:val="22"/>
          <w:szCs w:val="22"/>
          <w:lang w:val="en-GB"/>
        </w:rPr>
        <w:t xml:space="preserve"> </w:t>
      </w:r>
      <w:proofErr w:type="spellStart"/>
      <w:r w:rsidR="00031050">
        <w:rPr>
          <w:sz w:val="22"/>
          <w:szCs w:val="22"/>
          <w:lang w:val="en-GB"/>
        </w:rPr>
        <w:t>microphysiological</w:t>
      </w:r>
      <w:proofErr w:type="spellEnd"/>
      <w:r w:rsidR="00031050">
        <w:rPr>
          <w:sz w:val="22"/>
          <w:szCs w:val="22"/>
          <w:lang w:val="en-GB"/>
        </w:rPr>
        <w:t xml:space="preserve"> </w:t>
      </w:r>
      <w:r w:rsidR="009C5D62">
        <w:rPr>
          <w:sz w:val="22"/>
          <w:szCs w:val="22"/>
          <w:lang w:val="en-GB"/>
        </w:rPr>
        <w:t>(</w:t>
      </w:r>
      <w:r w:rsidR="008152C8">
        <w:rPr>
          <w:sz w:val="22"/>
          <w:szCs w:val="22"/>
          <w:lang w:val="en-GB"/>
        </w:rPr>
        <w:t>MPS</w:t>
      </w:r>
      <w:r w:rsidR="009C5D62">
        <w:rPr>
          <w:sz w:val="22"/>
          <w:szCs w:val="22"/>
          <w:lang w:val="en-GB"/>
        </w:rPr>
        <w:t>)</w:t>
      </w:r>
      <w:r w:rsidR="008152C8">
        <w:rPr>
          <w:sz w:val="22"/>
          <w:szCs w:val="22"/>
          <w:lang w:val="en-GB"/>
        </w:rPr>
        <w:t xml:space="preserve"> systems. Examples of </w:t>
      </w:r>
      <w:r w:rsidR="008152C8">
        <w:rPr>
          <w:sz w:val="22"/>
          <w:szCs w:val="22"/>
          <w:lang w:val="en-GB"/>
        </w:rPr>
        <w:lastRenderedPageBreak/>
        <w:t>g</w:t>
      </w:r>
      <w:r w:rsidR="0009067B">
        <w:rPr>
          <w:sz w:val="22"/>
          <w:szCs w:val="22"/>
          <w:lang w:val="en-GB"/>
        </w:rPr>
        <w:t xml:space="preserve">enetically modified </w:t>
      </w:r>
      <w:proofErr w:type="gramStart"/>
      <w:r w:rsidR="00470A8F">
        <w:rPr>
          <w:sz w:val="22"/>
          <w:szCs w:val="22"/>
          <w:lang w:val="en-GB"/>
        </w:rPr>
        <w:t>cells</w:t>
      </w:r>
      <w:r w:rsidR="0009067B">
        <w:rPr>
          <w:sz w:val="22"/>
          <w:szCs w:val="22"/>
          <w:lang w:val="en-GB"/>
        </w:rPr>
        <w:t>,</w:t>
      </w:r>
      <w:proofErr w:type="gramEnd"/>
      <w:r w:rsidR="0009067B">
        <w:rPr>
          <w:sz w:val="22"/>
          <w:szCs w:val="22"/>
          <w:lang w:val="en-GB"/>
        </w:rPr>
        <w:t xml:space="preserve"> </w:t>
      </w:r>
      <w:r w:rsidR="008152C8">
        <w:rPr>
          <w:sz w:val="22"/>
          <w:szCs w:val="22"/>
          <w:lang w:val="en-GB"/>
        </w:rPr>
        <w:t xml:space="preserve">include the </w:t>
      </w:r>
      <w:proofErr w:type="spellStart"/>
      <w:r w:rsidR="008152C8">
        <w:rPr>
          <w:sz w:val="22"/>
          <w:szCs w:val="22"/>
          <w:lang w:val="en-GB"/>
        </w:rPr>
        <w:t>Upcyte</w:t>
      </w:r>
      <w:proofErr w:type="spellEnd"/>
      <w:r w:rsidR="008152C8">
        <w:rPr>
          <w:sz w:val="22"/>
          <w:szCs w:val="22"/>
          <w:lang w:val="en-GB"/>
        </w:rPr>
        <w:t>™ technology</w:t>
      </w:r>
      <w:r w:rsidR="0009067B">
        <w:rPr>
          <w:sz w:val="22"/>
          <w:szCs w:val="22"/>
          <w:lang w:val="en-GB"/>
        </w:rPr>
        <w:t xml:space="preserve"> </w:t>
      </w:r>
      <w:r w:rsidR="008152C8">
        <w:rPr>
          <w:sz w:val="22"/>
          <w:szCs w:val="22"/>
          <w:lang w:val="en-GB"/>
        </w:rPr>
        <w:t>to</w:t>
      </w:r>
      <w:r w:rsidR="0009067B">
        <w:rPr>
          <w:sz w:val="22"/>
          <w:szCs w:val="22"/>
          <w:lang w:val="en-GB"/>
        </w:rPr>
        <w:t xml:space="preserve"> promote the proliferation of </w:t>
      </w:r>
      <w:r w:rsidR="00470A8F">
        <w:rPr>
          <w:sz w:val="22"/>
          <w:szCs w:val="22"/>
          <w:lang w:val="en-GB"/>
        </w:rPr>
        <w:t>PHH</w:t>
      </w:r>
      <w:r w:rsidR="0009067B">
        <w:rPr>
          <w:sz w:val="22"/>
          <w:szCs w:val="22"/>
          <w:lang w:val="en-GB"/>
        </w:rPr>
        <w:t xml:space="preserve"> without influencing the phenotype </w:t>
      </w:r>
      <w:sdt>
        <w:sdtPr>
          <w:rPr>
            <w:sz w:val="22"/>
            <w:szCs w:val="22"/>
            <w:lang w:val="en-GB"/>
          </w:rPr>
          <w:id w:val="1913967350"/>
          <w:citation/>
        </w:sdtPr>
        <w:sdtEndPr/>
        <w:sdtContent>
          <w:r w:rsidR="0009067B">
            <w:rPr>
              <w:sz w:val="22"/>
              <w:szCs w:val="22"/>
              <w:lang w:val="en-GB"/>
            </w:rPr>
            <w:fldChar w:fldCharType="begin"/>
          </w:r>
          <w:r w:rsidR="0009067B">
            <w:rPr>
              <w:sz w:val="22"/>
              <w:szCs w:val="22"/>
              <w:lang w:val="en-GB"/>
            </w:rPr>
            <w:instrText xml:space="preserve"> CITATION Her16 \l 2057 </w:instrText>
          </w:r>
          <w:r w:rsidR="0009067B">
            <w:rPr>
              <w:sz w:val="22"/>
              <w:szCs w:val="22"/>
              <w:lang w:val="en-GB"/>
            </w:rPr>
            <w:fldChar w:fldCharType="separate"/>
          </w:r>
          <w:r w:rsidR="002D6947" w:rsidRPr="002D6947">
            <w:rPr>
              <w:noProof/>
              <w:sz w:val="22"/>
              <w:szCs w:val="22"/>
              <w:lang w:val="en-GB"/>
            </w:rPr>
            <w:t>[96]</w:t>
          </w:r>
          <w:r w:rsidR="0009067B">
            <w:rPr>
              <w:sz w:val="22"/>
              <w:szCs w:val="22"/>
              <w:lang w:val="en-GB"/>
            </w:rPr>
            <w:fldChar w:fldCharType="end"/>
          </w:r>
        </w:sdtContent>
      </w:sdt>
      <w:r w:rsidR="00470A8F">
        <w:rPr>
          <w:sz w:val="22"/>
          <w:szCs w:val="22"/>
          <w:lang w:val="en-GB"/>
        </w:rPr>
        <w:t>,</w:t>
      </w:r>
      <w:r w:rsidR="0009067B">
        <w:rPr>
          <w:sz w:val="22"/>
          <w:szCs w:val="22"/>
          <w:lang w:val="en-GB"/>
        </w:rPr>
        <w:t xml:space="preserve"> </w:t>
      </w:r>
      <w:r w:rsidR="008152C8">
        <w:rPr>
          <w:sz w:val="22"/>
          <w:szCs w:val="22"/>
          <w:lang w:val="en-GB"/>
        </w:rPr>
        <w:t>and r</w:t>
      </w:r>
      <w:r w:rsidR="0009067B">
        <w:rPr>
          <w:sz w:val="22"/>
          <w:szCs w:val="22"/>
          <w:lang w:val="en-GB"/>
        </w:rPr>
        <w:t>e</w:t>
      </w:r>
      <w:r w:rsidR="0009067B" w:rsidRPr="006850F2">
        <w:rPr>
          <w:sz w:val="22"/>
          <w:szCs w:val="22"/>
          <w:lang w:val="en-GB"/>
        </w:rPr>
        <w:t xml:space="preserve">combinant adenoviruses </w:t>
      </w:r>
      <w:r w:rsidR="0009067B">
        <w:rPr>
          <w:sz w:val="22"/>
          <w:szCs w:val="22"/>
          <w:lang w:val="en-GB"/>
        </w:rPr>
        <w:t xml:space="preserve">encoding DMEs </w:t>
      </w:r>
      <w:r w:rsidR="008152C8">
        <w:rPr>
          <w:sz w:val="22"/>
          <w:szCs w:val="22"/>
          <w:lang w:val="en-GB"/>
        </w:rPr>
        <w:t xml:space="preserve">to </w:t>
      </w:r>
      <w:r w:rsidR="00FC68D2">
        <w:rPr>
          <w:sz w:val="22"/>
          <w:szCs w:val="22"/>
          <w:lang w:val="en-GB"/>
        </w:rPr>
        <w:t>allow the rapid</w:t>
      </w:r>
      <w:r w:rsidR="0009067B" w:rsidRPr="006850F2">
        <w:rPr>
          <w:sz w:val="22"/>
          <w:szCs w:val="22"/>
          <w:lang w:val="en-GB"/>
        </w:rPr>
        <w:t xml:space="preserve"> high-efficien</w:t>
      </w:r>
      <w:r w:rsidR="0009067B">
        <w:rPr>
          <w:sz w:val="22"/>
          <w:szCs w:val="22"/>
          <w:lang w:val="en-GB"/>
        </w:rPr>
        <w:t>cy</w:t>
      </w:r>
      <w:r w:rsidR="0009067B" w:rsidRPr="006850F2">
        <w:rPr>
          <w:sz w:val="22"/>
          <w:szCs w:val="22"/>
          <w:lang w:val="en-GB"/>
        </w:rPr>
        <w:t xml:space="preserve"> and</w:t>
      </w:r>
      <w:r w:rsidR="0009067B">
        <w:rPr>
          <w:sz w:val="22"/>
          <w:szCs w:val="22"/>
          <w:lang w:val="en-GB"/>
        </w:rPr>
        <w:t xml:space="preserve"> </w:t>
      </w:r>
      <w:r w:rsidR="0009067B" w:rsidRPr="006850F2">
        <w:rPr>
          <w:sz w:val="22"/>
          <w:szCs w:val="22"/>
          <w:lang w:val="en-GB"/>
        </w:rPr>
        <w:t xml:space="preserve">controlled infection of </w:t>
      </w:r>
      <w:r w:rsidR="0009067B">
        <w:rPr>
          <w:sz w:val="22"/>
          <w:szCs w:val="22"/>
          <w:lang w:val="en-GB"/>
        </w:rPr>
        <w:t xml:space="preserve">HepG2 cells for use in metabolite-dependent DILI </w:t>
      </w:r>
      <w:r w:rsidR="007D59F4">
        <w:rPr>
          <w:sz w:val="22"/>
          <w:szCs w:val="22"/>
          <w:lang w:val="en-GB"/>
        </w:rPr>
        <w:t>hazard identification</w:t>
      </w:r>
      <w:r w:rsidR="0009067B">
        <w:rPr>
          <w:sz w:val="22"/>
          <w:szCs w:val="22"/>
          <w:lang w:val="en-GB"/>
        </w:rPr>
        <w:t xml:space="preserve"> </w:t>
      </w:r>
      <w:sdt>
        <w:sdtPr>
          <w:rPr>
            <w:sz w:val="22"/>
            <w:szCs w:val="22"/>
            <w:lang w:val="en-GB"/>
          </w:rPr>
          <w:id w:val="-1267306126"/>
          <w:citation/>
        </w:sdtPr>
        <w:sdtEndPr/>
        <w:sdtContent>
          <w:r w:rsidR="0009067B">
            <w:rPr>
              <w:sz w:val="22"/>
              <w:szCs w:val="22"/>
              <w:lang w:val="en-GB"/>
            </w:rPr>
            <w:fldChar w:fldCharType="begin"/>
          </w:r>
          <w:r w:rsidR="0009067B">
            <w:rPr>
              <w:sz w:val="22"/>
              <w:szCs w:val="22"/>
              <w:lang w:val="en-GB"/>
            </w:rPr>
            <w:instrText xml:space="preserve"> CITATION Góm14 \l 2057 </w:instrText>
          </w:r>
          <w:r w:rsidR="0009067B">
            <w:rPr>
              <w:sz w:val="22"/>
              <w:szCs w:val="22"/>
              <w:lang w:val="en-GB"/>
            </w:rPr>
            <w:fldChar w:fldCharType="separate"/>
          </w:r>
          <w:r w:rsidR="002D6947" w:rsidRPr="002D6947">
            <w:rPr>
              <w:noProof/>
              <w:sz w:val="22"/>
              <w:szCs w:val="22"/>
              <w:lang w:val="en-GB"/>
            </w:rPr>
            <w:t>[4]</w:t>
          </w:r>
          <w:r w:rsidR="0009067B">
            <w:rPr>
              <w:sz w:val="22"/>
              <w:szCs w:val="22"/>
              <w:lang w:val="en-GB"/>
            </w:rPr>
            <w:fldChar w:fldCharType="end"/>
          </w:r>
        </w:sdtContent>
      </w:sdt>
      <w:r w:rsidR="0009067B">
        <w:rPr>
          <w:sz w:val="22"/>
          <w:szCs w:val="22"/>
          <w:lang w:val="en-GB"/>
        </w:rPr>
        <w:t>. However, such alternatives appear</w:t>
      </w:r>
      <w:r w:rsidR="008152C8">
        <w:rPr>
          <w:sz w:val="22"/>
          <w:szCs w:val="22"/>
          <w:lang w:val="en-GB"/>
        </w:rPr>
        <w:t xml:space="preserve"> </w:t>
      </w:r>
      <w:r w:rsidR="0009067B">
        <w:rPr>
          <w:sz w:val="22"/>
          <w:szCs w:val="22"/>
          <w:lang w:val="en-GB"/>
        </w:rPr>
        <w:t xml:space="preserve">poorly adopted by industry at present.  </w:t>
      </w:r>
      <w:r w:rsidR="00AB4610">
        <w:rPr>
          <w:sz w:val="22"/>
          <w:szCs w:val="22"/>
          <w:lang w:val="en-GB"/>
        </w:rPr>
        <w:t>I</w:t>
      </w:r>
      <w:r w:rsidR="00282B5B">
        <w:rPr>
          <w:sz w:val="22"/>
          <w:szCs w:val="22"/>
          <w:lang w:val="en-GB"/>
        </w:rPr>
        <w:t>nduced pluripotent stem (</w:t>
      </w:r>
      <w:proofErr w:type="spellStart"/>
      <w:r w:rsidR="00282B5B">
        <w:rPr>
          <w:sz w:val="22"/>
          <w:szCs w:val="22"/>
          <w:lang w:val="en-GB"/>
        </w:rPr>
        <w:t>iPS</w:t>
      </w:r>
      <w:proofErr w:type="spellEnd"/>
      <w:r w:rsidR="00282B5B">
        <w:rPr>
          <w:sz w:val="22"/>
          <w:szCs w:val="22"/>
          <w:lang w:val="en-GB"/>
        </w:rPr>
        <w:t xml:space="preserve">) cells have attracted much </w:t>
      </w:r>
      <w:r w:rsidR="00CE728E">
        <w:rPr>
          <w:sz w:val="22"/>
          <w:szCs w:val="22"/>
          <w:lang w:val="en-GB"/>
        </w:rPr>
        <w:t>attention</w:t>
      </w:r>
      <w:r w:rsidR="00282B5B">
        <w:rPr>
          <w:sz w:val="22"/>
          <w:szCs w:val="22"/>
          <w:lang w:val="en-GB"/>
        </w:rPr>
        <w:t xml:space="preserve"> to complement existing hepatocellular models. Nevertheless, while </w:t>
      </w:r>
      <w:r w:rsidR="00CE728E">
        <w:rPr>
          <w:sz w:val="22"/>
          <w:szCs w:val="22"/>
          <w:lang w:val="en-GB"/>
        </w:rPr>
        <w:t xml:space="preserve">providing </w:t>
      </w:r>
      <w:r w:rsidR="007D59F4">
        <w:rPr>
          <w:sz w:val="22"/>
          <w:szCs w:val="22"/>
          <w:lang w:val="en-GB"/>
        </w:rPr>
        <w:t>opportunities to</w:t>
      </w:r>
      <w:r w:rsidR="00282B5B">
        <w:rPr>
          <w:sz w:val="22"/>
          <w:szCs w:val="22"/>
          <w:lang w:val="en-GB"/>
        </w:rPr>
        <w:t xml:space="preserve"> develop genetically </w:t>
      </w:r>
      <w:r w:rsidR="009359E8">
        <w:rPr>
          <w:sz w:val="22"/>
          <w:szCs w:val="22"/>
          <w:lang w:val="en-GB"/>
        </w:rPr>
        <w:t xml:space="preserve">characterized </w:t>
      </w:r>
      <w:r w:rsidR="00282B5B">
        <w:rPr>
          <w:sz w:val="22"/>
          <w:szCs w:val="22"/>
          <w:lang w:val="en-GB"/>
        </w:rPr>
        <w:t xml:space="preserve">cells, </w:t>
      </w:r>
      <w:r w:rsidR="00A2607D">
        <w:rPr>
          <w:sz w:val="22"/>
          <w:szCs w:val="22"/>
          <w:lang w:val="en-GB"/>
        </w:rPr>
        <w:t>their low</w:t>
      </w:r>
      <w:r w:rsidR="00282B5B">
        <w:rPr>
          <w:sz w:val="22"/>
          <w:szCs w:val="22"/>
          <w:lang w:val="en-GB"/>
        </w:rPr>
        <w:t xml:space="preserve"> level of DMEs and immat</w:t>
      </w:r>
      <w:r w:rsidR="00CE728E">
        <w:rPr>
          <w:sz w:val="22"/>
          <w:szCs w:val="22"/>
          <w:lang w:val="en-GB"/>
        </w:rPr>
        <w:t xml:space="preserve">urity </w:t>
      </w:r>
      <w:r w:rsidR="00272000">
        <w:rPr>
          <w:sz w:val="22"/>
          <w:szCs w:val="22"/>
          <w:lang w:val="en-GB"/>
        </w:rPr>
        <w:t xml:space="preserve">still </w:t>
      </w:r>
      <w:r w:rsidR="00A2607D">
        <w:rPr>
          <w:sz w:val="22"/>
          <w:szCs w:val="22"/>
          <w:lang w:val="en-GB"/>
        </w:rPr>
        <w:t>represent critical limitations</w:t>
      </w:r>
      <w:r w:rsidR="007D59F4">
        <w:rPr>
          <w:sz w:val="22"/>
          <w:szCs w:val="22"/>
          <w:lang w:val="en-GB"/>
        </w:rPr>
        <w:t xml:space="preserve"> for use at present</w:t>
      </w:r>
      <w:r w:rsidR="009C5D62">
        <w:rPr>
          <w:sz w:val="22"/>
          <w:szCs w:val="22"/>
          <w:lang w:val="en-GB"/>
        </w:rPr>
        <w:t xml:space="preserve"> </w:t>
      </w:r>
      <w:sdt>
        <w:sdtPr>
          <w:rPr>
            <w:sz w:val="22"/>
            <w:szCs w:val="22"/>
            <w:lang w:val="en-GB"/>
          </w:rPr>
          <w:id w:val="-48459911"/>
          <w:citation/>
        </w:sdtPr>
        <w:sdtEndPr/>
        <w:sdtContent>
          <w:r w:rsidR="007A7FB5">
            <w:rPr>
              <w:sz w:val="22"/>
              <w:szCs w:val="22"/>
              <w:lang w:val="en-GB"/>
            </w:rPr>
            <w:fldChar w:fldCharType="begin"/>
          </w:r>
          <w:r w:rsidR="00E250EF">
            <w:rPr>
              <w:noProof/>
              <w:sz w:val="22"/>
              <w:szCs w:val="22"/>
              <w:lang w:val="en-GB"/>
            </w:rPr>
            <w:instrText xml:space="preserve">CITATION Gol16 \l 2057 </w:instrText>
          </w:r>
          <w:r w:rsidR="007A7FB5">
            <w:rPr>
              <w:sz w:val="22"/>
              <w:szCs w:val="22"/>
              <w:lang w:val="en-GB"/>
            </w:rPr>
            <w:fldChar w:fldCharType="separate"/>
          </w:r>
          <w:r w:rsidR="002D6947" w:rsidRPr="002D6947">
            <w:rPr>
              <w:noProof/>
              <w:sz w:val="22"/>
              <w:szCs w:val="22"/>
              <w:lang w:val="en-GB"/>
            </w:rPr>
            <w:t>[97]</w:t>
          </w:r>
          <w:r w:rsidR="007A7FB5">
            <w:rPr>
              <w:sz w:val="22"/>
              <w:szCs w:val="22"/>
              <w:lang w:val="en-GB"/>
            </w:rPr>
            <w:fldChar w:fldCharType="end"/>
          </w:r>
        </w:sdtContent>
      </w:sdt>
      <w:r w:rsidR="00282B5B">
        <w:rPr>
          <w:sz w:val="22"/>
          <w:szCs w:val="22"/>
          <w:lang w:val="en-GB"/>
        </w:rPr>
        <w:t xml:space="preserve">.  </w:t>
      </w:r>
      <w:r w:rsidR="00AF6ACE" w:rsidRPr="000016FB">
        <w:rPr>
          <w:sz w:val="22"/>
          <w:szCs w:val="22"/>
          <w:lang w:val="en-GB"/>
        </w:rPr>
        <w:t xml:space="preserve">3D cell models </w:t>
      </w:r>
      <w:r w:rsidR="00826221" w:rsidRPr="000016FB">
        <w:rPr>
          <w:sz w:val="22"/>
          <w:szCs w:val="22"/>
          <w:lang w:val="en-GB"/>
        </w:rPr>
        <w:t xml:space="preserve">of </w:t>
      </w:r>
      <w:r w:rsidR="005C2383">
        <w:rPr>
          <w:sz w:val="22"/>
          <w:szCs w:val="22"/>
          <w:lang w:val="en-GB"/>
        </w:rPr>
        <w:t xml:space="preserve">PHH, </w:t>
      </w:r>
      <w:r w:rsidR="005C2383" w:rsidRPr="000016FB">
        <w:rPr>
          <w:sz w:val="22"/>
          <w:szCs w:val="22"/>
          <w:lang w:val="en-GB"/>
        </w:rPr>
        <w:t>cell</w:t>
      </w:r>
      <w:r w:rsidR="00F06F1B">
        <w:rPr>
          <w:sz w:val="22"/>
          <w:szCs w:val="22"/>
          <w:lang w:val="en-GB"/>
        </w:rPr>
        <w:t xml:space="preserve"> </w:t>
      </w:r>
      <w:r w:rsidR="00826221" w:rsidRPr="000016FB">
        <w:rPr>
          <w:sz w:val="22"/>
          <w:szCs w:val="22"/>
          <w:lang w:val="en-GB"/>
        </w:rPr>
        <w:t xml:space="preserve">lines </w:t>
      </w:r>
      <w:r w:rsidR="00552597">
        <w:rPr>
          <w:sz w:val="22"/>
          <w:szCs w:val="22"/>
          <w:lang w:val="en-GB"/>
        </w:rPr>
        <w:t xml:space="preserve">and genetically modified hepatoma cells </w:t>
      </w:r>
      <w:r w:rsidR="0058675F">
        <w:rPr>
          <w:sz w:val="22"/>
          <w:szCs w:val="22"/>
          <w:lang w:val="en-GB"/>
        </w:rPr>
        <w:t xml:space="preserve">have been </w:t>
      </w:r>
      <w:r w:rsidR="00574B83">
        <w:rPr>
          <w:sz w:val="22"/>
          <w:szCs w:val="22"/>
          <w:lang w:val="en-GB"/>
        </w:rPr>
        <w:t>suggested</w:t>
      </w:r>
      <w:r w:rsidR="0058675F">
        <w:rPr>
          <w:sz w:val="22"/>
          <w:szCs w:val="22"/>
          <w:lang w:val="en-GB"/>
        </w:rPr>
        <w:t xml:space="preserve"> to demonstrate</w:t>
      </w:r>
      <w:r w:rsidR="004D5E61" w:rsidRPr="000016FB">
        <w:rPr>
          <w:sz w:val="22"/>
          <w:szCs w:val="22"/>
          <w:lang w:val="en-GB"/>
        </w:rPr>
        <w:t xml:space="preserve"> greater</w:t>
      </w:r>
      <w:r w:rsidR="00F9514A" w:rsidRPr="000016FB">
        <w:rPr>
          <w:sz w:val="22"/>
          <w:szCs w:val="22"/>
          <w:lang w:val="en-GB"/>
        </w:rPr>
        <w:t xml:space="preserve"> </w:t>
      </w:r>
      <w:r w:rsidR="00826221" w:rsidRPr="000016FB">
        <w:rPr>
          <w:sz w:val="22"/>
          <w:szCs w:val="22"/>
          <w:lang w:val="en-GB"/>
        </w:rPr>
        <w:t>physiological and pharmacological parity with human liver tissue</w:t>
      </w:r>
      <w:r w:rsidR="003F7B3C">
        <w:rPr>
          <w:sz w:val="22"/>
          <w:szCs w:val="22"/>
          <w:lang w:val="en-GB"/>
        </w:rPr>
        <w:t xml:space="preserve"> </w:t>
      </w:r>
      <w:sdt>
        <w:sdtPr>
          <w:rPr>
            <w:sz w:val="22"/>
            <w:szCs w:val="22"/>
            <w:lang w:val="en-GB"/>
          </w:rPr>
          <w:id w:val="137236963"/>
          <w:citation/>
        </w:sdtPr>
        <w:sdtEndPr/>
        <w:sdtContent>
          <w:r w:rsidR="003F7B3C">
            <w:rPr>
              <w:sz w:val="22"/>
              <w:szCs w:val="22"/>
              <w:lang w:val="en-GB"/>
            </w:rPr>
            <w:fldChar w:fldCharType="begin"/>
          </w:r>
          <w:r w:rsidR="003F7B3C">
            <w:rPr>
              <w:sz w:val="22"/>
              <w:szCs w:val="22"/>
              <w:lang w:val="en-GB"/>
            </w:rPr>
            <w:instrText xml:space="preserve"> CITATION Hen16 \l 2057 </w:instrText>
          </w:r>
          <w:r w:rsidR="003F7B3C">
            <w:rPr>
              <w:sz w:val="22"/>
              <w:szCs w:val="22"/>
              <w:lang w:val="en-GB"/>
            </w:rPr>
            <w:fldChar w:fldCharType="separate"/>
          </w:r>
          <w:r w:rsidR="002D6947" w:rsidRPr="002D6947">
            <w:rPr>
              <w:noProof/>
              <w:sz w:val="22"/>
              <w:szCs w:val="22"/>
              <w:lang w:val="en-GB"/>
            </w:rPr>
            <w:t>[98]</w:t>
          </w:r>
          <w:r w:rsidR="003F7B3C">
            <w:rPr>
              <w:sz w:val="22"/>
              <w:szCs w:val="22"/>
              <w:lang w:val="en-GB"/>
            </w:rPr>
            <w:fldChar w:fldCharType="end"/>
          </w:r>
        </w:sdtContent>
      </w:sdt>
      <w:r w:rsidR="00FC68D2">
        <w:rPr>
          <w:sz w:val="22"/>
          <w:szCs w:val="22"/>
          <w:lang w:val="en-GB"/>
        </w:rPr>
        <w:t>. These characteristics are</w:t>
      </w:r>
      <w:r w:rsidR="00AC067B">
        <w:rPr>
          <w:sz w:val="22"/>
          <w:szCs w:val="22"/>
          <w:lang w:val="en-GB"/>
        </w:rPr>
        <w:t xml:space="preserve"> expected</w:t>
      </w:r>
      <w:r w:rsidR="002545DD">
        <w:rPr>
          <w:sz w:val="22"/>
          <w:szCs w:val="22"/>
          <w:lang w:val="en-GB"/>
        </w:rPr>
        <w:t xml:space="preserve"> </w:t>
      </w:r>
      <w:r w:rsidR="00FC68D2">
        <w:rPr>
          <w:sz w:val="22"/>
          <w:szCs w:val="22"/>
          <w:lang w:val="en-GB"/>
        </w:rPr>
        <w:t xml:space="preserve">to </w:t>
      </w:r>
      <w:r w:rsidR="005C2383">
        <w:rPr>
          <w:sz w:val="22"/>
          <w:szCs w:val="22"/>
          <w:lang w:val="en-GB"/>
        </w:rPr>
        <w:t>confer</w:t>
      </w:r>
      <w:r w:rsidR="005C2383" w:rsidRPr="000016FB">
        <w:rPr>
          <w:sz w:val="22"/>
          <w:szCs w:val="22"/>
          <w:lang w:val="en-GB"/>
        </w:rPr>
        <w:t xml:space="preserve"> improvements</w:t>
      </w:r>
      <w:r w:rsidR="0047701E" w:rsidRPr="000016FB">
        <w:rPr>
          <w:sz w:val="22"/>
          <w:szCs w:val="22"/>
          <w:lang w:val="en-GB"/>
        </w:rPr>
        <w:t xml:space="preserve"> </w:t>
      </w:r>
      <w:r w:rsidR="00FC68D2">
        <w:rPr>
          <w:sz w:val="22"/>
          <w:szCs w:val="22"/>
          <w:lang w:val="en-GB"/>
        </w:rPr>
        <w:t xml:space="preserve">in their use for </w:t>
      </w:r>
      <w:r w:rsidR="00272000">
        <w:rPr>
          <w:sz w:val="22"/>
          <w:szCs w:val="22"/>
          <w:lang w:val="en-GB"/>
        </w:rPr>
        <w:t xml:space="preserve">detection of </w:t>
      </w:r>
      <w:proofErr w:type="spellStart"/>
      <w:r w:rsidR="00272000">
        <w:rPr>
          <w:sz w:val="22"/>
          <w:szCs w:val="22"/>
          <w:lang w:val="en-GB"/>
        </w:rPr>
        <w:t>hepatoxicants</w:t>
      </w:r>
      <w:proofErr w:type="spellEnd"/>
      <w:r w:rsidR="00A9004A">
        <w:rPr>
          <w:sz w:val="22"/>
          <w:szCs w:val="22"/>
          <w:lang w:val="en-GB"/>
        </w:rPr>
        <w:t xml:space="preserve">. </w:t>
      </w:r>
      <w:r w:rsidR="00F9514A" w:rsidRPr="000016FB">
        <w:rPr>
          <w:sz w:val="22"/>
          <w:szCs w:val="22"/>
          <w:lang w:val="en-GB"/>
        </w:rPr>
        <w:t xml:space="preserve">However, from an industry perspective much </w:t>
      </w:r>
      <w:r w:rsidR="004D5E61" w:rsidRPr="000016FB">
        <w:rPr>
          <w:sz w:val="22"/>
          <w:szCs w:val="22"/>
          <w:lang w:val="en-GB"/>
        </w:rPr>
        <w:t>remains</w:t>
      </w:r>
      <w:r w:rsidR="00B91B35" w:rsidRPr="000016FB">
        <w:rPr>
          <w:sz w:val="22"/>
          <w:szCs w:val="22"/>
          <w:lang w:val="en-GB"/>
        </w:rPr>
        <w:t xml:space="preserve"> unknown </w:t>
      </w:r>
      <w:r w:rsidR="0058675F">
        <w:rPr>
          <w:sz w:val="22"/>
          <w:szCs w:val="22"/>
          <w:lang w:val="en-GB"/>
        </w:rPr>
        <w:t xml:space="preserve">about the true performance </w:t>
      </w:r>
      <w:r w:rsidR="00574B83">
        <w:rPr>
          <w:sz w:val="22"/>
          <w:szCs w:val="22"/>
          <w:lang w:val="en-GB"/>
        </w:rPr>
        <w:t>characteristics</w:t>
      </w:r>
      <w:r w:rsidR="0058675F">
        <w:rPr>
          <w:sz w:val="22"/>
          <w:szCs w:val="22"/>
          <w:lang w:val="en-GB"/>
        </w:rPr>
        <w:t xml:space="preserve"> </w:t>
      </w:r>
      <w:r w:rsidR="004D5E61" w:rsidRPr="000016FB">
        <w:rPr>
          <w:sz w:val="22"/>
          <w:szCs w:val="22"/>
          <w:lang w:val="en-GB"/>
        </w:rPr>
        <w:t xml:space="preserve">of </w:t>
      </w:r>
      <w:r w:rsidR="00470A8F">
        <w:rPr>
          <w:sz w:val="22"/>
          <w:szCs w:val="22"/>
          <w:lang w:val="en-GB"/>
        </w:rPr>
        <w:t>advanced cell models for routine use</w:t>
      </w:r>
      <w:r w:rsidR="00A9004A">
        <w:rPr>
          <w:sz w:val="22"/>
          <w:szCs w:val="22"/>
          <w:lang w:val="en-GB"/>
        </w:rPr>
        <w:t xml:space="preserve"> </w:t>
      </w:r>
      <w:r w:rsidR="007D59F4">
        <w:rPr>
          <w:sz w:val="22"/>
          <w:szCs w:val="22"/>
          <w:lang w:val="en-GB"/>
        </w:rPr>
        <w:t>by industry</w:t>
      </w:r>
      <w:r w:rsidR="00FC68D2">
        <w:rPr>
          <w:sz w:val="22"/>
          <w:szCs w:val="22"/>
          <w:lang w:val="en-GB"/>
        </w:rPr>
        <w:t>;</w:t>
      </w:r>
      <w:r w:rsidR="00FC68D2" w:rsidRPr="000016FB">
        <w:rPr>
          <w:sz w:val="22"/>
          <w:szCs w:val="22"/>
          <w:lang w:val="en-GB"/>
        </w:rPr>
        <w:t xml:space="preserve"> </w:t>
      </w:r>
      <w:r w:rsidR="00272000">
        <w:rPr>
          <w:sz w:val="22"/>
          <w:szCs w:val="22"/>
          <w:lang w:val="en-GB"/>
        </w:rPr>
        <w:t>either</w:t>
      </w:r>
      <w:r w:rsidR="00880BC0">
        <w:rPr>
          <w:sz w:val="22"/>
          <w:szCs w:val="22"/>
          <w:lang w:val="en-GB"/>
        </w:rPr>
        <w:t xml:space="preserve"> as </w:t>
      </w:r>
      <w:r w:rsidR="00470A8F">
        <w:rPr>
          <w:sz w:val="22"/>
          <w:szCs w:val="22"/>
          <w:lang w:val="en-GB"/>
        </w:rPr>
        <w:t xml:space="preserve">3D </w:t>
      </w:r>
      <w:r w:rsidR="005C2383" w:rsidRPr="000016FB">
        <w:rPr>
          <w:sz w:val="22"/>
          <w:szCs w:val="22"/>
          <w:lang w:val="en-GB"/>
        </w:rPr>
        <w:t>monoculture</w:t>
      </w:r>
      <w:r w:rsidR="005C2383">
        <w:rPr>
          <w:sz w:val="22"/>
          <w:szCs w:val="22"/>
          <w:lang w:val="en-GB"/>
        </w:rPr>
        <w:t>s</w:t>
      </w:r>
      <w:r w:rsidR="005C2383" w:rsidRPr="000016FB">
        <w:rPr>
          <w:sz w:val="22"/>
          <w:szCs w:val="22"/>
          <w:lang w:val="en-GB"/>
        </w:rPr>
        <w:t xml:space="preserve"> or</w:t>
      </w:r>
      <w:r w:rsidR="00754080" w:rsidRPr="000016FB">
        <w:rPr>
          <w:sz w:val="22"/>
          <w:szCs w:val="22"/>
          <w:lang w:val="en-GB"/>
        </w:rPr>
        <w:t xml:space="preserve"> co-culture</w:t>
      </w:r>
      <w:r w:rsidR="00880BC0">
        <w:rPr>
          <w:sz w:val="22"/>
          <w:szCs w:val="22"/>
          <w:lang w:val="en-GB"/>
        </w:rPr>
        <w:t>s of hepatocytes</w:t>
      </w:r>
      <w:r w:rsidR="00272000">
        <w:rPr>
          <w:sz w:val="22"/>
          <w:szCs w:val="22"/>
          <w:lang w:val="en-GB"/>
        </w:rPr>
        <w:t xml:space="preserve"> with </w:t>
      </w:r>
      <w:r w:rsidR="00031050">
        <w:rPr>
          <w:sz w:val="22"/>
          <w:szCs w:val="22"/>
          <w:lang w:val="en-GB"/>
        </w:rPr>
        <w:t xml:space="preserve">non-parenchymal cell </w:t>
      </w:r>
      <w:r w:rsidR="009C5D62">
        <w:rPr>
          <w:sz w:val="22"/>
          <w:szCs w:val="22"/>
          <w:lang w:val="en-GB"/>
        </w:rPr>
        <w:t>(</w:t>
      </w:r>
      <w:r w:rsidR="00272000">
        <w:rPr>
          <w:sz w:val="22"/>
          <w:szCs w:val="22"/>
          <w:lang w:val="en-GB"/>
        </w:rPr>
        <w:t>NPCs</w:t>
      </w:r>
      <w:r w:rsidR="009C5D62">
        <w:rPr>
          <w:sz w:val="22"/>
          <w:szCs w:val="22"/>
          <w:lang w:val="en-GB"/>
        </w:rPr>
        <w:t>)</w:t>
      </w:r>
      <w:r w:rsidR="00880BC0">
        <w:rPr>
          <w:sz w:val="22"/>
          <w:szCs w:val="22"/>
          <w:lang w:val="en-GB"/>
        </w:rPr>
        <w:t>,</w:t>
      </w:r>
      <w:r w:rsidR="00754080" w:rsidRPr="000016FB">
        <w:rPr>
          <w:sz w:val="22"/>
          <w:szCs w:val="22"/>
          <w:lang w:val="en-GB"/>
        </w:rPr>
        <w:t xml:space="preserve"> </w:t>
      </w:r>
      <w:r w:rsidR="00A9004A">
        <w:rPr>
          <w:sz w:val="22"/>
          <w:szCs w:val="22"/>
          <w:lang w:val="en-GB"/>
        </w:rPr>
        <w:t xml:space="preserve">and whether these are </w:t>
      </w:r>
      <w:r w:rsidR="004D5E61" w:rsidRPr="000016FB">
        <w:rPr>
          <w:sz w:val="22"/>
          <w:szCs w:val="22"/>
          <w:lang w:val="en-GB"/>
        </w:rPr>
        <w:t>more suited</w:t>
      </w:r>
      <w:r w:rsidR="00B91B35" w:rsidRPr="000016FB">
        <w:rPr>
          <w:sz w:val="22"/>
          <w:szCs w:val="22"/>
          <w:lang w:val="en-GB"/>
        </w:rPr>
        <w:t xml:space="preserve"> for use in detection of toxicological </w:t>
      </w:r>
      <w:r w:rsidR="00754080" w:rsidRPr="000016FB">
        <w:rPr>
          <w:sz w:val="22"/>
          <w:szCs w:val="22"/>
          <w:lang w:val="en-GB"/>
        </w:rPr>
        <w:t>endpoints</w:t>
      </w:r>
      <w:r w:rsidR="00C60FD2" w:rsidRPr="000016FB">
        <w:rPr>
          <w:sz w:val="22"/>
          <w:szCs w:val="22"/>
          <w:lang w:val="en-GB"/>
        </w:rPr>
        <w:t>.</w:t>
      </w:r>
      <w:r w:rsidR="00F9514A" w:rsidRPr="000016FB">
        <w:rPr>
          <w:sz w:val="22"/>
          <w:szCs w:val="22"/>
          <w:lang w:val="en-GB"/>
        </w:rPr>
        <w:t xml:space="preserve"> </w:t>
      </w:r>
      <w:r w:rsidR="000B7C2D">
        <w:rPr>
          <w:sz w:val="22"/>
          <w:szCs w:val="22"/>
          <w:lang w:val="en-GB"/>
        </w:rPr>
        <w:t>Clear</w:t>
      </w:r>
      <w:r w:rsidR="00880BC0">
        <w:rPr>
          <w:sz w:val="22"/>
          <w:szCs w:val="22"/>
          <w:lang w:val="en-GB"/>
        </w:rPr>
        <w:t>ly</w:t>
      </w:r>
      <w:r w:rsidR="000B7C2D">
        <w:rPr>
          <w:sz w:val="22"/>
          <w:szCs w:val="22"/>
          <w:lang w:val="en-GB"/>
        </w:rPr>
        <w:t xml:space="preserve"> the advantage of these 3D models alongside </w:t>
      </w:r>
      <w:proofErr w:type="spellStart"/>
      <w:r w:rsidR="000B7C2D">
        <w:rPr>
          <w:sz w:val="22"/>
          <w:szCs w:val="22"/>
          <w:lang w:val="en-GB"/>
        </w:rPr>
        <w:t>microphysiological</w:t>
      </w:r>
      <w:proofErr w:type="spellEnd"/>
      <w:r w:rsidR="000B7C2D">
        <w:rPr>
          <w:sz w:val="22"/>
          <w:szCs w:val="22"/>
          <w:lang w:val="en-GB"/>
        </w:rPr>
        <w:t xml:space="preserve"> systems </w:t>
      </w:r>
      <w:r w:rsidR="00A527B7">
        <w:rPr>
          <w:sz w:val="22"/>
          <w:szCs w:val="22"/>
          <w:lang w:val="en-GB"/>
        </w:rPr>
        <w:t>will be</w:t>
      </w:r>
      <w:r w:rsidR="000B7C2D">
        <w:rPr>
          <w:sz w:val="22"/>
          <w:szCs w:val="22"/>
          <w:lang w:val="en-GB"/>
        </w:rPr>
        <w:t xml:space="preserve"> the opportunity to </w:t>
      </w:r>
      <w:r w:rsidR="00A527B7">
        <w:rPr>
          <w:sz w:val="22"/>
          <w:szCs w:val="22"/>
          <w:lang w:val="en-GB"/>
        </w:rPr>
        <w:t>perform studies</w:t>
      </w:r>
      <w:r w:rsidR="000B7C2D">
        <w:rPr>
          <w:sz w:val="22"/>
          <w:szCs w:val="22"/>
          <w:lang w:val="en-GB"/>
        </w:rPr>
        <w:t xml:space="preserve"> over extended periods </w:t>
      </w:r>
      <w:r w:rsidR="009359E8">
        <w:rPr>
          <w:sz w:val="22"/>
          <w:szCs w:val="22"/>
          <w:lang w:val="en-GB"/>
        </w:rPr>
        <w:t xml:space="preserve">(e.g., </w:t>
      </w:r>
      <w:r w:rsidR="000B7C2D">
        <w:rPr>
          <w:sz w:val="22"/>
          <w:szCs w:val="22"/>
          <w:lang w:val="en-GB"/>
        </w:rPr>
        <w:t>7-14 days</w:t>
      </w:r>
      <w:r w:rsidR="009359E8">
        <w:rPr>
          <w:sz w:val="22"/>
          <w:szCs w:val="22"/>
          <w:lang w:val="en-GB"/>
        </w:rPr>
        <w:t>)</w:t>
      </w:r>
      <w:r w:rsidR="000B7C2D">
        <w:rPr>
          <w:sz w:val="22"/>
          <w:szCs w:val="22"/>
          <w:lang w:val="en-GB"/>
        </w:rPr>
        <w:t xml:space="preserve"> </w:t>
      </w:r>
      <w:r w:rsidR="00A527B7">
        <w:rPr>
          <w:sz w:val="22"/>
          <w:szCs w:val="22"/>
          <w:lang w:val="en-GB"/>
        </w:rPr>
        <w:t>to allow</w:t>
      </w:r>
      <w:r w:rsidR="000B7C2D">
        <w:rPr>
          <w:sz w:val="22"/>
          <w:szCs w:val="22"/>
          <w:lang w:val="en-GB"/>
        </w:rPr>
        <w:t xml:space="preserve"> </w:t>
      </w:r>
      <w:r w:rsidR="009359E8">
        <w:rPr>
          <w:sz w:val="22"/>
          <w:szCs w:val="22"/>
          <w:lang w:val="en-GB"/>
        </w:rPr>
        <w:t xml:space="preserve">for the </w:t>
      </w:r>
      <w:r w:rsidR="00A527B7">
        <w:rPr>
          <w:sz w:val="22"/>
          <w:szCs w:val="22"/>
          <w:lang w:val="en-GB"/>
        </w:rPr>
        <w:t xml:space="preserve">detection of </w:t>
      </w:r>
      <w:r w:rsidR="000B7C2D">
        <w:rPr>
          <w:sz w:val="22"/>
          <w:szCs w:val="22"/>
          <w:lang w:val="en-GB"/>
        </w:rPr>
        <w:t xml:space="preserve">low level and time-dependent </w:t>
      </w:r>
      <w:r w:rsidR="00A527B7">
        <w:rPr>
          <w:sz w:val="22"/>
          <w:szCs w:val="22"/>
          <w:lang w:val="en-GB"/>
        </w:rPr>
        <w:t xml:space="preserve">drug </w:t>
      </w:r>
      <w:r w:rsidR="000B7C2D">
        <w:rPr>
          <w:sz w:val="22"/>
          <w:szCs w:val="22"/>
          <w:lang w:val="en-GB"/>
        </w:rPr>
        <w:t>effects</w:t>
      </w:r>
      <w:r w:rsidR="004E6A71">
        <w:rPr>
          <w:sz w:val="22"/>
          <w:szCs w:val="22"/>
          <w:lang w:val="en-GB"/>
        </w:rPr>
        <w:t xml:space="preserve">. </w:t>
      </w:r>
      <w:r w:rsidR="003C0B5B">
        <w:rPr>
          <w:sz w:val="22"/>
          <w:szCs w:val="22"/>
          <w:lang w:val="en-GB"/>
        </w:rPr>
        <w:t>Unfortunately</w:t>
      </w:r>
      <w:r w:rsidR="0058675F">
        <w:rPr>
          <w:sz w:val="22"/>
          <w:szCs w:val="22"/>
          <w:lang w:val="en-GB"/>
        </w:rPr>
        <w:t>,</w:t>
      </w:r>
      <w:r w:rsidR="003C0B5B">
        <w:rPr>
          <w:sz w:val="22"/>
          <w:szCs w:val="22"/>
          <w:lang w:val="en-GB"/>
        </w:rPr>
        <w:t xml:space="preserve"> </w:t>
      </w:r>
      <w:r w:rsidR="00A527B7">
        <w:rPr>
          <w:sz w:val="22"/>
          <w:szCs w:val="22"/>
          <w:lang w:val="en-GB"/>
        </w:rPr>
        <w:t>there remains a</w:t>
      </w:r>
      <w:r w:rsidR="0058675F">
        <w:rPr>
          <w:sz w:val="22"/>
          <w:szCs w:val="22"/>
          <w:lang w:val="en-GB"/>
        </w:rPr>
        <w:t xml:space="preserve"> lack of</w:t>
      </w:r>
      <w:r w:rsidR="00754080" w:rsidRPr="000016FB">
        <w:rPr>
          <w:sz w:val="22"/>
          <w:szCs w:val="22"/>
          <w:lang w:val="en-GB"/>
        </w:rPr>
        <w:t xml:space="preserve"> quantitative </w:t>
      </w:r>
      <w:r w:rsidR="00C60FD2" w:rsidRPr="000016FB">
        <w:rPr>
          <w:sz w:val="22"/>
          <w:szCs w:val="22"/>
          <w:lang w:val="en-GB"/>
        </w:rPr>
        <w:t xml:space="preserve">comparative </w:t>
      </w:r>
      <w:r w:rsidR="00754080" w:rsidRPr="000016FB">
        <w:rPr>
          <w:sz w:val="22"/>
          <w:szCs w:val="22"/>
          <w:lang w:val="en-GB"/>
        </w:rPr>
        <w:t>benchmarking</w:t>
      </w:r>
      <w:r w:rsidR="007B2E97">
        <w:rPr>
          <w:sz w:val="22"/>
          <w:szCs w:val="22"/>
          <w:lang w:val="en-GB"/>
        </w:rPr>
        <w:t xml:space="preserve"> for many of these</w:t>
      </w:r>
      <w:r w:rsidR="00754080" w:rsidRPr="000016FB">
        <w:rPr>
          <w:sz w:val="22"/>
          <w:szCs w:val="22"/>
          <w:lang w:val="en-GB"/>
        </w:rPr>
        <w:t xml:space="preserve"> </w:t>
      </w:r>
      <w:r w:rsidR="00A527B7">
        <w:rPr>
          <w:sz w:val="22"/>
          <w:szCs w:val="22"/>
          <w:lang w:val="en-GB"/>
        </w:rPr>
        <w:t xml:space="preserve">advanced </w:t>
      </w:r>
      <w:r w:rsidR="00754080" w:rsidRPr="000016FB">
        <w:rPr>
          <w:sz w:val="22"/>
          <w:szCs w:val="22"/>
          <w:lang w:val="en-GB"/>
        </w:rPr>
        <w:t>models</w:t>
      </w:r>
      <w:r w:rsidR="00FC68D2">
        <w:rPr>
          <w:sz w:val="22"/>
          <w:szCs w:val="22"/>
          <w:lang w:val="en-GB"/>
        </w:rPr>
        <w:t xml:space="preserve">, </w:t>
      </w:r>
      <w:r w:rsidR="0058675F">
        <w:rPr>
          <w:sz w:val="22"/>
          <w:szCs w:val="22"/>
          <w:lang w:val="en-GB"/>
        </w:rPr>
        <w:t xml:space="preserve">especially </w:t>
      </w:r>
      <w:r w:rsidR="004E6A71">
        <w:rPr>
          <w:sz w:val="22"/>
          <w:szCs w:val="22"/>
          <w:lang w:val="en-GB"/>
        </w:rPr>
        <w:t>where it relates</w:t>
      </w:r>
      <w:r w:rsidR="0058675F">
        <w:rPr>
          <w:sz w:val="22"/>
          <w:szCs w:val="22"/>
          <w:lang w:val="en-GB"/>
        </w:rPr>
        <w:t xml:space="preserve"> to</w:t>
      </w:r>
      <w:r w:rsidR="003C0B5B">
        <w:rPr>
          <w:sz w:val="22"/>
          <w:szCs w:val="22"/>
          <w:lang w:val="en-GB"/>
        </w:rPr>
        <w:t xml:space="preserve"> cellular differentiation state</w:t>
      </w:r>
      <w:r w:rsidR="00A527B7">
        <w:rPr>
          <w:sz w:val="22"/>
          <w:szCs w:val="22"/>
          <w:lang w:val="en-GB"/>
        </w:rPr>
        <w:t>. Consequently,</w:t>
      </w:r>
      <w:r w:rsidR="003C0B5B">
        <w:rPr>
          <w:sz w:val="22"/>
          <w:szCs w:val="22"/>
          <w:lang w:val="en-GB"/>
        </w:rPr>
        <w:t xml:space="preserve"> there</w:t>
      </w:r>
      <w:r w:rsidR="00A527B7">
        <w:rPr>
          <w:sz w:val="22"/>
          <w:szCs w:val="22"/>
          <w:lang w:val="en-GB"/>
        </w:rPr>
        <w:t xml:space="preserve"> </w:t>
      </w:r>
      <w:r w:rsidR="009359E8">
        <w:rPr>
          <w:sz w:val="22"/>
          <w:szCs w:val="22"/>
          <w:lang w:val="en-GB"/>
        </w:rPr>
        <w:t>are</w:t>
      </w:r>
      <w:r w:rsidR="00A527B7">
        <w:rPr>
          <w:sz w:val="22"/>
          <w:szCs w:val="22"/>
          <w:lang w:val="en-GB"/>
        </w:rPr>
        <w:t xml:space="preserve"> </w:t>
      </w:r>
      <w:r w:rsidR="00B91B35" w:rsidRPr="000016FB">
        <w:rPr>
          <w:sz w:val="22"/>
          <w:szCs w:val="22"/>
          <w:lang w:val="en-GB"/>
        </w:rPr>
        <w:t>no industry standard</w:t>
      </w:r>
      <w:r w:rsidR="00A07650" w:rsidRPr="000016FB">
        <w:rPr>
          <w:sz w:val="22"/>
          <w:szCs w:val="22"/>
          <w:lang w:val="en-GB"/>
        </w:rPr>
        <w:t>s</w:t>
      </w:r>
      <w:r w:rsidR="00B91B35" w:rsidRPr="000016FB">
        <w:rPr>
          <w:sz w:val="22"/>
          <w:szCs w:val="22"/>
          <w:lang w:val="en-GB"/>
        </w:rPr>
        <w:t xml:space="preserve"> or </w:t>
      </w:r>
      <w:r w:rsidR="00A46ADB" w:rsidRPr="000016FB">
        <w:rPr>
          <w:sz w:val="22"/>
          <w:szCs w:val="22"/>
          <w:lang w:val="en-GB"/>
        </w:rPr>
        <w:t>common accept</w:t>
      </w:r>
      <w:r w:rsidR="00993F3F" w:rsidRPr="000016FB">
        <w:rPr>
          <w:sz w:val="22"/>
          <w:szCs w:val="22"/>
          <w:lang w:val="en-GB"/>
        </w:rPr>
        <w:t>ance</w:t>
      </w:r>
      <w:r w:rsidR="00A46ADB" w:rsidRPr="000016FB">
        <w:rPr>
          <w:sz w:val="22"/>
          <w:szCs w:val="22"/>
          <w:lang w:val="en-GB"/>
        </w:rPr>
        <w:t xml:space="preserve"> of which cell models are</w:t>
      </w:r>
      <w:r w:rsidR="00B91B35" w:rsidRPr="000016FB">
        <w:rPr>
          <w:sz w:val="22"/>
          <w:szCs w:val="22"/>
          <w:lang w:val="en-GB"/>
        </w:rPr>
        <w:t xml:space="preserve"> more suit</w:t>
      </w:r>
      <w:r w:rsidR="004D5E61" w:rsidRPr="000016FB">
        <w:rPr>
          <w:sz w:val="22"/>
          <w:szCs w:val="22"/>
          <w:lang w:val="en-GB"/>
        </w:rPr>
        <w:t>able</w:t>
      </w:r>
      <w:r w:rsidR="00B91B35" w:rsidRPr="000016FB">
        <w:rPr>
          <w:sz w:val="22"/>
          <w:szCs w:val="22"/>
          <w:lang w:val="en-GB"/>
        </w:rPr>
        <w:t xml:space="preserve"> for </w:t>
      </w:r>
      <w:r w:rsidR="004D5E61" w:rsidRPr="000016FB">
        <w:rPr>
          <w:sz w:val="22"/>
          <w:szCs w:val="22"/>
          <w:lang w:val="en-GB"/>
        </w:rPr>
        <w:t>the</w:t>
      </w:r>
      <w:r w:rsidR="00A527B7" w:rsidRPr="000016FB">
        <w:rPr>
          <w:sz w:val="22"/>
          <w:szCs w:val="22"/>
          <w:lang w:val="en-GB"/>
        </w:rPr>
        <w:t xml:space="preserve"> </w:t>
      </w:r>
      <w:r w:rsidR="00B91B35" w:rsidRPr="000016FB">
        <w:rPr>
          <w:sz w:val="22"/>
          <w:szCs w:val="22"/>
          <w:lang w:val="en-GB"/>
        </w:rPr>
        <w:t xml:space="preserve">detection of </w:t>
      </w:r>
      <w:r w:rsidR="004D5E61" w:rsidRPr="000016FB">
        <w:rPr>
          <w:sz w:val="22"/>
          <w:szCs w:val="22"/>
          <w:lang w:val="en-GB"/>
        </w:rPr>
        <w:t xml:space="preserve">certain </w:t>
      </w:r>
      <w:r w:rsidR="00993F3F" w:rsidRPr="000016FB">
        <w:rPr>
          <w:sz w:val="22"/>
          <w:szCs w:val="22"/>
          <w:lang w:val="en-GB"/>
        </w:rPr>
        <w:t xml:space="preserve">forms of </w:t>
      </w:r>
      <w:r w:rsidR="00C356D4">
        <w:rPr>
          <w:sz w:val="22"/>
          <w:szCs w:val="22"/>
          <w:lang w:val="en-GB"/>
        </w:rPr>
        <w:t xml:space="preserve">human </w:t>
      </w:r>
      <w:r w:rsidR="00B91B35" w:rsidRPr="000016FB">
        <w:rPr>
          <w:sz w:val="22"/>
          <w:szCs w:val="22"/>
          <w:lang w:val="en-GB"/>
        </w:rPr>
        <w:t>DILI</w:t>
      </w:r>
      <w:r w:rsidR="0058675F">
        <w:rPr>
          <w:sz w:val="22"/>
          <w:szCs w:val="22"/>
          <w:lang w:val="en-GB"/>
        </w:rPr>
        <w:t xml:space="preserve">.  </w:t>
      </w:r>
    </w:p>
    <w:p w14:paraId="4905C76F" w14:textId="77777777" w:rsidR="003F7B3C" w:rsidRPr="000016FB" w:rsidRDefault="003F7B3C" w:rsidP="0012646B">
      <w:pPr>
        <w:spacing w:line="480" w:lineRule="auto"/>
        <w:jc w:val="both"/>
        <w:rPr>
          <w:sz w:val="22"/>
          <w:szCs w:val="22"/>
          <w:lang w:val="en-US"/>
        </w:rPr>
      </w:pPr>
    </w:p>
    <w:p w14:paraId="5BC696BE" w14:textId="183BF5D0" w:rsidR="00C62DA7" w:rsidRDefault="0058675F" w:rsidP="00C62DA7">
      <w:pPr>
        <w:spacing w:line="480" w:lineRule="auto"/>
        <w:jc w:val="both"/>
        <w:rPr>
          <w:sz w:val="22"/>
          <w:szCs w:val="22"/>
          <w:lang w:val="en-GB"/>
        </w:rPr>
      </w:pPr>
      <w:r>
        <w:rPr>
          <w:sz w:val="22"/>
          <w:szCs w:val="22"/>
          <w:lang w:val="en-GB"/>
        </w:rPr>
        <w:t>G</w:t>
      </w:r>
      <w:r w:rsidR="00443EDA">
        <w:rPr>
          <w:sz w:val="22"/>
          <w:szCs w:val="22"/>
          <w:lang w:val="en-GB"/>
        </w:rPr>
        <w:t xml:space="preserve">iven </w:t>
      </w:r>
      <w:r w:rsidR="003C0B5B">
        <w:rPr>
          <w:sz w:val="22"/>
          <w:szCs w:val="22"/>
          <w:lang w:val="en-GB"/>
        </w:rPr>
        <w:t>th</w:t>
      </w:r>
      <w:r>
        <w:rPr>
          <w:sz w:val="22"/>
          <w:szCs w:val="22"/>
          <w:lang w:val="en-GB"/>
        </w:rPr>
        <w:t>at</w:t>
      </w:r>
      <w:r w:rsidR="003C0B5B">
        <w:rPr>
          <w:sz w:val="22"/>
          <w:szCs w:val="22"/>
          <w:lang w:val="en-GB"/>
        </w:rPr>
        <w:t xml:space="preserve"> current </w:t>
      </w:r>
      <w:r>
        <w:rPr>
          <w:sz w:val="22"/>
          <w:szCs w:val="22"/>
          <w:lang w:val="en-GB"/>
        </w:rPr>
        <w:t>and likely future models will not exactly</w:t>
      </w:r>
      <w:r w:rsidR="00760295">
        <w:rPr>
          <w:sz w:val="22"/>
          <w:szCs w:val="22"/>
          <w:lang w:val="en-GB"/>
        </w:rPr>
        <w:t xml:space="preserve"> replicate the </w:t>
      </w:r>
      <w:r w:rsidR="003C0B5B">
        <w:rPr>
          <w:sz w:val="22"/>
          <w:szCs w:val="22"/>
          <w:lang w:val="en-GB"/>
        </w:rPr>
        <w:t>complexity of</w:t>
      </w:r>
      <w:r w:rsidR="001E53E1">
        <w:rPr>
          <w:sz w:val="22"/>
          <w:szCs w:val="22"/>
          <w:lang w:val="en-GB"/>
        </w:rPr>
        <w:t xml:space="preserve"> the</w:t>
      </w:r>
      <w:r w:rsidR="003C0B5B">
        <w:rPr>
          <w:sz w:val="22"/>
          <w:szCs w:val="22"/>
          <w:lang w:val="en-GB"/>
        </w:rPr>
        <w:t xml:space="preserve"> </w:t>
      </w:r>
      <w:r w:rsidR="00760295">
        <w:rPr>
          <w:sz w:val="22"/>
          <w:szCs w:val="22"/>
          <w:lang w:val="en-GB"/>
        </w:rPr>
        <w:t>human liver</w:t>
      </w:r>
      <w:r>
        <w:rPr>
          <w:sz w:val="22"/>
          <w:szCs w:val="22"/>
          <w:lang w:val="en-GB"/>
        </w:rPr>
        <w:t>,</w:t>
      </w:r>
      <w:r w:rsidR="00A2607D">
        <w:rPr>
          <w:sz w:val="22"/>
          <w:szCs w:val="22"/>
          <w:lang w:val="en-GB"/>
        </w:rPr>
        <w:t xml:space="preserve"> </w:t>
      </w:r>
      <w:r w:rsidR="003C0B5B">
        <w:rPr>
          <w:sz w:val="22"/>
          <w:szCs w:val="22"/>
          <w:lang w:val="en-GB"/>
        </w:rPr>
        <w:t xml:space="preserve">it </w:t>
      </w:r>
      <w:r>
        <w:rPr>
          <w:sz w:val="22"/>
          <w:szCs w:val="22"/>
          <w:lang w:val="en-GB"/>
        </w:rPr>
        <w:t xml:space="preserve">appears </w:t>
      </w:r>
      <w:r w:rsidR="003C0B5B">
        <w:rPr>
          <w:sz w:val="22"/>
          <w:szCs w:val="22"/>
          <w:lang w:val="en-GB"/>
        </w:rPr>
        <w:t>critical to define what mechanistic endpoint</w:t>
      </w:r>
      <w:r w:rsidR="001E53E1">
        <w:rPr>
          <w:sz w:val="22"/>
          <w:szCs w:val="22"/>
          <w:lang w:val="en-GB"/>
        </w:rPr>
        <w:t>s</w:t>
      </w:r>
      <w:r w:rsidR="003C0B5B">
        <w:rPr>
          <w:sz w:val="22"/>
          <w:szCs w:val="22"/>
          <w:lang w:val="en-GB"/>
        </w:rPr>
        <w:t xml:space="preserve"> relevant</w:t>
      </w:r>
      <w:r w:rsidR="00760295">
        <w:rPr>
          <w:sz w:val="22"/>
          <w:szCs w:val="22"/>
          <w:lang w:val="en-GB"/>
        </w:rPr>
        <w:t xml:space="preserve"> </w:t>
      </w:r>
      <w:r w:rsidR="003C0B5B">
        <w:rPr>
          <w:sz w:val="22"/>
          <w:szCs w:val="22"/>
          <w:lang w:val="en-GB"/>
        </w:rPr>
        <w:t xml:space="preserve">to human </w:t>
      </w:r>
      <w:r w:rsidR="00760295">
        <w:rPr>
          <w:sz w:val="22"/>
          <w:szCs w:val="22"/>
          <w:lang w:val="en-GB"/>
        </w:rPr>
        <w:t xml:space="preserve">pathologies </w:t>
      </w:r>
      <w:r w:rsidR="003C0B5B">
        <w:rPr>
          <w:sz w:val="22"/>
          <w:szCs w:val="22"/>
          <w:lang w:val="en-GB"/>
        </w:rPr>
        <w:t>are best represented by each</w:t>
      </w:r>
      <w:r w:rsidR="00760295">
        <w:rPr>
          <w:sz w:val="22"/>
          <w:szCs w:val="22"/>
          <w:lang w:val="en-GB"/>
        </w:rPr>
        <w:t xml:space="preserve"> test </w:t>
      </w:r>
      <w:r w:rsidR="003C0B5B">
        <w:rPr>
          <w:sz w:val="22"/>
          <w:szCs w:val="22"/>
          <w:lang w:val="en-GB"/>
        </w:rPr>
        <w:t xml:space="preserve">system. </w:t>
      </w:r>
      <w:r w:rsidR="00760295">
        <w:rPr>
          <w:sz w:val="22"/>
          <w:szCs w:val="22"/>
          <w:lang w:val="en-GB"/>
        </w:rPr>
        <w:t xml:space="preserve"> In the context of </w:t>
      </w:r>
      <w:r w:rsidR="007C3070">
        <w:rPr>
          <w:sz w:val="22"/>
          <w:szCs w:val="22"/>
          <w:lang w:val="en-GB"/>
        </w:rPr>
        <w:t>hazard and risk assessment</w:t>
      </w:r>
      <w:r w:rsidR="00031C22">
        <w:rPr>
          <w:sz w:val="22"/>
          <w:szCs w:val="22"/>
          <w:lang w:val="en-GB"/>
        </w:rPr>
        <w:t>,</w:t>
      </w:r>
      <w:r w:rsidR="00760295">
        <w:rPr>
          <w:sz w:val="22"/>
          <w:szCs w:val="22"/>
          <w:lang w:val="en-GB"/>
        </w:rPr>
        <w:t xml:space="preserve"> </w:t>
      </w:r>
      <w:r>
        <w:rPr>
          <w:sz w:val="22"/>
          <w:szCs w:val="22"/>
          <w:lang w:val="en-GB"/>
        </w:rPr>
        <w:t>this would allow to</w:t>
      </w:r>
      <w:r w:rsidR="00760295">
        <w:rPr>
          <w:sz w:val="22"/>
          <w:szCs w:val="22"/>
          <w:lang w:val="en-GB"/>
        </w:rPr>
        <w:t xml:space="preserve"> </w:t>
      </w:r>
      <w:r w:rsidR="00C356D4">
        <w:rPr>
          <w:sz w:val="22"/>
          <w:szCs w:val="22"/>
          <w:lang w:val="en-GB"/>
        </w:rPr>
        <w:t xml:space="preserve">better </w:t>
      </w:r>
      <w:proofErr w:type="gramStart"/>
      <w:r w:rsidR="00C356D4">
        <w:rPr>
          <w:sz w:val="22"/>
          <w:szCs w:val="22"/>
          <w:lang w:val="en-GB"/>
        </w:rPr>
        <w:t>defin</w:t>
      </w:r>
      <w:r w:rsidR="004E6A71">
        <w:rPr>
          <w:sz w:val="22"/>
          <w:szCs w:val="22"/>
          <w:lang w:val="en-GB"/>
        </w:rPr>
        <w:t>e</w:t>
      </w:r>
      <w:proofErr w:type="gramEnd"/>
      <w:r w:rsidR="00760295">
        <w:rPr>
          <w:sz w:val="22"/>
          <w:szCs w:val="22"/>
          <w:lang w:val="en-GB"/>
        </w:rPr>
        <w:t xml:space="preserve"> what purpose each </w:t>
      </w:r>
      <w:r w:rsidR="00C356D4">
        <w:rPr>
          <w:sz w:val="22"/>
          <w:szCs w:val="22"/>
          <w:lang w:val="en-GB"/>
        </w:rPr>
        <w:t>cell model</w:t>
      </w:r>
      <w:r w:rsidR="00760295">
        <w:rPr>
          <w:sz w:val="22"/>
          <w:szCs w:val="22"/>
          <w:lang w:val="en-GB"/>
        </w:rPr>
        <w:t xml:space="preserve"> </w:t>
      </w:r>
      <w:r w:rsidR="003C0B5B">
        <w:rPr>
          <w:sz w:val="22"/>
          <w:szCs w:val="22"/>
          <w:lang w:val="en-GB"/>
        </w:rPr>
        <w:t xml:space="preserve">can be used </w:t>
      </w:r>
      <w:r w:rsidR="00443EDA">
        <w:rPr>
          <w:sz w:val="22"/>
          <w:szCs w:val="22"/>
          <w:lang w:val="en-GB"/>
        </w:rPr>
        <w:t xml:space="preserve">for </w:t>
      </w:r>
      <w:r w:rsidR="004E6CCA">
        <w:rPr>
          <w:sz w:val="22"/>
          <w:szCs w:val="22"/>
          <w:lang w:val="en-GB"/>
        </w:rPr>
        <w:t xml:space="preserve">and </w:t>
      </w:r>
      <w:r>
        <w:rPr>
          <w:sz w:val="22"/>
          <w:szCs w:val="22"/>
          <w:lang w:val="en-GB"/>
        </w:rPr>
        <w:t xml:space="preserve">establish </w:t>
      </w:r>
      <w:r w:rsidR="004E6CCA">
        <w:rPr>
          <w:sz w:val="22"/>
          <w:szCs w:val="22"/>
          <w:lang w:val="en-GB"/>
        </w:rPr>
        <w:t>reproducible bench-marking</w:t>
      </w:r>
      <w:r w:rsidR="003C0B5B">
        <w:rPr>
          <w:sz w:val="22"/>
          <w:szCs w:val="22"/>
          <w:lang w:val="en-GB"/>
        </w:rPr>
        <w:t xml:space="preserve"> </w:t>
      </w:r>
      <w:r w:rsidR="008E62A2">
        <w:rPr>
          <w:sz w:val="22"/>
          <w:szCs w:val="22"/>
          <w:lang w:val="en-GB"/>
        </w:rPr>
        <w:t xml:space="preserve">data and decision cut-off points </w:t>
      </w:r>
      <w:r w:rsidR="003C0B5B">
        <w:rPr>
          <w:sz w:val="22"/>
          <w:szCs w:val="22"/>
          <w:lang w:val="en-GB"/>
        </w:rPr>
        <w:t xml:space="preserve">rather than striving to </w:t>
      </w:r>
      <w:r w:rsidR="00A72687">
        <w:rPr>
          <w:sz w:val="22"/>
          <w:szCs w:val="22"/>
          <w:lang w:val="en-GB"/>
        </w:rPr>
        <w:t xml:space="preserve">develop a single test system that </w:t>
      </w:r>
      <w:r w:rsidR="004E6CCA">
        <w:rPr>
          <w:sz w:val="22"/>
          <w:szCs w:val="22"/>
          <w:lang w:val="en-GB"/>
        </w:rPr>
        <w:t>encompass</w:t>
      </w:r>
      <w:r w:rsidR="00A72687">
        <w:rPr>
          <w:sz w:val="22"/>
          <w:szCs w:val="22"/>
          <w:lang w:val="en-GB"/>
        </w:rPr>
        <w:t xml:space="preserve">es the spectrum </w:t>
      </w:r>
      <w:r w:rsidR="00A72687" w:rsidRPr="00CF3FEB">
        <w:rPr>
          <w:sz w:val="22"/>
          <w:szCs w:val="22"/>
          <w:lang w:val="en-GB"/>
        </w:rPr>
        <w:t xml:space="preserve">of </w:t>
      </w:r>
      <w:r w:rsidR="00A72687" w:rsidRPr="00CF3FEB">
        <w:rPr>
          <w:i/>
          <w:sz w:val="22"/>
          <w:szCs w:val="22"/>
          <w:lang w:val="en-GB"/>
        </w:rPr>
        <w:t>in vivo</w:t>
      </w:r>
      <w:r w:rsidR="00A72687" w:rsidRPr="00CF3FEB">
        <w:rPr>
          <w:sz w:val="22"/>
          <w:szCs w:val="22"/>
          <w:lang w:val="en-GB"/>
        </w:rPr>
        <w:t xml:space="preserve"> human DILI events.</w:t>
      </w:r>
      <w:r w:rsidR="004E6CCA">
        <w:rPr>
          <w:sz w:val="22"/>
          <w:szCs w:val="22"/>
          <w:lang w:val="en-GB"/>
        </w:rPr>
        <w:t xml:space="preserve"> </w:t>
      </w:r>
      <w:r w:rsidR="00F64010">
        <w:rPr>
          <w:sz w:val="22"/>
          <w:szCs w:val="22"/>
          <w:lang w:val="en-GB"/>
        </w:rPr>
        <w:t>The future implementation and</w:t>
      </w:r>
      <w:r w:rsidR="004E6A71">
        <w:rPr>
          <w:sz w:val="22"/>
          <w:szCs w:val="22"/>
          <w:lang w:val="en-GB"/>
        </w:rPr>
        <w:t xml:space="preserve"> use of the </w:t>
      </w:r>
      <w:r w:rsidR="002545DD">
        <w:rPr>
          <w:sz w:val="22"/>
          <w:szCs w:val="22"/>
          <w:lang w:val="en-GB"/>
        </w:rPr>
        <w:t xml:space="preserve">more advanced </w:t>
      </w:r>
      <w:r w:rsidR="00C356D4">
        <w:rPr>
          <w:sz w:val="22"/>
          <w:szCs w:val="22"/>
          <w:lang w:val="en-GB"/>
        </w:rPr>
        <w:lastRenderedPageBreak/>
        <w:t xml:space="preserve">cell models </w:t>
      </w:r>
      <w:r w:rsidR="004E6A71">
        <w:rPr>
          <w:sz w:val="22"/>
          <w:szCs w:val="22"/>
          <w:lang w:val="en-GB"/>
        </w:rPr>
        <w:t xml:space="preserve">will </w:t>
      </w:r>
      <w:r w:rsidR="00F64010">
        <w:rPr>
          <w:sz w:val="22"/>
          <w:szCs w:val="22"/>
          <w:lang w:val="en-GB"/>
        </w:rPr>
        <w:t xml:space="preserve">inevitably </w:t>
      </w:r>
      <w:r w:rsidR="002545DD">
        <w:rPr>
          <w:sz w:val="22"/>
          <w:szCs w:val="22"/>
          <w:lang w:val="en-GB"/>
        </w:rPr>
        <w:t>incur</w:t>
      </w:r>
      <w:r w:rsidR="00C356D4">
        <w:rPr>
          <w:sz w:val="22"/>
          <w:szCs w:val="22"/>
          <w:lang w:val="en-GB"/>
        </w:rPr>
        <w:t xml:space="preserve"> </w:t>
      </w:r>
      <w:r w:rsidR="004E6A71">
        <w:rPr>
          <w:sz w:val="22"/>
          <w:szCs w:val="22"/>
          <w:lang w:val="en-GB"/>
        </w:rPr>
        <w:t>further</w:t>
      </w:r>
      <w:r w:rsidR="00C356D4">
        <w:rPr>
          <w:sz w:val="22"/>
          <w:szCs w:val="22"/>
          <w:lang w:val="en-GB"/>
        </w:rPr>
        <w:t xml:space="preserve"> resourcing</w:t>
      </w:r>
      <w:r w:rsidR="004E6A71">
        <w:rPr>
          <w:sz w:val="22"/>
          <w:szCs w:val="22"/>
          <w:lang w:val="en-GB"/>
        </w:rPr>
        <w:t xml:space="preserve"> requirements and</w:t>
      </w:r>
      <w:r w:rsidR="00C356D4">
        <w:rPr>
          <w:sz w:val="22"/>
          <w:szCs w:val="22"/>
          <w:lang w:val="en-GB"/>
        </w:rPr>
        <w:t xml:space="preserve"> </w:t>
      </w:r>
      <w:r w:rsidR="002545DD">
        <w:rPr>
          <w:sz w:val="22"/>
          <w:szCs w:val="22"/>
          <w:lang w:val="en-GB"/>
        </w:rPr>
        <w:t>costs</w:t>
      </w:r>
      <w:r w:rsidR="00C62DA7">
        <w:rPr>
          <w:sz w:val="22"/>
          <w:szCs w:val="22"/>
          <w:lang w:val="en-GB"/>
        </w:rPr>
        <w:t xml:space="preserve"> associated </w:t>
      </w:r>
      <w:r w:rsidR="005C2383">
        <w:rPr>
          <w:sz w:val="22"/>
          <w:szCs w:val="22"/>
          <w:lang w:val="en-GB"/>
        </w:rPr>
        <w:t>with lower</w:t>
      </w:r>
      <w:r w:rsidR="00C62DA7">
        <w:rPr>
          <w:sz w:val="22"/>
          <w:szCs w:val="22"/>
          <w:lang w:val="en-GB"/>
        </w:rPr>
        <w:t xml:space="preserve"> throughput, compound requirements, study duration</w:t>
      </w:r>
      <w:r w:rsidR="003F7B3C">
        <w:rPr>
          <w:sz w:val="22"/>
          <w:szCs w:val="22"/>
          <w:lang w:val="en-GB"/>
        </w:rPr>
        <w:t xml:space="preserve"> and</w:t>
      </w:r>
      <w:r w:rsidR="00C62DA7">
        <w:rPr>
          <w:sz w:val="22"/>
          <w:szCs w:val="22"/>
          <w:lang w:val="en-GB"/>
        </w:rPr>
        <w:t xml:space="preserve"> technical compet</w:t>
      </w:r>
      <w:r w:rsidR="00F64010">
        <w:rPr>
          <w:sz w:val="22"/>
          <w:szCs w:val="22"/>
          <w:lang w:val="en-GB"/>
        </w:rPr>
        <w:t>ences</w:t>
      </w:r>
      <w:r w:rsidR="00C62DA7">
        <w:rPr>
          <w:sz w:val="22"/>
          <w:szCs w:val="22"/>
          <w:lang w:val="en-GB"/>
        </w:rPr>
        <w:t xml:space="preserve">.  </w:t>
      </w:r>
      <w:r w:rsidR="00F64010">
        <w:rPr>
          <w:sz w:val="22"/>
          <w:szCs w:val="22"/>
          <w:lang w:val="en-GB"/>
        </w:rPr>
        <w:t xml:space="preserve">This will likely define a tiered approach towards early </w:t>
      </w:r>
      <w:r w:rsidR="009359E8">
        <w:rPr>
          <w:sz w:val="22"/>
          <w:szCs w:val="22"/>
          <w:lang w:val="en-GB"/>
        </w:rPr>
        <w:t>compound triage with</w:t>
      </w:r>
      <w:r w:rsidR="00F64010">
        <w:rPr>
          <w:sz w:val="22"/>
          <w:szCs w:val="22"/>
          <w:lang w:val="en-GB"/>
        </w:rPr>
        <w:t xml:space="preserve"> 2D screens to rank-order promising subsets for further confirmatory tests in more advance</w:t>
      </w:r>
      <w:r w:rsidR="009359E8">
        <w:rPr>
          <w:sz w:val="22"/>
          <w:szCs w:val="22"/>
          <w:lang w:val="en-GB"/>
        </w:rPr>
        <w:t>d</w:t>
      </w:r>
      <w:r w:rsidR="00F64010">
        <w:rPr>
          <w:sz w:val="22"/>
          <w:szCs w:val="22"/>
          <w:lang w:val="en-GB"/>
        </w:rPr>
        <w:t xml:space="preserve"> test systems.  </w:t>
      </w:r>
    </w:p>
    <w:p w14:paraId="492CE174" w14:textId="77777777" w:rsidR="00DE3496" w:rsidRDefault="00DE3496" w:rsidP="00760295">
      <w:pPr>
        <w:spacing w:line="480" w:lineRule="auto"/>
        <w:jc w:val="both"/>
        <w:rPr>
          <w:sz w:val="22"/>
          <w:szCs w:val="22"/>
          <w:lang w:val="en-GB"/>
        </w:rPr>
      </w:pPr>
    </w:p>
    <w:p w14:paraId="59D1E80B" w14:textId="61281FE5" w:rsidR="00760295" w:rsidRPr="006A614E" w:rsidRDefault="00ED11E2" w:rsidP="00760295">
      <w:pPr>
        <w:spacing w:line="480" w:lineRule="auto"/>
        <w:jc w:val="both"/>
        <w:rPr>
          <w:sz w:val="22"/>
          <w:szCs w:val="22"/>
          <w:lang w:val="en-GB"/>
        </w:rPr>
      </w:pPr>
      <w:r>
        <w:rPr>
          <w:sz w:val="22"/>
          <w:szCs w:val="22"/>
          <w:lang w:val="en-GB"/>
        </w:rPr>
        <w:t xml:space="preserve">DILI in </w:t>
      </w:r>
      <w:r w:rsidR="00E24999">
        <w:rPr>
          <w:sz w:val="22"/>
          <w:szCs w:val="22"/>
          <w:lang w:val="en-GB"/>
        </w:rPr>
        <w:t>hu</w:t>
      </w:r>
      <w:r>
        <w:rPr>
          <w:sz w:val="22"/>
          <w:szCs w:val="22"/>
          <w:lang w:val="en-GB"/>
        </w:rPr>
        <w:t>man is almost always a result of chronic chemical aggravation of</w:t>
      </w:r>
      <w:r w:rsidR="001C1ECD">
        <w:rPr>
          <w:sz w:val="22"/>
          <w:szCs w:val="22"/>
          <w:lang w:val="en-GB"/>
        </w:rPr>
        <w:t xml:space="preserve"> </w:t>
      </w:r>
      <w:r>
        <w:rPr>
          <w:sz w:val="22"/>
          <w:szCs w:val="22"/>
          <w:lang w:val="en-GB"/>
        </w:rPr>
        <w:t>the hepatocyte</w:t>
      </w:r>
      <w:r w:rsidR="005D096A">
        <w:rPr>
          <w:sz w:val="22"/>
          <w:szCs w:val="22"/>
          <w:lang w:val="en-GB"/>
        </w:rPr>
        <w:t>,</w:t>
      </w:r>
      <w:r w:rsidR="001C1ECD">
        <w:rPr>
          <w:sz w:val="22"/>
          <w:szCs w:val="22"/>
          <w:lang w:val="en-GB"/>
        </w:rPr>
        <w:t xml:space="preserve"> which </w:t>
      </w:r>
      <w:r w:rsidR="00DE3496">
        <w:rPr>
          <w:sz w:val="22"/>
          <w:szCs w:val="22"/>
          <w:lang w:val="en-GB"/>
        </w:rPr>
        <w:t xml:space="preserve">linked </w:t>
      </w:r>
      <w:r>
        <w:rPr>
          <w:sz w:val="22"/>
          <w:szCs w:val="22"/>
          <w:lang w:val="en-GB"/>
        </w:rPr>
        <w:t>in some way</w:t>
      </w:r>
      <w:r w:rsidR="001C1ECD">
        <w:rPr>
          <w:sz w:val="22"/>
          <w:szCs w:val="22"/>
          <w:lang w:val="en-GB"/>
        </w:rPr>
        <w:t xml:space="preserve"> </w:t>
      </w:r>
      <w:r w:rsidR="00E24999">
        <w:rPr>
          <w:sz w:val="22"/>
          <w:szCs w:val="22"/>
          <w:lang w:val="en-GB"/>
        </w:rPr>
        <w:t>to</w:t>
      </w:r>
      <w:r w:rsidR="001C1ECD">
        <w:rPr>
          <w:sz w:val="22"/>
          <w:szCs w:val="22"/>
          <w:lang w:val="en-GB"/>
        </w:rPr>
        <w:t xml:space="preserve"> </w:t>
      </w:r>
      <w:r w:rsidR="00E24999">
        <w:rPr>
          <w:sz w:val="22"/>
          <w:szCs w:val="22"/>
          <w:lang w:val="en-GB"/>
        </w:rPr>
        <w:t xml:space="preserve">individual </w:t>
      </w:r>
      <w:r w:rsidR="001C1ECD">
        <w:rPr>
          <w:sz w:val="22"/>
          <w:szCs w:val="22"/>
          <w:lang w:val="en-GB"/>
        </w:rPr>
        <w:t xml:space="preserve">patient </w:t>
      </w:r>
      <w:r w:rsidR="00E24999">
        <w:rPr>
          <w:sz w:val="22"/>
          <w:szCs w:val="22"/>
          <w:lang w:val="en-GB"/>
        </w:rPr>
        <w:t>factor</w:t>
      </w:r>
      <w:r w:rsidR="004514BB">
        <w:rPr>
          <w:sz w:val="22"/>
          <w:szCs w:val="22"/>
          <w:lang w:val="en-GB"/>
        </w:rPr>
        <w:t>s</w:t>
      </w:r>
      <w:r w:rsidR="009C5D62">
        <w:rPr>
          <w:sz w:val="22"/>
          <w:szCs w:val="22"/>
          <w:lang w:val="en-GB"/>
        </w:rPr>
        <w:t xml:space="preserve">. </w:t>
      </w:r>
      <w:proofErr w:type="gramStart"/>
      <w:r w:rsidR="00031050">
        <w:rPr>
          <w:sz w:val="22"/>
          <w:szCs w:val="22"/>
          <w:lang w:val="en-GB"/>
        </w:rPr>
        <w:t xml:space="preserve">This </w:t>
      </w:r>
      <w:r w:rsidR="005D096A">
        <w:rPr>
          <w:sz w:val="22"/>
          <w:szCs w:val="22"/>
          <w:lang w:val="en-GB"/>
        </w:rPr>
        <w:t xml:space="preserve"> </w:t>
      </w:r>
      <w:r w:rsidR="00A05F53">
        <w:rPr>
          <w:sz w:val="22"/>
          <w:szCs w:val="22"/>
          <w:lang w:val="en-GB"/>
        </w:rPr>
        <w:t>further</w:t>
      </w:r>
      <w:proofErr w:type="gramEnd"/>
      <w:r w:rsidR="00A05F53">
        <w:rPr>
          <w:sz w:val="22"/>
          <w:szCs w:val="22"/>
          <w:lang w:val="en-GB"/>
        </w:rPr>
        <w:t xml:space="preserve"> </w:t>
      </w:r>
      <w:r w:rsidR="00E24999">
        <w:rPr>
          <w:sz w:val="22"/>
          <w:szCs w:val="22"/>
          <w:lang w:val="en-GB"/>
        </w:rPr>
        <w:t>support</w:t>
      </w:r>
      <w:r w:rsidR="00DE3496">
        <w:rPr>
          <w:sz w:val="22"/>
          <w:szCs w:val="22"/>
          <w:lang w:val="en-GB"/>
        </w:rPr>
        <w:t>s</w:t>
      </w:r>
      <w:r>
        <w:rPr>
          <w:sz w:val="22"/>
          <w:szCs w:val="22"/>
          <w:lang w:val="en-GB"/>
        </w:rPr>
        <w:t xml:space="preserve"> the development of </w:t>
      </w:r>
      <w:r w:rsidRPr="006A1B0E">
        <w:rPr>
          <w:i/>
          <w:sz w:val="22"/>
          <w:szCs w:val="22"/>
          <w:lang w:val="en-GB"/>
        </w:rPr>
        <w:t>in vitro</w:t>
      </w:r>
      <w:r>
        <w:rPr>
          <w:sz w:val="22"/>
          <w:szCs w:val="22"/>
          <w:lang w:val="en-GB"/>
        </w:rPr>
        <w:t xml:space="preserve"> models </w:t>
      </w:r>
      <w:r w:rsidR="00DC0637">
        <w:rPr>
          <w:sz w:val="22"/>
          <w:szCs w:val="22"/>
          <w:lang w:val="en-GB"/>
        </w:rPr>
        <w:t xml:space="preserve">suitable for </w:t>
      </w:r>
      <w:r w:rsidR="004514BB">
        <w:rPr>
          <w:sz w:val="22"/>
          <w:szCs w:val="22"/>
          <w:lang w:val="en-GB"/>
        </w:rPr>
        <w:t xml:space="preserve">longer </w:t>
      </w:r>
      <w:r w:rsidR="00DC0637">
        <w:rPr>
          <w:sz w:val="22"/>
          <w:szCs w:val="22"/>
          <w:lang w:val="en-GB"/>
        </w:rPr>
        <w:t xml:space="preserve">use </w:t>
      </w:r>
      <w:r w:rsidR="004514BB">
        <w:rPr>
          <w:sz w:val="22"/>
          <w:szCs w:val="22"/>
          <w:lang w:val="en-GB"/>
        </w:rPr>
        <w:t>(i.e., &gt;</w:t>
      </w:r>
      <w:r w:rsidR="00DC0637">
        <w:rPr>
          <w:sz w:val="22"/>
          <w:szCs w:val="22"/>
          <w:lang w:val="en-GB"/>
        </w:rPr>
        <w:t xml:space="preserve"> 1-2 weeks</w:t>
      </w:r>
      <w:r w:rsidR="004514BB">
        <w:rPr>
          <w:sz w:val="22"/>
          <w:szCs w:val="22"/>
          <w:lang w:val="en-GB"/>
        </w:rPr>
        <w:t>)</w:t>
      </w:r>
      <w:r w:rsidR="00DE3496">
        <w:rPr>
          <w:sz w:val="22"/>
          <w:szCs w:val="22"/>
          <w:lang w:val="en-GB"/>
        </w:rPr>
        <w:t xml:space="preserve"> than currently in practice</w:t>
      </w:r>
      <w:r>
        <w:rPr>
          <w:sz w:val="22"/>
          <w:szCs w:val="22"/>
          <w:lang w:val="en-GB"/>
        </w:rPr>
        <w:t xml:space="preserve">. </w:t>
      </w:r>
      <w:r w:rsidR="004514BB">
        <w:rPr>
          <w:sz w:val="22"/>
          <w:szCs w:val="22"/>
          <w:lang w:val="en-GB"/>
        </w:rPr>
        <w:t xml:space="preserve">Such typically </w:t>
      </w:r>
      <w:r>
        <w:rPr>
          <w:sz w:val="22"/>
          <w:szCs w:val="22"/>
          <w:lang w:val="en-GB"/>
        </w:rPr>
        <w:t>more sophisticated test systems require more resource</w:t>
      </w:r>
      <w:r w:rsidR="004514BB">
        <w:rPr>
          <w:sz w:val="22"/>
          <w:szCs w:val="22"/>
          <w:lang w:val="en-GB"/>
        </w:rPr>
        <w:t>s and have a cycle time not consistent with the pace of medicinal chemistry</w:t>
      </w:r>
      <w:r>
        <w:rPr>
          <w:sz w:val="22"/>
          <w:szCs w:val="22"/>
          <w:lang w:val="en-GB"/>
        </w:rPr>
        <w:t>. Thus</w:t>
      </w:r>
      <w:r w:rsidR="004514BB">
        <w:rPr>
          <w:sz w:val="22"/>
          <w:szCs w:val="22"/>
          <w:lang w:val="en-GB"/>
        </w:rPr>
        <w:t>, th</w:t>
      </w:r>
      <w:r w:rsidR="00B02F8E">
        <w:rPr>
          <w:sz w:val="22"/>
          <w:szCs w:val="22"/>
          <w:lang w:val="en-GB"/>
        </w:rPr>
        <w:t>i</w:t>
      </w:r>
      <w:r w:rsidR="004514BB">
        <w:rPr>
          <w:sz w:val="22"/>
          <w:szCs w:val="22"/>
          <w:lang w:val="en-GB"/>
        </w:rPr>
        <w:t xml:space="preserve">s would need to be integrated as part of a </w:t>
      </w:r>
      <w:r>
        <w:rPr>
          <w:sz w:val="22"/>
          <w:szCs w:val="22"/>
          <w:lang w:val="en-GB"/>
        </w:rPr>
        <w:t>tiered system</w:t>
      </w:r>
      <w:r w:rsidR="004514BB">
        <w:rPr>
          <w:sz w:val="22"/>
          <w:szCs w:val="22"/>
          <w:lang w:val="en-GB"/>
        </w:rPr>
        <w:t xml:space="preserve"> (from simple and rapid to complex and lengthier models)</w:t>
      </w:r>
      <w:r w:rsidR="00991130">
        <w:rPr>
          <w:sz w:val="22"/>
          <w:szCs w:val="22"/>
          <w:lang w:val="en-GB"/>
        </w:rPr>
        <w:t xml:space="preserve"> during the lead optimization</w:t>
      </w:r>
      <w:r>
        <w:rPr>
          <w:sz w:val="22"/>
          <w:szCs w:val="22"/>
          <w:lang w:val="en-GB"/>
        </w:rPr>
        <w:t xml:space="preserve"> process. </w:t>
      </w:r>
      <w:r w:rsidR="00760295">
        <w:rPr>
          <w:sz w:val="22"/>
          <w:szCs w:val="22"/>
          <w:lang w:val="en-GB"/>
        </w:rPr>
        <w:t>Ultimately, sophisticated and evidence</w:t>
      </w:r>
      <w:r w:rsidR="00CA599F">
        <w:rPr>
          <w:sz w:val="22"/>
          <w:szCs w:val="22"/>
          <w:lang w:val="en-GB"/>
        </w:rPr>
        <w:t>-</w:t>
      </w:r>
      <w:r w:rsidR="00760295">
        <w:rPr>
          <w:sz w:val="22"/>
          <w:szCs w:val="22"/>
          <w:lang w:val="en-GB"/>
        </w:rPr>
        <w:t xml:space="preserve">based </w:t>
      </w:r>
      <w:r w:rsidR="00760295" w:rsidRPr="008C0960">
        <w:rPr>
          <w:sz w:val="22"/>
          <w:szCs w:val="22"/>
          <w:lang w:val="en-GB"/>
        </w:rPr>
        <w:t>quantitative systems toxicology</w:t>
      </w:r>
      <w:r w:rsidR="00760295">
        <w:rPr>
          <w:b/>
          <w:sz w:val="22"/>
          <w:szCs w:val="22"/>
          <w:lang w:val="en-GB"/>
        </w:rPr>
        <w:t xml:space="preserve"> </w:t>
      </w:r>
      <w:r w:rsidR="00760295">
        <w:rPr>
          <w:sz w:val="22"/>
          <w:szCs w:val="22"/>
          <w:lang w:val="en-GB"/>
        </w:rPr>
        <w:t>models</w:t>
      </w:r>
      <w:r>
        <w:rPr>
          <w:sz w:val="22"/>
          <w:szCs w:val="22"/>
          <w:lang w:val="en-GB"/>
        </w:rPr>
        <w:t xml:space="preserve">, </w:t>
      </w:r>
      <w:r w:rsidR="00991130">
        <w:rPr>
          <w:sz w:val="22"/>
          <w:szCs w:val="22"/>
          <w:lang w:val="en-GB"/>
        </w:rPr>
        <w:t xml:space="preserve">appropriately validated </w:t>
      </w:r>
      <w:r>
        <w:rPr>
          <w:sz w:val="22"/>
          <w:szCs w:val="22"/>
          <w:lang w:val="en-GB"/>
        </w:rPr>
        <w:t xml:space="preserve">with consensus reference compounds, </w:t>
      </w:r>
      <w:r w:rsidR="00760295">
        <w:rPr>
          <w:sz w:val="22"/>
          <w:szCs w:val="22"/>
          <w:lang w:val="en-GB"/>
        </w:rPr>
        <w:t>will have to be developed</w:t>
      </w:r>
      <w:r w:rsidR="005D096A">
        <w:rPr>
          <w:sz w:val="22"/>
          <w:szCs w:val="22"/>
          <w:lang w:val="en-GB"/>
        </w:rPr>
        <w:t xml:space="preserve">. This </w:t>
      </w:r>
      <w:r w:rsidR="005C2383">
        <w:rPr>
          <w:sz w:val="22"/>
          <w:szCs w:val="22"/>
          <w:lang w:val="en-GB"/>
        </w:rPr>
        <w:t>will enable</w:t>
      </w:r>
      <w:r w:rsidR="00760295">
        <w:rPr>
          <w:sz w:val="22"/>
          <w:szCs w:val="22"/>
          <w:lang w:val="en-GB"/>
        </w:rPr>
        <w:t xml:space="preserve"> rationale translational predictions based on </w:t>
      </w:r>
      <w:r w:rsidR="00991130">
        <w:rPr>
          <w:sz w:val="22"/>
          <w:szCs w:val="22"/>
          <w:lang w:val="en-GB"/>
        </w:rPr>
        <w:t xml:space="preserve">multiple </w:t>
      </w:r>
      <w:r w:rsidR="00760295">
        <w:rPr>
          <w:sz w:val="22"/>
          <w:szCs w:val="22"/>
          <w:lang w:val="en-GB"/>
        </w:rPr>
        <w:t xml:space="preserve">chemical </w:t>
      </w:r>
      <w:r w:rsidR="00991130">
        <w:rPr>
          <w:sz w:val="22"/>
          <w:szCs w:val="22"/>
          <w:lang w:val="en-GB"/>
        </w:rPr>
        <w:t xml:space="preserve">properties </w:t>
      </w:r>
      <w:r w:rsidR="00CA599F">
        <w:rPr>
          <w:sz w:val="22"/>
          <w:szCs w:val="22"/>
          <w:lang w:val="en-GB"/>
        </w:rPr>
        <w:t xml:space="preserve">of experimental compounds </w:t>
      </w:r>
      <w:r w:rsidR="00760295">
        <w:rPr>
          <w:sz w:val="22"/>
          <w:szCs w:val="22"/>
          <w:lang w:val="en-GB"/>
        </w:rPr>
        <w:t xml:space="preserve">determined </w:t>
      </w:r>
      <w:r w:rsidR="00991130">
        <w:rPr>
          <w:sz w:val="22"/>
          <w:szCs w:val="22"/>
          <w:lang w:val="en-GB"/>
        </w:rPr>
        <w:t xml:space="preserve">as quantitative or categorical measures </w:t>
      </w:r>
      <w:r w:rsidR="00760295">
        <w:rPr>
          <w:sz w:val="22"/>
          <w:szCs w:val="22"/>
          <w:lang w:val="en-GB"/>
        </w:rPr>
        <w:t xml:space="preserve">in </w:t>
      </w:r>
      <w:r w:rsidR="00CA599F">
        <w:rPr>
          <w:sz w:val="22"/>
          <w:szCs w:val="22"/>
          <w:lang w:val="en-GB"/>
        </w:rPr>
        <w:t xml:space="preserve">a </w:t>
      </w:r>
      <w:r w:rsidR="00760295">
        <w:rPr>
          <w:sz w:val="22"/>
          <w:szCs w:val="22"/>
          <w:lang w:val="en-GB"/>
        </w:rPr>
        <w:t>well-</w:t>
      </w:r>
      <w:r w:rsidR="00CA599F">
        <w:rPr>
          <w:sz w:val="22"/>
          <w:szCs w:val="22"/>
          <w:lang w:val="en-GB"/>
        </w:rPr>
        <w:t xml:space="preserve">designed </w:t>
      </w:r>
      <w:r w:rsidR="00760295">
        <w:rPr>
          <w:sz w:val="22"/>
          <w:szCs w:val="22"/>
          <w:lang w:val="en-GB"/>
        </w:rPr>
        <w:t xml:space="preserve">preclinical screening </w:t>
      </w:r>
      <w:r w:rsidR="00CA599F">
        <w:rPr>
          <w:sz w:val="22"/>
          <w:szCs w:val="22"/>
          <w:lang w:val="en-GB"/>
        </w:rPr>
        <w:t>battery</w:t>
      </w:r>
      <w:r w:rsidR="00991130">
        <w:rPr>
          <w:sz w:val="22"/>
          <w:szCs w:val="22"/>
          <w:lang w:val="en-GB"/>
        </w:rPr>
        <w:t xml:space="preserve"> or generated through computerized approaches</w:t>
      </w:r>
      <w:r w:rsidR="00CA599F">
        <w:rPr>
          <w:sz w:val="22"/>
          <w:szCs w:val="22"/>
          <w:lang w:val="en-GB"/>
        </w:rPr>
        <w:t xml:space="preserve">.  </w:t>
      </w:r>
      <w:r w:rsidR="005D096A">
        <w:rPr>
          <w:sz w:val="22"/>
          <w:szCs w:val="22"/>
          <w:lang w:val="en-GB"/>
        </w:rPr>
        <w:t>C</w:t>
      </w:r>
      <w:r w:rsidR="00CA599F">
        <w:rPr>
          <w:sz w:val="22"/>
          <w:szCs w:val="22"/>
          <w:lang w:val="en-GB"/>
        </w:rPr>
        <w:t>oupled with greater</w:t>
      </w:r>
      <w:r w:rsidR="00760295">
        <w:rPr>
          <w:sz w:val="22"/>
          <w:szCs w:val="22"/>
          <w:lang w:val="en-GB"/>
        </w:rPr>
        <w:t xml:space="preserve"> evidence</w:t>
      </w:r>
      <w:r w:rsidR="00CA599F">
        <w:rPr>
          <w:sz w:val="22"/>
          <w:szCs w:val="22"/>
          <w:lang w:val="en-GB"/>
        </w:rPr>
        <w:t>-</w:t>
      </w:r>
      <w:r w:rsidR="00760295">
        <w:rPr>
          <w:sz w:val="22"/>
          <w:szCs w:val="22"/>
          <w:lang w:val="en-GB"/>
        </w:rPr>
        <w:t xml:space="preserve">based knowledge of human variation in DILI susceptibility </w:t>
      </w:r>
      <w:r w:rsidR="00CA599F">
        <w:rPr>
          <w:sz w:val="22"/>
          <w:szCs w:val="22"/>
          <w:lang w:val="en-GB"/>
        </w:rPr>
        <w:t xml:space="preserve">should maximize the probability of minimizing DILI in the </w:t>
      </w:r>
      <w:r w:rsidR="00DC0637">
        <w:rPr>
          <w:sz w:val="22"/>
          <w:szCs w:val="22"/>
          <w:lang w:val="en-GB"/>
        </w:rPr>
        <w:t>clinic.</w:t>
      </w:r>
    </w:p>
    <w:p w14:paraId="64BFE415" w14:textId="77777777" w:rsidR="00C60FD2" w:rsidRDefault="00C60FD2" w:rsidP="006730B6">
      <w:pPr>
        <w:spacing w:line="480" w:lineRule="auto"/>
        <w:jc w:val="both"/>
        <w:rPr>
          <w:sz w:val="22"/>
          <w:szCs w:val="22"/>
          <w:lang w:val="en-GB"/>
        </w:rPr>
      </w:pPr>
    </w:p>
    <w:p w14:paraId="309DDDA9" w14:textId="77777777" w:rsidR="00C60FD2" w:rsidRPr="000016FB" w:rsidRDefault="00C50B28" w:rsidP="00C50B28">
      <w:pPr>
        <w:spacing w:line="480" w:lineRule="auto"/>
        <w:jc w:val="both"/>
        <w:rPr>
          <w:b/>
          <w:sz w:val="22"/>
          <w:szCs w:val="22"/>
          <w:lang w:val="en-GB"/>
        </w:rPr>
      </w:pPr>
      <w:r>
        <w:rPr>
          <w:b/>
          <w:sz w:val="22"/>
          <w:szCs w:val="22"/>
          <w:lang w:val="en-GB"/>
        </w:rPr>
        <w:t xml:space="preserve">8. </w:t>
      </w:r>
      <w:r w:rsidR="00A879E7">
        <w:rPr>
          <w:b/>
          <w:sz w:val="22"/>
          <w:szCs w:val="22"/>
          <w:lang w:val="en-GB"/>
        </w:rPr>
        <w:t>Conclusions</w:t>
      </w:r>
    </w:p>
    <w:p w14:paraId="334D62AE" w14:textId="64367E64" w:rsidR="00DC24D0" w:rsidRDefault="00DC24D0" w:rsidP="006730B6">
      <w:pPr>
        <w:spacing w:line="480" w:lineRule="auto"/>
        <w:jc w:val="both"/>
        <w:rPr>
          <w:sz w:val="22"/>
          <w:szCs w:val="22"/>
          <w:lang w:val="en-GB"/>
        </w:rPr>
      </w:pPr>
      <w:r w:rsidRPr="000016FB">
        <w:rPr>
          <w:sz w:val="22"/>
          <w:szCs w:val="22"/>
          <w:lang w:val="en-GB"/>
        </w:rPr>
        <w:t>Achieving a productive drug discovery pipeline</w:t>
      </w:r>
      <w:r>
        <w:rPr>
          <w:sz w:val="22"/>
          <w:szCs w:val="22"/>
          <w:lang w:val="en-GB"/>
        </w:rPr>
        <w:t xml:space="preserve"> and</w:t>
      </w:r>
      <w:r w:rsidRPr="000016FB">
        <w:rPr>
          <w:sz w:val="22"/>
          <w:szCs w:val="22"/>
          <w:lang w:val="en-GB"/>
        </w:rPr>
        <w:t xml:space="preserve"> tackling unacceptable levels of </w:t>
      </w:r>
      <w:r w:rsidR="001E36EB">
        <w:rPr>
          <w:sz w:val="22"/>
          <w:szCs w:val="22"/>
          <w:lang w:val="en-GB"/>
        </w:rPr>
        <w:t xml:space="preserve">safety-related, late-stage </w:t>
      </w:r>
      <w:r w:rsidRPr="000016FB">
        <w:rPr>
          <w:sz w:val="22"/>
          <w:szCs w:val="22"/>
          <w:lang w:val="en-GB"/>
        </w:rPr>
        <w:t>attrition merits continued efforts and resource</w:t>
      </w:r>
      <w:r w:rsidR="001E36EB">
        <w:rPr>
          <w:sz w:val="22"/>
          <w:szCs w:val="22"/>
          <w:lang w:val="en-GB"/>
        </w:rPr>
        <w:t>s</w:t>
      </w:r>
      <w:r w:rsidRPr="000016FB">
        <w:rPr>
          <w:sz w:val="22"/>
          <w:szCs w:val="22"/>
          <w:lang w:val="en-GB"/>
        </w:rPr>
        <w:t xml:space="preserve"> </w:t>
      </w:r>
      <w:r>
        <w:rPr>
          <w:sz w:val="22"/>
          <w:szCs w:val="22"/>
          <w:lang w:val="en-GB"/>
        </w:rPr>
        <w:t>to</w:t>
      </w:r>
      <w:r w:rsidRPr="000016FB">
        <w:rPr>
          <w:sz w:val="22"/>
          <w:szCs w:val="22"/>
          <w:lang w:val="en-GB"/>
        </w:rPr>
        <w:t xml:space="preserve"> develop</w:t>
      </w:r>
      <w:r>
        <w:rPr>
          <w:sz w:val="22"/>
          <w:szCs w:val="22"/>
          <w:lang w:val="en-GB"/>
        </w:rPr>
        <w:t xml:space="preserve"> p</w:t>
      </w:r>
      <w:r w:rsidRPr="000016FB">
        <w:rPr>
          <w:sz w:val="22"/>
          <w:szCs w:val="22"/>
          <w:lang w:val="en-GB"/>
        </w:rPr>
        <w:t xml:space="preserve">redictive </w:t>
      </w:r>
      <w:r w:rsidRPr="00B61DB7">
        <w:rPr>
          <w:i/>
          <w:sz w:val="22"/>
          <w:szCs w:val="22"/>
          <w:lang w:val="en-GB"/>
        </w:rPr>
        <w:t>in vitro</w:t>
      </w:r>
      <w:r w:rsidRPr="000016FB">
        <w:rPr>
          <w:sz w:val="22"/>
          <w:szCs w:val="22"/>
          <w:lang w:val="en-GB"/>
        </w:rPr>
        <w:t xml:space="preserve"> test systems for use in drug discovery. </w:t>
      </w:r>
      <w:r>
        <w:rPr>
          <w:sz w:val="22"/>
          <w:szCs w:val="22"/>
          <w:lang w:val="en-GB"/>
        </w:rPr>
        <w:t>F</w:t>
      </w:r>
      <w:r w:rsidRPr="000016FB">
        <w:rPr>
          <w:sz w:val="22"/>
          <w:szCs w:val="22"/>
          <w:lang w:val="en-GB"/>
        </w:rPr>
        <w:t xml:space="preserve">rom an industry perspective, </w:t>
      </w:r>
      <w:r w:rsidRPr="00B61DB7">
        <w:rPr>
          <w:i/>
          <w:sz w:val="22"/>
          <w:szCs w:val="22"/>
          <w:lang w:val="en-GB"/>
        </w:rPr>
        <w:t>in vitro</w:t>
      </w:r>
      <w:r w:rsidRPr="000016FB">
        <w:rPr>
          <w:sz w:val="22"/>
          <w:szCs w:val="22"/>
          <w:lang w:val="en-GB"/>
        </w:rPr>
        <w:t xml:space="preserve"> test systems </w:t>
      </w:r>
      <w:r>
        <w:rPr>
          <w:sz w:val="22"/>
          <w:szCs w:val="22"/>
          <w:lang w:val="en-GB"/>
        </w:rPr>
        <w:t xml:space="preserve">for the hazard identification and risk assessment of </w:t>
      </w:r>
      <w:r w:rsidR="001E36EB">
        <w:rPr>
          <w:sz w:val="22"/>
          <w:szCs w:val="22"/>
          <w:lang w:val="en-GB"/>
        </w:rPr>
        <w:t>small molecule</w:t>
      </w:r>
      <w:r w:rsidR="00FE77DE">
        <w:rPr>
          <w:sz w:val="22"/>
          <w:szCs w:val="22"/>
          <w:lang w:val="en-GB"/>
        </w:rPr>
        <w:t>s</w:t>
      </w:r>
      <w:r w:rsidR="0005596C">
        <w:rPr>
          <w:sz w:val="22"/>
          <w:szCs w:val="22"/>
          <w:lang w:val="en-GB"/>
        </w:rPr>
        <w:t xml:space="preserve"> </w:t>
      </w:r>
      <w:r w:rsidR="001E36EB">
        <w:rPr>
          <w:sz w:val="22"/>
          <w:szCs w:val="22"/>
          <w:lang w:val="en-GB"/>
        </w:rPr>
        <w:t xml:space="preserve">with potential </w:t>
      </w:r>
      <w:r>
        <w:rPr>
          <w:sz w:val="22"/>
          <w:szCs w:val="22"/>
          <w:lang w:val="en-GB"/>
        </w:rPr>
        <w:t>to cause liver toxicity will r</w:t>
      </w:r>
      <w:r w:rsidRPr="000016FB">
        <w:rPr>
          <w:sz w:val="22"/>
          <w:szCs w:val="22"/>
          <w:lang w:val="en-GB"/>
        </w:rPr>
        <w:t xml:space="preserve">emain </w:t>
      </w:r>
      <w:r>
        <w:rPr>
          <w:sz w:val="22"/>
          <w:szCs w:val="22"/>
          <w:lang w:val="en-GB"/>
        </w:rPr>
        <w:t xml:space="preserve">an </w:t>
      </w:r>
      <w:r w:rsidR="00760295">
        <w:rPr>
          <w:sz w:val="22"/>
          <w:szCs w:val="22"/>
          <w:lang w:val="en-GB"/>
        </w:rPr>
        <w:t>essential part of this process</w:t>
      </w:r>
      <w:r w:rsidR="005D096A">
        <w:rPr>
          <w:sz w:val="22"/>
          <w:szCs w:val="22"/>
          <w:lang w:val="en-GB"/>
        </w:rPr>
        <w:t>. This</w:t>
      </w:r>
      <w:r w:rsidR="00760295">
        <w:rPr>
          <w:sz w:val="22"/>
          <w:szCs w:val="22"/>
          <w:lang w:val="en-GB"/>
        </w:rPr>
        <w:t xml:space="preserve"> will need to take</w:t>
      </w:r>
      <w:r w:rsidR="00CA599F">
        <w:rPr>
          <w:sz w:val="22"/>
          <w:szCs w:val="22"/>
          <w:lang w:val="en-GB"/>
        </w:rPr>
        <w:t xml:space="preserve"> into</w:t>
      </w:r>
      <w:r w:rsidR="00760295">
        <w:rPr>
          <w:sz w:val="22"/>
          <w:szCs w:val="22"/>
          <w:lang w:val="en-GB"/>
        </w:rPr>
        <w:t xml:space="preserve"> account the new classes and biological types of therapeutic agents that </w:t>
      </w:r>
      <w:r w:rsidR="008C0960">
        <w:rPr>
          <w:sz w:val="22"/>
          <w:szCs w:val="22"/>
          <w:lang w:val="en-GB"/>
        </w:rPr>
        <w:t>the pharmaceutical industry</w:t>
      </w:r>
      <w:r w:rsidR="00760295">
        <w:rPr>
          <w:sz w:val="22"/>
          <w:szCs w:val="22"/>
          <w:lang w:val="en-GB"/>
        </w:rPr>
        <w:t xml:space="preserve"> is developing for the next decade</w:t>
      </w:r>
      <w:r w:rsidRPr="000016FB">
        <w:rPr>
          <w:sz w:val="22"/>
          <w:szCs w:val="22"/>
          <w:lang w:val="en-GB"/>
        </w:rPr>
        <w:t xml:space="preserve">. What </w:t>
      </w:r>
      <w:r w:rsidR="00551839">
        <w:rPr>
          <w:sz w:val="22"/>
          <w:szCs w:val="22"/>
          <w:lang w:val="en-GB"/>
        </w:rPr>
        <w:t xml:space="preserve">is </w:t>
      </w:r>
      <w:r w:rsidR="00B61DB7">
        <w:rPr>
          <w:sz w:val="22"/>
          <w:szCs w:val="22"/>
          <w:lang w:val="en-GB"/>
        </w:rPr>
        <w:t>b</w:t>
      </w:r>
      <w:r w:rsidR="00760295">
        <w:rPr>
          <w:sz w:val="22"/>
          <w:szCs w:val="22"/>
          <w:lang w:val="en-GB"/>
        </w:rPr>
        <w:t>ecoming increasingly apparent is</w:t>
      </w:r>
      <w:r w:rsidR="001E36EB">
        <w:rPr>
          <w:sz w:val="22"/>
          <w:szCs w:val="22"/>
          <w:lang w:val="en-GB"/>
        </w:rPr>
        <w:t xml:space="preserve"> the need for:</w:t>
      </w:r>
      <w:r w:rsidR="00760295">
        <w:rPr>
          <w:sz w:val="22"/>
          <w:szCs w:val="22"/>
          <w:lang w:val="en-GB"/>
        </w:rPr>
        <w:t xml:space="preserve"> </w:t>
      </w:r>
      <w:r w:rsidR="00CA599F">
        <w:rPr>
          <w:sz w:val="22"/>
          <w:szCs w:val="22"/>
          <w:lang w:val="en-GB"/>
        </w:rPr>
        <w:t xml:space="preserve">(1) </w:t>
      </w:r>
      <w:r w:rsidRPr="000016FB">
        <w:rPr>
          <w:sz w:val="22"/>
          <w:szCs w:val="22"/>
          <w:lang w:val="en-GB"/>
        </w:rPr>
        <w:t>test systems with level</w:t>
      </w:r>
      <w:r>
        <w:rPr>
          <w:sz w:val="22"/>
          <w:szCs w:val="22"/>
          <w:lang w:val="en-GB"/>
        </w:rPr>
        <w:t>s</w:t>
      </w:r>
      <w:r w:rsidRPr="000016FB">
        <w:rPr>
          <w:sz w:val="22"/>
          <w:szCs w:val="22"/>
          <w:lang w:val="en-GB"/>
        </w:rPr>
        <w:t xml:space="preserve"> of </w:t>
      </w:r>
      <w:r w:rsidR="0026344C">
        <w:rPr>
          <w:sz w:val="22"/>
          <w:szCs w:val="22"/>
          <w:lang w:val="en-GB"/>
        </w:rPr>
        <w:t>sufficient</w:t>
      </w:r>
      <w:r w:rsidR="0026344C" w:rsidRPr="000016FB">
        <w:rPr>
          <w:sz w:val="22"/>
          <w:szCs w:val="22"/>
          <w:lang w:val="en-GB"/>
        </w:rPr>
        <w:t xml:space="preserve"> </w:t>
      </w:r>
      <w:r w:rsidRPr="000016FB">
        <w:rPr>
          <w:sz w:val="22"/>
          <w:szCs w:val="22"/>
          <w:lang w:val="en-GB"/>
        </w:rPr>
        <w:t xml:space="preserve">sensitivity and selectivity to detect </w:t>
      </w:r>
      <w:r w:rsidR="001E36EB">
        <w:rPr>
          <w:sz w:val="22"/>
          <w:szCs w:val="22"/>
          <w:lang w:val="en-GB"/>
        </w:rPr>
        <w:t xml:space="preserve">compounds with potential to induce </w:t>
      </w:r>
      <w:r w:rsidRPr="000016FB">
        <w:rPr>
          <w:sz w:val="22"/>
          <w:szCs w:val="22"/>
          <w:lang w:val="en-GB"/>
        </w:rPr>
        <w:t xml:space="preserve">moderate and low-level </w:t>
      </w:r>
      <w:proofErr w:type="spellStart"/>
      <w:r w:rsidR="006036C0">
        <w:rPr>
          <w:sz w:val="22"/>
          <w:szCs w:val="22"/>
          <w:lang w:val="en-GB"/>
        </w:rPr>
        <w:t>hepato</w:t>
      </w:r>
      <w:r w:rsidR="006036C0" w:rsidRPr="000016FB">
        <w:rPr>
          <w:sz w:val="22"/>
          <w:szCs w:val="22"/>
          <w:lang w:val="en-GB"/>
        </w:rPr>
        <w:t>toxicit</w:t>
      </w:r>
      <w:r w:rsidR="005C20DF">
        <w:rPr>
          <w:sz w:val="22"/>
          <w:szCs w:val="22"/>
          <w:lang w:val="en-GB"/>
        </w:rPr>
        <w:t>i</w:t>
      </w:r>
      <w:r w:rsidR="006036C0">
        <w:rPr>
          <w:sz w:val="22"/>
          <w:szCs w:val="22"/>
          <w:lang w:val="en-GB"/>
        </w:rPr>
        <w:t>es</w:t>
      </w:r>
      <w:proofErr w:type="spellEnd"/>
      <w:r w:rsidRPr="000016FB">
        <w:rPr>
          <w:sz w:val="22"/>
          <w:szCs w:val="22"/>
          <w:lang w:val="en-GB"/>
        </w:rPr>
        <w:t xml:space="preserve"> over </w:t>
      </w:r>
      <w:r w:rsidRPr="00666472">
        <w:rPr>
          <w:sz w:val="22"/>
          <w:szCs w:val="22"/>
          <w:lang w:val="en-GB"/>
        </w:rPr>
        <w:lastRenderedPageBreak/>
        <w:t xml:space="preserve">longer </w:t>
      </w:r>
      <w:r w:rsidRPr="000016FB">
        <w:rPr>
          <w:sz w:val="22"/>
          <w:szCs w:val="22"/>
          <w:lang w:val="en-GB"/>
        </w:rPr>
        <w:t>incubation</w:t>
      </w:r>
      <w:r w:rsidR="00571196">
        <w:rPr>
          <w:sz w:val="22"/>
          <w:szCs w:val="22"/>
          <w:lang w:val="en-GB"/>
        </w:rPr>
        <w:t xml:space="preserve"> periods</w:t>
      </w:r>
      <w:r w:rsidR="001E36EB">
        <w:rPr>
          <w:sz w:val="22"/>
          <w:szCs w:val="22"/>
          <w:lang w:val="en-GB"/>
        </w:rPr>
        <w:t xml:space="preserve">; </w:t>
      </w:r>
      <w:r w:rsidRPr="000016FB">
        <w:rPr>
          <w:sz w:val="22"/>
          <w:szCs w:val="22"/>
          <w:lang w:val="en-GB"/>
        </w:rPr>
        <w:t xml:space="preserve"> </w:t>
      </w:r>
      <w:r w:rsidR="00CA599F">
        <w:rPr>
          <w:sz w:val="22"/>
          <w:szCs w:val="22"/>
          <w:lang w:val="en-GB"/>
        </w:rPr>
        <w:t xml:space="preserve">(2) </w:t>
      </w:r>
      <w:r w:rsidR="008C0960">
        <w:rPr>
          <w:sz w:val="22"/>
          <w:szCs w:val="22"/>
          <w:lang w:val="en-GB"/>
        </w:rPr>
        <w:t xml:space="preserve">modelling tools to </w:t>
      </w:r>
      <w:r w:rsidR="00CA599F">
        <w:rPr>
          <w:sz w:val="22"/>
          <w:szCs w:val="22"/>
          <w:lang w:val="en-GB"/>
        </w:rPr>
        <w:t xml:space="preserve">better </w:t>
      </w:r>
      <w:r w:rsidR="008C0960">
        <w:rPr>
          <w:sz w:val="22"/>
          <w:szCs w:val="22"/>
          <w:lang w:val="en-GB"/>
        </w:rPr>
        <w:t xml:space="preserve">estimate </w:t>
      </w:r>
      <w:r w:rsidRPr="000016FB">
        <w:rPr>
          <w:sz w:val="22"/>
          <w:szCs w:val="22"/>
          <w:lang w:val="en-GB"/>
        </w:rPr>
        <w:t xml:space="preserve">pharmacologically relevant </w:t>
      </w:r>
      <w:r w:rsidR="00CA599F">
        <w:rPr>
          <w:sz w:val="22"/>
          <w:szCs w:val="22"/>
          <w:lang w:val="en-GB"/>
        </w:rPr>
        <w:t xml:space="preserve">clinical </w:t>
      </w:r>
      <w:r w:rsidRPr="000016FB">
        <w:rPr>
          <w:sz w:val="22"/>
          <w:szCs w:val="22"/>
          <w:lang w:val="en-GB"/>
        </w:rPr>
        <w:t xml:space="preserve">blood </w:t>
      </w:r>
      <w:r w:rsidR="00CA599F">
        <w:rPr>
          <w:sz w:val="22"/>
          <w:szCs w:val="22"/>
          <w:lang w:val="en-GB"/>
        </w:rPr>
        <w:t xml:space="preserve">and liver </w:t>
      </w:r>
      <w:r w:rsidRPr="000016FB">
        <w:rPr>
          <w:sz w:val="22"/>
          <w:szCs w:val="22"/>
          <w:lang w:val="en-GB"/>
        </w:rPr>
        <w:t>concentrations</w:t>
      </w:r>
      <w:r w:rsidR="001E36EB">
        <w:rPr>
          <w:sz w:val="22"/>
          <w:szCs w:val="22"/>
          <w:lang w:val="en-GB"/>
        </w:rPr>
        <w:t>; and</w:t>
      </w:r>
      <w:r w:rsidR="008C616A">
        <w:rPr>
          <w:sz w:val="22"/>
          <w:szCs w:val="22"/>
          <w:lang w:val="en-GB"/>
        </w:rPr>
        <w:t xml:space="preserve"> (3) </w:t>
      </w:r>
      <w:r w:rsidR="001E36EB">
        <w:rPr>
          <w:sz w:val="22"/>
          <w:szCs w:val="22"/>
          <w:lang w:val="en-GB"/>
        </w:rPr>
        <w:t>a c</w:t>
      </w:r>
      <w:r w:rsidR="008C616A">
        <w:rPr>
          <w:sz w:val="22"/>
          <w:szCs w:val="22"/>
          <w:lang w:val="en-GB"/>
        </w:rPr>
        <w:t>lear bench-marking of existing systems robustly evaluated for performance</w:t>
      </w:r>
      <w:r w:rsidRPr="000016FB">
        <w:rPr>
          <w:sz w:val="22"/>
          <w:szCs w:val="22"/>
          <w:lang w:val="en-GB"/>
        </w:rPr>
        <w:t xml:space="preserve">. In early screening paradigms, </w:t>
      </w:r>
      <w:r>
        <w:rPr>
          <w:sz w:val="22"/>
          <w:szCs w:val="22"/>
          <w:lang w:val="en-GB"/>
        </w:rPr>
        <w:t xml:space="preserve">stable </w:t>
      </w:r>
      <w:r w:rsidR="00551839">
        <w:rPr>
          <w:sz w:val="22"/>
          <w:szCs w:val="22"/>
          <w:lang w:val="en-GB"/>
        </w:rPr>
        <w:t xml:space="preserve">cell </w:t>
      </w:r>
      <w:r w:rsidRPr="000016FB">
        <w:rPr>
          <w:sz w:val="22"/>
          <w:szCs w:val="22"/>
          <w:lang w:val="en-GB"/>
        </w:rPr>
        <w:t xml:space="preserve">phenotype(s) permits consistent intra- and inter-assay readouts </w:t>
      </w:r>
      <w:r>
        <w:rPr>
          <w:sz w:val="22"/>
          <w:szCs w:val="22"/>
          <w:lang w:val="en-GB"/>
        </w:rPr>
        <w:t xml:space="preserve">to probe the subtle effects of </w:t>
      </w:r>
      <w:r w:rsidR="00551839">
        <w:rPr>
          <w:sz w:val="22"/>
          <w:szCs w:val="22"/>
          <w:lang w:val="en-GB"/>
        </w:rPr>
        <w:t>novel chemical entities</w:t>
      </w:r>
      <w:r>
        <w:rPr>
          <w:sz w:val="22"/>
          <w:szCs w:val="22"/>
          <w:lang w:val="en-GB"/>
        </w:rPr>
        <w:t xml:space="preserve"> on biological response, rather than non-drug related variables introduced as artefacts</w:t>
      </w:r>
      <w:r w:rsidR="0005596C">
        <w:rPr>
          <w:sz w:val="22"/>
          <w:szCs w:val="22"/>
          <w:lang w:val="en-GB"/>
        </w:rPr>
        <w:t xml:space="preserve"> </w:t>
      </w:r>
      <w:r w:rsidR="00B2206B">
        <w:rPr>
          <w:sz w:val="22"/>
          <w:szCs w:val="22"/>
          <w:lang w:val="en-GB"/>
        </w:rPr>
        <w:t>in these</w:t>
      </w:r>
      <w:r>
        <w:rPr>
          <w:sz w:val="22"/>
          <w:szCs w:val="22"/>
          <w:lang w:val="en-GB"/>
        </w:rPr>
        <w:t xml:space="preserve"> </w:t>
      </w:r>
      <w:r w:rsidR="00B2206B">
        <w:rPr>
          <w:sz w:val="22"/>
          <w:szCs w:val="22"/>
          <w:lang w:val="en-GB"/>
        </w:rPr>
        <w:t>t</w:t>
      </w:r>
      <w:r>
        <w:rPr>
          <w:sz w:val="22"/>
          <w:szCs w:val="22"/>
          <w:lang w:val="en-GB"/>
        </w:rPr>
        <w:t xml:space="preserve">est </w:t>
      </w:r>
      <w:r w:rsidR="00B2206B">
        <w:rPr>
          <w:sz w:val="22"/>
          <w:szCs w:val="22"/>
          <w:lang w:val="en-GB"/>
        </w:rPr>
        <w:t>s</w:t>
      </w:r>
      <w:r>
        <w:rPr>
          <w:sz w:val="22"/>
          <w:szCs w:val="22"/>
          <w:lang w:val="en-GB"/>
        </w:rPr>
        <w:t>ystems. This ensure</w:t>
      </w:r>
      <w:r w:rsidR="000C2004">
        <w:rPr>
          <w:sz w:val="22"/>
          <w:szCs w:val="22"/>
          <w:lang w:val="en-GB"/>
        </w:rPr>
        <w:t>s</w:t>
      </w:r>
      <w:r>
        <w:rPr>
          <w:sz w:val="22"/>
          <w:szCs w:val="22"/>
          <w:lang w:val="en-GB"/>
        </w:rPr>
        <w:t xml:space="preserve"> </w:t>
      </w:r>
      <w:r w:rsidR="0026344C">
        <w:rPr>
          <w:sz w:val="22"/>
          <w:szCs w:val="22"/>
          <w:lang w:val="en-GB"/>
        </w:rPr>
        <w:t xml:space="preserve">that </w:t>
      </w:r>
      <w:r>
        <w:rPr>
          <w:sz w:val="22"/>
          <w:szCs w:val="22"/>
          <w:lang w:val="en-GB"/>
        </w:rPr>
        <w:t>in early lead optimization, test systems</w:t>
      </w:r>
      <w:r w:rsidRPr="000016FB">
        <w:rPr>
          <w:sz w:val="22"/>
          <w:szCs w:val="22"/>
          <w:lang w:val="en-GB"/>
        </w:rPr>
        <w:t xml:space="preserve"> </w:t>
      </w:r>
      <w:r>
        <w:rPr>
          <w:sz w:val="22"/>
          <w:szCs w:val="22"/>
          <w:lang w:val="en-GB"/>
        </w:rPr>
        <w:t>are</w:t>
      </w:r>
      <w:r w:rsidRPr="000016FB">
        <w:rPr>
          <w:sz w:val="22"/>
          <w:szCs w:val="22"/>
          <w:lang w:val="en-GB"/>
        </w:rPr>
        <w:t xml:space="preserve"> reproducibly </w:t>
      </w:r>
      <w:r>
        <w:rPr>
          <w:sz w:val="22"/>
          <w:szCs w:val="22"/>
          <w:lang w:val="en-GB"/>
        </w:rPr>
        <w:t>applied</w:t>
      </w:r>
      <w:r w:rsidRPr="000016FB">
        <w:rPr>
          <w:sz w:val="22"/>
          <w:szCs w:val="22"/>
          <w:lang w:val="en-GB"/>
        </w:rPr>
        <w:t xml:space="preserve"> within and across chemical series prior to preclinical candidate selection. </w:t>
      </w:r>
      <w:r w:rsidR="00B2206B">
        <w:rPr>
          <w:sz w:val="22"/>
          <w:szCs w:val="22"/>
          <w:lang w:val="en-GB"/>
        </w:rPr>
        <w:t>I</w:t>
      </w:r>
      <w:r>
        <w:rPr>
          <w:sz w:val="22"/>
          <w:szCs w:val="22"/>
          <w:lang w:val="en-GB"/>
        </w:rPr>
        <w:t>mprovements in robust</w:t>
      </w:r>
      <w:r w:rsidR="00B2206B">
        <w:rPr>
          <w:sz w:val="22"/>
          <w:szCs w:val="22"/>
          <w:lang w:val="en-GB"/>
        </w:rPr>
        <w:t>ness</w:t>
      </w:r>
      <w:r>
        <w:rPr>
          <w:sz w:val="22"/>
          <w:szCs w:val="22"/>
          <w:lang w:val="en-GB"/>
        </w:rPr>
        <w:t xml:space="preserve"> and characteris</w:t>
      </w:r>
      <w:r w:rsidR="00B2206B">
        <w:rPr>
          <w:sz w:val="22"/>
          <w:szCs w:val="22"/>
          <w:lang w:val="en-GB"/>
        </w:rPr>
        <w:t>ation of</w:t>
      </w:r>
      <w:r>
        <w:rPr>
          <w:sz w:val="22"/>
          <w:szCs w:val="22"/>
          <w:lang w:val="en-GB"/>
        </w:rPr>
        <w:t xml:space="preserve"> cell models is </w:t>
      </w:r>
      <w:r w:rsidR="00B2206B">
        <w:rPr>
          <w:sz w:val="22"/>
          <w:szCs w:val="22"/>
          <w:lang w:val="en-GB"/>
        </w:rPr>
        <w:t xml:space="preserve">certainly </w:t>
      </w:r>
      <w:r>
        <w:rPr>
          <w:sz w:val="22"/>
          <w:szCs w:val="22"/>
          <w:lang w:val="en-GB"/>
        </w:rPr>
        <w:t>need</w:t>
      </w:r>
      <w:r w:rsidR="00B2206B">
        <w:rPr>
          <w:sz w:val="22"/>
          <w:szCs w:val="22"/>
          <w:lang w:val="en-GB"/>
        </w:rPr>
        <w:t>ed</w:t>
      </w:r>
      <w:r w:rsidR="00603EE1">
        <w:rPr>
          <w:sz w:val="22"/>
          <w:szCs w:val="22"/>
          <w:lang w:val="en-GB"/>
        </w:rPr>
        <w:t>,</w:t>
      </w:r>
      <w:r w:rsidR="00B2206B">
        <w:rPr>
          <w:sz w:val="22"/>
          <w:szCs w:val="22"/>
          <w:lang w:val="en-GB"/>
        </w:rPr>
        <w:t xml:space="preserve"> </w:t>
      </w:r>
      <w:r>
        <w:rPr>
          <w:sz w:val="22"/>
          <w:szCs w:val="22"/>
          <w:lang w:val="en-GB"/>
        </w:rPr>
        <w:t xml:space="preserve"> </w:t>
      </w:r>
      <w:r w:rsidR="00603EE1">
        <w:rPr>
          <w:sz w:val="22"/>
          <w:szCs w:val="22"/>
          <w:lang w:val="en-GB"/>
        </w:rPr>
        <w:t>coupled with</w:t>
      </w:r>
      <w:r w:rsidR="00B2206B">
        <w:rPr>
          <w:sz w:val="22"/>
          <w:szCs w:val="22"/>
          <w:lang w:val="en-GB"/>
        </w:rPr>
        <w:t xml:space="preserve"> a much</w:t>
      </w:r>
      <w:r>
        <w:rPr>
          <w:sz w:val="22"/>
          <w:szCs w:val="22"/>
          <w:lang w:val="en-GB"/>
        </w:rPr>
        <w:t xml:space="preserve"> improved </w:t>
      </w:r>
      <w:r w:rsidRPr="000016FB">
        <w:rPr>
          <w:sz w:val="22"/>
          <w:szCs w:val="22"/>
          <w:lang w:val="en-GB"/>
        </w:rPr>
        <w:t xml:space="preserve">mechanistic understanding and </w:t>
      </w:r>
      <w:r>
        <w:rPr>
          <w:sz w:val="22"/>
          <w:szCs w:val="22"/>
          <w:lang w:val="en-GB"/>
        </w:rPr>
        <w:t xml:space="preserve">identification of </w:t>
      </w:r>
      <w:r w:rsidRPr="000016FB">
        <w:rPr>
          <w:sz w:val="22"/>
          <w:szCs w:val="22"/>
          <w:lang w:val="en-GB"/>
        </w:rPr>
        <w:t>translationally relevant biomarkers to define chemical risk</w:t>
      </w:r>
      <w:r w:rsidR="00571196">
        <w:rPr>
          <w:sz w:val="22"/>
          <w:szCs w:val="22"/>
          <w:lang w:val="en-GB"/>
        </w:rPr>
        <w:t>s</w:t>
      </w:r>
      <w:r w:rsidRPr="000016FB">
        <w:rPr>
          <w:sz w:val="22"/>
          <w:szCs w:val="22"/>
          <w:lang w:val="en-GB"/>
        </w:rPr>
        <w:t xml:space="preserve"> and </w:t>
      </w:r>
      <w:r>
        <w:rPr>
          <w:sz w:val="22"/>
          <w:szCs w:val="22"/>
          <w:lang w:val="en-GB"/>
        </w:rPr>
        <w:t xml:space="preserve">to </w:t>
      </w:r>
      <w:r w:rsidRPr="000016FB">
        <w:rPr>
          <w:sz w:val="22"/>
          <w:szCs w:val="22"/>
          <w:lang w:val="en-GB"/>
        </w:rPr>
        <w:t xml:space="preserve">use these for </w:t>
      </w:r>
      <w:r w:rsidR="00D753F2">
        <w:rPr>
          <w:sz w:val="22"/>
          <w:szCs w:val="22"/>
          <w:lang w:val="en-GB"/>
        </w:rPr>
        <w:t xml:space="preserve">accurate </w:t>
      </w:r>
      <w:r>
        <w:rPr>
          <w:sz w:val="22"/>
          <w:szCs w:val="22"/>
          <w:lang w:val="en-GB"/>
        </w:rPr>
        <w:t xml:space="preserve">extrapolation to </w:t>
      </w:r>
      <w:r w:rsidR="00B2206B">
        <w:rPr>
          <w:sz w:val="22"/>
          <w:szCs w:val="22"/>
          <w:lang w:val="en-GB"/>
        </w:rPr>
        <w:t>hu</w:t>
      </w:r>
      <w:r>
        <w:rPr>
          <w:sz w:val="22"/>
          <w:szCs w:val="22"/>
          <w:lang w:val="en-GB"/>
        </w:rPr>
        <w:t>man</w:t>
      </w:r>
      <w:r w:rsidR="00B2206B">
        <w:rPr>
          <w:sz w:val="22"/>
          <w:szCs w:val="22"/>
          <w:lang w:val="en-GB"/>
        </w:rPr>
        <w:t>s</w:t>
      </w:r>
      <w:r w:rsidR="005E1C9F">
        <w:rPr>
          <w:sz w:val="22"/>
          <w:szCs w:val="22"/>
          <w:lang w:val="en-GB"/>
        </w:rPr>
        <w:t xml:space="preserve"> </w:t>
      </w:r>
      <w:sdt>
        <w:sdtPr>
          <w:rPr>
            <w:sz w:val="22"/>
            <w:szCs w:val="22"/>
            <w:lang w:val="en-GB"/>
          </w:rPr>
          <w:id w:val="1331105664"/>
          <w:citation/>
        </w:sdtPr>
        <w:sdtEndPr/>
        <w:sdtContent>
          <w:r w:rsidR="005E1C9F">
            <w:rPr>
              <w:sz w:val="22"/>
              <w:szCs w:val="22"/>
              <w:lang w:val="en-GB"/>
            </w:rPr>
            <w:fldChar w:fldCharType="begin"/>
          </w:r>
          <w:r w:rsidR="005E1C9F" w:rsidRPr="005E1C9F">
            <w:rPr>
              <w:sz w:val="22"/>
              <w:szCs w:val="22"/>
              <w:lang w:val="en-US"/>
            </w:rPr>
            <w:instrText xml:space="preserve"> CITATION Gol15 \l 1036 </w:instrText>
          </w:r>
          <w:r w:rsidR="005E1C9F">
            <w:rPr>
              <w:sz w:val="22"/>
              <w:szCs w:val="22"/>
              <w:lang w:val="en-GB"/>
            </w:rPr>
            <w:fldChar w:fldCharType="separate"/>
          </w:r>
          <w:r w:rsidR="002D6947" w:rsidRPr="002D6947">
            <w:rPr>
              <w:noProof/>
              <w:sz w:val="22"/>
              <w:szCs w:val="22"/>
              <w:lang w:val="en-US"/>
            </w:rPr>
            <w:t>[99]</w:t>
          </w:r>
          <w:r w:rsidR="005E1C9F">
            <w:rPr>
              <w:sz w:val="22"/>
              <w:szCs w:val="22"/>
              <w:lang w:val="en-GB"/>
            </w:rPr>
            <w:fldChar w:fldCharType="end"/>
          </w:r>
        </w:sdtContent>
      </w:sdt>
      <w:r w:rsidRPr="000016FB">
        <w:rPr>
          <w:sz w:val="22"/>
          <w:szCs w:val="22"/>
          <w:lang w:val="en-GB"/>
        </w:rPr>
        <w:t xml:space="preserve">. The development of </w:t>
      </w:r>
      <w:r w:rsidR="00B2206B">
        <w:rPr>
          <w:sz w:val="22"/>
          <w:szCs w:val="22"/>
          <w:lang w:val="en-GB"/>
        </w:rPr>
        <w:t>t</w:t>
      </w:r>
      <w:r w:rsidRPr="000016FB">
        <w:rPr>
          <w:sz w:val="22"/>
          <w:szCs w:val="22"/>
          <w:lang w:val="en-GB"/>
        </w:rPr>
        <w:t>est</w:t>
      </w:r>
      <w:r w:rsidR="006036C0">
        <w:rPr>
          <w:sz w:val="22"/>
          <w:szCs w:val="22"/>
          <w:lang w:val="en-GB"/>
        </w:rPr>
        <w:t xml:space="preserve"> systems</w:t>
      </w:r>
      <w:r w:rsidRPr="000016FB">
        <w:rPr>
          <w:sz w:val="22"/>
          <w:szCs w:val="22"/>
          <w:lang w:val="en-GB"/>
        </w:rPr>
        <w:t xml:space="preserve"> equally require</w:t>
      </w:r>
      <w:r w:rsidR="00603EE1">
        <w:rPr>
          <w:sz w:val="22"/>
          <w:szCs w:val="22"/>
          <w:lang w:val="en-GB"/>
        </w:rPr>
        <w:t>s</w:t>
      </w:r>
      <w:r w:rsidRPr="000016FB">
        <w:rPr>
          <w:sz w:val="22"/>
          <w:szCs w:val="22"/>
          <w:lang w:val="en-GB"/>
        </w:rPr>
        <w:t xml:space="preserve"> the </w:t>
      </w:r>
      <w:r w:rsidR="00D753F2">
        <w:rPr>
          <w:sz w:val="22"/>
          <w:szCs w:val="22"/>
          <w:lang w:val="en-GB"/>
        </w:rPr>
        <w:t>selection</w:t>
      </w:r>
      <w:r w:rsidR="00D753F2" w:rsidRPr="000016FB">
        <w:rPr>
          <w:sz w:val="22"/>
          <w:szCs w:val="22"/>
          <w:lang w:val="en-GB"/>
        </w:rPr>
        <w:t xml:space="preserve"> </w:t>
      </w:r>
      <w:r w:rsidRPr="000016FB">
        <w:rPr>
          <w:sz w:val="22"/>
          <w:szCs w:val="22"/>
          <w:lang w:val="en-GB"/>
        </w:rPr>
        <w:t xml:space="preserve">of </w:t>
      </w:r>
      <w:r w:rsidR="00D753F2">
        <w:rPr>
          <w:sz w:val="22"/>
          <w:szCs w:val="22"/>
          <w:lang w:val="en-GB"/>
        </w:rPr>
        <w:t>compounds</w:t>
      </w:r>
      <w:r w:rsidR="00D753F2" w:rsidRPr="000016FB">
        <w:rPr>
          <w:sz w:val="22"/>
          <w:szCs w:val="22"/>
          <w:lang w:val="en-GB"/>
        </w:rPr>
        <w:t xml:space="preserve"> </w:t>
      </w:r>
      <w:r w:rsidRPr="000016FB">
        <w:rPr>
          <w:sz w:val="22"/>
          <w:szCs w:val="22"/>
          <w:lang w:val="en-GB"/>
        </w:rPr>
        <w:t>which can be used as referen</w:t>
      </w:r>
      <w:r w:rsidR="00B2206B">
        <w:rPr>
          <w:sz w:val="22"/>
          <w:szCs w:val="22"/>
          <w:lang w:val="en-GB"/>
        </w:rPr>
        <w:t>ce</w:t>
      </w:r>
      <w:r w:rsidRPr="000016FB">
        <w:rPr>
          <w:sz w:val="22"/>
          <w:szCs w:val="22"/>
          <w:lang w:val="en-GB"/>
        </w:rPr>
        <w:t xml:space="preserve"> chemicals to calibrate readouts </w:t>
      </w:r>
      <w:r>
        <w:rPr>
          <w:sz w:val="22"/>
          <w:szCs w:val="22"/>
          <w:lang w:val="en-GB"/>
        </w:rPr>
        <w:t>for the</w:t>
      </w:r>
      <w:r w:rsidRPr="000016FB">
        <w:rPr>
          <w:sz w:val="22"/>
          <w:szCs w:val="22"/>
          <w:lang w:val="en-GB"/>
        </w:rPr>
        <w:t xml:space="preserve"> risk assessment of n</w:t>
      </w:r>
      <w:r w:rsidR="00D753F2">
        <w:rPr>
          <w:sz w:val="22"/>
          <w:szCs w:val="22"/>
          <w:lang w:val="en-GB"/>
        </w:rPr>
        <w:t>ovel molecules</w:t>
      </w:r>
      <w:r w:rsidRPr="000016FB">
        <w:rPr>
          <w:sz w:val="22"/>
          <w:szCs w:val="22"/>
          <w:lang w:val="en-GB"/>
        </w:rPr>
        <w:t>. Above all,</w:t>
      </w:r>
      <w:r w:rsidR="00BE66C3">
        <w:rPr>
          <w:sz w:val="22"/>
          <w:szCs w:val="22"/>
          <w:lang w:val="en-GB"/>
        </w:rPr>
        <w:t xml:space="preserve"> it</w:t>
      </w:r>
      <w:r w:rsidR="00C85E8D">
        <w:rPr>
          <w:sz w:val="22"/>
          <w:szCs w:val="22"/>
          <w:lang w:val="en-GB"/>
        </w:rPr>
        <w:t xml:space="preserve"> </w:t>
      </w:r>
      <w:r w:rsidR="00031050">
        <w:rPr>
          <w:sz w:val="22"/>
          <w:szCs w:val="22"/>
          <w:lang w:val="en-GB"/>
        </w:rPr>
        <w:t>is</w:t>
      </w:r>
      <w:r>
        <w:rPr>
          <w:sz w:val="22"/>
          <w:szCs w:val="22"/>
          <w:lang w:val="en-GB"/>
        </w:rPr>
        <w:t xml:space="preserve"> important to</w:t>
      </w:r>
      <w:r w:rsidRPr="000016FB">
        <w:rPr>
          <w:sz w:val="22"/>
          <w:szCs w:val="22"/>
          <w:lang w:val="en-GB"/>
        </w:rPr>
        <w:t xml:space="preserve"> avoid elaborate systems that do not offer </w:t>
      </w:r>
      <w:r w:rsidR="00486ECD">
        <w:rPr>
          <w:sz w:val="22"/>
          <w:szCs w:val="22"/>
          <w:lang w:val="en-GB"/>
        </w:rPr>
        <w:t xml:space="preserve">a </w:t>
      </w:r>
      <w:r w:rsidRPr="000016FB">
        <w:rPr>
          <w:sz w:val="22"/>
          <w:szCs w:val="22"/>
          <w:lang w:val="en-GB"/>
        </w:rPr>
        <w:t>clear step change over the simplest functional te</w:t>
      </w:r>
      <w:r>
        <w:rPr>
          <w:sz w:val="22"/>
          <w:szCs w:val="22"/>
          <w:lang w:val="en-GB"/>
        </w:rPr>
        <w:t>st systems for risk assessment.</w:t>
      </w:r>
      <w:r w:rsidRPr="000016FB">
        <w:rPr>
          <w:sz w:val="22"/>
          <w:szCs w:val="22"/>
          <w:lang w:val="en-GB"/>
        </w:rPr>
        <w:t xml:space="preserve"> </w:t>
      </w:r>
      <w:r w:rsidR="00ED76CC">
        <w:rPr>
          <w:sz w:val="22"/>
          <w:szCs w:val="22"/>
          <w:lang w:val="en-GB"/>
        </w:rPr>
        <w:t xml:space="preserve">Likewise, </w:t>
      </w:r>
      <w:r w:rsidR="00B72355">
        <w:rPr>
          <w:sz w:val="22"/>
          <w:szCs w:val="22"/>
          <w:lang w:val="en-GB"/>
        </w:rPr>
        <w:t>when using advanced systems</w:t>
      </w:r>
      <w:r w:rsidR="008C0960">
        <w:rPr>
          <w:sz w:val="22"/>
          <w:szCs w:val="22"/>
          <w:lang w:val="en-GB"/>
        </w:rPr>
        <w:t xml:space="preserve"> such as spheroids and </w:t>
      </w:r>
      <w:r w:rsidR="00722619">
        <w:rPr>
          <w:sz w:val="22"/>
          <w:szCs w:val="22"/>
          <w:lang w:val="en-GB"/>
        </w:rPr>
        <w:t>MPS</w:t>
      </w:r>
      <w:r w:rsidR="00B72355">
        <w:rPr>
          <w:sz w:val="22"/>
          <w:szCs w:val="22"/>
          <w:lang w:val="en-GB"/>
        </w:rPr>
        <w:t xml:space="preserve">, </w:t>
      </w:r>
      <w:r w:rsidR="00ED76CC">
        <w:rPr>
          <w:sz w:val="22"/>
          <w:szCs w:val="22"/>
          <w:lang w:val="en-GB"/>
        </w:rPr>
        <w:t xml:space="preserve">steps </w:t>
      </w:r>
      <w:r w:rsidR="00B72355">
        <w:rPr>
          <w:sz w:val="22"/>
          <w:szCs w:val="22"/>
          <w:lang w:val="en-GB"/>
        </w:rPr>
        <w:t xml:space="preserve">to ensure </w:t>
      </w:r>
      <w:r w:rsidR="00ED76CC">
        <w:rPr>
          <w:sz w:val="22"/>
          <w:szCs w:val="22"/>
          <w:lang w:val="en-GB"/>
        </w:rPr>
        <w:t xml:space="preserve">that </w:t>
      </w:r>
      <w:r w:rsidR="00B72355">
        <w:rPr>
          <w:sz w:val="22"/>
          <w:szCs w:val="22"/>
          <w:lang w:val="en-GB"/>
        </w:rPr>
        <w:t xml:space="preserve">the properties of </w:t>
      </w:r>
      <w:r w:rsidR="00ED76CC">
        <w:rPr>
          <w:sz w:val="22"/>
          <w:szCs w:val="22"/>
          <w:lang w:val="en-GB"/>
        </w:rPr>
        <w:t>experimental compounds</w:t>
      </w:r>
      <w:r w:rsidR="00B72355">
        <w:rPr>
          <w:sz w:val="22"/>
          <w:szCs w:val="22"/>
          <w:lang w:val="en-GB"/>
        </w:rPr>
        <w:t xml:space="preserve"> are amenable for use </w:t>
      </w:r>
      <w:r w:rsidR="00ED76CC">
        <w:rPr>
          <w:sz w:val="22"/>
          <w:szCs w:val="22"/>
          <w:lang w:val="en-GB"/>
        </w:rPr>
        <w:t>(e.g.</w:t>
      </w:r>
      <w:r w:rsidR="00B72355">
        <w:rPr>
          <w:sz w:val="22"/>
          <w:szCs w:val="22"/>
          <w:lang w:val="en-GB"/>
        </w:rPr>
        <w:t xml:space="preserve"> solubility</w:t>
      </w:r>
      <w:r w:rsidR="005A2C39">
        <w:rPr>
          <w:sz w:val="22"/>
          <w:szCs w:val="22"/>
          <w:lang w:val="en-GB"/>
        </w:rPr>
        <w:t xml:space="preserve"> and </w:t>
      </w:r>
      <w:r w:rsidR="00B72355">
        <w:rPr>
          <w:sz w:val="22"/>
          <w:szCs w:val="22"/>
          <w:lang w:val="en-GB"/>
        </w:rPr>
        <w:t>stability, effects of buffer conditions and non-specific binding</w:t>
      </w:r>
      <w:r w:rsidR="00ED76CC">
        <w:rPr>
          <w:sz w:val="22"/>
          <w:szCs w:val="22"/>
          <w:lang w:val="en-GB"/>
        </w:rPr>
        <w:t>) will be needed</w:t>
      </w:r>
      <w:r w:rsidR="00B72355">
        <w:rPr>
          <w:sz w:val="22"/>
          <w:szCs w:val="22"/>
          <w:lang w:val="en-GB"/>
        </w:rPr>
        <w:t>.</w:t>
      </w:r>
      <w:r w:rsidR="00B72355" w:rsidRPr="000016FB">
        <w:rPr>
          <w:sz w:val="22"/>
          <w:szCs w:val="22"/>
          <w:lang w:val="en-GB"/>
        </w:rPr>
        <w:t xml:space="preserve"> </w:t>
      </w:r>
      <w:r w:rsidRPr="000016FB">
        <w:rPr>
          <w:sz w:val="22"/>
          <w:szCs w:val="22"/>
          <w:lang w:val="en-GB"/>
        </w:rPr>
        <w:t xml:space="preserve">Underlining </w:t>
      </w:r>
      <w:r w:rsidR="00B2206B">
        <w:rPr>
          <w:sz w:val="22"/>
          <w:szCs w:val="22"/>
          <w:lang w:val="en-GB"/>
        </w:rPr>
        <w:t>this</w:t>
      </w:r>
      <w:r w:rsidRPr="000016FB">
        <w:rPr>
          <w:sz w:val="22"/>
          <w:szCs w:val="22"/>
          <w:lang w:val="en-GB"/>
        </w:rPr>
        <w:t xml:space="preserve"> are </w:t>
      </w:r>
      <w:r>
        <w:rPr>
          <w:sz w:val="22"/>
          <w:szCs w:val="22"/>
          <w:lang w:val="en-GB"/>
        </w:rPr>
        <w:t>the requirements to generate</w:t>
      </w:r>
      <w:r w:rsidRPr="000016FB">
        <w:rPr>
          <w:sz w:val="22"/>
          <w:szCs w:val="22"/>
          <w:lang w:val="en-GB"/>
        </w:rPr>
        <w:t xml:space="preserve"> insights</w:t>
      </w:r>
      <w:r>
        <w:rPr>
          <w:sz w:val="22"/>
          <w:szCs w:val="22"/>
          <w:lang w:val="en-GB"/>
        </w:rPr>
        <w:t xml:space="preserve"> in</w:t>
      </w:r>
      <w:r w:rsidRPr="000016FB">
        <w:rPr>
          <w:sz w:val="22"/>
          <w:szCs w:val="22"/>
          <w:lang w:val="en-GB"/>
        </w:rPr>
        <w:t xml:space="preserve">to signalling pathways and quantifiable endpoints to enable </w:t>
      </w:r>
      <w:r w:rsidR="00BE66C3">
        <w:rPr>
          <w:sz w:val="22"/>
          <w:szCs w:val="22"/>
          <w:lang w:val="en-GB"/>
        </w:rPr>
        <w:t>pharmacokinetic-</w:t>
      </w:r>
      <w:proofErr w:type="spellStart"/>
      <w:r w:rsidR="00BE66C3">
        <w:rPr>
          <w:sz w:val="22"/>
          <w:szCs w:val="22"/>
          <w:lang w:val="en-GB"/>
        </w:rPr>
        <w:t>toxicokinetic</w:t>
      </w:r>
      <w:proofErr w:type="spellEnd"/>
      <w:r w:rsidR="00BE66C3">
        <w:rPr>
          <w:sz w:val="22"/>
          <w:szCs w:val="22"/>
          <w:lang w:val="en-GB"/>
        </w:rPr>
        <w:t xml:space="preserve"> </w:t>
      </w:r>
      <w:r w:rsidRPr="000016FB">
        <w:rPr>
          <w:sz w:val="22"/>
          <w:szCs w:val="22"/>
          <w:lang w:val="en-GB"/>
        </w:rPr>
        <w:t>modelling of exposure and biological responses</w:t>
      </w:r>
      <w:r w:rsidR="00B2206B">
        <w:rPr>
          <w:sz w:val="22"/>
          <w:szCs w:val="22"/>
          <w:lang w:val="en-GB"/>
        </w:rPr>
        <w:t>,</w:t>
      </w:r>
      <w:r w:rsidRPr="000016FB">
        <w:rPr>
          <w:sz w:val="22"/>
          <w:szCs w:val="22"/>
          <w:lang w:val="en-GB"/>
        </w:rPr>
        <w:t xml:space="preserve"> upstream of hepatocellular </w:t>
      </w:r>
      <w:r>
        <w:rPr>
          <w:sz w:val="22"/>
          <w:szCs w:val="22"/>
          <w:lang w:val="en-GB"/>
        </w:rPr>
        <w:t>response(s) to chemical insult</w:t>
      </w:r>
      <w:r w:rsidR="00CF3FEB">
        <w:rPr>
          <w:sz w:val="22"/>
          <w:szCs w:val="22"/>
          <w:lang w:val="en-GB"/>
        </w:rPr>
        <w:t>.</w:t>
      </w:r>
    </w:p>
    <w:p w14:paraId="3ACF6F39" w14:textId="77777777" w:rsidR="00CF3FEB" w:rsidRPr="000016FB" w:rsidRDefault="00CF3FEB" w:rsidP="006730B6">
      <w:pPr>
        <w:spacing w:line="480" w:lineRule="auto"/>
        <w:jc w:val="both"/>
        <w:rPr>
          <w:sz w:val="22"/>
          <w:szCs w:val="22"/>
          <w:lang w:val="en-GB"/>
        </w:rPr>
      </w:pPr>
    </w:p>
    <w:p w14:paraId="42EAB885" w14:textId="77777777" w:rsidR="00D4661B" w:rsidRDefault="00A879E7" w:rsidP="006730B6">
      <w:pPr>
        <w:spacing w:line="480" w:lineRule="auto"/>
        <w:jc w:val="both"/>
        <w:rPr>
          <w:b/>
          <w:sz w:val="22"/>
          <w:szCs w:val="22"/>
          <w:lang w:val="en-GB"/>
        </w:rPr>
      </w:pPr>
      <w:r>
        <w:rPr>
          <w:sz w:val="22"/>
          <w:szCs w:val="22"/>
          <w:lang w:val="en-US"/>
        </w:rPr>
        <w:t xml:space="preserve">9. </w:t>
      </w:r>
      <w:r w:rsidRPr="000016FB">
        <w:rPr>
          <w:b/>
          <w:sz w:val="22"/>
          <w:szCs w:val="22"/>
          <w:lang w:val="en-GB"/>
        </w:rPr>
        <w:t>Expert opinion</w:t>
      </w:r>
      <w:r>
        <w:rPr>
          <w:b/>
          <w:sz w:val="22"/>
          <w:szCs w:val="22"/>
          <w:lang w:val="en-GB"/>
        </w:rPr>
        <w:t xml:space="preserve"> (summing-up)</w:t>
      </w:r>
      <w:r w:rsidR="00976C78">
        <w:rPr>
          <w:b/>
          <w:sz w:val="22"/>
          <w:szCs w:val="22"/>
          <w:lang w:val="en-GB"/>
        </w:rPr>
        <w:t xml:space="preserve"> </w:t>
      </w:r>
    </w:p>
    <w:p w14:paraId="41B5A5DA" w14:textId="4663C3B9" w:rsidR="00DC24D0" w:rsidRPr="000016FB" w:rsidRDefault="005A2C39" w:rsidP="006730B6">
      <w:pPr>
        <w:spacing w:line="480" w:lineRule="auto"/>
        <w:jc w:val="both"/>
        <w:rPr>
          <w:sz w:val="22"/>
          <w:szCs w:val="22"/>
          <w:lang w:val="en-US"/>
        </w:rPr>
      </w:pPr>
      <w:r>
        <w:rPr>
          <w:sz w:val="22"/>
          <w:szCs w:val="22"/>
          <w:lang w:val="en-GB"/>
        </w:rPr>
        <w:t>E</w:t>
      </w:r>
      <w:r w:rsidR="00DC24D0" w:rsidRPr="000016FB">
        <w:rPr>
          <w:sz w:val="22"/>
          <w:szCs w:val="22"/>
          <w:lang w:val="en-GB"/>
        </w:rPr>
        <w:t xml:space="preserve">ndpoints commonly employed in </w:t>
      </w:r>
      <w:r w:rsidR="005E3BE2" w:rsidRPr="000016FB">
        <w:rPr>
          <w:sz w:val="22"/>
          <w:szCs w:val="22"/>
          <w:lang w:val="en-GB"/>
        </w:rPr>
        <w:t xml:space="preserve">2D cell culture </w:t>
      </w:r>
      <w:r w:rsidR="00DC24D0" w:rsidRPr="000016FB">
        <w:rPr>
          <w:sz w:val="22"/>
          <w:szCs w:val="22"/>
          <w:lang w:val="en-GB"/>
        </w:rPr>
        <w:t>systems for the assessment of drug-induced cytotoxicit</w:t>
      </w:r>
      <w:r w:rsidR="00DC24D0">
        <w:rPr>
          <w:sz w:val="22"/>
          <w:szCs w:val="22"/>
          <w:lang w:val="en-GB"/>
        </w:rPr>
        <w:t>y</w:t>
      </w:r>
      <w:r w:rsidR="00DC24D0" w:rsidRPr="000016FB">
        <w:rPr>
          <w:sz w:val="22"/>
          <w:szCs w:val="22"/>
          <w:lang w:val="en-GB"/>
        </w:rPr>
        <w:t xml:space="preserve"> are broad, yet </w:t>
      </w:r>
      <w:r w:rsidR="00DC24D0" w:rsidRPr="000016FB">
        <w:rPr>
          <w:sz w:val="22"/>
          <w:szCs w:val="22"/>
          <w:lang w:val="en-US"/>
        </w:rPr>
        <w:t xml:space="preserve">their value to predict human DILI remains questionable. </w:t>
      </w:r>
      <w:r w:rsidR="00D753F2">
        <w:rPr>
          <w:sz w:val="22"/>
          <w:szCs w:val="22"/>
          <w:lang w:val="en-US"/>
        </w:rPr>
        <w:t>This is i</w:t>
      </w:r>
      <w:r w:rsidR="00DC24D0" w:rsidRPr="000016FB">
        <w:rPr>
          <w:sz w:val="22"/>
          <w:szCs w:val="22"/>
          <w:lang w:val="en-US"/>
        </w:rPr>
        <w:t xml:space="preserve">n part attributable to </w:t>
      </w:r>
      <w:r w:rsidR="00D753F2">
        <w:rPr>
          <w:sz w:val="22"/>
          <w:szCs w:val="22"/>
          <w:lang w:val="en-US"/>
        </w:rPr>
        <w:t xml:space="preserve">(1) </w:t>
      </w:r>
      <w:r w:rsidR="00DC24D0" w:rsidRPr="000016FB">
        <w:rPr>
          <w:sz w:val="22"/>
          <w:szCs w:val="22"/>
          <w:lang w:val="en-US"/>
        </w:rPr>
        <w:t xml:space="preserve">a lack of harmonization of protocols </w:t>
      </w:r>
      <w:sdt>
        <w:sdtPr>
          <w:rPr>
            <w:sz w:val="22"/>
            <w:szCs w:val="22"/>
            <w:lang w:val="en-US"/>
          </w:rPr>
          <w:id w:val="1376424371"/>
          <w:citation/>
        </w:sdtPr>
        <w:sdtEndPr/>
        <w:sdtContent>
          <w:r w:rsidR="007A7FB5">
            <w:rPr>
              <w:sz w:val="22"/>
              <w:szCs w:val="22"/>
              <w:lang w:val="en-US"/>
            </w:rPr>
            <w:fldChar w:fldCharType="begin"/>
          </w:r>
          <w:r w:rsidR="007A7FB5">
            <w:rPr>
              <w:noProof/>
              <w:sz w:val="22"/>
              <w:szCs w:val="22"/>
              <w:lang w:val="en-GB"/>
            </w:rPr>
            <w:instrText xml:space="preserve"> CITATION Che14 \l 2057 </w:instrText>
          </w:r>
          <w:r w:rsidR="007A7FB5">
            <w:rPr>
              <w:sz w:val="22"/>
              <w:szCs w:val="22"/>
              <w:lang w:val="en-US"/>
            </w:rPr>
            <w:fldChar w:fldCharType="separate"/>
          </w:r>
          <w:r w:rsidR="002D6947" w:rsidRPr="002D6947">
            <w:rPr>
              <w:noProof/>
              <w:sz w:val="22"/>
              <w:szCs w:val="22"/>
              <w:lang w:val="en-GB"/>
            </w:rPr>
            <w:t>[100]</w:t>
          </w:r>
          <w:r w:rsidR="007A7FB5">
            <w:rPr>
              <w:sz w:val="22"/>
              <w:szCs w:val="22"/>
              <w:lang w:val="en-US"/>
            </w:rPr>
            <w:fldChar w:fldCharType="end"/>
          </w:r>
        </w:sdtContent>
      </w:sdt>
      <w:r w:rsidR="00DC24D0" w:rsidRPr="000016FB">
        <w:rPr>
          <w:sz w:val="22"/>
          <w:szCs w:val="22"/>
          <w:lang w:val="en-US"/>
        </w:rPr>
        <w:t xml:space="preserve">, </w:t>
      </w:r>
      <w:r w:rsidR="00031C22">
        <w:rPr>
          <w:sz w:val="22"/>
          <w:szCs w:val="22"/>
          <w:lang w:val="en-US"/>
        </w:rPr>
        <w:t xml:space="preserve">(2) </w:t>
      </w:r>
      <w:r w:rsidR="005E3BE2">
        <w:rPr>
          <w:sz w:val="22"/>
          <w:szCs w:val="22"/>
          <w:lang w:val="en-US"/>
        </w:rPr>
        <w:t>a</w:t>
      </w:r>
      <w:r w:rsidR="00D753F2">
        <w:rPr>
          <w:sz w:val="22"/>
          <w:szCs w:val="22"/>
          <w:lang w:val="en-US"/>
        </w:rPr>
        <w:t xml:space="preserve"> lack of consensus</w:t>
      </w:r>
      <w:r w:rsidR="005E3BE2">
        <w:rPr>
          <w:sz w:val="22"/>
          <w:szCs w:val="22"/>
          <w:lang w:val="en-US"/>
        </w:rPr>
        <w:t xml:space="preserve"> on</w:t>
      </w:r>
      <w:r w:rsidR="00DC24D0" w:rsidRPr="000016FB">
        <w:rPr>
          <w:sz w:val="22"/>
          <w:szCs w:val="22"/>
          <w:lang w:val="en-US"/>
        </w:rPr>
        <w:t xml:space="preserve"> the most appropriate test systems</w:t>
      </w:r>
      <w:r w:rsidR="00D753F2">
        <w:rPr>
          <w:sz w:val="22"/>
          <w:szCs w:val="22"/>
          <w:lang w:val="en-US"/>
        </w:rPr>
        <w:t xml:space="preserve"> and </w:t>
      </w:r>
      <w:r w:rsidR="005E3BE2">
        <w:rPr>
          <w:sz w:val="22"/>
          <w:szCs w:val="22"/>
          <w:lang w:val="en-US"/>
        </w:rPr>
        <w:t>the</w:t>
      </w:r>
      <w:r w:rsidR="00D753F2">
        <w:rPr>
          <w:sz w:val="22"/>
          <w:szCs w:val="22"/>
          <w:lang w:val="en-US"/>
        </w:rPr>
        <w:t xml:space="preserve"> most clinically</w:t>
      </w:r>
      <w:r w:rsidR="00BE66C3">
        <w:rPr>
          <w:sz w:val="22"/>
          <w:szCs w:val="22"/>
          <w:lang w:val="en-US"/>
        </w:rPr>
        <w:t xml:space="preserve"> </w:t>
      </w:r>
      <w:r w:rsidR="00CC2F03">
        <w:rPr>
          <w:sz w:val="22"/>
          <w:szCs w:val="22"/>
          <w:lang w:val="en-US"/>
        </w:rPr>
        <w:t>relevant</w:t>
      </w:r>
      <w:r w:rsidR="00DC24D0" w:rsidRPr="000016FB">
        <w:rPr>
          <w:sz w:val="22"/>
          <w:szCs w:val="22"/>
          <w:lang w:val="en-US"/>
        </w:rPr>
        <w:t xml:space="preserve"> mechanisms of liver toxicity, and </w:t>
      </w:r>
      <w:r w:rsidR="00031C22">
        <w:rPr>
          <w:sz w:val="22"/>
          <w:szCs w:val="22"/>
          <w:lang w:val="en-US"/>
        </w:rPr>
        <w:t>(</w:t>
      </w:r>
      <w:r w:rsidR="00571196">
        <w:rPr>
          <w:sz w:val="22"/>
          <w:szCs w:val="22"/>
          <w:lang w:val="en-US"/>
        </w:rPr>
        <w:t>3</w:t>
      </w:r>
      <w:r w:rsidR="00031C22">
        <w:rPr>
          <w:sz w:val="22"/>
          <w:szCs w:val="22"/>
          <w:lang w:val="en-US"/>
        </w:rPr>
        <w:t xml:space="preserve">) </w:t>
      </w:r>
      <w:r w:rsidR="005E3BE2">
        <w:rPr>
          <w:sz w:val="22"/>
          <w:szCs w:val="22"/>
          <w:lang w:val="en-US"/>
        </w:rPr>
        <w:t xml:space="preserve">the </w:t>
      </w:r>
      <w:r w:rsidR="00DC24D0" w:rsidRPr="000016FB">
        <w:rPr>
          <w:sz w:val="22"/>
          <w:szCs w:val="22"/>
          <w:lang w:val="en-US"/>
        </w:rPr>
        <w:t xml:space="preserve">reagents to calibrate these test systems. </w:t>
      </w:r>
      <w:r w:rsidR="0026344C">
        <w:rPr>
          <w:sz w:val="22"/>
          <w:szCs w:val="22"/>
          <w:lang w:val="en-US"/>
        </w:rPr>
        <w:t>It</w:t>
      </w:r>
      <w:r w:rsidR="0026344C" w:rsidRPr="000016FB">
        <w:rPr>
          <w:sz w:val="22"/>
          <w:szCs w:val="22"/>
          <w:lang w:val="en-US"/>
        </w:rPr>
        <w:t xml:space="preserve"> </w:t>
      </w:r>
      <w:r w:rsidR="00DC24D0" w:rsidRPr="000016FB">
        <w:rPr>
          <w:sz w:val="22"/>
          <w:szCs w:val="22"/>
          <w:lang w:val="en-US"/>
        </w:rPr>
        <w:t xml:space="preserve">is widely accepted </w:t>
      </w:r>
      <w:r w:rsidR="0026344C">
        <w:rPr>
          <w:sz w:val="22"/>
          <w:szCs w:val="22"/>
          <w:lang w:val="en-US"/>
        </w:rPr>
        <w:t>that</w:t>
      </w:r>
      <w:r w:rsidR="0026344C" w:rsidRPr="000016FB">
        <w:rPr>
          <w:sz w:val="22"/>
          <w:szCs w:val="22"/>
          <w:lang w:val="en-US"/>
        </w:rPr>
        <w:t xml:space="preserve"> </w:t>
      </w:r>
      <w:r w:rsidR="00DC24D0" w:rsidRPr="000016FB">
        <w:rPr>
          <w:sz w:val="22"/>
          <w:szCs w:val="22"/>
          <w:lang w:val="en-US"/>
        </w:rPr>
        <w:t xml:space="preserve">these simple test systems </w:t>
      </w:r>
      <w:r w:rsidR="005E3BE2">
        <w:rPr>
          <w:sz w:val="22"/>
          <w:szCs w:val="22"/>
          <w:lang w:val="en-US"/>
        </w:rPr>
        <w:t>enable</w:t>
      </w:r>
      <w:r w:rsidR="00DC24D0" w:rsidRPr="000016FB">
        <w:rPr>
          <w:sz w:val="22"/>
          <w:szCs w:val="22"/>
          <w:lang w:val="en-US"/>
        </w:rPr>
        <w:t xml:space="preserve"> a</w:t>
      </w:r>
      <w:r w:rsidR="005E3BE2">
        <w:rPr>
          <w:sz w:val="22"/>
          <w:szCs w:val="22"/>
          <w:lang w:val="en-US"/>
        </w:rPr>
        <w:t>n acceptable</w:t>
      </w:r>
      <w:r w:rsidR="00DC24D0" w:rsidRPr="000016FB">
        <w:rPr>
          <w:sz w:val="22"/>
          <w:szCs w:val="22"/>
          <w:lang w:val="en-US"/>
        </w:rPr>
        <w:t xml:space="preserve"> assessment of ‘cell</w:t>
      </w:r>
      <w:r w:rsidR="0026344C">
        <w:rPr>
          <w:sz w:val="22"/>
          <w:szCs w:val="22"/>
          <w:lang w:val="en-US"/>
        </w:rPr>
        <w:t xml:space="preserve"> </w:t>
      </w:r>
      <w:r w:rsidR="00DC24D0" w:rsidRPr="000016FB">
        <w:rPr>
          <w:sz w:val="22"/>
          <w:szCs w:val="22"/>
          <w:lang w:val="en-US"/>
        </w:rPr>
        <w:t>health’ and serve well to prioritize and rank compounds</w:t>
      </w:r>
      <w:r w:rsidR="00845F52">
        <w:rPr>
          <w:sz w:val="22"/>
          <w:szCs w:val="22"/>
          <w:lang w:val="en-US"/>
        </w:rPr>
        <w:t xml:space="preserve"> (Table 1)</w:t>
      </w:r>
      <w:r w:rsidR="00DC24D0">
        <w:rPr>
          <w:sz w:val="22"/>
          <w:szCs w:val="22"/>
          <w:lang w:val="en-US"/>
        </w:rPr>
        <w:t>.</w:t>
      </w:r>
      <w:r w:rsidR="00DC24D0" w:rsidRPr="000016FB">
        <w:rPr>
          <w:sz w:val="22"/>
          <w:szCs w:val="22"/>
          <w:lang w:val="en-US"/>
        </w:rPr>
        <w:t xml:space="preserve"> The next generation of cytotoxicity test systems </w:t>
      </w:r>
      <w:r w:rsidR="005E3BE2">
        <w:rPr>
          <w:sz w:val="22"/>
          <w:szCs w:val="22"/>
          <w:lang w:val="en-US"/>
        </w:rPr>
        <w:t>ideally should include</w:t>
      </w:r>
      <w:r w:rsidR="00DC24D0" w:rsidRPr="000016FB">
        <w:rPr>
          <w:sz w:val="22"/>
          <w:szCs w:val="22"/>
          <w:lang w:val="en-US"/>
        </w:rPr>
        <w:t xml:space="preserve"> evidence of </w:t>
      </w:r>
      <w:r w:rsidR="00CC2F03">
        <w:rPr>
          <w:sz w:val="22"/>
          <w:szCs w:val="22"/>
          <w:lang w:val="en-US"/>
        </w:rPr>
        <w:t xml:space="preserve">a </w:t>
      </w:r>
      <w:r w:rsidR="00DC24D0" w:rsidRPr="000016FB">
        <w:rPr>
          <w:sz w:val="22"/>
          <w:szCs w:val="22"/>
          <w:lang w:val="en-US"/>
        </w:rPr>
        <w:t xml:space="preserve">DILI selective </w:t>
      </w:r>
      <w:r w:rsidR="00DC24D0" w:rsidRPr="000016FB">
        <w:rPr>
          <w:sz w:val="22"/>
          <w:szCs w:val="22"/>
          <w:lang w:val="en-US"/>
        </w:rPr>
        <w:lastRenderedPageBreak/>
        <w:t>measure of risk</w:t>
      </w:r>
      <w:r w:rsidR="00CC2F03">
        <w:rPr>
          <w:sz w:val="22"/>
          <w:szCs w:val="22"/>
          <w:lang w:val="en-US"/>
        </w:rPr>
        <w:t>,</w:t>
      </w:r>
      <w:r w:rsidR="00DC24D0" w:rsidRPr="000016FB">
        <w:rPr>
          <w:sz w:val="22"/>
          <w:szCs w:val="22"/>
          <w:lang w:val="en-US"/>
        </w:rPr>
        <w:t xml:space="preserve"> with flexibility to perform not only short</w:t>
      </w:r>
      <w:r w:rsidR="00D753F2">
        <w:rPr>
          <w:sz w:val="22"/>
          <w:szCs w:val="22"/>
          <w:lang w:val="en-US"/>
        </w:rPr>
        <w:t>-</w:t>
      </w:r>
      <w:r w:rsidR="00DC24D0" w:rsidRPr="000016FB">
        <w:rPr>
          <w:sz w:val="22"/>
          <w:szCs w:val="22"/>
          <w:lang w:val="en-US"/>
        </w:rPr>
        <w:t>term incubations</w:t>
      </w:r>
      <w:r w:rsidR="005A6322">
        <w:rPr>
          <w:sz w:val="22"/>
          <w:szCs w:val="22"/>
          <w:lang w:val="en-US"/>
        </w:rPr>
        <w:t>,</w:t>
      </w:r>
      <w:r w:rsidR="00DC24D0" w:rsidRPr="000016FB">
        <w:rPr>
          <w:sz w:val="22"/>
          <w:szCs w:val="22"/>
          <w:lang w:val="en-US"/>
        </w:rPr>
        <w:t xml:space="preserve"> but equally incubations over several days</w:t>
      </w:r>
      <w:r w:rsidR="005A6322">
        <w:rPr>
          <w:sz w:val="22"/>
          <w:szCs w:val="22"/>
          <w:lang w:val="en-US"/>
        </w:rPr>
        <w:t xml:space="preserve"> </w:t>
      </w:r>
      <w:r w:rsidR="00722619">
        <w:rPr>
          <w:sz w:val="22"/>
          <w:szCs w:val="22"/>
          <w:lang w:val="en-US"/>
        </w:rPr>
        <w:t xml:space="preserve">or even  </w:t>
      </w:r>
      <w:r w:rsidR="00CC2F03">
        <w:rPr>
          <w:sz w:val="22"/>
          <w:szCs w:val="22"/>
          <w:lang w:val="en-US"/>
        </w:rPr>
        <w:t>weeks</w:t>
      </w:r>
      <w:r w:rsidR="00DC24D0" w:rsidRPr="000016FB">
        <w:rPr>
          <w:sz w:val="22"/>
          <w:szCs w:val="22"/>
          <w:lang w:val="en-US"/>
        </w:rPr>
        <w:t xml:space="preserve"> at concentration</w:t>
      </w:r>
      <w:r w:rsidR="00D753F2">
        <w:rPr>
          <w:sz w:val="22"/>
          <w:szCs w:val="22"/>
          <w:lang w:val="en-US"/>
        </w:rPr>
        <w:t xml:space="preserve"> </w:t>
      </w:r>
      <w:r w:rsidR="00DC24D0" w:rsidRPr="000016FB">
        <w:rPr>
          <w:sz w:val="22"/>
          <w:szCs w:val="22"/>
          <w:lang w:val="en-US"/>
        </w:rPr>
        <w:t>multiples reflecting the intended pharmacological exposure range</w:t>
      </w:r>
      <w:r w:rsidR="008E6998">
        <w:rPr>
          <w:sz w:val="22"/>
          <w:szCs w:val="22"/>
          <w:lang w:val="en-US"/>
        </w:rPr>
        <w:t>(</w:t>
      </w:r>
      <w:r w:rsidR="00DC24D0" w:rsidRPr="000016FB">
        <w:rPr>
          <w:sz w:val="22"/>
          <w:szCs w:val="22"/>
          <w:lang w:val="en-US"/>
        </w:rPr>
        <w:t>s</w:t>
      </w:r>
      <w:r w:rsidR="008E6998">
        <w:rPr>
          <w:sz w:val="22"/>
          <w:szCs w:val="22"/>
          <w:lang w:val="en-US"/>
        </w:rPr>
        <w:t>)</w:t>
      </w:r>
      <w:r w:rsidR="00DC0637">
        <w:rPr>
          <w:sz w:val="22"/>
          <w:szCs w:val="22"/>
          <w:lang w:val="en-US"/>
        </w:rPr>
        <w:t xml:space="preserve"> in liver</w:t>
      </w:r>
      <w:r w:rsidR="00DC24D0">
        <w:rPr>
          <w:sz w:val="22"/>
          <w:szCs w:val="22"/>
          <w:lang w:val="en-US"/>
        </w:rPr>
        <w:t xml:space="preserve">. </w:t>
      </w:r>
      <w:r w:rsidR="009359E8">
        <w:rPr>
          <w:sz w:val="22"/>
          <w:szCs w:val="22"/>
          <w:lang w:val="en-US"/>
        </w:rPr>
        <w:t>S</w:t>
      </w:r>
      <w:r w:rsidR="00C62DA7">
        <w:rPr>
          <w:sz w:val="22"/>
          <w:szCs w:val="22"/>
          <w:lang w:val="en-US"/>
        </w:rPr>
        <w:t>pheroid models offer promise in this direction</w:t>
      </w:r>
      <w:r w:rsidR="009359E8">
        <w:rPr>
          <w:sz w:val="22"/>
          <w:szCs w:val="22"/>
          <w:lang w:val="en-US"/>
        </w:rPr>
        <w:t xml:space="preserve"> by enabling</w:t>
      </w:r>
      <w:r w:rsidR="00C62DA7">
        <w:rPr>
          <w:sz w:val="22"/>
          <w:szCs w:val="22"/>
          <w:lang w:val="en-US"/>
        </w:rPr>
        <w:t xml:space="preserve"> </w:t>
      </w:r>
      <w:r w:rsidR="00C62DA7" w:rsidRPr="004F04CB">
        <w:rPr>
          <w:sz w:val="22"/>
          <w:szCs w:val="22"/>
          <w:lang w:val="en-GB"/>
        </w:rPr>
        <w:t xml:space="preserve">longer-term exposure at </w:t>
      </w:r>
      <w:r w:rsidR="00C62DA7">
        <w:rPr>
          <w:sz w:val="22"/>
          <w:szCs w:val="22"/>
          <w:lang w:val="en-GB"/>
        </w:rPr>
        <w:t>pharmacologically relevant</w:t>
      </w:r>
      <w:r w:rsidR="00C62DA7" w:rsidRPr="004F04CB">
        <w:rPr>
          <w:sz w:val="22"/>
          <w:szCs w:val="22"/>
          <w:lang w:val="en-GB"/>
        </w:rPr>
        <w:t xml:space="preserve"> dose</w:t>
      </w:r>
      <w:r w:rsidR="00C62DA7">
        <w:rPr>
          <w:sz w:val="22"/>
          <w:szCs w:val="22"/>
          <w:lang w:val="en-GB"/>
        </w:rPr>
        <w:t>s. In addition, t</w:t>
      </w:r>
      <w:r w:rsidR="00C62DA7" w:rsidRPr="004F04CB">
        <w:rPr>
          <w:sz w:val="22"/>
          <w:szCs w:val="22"/>
          <w:lang w:val="en-GB"/>
        </w:rPr>
        <w:t xml:space="preserve">hey offer </w:t>
      </w:r>
      <w:r w:rsidR="00C62DA7">
        <w:rPr>
          <w:sz w:val="22"/>
          <w:szCs w:val="22"/>
          <w:lang w:val="en-GB"/>
        </w:rPr>
        <w:t xml:space="preserve">a </w:t>
      </w:r>
      <w:r w:rsidR="00C62DA7" w:rsidRPr="004F04CB">
        <w:rPr>
          <w:sz w:val="22"/>
          <w:szCs w:val="22"/>
          <w:lang w:val="en-GB"/>
        </w:rPr>
        <w:t>greater chance to mimic the disease state</w:t>
      </w:r>
      <w:r w:rsidR="00C62DA7">
        <w:rPr>
          <w:sz w:val="22"/>
          <w:szCs w:val="22"/>
          <w:lang w:val="en-GB"/>
        </w:rPr>
        <w:t xml:space="preserve"> and understand the potential safety risks in </w:t>
      </w:r>
      <w:r w:rsidR="009359E8">
        <w:rPr>
          <w:sz w:val="22"/>
          <w:szCs w:val="22"/>
          <w:lang w:val="en-GB"/>
        </w:rPr>
        <w:t>specific</w:t>
      </w:r>
      <w:r w:rsidR="00C62DA7">
        <w:rPr>
          <w:sz w:val="22"/>
          <w:szCs w:val="22"/>
          <w:lang w:val="en-GB"/>
        </w:rPr>
        <w:t xml:space="preserve"> patient</w:t>
      </w:r>
      <w:r w:rsidR="009359E8">
        <w:rPr>
          <w:sz w:val="22"/>
          <w:szCs w:val="22"/>
          <w:lang w:val="en-GB"/>
        </w:rPr>
        <w:t xml:space="preserve"> population</w:t>
      </w:r>
      <w:r w:rsidR="00C62DA7">
        <w:rPr>
          <w:sz w:val="22"/>
          <w:szCs w:val="22"/>
          <w:lang w:val="en-GB"/>
        </w:rPr>
        <w:t>s. In this respect, more physiologically relevant 3D models allow for the p</w:t>
      </w:r>
      <w:r w:rsidR="00C62DA7" w:rsidRPr="0080527E">
        <w:rPr>
          <w:sz w:val="22"/>
          <w:szCs w:val="22"/>
          <w:lang w:val="en-GB"/>
        </w:rPr>
        <w:t xml:space="preserve">ossibility to study </w:t>
      </w:r>
      <w:r w:rsidR="00675D89">
        <w:rPr>
          <w:sz w:val="22"/>
          <w:szCs w:val="22"/>
          <w:lang w:val="en-GB"/>
        </w:rPr>
        <w:t xml:space="preserve">in greater depth the </w:t>
      </w:r>
      <w:r w:rsidR="00C62DA7" w:rsidRPr="0080527E">
        <w:rPr>
          <w:sz w:val="22"/>
          <w:szCs w:val="22"/>
          <w:lang w:val="en-GB"/>
        </w:rPr>
        <w:t>mechanisms of drug toxicity</w:t>
      </w:r>
      <w:r w:rsidR="00C62DA7">
        <w:rPr>
          <w:sz w:val="22"/>
          <w:szCs w:val="22"/>
          <w:lang w:val="en-GB"/>
        </w:rPr>
        <w:t>.</w:t>
      </w:r>
    </w:p>
    <w:p w14:paraId="70A8665F" w14:textId="77777777" w:rsidR="00DC24D0" w:rsidRPr="000016FB" w:rsidRDefault="00DC24D0" w:rsidP="006730B6">
      <w:pPr>
        <w:spacing w:line="480" w:lineRule="auto"/>
        <w:ind w:left="708"/>
        <w:jc w:val="both"/>
        <w:rPr>
          <w:sz w:val="22"/>
          <w:szCs w:val="22"/>
          <w:lang w:val="en-US"/>
        </w:rPr>
      </w:pPr>
    </w:p>
    <w:p w14:paraId="076C43F9" w14:textId="0F0D5A54" w:rsidR="00DC24D0" w:rsidRDefault="00DC24D0" w:rsidP="006730B6">
      <w:pPr>
        <w:spacing w:line="480" w:lineRule="auto"/>
        <w:jc w:val="both"/>
        <w:rPr>
          <w:sz w:val="22"/>
          <w:szCs w:val="22"/>
          <w:lang w:val="en-GB"/>
        </w:rPr>
      </w:pPr>
      <w:r w:rsidRPr="000016FB">
        <w:rPr>
          <w:noProof/>
          <w:sz w:val="22"/>
          <w:szCs w:val="22"/>
          <w:lang w:val="en-US"/>
        </w:rPr>
        <w:t xml:space="preserve">In contrast to evidence necessitating short- and long-term cell cultures for cytotoxicity, </w:t>
      </w:r>
      <w:r w:rsidRPr="000016FB">
        <w:rPr>
          <w:noProof/>
          <w:sz w:val="22"/>
          <w:szCs w:val="22"/>
          <w:lang w:val="en-GB"/>
        </w:rPr>
        <w:t xml:space="preserve">recent investigations </w:t>
      </w:r>
      <w:sdt>
        <w:sdtPr>
          <w:rPr>
            <w:noProof/>
            <w:sz w:val="22"/>
            <w:szCs w:val="22"/>
            <w:lang w:val="en-GB"/>
          </w:rPr>
          <w:id w:val="-1633247659"/>
          <w:citation/>
        </w:sdtPr>
        <w:sdtEndPr/>
        <w:sdtContent>
          <w:r w:rsidR="00795FE6">
            <w:rPr>
              <w:noProof/>
              <w:sz w:val="22"/>
              <w:szCs w:val="22"/>
              <w:lang w:val="en-GB"/>
            </w:rPr>
            <w:fldChar w:fldCharType="begin"/>
          </w:r>
          <w:r w:rsidR="00795FE6">
            <w:rPr>
              <w:noProof/>
              <w:sz w:val="22"/>
              <w:szCs w:val="22"/>
              <w:lang w:val="en-GB"/>
            </w:rPr>
            <w:instrText xml:space="preserve"> CITATION Kam15 \l 2057 </w:instrText>
          </w:r>
          <w:r w:rsidR="00795FE6">
            <w:rPr>
              <w:noProof/>
              <w:sz w:val="22"/>
              <w:szCs w:val="22"/>
              <w:lang w:val="en-GB"/>
            </w:rPr>
            <w:fldChar w:fldCharType="separate"/>
          </w:r>
          <w:r w:rsidR="002D6947" w:rsidRPr="002D6947">
            <w:rPr>
              <w:noProof/>
              <w:sz w:val="22"/>
              <w:szCs w:val="22"/>
              <w:lang w:val="en-GB"/>
            </w:rPr>
            <w:t>[32]</w:t>
          </w:r>
          <w:r w:rsidR="00795FE6">
            <w:rPr>
              <w:noProof/>
              <w:sz w:val="22"/>
              <w:szCs w:val="22"/>
              <w:lang w:val="en-GB"/>
            </w:rPr>
            <w:fldChar w:fldCharType="end"/>
          </w:r>
        </w:sdtContent>
      </w:sdt>
      <w:r w:rsidR="00795FE6">
        <w:rPr>
          <w:noProof/>
          <w:sz w:val="22"/>
          <w:szCs w:val="22"/>
          <w:lang w:val="en-GB"/>
        </w:rPr>
        <w:t xml:space="preserve"> </w:t>
      </w:r>
      <w:r w:rsidRPr="000016FB">
        <w:rPr>
          <w:noProof/>
          <w:sz w:val="22"/>
          <w:szCs w:val="22"/>
          <w:lang w:val="en-GB"/>
        </w:rPr>
        <w:t xml:space="preserve">show that acute metabolic modification, via glucose-deprivation over a </w:t>
      </w:r>
      <w:r w:rsidR="00031C22" w:rsidRPr="000016FB">
        <w:rPr>
          <w:noProof/>
          <w:sz w:val="22"/>
          <w:szCs w:val="22"/>
          <w:lang w:val="en-GB"/>
        </w:rPr>
        <w:t>4</w:t>
      </w:r>
      <w:r w:rsidR="00D753F2">
        <w:rPr>
          <w:noProof/>
          <w:sz w:val="22"/>
          <w:szCs w:val="22"/>
          <w:lang w:val="en-GB"/>
        </w:rPr>
        <w:t>-</w:t>
      </w:r>
      <w:r w:rsidR="00031C22">
        <w:rPr>
          <w:noProof/>
          <w:sz w:val="22"/>
          <w:szCs w:val="22"/>
          <w:lang w:val="en-GB"/>
        </w:rPr>
        <w:t>hour</w:t>
      </w:r>
      <w:r w:rsidR="00031C22" w:rsidRPr="000016FB">
        <w:rPr>
          <w:noProof/>
          <w:sz w:val="22"/>
          <w:szCs w:val="22"/>
          <w:lang w:val="en-GB"/>
        </w:rPr>
        <w:t xml:space="preserve"> </w:t>
      </w:r>
      <w:r w:rsidRPr="000016FB">
        <w:rPr>
          <w:noProof/>
          <w:sz w:val="22"/>
          <w:szCs w:val="22"/>
          <w:lang w:val="en-GB"/>
        </w:rPr>
        <w:t>period immediately prior to compound addition is sufficient to allow the identification of drugs which induce mitochondrial dysfunction. Th</w:t>
      </w:r>
      <w:r w:rsidR="00E00A85">
        <w:rPr>
          <w:noProof/>
          <w:sz w:val="22"/>
          <w:szCs w:val="22"/>
          <w:lang w:val="en-GB"/>
        </w:rPr>
        <w:t>is</w:t>
      </w:r>
      <w:r w:rsidRPr="000016FB">
        <w:rPr>
          <w:noProof/>
          <w:sz w:val="22"/>
          <w:szCs w:val="22"/>
          <w:lang w:val="en-GB"/>
        </w:rPr>
        <w:t xml:space="preserve"> </w:t>
      </w:r>
      <w:r w:rsidR="00E00A85" w:rsidRPr="008E6998">
        <w:rPr>
          <w:noProof/>
          <w:sz w:val="24"/>
          <w:szCs w:val="24"/>
          <w:lang w:val="en-GB"/>
        </w:rPr>
        <w:t>“</w:t>
      </w:r>
      <w:proofErr w:type="spellStart"/>
      <w:r w:rsidR="00EB46E9" w:rsidRPr="008E6998">
        <w:rPr>
          <w:sz w:val="24"/>
          <w:szCs w:val="24"/>
          <w:lang w:val="en-GB"/>
        </w:rPr>
        <w:t>glu</w:t>
      </w:r>
      <w:proofErr w:type="spellEnd"/>
      <w:r w:rsidR="00EB46E9" w:rsidRPr="008E6998">
        <w:rPr>
          <w:sz w:val="24"/>
          <w:szCs w:val="24"/>
          <w:lang w:val="en-GB"/>
        </w:rPr>
        <w:t>-gal</w:t>
      </w:r>
      <w:r w:rsidR="00E00A85" w:rsidRPr="008E6998">
        <w:rPr>
          <w:noProof/>
          <w:sz w:val="24"/>
          <w:szCs w:val="24"/>
          <w:lang w:val="en-GB"/>
        </w:rPr>
        <w:t>”</w:t>
      </w:r>
      <w:r w:rsidRPr="000016FB">
        <w:rPr>
          <w:noProof/>
          <w:sz w:val="22"/>
          <w:szCs w:val="22"/>
          <w:lang w:val="en-GB"/>
        </w:rPr>
        <w:t xml:space="preserve"> approach gives no detailed information on the mechanism of mitotoxicity and the correlation with </w:t>
      </w:r>
      <w:r w:rsidRPr="005A2C39">
        <w:rPr>
          <w:i/>
          <w:noProof/>
          <w:sz w:val="22"/>
          <w:szCs w:val="22"/>
          <w:lang w:val="en-GB"/>
        </w:rPr>
        <w:t>in vivo</w:t>
      </w:r>
      <w:r w:rsidRPr="000016FB">
        <w:rPr>
          <w:noProof/>
          <w:sz w:val="22"/>
          <w:szCs w:val="22"/>
          <w:lang w:val="en-GB"/>
        </w:rPr>
        <w:t xml:space="preserve"> </w:t>
      </w:r>
      <w:r w:rsidR="005E3BE2">
        <w:rPr>
          <w:noProof/>
          <w:sz w:val="22"/>
          <w:szCs w:val="22"/>
          <w:lang w:val="en-GB"/>
        </w:rPr>
        <w:t>effects</w:t>
      </w:r>
      <w:r w:rsidR="005E3BE2" w:rsidRPr="000016FB">
        <w:rPr>
          <w:noProof/>
          <w:sz w:val="22"/>
          <w:szCs w:val="22"/>
          <w:lang w:val="en-GB"/>
        </w:rPr>
        <w:t xml:space="preserve"> </w:t>
      </w:r>
      <w:r>
        <w:rPr>
          <w:noProof/>
          <w:sz w:val="22"/>
          <w:szCs w:val="22"/>
          <w:lang w:val="en-GB"/>
        </w:rPr>
        <w:t>remains to be firmly established</w:t>
      </w:r>
      <w:r w:rsidRPr="000016FB">
        <w:rPr>
          <w:noProof/>
          <w:sz w:val="22"/>
          <w:szCs w:val="22"/>
          <w:lang w:val="en-GB"/>
        </w:rPr>
        <w:t>.</w:t>
      </w:r>
      <w:r w:rsidR="005F2465" w:rsidRPr="000016FB">
        <w:rPr>
          <w:noProof/>
          <w:sz w:val="22"/>
          <w:szCs w:val="22"/>
          <w:lang w:val="en-GB"/>
        </w:rPr>
        <w:t xml:space="preserve"> </w:t>
      </w:r>
      <w:r w:rsidR="005F2465">
        <w:rPr>
          <w:noProof/>
          <w:sz w:val="22"/>
          <w:szCs w:val="22"/>
          <w:lang w:val="en-GB"/>
        </w:rPr>
        <w:t xml:space="preserve">Measurement of </w:t>
      </w:r>
      <w:r w:rsidR="00D753F2">
        <w:rPr>
          <w:noProof/>
          <w:sz w:val="22"/>
          <w:szCs w:val="22"/>
          <w:lang w:val="en-GB"/>
        </w:rPr>
        <w:t>OCR</w:t>
      </w:r>
      <w:r w:rsidR="005F2465">
        <w:rPr>
          <w:noProof/>
          <w:sz w:val="22"/>
          <w:szCs w:val="22"/>
          <w:lang w:val="en-GB"/>
        </w:rPr>
        <w:t xml:space="preserve"> and </w:t>
      </w:r>
      <w:r w:rsidR="00D753F2">
        <w:rPr>
          <w:noProof/>
          <w:sz w:val="22"/>
          <w:szCs w:val="22"/>
          <w:lang w:val="en-GB"/>
        </w:rPr>
        <w:t>ECR</w:t>
      </w:r>
      <w:r w:rsidR="005F2465">
        <w:rPr>
          <w:noProof/>
          <w:sz w:val="22"/>
          <w:szCs w:val="22"/>
          <w:lang w:val="en-GB"/>
        </w:rPr>
        <w:t xml:space="preserve"> combined with stress tests can give mechanistic information about mitochondrial toxicity with relatively high throughput </w:t>
      </w:r>
      <w:r w:rsidR="005F2465" w:rsidRPr="005F2465">
        <w:rPr>
          <w:noProof/>
          <w:sz w:val="22"/>
          <w:szCs w:val="22"/>
          <w:lang w:val="en-GB"/>
        </w:rPr>
        <w:t xml:space="preserve"> </w:t>
      </w:r>
      <w:sdt>
        <w:sdtPr>
          <w:rPr>
            <w:noProof/>
            <w:sz w:val="22"/>
            <w:szCs w:val="22"/>
            <w:lang w:val="en-GB"/>
          </w:rPr>
          <w:id w:val="-639958106"/>
          <w:citation/>
        </w:sdtPr>
        <w:sdtEndPr/>
        <w:sdtContent>
          <w:r w:rsidR="007A7FB5">
            <w:rPr>
              <w:noProof/>
              <w:sz w:val="22"/>
              <w:szCs w:val="22"/>
              <w:lang w:val="en-GB"/>
            </w:rPr>
            <w:fldChar w:fldCharType="begin"/>
          </w:r>
          <w:r w:rsidR="007A7FB5">
            <w:rPr>
              <w:noProof/>
              <w:sz w:val="22"/>
              <w:szCs w:val="22"/>
              <w:lang w:val="en-GB"/>
            </w:rPr>
            <w:instrText xml:space="preserve"> CITATION Nad12 \l 2057 </w:instrText>
          </w:r>
          <w:r w:rsidR="007A7FB5">
            <w:rPr>
              <w:noProof/>
              <w:sz w:val="22"/>
              <w:szCs w:val="22"/>
              <w:lang w:val="en-GB"/>
            </w:rPr>
            <w:fldChar w:fldCharType="separate"/>
          </w:r>
          <w:r w:rsidR="002D6947" w:rsidRPr="002D6947">
            <w:rPr>
              <w:noProof/>
              <w:sz w:val="22"/>
              <w:szCs w:val="22"/>
              <w:lang w:val="en-GB"/>
            </w:rPr>
            <w:t>[26]</w:t>
          </w:r>
          <w:r w:rsidR="007A7FB5">
            <w:rPr>
              <w:noProof/>
              <w:sz w:val="22"/>
              <w:szCs w:val="22"/>
              <w:lang w:val="en-GB"/>
            </w:rPr>
            <w:fldChar w:fldCharType="end"/>
          </w:r>
        </w:sdtContent>
      </w:sdt>
      <w:sdt>
        <w:sdtPr>
          <w:rPr>
            <w:noProof/>
            <w:sz w:val="22"/>
            <w:szCs w:val="22"/>
            <w:lang w:val="en-GB"/>
          </w:rPr>
          <w:id w:val="-1738546744"/>
          <w:citation/>
        </w:sdtPr>
        <w:sdtEndPr/>
        <w:sdtContent>
          <w:r w:rsidR="007A7FB5">
            <w:rPr>
              <w:noProof/>
              <w:sz w:val="22"/>
              <w:szCs w:val="22"/>
              <w:lang w:val="en-GB"/>
            </w:rPr>
            <w:fldChar w:fldCharType="begin"/>
          </w:r>
          <w:r w:rsidR="007A7FB5">
            <w:rPr>
              <w:noProof/>
              <w:sz w:val="22"/>
              <w:szCs w:val="22"/>
              <w:lang w:val="en-GB"/>
            </w:rPr>
            <w:instrText xml:space="preserve"> CITATION Eak16 \l 2057 </w:instrText>
          </w:r>
          <w:r w:rsidR="007A7FB5">
            <w:rPr>
              <w:noProof/>
              <w:sz w:val="22"/>
              <w:szCs w:val="22"/>
              <w:lang w:val="en-GB"/>
            </w:rPr>
            <w:fldChar w:fldCharType="separate"/>
          </w:r>
          <w:r w:rsidR="002D6947">
            <w:rPr>
              <w:noProof/>
              <w:sz w:val="22"/>
              <w:szCs w:val="22"/>
              <w:lang w:val="en-GB"/>
            </w:rPr>
            <w:t xml:space="preserve"> </w:t>
          </w:r>
          <w:r w:rsidR="002D6947" w:rsidRPr="002D6947">
            <w:rPr>
              <w:noProof/>
              <w:sz w:val="22"/>
              <w:szCs w:val="22"/>
              <w:lang w:val="en-GB"/>
            </w:rPr>
            <w:t>[35]</w:t>
          </w:r>
          <w:r w:rsidR="007A7FB5">
            <w:rPr>
              <w:noProof/>
              <w:sz w:val="22"/>
              <w:szCs w:val="22"/>
              <w:lang w:val="en-GB"/>
            </w:rPr>
            <w:fldChar w:fldCharType="end"/>
          </w:r>
        </w:sdtContent>
      </w:sdt>
      <w:r w:rsidR="005F2465">
        <w:rPr>
          <w:noProof/>
          <w:sz w:val="22"/>
          <w:szCs w:val="22"/>
          <w:lang w:val="en-GB"/>
        </w:rPr>
        <w:t xml:space="preserve">. </w:t>
      </w:r>
      <w:r w:rsidR="005F2465" w:rsidRPr="001D1B6E">
        <w:rPr>
          <w:noProof/>
          <w:sz w:val="22"/>
          <w:szCs w:val="22"/>
          <w:lang w:val="en-GB"/>
        </w:rPr>
        <w:t xml:space="preserve"> </w:t>
      </w:r>
      <w:r w:rsidR="002E6D54">
        <w:rPr>
          <w:noProof/>
          <w:sz w:val="22"/>
          <w:szCs w:val="22"/>
          <w:lang w:val="en-GB"/>
        </w:rPr>
        <w:t>I</w:t>
      </w:r>
      <w:r w:rsidR="005F2465" w:rsidRPr="001D1B6E">
        <w:rPr>
          <w:noProof/>
          <w:sz w:val="22"/>
          <w:szCs w:val="22"/>
          <w:lang w:val="en-GB"/>
        </w:rPr>
        <w:t xml:space="preserve">n </w:t>
      </w:r>
      <w:r w:rsidR="005F2465">
        <w:rPr>
          <w:noProof/>
          <w:sz w:val="22"/>
          <w:szCs w:val="22"/>
          <w:lang w:val="en-GB"/>
        </w:rPr>
        <w:t xml:space="preserve">a </w:t>
      </w:r>
      <w:r w:rsidR="005F2465" w:rsidRPr="001D1B6E">
        <w:rPr>
          <w:noProof/>
          <w:sz w:val="22"/>
          <w:szCs w:val="22"/>
          <w:lang w:val="en-GB"/>
        </w:rPr>
        <w:t>typical assay</w:t>
      </w:r>
      <w:r w:rsidR="005F2465">
        <w:rPr>
          <w:noProof/>
          <w:sz w:val="22"/>
          <w:szCs w:val="22"/>
          <w:lang w:val="en-GB"/>
        </w:rPr>
        <w:t xml:space="preserve"> set-up, effects</w:t>
      </w:r>
      <w:r w:rsidR="005F2465" w:rsidRPr="001D1B6E">
        <w:rPr>
          <w:noProof/>
          <w:sz w:val="22"/>
          <w:szCs w:val="22"/>
          <w:lang w:val="en-GB"/>
        </w:rPr>
        <w:t xml:space="preserve"> are measured directly af</w:t>
      </w:r>
      <w:r w:rsidR="005F2465">
        <w:rPr>
          <w:noProof/>
          <w:sz w:val="22"/>
          <w:szCs w:val="22"/>
          <w:lang w:val="en-GB"/>
        </w:rPr>
        <w:t xml:space="preserve">ter addition of the compound </w:t>
      </w:r>
      <w:r w:rsidR="00147520">
        <w:rPr>
          <w:noProof/>
          <w:sz w:val="22"/>
          <w:szCs w:val="22"/>
          <w:lang w:val="en-GB"/>
        </w:rPr>
        <w:t>to isolated mitochondria</w:t>
      </w:r>
      <w:r w:rsidR="000341AB">
        <w:rPr>
          <w:noProof/>
          <w:sz w:val="22"/>
          <w:szCs w:val="22"/>
          <w:lang w:val="en-GB"/>
        </w:rPr>
        <w:t xml:space="preserve"> </w:t>
      </w:r>
      <w:r w:rsidR="00147520">
        <w:rPr>
          <w:noProof/>
          <w:sz w:val="22"/>
          <w:szCs w:val="22"/>
          <w:lang w:val="en-GB"/>
        </w:rPr>
        <w:t xml:space="preserve">or </w:t>
      </w:r>
      <w:r w:rsidR="005F2465">
        <w:rPr>
          <w:noProof/>
          <w:sz w:val="22"/>
          <w:szCs w:val="22"/>
          <w:lang w:val="en-GB"/>
        </w:rPr>
        <w:t xml:space="preserve">HepG2 cells. </w:t>
      </w:r>
      <w:r w:rsidR="002E6D54">
        <w:rPr>
          <w:noProof/>
          <w:sz w:val="22"/>
          <w:szCs w:val="22"/>
          <w:lang w:val="en-GB"/>
        </w:rPr>
        <w:t>Both models nevertheless</w:t>
      </w:r>
      <w:r w:rsidR="00E46A2C">
        <w:rPr>
          <w:noProof/>
          <w:sz w:val="22"/>
          <w:szCs w:val="22"/>
          <w:lang w:val="en-GB"/>
        </w:rPr>
        <w:t xml:space="preserve"> </w:t>
      </w:r>
      <w:r w:rsidR="000341AB">
        <w:rPr>
          <w:noProof/>
          <w:sz w:val="22"/>
          <w:szCs w:val="22"/>
          <w:lang w:val="en-GB"/>
        </w:rPr>
        <w:t xml:space="preserve">have inherent </w:t>
      </w:r>
      <w:r w:rsidR="00B904BB">
        <w:rPr>
          <w:noProof/>
          <w:sz w:val="22"/>
          <w:szCs w:val="22"/>
          <w:lang w:val="en-GB"/>
        </w:rPr>
        <w:t xml:space="preserve">merits and </w:t>
      </w:r>
      <w:r w:rsidR="000341AB">
        <w:rPr>
          <w:noProof/>
          <w:sz w:val="22"/>
          <w:szCs w:val="22"/>
          <w:lang w:val="en-GB"/>
        </w:rPr>
        <w:t xml:space="preserve">limitations. </w:t>
      </w:r>
      <w:r w:rsidR="000341AB">
        <w:rPr>
          <w:noProof/>
          <w:sz w:val="22"/>
          <w:szCs w:val="22"/>
          <w:lang w:val="en-US"/>
        </w:rPr>
        <w:t>U</w:t>
      </w:r>
      <w:r w:rsidR="000341AB" w:rsidRPr="000016FB">
        <w:rPr>
          <w:noProof/>
          <w:sz w:val="22"/>
          <w:szCs w:val="22"/>
          <w:lang w:val="en-US"/>
        </w:rPr>
        <w:t xml:space="preserve">se of isolated mitochondria </w:t>
      </w:r>
      <w:r w:rsidR="000341AB">
        <w:rPr>
          <w:noProof/>
          <w:sz w:val="22"/>
          <w:szCs w:val="22"/>
          <w:lang w:val="en-US"/>
        </w:rPr>
        <w:t xml:space="preserve">may give mechanistic insight for </w:t>
      </w:r>
      <w:r w:rsidR="00B904BB">
        <w:rPr>
          <w:noProof/>
          <w:sz w:val="22"/>
          <w:szCs w:val="22"/>
          <w:lang w:val="en-US"/>
        </w:rPr>
        <w:t>the study of direct drug effect</w:t>
      </w:r>
      <w:r w:rsidR="000341AB">
        <w:rPr>
          <w:noProof/>
          <w:sz w:val="22"/>
          <w:szCs w:val="22"/>
          <w:lang w:val="en-US"/>
        </w:rPr>
        <w:t xml:space="preserve"> on the mitochondri</w:t>
      </w:r>
      <w:r w:rsidR="00D753F2">
        <w:rPr>
          <w:noProof/>
          <w:sz w:val="22"/>
          <w:szCs w:val="22"/>
          <w:lang w:val="en-US"/>
        </w:rPr>
        <w:t>o</w:t>
      </w:r>
      <w:r w:rsidR="000341AB">
        <w:rPr>
          <w:noProof/>
          <w:sz w:val="22"/>
          <w:szCs w:val="22"/>
          <w:lang w:val="en-US"/>
        </w:rPr>
        <w:t>n</w:t>
      </w:r>
      <w:r w:rsidR="005A6322">
        <w:rPr>
          <w:noProof/>
          <w:sz w:val="22"/>
          <w:szCs w:val="22"/>
          <w:lang w:val="en-US"/>
        </w:rPr>
        <w:t>,</w:t>
      </w:r>
      <w:r w:rsidR="000341AB">
        <w:rPr>
          <w:noProof/>
          <w:sz w:val="22"/>
          <w:szCs w:val="22"/>
          <w:lang w:val="en-US"/>
        </w:rPr>
        <w:t xml:space="preserve"> but do not ac</w:t>
      </w:r>
      <w:r w:rsidR="00443EDA">
        <w:rPr>
          <w:noProof/>
          <w:sz w:val="22"/>
          <w:szCs w:val="22"/>
          <w:lang w:val="en-US"/>
        </w:rPr>
        <w:t>c</w:t>
      </w:r>
      <w:r w:rsidR="000341AB">
        <w:rPr>
          <w:noProof/>
          <w:sz w:val="22"/>
          <w:szCs w:val="22"/>
          <w:lang w:val="en-US"/>
        </w:rPr>
        <w:t xml:space="preserve">ount for drug </w:t>
      </w:r>
      <w:r w:rsidR="00532583">
        <w:rPr>
          <w:noProof/>
          <w:sz w:val="22"/>
          <w:szCs w:val="22"/>
          <w:lang w:val="en-US"/>
        </w:rPr>
        <w:t xml:space="preserve">hepatocellular </w:t>
      </w:r>
      <w:r w:rsidR="00532583" w:rsidRPr="000016FB">
        <w:rPr>
          <w:noProof/>
          <w:sz w:val="22"/>
          <w:szCs w:val="22"/>
          <w:lang w:val="en-US"/>
        </w:rPr>
        <w:t>uptake, distribution and elimination</w:t>
      </w:r>
      <w:r w:rsidR="00532583">
        <w:rPr>
          <w:noProof/>
          <w:sz w:val="22"/>
          <w:szCs w:val="22"/>
          <w:lang w:val="en-US"/>
        </w:rPr>
        <w:t xml:space="preserve"> </w:t>
      </w:r>
      <w:r w:rsidR="00170803">
        <w:rPr>
          <w:noProof/>
          <w:sz w:val="22"/>
          <w:szCs w:val="22"/>
          <w:lang w:val="en-US"/>
        </w:rPr>
        <w:t>that can</w:t>
      </w:r>
      <w:r w:rsidR="000E223B">
        <w:rPr>
          <w:noProof/>
          <w:sz w:val="22"/>
          <w:szCs w:val="22"/>
          <w:lang w:val="en-US"/>
        </w:rPr>
        <w:t xml:space="preserve"> </w:t>
      </w:r>
      <w:r w:rsidR="00ED43FB">
        <w:rPr>
          <w:noProof/>
          <w:sz w:val="22"/>
          <w:szCs w:val="22"/>
          <w:lang w:val="en-US"/>
        </w:rPr>
        <w:t>contribute</w:t>
      </w:r>
      <w:r w:rsidR="000341AB">
        <w:rPr>
          <w:noProof/>
          <w:sz w:val="22"/>
          <w:szCs w:val="22"/>
          <w:lang w:val="en-US"/>
        </w:rPr>
        <w:t xml:space="preserve"> to</w:t>
      </w:r>
      <w:r w:rsidR="00ED43FB">
        <w:rPr>
          <w:noProof/>
          <w:sz w:val="22"/>
          <w:szCs w:val="22"/>
          <w:lang w:val="en-US"/>
        </w:rPr>
        <w:t xml:space="preserve"> the amount of</w:t>
      </w:r>
      <w:r w:rsidR="000341AB">
        <w:rPr>
          <w:noProof/>
          <w:sz w:val="22"/>
          <w:szCs w:val="22"/>
          <w:lang w:val="en-US"/>
        </w:rPr>
        <w:t xml:space="preserve"> </w:t>
      </w:r>
      <w:r w:rsidR="00ED43FB">
        <w:rPr>
          <w:noProof/>
          <w:sz w:val="22"/>
          <w:szCs w:val="22"/>
          <w:lang w:val="en-US"/>
        </w:rPr>
        <w:t xml:space="preserve">drug </w:t>
      </w:r>
      <w:r w:rsidR="000341AB">
        <w:rPr>
          <w:noProof/>
          <w:sz w:val="22"/>
          <w:szCs w:val="22"/>
          <w:lang w:val="en-US"/>
        </w:rPr>
        <w:t>reaching the mitochondri</w:t>
      </w:r>
      <w:r w:rsidR="00D753F2">
        <w:rPr>
          <w:noProof/>
          <w:sz w:val="22"/>
          <w:szCs w:val="22"/>
          <w:lang w:val="en-US"/>
        </w:rPr>
        <w:t>o</w:t>
      </w:r>
      <w:r w:rsidR="000341AB">
        <w:rPr>
          <w:noProof/>
          <w:sz w:val="22"/>
          <w:szCs w:val="22"/>
          <w:lang w:val="en-US"/>
        </w:rPr>
        <w:t>n</w:t>
      </w:r>
      <w:r w:rsidR="00106086">
        <w:rPr>
          <w:noProof/>
          <w:sz w:val="22"/>
          <w:szCs w:val="22"/>
          <w:lang w:val="en-US"/>
        </w:rPr>
        <w:t xml:space="preserve">. </w:t>
      </w:r>
      <w:r w:rsidR="00532583" w:rsidRPr="000016FB">
        <w:rPr>
          <w:noProof/>
          <w:sz w:val="22"/>
          <w:szCs w:val="22"/>
          <w:lang w:val="en-GB"/>
        </w:rPr>
        <w:t>HepG2</w:t>
      </w:r>
      <w:r w:rsidR="00532583">
        <w:rPr>
          <w:noProof/>
          <w:sz w:val="22"/>
          <w:szCs w:val="22"/>
          <w:lang w:val="en-GB"/>
        </w:rPr>
        <w:t xml:space="preserve"> cells are</w:t>
      </w:r>
      <w:r w:rsidR="00532583" w:rsidRPr="000016FB">
        <w:rPr>
          <w:noProof/>
          <w:sz w:val="22"/>
          <w:szCs w:val="22"/>
          <w:lang w:val="en-GB"/>
        </w:rPr>
        <w:t xml:space="preserve"> largely devoid of </w:t>
      </w:r>
      <w:r w:rsidR="00ED43FB">
        <w:rPr>
          <w:noProof/>
          <w:sz w:val="22"/>
          <w:szCs w:val="22"/>
          <w:lang w:val="en-GB"/>
        </w:rPr>
        <w:t>drug-metabol</w:t>
      </w:r>
      <w:r w:rsidR="009E31A8">
        <w:rPr>
          <w:noProof/>
          <w:sz w:val="22"/>
          <w:szCs w:val="22"/>
          <w:lang w:val="en-GB"/>
        </w:rPr>
        <w:t>i</w:t>
      </w:r>
      <w:r w:rsidR="00ED43FB">
        <w:rPr>
          <w:noProof/>
          <w:sz w:val="22"/>
          <w:szCs w:val="22"/>
          <w:lang w:val="en-GB"/>
        </w:rPr>
        <w:t>sing enzymes</w:t>
      </w:r>
      <w:r w:rsidR="00532583" w:rsidRPr="000016FB">
        <w:rPr>
          <w:noProof/>
          <w:sz w:val="22"/>
          <w:szCs w:val="22"/>
          <w:lang w:val="en-GB"/>
        </w:rPr>
        <w:t xml:space="preserve"> </w:t>
      </w:r>
      <w:r w:rsidR="00B904BB">
        <w:rPr>
          <w:noProof/>
          <w:sz w:val="22"/>
          <w:szCs w:val="22"/>
          <w:lang w:val="en-GB"/>
        </w:rPr>
        <w:t>to</w:t>
      </w:r>
      <w:r w:rsidR="00ED43FB">
        <w:rPr>
          <w:noProof/>
          <w:sz w:val="22"/>
          <w:szCs w:val="22"/>
          <w:lang w:val="en-GB"/>
        </w:rPr>
        <w:t xml:space="preserve"> assess the effect of both parent drug and metabolites</w:t>
      </w:r>
      <w:r w:rsidR="00532583" w:rsidRPr="000016FB">
        <w:rPr>
          <w:noProof/>
          <w:sz w:val="22"/>
          <w:szCs w:val="22"/>
          <w:lang w:val="en-GB"/>
        </w:rPr>
        <w:t xml:space="preserve">, </w:t>
      </w:r>
      <w:r w:rsidR="00532583">
        <w:rPr>
          <w:noProof/>
          <w:sz w:val="22"/>
          <w:szCs w:val="22"/>
          <w:lang w:val="en-GB"/>
        </w:rPr>
        <w:t xml:space="preserve">but have thus far </w:t>
      </w:r>
      <w:r w:rsidR="00532583" w:rsidRPr="000016FB">
        <w:rPr>
          <w:noProof/>
          <w:sz w:val="22"/>
          <w:szCs w:val="22"/>
          <w:lang w:val="en-GB"/>
        </w:rPr>
        <w:t>remain</w:t>
      </w:r>
      <w:r w:rsidR="00532583">
        <w:rPr>
          <w:noProof/>
          <w:sz w:val="22"/>
          <w:szCs w:val="22"/>
          <w:lang w:val="en-GB"/>
        </w:rPr>
        <w:t>ed</w:t>
      </w:r>
      <w:r w:rsidR="00532583" w:rsidRPr="000016FB">
        <w:rPr>
          <w:noProof/>
          <w:sz w:val="22"/>
          <w:szCs w:val="22"/>
          <w:lang w:val="en-GB"/>
        </w:rPr>
        <w:t xml:space="preserve"> the model of choice</w:t>
      </w:r>
      <w:r w:rsidR="00532583">
        <w:rPr>
          <w:noProof/>
          <w:sz w:val="22"/>
          <w:szCs w:val="22"/>
          <w:lang w:val="en-GB"/>
        </w:rPr>
        <w:t xml:space="preserve"> for mitochondrial toxicity testing</w:t>
      </w:r>
      <w:r w:rsidR="00ED43FB">
        <w:rPr>
          <w:noProof/>
          <w:sz w:val="22"/>
          <w:szCs w:val="22"/>
          <w:lang w:val="en-GB"/>
        </w:rPr>
        <w:t xml:space="preserve"> </w:t>
      </w:r>
      <w:r w:rsidR="009E31A8">
        <w:rPr>
          <w:noProof/>
          <w:sz w:val="22"/>
          <w:szCs w:val="22"/>
          <w:lang w:val="en-GB"/>
        </w:rPr>
        <w:t>to achieve</w:t>
      </w:r>
      <w:r w:rsidR="00ED43FB">
        <w:rPr>
          <w:noProof/>
          <w:sz w:val="22"/>
          <w:szCs w:val="22"/>
          <w:lang w:val="en-GB"/>
        </w:rPr>
        <w:t xml:space="preserve"> reproducible </w:t>
      </w:r>
      <w:r w:rsidR="009E31A8">
        <w:rPr>
          <w:noProof/>
          <w:sz w:val="22"/>
          <w:szCs w:val="22"/>
          <w:lang w:val="en-GB"/>
        </w:rPr>
        <w:t>readouts</w:t>
      </w:r>
      <w:r w:rsidR="008F13D6">
        <w:rPr>
          <w:noProof/>
          <w:sz w:val="22"/>
          <w:szCs w:val="22"/>
          <w:lang w:val="en-GB"/>
        </w:rPr>
        <w:t xml:space="preserve"> (</w:t>
      </w:r>
      <w:r w:rsidR="008F13D6" w:rsidRPr="000E223B">
        <w:rPr>
          <w:i/>
          <w:noProof/>
          <w:sz w:val="22"/>
          <w:szCs w:val="22"/>
          <w:lang w:val="en-GB"/>
        </w:rPr>
        <w:t>section 2</w:t>
      </w:r>
      <w:r w:rsidR="008F13D6">
        <w:rPr>
          <w:noProof/>
          <w:sz w:val="22"/>
          <w:szCs w:val="22"/>
          <w:lang w:val="en-GB"/>
        </w:rPr>
        <w:t>)</w:t>
      </w:r>
      <w:r w:rsidR="00532583" w:rsidRPr="000016FB">
        <w:rPr>
          <w:noProof/>
          <w:sz w:val="22"/>
          <w:szCs w:val="22"/>
          <w:lang w:val="en-GB"/>
        </w:rPr>
        <w:t xml:space="preserve">. </w:t>
      </w:r>
      <w:r w:rsidR="009E31A8">
        <w:rPr>
          <w:noProof/>
          <w:sz w:val="22"/>
          <w:szCs w:val="22"/>
          <w:lang w:val="en-GB"/>
        </w:rPr>
        <w:t xml:space="preserve">Given the above, there is </w:t>
      </w:r>
      <w:r w:rsidR="008F13D6">
        <w:rPr>
          <w:noProof/>
          <w:sz w:val="22"/>
          <w:szCs w:val="22"/>
          <w:lang w:val="en-GB"/>
        </w:rPr>
        <w:t>a need to</w:t>
      </w:r>
      <w:r w:rsidR="00D753F2">
        <w:rPr>
          <w:noProof/>
          <w:sz w:val="22"/>
          <w:szCs w:val="22"/>
          <w:lang w:val="en-GB"/>
        </w:rPr>
        <w:t>:</w:t>
      </w:r>
      <w:r w:rsidR="008F13D6">
        <w:rPr>
          <w:noProof/>
          <w:sz w:val="22"/>
          <w:szCs w:val="22"/>
          <w:lang w:val="en-GB"/>
        </w:rPr>
        <w:t xml:space="preserve"> </w:t>
      </w:r>
      <w:r w:rsidR="009E31A8">
        <w:rPr>
          <w:noProof/>
          <w:sz w:val="22"/>
          <w:szCs w:val="22"/>
          <w:lang w:val="en-GB"/>
        </w:rPr>
        <w:t>(1) develop robust models for the assessment of</w:t>
      </w:r>
      <w:r w:rsidR="00532583" w:rsidRPr="000016FB">
        <w:rPr>
          <w:noProof/>
          <w:sz w:val="22"/>
          <w:szCs w:val="22"/>
          <w:lang w:val="en-GB"/>
        </w:rPr>
        <w:t xml:space="preserve"> mitochondrial toxicity </w:t>
      </w:r>
      <w:r w:rsidR="009E31A8">
        <w:rPr>
          <w:noProof/>
          <w:sz w:val="22"/>
          <w:szCs w:val="22"/>
          <w:lang w:val="en-GB"/>
        </w:rPr>
        <w:t xml:space="preserve">of both </w:t>
      </w:r>
      <w:r w:rsidR="00532583" w:rsidRPr="000016FB">
        <w:rPr>
          <w:noProof/>
          <w:sz w:val="22"/>
          <w:szCs w:val="22"/>
          <w:lang w:val="en-GB"/>
        </w:rPr>
        <w:t xml:space="preserve">parent </w:t>
      </w:r>
      <w:r w:rsidR="009E31A8">
        <w:rPr>
          <w:noProof/>
          <w:sz w:val="22"/>
          <w:szCs w:val="22"/>
          <w:lang w:val="en-GB"/>
        </w:rPr>
        <w:t xml:space="preserve">drug </w:t>
      </w:r>
      <w:r w:rsidR="00532583">
        <w:rPr>
          <w:noProof/>
          <w:sz w:val="22"/>
          <w:szCs w:val="22"/>
          <w:lang w:val="en-GB"/>
        </w:rPr>
        <w:t>and metabolites</w:t>
      </w:r>
      <w:r w:rsidR="008E6998">
        <w:rPr>
          <w:noProof/>
          <w:sz w:val="22"/>
          <w:szCs w:val="22"/>
          <w:lang w:val="en-GB"/>
        </w:rPr>
        <w:t>,</w:t>
      </w:r>
      <w:r w:rsidR="00D753F2">
        <w:rPr>
          <w:noProof/>
          <w:sz w:val="22"/>
          <w:szCs w:val="22"/>
          <w:lang w:val="en-GB"/>
        </w:rPr>
        <w:t xml:space="preserve"> </w:t>
      </w:r>
      <w:r w:rsidR="00532583">
        <w:rPr>
          <w:noProof/>
          <w:sz w:val="22"/>
          <w:szCs w:val="22"/>
          <w:lang w:val="en-GB"/>
        </w:rPr>
        <w:t xml:space="preserve"> </w:t>
      </w:r>
      <w:r w:rsidR="00BB2756">
        <w:rPr>
          <w:noProof/>
          <w:sz w:val="22"/>
          <w:szCs w:val="22"/>
          <w:lang w:val="en-GB"/>
        </w:rPr>
        <w:t>(2) define an integrated work flow of short-term (hours) testing for screening</w:t>
      </w:r>
      <w:r w:rsidR="005A472B">
        <w:rPr>
          <w:noProof/>
          <w:sz w:val="22"/>
          <w:szCs w:val="22"/>
          <w:lang w:val="en-GB"/>
        </w:rPr>
        <w:t xml:space="preserve"> and </w:t>
      </w:r>
      <w:r w:rsidR="00BB2756">
        <w:rPr>
          <w:noProof/>
          <w:sz w:val="22"/>
          <w:szCs w:val="22"/>
          <w:lang w:val="en-GB"/>
        </w:rPr>
        <w:t>long-term tests  (days</w:t>
      </w:r>
      <w:r w:rsidR="005A472B">
        <w:rPr>
          <w:noProof/>
          <w:sz w:val="22"/>
          <w:szCs w:val="22"/>
          <w:lang w:val="en-GB"/>
        </w:rPr>
        <w:t>) for</w:t>
      </w:r>
      <w:r w:rsidR="00BB2756">
        <w:rPr>
          <w:noProof/>
          <w:sz w:val="22"/>
          <w:szCs w:val="22"/>
          <w:lang w:val="en-GB"/>
        </w:rPr>
        <w:t xml:space="preserve"> </w:t>
      </w:r>
      <w:r w:rsidR="005A472B">
        <w:rPr>
          <w:noProof/>
          <w:sz w:val="22"/>
          <w:szCs w:val="22"/>
          <w:lang w:val="en-GB"/>
        </w:rPr>
        <w:t>parent and metabolite</w:t>
      </w:r>
      <w:r w:rsidR="000E223B">
        <w:rPr>
          <w:noProof/>
          <w:sz w:val="22"/>
          <w:szCs w:val="22"/>
          <w:lang w:val="en-GB"/>
        </w:rPr>
        <w:t>,</w:t>
      </w:r>
      <w:r w:rsidR="005A472B">
        <w:rPr>
          <w:noProof/>
          <w:sz w:val="22"/>
          <w:szCs w:val="22"/>
          <w:lang w:val="en-GB"/>
        </w:rPr>
        <w:t xml:space="preserve"> </w:t>
      </w:r>
      <w:r w:rsidR="00BF5780">
        <w:rPr>
          <w:noProof/>
          <w:sz w:val="22"/>
          <w:szCs w:val="22"/>
          <w:lang w:val="en-GB"/>
        </w:rPr>
        <w:t>(3) identify mechan</w:t>
      </w:r>
      <w:r w:rsidR="00484665">
        <w:rPr>
          <w:noProof/>
          <w:sz w:val="22"/>
          <w:szCs w:val="22"/>
          <w:lang w:val="en-GB"/>
        </w:rPr>
        <w:t>is</w:t>
      </w:r>
      <w:r w:rsidR="00BF5780">
        <w:rPr>
          <w:noProof/>
          <w:sz w:val="22"/>
          <w:szCs w:val="22"/>
          <w:lang w:val="en-GB"/>
        </w:rPr>
        <w:t xml:space="preserve">ms requiring longer treatment periods (e.g. </w:t>
      </w:r>
      <w:r w:rsidR="00307B04">
        <w:rPr>
          <w:noProof/>
          <w:sz w:val="22"/>
          <w:szCs w:val="22"/>
          <w:lang w:val="en-GB"/>
        </w:rPr>
        <w:t xml:space="preserve">mtDNA damage), </w:t>
      </w:r>
      <w:r w:rsidR="00BB2756">
        <w:rPr>
          <w:noProof/>
          <w:sz w:val="22"/>
          <w:szCs w:val="22"/>
          <w:lang w:val="en-GB"/>
        </w:rPr>
        <w:t xml:space="preserve">and </w:t>
      </w:r>
      <w:r w:rsidR="00D753F2">
        <w:rPr>
          <w:noProof/>
          <w:sz w:val="22"/>
          <w:szCs w:val="22"/>
          <w:lang w:val="en-GB"/>
        </w:rPr>
        <w:t>(</w:t>
      </w:r>
      <w:r w:rsidR="00307B04">
        <w:rPr>
          <w:noProof/>
          <w:sz w:val="22"/>
          <w:szCs w:val="22"/>
          <w:lang w:val="en-GB"/>
        </w:rPr>
        <w:t>4</w:t>
      </w:r>
      <w:r w:rsidR="00D753F2">
        <w:rPr>
          <w:noProof/>
          <w:sz w:val="22"/>
          <w:szCs w:val="22"/>
          <w:lang w:val="en-GB"/>
        </w:rPr>
        <w:t xml:space="preserve">) have access to </w:t>
      </w:r>
      <w:r w:rsidR="008F13D6">
        <w:rPr>
          <w:noProof/>
          <w:sz w:val="22"/>
          <w:szCs w:val="22"/>
          <w:lang w:val="en-GB"/>
        </w:rPr>
        <w:t>assays</w:t>
      </w:r>
      <w:r w:rsidR="00BB2756">
        <w:rPr>
          <w:noProof/>
          <w:sz w:val="22"/>
          <w:szCs w:val="22"/>
          <w:lang w:val="en-GB"/>
        </w:rPr>
        <w:t xml:space="preserve"> </w:t>
      </w:r>
      <w:r w:rsidR="000E223B">
        <w:rPr>
          <w:noProof/>
          <w:sz w:val="22"/>
          <w:szCs w:val="22"/>
          <w:lang w:val="en-GB"/>
        </w:rPr>
        <w:t>for</w:t>
      </w:r>
      <w:r w:rsidR="00BB2756">
        <w:rPr>
          <w:noProof/>
          <w:sz w:val="22"/>
          <w:szCs w:val="22"/>
          <w:lang w:val="en-GB"/>
        </w:rPr>
        <w:t xml:space="preserve"> mechanistic insight to screenout </w:t>
      </w:r>
      <w:r w:rsidR="000E223B">
        <w:rPr>
          <w:noProof/>
          <w:sz w:val="22"/>
          <w:szCs w:val="22"/>
          <w:lang w:val="en-GB"/>
        </w:rPr>
        <w:t>chemical safety</w:t>
      </w:r>
      <w:r w:rsidR="00BB2756">
        <w:rPr>
          <w:noProof/>
          <w:sz w:val="22"/>
          <w:szCs w:val="22"/>
          <w:lang w:val="en-GB"/>
        </w:rPr>
        <w:t xml:space="preserve"> liabilities</w:t>
      </w:r>
      <w:r w:rsidR="000E223B">
        <w:rPr>
          <w:noProof/>
          <w:sz w:val="22"/>
          <w:szCs w:val="22"/>
          <w:lang w:val="en-GB"/>
        </w:rPr>
        <w:t xml:space="preserve"> </w:t>
      </w:r>
      <w:r w:rsidR="008F13D6">
        <w:rPr>
          <w:noProof/>
          <w:sz w:val="22"/>
          <w:szCs w:val="22"/>
          <w:lang w:val="en-GB"/>
        </w:rPr>
        <w:t xml:space="preserve">associated with specific mitochondrial targets </w:t>
      </w:r>
      <w:r w:rsidR="000E223B">
        <w:rPr>
          <w:noProof/>
          <w:sz w:val="22"/>
          <w:szCs w:val="22"/>
          <w:lang w:val="en-GB"/>
        </w:rPr>
        <w:t>within project series</w:t>
      </w:r>
      <w:r w:rsidR="005A472B">
        <w:rPr>
          <w:noProof/>
          <w:sz w:val="22"/>
          <w:szCs w:val="22"/>
          <w:lang w:val="en-GB"/>
        </w:rPr>
        <w:t>.</w:t>
      </w:r>
      <w:r w:rsidR="00532583">
        <w:rPr>
          <w:noProof/>
          <w:sz w:val="22"/>
          <w:szCs w:val="22"/>
          <w:lang w:val="en-GB"/>
        </w:rPr>
        <w:t xml:space="preserve"> </w:t>
      </w:r>
    </w:p>
    <w:p w14:paraId="5F786BDD" w14:textId="77777777" w:rsidR="00443EDA" w:rsidRDefault="00443EDA" w:rsidP="006730B6">
      <w:pPr>
        <w:spacing w:line="480" w:lineRule="auto"/>
        <w:jc w:val="both"/>
        <w:rPr>
          <w:sz w:val="22"/>
          <w:szCs w:val="22"/>
          <w:lang w:val="en-US"/>
        </w:rPr>
      </w:pPr>
    </w:p>
    <w:p w14:paraId="29CEF745" w14:textId="670B9E7A" w:rsidR="00DC24D0" w:rsidRPr="000016FB" w:rsidRDefault="00713F3E" w:rsidP="006730B6">
      <w:pPr>
        <w:spacing w:line="480" w:lineRule="auto"/>
        <w:jc w:val="both"/>
        <w:rPr>
          <w:sz w:val="22"/>
          <w:szCs w:val="22"/>
          <w:lang w:val="en-US"/>
        </w:rPr>
      </w:pPr>
      <w:r>
        <w:rPr>
          <w:sz w:val="22"/>
          <w:szCs w:val="22"/>
          <w:lang w:val="en-US"/>
        </w:rPr>
        <w:t>The use of</w:t>
      </w:r>
      <w:r w:rsidR="00DC24D0" w:rsidRPr="000016FB">
        <w:rPr>
          <w:sz w:val="22"/>
          <w:szCs w:val="22"/>
          <w:lang w:val="en-US"/>
        </w:rPr>
        <w:t xml:space="preserve"> 2D cell </w:t>
      </w:r>
      <w:r w:rsidRPr="000016FB">
        <w:rPr>
          <w:sz w:val="22"/>
          <w:szCs w:val="22"/>
          <w:lang w:val="en-US"/>
        </w:rPr>
        <w:t>culture</w:t>
      </w:r>
      <w:r>
        <w:rPr>
          <w:sz w:val="22"/>
          <w:szCs w:val="22"/>
          <w:lang w:val="en-US"/>
        </w:rPr>
        <w:t xml:space="preserve"> models</w:t>
      </w:r>
      <w:r w:rsidRPr="000016FB">
        <w:rPr>
          <w:sz w:val="22"/>
          <w:szCs w:val="22"/>
          <w:lang w:val="en-US"/>
        </w:rPr>
        <w:t xml:space="preserve"> </w:t>
      </w:r>
      <w:r>
        <w:rPr>
          <w:sz w:val="22"/>
          <w:szCs w:val="22"/>
          <w:lang w:val="en-US"/>
        </w:rPr>
        <w:t xml:space="preserve">and heterologous transporter expression as vesicles or cell-based assays </w:t>
      </w:r>
      <w:r w:rsidR="00DC24D0" w:rsidRPr="000016FB">
        <w:rPr>
          <w:sz w:val="22"/>
          <w:szCs w:val="22"/>
          <w:lang w:val="en-US"/>
        </w:rPr>
        <w:t xml:space="preserve">permit the study of </w:t>
      </w:r>
      <w:r w:rsidR="000E24D9">
        <w:rPr>
          <w:sz w:val="22"/>
          <w:szCs w:val="22"/>
          <w:lang w:val="en-US"/>
        </w:rPr>
        <w:t xml:space="preserve">drug </w:t>
      </w:r>
      <w:r>
        <w:rPr>
          <w:sz w:val="22"/>
          <w:szCs w:val="22"/>
          <w:lang w:val="en-US"/>
        </w:rPr>
        <w:t xml:space="preserve">effect on </w:t>
      </w:r>
      <w:r w:rsidRPr="000016FB">
        <w:rPr>
          <w:sz w:val="22"/>
          <w:szCs w:val="22"/>
          <w:lang w:val="en-US"/>
        </w:rPr>
        <w:t>transport</w:t>
      </w:r>
      <w:r>
        <w:rPr>
          <w:sz w:val="22"/>
          <w:szCs w:val="22"/>
          <w:lang w:val="en-US"/>
        </w:rPr>
        <w:t xml:space="preserve">er function by use of </w:t>
      </w:r>
      <w:r w:rsidR="00DC24D0" w:rsidRPr="000016FB">
        <w:rPr>
          <w:sz w:val="22"/>
          <w:szCs w:val="22"/>
          <w:lang w:val="en-US"/>
        </w:rPr>
        <w:t>PHH</w:t>
      </w:r>
      <w:r>
        <w:rPr>
          <w:sz w:val="22"/>
          <w:szCs w:val="22"/>
          <w:lang w:val="en-US"/>
        </w:rPr>
        <w:t>,</w:t>
      </w:r>
      <w:r w:rsidR="00DC24D0" w:rsidRPr="000016FB">
        <w:rPr>
          <w:sz w:val="22"/>
          <w:szCs w:val="22"/>
          <w:lang w:val="en-US"/>
        </w:rPr>
        <w:t xml:space="preserve"> or cell</w:t>
      </w:r>
      <w:r w:rsidR="0026344C">
        <w:rPr>
          <w:sz w:val="22"/>
          <w:szCs w:val="22"/>
          <w:lang w:val="en-US"/>
        </w:rPr>
        <w:t xml:space="preserve"> </w:t>
      </w:r>
      <w:r w:rsidR="00DC24D0" w:rsidRPr="000016FB">
        <w:rPr>
          <w:sz w:val="22"/>
          <w:szCs w:val="22"/>
          <w:lang w:val="en-US"/>
        </w:rPr>
        <w:t xml:space="preserve">lines with appropriate </w:t>
      </w:r>
      <w:r w:rsidR="00557BE9">
        <w:rPr>
          <w:sz w:val="22"/>
          <w:szCs w:val="22"/>
          <w:lang w:val="en-US"/>
        </w:rPr>
        <w:t>expression</w:t>
      </w:r>
      <w:r w:rsidR="00557BE9" w:rsidRPr="000016FB">
        <w:rPr>
          <w:sz w:val="22"/>
          <w:szCs w:val="22"/>
          <w:lang w:val="en-US"/>
        </w:rPr>
        <w:t xml:space="preserve"> </w:t>
      </w:r>
      <w:r w:rsidR="00DC24D0" w:rsidRPr="000016FB">
        <w:rPr>
          <w:sz w:val="22"/>
          <w:szCs w:val="22"/>
          <w:lang w:val="en-US"/>
        </w:rPr>
        <w:t xml:space="preserve">of the hepatobiliary transport proteins </w:t>
      </w:r>
      <w:r>
        <w:rPr>
          <w:sz w:val="22"/>
          <w:szCs w:val="22"/>
          <w:lang w:val="en-US"/>
        </w:rPr>
        <w:t>on</w:t>
      </w:r>
      <w:r w:rsidRPr="000016FB">
        <w:rPr>
          <w:sz w:val="22"/>
          <w:szCs w:val="22"/>
          <w:lang w:val="en-US"/>
        </w:rPr>
        <w:t xml:space="preserve"> </w:t>
      </w:r>
      <w:r w:rsidR="00DC24D0" w:rsidRPr="000016FB">
        <w:rPr>
          <w:sz w:val="22"/>
          <w:szCs w:val="22"/>
          <w:lang w:val="en-US"/>
        </w:rPr>
        <w:t>the basolateral and apical membrane</w:t>
      </w:r>
      <w:r w:rsidR="00557BE9">
        <w:rPr>
          <w:sz w:val="22"/>
          <w:szCs w:val="22"/>
          <w:lang w:val="en-US"/>
        </w:rPr>
        <w:t>s</w:t>
      </w:r>
      <w:r w:rsidR="00DC24D0" w:rsidRPr="000016FB">
        <w:rPr>
          <w:sz w:val="22"/>
          <w:szCs w:val="22"/>
          <w:lang w:val="en-US"/>
        </w:rPr>
        <w:t xml:space="preserve">. Only </w:t>
      </w:r>
      <w:r w:rsidR="009019BD">
        <w:rPr>
          <w:sz w:val="22"/>
          <w:szCs w:val="22"/>
          <w:lang w:val="en-US"/>
        </w:rPr>
        <w:t>where</w:t>
      </w:r>
      <w:r w:rsidR="00DC24D0" w:rsidRPr="000016FB">
        <w:rPr>
          <w:sz w:val="22"/>
          <w:szCs w:val="22"/>
          <w:lang w:val="en-US"/>
        </w:rPr>
        <w:t xml:space="preserve"> </w:t>
      </w:r>
      <w:r w:rsidR="00BD6A12">
        <w:rPr>
          <w:sz w:val="22"/>
          <w:szCs w:val="22"/>
          <w:lang w:val="en-US"/>
        </w:rPr>
        <w:t xml:space="preserve">slow onset of hepatobiliary effects </w:t>
      </w:r>
      <w:r w:rsidR="009019BD">
        <w:rPr>
          <w:sz w:val="22"/>
          <w:szCs w:val="22"/>
          <w:lang w:val="en-US"/>
        </w:rPr>
        <w:t xml:space="preserve">may be suspected to occur </w:t>
      </w:r>
      <w:r w:rsidR="00DC24D0" w:rsidRPr="000016FB">
        <w:rPr>
          <w:sz w:val="22"/>
          <w:szCs w:val="22"/>
          <w:lang w:val="en-US"/>
        </w:rPr>
        <w:t xml:space="preserve">would the effect of drugs </w:t>
      </w:r>
      <w:r w:rsidR="009019BD">
        <w:rPr>
          <w:sz w:val="22"/>
          <w:szCs w:val="22"/>
          <w:lang w:val="en-US"/>
        </w:rPr>
        <w:t xml:space="preserve">or metabolites </w:t>
      </w:r>
      <w:r w:rsidR="00DC24D0" w:rsidRPr="000016FB">
        <w:rPr>
          <w:sz w:val="22"/>
          <w:szCs w:val="22"/>
          <w:lang w:val="en-US"/>
        </w:rPr>
        <w:t xml:space="preserve">on bile acid transport require </w:t>
      </w:r>
      <w:r>
        <w:rPr>
          <w:sz w:val="22"/>
          <w:szCs w:val="22"/>
          <w:lang w:val="en-US"/>
        </w:rPr>
        <w:t>longer incubation</w:t>
      </w:r>
      <w:r w:rsidR="00DC24D0" w:rsidRPr="000016FB">
        <w:rPr>
          <w:sz w:val="22"/>
          <w:szCs w:val="22"/>
          <w:lang w:val="en-US"/>
        </w:rPr>
        <w:t xml:space="preserve"> than those currently </w:t>
      </w:r>
      <w:r w:rsidR="00675D89">
        <w:rPr>
          <w:sz w:val="22"/>
          <w:szCs w:val="22"/>
          <w:lang w:val="en-US"/>
        </w:rPr>
        <w:t>employed</w:t>
      </w:r>
      <w:r w:rsidR="00DC24D0" w:rsidRPr="000016FB">
        <w:rPr>
          <w:sz w:val="22"/>
          <w:szCs w:val="22"/>
          <w:lang w:val="en-US"/>
        </w:rPr>
        <w:t xml:space="preserve">. </w:t>
      </w:r>
      <w:proofErr w:type="spellStart"/>
      <w:r w:rsidR="00DC24D0" w:rsidRPr="000016FB">
        <w:rPr>
          <w:sz w:val="22"/>
          <w:szCs w:val="22"/>
          <w:lang w:val="en-US"/>
        </w:rPr>
        <w:t>Microphysiologial</w:t>
      </w:r>
      <w:proofErr w:type="spellEnd"/>
      <w:r w:rsidR="00DC24D0" w:rsidRPr="000016FB">
        <w:rPr>
          <w:sz w:val="22"/>
          <w:szCs w:val="22"/>
          <w:lang w:val="en-US"/>
        </w:rPr>
        <w:t xml:space="preserve"> systems with well-formed bile canaliculi and biliary cell </w:t>
      </w:r>
      <w:proofErr w:type="spellStart"/>
      <w:r w:rsidR="00DC24D0" w:rsidRPr="000016FB">
        <w:rPr>
          <w:sz w:val="22"/>
          <w:szCs w:val="22"/>
          <w:lang w:val="en-US"/>
        </w:rPr>
        <w:t>duct</w:t>
      </w:r>
      <w:r w:rsidR="005A6322">
        <w:rPr>
          <w:sz w:val="22"/>
          <w:szCs w:val="22"/>
          <w:lang w:val="en-US"/>
        </w:rPr>
        <w:t>u</w:t>
      </w:r>
      <w:r w:rsidR="00DC24D0" w:rsidRPr="000016FB">
        <w:rPr>
          <w:sz w:val="22"/>
          <w:szCs w:val="22"/>
          <w:lang w:val="en-US"/>
        </w:rPr>
        <w:t>le</w:t>
      </w:r>
      <w:proofErr w:type="spellEnd"/>
      <w:r w:rsidR="00DC24D0" w:rsidRPr="000016FB">
        <w:rPr>
          <w:sz w:val="22"/>
          <w:szCs w:val="22"/>
          <w:lang w:val="en-US"/>
        </w:rPr>
        <w:t xml:space="preserve"> structures</w:t>
      </w:r>
      <w:r w:rsidR="00557BE9">
        <w:rPr>
          <w:sz w:val="22"/>
          <w:szCs w:val="22"/>
          <w:lang w:val="en-US"/>
        </w:rPr>
        <w:t>,</w:t>
      </w:r>
      <w:r w:rsidR="00DC24D0" w:rsidRPr="000016FB">
        <w:rPr>
          <w:sz w:val="22"/>
          <w:szCs w:val="22"/>
          <w:lang w:val="en-US"/>
        </w:rPr>
        <w:t xml:space="preserve"> </w:t>
      </w:r>
      <w:r w:rsidR="00D753F2">
        <w:rPr>
          <w:sz w:val="22"/>
          <w:szCs w:val="22"/>
          <w:lang w:val="en-US"/>
        </w:rPr>
        <w:t>which would</w:t>
      </w:r>
      <w:r w:rsidR="00DC24D0" w:rsidRPr="000016FB">
        <w:rPr>
          <w:sz w:val="22"/>
          <w:szCs w:val="22"/>
          <w:lang w:val="en-US"/>
        </w:rPr>
        <w:t xml:space="preserve"> facilitate elimination of bile acids </w:t>
      </w:r>
      <w:r w:rsidR="00557BE9">
        <w:rPr>
          <w:sz w:val="22"/>
          <w:szCs w:val="22"/>
          <w:lang w:val="en-US"/>
        </w:rPr>
        <w:t xml:space="preserve">and </w:t>
      </w:r>
      <w:r w:rsidR="00DC24D0" w:rsidRPr="000016FB">
        <w:rPr>
          <w:sz w:val="22"/>
          <w:szCs w:val="22"/>
          <w:lang w:val="en-US"/>
        </w:rPr>
        <w:t xml:space="preserve">avoid bile acid accumulation </w:t>
      </w:r>
      <w:r w:rsidR="00557BE9">
        <w:rPr>
          <w:sz w:val="22"/>
          <w:szCs w:val="22"/>
          <w:lang w:val="en-US"/>
        </w:rPr>
        <w:t>with</w:t>
      </w:r>
      <w:r w:rsidR="00DC24D0" w:rsidRPr="000016FB">
        <w:rPr>
          <w:sz w:val="22"/>
          <w:szCs w:val="22"/>
          <w:lang w:val="en-US"/>
        </w:rPr>
        <w:t xml:space="preserve">in </w:t>
      </w:r>
      <w:r w:rsidR="00557BE9">
        <w:rPr>
          <w:sz w:val="22"/>
          <w:szCs w:val="22"/>
          <w:lang w:val="en-US"/>
        </w:rPr>
        <w:t xml:space="preserve">the </w:t>
      </w:r>
      <w:proofErr w:type="spellStart"/>
      <w:r w:rsidR="00DC24D0" w:rsidRPr="000016FB">
        <w:rPr>
          <w:sz w:val="22"/>
          <w:szCs w:val="22"/>
          <w:lang w:val="en-US"/>
        </w:rPr>
        <w:t>microtissues</w:t>
      </w:r>
      <w:proofErr w:type="spellEnd"/>
      <w:r w:rsidR="00557BE9">
        <w:rPr>
          <w:sz w:val="22"/>
          <w:szCs w:val="22"/>
          <w:lang w:val="en-US"/>
        </w:rPr>
        <w:t>,</w:t>
      </w:r>
      <w:r w:rsidR="00DC24D0" w:rsidRPr="000016FB">
        <w:rPr>
          <w:sz w:val="22"/>
          <w:szCs w:val="22"/>
          <w:lang w:val="en-US"/>
        </w:rPr>
        <w:t xml:space="preserve"> would offer a </w:t>
      </w:r>
      <w:r>
        <w:rPr>
          <w:sz w:val="22"/>
          <w:szCs w:val="22"/>
          <w:lang w:val="en-US"/>
        </w:rPr>
        <w:t>test system to complement those currently available</w:t>
      </w:r>
      <w:r w:rsidR="00DC24D0" w:rsidRPr="000016FB">
        <w:rPr>
          <w:sz w:val="22"/>
          <w:szCs w:val="22"/>
          <w:lang w:val="en-US"/>
        </w:rPr>
        <w:t xml:space="preserve"> </w:t>
      </w:r>
      <w:r w:rsidR="007B579F">
        <w:rPr>
          <w:sz w:val="22"/>
          <w:szCs w:val="22"/>
          <w:lang w:val="en-US"/>
        </w:rPr>
        <w:t>to study</w:t>
      </w:r>
      <w:r w:rsidR="007B579F" w:rsidRPr="000016FB">
        <w:rPr>
          <w:sz w:val="22"/>
          <w:szCs w:val="22"/>
          <w:lang w:val="en-US"/>
        </w:rPr>
        <w:t xml:space="preserve"> </w:t>
      </w:r>
      <w:r w:rsidR="00DC24D0" w:rsidRPr="000016FB">
        <w:rPr>
          <w:sz w:val="22"/>
          <w:szCs w:val="22"/>
          <w:lang w:val="en-US"/>
        </w:rPr>
        <w:t xml:space="preserve">intrahepatic cholestasis </w:t>
      </w:r>
      <w:r w:rsidR="00557BE9">
        <w:rPr>
          <w:sz w:val="22"/>
          <w:szCs w:val="22"/>
          <w:lang w:val="en-US"/>
        </w:rPr>
        <w:t>and</w:t>
      </w:r>
      <w:r w:rsidR="00557BE9" w:rsidRPr="000016FB">
        <w:rPr>
          <w:sz w:val="22"/>
          <w:szCs w:val="22"/>
          <w:lang w:val="en-US"/>
        </w:rPr>
        <w:t xml:space="preserve"> </w:t>
      </w:r>
      <w:r w:rsidR="00DC24D0" w:rsidRPr="000016FB">
        <w:rPr>
          <w:sz w:val="22"/>
          <w:szCs w:val="22"/>
          <w:lang w:val="en-US"/>
        </w:rPr>
        <w:t>biliary toxicities associated with extrahepatic</w:t>
      </w:r>
      <w:r w:rsidR="00DC24D0">
        <w:rPr>
          <w:sz w:val="22"/>
          <w:szCs w:val="22"/>
          <w:lang w:val="en-US"/>
        </w:rPr>
        <w:t xml:space="preserve"> cholestasis.</w:t>
      </w:r>
      <w:r w:rsidR="00DC24D0" w:rsidRPr="000016FB">
        <w:rPr>
          <w:sz w:val="22"/>
          <w:szCs w:val="22"/>
          <w:lang w:val="en-US"/>
        </w:rPr>
        <w:t xml:space="preserve"> Co-cultures with non-parenchymal cells </w:t>
      </w:r>
      <w:r w:rsidR="00DC24D0">
        <w:rPr>
          <w:sz w:val="22"/>
          <w:szCs w:val="22"/>
          <w:lang w:val="en-US"/>
        </w:rPr>
        <w:t>c</w:t>
      </w:r>
      <w:r w:rsidR="00DC24D0" w:rsidRPr="000016FB">
        <w:rPr>
          <w:sz w:val="22"/>
          <w:szCs w:val="22"/>
          <w:lang w:val="en-US"/>
        </w:rPr>
        <w:t>ould allow exploration of innate response</w:t>
      </w:r>
      <w:r w:rsidR="00DC24D0">
        <w:rPr>
          <w:sz w:val="22"/>
          <w:szCs w:val="22"/>
          <w:lang w:val="en-US"/>
        </w:rPr>
        <w:t>s for the</w:t>
      </w:r>
      <w:r w:rsidR="00DC24D0" w:rsidRPr="000016FB">
        <w:rPr>
          <w:sz w:val="22"/>
          <w:szCs w:val="22"/>
          <w:lang w:val="en-US"/>
        </w:rPr>
        <w:t xml:space="preserve"> initiat</w:t>
      </w:r>
      <w:r w:rsidR="00DC24D0">
        <w:rPr>
          <w:sz w:val="22"/>
          <w:szCs w:val="22"/>
          <w:lang w:val="en-US"/>
        </w:rPr>
        <w:t>ion</w:t>
      </w:r>
      <w:r w:rsidR="00DC24D0" w:rsidRPr="000016FB">
        <w:rPr>
          <w:sz w:val="22"/>
          <w:szCs w:val="22"/>
          <w:lang w:val="en-US"/>
        </w:rPr>
        <w:t xml:space="preserve"> or potentiat</w:t>
      </w:r>
      <w:r w:rsidR="00DC24D0">
        <w:rPr>
          <w:sz w:val="22"/>
          <w:szCs w:val="22"/>
          <w:lang w:val="en-US"/>
        </w:rPr>
        <w:t>ion</w:t>
      </w:r>
      <w:r w:rsidR="00DC24D0" w:rsidRPr="000016FB">
        <w:rPr>
          <w:sz w:val="22"/>
          <w:szCs w:val="22"/>
          <w:lang w:val="en-US"/>
        </w:rPr>
        <w:t xml:space="preserve"> of cholestasis. With detailed time-resolved studies of cholestasis</w:t>
      </w:r>
      <w:r w:rsidR="00D753F2">
        <w:rPr>
          <w:sz w:val="22"/>
          <w:szCs w:val="22"/>
          <w:lang w:val="en-US"/>
        </w:rPr>
        <w:t>,</w:t>
      </w:r>
      <w:r w:rsidR="00DC24D0" w:rsidRPr="000016FB">
        <w:rPr>
          <w:sz w:val="22"/>
          <w:szCs w:val="22"/>
          <w:lang w:val="en-US"/>
        </w:rPr>
        <w:t xml:space="preserve"> the subsequent generation of cirrhosis and fibrotic signals reported with some drugs and only in some individuals may be possible. Measure</w:t>
      </w:r>
      <w:r w:rsidR="00D26048">
        <w:rPr>
          <w:sz w:val="22"/>
          <w:szCs w:val="22"/>
          <w:lang w:val="en-US"/>
        </w:rPr>
        <w:t>ment</w:t>
      </w:r>
      <w:r w:rsidR="00DC24D0" w:rsidRPr="000016FB">
        <w:rPr>
          <w:sz w:val="22"/>
          <w:szCs w:val="22"/>
          <w:lang w:val="en-US"/>
        </w:rPr>
        <w:t xml:space="preserve"> of total bile acid </w:t>
      </w:r>
      <w:r w:rsidR="00DC24D0">
        <w:rPr>
          <w:sz w:val="22"/>
          <w:szCs w:val="22"/>
          <w:lang w:val="en-US"/>
        </w:rPr>
        <w:t xml:space="preserve">and </w:t>
      </w:r>
      <w:r w:rsidR="00DC24D0" w:rsidRPr="000016FB">
        <w:rPr>
          <w:sz w:val="22"/>
          <w:szCs w:val="22"/>
          <w:lang w:val="en-US"/>
        </w:rPr>
        <w:t>bile acid composition requires accurate, reproducible and sensitive techniques</w:t>
      </w:r>
      <w:r w:rsidR="007B579F">
        <w:rPr>
          <w:sz w:val="22"/>
          <w:szCs w:val="22"/>
          <w:lang w:val="en-US"/>
        </w:rPr>
        <w:t>. The incorporation of</w:t>
      </w:r>
      <w:r w:rsidR="00DC24D0" w:rsidRPr="000016FB">
        <w:rPr>
          <w:sz w:val="22"/>
          <w:szCs w:val="22"/>
          <w:lang w:val="en-US"/>
        </w:rPr>
        <w:t xml:space="preserve"> dynamic flow systems to allow for the addition of bile flow variables and composition of the total bile acid pool with time of incubation for a better representation of liver physiology</w:t>
      </w:r>
      <w:r w:rsidR="007B579F">
        <w:rPr>
          <w:sz w:val="22"/>
          <w:szCs w:val="22"/>
          <w:lang w:val="en-US"/>
        </w:rPr>
        <w:t xml:space="preserve"> would be of value</w:t>
      </w:r>
      <w:r w:rsidR="00D63909">
        <w:rPr>
          <w:sz w:val="22"/>
          <w:szCs w:val="22"/>
          <w:lang w:val="en-US"/>
        </w:rPr>
        <w:t xml:space="preserve">. </w:t>
      </w:r>
      <w:r w:rsidR="00DC24D0" w:rsidRPr="000016FB">
        <w:rPr>
          <w:sz w:val="22"/>
          <w:szCs w:val="22"/>
          <w:lang w:val="en-US"/>
        </w:rPr>
        <w:t xml:space="preserve">Nevertheless, </w:t>
      </w:r>
      <w:r w:rsidR="00785E78">
        <w:rPr>
          <w:sz w:val="22"/>
          <w:szCs w:val="22"/>
          <w:lang w:val="en-US"/>
        </w:rPr>
        <w:t>it</w:t>
      </w:r>
      <w:r w:rsidR="00D753F2">
        <w:rPr>
          <w:sz w:val="22"/>
          <w:szCs w:val="22"/>
          <w:lang w:val="en-US"/>
        </w:rPr>
        <w:t xml:space="preserve"> is</w:t>
      </w:r>
      <w:r w:rsidR="00DC24D0" w:rsidRPr="000016FB">
        <w:rPr>
          <w:sz w:val="22"/>
          <w:szCs w:val="22"/>
          <w:lang w:val="en-US"/>
        </w:rPr>
        <w:t xml:space="preserve"> important to pinpoint those drugs affecting only certain classes of bile acids of quantitative importance and not others</w:t>
      </w:r>
      <w:r w:rsidR="00DC24D0">
        <w:rPr>
          <w:sz w:val="22"/>
          <w:szCs w:val="22"/>
          <w:lang w:val="en-US"/>
        </w:rPr>
        <w:t>. T</w:t>
      </w:r>
      <w:r w:rsidR="00DC24D0" w:rsidRPr="000016FB">
        <w:rPr>
          <w:sz w:val="22"/>
          <w:szCs w:val="22"/>
          <w:lang w:val="en-US"/>
        </w:rPr>
        <w:t>herefore</w:t>
      </w:r>
      <w:r w:rsidR="00D26048">
        <w:rPr>
          <w:sz w:val="22"/>
          <w:szCs w:val="22"/>
          <w:lang w:val="en-US"/>
        </w:rPr>
        <w:t>,</w:t>
      </w:r>
      <w:r w:rsidR="00DC24D0" w:rsidRPr="000016FB">
        <w:rPr>
          <w:sz w:val="22"/>
          <w:szCs w:val="22"/>
          <w:lang w:val="en-US"/>
        </w:rPr>
        <w:t xml:space="preserve"> assessment of only one </w:t>
      </w:r>
      <w:r w:rsidR="00DC24D0">
        <w:rPr>
          <w:sz w:val="22"/>
          <w:szCs w:val="22"/>
          <w:lang w:val="en-US"/>
        </w:rPr>
        <w:t xml:space="preserve">prototypical </w:t>
      </w:r>
      <w:r w:rsidR="00DC24D0" w:rsidRPr="000016FB">
        <w:rPr>
          <w:sz w:val="22"/>
          <w:szCs w:val="22"/>
          <w:lang w:val="en-US"/>
        </w:rPr>
        <w:t>bile acid</w:t>
      </w:r>
      <w:r w:rsidR="00D26048">
        <w:rPr>
          <w:sz w:val="22"/>
          <w:szCs w:val="22"/>
          <w:lang w:val="en-US"/>
        </w:rPr>
        <w:t>,</w:t>
      </w:r>
      <w:r w:rsidR="00DC24D0" w:rsidRPr="000016FB">
        <w:rPr>
          <w:sz w:val="22"/>
          <w:szCs w:val="22"/>
          <w:lang w:val="en-US"/>
        </w:rPr>
        <w:t xml:space="preserve"> </w:t>
      </w:r>
      <w:r w:rsidR="00DC24D0">
        <w:rPr>
          <w:sz w:val="22"/>
          <w:szCs w:val="22"/>
          <w:lang w:val="en-US"/>
        </w:rPr>
        <w:t>such as</w:t>
      </w:r>
      <w:r w:rsidR="003B4381">
        <w:rPr>
          <w:sz w:val="22"/>
          <w:szCs w:val="22"/>
          <w:lang w:val="en-US"/>
        </w:rPr>
        <w:t xml:space="preserve"> </w:t>
      </w:r>
      <w:proofErr w:type="spellStart"/>
      <w:r w:rsidR="003B4381">
        <w:rPr>
          <w:sz w:val="22"/>
          <w:szCs w:val="22"/>
          <w:lang w:val="en-US"/>
        </w:rPr>
        <w:t>taurocholic</w:t>
      </w:r>
      <w:proofErr w:type="spellEnd"/>
      <w:r w:rsidR="00DC24D0">
        <w:rPr>
          <w:sz w:val="22"/>
          <w:szCs w:val="22"/>
          <w:lang w:val="en-US"/>
        </w:rPr>
        <w:t xml:space="preserve"> acid</w:t>
      </w:r>
      <w:r w:rsidR="00D26048">
        <w:rPr>
          <w:sz w:val="22"/>
          <w:szCs w:val="22"/>
          <w:lang w:val="en-US"/>
        </w:rPr>
        <w:t>,</w:t>
      </w:r>
      <w:r w:rsidR="00DC24D0">
        <w:rPr>
          <w:sz w:val="22"/>
          <w:szCs w:val="22"/>
          <w:lang w:val="en-US"/>
        </w:rPr>
        <w:t xml:space="preserve"> </w:t>
      </w:r>
      <w:r w:rsidR="00DC24D0" w:rsidRPr="000016FB">
        <w:rPr>
          <w:sz w:val="22"/>
          <w:szCs w:val="22"/>
          <w:lang w:val="en-US"/>
        </w:rPr>
        <w:t xml:space="preserve">as representative of the general bile acid formation and flow is perhaps misleading. </w:t>
      </w:r>
    </w:p>
    <w:p w14:paraId="03F0E0D2" w14:textId="77777777" w:rsidR="00DC24D0" w:rsidRDefault="00DC24D0" w:rsidP="006730B6">
      <w:pPr>
        <w:spacing w:line="480" w:lineRule="auto"/>
        <w:rPr>
          <w:lang w:val="en-US"/>
        </w:rPr>
      </w:pPr>
    </w:p>
    <w:p w14:paraId="4AED8818" w14:textId="48CB140E" w:rsidR="00760295" w:rsidRPr="004D454D" w:rsidRDefault="00DC24D0" w:rsidP="00760295">
      <w:pPr>
        <w:spacing w:line="480" w:lineRule="auto"/>
        <w:jc w:val="both"/>
        <w:rPr>
          <w:sz w:val="22"/>
          <w:szCs w:val="22"/>
          <w:lang w:val="en-GB"/>
        </w:rPr>
      </w:pPr>
      <w:r w:rsidRPr="000016FB">
        <w:rPr>
          <w:sz w:val="22"/>
          <w:szCs w:val="22"/>
          <w:lang w:val="en-GB"/>
        </w:rPr>
        <w:t>The rare and idiosyncratic nature of DILI</w:t>
      </w:r>
      <w:r w:rsidR="00785E78">
        <w:rPr>
          <w:sz w:val="22"/>
          <w:szCs w:val="22"/>
          <w:lang w:val="en-GB"/>
        </w:rPr>
        <w:t xml:space="preserve"> </w:t>
      </w:r>
      <w:r w:rsidR="000E24D9">
        <w:rPr>
          <w:sz w:val="22"/>
          <w:szCs w:val="22"/>
          <w:lang w:val="en-GB"/>
        </w:rPr>
        <w:t>require</w:t>
      </w:r>
      <w:r w:rsidR="00785E78">
        <w:rPr>
          <w:sz w:val="22"/>
          <w:szCs w:val="22"/>
          <w:lang w:val="en-GB"/>
        </w:rPr>
        <w:t>s</w:t>
      </w:r>
      <w:r w:rsidRPr="000016FB">
        <w:rPr>
          <w:sz w:val="22"/>
          <w:szCs w:val="22"/>
          <w:lang w:val="en-GB"/>
        </w:rPr>
        <w:t xml:space="preserve"> predictive test systems </w:t>
      </w:r>
      <w:r w:rsidR="000E24D9">
        <w:rPr>
          <w:sz w:val="22"/>
          <w:szCs w:val="22"/>
          <w:lang w:val="en-GB"/>
        </w:rPr>
        <w:t>to</w:t>
      </w:r>
      <w:r w:rsidRPr="000016FB">
        <w:rPr>
          <w:sz w:val="22"/>
          <w:szCs w:val="22"/>
          <w:lang w:val="en-GB"/>
        </w:rPr>
        <w:t xml:space="preserve"> </w:t>
      </w:r>
      <w:r w:rsidR="00486ECD">
        <w:rPr>
          <w:sz w:val="22"/>
          <w:szCs w:val="22"/>
          <w:lang w:val="en-GB"/>
        </w:rPr>
        <w:t>identify</w:t>
      </w:r>
      <w:r w:rsidR="00486ECD" w:rsidRPr="000016FB">
        <w:rPr>
          <w:sz w:val="22"/>
          <w:szCs w:val="22"/>
          <w:lang w:val="en-GB"/>
        </w:rPr>
        <w:t xml:space="preserve"> </w:t>
      </w:r>
      <w:r w:rsidRPr="000016FB">
        <w:rPr>
          <w:sz w:val="22"/>
          <w:szCs w:val="22"/>
          <w:lang w:val="en-GB"/>
        </w:rPr>
        <w:t xml:space="preserve">chemical risk and reduce </w:t>
      </w:r>
      <w:r w:rsidR="000E24D9">
        <w:rPr>
          <w:sz w:val="22"/>
          <w:szCs w:val="22"/>
          <w:lang w:val="en-GB"/>
        </w:rPr>
        <w:t>clinical incidence</w:t>
      </w:r>
      <w:r w:rsidRPr="000016FB">
        <w:rPr>
          <w:sz w:val="22"/>
          <w:szCs w:val="22"/>
          <w:lang w:val="en-GB"/>
        </w:rPr>
        <w:t xml:space="preserve">. </w:t>
      </w:r>
      <w:r w:rsidR="000E24D9">
        <w:rPr>
          <w:sz w:val="22"/>
          <w:szCs w:val="22"/>
          <w:lang w:val="en-GB"/>
        </w:rPr>
        <w:t>P</w:t>
      </w:r>
      <w:r w:rsidRPr="000016FB">
        <w:rPr>
          <w:sz w:val="22"/>
          <w:szCs w:val="22"/>
          <w:lang w:val="en-GB"/>
        </w:rPr>
        <w:t xml:space="preserve">rogress </w:t>
      </w:r>
      <w:r w:rsidR="000E24D9">
        <w:rPr>
          <w:sz w:val="22"/>
          <w:szCs w:val="22"/>
          <w:lang w:val="en-GB"/>
        </w:rPr>
        <w:t xml:space="preserve">has been made </w:t>
      </w:r>
      <w:r w:rsidRPr="000016FB">
        <w:rPr>
          <w:sz w:val="22"/>
          <w:szCs w:val="22"/>
          <w:lang w:val="en-GB"/>
        </w:rPr>
        <w:t xml:space="preserve">in developing </w:t>
      </w:r>
      <w:r w:rsidRPr="000016FB">
        <w:rPr>
          <w:i/>
          <w:sz w:val="22"/>
          <w:szCs w:val="22"/>
          <w:lang w:val="en-GB"/>
        </w:rPr>
        <w:t xml:space="preserve">in vitro </w:t>
      </w:r>
      <w:r w:rsidRPr="000016FB">
        <w:rPr>
          <w:sz w:val="22"/>
          <w:szCs w:val="22"/>
          <w:lang w:val="en-GB"/>
        </w:rPr>
        <w:t xml:space="preserve">and </w:t>
      </w:r>
      <w:r w:rsidRPr="000016FB">
        <w:rPr>
          <w:i/>
          <w:sz w:val="22"/>
          <w:szCs w:val="22"/>
          <w:lang w:val="en-GB"/>
        </w:rPr>
        <w:t xml:space="preserve">in vivo </w:t>
      </w:r>
      <w:r w:rsidRPr="000016FB">
        <w:rPr>
          <w:sz w:val="22"/>
          <w:szCs w:val="22"/>
          <w:lang w:val="en-GB"/>
        </w:rPr>
        <w:t xml:space="preserve">assays aimed at understanding the molecular mechanism of </w:t>
      </w:r>
      <w:proofErr w:type="spellStart"/>
      <w:r w:rsidR="006C6ED5">
        <w:rPr>
          <w:sz w:val="22"/>
          <w:szCs w:val="22"/>
          <w:lang w:val="en-GB"/>
        </w:rPr>
        <w:t>i</w:t>
      </w:r>
      <w:r w:rsidRPr="000016FB">
        <w:rPr>
          <w:sz w:val="22"/>
          <w:szCs w:val="22"/>
          <w:lang w:val="en-GB"/>
        </w:rPr>
        <w:t>DILI</w:t>
      </w:r>
      <w:proofErr w:type="spellEnd"/>
      <w:r w:rsidR="00E136D4" w:rsidRPr="00E136D4">
        <w:rPr>
          <w:noProof/>
          <w:sz w:val="22"/>
          <w:szCs w:val="22"/>
          <w:lang w:val="en-US"/>
        </w:rPr>
        <w:t xml:space="preserve"> </w:t>
      </w:r>
      <w:sdt>
        <w:sdtPr>
          <w:rPr>
            <w:noProof/>
            <w:sz w:val="22"/>
            <w:szCs w:val="22"/>
            <w:lang w:val="en-US"/>
          </w:rPr>
          <w:id w:val="-6215392"/>
          <w:citation/>
        </w:sdtPr>
        <w:sdtEndPr/>
        <w:sdtContent>
          <w:r w:rsidR="00855256">
            <w:rPr>
              <w:noProof/>
              <w:sz w:val="22"/>
              <w:szCs w:val="22"/>
              <w:lang w:val="en-US"/>
            </w:rPr>
            <w:fldChar w:fldCharType="begin"/>
          </w:r>
          <w:r w:rsidR="00855256">
            <w:rPr>
              <w:noProof/>
              <w:sz w:val="22"/>
              <w:szCs w:val="22"/>
              <w:lang w:val="en-GB"/>
            </w:rPr>
            <w:instrText xml:space="preserve"> CITATION Met14 \l 2057 </w:instrText>
          </w:r>
          <w:r w:rsidR="00855256">
            <w:rPr>
              <w:noProof/>
              <w:sz w:val="22"/>
              <w:szCs w:val="22"/>
              <w:lang w:val="en-US"/>
            </w:rPr>
            <w:fldChar w:fldCharType="separate"/>
          </w:r>
          <w:r w:rsidR="002D6947" w:rsidRPr="002D6947">
            <w:rPr>
              <w:noProof/>
              <w:sz w:val="22"/>
              <w:szCs w:val="22"/>
              <w:lang w:val="en-GB"/>
            </w:rPr>
            <w:t>[67]</w:t>
          </w:r>
          <w:r w:rsidR="00855256">
            <w:rPr>
              <w:noProof/>
              <w:sz w:val="22"/>
              <w:szCs w:val="22"/>
              <w:lang w:val="en-US"/>
            </w:rPr>
            <w:fldChar w:fldCharType="end"/>
          </w:r>
        </w:sdtContent>
      </w:sdt>
      <w:sdt>
        <w:sdtPr>
          <w:rPr>
            <w:noProof/>
            <w:sz w:val="22"/>
            <w:szCs w:val="22"/>
            <w:lang w:val="en-US"/>
          </w:rPr>
          <w:id w:val="-918637998"/>
          <w:citation/>
        </w:sdtPr>
        <w:sdtEndPr/>
        <w:sdtContent>
          <w:r w:rsidR="00855256">
            <w:rPr>
              <w:noProof/>
              <w:sz w:val="22"/>
              <w:szCs w:val="22"/>
              <w:lang w:val="en-US"/>
            </w:rPr>
            <w:fldChar w:fldCharType="begin"/>
          </w:r>
          <w:r w:rsidR="00855256">
            <w:rPr>
              <w:noProof/>
              <w:sz w:val="22"/>
              <w:szCs w:val="22"/>
              <w:lang w:val="en-GB"/>
            </w:rPr>
            <w:instrText xml:space="preserve"> CITATION Nat15 \l 2057 </w:instrText>
          </w:r>
          <w:r w:rsidR="00855256">
            <w:rPr>
              <w:noProof/>
              <w:sz w:val="22"/>
              <w:szCs w:val="22"/>
              <w:lang w:val="en-US"/>
            </w:rPr>
            <w:fldChar w:fldCharType="separate"/>
          </w:r>
          <w:r w:rsidR="002D6947">
            <w:rPr>
              <w:noProof/>
              <w:sz w:val="22"/>
              <w:szCs w:val="22"/>
              <w:lang w:val="en-GB"/>
            </w:rPr>
            <w:t xml:space="preserve"> </w:t>
          </w:r>
          <w:r w:rsidR="002D6947" w:rsidRPr="002D6947">
            <w:rPr>
              <w:noProof/>
              <w:sz w:val="22"/>
              <w:szCs w:val="22"/>
              <w:lang w:val="en-GB"/>
            </w:rPr>
            <w:t>[74]</w:t>
          </w:r>
          <w:r w:rsidR="00855256">
            <w:rPr>
              <w:noProof/>
              <w:sz w:val="22"/>
              <w:szCs w:val="22"/>
              <w:lang w:val="en-US"/>
            </w:rPr>
            <w:fldChar w:fldCharType="end"/>
          </w:r>
        </w:sdtContent>
      </w:sdt>
      <w:sdt>
        <w:sdtPr>
          <w:rPr>
            <w:noProof/>
            <w:sz w:val="22"/>
            <w:szCs w:val="22"/>
            <w:lang w:val="en-US"/>
          </w:rPr>
          <w:id w:val="-427124032"/>
          <w:citation/>
        </w:sdtPr>
        <w:sdtEndPr/>
        <w:sdtContent>
          <w:r w:rsidR="00855256">
            <w:rPr>
              <w:noProof/>
              <w:sz w:val="22"/>
              <w:szCs w:val="22"/>
              <w:lang w:val="en-US"/>
            </w:rPr>
            <w:fldChar w:fldCharType="begin"/>
          </w:r>
          <w:r w:rsidR="00855256">
            <w:rPr>
              <w:noProof/>
              <w:sz w:val="22"/>
              <w:szCs w:val="22"/>
              <w:lang w:val="en-GB"/>
            </w:rPr>
            <w:instrText xml:space="preserve"> CITATION Oda16 \l 2057 </w:instrText>
          </w:r>
          <w:r w:rsidR="00855256">
            <w:rPr>
              <w:noProof/>
              <w:sz w:val="22"/>
              <w:szCs w:val="22"/>
              <w:lang w:val="en-US"/>
            </w:rPr>
            <w:fldChar w:fldCharType="separate"/>
          </w:r>
          <w:r w:rsidR="002D6947">
            <w:rPr>
              <w:noProof/>
              <w:sz w:val="22"/>
              <w:szCs w:val="22"/>
              <w:lang w:val="en-GB"/>
            </w:rPr>
            <w:t xml:space="preserve"> </w:t>
          </w:r>
          <w:r w:rsidR="002D6947" w:rsidRPr="002D6947">
            <w:rPr>
              <w:noProof/>
              <w:sz w:val="22"/>
              <w:szCs w:val="22"/>
              <w:lang w:val="en-GB"/>
            </w:rPr>
            <w:t>[101]</w:t>
          </w:r>
          <w:r w:rsidR="00855256">
            <w:rPr>
              <w:noProof/>
              <w:sz w:val="22"/>
              <w:szCs w:val="22"/>
              <w:lang w:val="en-US"/>
            </w:rPr>
            <w:fldChar w:fldCharType="end"/>
          </w:r>
        </w:sdtContent>
      </w:sdt>
      <w:sdt>
        <w:sdtPr>
          <w:rPr>
            <w:noProof/>
            <w:sz w:val="22"/>
            <w:szCs w:val="22"/>
            <w:lang w:val="en-US"/>
          </w:rPr>
          <w:id w:val="1484277108"/>
          <w:citation/>
        </w:sdtPr>
        <w:sdtEndPr/>
        <w:sdtContent>
          <w:r w:rsidR="00100B93">
            <w:rPr>
              <w:noProof/>
              <w:sz w:val="22"/>
              <w:szCs w:val="22"/>
              <w:lang w:val="en-US"/>
            </w:rPr>
            <w:fldChar w:fldCharType="begin"/>
          </w:r>
          <w:r w:rsidR="00100B93">
            <w:rPr>
              <w:noProof/>
              <w:sz w:val="22"/>
              <w:szCs w:val="22"/>
              <w:lang w:val="en-GB"/>
            </w:rPr>
            <w:instrText xml:space="preserve"> CITATION Usu10 \l 2057 </w:instrText>
          </w:r>
          <w:r w:rsidR="00100B93">
            <w:rPr>
              <w:noProof/>
              <w:sz w:val="22"/>
              <w:szCs w:val="22"/>
              <w:lang w:val="en-US"/>
            </w:rPr>
            <w:fldChar w:fldCharType="separate"/>
          </w:r>
          <w:r w:rsidR="002D6947">
            <w:rPr>
              <w:noProof/>
              <w:sz w:val="22"/>
              <w:szCs w:val="22"/>
              <w:lang w:val="en-GB"/>
            </w:rPr>
            <w:t xml:space="preserve"> </w:t>
          </w:r>
          <w:r w:rsidR="002D6947" w:rsidRPr="002D6947">
            <w:rPr>
              <w:noProof/>
              <w:sz w:val="22"/>
              <w:szCs w:val="22"/>
              <w:lang w:val="en-GB"/>
            </w:rPr>
            <w:t>[102]</w:t>
          </w:r>
          <w:r w:rsidR="00100B93">
            <w:rPr>
              <w:noProof/>
              <w:sz w:val="22"/>
              <w:szCs w:val="22"/>
              <w:lang w:val="en-US"/>
            </w:rPr>
            <w:fldChar w:fldCharType="end"/>
          </w:r>
        </w:sdtContent>
      </w:sdt>
      <w:r w:rsidR="00100B93">
        <w:rPr>
          <w:sz w:val="22"/>
          <w:szCs w:val="22"/>
          <w:lang w:val="en-GB"/>
        </w:rPr>
        <w:t>.</w:t>
      </w:r>
      <w:r w:rsidRPr="000016FB">
        <w:rPr>
          <w:sz w:val="22"/>
          <w:szCs w:val="22"/>
          <w:lang w:val="en-GB"/>
        </w:rPr>
        <w:t xml:space="preserve"> However, developing test systems to predict the potential immune-mediated DILI </w:t>
      </w:r>
      <w:r w:rsidR="000E24D9">
        <w:rPr>
          <w:sz w:val="22"/>
          <w:szCs w:val="22"/>
          <w:lang w:val="en-GB"/>
        </w:rPr>
        <w:t xml:space="preserve">liability of compounds </w:t>
      </w:r>
      <w:r w:rsidRPr="000016FB">
        <w:rPr>
          <w:sz w:val="22"/>
          <w:szCs w:val="22"/>
          <w:lang w:val="en-GB"/>
        </w:rPr>
        <w:t xml:space="preserve">in early drug discovery continues to pose challenges. This difficulty </w:t>
      </w:r>
      <w:r w:rsidR="000E24D9">
        <w:rPr>
          <w:sz w:val="22"/>
          <w:szCs w:val="22"/>
          <w:lang w:val="en-GB"/>
        </w:rPr>
        <w:t xml:space="preserve">results from </w:t>
      </w:r>
      <w:r w:rsidRPr="000016FB">
        <w:rPr>
          <w:sz w:val="22"/>
          <w:szCs w:val="22"/>
          <w:lang w:val="en-GB"/>
        </w:rPr>
        <w:t xml:space="preserve">the multiple risk factors linked to idiosyncratic DILI and apparent complexities in heterogeneity of cell types </w:t>
      </w:r>
      <w:r w:rsidR="000502EB">
        <w:rPr>
          <w:sz w:val="22"/>
          <w:szCs w:val="22"/>
          <w:lang w:val="en-GB"/>
        </w:rPr>
        <w:t xml:space="preserve">and signalling </w:t>
      </w:r>
      <w:r w:rsidR="00D26048">
        <w:rPr>
          <w:sz w:val="22"/>
          <w:szCs w:val="22"/>
          <w:lang w:val="en-GB"/>
        </w:rPr>
        <w:t xml:space="preserve">involved </w:t>
      </w:r>
      <w:r w:rsidRPr="000016FB">
        <w:rPr>
          <w:sz w:val="22"/>
          <w:szCs w:val="22"/>
          <w:lang w:val="en-GB"/>
        </w:rPr>
        <w:t xml:space="preserve">in </w:t>
      </w:r>
      <w:r w:rsidRPr="000016FB">
        <w:rPr>
          <w:sz w:val="22"/>
          <w:szCs w:val="22"/>
          <w:lang w:val="en-GB"/>
        </w:rPr>
        <w:lastRenderedPageBreak/>
        <w:t>immune function. Although advancement</w:t>
      </w:r>
      <w:r w:rsidR="00D26048">
        <w:rPr>
          <w:sz w:val="22"/>
          <w:szCs w:val="22"/>
          <w:lang w:val="en-GB"/>
        </w:rPr>
        <w:t>s</w:t>
      </w:r>
      <w:r w:rsidRPr="000016FB">
        <w:rPr>
          <w:sz w:val="22"/>
          <w:szCs w:val="22"/>
          <w:lang w:val="en-GB"/>
        </w:rPr>
        <w:t xml:space="preserve"> </w:t>
      </w:r>
      <w:r w:rsidR="00D26048">
        <w:rPr>
          <w:sz w:val="22"/>
          <w:szCs w:val="22"/>
          <w:lang w:val="en-GB"/>
        </w:rPr>
        <w:t>have</w:t>
      </w:r>
      <w:r w:rsidR="00D26048" w:rsidRPr="000016FB">
        <w:rPr>
          <w:sz w:val="22"/>
          <w:szCs w:val="22"/>
          <w:lang w:val="en-GB"/>
        </w:rPr>
        <w:t xml:space="preserve"> </w:t>
      </w:r>
      <w:r w:rsidRPr="000016FB">
        <w:rPr>
          <w:sz w:val="22"/>
          <w:szCs w:val="22"/>
          <w:lang w:val="en-GB"/>
        </w:rPr>
        <w:t xml:space="preserve">been made to comprehend the role of the innate immune system, </w:t>
      </w:r>
      <w:r w:rsidR="003F0DD0">
        <w:rPr>
          <w:sz w:val="22"/>
          <w:szCs w:val="22"/>
          <w:lang w:val="en-GB"/>
        </w:rPr>
        <w:t xml:space="preserve">the involvement of the adaptive immune system in </w:t>
      </w:r>
      <w:proofErr w:type="spellStart"/>
      <w:r w:rsidR="003F0DD0">
        <w:rPr>
          <w:sz w:val="22"/>
          <w:szCs w:val="22"/>
          <w:lang w:val="en-GB"/>
        </w:rPr>
        <w:t>iDILI</w:t>
      </w:r>
      <w:proofErr w:type="spellEnd"/>
      <w:r w:rsidR="003F0DD0">
        <w:rPr>
          <w:sz w:val="22"/>
          <w:szCs w:val="22"/>
          <w:lang w:val="en-GB"/>
        </w:rPr>
        <w:t xml:space="preserve"> has not been fully characterised</w:t>
      </w:r>
      <w:r w:rsidR="000502EB">
        <w:rPr>
          <w:sz w:val="22"/>
          <w:szCs w:val="22"/>
          <w:lang w:val="en-GB"/>
        </w:rPr>
        <w:t xml:space="preserve"> and </w:t>
      </w:r>
      <w:r w:rsidR="000E24D9">
        <w:rPr>
          <w:sz w:val="22"/>
          <w:szCs w:val="22"/>
          <w:lang w:val="en-GB"/>
        </w:rPr>
        <w:t xml:space="preserve">this </w:t>
      </w:r>
      <w:r w:rsidR="000502EB">
        <w:rPr>
          <w:sz w:val="22"/>
          <w:szCs w:val="22"/>
          <w:lang w:val="en-GB"/>
        </w:rPr>
        <w:t xml:space="preserve">will </w:t>
      </w:r>
      <w:r w:rsidR="000E24D9">
        <w:rPr>
          <w:sz w:val="22"/>
          <w:szCs w:val="22"/>
          <w:lang w:val="en-GB"/>
        </w:rPr>
        <w:t xml:space="preserve">remain </w:t>
      </w:r>
      <w:r w:rsidR="000502EB">
        <w:rPr>
          <w:sz w:val="22"/>
          <w:szCs w:val="22"/>
          <w:lang w:val="en-GB"/>
        </w:rPr>
        <w:t>challenging</w:t>
      </w:r>
      <w:r w:rsidRPr="000016FB">
        <w:rPr>
          <w:sz w:val="22"/>
          <w:szCs w:val="22"/>
          <w:lang w:val="en-GB"/>
        </w:rPr>
        <w:t xml:space="preserve">. One important aspect to incorporate into predictive assays will be the impact of an individual’s genotype on the pathogenesis of drug-induced hepatotoxicity. </w:t>
      </w:r>
      <w:r w:rsidR="00760295">
        <w:rPr>
          <w:sz w:val="22"/>
          <w:szCs w:val="22"/>
          <w:lang w:val="en-GB"/>
        </w:rPr>
        <w:t xml:space="preserve">Such an </w:t>
      </w:r>
      <w:r w:rsidR="00760295" w:rsidRPr="008B4850">
        <w:rPr>
          <w:i/>
          <w:sz w:val="22"/>
          <w:szCs w:val="22"/>
          <w:lang w:val="en-GB"/>
        </w:rPr>
        <w:t>in vitro</w:t>
      </w:r>
      <w:r w:rsidR="00760295">
        <w:rPr>
          <w:sz w:val="22"/>
          <w:szCs w:val="22"/>
          <w:lang w:val="en-GB"/>
        </w:rPr>
        <w:t xml:space="preserve"> approach has been undertaken to design out HLA-associated toxicity with an established drug </w:t>
      </w:r>
      <w:proofErr w:type="spellStart"/>
      <w:r w:rsidR="00760295">
        <w:rPr>
          <w:sz w:val="22"/>
          <w:szCs w:val="22"/>
          <w:lang w:val="en-GB"/>
        </w:rPr>
        <w:t>abacavir</w:t>
      </w:r>
      <w:proofErr w:type="spellEnd"/>
      <w:r w:rsidR="00760295">
        <w:rPr>
          <w:sz w:val="22"/>
          <w:szCs w:val="22"/>
          <w:lang w:val="en-GB"/>
        </w:rPr>
        <w:t xml:space="preserve"> </w:t>
      </w:r>
      <w:sdt>
        <w:sdtPr>
          <w:rPr>
            <w:sz w:val="22"/>
            <w:szCs w:val="22"/>
            <w:lang w:val="en-GB"/>
          </w:rPr>
          <w:id w:val="1984893472"/>
          <w:citation/>
        </w:sdtPr>
        <w:sdtEndPr/>
        <w:sdtContent>
          <w:r w:rsidR="0010230A">
            <w:rPr>
              <w:sz w:val="22"/>
              <w:szCs w:val="22"/>
              <w:lang w:val="en-GB"/>
            </w:rPr>
            <w:fldChar w:fldCharType="begin"/>
          </w:r>
          <w:r w:rsidR="004507CD">
            <w:rPr>
              <w:sz w:val="22"/>
              <w:szCs w:val="22"/>
              <w:lang w:val="en-GB"/>
            </w:rPr>
            <w:instrText xml:space="preserve">CITATION Tow15 \l 2057 </w:instrText>
          </w:r>
          <w:r w:rsidR="0010230A">
            <w:rPr>
              <w:sz w:val="22"/>
              <w:szCs w:val="22"/>
              <w:lang w:val="en-GB"/>
            </w:rPr>
            <w:fldChar w:fldCharType="separate"/>
          </w:r>
          <w:r w:rsidR="002D6947" w:rsidRPr="002D6947">
            <w:rPr>
              <w:noProof/>
              <w:sz w:val="22"/>
              <w:szCs w:val="22"/>
              <w:lang w:val="en-GB"/>
            </w:rPr>
            <w:t>[103]</w:t>
          </w:r>
          <w:r w:rsidR="0010230A">
            <w:rPr>
              <w:sz w:val="22"/>
              <w:szCs w:val="22"/>
              <w:lang w:val="en-GB"/>
            </w:rPr>
            <w:fldChar w:fldCharType="end"/>
          </w:r>
        </w:sdtContent>
      </w:sdt>
      <w:r w:rsidR="0010230A">
        <w:rPr>
          <w:sz w:val="22"/>
          <w:szCs w:val="22"/>
          <w:lang w:val="en-GB"/>
        </w:rPr>
        <w:t>,</w:t>
      </w:r>
      <w:r w:rsidR="00760295">
        <w:rPr>
          <w:sz w:val="22"/>
          <w:szCs w:val="22"/>
          <w:lang w:val="en-GB"/>
        </w:rPr>
        <w:t xml:space="preserve"> but the step change to predict toxicity associated</w:t>
      </w:r>
      <w:r w:rsidR="00276921">
        <w:rPr>
          <w:sz w:val="22"/>
          <w:szCs w:val="22"/>
          <w:lang w:val="en-GB"/>
        </w:rPr>
        <w:t xml:space="preserve"> </w:t>
      </w:r>
      <w:r w:rsidR="00722619">
        <w:rPr>
          <w:sz w:val="22"/>
          <w:szCs w:val="22"/>
          <w:lang w:val="en-GB"/>
        </w:rPr>
        <w:t xml:space="preserve">with </w:t>
      </w:r>
      <w:r w:rsidR="00760295">
        <w:rPr>
          <w:sz w:val="22"/>
          <w:szCs w:val="22"/>
          <w:lang w:val="en-GB"/>
        </w:rPr>
        <w:t xml:space="preserve">2000 HLA alleles </w:t>
      </w:r>
      <w:r w:rsidR="00760295">
        <w:rPr>
          <w:i/>
          <w:sz w:val="22"/>
          <w:szCs w:val="22"/>
          <w:lang w:val="en-GB"/>
        </w:rPr>
        <w:t xml:space="preserve">ab initio </w:t>
      </w:r>
      <w:r w:rsidR="00760295">
        <w:rPr>
          <w:sz w:val="22"/>
          <w:szCs w:val="22"/>
          <w:lang w:val="en-GB"/>
        </w:rPr>
        <w:t>represents a monumental technological challenge</w:t>
      </w:r>
      <w:r w:rsidR="006723A0">
        <w:rPr>
          <w:sz w:val="22"/>
          <w:szCs w:val="22"/>
          <w:lang w:val="en-GB"/>
        </w:rPr>
        <w:t xml:space="preserve"> </w:t>
      </w:r>
      <w:sdt>
        <w:sdtPr>
          <w:rPr>
            <w:sz w:val="22"/>
            <w:szCs w:val="22"/>
            <w:lang w:val="en-GB"/>
          </w:rPr>
          <w:id w:val="152263929"/>
          <w:citation/>
        </w:sdtPr>
        <w:sdtEndPr/>
        <w:sdtContent>
          <w:r w:rsidR="005E1C9F">
            <w:rPr>
              <w:sz w:val="22"/>
              <w:szCs w:val="22"/>
              <w:lang w:val="en-GB"/>
            </w:rPr>
            <w:fldChar w:fldCharType="begin"/>
          </w:r>
          <w:r w:rsidR="005E1C9F" w:rsidRPr="005E1C9F">
            <w:rPr>
              <w:sz w:val="22"/>
              <w:szCs w:val="22"/>
              <w:lang w:val="en-US"/>
            </w:rPr>
            <w:instrText xml:space="preserve"> CITATION Goh15 \l 1036 </w:instrText>
          </w:r>
          <w:r w:rsidR="005E1C9F">
            <w:rPr>
              <w:sz w:val="22"/>
              <w:szCs w:val="22"/>
              <w:lang w:val="en-GB"/>
            </w:rPr>
            <w:fldChar w:fldCharType="separate"/>
          </w:r>
          <w:r w:rsidR="002D6947" w:rsidRPr="002D6947">
            <w:rPr>
              <w:noProof/>
              <w:sz w:val="22"/>
              <w:szCs w:val="22"/>
              <w:lang w:val="en-US"/>
            </w:rPr>
            <w:t>[104]</w:t>
          </w:r>
          <w:r w:rsidR="005E1C9F">
            <w:rPr>
              <w:sz w:val="22"/>
              <w:szCs w:val="22"/>
              <w:lang w:val="en-GB"/>
            </w:rPr>
            <w:fldChar w:fldCharType="end"/>
          </w:r>
        </w:sdtContent>
      </w:sdt>
      <w:r w:rsidR="006723A0">
        <w:rPr>
          <w:sz w:val="22"/>
          <w:szCs w:val="22"/>
          <w:lang w:val="en-GB"/>
        </w:rPr>
        <w:t xml:space="preserve">. </w:t>
      </w:r>
    </w:p>
    <w:p w14:paraId="158AD637" w14:textId="77777777" w:rsidR="006471B2" w:rsidRDefault="006471B2" w:rsidP="006730B6">
      <w:pPr>
        <w:spacing w:line="480" w:lineRule="auto"/>
        <w:jc w:val="both"/>
        <w:rPr>
          <w:sz w:val="22"/>
          <w:szCs w:val="22"/>
          <w:lang w:val="en-GB"/>
        </w:rPr>
      </w:pPr>
    </w:p>
    <w:p w14:paraId="4E0A3B14" w14:textId="77777777" w:rsidR="00722619" w:rsidRPr="00687A6A" w:rsidRDefault="003F0DD0" w:rsidP="00722619">
      <w:pPr>
        <w:spacing w:line="480" w:lineRule="auto"/>
        <w:jc w:val="both"/>
        <w:rPr>
          <w:color w:val="000000"/>
          <w:sz w:val="22"/>
          <w:szCs w:val="19"/>
          <w:shd w:val="clear" w:color="auto" w:fill="FFFFFF"/>
          <w:lang w:val="en-US"/>
        </w:rPr>
      </w:pPr>
      <w:r w:rsidRPr="004275D0">
        <w:rPr>
          <w:sz w:val="22"/>
          <w:szCs w:val="24"/>
          <w:lang w:val="en-GB"/>
        </w:rPr>
        <w:t xml:space="preserve">In some instances, pharmacogenetics has provided vital insights into the mechanisms of idiosyncratic drug toxicities and has been applied clinically to prevent or reduce the incidence of these reactions. For example, </w:t>
      </w:r>
      <w:r w:rsidR="006674BC">
        <w:rPr>
          <w:sz w:val="22"/>
          <w:szCs w:val="24"/>
          <w:lang w:val="en-GB"/>
        </w:rPr>
        <w:t xml:space="preserve">for </w:t>
      </w:r>
      <w:proofErr w:type="spellStart"/>
      <w:r w:rsidRPr="004275D0">
        <w:rPr>
          <w:sz w:val="22"/>
          <w:szCs w:val="24"/>
          <w:lang w:val="en-GB"/>
        </w:rPr>
        <w:t>abacavir</w:t>
      </w:r>
      <w:proofErr w:type="spellEnd"/>
      <w:r w:rsidRPr="004275D0">
        <w:rPr>
          <w:sz w:val="22"/>
          <w:szCs w:val="24"/>
          <w:lang w:val="en-GB"/>
        </w:rPr>
        <w:t xml:space="preserve"> hypersensitivity reaction, the HLA-B*57:01 has a negative predictive value of 100% and a positive predictive value of 47.9%. However, it is still unclear why 52.1% of individuals expressing the HLA-B*57:01 risk allele do not experience </w:t>
      </w:r>
      <w:proofErr w:type="spellStart"/>
      <w:r w:rsidRPr="004275D0">
        <w:rPr>
          <w:sz w:val="22"/>
          <w:szCs w:val="24"/>
          <w:lang w:val="en-GB"/>
        </w:rPr>
        <w:t>abacavir</w:t>
      </w:r>
      <w:proofErr w:type="spellEnd"/>
      <w:r w:rsidRPr="004275D0">
        <w:rPr>
          <w:sz w:val="22"/>
          <w:szCs w:val="24"/>
          <w:lang w:val="en-GB"/>
        </w:rPr>
        <w:t xml:space="preserve"> hypersensitivity. Therefore</w:t>
      </w:r>
      <w:r w:rsidR="00D16B79" w:rsidRPr="004275D0">
        <w:rPr>
          <w:sz w:val="22"/>
          <w:szCs w:val="24"/>
          <w:lang w:val="en-GB"/>
        </w:rPr>
        <w:t>,</w:t>
      </w:r>
      <w:r w:rsidRPr="004275D0">
        <w:rPr>
          <w:sz w:val="22"/>
          <w:szCs w:val="24"/>
          <w:lang w:val="en-GB"/>
        </w:rPr>
        <w:t xml:space="preserve"> it is important to </w:t>
      </w:r>
      <w:r w:rsidR="00D16B79" w:rsidRPr="004275D0">
        <w:rPr>
          <w:sz w:val="22"/>
          <w:szCs w:val="24"/>
          <w:lang w:val="en-GB"/>
        </w:rPr>
        <w:t>continue in the pursuit to identify</w:t>
      </w:r>
      <w:r w:rsidRPr="004275D0">
        <w:rPr>
          <w:sz w:val="22"/>
          <w:szCs w:val="24"/>
          <w:lang w:val="en-GB"/>
        </w:rPr>
        <w:t xml:space="preserve"> </w:t>
      </w:r>
      <w:r w:rsidR="00D16B79" w:rsidRPr="004275D0">
        <w:rPr>
          <w:sz w:val="22"/>
          <w:szCs w:val="24"/>
          <w:lang w:val="en-GB"/>
        </w:rPr>
        <w:t>contributing</w:t>
      </w:r>
      <w:r w:rsidRPr="004275D0">
        <w:rPr>
          <w:sz w:val="22"/>
          <w:szCs w:val="24"/>
          <w:lang w:val="en-GB"/>
        </w:rPr>
        <w:t xml:space="preserve"> non HLA factors (genetic and non-genetic) that predispose individuals to </w:t>
      </w:r>
      <w:r w:rsidR="00D16B79" w:rsidRPr="004275D0">
        <w:rPr>
          <w:sz w:val="22"/>
          <w:szCs w:val="24"/>
          <w:lang w:val="en-GB"/>
        </w:rPr>
        <w:t>ADRs</w:t>
      </w:r>
      <w:r w:rsidR="004C39B1">
        <w:rPr>
          <w:rFonts w:ascii="Arial" w:hAnsi="Arial" w:cs="Arial"/>
          <w:color w:val="000000"/>
          <w:sz w:val="19"/>
          <w:szCs w:val="19"/>
          <w:shd w:val="clear" w:color="auto" w:fill="FFFFFF"/>
          <w:lang w:val="en-US"/>
        </w:rPr>
        <w:t>.</w:t>
      </w:r>
      <w:r w:rsidR="00722619">
        <w:rPr>
          <w:rFonts w:ascii="Arial" w:hAnsi="Arial" w:cs="Arial"/>
          <w:color w:val="000000"/>
          <w:sz w:val="19"/>
          <w:szCs w:val="19"/>
          <w:shd w:val="clear" w:color="auto" w:fill="FFFFFF"/>
          <w:lang w:val="en-US"/>
        </w:rPr>
        <w:t xml:space="preserve"> </w:t>
      </w:r>
      <w:r w:rsidR="00722619" w:rsidRPr="00687A6A">
        <w:rPr>
          <w:color w:val="000000"/>
          <w:sz w:val="22"/>
          <w:szCs w:val="19"/>
          <w:shd w:val="clear" w:color="auto" w:fill="FFFFFF"/>
          <w:lang w:val="en-US"/>
        </w:rPr>
        <w:t>In summary, the prediction of idiosyncratic DILI will require a more precise understanding of human individual risk factors, which can then be factored into preclinical test systems</w:t>
      </w:r>
      <w:r w:rsidR="00722619">
        <w:rPr>
          <w:color w:val="000000"/>
          <w:sz w:val="22"/>
          <w:szCs w:val="19"/>
          <w:shd w:val="clear" w:color="auto" w:fill="FFFFFF"/>
          <w:lang w:val="en-US"/>
        </w:rPr>
        <w:t>.</w:t>
      </w:r>
    </w:p>
    <w:p w14:paraId="71AABB42" w14:textId="77777777" w:rsidR="004C39B1" w:rsidRPr="004C39B1" w:rsidRDefault="004C39B1" w:rsidP="004C39B1">
      <w:pPr>
        <w:rPr>
          <w:rFonts w:ascii="Arial" w:hAnsi="Arial" w:cs="Arial"/>
          <w:color w:val="000000"/>
          <w:sz w:val="19"/>
          <w:szCs w:val="19"/>
          <w:shd w:val="clear" w:color="auto" w:fill="FFFFFF"/>
          <w:lang w:val="en-US"/>
        </w:rPr>
      </w:pPr>
    </w:p>
    <w:p w14:paraId="22F2BC7F" w14:textId="77777777" w:rsidR="00D4338F" w:rsidRPr="004C39B1" w:rsidRDefault="00D4338F" w:rsidP="003F0DD0">
      <w:pPr>
        <w:spacing w:line="360" w:lineRule="auto"/>
        <w:jc w:val="both"/>
        <w:rPr>
          <w:sz w:val="22"/>
          <w:szCs w:val="24"/>
          <w:lang w:val="en-US"/>
        </w:rPr>
      </w:pPr>
    </w:p>
    <w:p w14:paraId="55360CA2" w14:textId="77777777" w:rsidR="00D4338F" w:rsidRPr="00730FF4" w:rsidRDefault="00D4338F" w:rsidP="003F0DD0">
      <w:pPr>
        <w:spacing w:line="360" w:lineRule="auto"/>
        <w:jc w:val="both"/>
        <w:rPr>
          <w:b/>
          <w:sz w:val="22"/>
          <w:szCs w:val="22"/>
          <w:lang w:val="en-GB"/>
        </w:rPr>
      </w:pPr>
      <w:r w:rsidRPr="00730FF4">
        <w:rPr>
          <w:b/>
          <w:sz w:val="22"/>
          <w:szCs w:val="22"/>
          <w:lang w:val="en-GB"/>
        </w:rPr>
        <w:t>10. Acknowledgements</w:t>
      </w:r>
    </w:p>
    <w:p w14:paraId="158F7B0C" w14:textId="77777777" w:rsidR="00D4338F" w:rsidRPr="00730FF4" w:rsidRDefault="00D4338F" w:rsidP="00D4338F">
      <w:pPr>
        <w:pStyle w:val="simplepara"/>
        <w:shd w:val="clear" w:color="auto" w:fill="FCFCFC"/>
        <w:rPr>
          <w:color w:val="333333"/>
          <w:spacing w:val="2"/>
          <w:sz w:val="22"/>
          <w:szCs w:val="22"/>
        </w:rPr>
      </w:pPr>
      <w:r w:rsidRPr="00730FF4">
        <w:rPr>
          <w:color w:val="333333"/>
          <w:spacing w:val="2"/>
          <w:sz w:val="22"/>
          <w:szCs w:val="22"/>
        </w:rPr>
        <w:t>The MIP-DILI consortium is supported by the Innovative Medicines Initiative Grant Agreement Number 115336.</w:t>
      </w:r>
    </w:p>
    <w:p w14:paraId="24B90E99" w14:textId="77777777" w:rsidR="00421EC0" w:rsidRPr="00730FF4" w:rsidRDefault="00421EC0" w:rsidP="00421EC0">
      <w:pPr>
        <w:jc w:val="both"/>
        <w:rPr>
          <w:b/>
          <w:sz w:val="22"/>
          <w:szCs w:val="22"/>
          <w:lang w:val="en-US"/>
        </w:rPr>
      </w:pPr>
      <w:r w:rsidRPr="00730FF4">
        <w:rPr>
          <w:b/>
          <w:sz w:val="22"/>
          <w:szCs w:val="22"/>
          <w:lang w:val="en-US"/>
        </w:rPr>
        <w:t>Conflict of interest</w:t>
      </w:r>
    </w:p>
    <w:p w14:paraId="6A71D015" w14:textId="77777777" w:rsidR="00421EC0" w:rsidRPr="00730FF4" w:rsidRDefault="00421EC0" w:rsidP="00421EC0">
      <w:pPr>
        <w:jc w:val="both"/>
        <w:rPr>
          <w:sz w:val="22"/>
          <w:szCs w:val="22"/>
          <w:lang w:val="en-US"/>
        </w:rPr>
      </w:pPr>
    </w:p>
    <w:p w14:paraId="2B48A0EE" w14:textId="77777777" w:rsidR="00421EC0" w:rsidRDefault="00421EC0" w:rsidP="00421EC0">
      <w:pPr>
        <w:jc w:val="both"/>
        <w:rPr>
          <w:sz w:val="22"/>
          <w:szCs w:val="22"/>
          <w:lang w:val="en-US"/>
        </w:rPr>
      </w:pPr>
      <w:r w:rsidRPr="00730FF4">
        <w:rPr>
          <w:sz w:val="22"/>
          <w:szCs w:val="22"/>
          <w:lang w:val="en-US"/>
        </w:rPr>
        <w:t xml:space="preserve">There is no conflict of interest </w:t>
      </w:r>
    </w:p>
    <w:p w14:paraId="7D4A3EC0" w14:textId="77777777" w:rsidR="00061BD7" w:rsidRDefault="00061BD7" w:rsidP="00421EC0">
      <w:pPr>
        <w:jc w:val="both"/>
        <w:rPr>
          <w:sz w:val="22"/>
          <w:szCs w:val="22"/>
          <w:lang w:val="en-US"/>
        </w:rPr>
      </w:pPr>
    </w:p>
    <w:p w14:paraId="24563494" w14:textId="77777777" w:rsidR="00061BD7" w:rsidRDefault="00061BD7" w:rsidP="00421EC0">
      <w:pPr>
        <w:jc w:val="both"/>
        <w:rPr>
          <w:sz w:val="22"/>
          <w:szCs w:val="22"/>
          <w:lang w:val="en-US"/>
        </w:rPr>
      </w:pPr>
    </w:p>
    <w:p w14:paraId="7E12E267" w14:textId="77777777" w:rsidR="00855A1F" w:rsidRDefault="00855A1F" w:rsidP="00421EC0">
      <w:pPr>
        <w:jc w:val="both"/>
        <w:rPr>
          <w:sz w:val="22"/>
          <w:szCs w:val="22"/>
          <w:lang w:val="en-US"/>
        </w:rPr>
      </w:pPr>
    </w:p>
    <w:p w14:paraId="35847D68" w14:textId="77777777" w:rsidR="00855A1F" w:rsidRDefault="00855A1F" w:rsidP="00421EC0">
      <w:pPr>
        <w:jc w:val="both"/>
        <w:rPr>
          <w:sz w:val="22"/>
          <w:szCs w:val="22"/>
          <w:lang w:val="en-US"/>
        </w:rPr>
      </w:pPr>
    </w:p>
    <w:p w14:paraId="1A2BC9BD" w14:textId="77777777" w:rsidR="00061BD7" w:rsidRPr="00730FF4" w:rsidRDefault="00061BD7" w:rsidP="00421EC0">
      <w:pPr>
        <w:jc w:val="both"/>
        <w:rPr>
          <w:sz w:val="22"/>
          <w:szCs w:val="22"/>
          <w:lang w:val="en-US"/>
        </w:rPr>
      </w:pPr>
    </w:p>
    <w:p w14:paraId="1BAEBCA5" w14:textId="77777777" w:rsidR="009019BD" w:rsidRPr="00A019C5" w:rsidRDefault="009019BD" w:rsidP="009019BD">
      <w:pPr>
        <w:rPr>
          <w:lang w:val="en-GB"/>
        </w:rPr>
      </w:pPr>
    </w:p>
    <w:sdt>
      <w:sdtPr>
        <w:rPr>
          <w:rFonts w:ascii="Times New Roman" w:hAnsi="Times New Roman"/>
          <w:b w:val="0"/>
          <w:bCs w:val="0"/>
          <w:color w:val="auto"/>
          <w:sz w:val="20"/>
          <w:szCs w:val="20"/>
        </w:rPr>
        <w:id w:val="-8295400"/>
        <w:docPartObj>
          <w:docPartGallery w:val="Bibliographies"/>
          <w:docPartUnique/>
        </w:docPartObj>
      </w:sdtPr>
      <w:sdtEndPr/>
      <w:sdtContent>
        <w:p w14:paraId="1987CC4D" w14:textId="77777777" w:rsidR="00795FE6" w:rsidRDefault="00795FE6">
          <w:pPr>
            <w:pStyle w:val="Titre1"/>
          </w:pPr>
          <w:proofErr w:type="spellStart"/>
          <w:r>
            <w:t>Bibliography</w:t>
          </w:r>
          <w:proofErr w:type="spellEnd"/>
        </w:p>
        <w:sdt>
          <w:sdtPr>
            <w:id w:val="111145805"/>
            <w:bibliography/>
          </w:sdtPr>
          <w:sdtEndPr/>
          <w:sdtContent>
            <w:p w14:paraId="6F59A795" w14:textId="77777777" w:rsidR="002D6947" w:rsidRDefault="00696EBD" w:rsidP="00696EBD">
              <w:pPr>
                <w:rPr>
                  <w:noProof/>
                  <w:lang w:val="en-GB" w:eastAsia="en-GB"/>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9"/>
                <w:gridCol w:w="8654"/>
              </w:tblGrid>
              <w:tr w:rsidR="002D6947" w:rsidRPr="004B28DB" w14:paraId="2228A96E" w14:textId="77777777">
                <w:trPr>
                  <w:tblCellSpacing w:w="15" w:type="dxa"/>
                </w:trPr>
                <w:tc>
                  <w:tcPr>
                    <w:tcW w:w="50" w:type="pct"/>
                    <w:hideMark/>
                  </w:tcPr>
                  <w:p w14:paraId="4EF1DF26" w14:textId="77777777" w:rsidR="002D6947" w:rsidRDefault="002D6947">
                    <w:pPr>
                      <w:pStyle w:val="Bibliographie"/>
                      <w:rPr>
                        <w:rFonts w:eastAsiaTheme="minorEastAsia"/>
                        <w:noProof/>
                      </w:rPr>
                    </w:pPr>
                    <w:r>
                      <w:rPr>
                        <w:noProof/>
                      </w:rPr>
                      <w:t xml:space="preserve">[1] </w:t>
                    </w:r>
                  </w:p>
                </w:tc>
                <w:tc>
                  <w:tcPr>
                    <w:tcW w:w="0" w:type="auto"/>
                    <w:hideMark/>
                  </w:tcPr>
                  <w:p w14:paraId="300A9CA8" w14:textId="77777777" w:rsidR="002D6947" w:rsidRPr="001A768D" w:rsidRDefault="002D6947">
                    <w:pPr>
                      <w:pStyle w:val="Bibliographie"/>
                      <w:rPr>
                        <w:rFonts w:eastAsiaTheme="minorEastAsia"/>
                        <w:noProof/>
                        <w:lang w:val="en-GB"/>
                      </w:rPr>
                    </w:pPr>
                    <w:r w:rsidRPr="001A768D">
                      <w:rPr>
                        <w:noProof/>
                        <w:lang w:val="en-GB"/>
                      </w:rPr>
                      <w:t xml:space="preserve">N. Kaplowitz et L. DeLeve, Drug-Induced Liver Disease, 3rd Edition éd., los Angeles: Academic Press, 2013. </w:t>
                    </w:r>
                  </w:p>
                </w:tc>
              </w:tr>
              <w:tr w:rsidR="002D6947" w:rsidRPr="004B28DB" w14:paraId="0EF47869" w14:textId="77777777">
                <w:trPr>
                  <w:tblCellSpacing w:w="15" w:type="dxa"/>
                </w:trPr>
                <w:tc>
                  <w:tcPr>
                    <w:tcW w:w="50" w:type="pct"/>
                    <w:hideMark/>
                  </w:tcPr>
                  <w:p w14:paraId="0CF8B6FB" w14:textId="77777777" w:rsidR="002D6947" w:rsidRDefault="002D6947">
                    <w:pPr>
                      <w:pStyle w:val="Bibliographie"/>
                      <w:rPr>
                        <w:rFonts w:eastAsiaTheme="minorEastAsia"/>
                        <w:noProof/>
                      </w:rPr>
                    </w:pPr>
                    <w:r>
                      <w:rPr>
                        <w:noProof/>
                      </w:rPr>
                      <w:t xml:space="preserve">[2] </w:t>
                    </w:r>
                  </w:p>
                </w:tc>
                <w:tc>
                  <w:tcPr>
                    <w:tcW w:w="0" w:type="auto"/>
                    <w:hideMark/>
                  </w:tcPr>
                  <w:p w14:paraId="3C9082BE" w14:textId="08B18535" w:rsidR="002D6947" w:rsidRPr="001A768D" w:rsidRDefault="002D6947">
                    <w:pPr>
                      <w:pStyle w:val="Bibliographie"/>
                      <w:rPr>
                        <w:rFonts w:eastAsiaTheme="minorEastAsia"/>
                        <w:noProof/>
                        <w:lang w:val="en-GB"/>
                      </w:rPr>
                    </w:pPr>
                    <w:r w:rsidRPr="001A768D">
                      <w:rPr>
                        <w:noProof/>
                        <w:lang w:val="en-GB"/>
                      </w:rPr>
                      <w:t xml:space="preserve">H. Olson, G. Betton, D. Robinson, K. Thomas, A. Monro, G. Kolaja, P. Lilly, J. Sanders, G. Sipes, W. Bracken, M. Dorato, K. Van Deun, P. Smith, B. Berger et A. Heller, «Concordance of the toxicity of pharmaceuticals in humans and in animals.,» </w:t>
                    </w:r>
                    <w:r w:rsidRPr="001A768D">
                      <w:rPr>
                        <w:i/>
                        <w:iCs/>
                        <w:noProof/>
                        <w:lang w:val="en-GB"/>
                      </w:rPr>
                      <w:t xml:space="preserve">Regul Toxicol Pharmacol , </w:t>
                    </w:r>
                    <w:r w:rsidR="001A768D">
                      <w:rPr>
                        <w:noProof/>
                        <w:lang w:val="en-GB"/>
                      </w:rPr>
                      <w:t xml:space="preserve">vol. 32, </w:t>
                    </w:r>
                    <w:r w:rsidRPr="001A768D">
                      <w:rPr>
                        <w:noProof/>
                        <w:lang w:val="en-GB"/>
                      </w:rPr>
                      <w:t xml:space="preserve">11, pp. 56-67, 2000 . </w:t>
                    </w:r>
                  </w:p>
                </w:tc>
              </w:tr>
              <w:tr w:rsidR="002D6947" w:rsidRPr="004B28DB" w14:paraId="20C61C90" w14:textId="77777777">
                <w:trPr>
                  <w:tblCellSpacing w:w="15" w:type="dxa"/>
                </w:trPr>
                <w:tc>
                  <w:tcPr>
                    <w:tcW w:w="50" w:type="pct"/>
                    <w:hideMark/>
                  </w:tcPr>
                  <w:p w14:paraId="53BC0F43" w14:textId="77777777" w:rsidR="002D6947" w:rsidRDefault="002D6947">
                    <w:pPr>
                      <w:pStyle w:val="Bibliographie"/>
                      <w:rPr>
                        <w:rFonts w:eastAsiaTheme="minorEastAsia"/>
                        <w:noProof/>
                      </w:rPr>
                    </w:pPr>
                    <w:r>
                      <w:rPr>
                        <w:noProof/>
                      </w:rPr>
                      <w:t xml:space="preserve">[3] </w:t>
                    </w:r>
                  </w:p>
                </w:tc>
                <w:tc>
                  <w:tcPr>
                    <w:tcW w:w="0" w:type="auto"/>
                    <w:hideMark/>
                  </w:tcPr>
                  <w:p w14:paraId="3DEF4784" w14:textId="3D983534" w:rsidR="002D6947" w:rsidRDefault="002D6947">
                    <w:pPr>
                      <w:pStyle w:val="Bibliographie"/>
                      <w:rPr>
                        <w:noProof/>
                        <w:lang w:val="en-GB"/>
                      </w:rPr>
                    </w:pPr>
                    <w:r w:rsidRPr="001A768D">
                      <w:rPr>
                        <w:noProof/>
                        <w:lang w:val="en-GB"/>
                      </w:rPr>
                      <w:t xml:space="preserve">P. Godoy, N. Hewitt, U. Albrecht, M. Andersen, N. Ansari, S. Bhattacharya et E. al., «Recent advances in 2D and 3D in vitro systems using primary hepatocytes, alternative hepatocyte sources and non-parenchymal liver cells and their use in investigating mechanisms of hepatotoxicity, cell signaling and ADME.,» </w:t>
                    </w:r>
                    <w:r w:rsidRPr="001A768D">
                      <w:rPr>
                        <w:i/>
                        <w:iCs/>
                        <w:noProof/>
                        <w:lang w:val="en-GB"/>
                      </w:rPr>
                      <w:t xml:space="preserve">Arch Toxicol. , </w:t>
                    </w:r>
                    <w:r w:rsidR="001A768D">
                      <w:rPr>
                        <w:noProof/>
                        <w:lang w:val="en-GB"/>
                      </w:rPr>
                      <w:t xml:space="preserve">vol. 87, </w:t>
                    </w:r>
                    <w:r w:rsidRPr="001A768D">
                      <w:rPr>
                        <w:noProof/>
                        <w:lang w:val="en-GB"/>
                      </w:rPr>
                      <w:t xml:space="preserve">18, pp. 1315-530, 2013. </w:t>
                    </w:r>
                  </w:p>
                  <w:p w14:paraId="70A2633D" w14:textId="1F977543" w:rsidR="002D6947" w:rsidRPr="001A768D" w:rsidRDefault="002D6947" w:rsidP="001A768D">
                    <w:pPr>
                      <w:rPr>
                        <w:rFonts w:eastAsiaTheme="minorEastAsia"/>
                        <w:lang w:val="en-GB"/>
                      </w:rPr>
                    </w:pPr>
                    <w:r w:rsidRPr="00974D2C">
                      <w:rPr>
                        <w:rFonts w:eastAsiaTheme="minorEastAsia"/>
                        <w:color w:val="984806" w:themeColor="accent6" w:themeShade="80"/>
                        <w:lang w:val="en-GB"/>
                      </w:rPr>
                      <w:t>* A comprehensive review on 2D and 3D cell models</w:t>
                    </w:r>
                  </w:p>
                </w:tc>
              </w:tr>
              <w:tr w:rsidR="002D6947" w:rsidRPr="004B28DB" w14:paraId="4C1ED98D" w14:textId="77777777">
                <w:trPr>
                  <w:tblCellSpacing w:w="15" w:type="dxa"/>
                </w:trPr>
                <w:tc>
                  <w:tcPr>
                    <w:tcW w:w="50" w:type="pct"/>
                    <w:hideMark/>
                  </w:tcPr>
                  <w:p w14:paraId="6B428E76" w14:textId="77777777" w:rsidR="002D6947" w:rsidRDefault="002D6947">
                    <w:pPr>
                      <w:pStyle w:val="Bibliographie"/>
                      <w:rPr>
                        <w:rFonts w:eastAsiaTheme="minorEastAsia"/>
                        <w:noProof/>
                      </w:rPr>
                    </w:pPr>
                    <w:r>
                      <w:rPr>
                        <w:noProof/>
                      </w:rPr>
                      <w:t xml:space="preserve">[4] </w:t>
                    </w:r>
                  </w:p>
                </w:tc>
                <w:tc>
                  <w:tcPr>
                    <w:tcW w:w="0" w:type="auto"/>
                    <w:hideMark/>
                  </w:tcPr>
                  <w:p w14:paraId="65215A7A" w14:textId="727A2AE3" w:rsidR="002D6947" w:rsidRDefault="002D6947">
                    <w:pPr>
                      <w:pStyle w:val="Bibliographie"/>
                      <w:rPr>
                        <w:noProof/>
                        <w:lang w:val="en-GB"/>
                      </w:rPr>
                    </w:pPr>
                    <w:r w:rsidRPr="001A768D">
                      <w:rPr>
                        <w:noProof/>
                        <w:lang w:val="en-GB"/>
                      </w:rPr>
                      <w:t xml:space="preserve">M. Gómez-Lechón, L. Tolosa, I. Conde et M. Donato, «Competency of different cell models to predict human hepatotoxic drugs,» </w:t>
                    </w:r>
                    <w:r w:rsidRPr="001A768D">
                      <w:rPr>
                        <w:i/>
                        <w:iCs/>
                        <w:noProof/>
                        <w:lang w:val="en-GB"/>
                      </w:rPr>
                      <w:t xml:space="preserve">Expert Opinion Drug Metab Toxicol., </w:t>
                    </w:r>
                    <w:r w:rsidR="001A768D">
                      <w:rPr>
                        <w:noProof/>
                        <w:lang w:val="en-GB"/>
                      </w:rPr>
                      <w:t xml:space="preserve">vol. 10, </w:t>
                    </w:r>
                    <w:r w:rsidRPr="001A768D">
                      <w:rPr>
                        <w:noProof/>
                        <w:lang w:val="en-GB"/>
                      </w:rPr>
                      <w:t xml:space="preserve">111, pp. 1553-68, 2014. </w:t>
                    </w:r>
                  </w:p>
                  <w:p w14:paraId="73603003" w14:textId="4B98DE20" w:rsidR="002D6947" w:rsidRPr="001A768D" w:rsidRDefault="002D6947" w:rsidP="001A768D">
                    <w:pPr>
                      <w:rPr>
                        <w:rFonts w:eastAsiaTheme="minorEastAsia"/>
                        <w:lang w:val="en-GB"/>
                      </w:rPr>
                    </w:pPr>
                    <w:r w:rsidRPr="00974D2C">
                      <w:rPr>
                        <w:noProof/>
                        <w:color w:val="984806" w:themeColor="accent6" w:themeShade="80"/>
                        <w:lang w:val="en-GB"/>
                      </w:rPr>
                      <w:t>**An excellent update on update on cell models for use in toxicology</w:t>
                    </w:r>
                  </w:p>
                </w:tc>
              </w:tr>
              <w:tr w:rsidR="002D6947" w:rsidRPr="004B28DB" w14:paraId="10B0F399" w14:textId="77777777">
                <w:trPr>
                  <w:tblCellSpacing w:w="15" w:type="dxa"/>
                </w:trPr>
                <w:tc>
                  <w:tcPr>
                    <w:tcW w:w="50" w:type="pct"/>
                    <w:hideMark/>
                  </w:tcPr>
                  <w:p w14:paraId="568CD6CE" w14:textId="77777777" w:rsidR="002D6947" w:rsidRDefault="002D6947">
                    <w:pPr>
                      <w:pStyle w:val="Bibliographie"/>
                      <w:rPr>
                        <w:rFonts w:eastAsiaTheme="minorEastAsia"/>
                        <w:noProof/>
                      </w:rPr>
                    </w:pPr>
                    <w:r>
                      <w:rPr>
                        <w:noProof/>
                      </w:rPr>
                      <w:t xml:space="preserve">[5] </w:t>
                    </w:r>
                  </w:p>
                </w:tc>
                <w:tc>
                  <w:tcPr>
                    <w:tcW w:w="0" w:type="auto"/>
                    <w:hideMark/>
                  </w:tcPr>
                  <w:p w14:paraId="74197BD8" w14:textId="1F231DF5" w:rsidR="002D6947" w:rsidRPr="001A768D" w:rsidRDefault="002D6947">
                    <w:pPr>
                      <w:pStyle w:val="Bibliographie"/>
                      <w:rPr>
                        <w:rFonts w:eastAsiaTheme="minorEastAsia"/>
                        <w:noProof/>
                        <w:lang w:val="en-GB"/>
                      </w:rPr>
                    </w:pPr>
                    <w:r w:rsidRPr="001A768D">
                      <w:rPr>
                        <w:noProof/>
                        <w:lang w:val="en-GB"/>
                      </w:rPr>
                      <w:t xml:space="preserve">C. Lin, K. Ballinger et S. Khetani, «The application of engineered liver tissues for novel drug discovery.,» </w:t>
                    </w:r>
                    <w:r w:rsidRPr="001A768D">
                      <w:rPr>
                        <w:i/>
                        <w:iCs/>
                        <w:noProof/>
                        <w:lang w:val="en-GB"/>
                      </w:rPr>
                      <w:t xml:space="preserve">Expert Opin Drug Discov. , </w:t>
                    </w:r>
                    <w:r w:rsidR="001A768D">
                      <w:rPr>
                        <w:noProof/>
                        <w:lang w:val="en-GB"/>
                      </w:rPr>
                      <w:t xml:space="preserve">vol. 10 , </w:t>
                    </w:r>
                    <w:r w:rsidRPr="001A768D">
                      <w:rPr>
                        <w:noProof/>
                        <w:lang w:val="en-GB"/>
                      </w:rPr>
                      <w:t xml:space="preserve">15, pp. 519-40, 2015 . </w:t>
                    </w:r>
                  </w:p>
                </w:tc>
              </w:tr>
              <w:tr w:rsidR="002D6947" w:rsidRPr="004B28DB" w14:paraId="439E434A" w14:textId="77777777">
                <w:trPr>
                  <w:tblCellSpacing w:w="15" w:type="dxa"/>
                </w:trPr>
                <w:tc>
                  <w:tcPr>
                    <w:tcW w:w="50" w:type="pct"/>
                    <w:hideMark/>
                  </w:tcPr>
                  <w:p w14:paraId="6F7DFE3C" w14:textId="77777777" w:rsidR="002D6947" w:rsidRDefault="002D6947">
                    <w:pPr>
                      <w:pStyle w:val="Bibliographie"/>
                      <w:rPr>
                        <w:rFonts w:eastAsiaTheme="minorEastAsia"/>
                        <w:noProof/>
                      </w:rPr>
                    </w:pPr>
                    <w:r>
                      <w:rPr>
                        <w:noProof/>
                      </w:rPr>
                      <w:t xml:space="preserve">[6] </w:t>
                    </w:r>
                  </w:p>
                </w:tc>
                <w:tc>
                  <w:tcPr>
                    <w:tcW w:w="0" w:type="auto"/>
                    <w:hideMark/>
                  </w:tcPr>
                  <w:p w14:paraId="4F8F32D7" w14:textId="77777777" w:rsidR="002D6947" w:rsidRPr="001A768D" w:rsidRDefault="002D6947">
                    <w:pPr>
                      <w:pStyle w:val="Bibliographie"/>
                      <w:rPr>
                        <w:rFonts w:eastAsiaTheme="minorEastAsia"/>
                        <w:noProof/>
                        <w:lang w:val="en-GB"/>
                      </w:rPr>
                    </w:pPr>
                    <w:r w:rsidRPr="001A768D">
                      <w:rPr>
                        <w:noProof/>
                        <w:lang w:val="en-GB"/>
                      </w:rPr>
                      <w:t>S. Dragovic, N. Vermeulen, H. Gerets, P. Hewitt, M. Ingelman‐Sundberg, K. Park, S. Juhila, J. Snoeys et R. Weaver, «Evidence</w:t>
                    </w:r>
                    <w:r w:rsidRPr="001A768D">
                      <w:rPr>
                        <w:noProof/>
                        <w:lang w:val="en-GB"/>
                      </w:rPr>
                      <w:noBreakHyphen/>
                      <w:t>based selection of training compounds for use in the mechanism</w:t>
                    </w:r>
                    <w:r w:rsidRPr="001A768D">
                      <w:rPr>
                        <w:noProof/>
                        <w:lang w:val="en-GB"/>
                      </w:rPr>
                      <w:noBreakHyphen/>
                      <w:t>based integrated prediction of drug</w:t>
                    </w:r>
                    <w:r w:rsidRPr="001A768D">
                      <w:rPr>
                        <w:noProof/>
                        <w:lang w:val="en-GB"/>
                      </w:rPr>
                      <w:noBreakHyphen/>
                      <w:t xml:space="preserve">induced liver injury in man,» </w:t>
                    </w:r>
                    <w:r w:rsidRPr="001A768D">
                      <w:rPr>
                        <w:i/>
                        <w:iCs/>
                        <w:noProof/>
                        <w:lang w:val="en-GB"/>
                      </w:rPr>
                      <w:t xml:space="preserve">Arch Toxicol, </w:t>
                    </w:r>
                    <w:r w:rsidRPr="001A768D">
                      <w:rPr>
                        <w:noProof/>
                        <w:lang w:val="en-GB"/>
                      </w:rPr>
                      <w:t xml:space="preserve">pp. 1-25, 2016. </w:t>
                    </w:r>
                  </w:p>
                </w:tc>
              </w:tr>
              <w:tr w:rsidR="002D6947" w:rsidRPr="004B28DB" w14:paraId="4AC62B33" w14:textId="77777777">
                <w:trPr>
                  <w:tblCellSpacing w:w="15" w:type="dxa"/>
                </w:trPr>
                <w:tc>
                  <w:tcPr>
                    <w:tcW w:w="50" w:type="pct"/>
                    <w:hideMark/>
                  </w:tcPr>
                  <w:p w14:paraId="298837EA" w14:textId="77777777" w:rsidR="002D6947" w:rsidRDefault="002D6947">
                    <w:pPr>
                      <w:pStyle w:val="Bibliographie"/>
                      <w:rPr>
                        <w:rFonts w:eastAsiaTheme="minorEastAsia"/>
                        <w:noProof/>
                      </w:rPr>
                    </w:pPr>
                    <w:r>
                      <w:rPr>
                        <w:noProof/>
                      </w:rPr>
                      <w:t xml:space="preserve">[7] </w:t>
                    </w:r>
                  </w:p>
                </w:tc>
                <w:tc>
                  <w:tcPr>
                    <w:tcW w:w="0" w:type="auto"/>
                    <w:hideMark/>
                  </w:tcPr>
                  <w:p w14:paraId="365A135F" w14:textId="50C83816" w:rsidR="002D6947" w:rsidRDefault="002D6947">
                    <w:pPr>
                      <w:pStyle w:val="Bibliographie"/>
                      <w:rPr>
                        <w:noProof/>
                        <w:lang w:val="en-GB"/>
                      </w:rPr>
                    </w:pPr>
                    <w:r w:rsidRPr="001A768D">
                      <w:rPr>
                        <w:noProof/>
                        <w:lang w:val="en-GB"/>
                      </w:rPr>
                      <w:t xml:space="preserve">R. Roth et P. Ganey, «Animal models of idiosyncratic drug-induced liver injury—Current status,» </w:t>
                    </w:r>
                    <w:r w:rsidRPr="001A768D">
                      <w:rPr>
                        <w:i/>
                        <w:iCs/>
                        <w:noProof/>
                        <w:lang w:val="en-GB"/>
                      </w:rPr>
                      <w:t xml:space="preserve">Critical reviews in Toxicology, </w:t>
                    </w:r>
                    <w:r w:rsidR="001A768D">
                      <w:rPr>
                        <w:noProof/>
                        <w:lang w:val="en-GB"/>
                      </w:rPr>
                      <w:t xml:space="preserve">vol. 41, </w:t>
                    </w:r>
                    <w:r w:rsidRPr="001A768D">
                      <w:rPr>
                        <w:noProof/>
                        <w:lang w:val="en-GB"/>
                      </w:rPr>
                      <w:t xml:space="preserve">19, pp. 723-739, 2011. </w:t>
                    </w:r>
                  </w:p>
                  <w:p w14:paraId="69D5D12A" w14:textId="38A5E73F" w:rsidR="002D6947" w:rsidRPr="001A768D" w:rsidRDefault="002D6947" w:rsidP="001A768D">
                    <w:pPr>
                      <w:rPr>
                        <w:rFonts w:eastAsiaTheme="minorEastAsia"/>
                        <w:lang w:val="en-GB"/>
                      </w:rPr>
                    </w:pPr>
                    <w:r w:rsidRPr="00974D2C">
                      <w:rPr>
                        <w:rFonts w:eastAsiaTheme="minorEastAsia"/>
                        <w:color w:val="984806" w:themeColor="accent6" w:themeShade="80"/>
                        <w:lang w:val="en-GB"/>
                      </w:rPr>
                      <w:t>* An important review on IDR and animal models</w:t>
                    </w:r>
                  </w:p>
                </w:tc>
              </w:tr>
              <w:tr w:rsidR="002D6947" w:rsidRPr="004B28DB" w14:paraId="71A71203" w14:textId="77777777">
                <w:trPr>
                  <w:tblCellSpacing w:w="15" w:type="dxa"/>
                </w:trPr>
                <w:tc>
                  <w:tcPr>
                    <w:tcW w:w="50" w:type="pct"/>
                    <w:hideMark/>
                  </w:tcPr>
                  <w:p w14:paraId="2F740F6E" w14:textId="77777777" w:rsidR="002D6947" w:rsidRDefault="002D6947">
                    <w:pPr>
                      <w:pStyle w:val="Bibliographie"/>
                      <w:rPr>
                        <w:rFonts w:eastAsiaTheme="minorEastAsia"/>
                        <w:noProof/>
                      </w:rPr>
                    </w:pPr>
                    <w:r>
                      <w:rPr>
                        <w:noProof/>
                      </w:rPr>
                      <w:t xml:space="preserve">[8] </w:t>
                    </w:r>
                  </w:p>
                </w:tc>
                <w:tc>
                  <w:tcPr>
                    <w:tcW w:w="0" w:type="auto"/>
                    <w:hideMark/>
                  </w:tcPr>
                  <w:p w14:paraId="1280C8E1" w14:textId="0CEEAA78" w:rsidR="002D6947" w:rsidRPr="001A768D" w:rsidRDefault="002D6947">
                    <w:pPr>
                      <w:pStyle w:val="Bibliographie"/>
                      <w:rPr>
                        <w:rFonts w:eastAsiaTheme="minorEastAsia"/>
                        <w:noProof/>
                        <w:lang w:val="en-GB"/>
                      </w:rPr>
                    </w:pPr>
                    <w:r w:rsidRPr="001A768D">
                      <w:rPr>
                        <w:noProof/>
                        <w:lang w:val="en-GB"/>
                      </w:rPr>
                      <w:t xml:space="preserve">T. Peters, «Do Preclinical Testing Strategies Help Predict Human Hepatotoxic Potentials?,» </w:t>
                    </w:r>
                    <w:r w:rsidRPr="001A768D">
                      <w:rPr>
                        <w:i/>
                        <w:iCs/>
                        <w:noProof/>
                        <w:lang w:val="en-GB"/>
                      </w:rPr>
                      <w:t xml:space="preserve">Toxicologic Pathology, </w:t>
                    </w:r>
                    <w:r w:rsidR="001A768D">
                      <w:rPr>
                        <w:noProof/>
                        <w:lang w:val="en-GB"/>
                      </w:rPr>
                      <w:t xml:space="preserve">vol. 33, </w:t>
                    </w:r>
                    <w:r w:rsidRPr="001A768D">
                      <w:rPr>
                        <w:noProof/>
                        <w:lang w:val="en-GB"/>
                      </w:rPr>
                      <w:t xml:space="preserve">11, pp. 146-154, 2005. </w:t>
                    </w:r>
                  </w:p>
                </w:tc>
              </w:tr>
              <w:tr w:rsidR="002D6947" w:rsidRPr="004B28DB" w14:paraId="4B03906E" w14:textId="77777777">
                <w:trPr>
                  <w:tblCellSpacing w:w="15" w:type="dxa"/>
                </w:trPr>
                <w:tc>
                  <w:tcPr>
                    <w:tcW w:w="50" w:type="pct"/>
                    <w:hideMark/>
                  </w:tcPr>
                  <w:p w14:paraId="316AF8B9" w14:textId="77777777" w:rsidR="002D6947" w:rsidRDefault="002D6947">
                    <w:pPr>
                      <w:pStyle w:val="Bibliographie"/>
                      <w:rPr>
                        <w:rFonts w:eastAsiaTheme="minorEastAsia"/>
                        <w:noProof/>
                      </w:rPr>
                    </w:pPr>
                    <w:r>
                      <w:rPr>
                        <w:noProof/>
                      </w:rPr>
                      <w:t xml:space="preserve">[9] </w:t>
                    </w:r>
                  </w:p>
                </w:tc>
                <w:tc>
                  <w:tcPr>
                    <w:tcW w:w="0" w:type="auto"/>
                    <w:hideMark/>
                  </w:tcPr>
                  <w:p w14:paraId="6FD49FCE" w14:textId="77777777" w:rsidR="002D6947" w:rsidRPr="001A768D" w:rsidRDefault="002D6947">
                    <w:pPr>
                      <w:pStyle w:val="Bibliographie"/>
                      <w:rPr>
                        <w:rFonts w:eastAsiaTheme="minorEastAsia"/>
                        <w:noProof/>
                        <w:lang w:val="en-GB"/>
                      </w:rPr>
                    </w:pPr>
                    <w:r w:rsidRPr="001A768D">
                      <w:rPr>
                        <w:noProof/>
                        <w:lang w:val="en-GB"/>
                      </w:rPr>
                      <w:t xml:space="preserve">J. Benbow, J. Aubrecht, M. Banker, D. Nettleton and M. Aleo, “Predicting safety toleration of pharmaceutical chemical leads: Cytotoxicity correlations to exploratory toxicity studies.,” </w:t>
                    </w:r>
                    <w:r w:rsidRPr="001A768D">
                      <w:rPr>
                        <w:i/>
                        <w:iCs/>
                        <w:noProof/>
                        <w:lang w:val="en-GB"/>
                      </w:rPr>
                      <w:t xml:space="preserve">Toxicology Letters, </w:t>
                    </w:r>
                    <w:r w:rsidRPr="001A768D">
                      <w:rPr>
                        <w:noProof/>
                        <w:lang w:val="en-GB"/>
                      </w:rPr>
                      <w:t xml:space="preserve">pp. 175-182, 2010. </w:t>
                    </w:r>
                  </w:p>
                </w:tc>
              </w:tr>
              <w:tr w:rsidR="002D6947" w:rsidRPr="004B28DB" w14:paraId="23079626" w14:textId="77777777">
                <w:trPr>
                  <w:tblCellSpacing w:w="15" w:type="dxa"/>
                </w:trPr>
                <w:tc>
                  <w:tcPr>
                    <w:tcW w:w="50" w:type="pct"/>
                    <w:hideMark/>
                  </w:tcPr>
                  <w:p w14:paraId="62C8A9B2" w14:textId="77777777" w:rsidR="002D6947" w:rsidRDefault="002D6947">
                    <w:pPr>
                      <w:pStyle w:val="Bibliographie"/>
                      <w:rPr>
                        <w:rFonts w:eastAsiaTheme="minorEastAsia"/>
                        <w:noProof/>
                      </w:rPr>
                    </w:pPr>
                    <w:r>
                      <w:rPr>
                        <w:noProof/>
                      </w:rPr>
                      <w:t xml:space="preserve">[10] </w:t>
                    </w:r>
                  </w:p>
                </w:tc>
                <w:tc>
                  <w:tcPr>
                    <w:tcW w:w="0" w:type="auto"/>
                    <w:hideMark/>
                  </w:tcPr>
                  <w:p w14:paraId="4722F46B" w14:textId="3EF7139F" w:rsidR="002D6947" w:rsidRPr="001A768D" w:rsidRDefault="002D6947">
                    <w:pPr>
                      <w:pStyle w:val="Bibliographie"/>
                      <w:rPr>
                        <w:rFonts w:eastAsiaTheme="minorEastAsia"/>
                        <w:noProof/>
                        <w:lang w:val="en-GB"/>
                      </w:rPr>
                    </w:pPr>
                    <w:r w:rsidRPr="001A768D">
                      <w:rPr>
                        <w:noProof/>
                        <w:lang w:val="en-GB"/>
                      </w:rPr>
                      <w:t xml:space="preserve">V. Abraham, D. Towne, J. F. Waring, U. Warrior et D. Burns, «Application of a high-content multiparameter cytotoxicity assay to prioritize compounds based on toxicity potential in humans.,» </w:t>
                    </w:r>
                    <w:r w:rsidRPr="001A768D">
                      <w:rPr>
                        <w:i/>
                        <w:iCs/>
                        <w:noProof/>
                        <w:lang w:val="en-GB"/>
                      </w:rPr>
                      <w:t xml:space="preserve">J biomed Screen, </w:t>
                    </w:r>
                    <w:r w:rsidR="001A768D">
                      <w:rPr>
                        <w:noProof/>
                        <w:lang w:val="en-GB"/>
                      </w:rPr>
                      <w:t xml:space="preserve">vol. 13, </w:t>
                    </w:r>
                    <w:r w:rsidRPr="001A768D">
                      <w:rPr>
                        <w:noProof/>
                        <w:lang w:val="en-GB"/>
                      </w:rPr>
                      <w:t xml:space="preserve">16, pp. 527-537, 2008. </w:t>
                    </w:r>
                  </w:p>
                </w:tc>
              </w:tr>
              <w:tr w:rsidR="002D6947" w:rsidRPr="004B28DB" w14:paraId="1DFB9701" w14:textId="77777777">
                <w:trPr>
                  <w:tblCellSpacing w:w="15" w:type="dxa"/>
                </w:trPr>
                <w:tc>
                  <w:tcPr>
                    <w:tcW w:w="50" w:type="pct"/>
                    <w:hideMark/>
                  </w:tcPr>
                  <w:p w14:paraId="7517EB25" w14:textId="77777777" w:rsidR="002D6947" w:rsidRDefault="002D6947">
                    <w:pPr>
                      <w:pStyle w:val="Bibliographie"/>
                      <w:rPr>
                        <w:rFonts w:eastAsiaTheme="minorEastAsia"/>
                        <w:noProof/>
                      </w:rPr>
                    </w:pPr>
                    <w:r>
                      <w:rPr>
                        <w:noProof/>
                      </w:rPr>
                      <w:t xml:space="preserve">[11] </w:t>
                    </w:r>
                  </w:p>
                </w:tc>
                <w:tc>
                  <w:tcPr>
                    <w:tcW w:w="0" w:type="auto"/>
                    <w:hideMark/>
                  </w:tcPr>
                  <w:p w14:paraId="31A4E540" w14:textId="6035615F" w:rsidR="002D6947" w:rsidRPr="001A768D" w:rsidRDefault="002D6947">
                    <w:pPr>
                      <w:pStyle w:val="Bibliographie"/>
                      <w:rPr>
                        <w:rFonts w:eastAsiaTheme="minorEastAsia"/>
                        <w:noProof/>
                        <w:lang w:val="en-GB"/>
                      </w:rPr>
                    </w:pPr>
                    <w:r w:rsidRPr="001A768D">
                      <w:rPr>
                        <w:noProof/>
                        <w:lang w:val="en-GB"/>
                      </w:rPr>
                      <w:t xml:space="preserve">M. Persson, A. Loye, T. Mow et J. Hornberg, «A high content screening assay to predict human drug-induced liver injury during drug discovery,» </w:t>
                    </w:r>
                    <w:r w:rsidRPr="001A768D">
                      <w:rPr>
                        <w:i/>
                        <w:iCs/>
                        <w:noProof/>
                        <w:lang w:val="en-GB"/>
                      </w:rPr>
                      <w:t xml:space="preserve">J.Pharmacol.Toxicol.Methods, </w:t>
                    </w:r>
                    <w:r w:rsidR="00537EEF">
                      <w:rPr>
                        <w:noProof/>
                        <w:lang w:val="en-GB"/>
                      </w:rPr>
                      <w:t xml:space="preserve">vol. 68, </w:t>
                    </w:r>
                    <w:r w:rsidRPr="001A768D">
                      <w:rPr>
                        <w:noProof/>
                        <w:lang w:val="en-GB"/>
                      </w:rPr>
                      <w:t xml:space="preserve">13, pp. 302-313, 2013. </w:t>
                    </w:r>
                  </w:p>
                </w:tc>
              </w:tr>
              <w:tr w:rsidR="002D6947" w:rsidRPr="004B28DB" w14:paraId="4790000A" w14:textId="77777777">
                <w:trPr>
                  <w:tblCellSpacing w:w="15" w:type="dxa"/>
                </w:trPr>
                <w:tc>
                  <w:tcPr>
                    <w:tcW w:w="50" w:type="pct"/>
                    <w:hideMark/>
                  </w:tcPr>
                  <w:p w14:paraId="57DCB12B" w14:textId="77777777" w:rsidR="002D6947" w:rsidRDefault="002D6947">
                    <w:pPr>
                      <w:pStyle w:val="Bibliographie"/>
                      <w:rPr>
                        <w:rFonts w:eastAsiaTheme="minorEastAsia"/>
                        <w:noProof/>
                      </w:rPr>
                    </w:pPr>
                    <w:r>
                      <w:rPr>
                        <w:noProof/>
                      </w:rPr>
                      <w:t xml:space="preserve">[12] </w:t>
                    </w:r>
                  </w:p>
                </w:tc>
                <w:tc>
                  <w:tcPr>
                    <w:tcW w:w="0" w:type="auto"/>
                    <w:hideMark/>
                  </w:tcPr>
                  <w:p w14:paraId="4885941D" w14:textId="28EDBDA3" w:rsidR="002D6947" w:rsidRPr="001A768D" w:rsidRDefault="002D6947">
                    <w:pPr>
                      <w:pStyle w:val="Bibliographie"/>
                      <w:rPr>
                        <w:rFonts w:eastAsiaTheme="minorEastAsia"/>
                        <w:noProof/>
                        <w:lang w:val="en-GB"/>
                      </w:rPr>
                    </w:pPr>
                    <w:r>
                      <w:rPr>
                        <w:noProof/>
                      </w:rPr>
                      <w:t xml:space="preserve">M. Persson, Løye, .A.F, T. Mow et J. Hornberg, «Persson M, et al 2014. </w:t>
                    </w:r>
                    <w:r w:rsidRPr="001A768D">
                      <w:rPr>
                        <w:noProof/>
                        <w:lang w:val="en-GB"/>
                      </w:rPr>
                      <w:t xml:space="preserve">A high content screening assay to predict human drug-induced liver injury during drug discovery,» </w:t>
                    </w:r>
                    <w:r w:rsidRPr="001A768D">
                      <w:rPr>
                        <w:i/>
                        <w:iCs/>
                        <w:noProof/>
                        <w:lang w:val="en-GB"/>
                      </w:rPr>
                      <w:t xml:space="preserve">J Pharmacol Toxicol Methods, </w:t>
                    </w:r>
                    <w:r w:rsidR="001A768D">
                      <w:rPr>
                        <w:noProof/>
                        <w:lang w:val="en-GB"/>
                      </w:rPr>
                      <w:t xml:space="preserve">vol. 68, </w:t>
                    </w:r>
                    <w:r w:rsidRPr="001A768D">
                      <w:rPr>
                        <w:noProof/>
                        <w:lang w:val="en-GB"/>
                      </w:rPr>
                      <w:t xml:space="preserve">13, pp. 302-313, 2014. </w:t>
                    </w:r>
                  </w:p>
                </w:tc>
              </w:tr>
              <w:tr w:rsidR="002D6947" w:rsidRPr="004B28DB" w14:paraId="6F0C75A1" w14:textId="77777777">
                <w:trPr>
                  <w:tblCellSpacing w:w="15" w:type="dxa"/>
                </w:trPr>
                <w:tc>
                  <w:tcPr>
                    <w:tcW w:w="50" w:type="pct"/>
                    <w:hideMark/>
                  </w:tcPr>
                  <w:p w14:paraId="7A5E61DC" w14:textId="77777777" w:rsidR="002D6947" w:rsidRDefault="002D6947">
                    <w:pPr>
                      <w:pStyle w:val="Bibliographie"/>
                      <w:rPr>
                        <w:rFonts w:eastAsiaTheme="minorEastAsia"/>
                        <w:noProof/>
                      </w:rPr>
                    </w:pPr>
                    <w:r>
                      <w:rPr>
                        <w:noProof/>
                      </w:rPr>
                      <w:t xml:space="preserve">[13] </w:t>
                    </w:r>
                  </w:p>
                </w:tc>
                <w:tc>
                  <w:tcPr>
                    <w:tcW w:w="0" w:type="auto"/>
                    <w:hideMark/>
                  </w:tcPr>
                  <w:p w14:paraId="11DD3A26" w14:textId="06366AA7" w:rsidR="002D6947" w:rsidRPr="001A768D" w:rsidRDefault="002D6947">
                    <w:pPr>
                      <w:pStyle w:val="Bibliographie"/>
                      <w:rPr>
                        <w:rFonts w:eastAsiaTheme="minorEastAsia"/>
                        <w:noProof/>
                        <w:lang w:val="en-GB"/>
                      </w:rPr>
                    </w:pPr>
                    <w:r w:rsidRPr="001A768D">
                      <w:rPr>
                        <w:noProof/>
                        <w:lang w:val="en-GB"/>
                      </w:rPr>
                      <w:t xml:space="preserve">M. Persson et J. Hornberg, «Advances in Predictive Toxicology for Discovery Safety through High Content Screening.,» </w:t>
                    </w:r>
                    <w:r w:rsidRPr="001A768D">
                      <w:rPr>
                        <w:i/>
                        <w:iCs/>
                        <w:noProof/>
                        <w:lang w:val="en-GB"/>
                      </w:rPr>
                      <w:t xml:space="preserve">Chem Res Toxicol. , </w:t>
                    </w:r>
                    <w:r w:rsidRPr="001A768D">
                      <w:rPr>
                        <w:noProof/>
                        <w:lang w:val="en-GB"/>
                      </w:rPr>
                      <w:t xml:space="preserve">1Oct 21, 21 Oct 2016. </w:t>
                    </w:r>
                  </w:p>
                </w:tc>
              </w:tr>
              <w:tr w:rsidR="002D6947" w:rsidRPr="004B28DB" w14:paraId="2664EB8C" w14:textId="77777777">
                <w:trPr>
                  <w:tblCellSpacing w:w="15" w:type="dxa"/>
                </w:trPr>
                <w:tc>
                  <w:tcPr>
                    <w:tcW w:w="50" w:type="pct"/>
                    <w:hideMark/>
                  </w:tcPr>
                  <w:p w14:paraId="4C0999AC" w14:textId="77777777" w:rsidR="002D6947" w:rsidRDefault="002D6947">
                    <w:pPr>
                      <w:pStyle w:val="Bibliographie"/>
                      <w:rPr>
                        <w:rFonts w:eastAsiaTheme="minorEastAsia"/>
                        <w:noProof/>
                      </w:rPr>
                    </w:pPr>
                    <w:r>
                      <w:rPr>
                        <w:noProof/>
                      </w:rPr>
                      <w:t xml:space="preserve">[14] </w:t>
                    </w:r>
                  </w:p>
                </w:tc>
                <w:tc>
                  <w:tcPr>
                    <w:tcW w:w="0" w:type="auto"/>
                    <w:hideMark/>
                  </w:tcPr>
                  <w:p w14:paraId="275942D0" w14:textId="72395154" w:rsidR="002D6947" w:rsidRPr="001A768D" w:rsidRDefault="002D6947">
                    <w:pPr>
                      <w:pStyle w:val="Bibliographie"/>
                      <w:rPr>
                        <w:rFonts w:eastAsiaTheme="minorEastAsia"/>
                        <w:noProof/>
                        <w:lang w:val="en-GB"/>
                      </w:rPr>
                    </w:pPr>
                    <w:r w:rsidRPr="001A768D">
                      <w:rPr>
                        <w:noProof/>
                        <w:lang w:val="en-GB"/>
                      </w:rPr>
                      <w:t xml:space="preserve">L. Lin et Y. Will, «Evalaution of drugs with specific organ toxicities in organ-specific cell lines.,» </w:t>
                    </w:r>
                    <w:r w:rsidRPr="001A768D">
                      <w:rPr>
                        <w:i/>
                        <w:iCs/>
                        <w:noProof/>
                        <w:lang w:val="en-GB"/>
                      </w:rPr>
                      <w:t xml:space="preserve">Toxicologial Sciences, </w:t>
                    </w:r>
                    <w:r w:rsidR="001A768D">
                      <w:rPr>
                        <w:noProof/>
                        <w:lang w:val="en-GB"/>
                      </w:rPr>
                      <w:t xml:space="preserve">vol. 126, </w:t>
                    </w:r>
                    <w:r w:rsidRPr="001A768D">
                      <w:rPr>
                        <w:noProof/>
                        <w:lang w:val="en-GB"/>
                      </w:rPr>
                      <w:t xml:space="preserve">1114-127, 2012. </w:t>
                    </w:r>
                  </w:p>
                </w:tc>
              </w:tr>
              <w:tr w:rsidR="002D6947" w:rsidRPr="004B28DB" w14:paraId="6994AAE0" w14:textId="77777777">
                <w:trPr>
                  <w:tblCellSpacing w:w="15" w:type="dxa"/>
                </w:trPr>
                <w:tc>
                  <w:tcPr>
                    <w:tcW w:w="50" w:type="pct"/>
                    <w:hideMark/>
                  </w:tcPr>
                  <w:p w14:paraId="08AD265D" w14:textId="77777777" w:rsidR="002D6947" w:rsidRDefault="002D6947">
                    <w:pPr>
                      <w:pStyle w:val="Bibliographie"/>
                      <w:rPr>
                        <w:rFonts w:eastAsiaTheme="minorEastAsia"/>
                        <w:noProof/>
                      </w:rPr>
                    </w:pPr>
                    <w:r>
                      <w:rPr>
                        <w:noProof/>
                      </w:rPr>
                      <w:t xml:space="preserve">[15] </w:t>
                    </w:r>
                  </w:p>
                </w:tc>
                <w:tc>
                  <w:tcPr>
                    <w:tcW w:w="0" w:type="auto"/>
                    <w:hideMark/>
                  </w:tcPr>
                  <w:p w14:paraId="75A582B7" w14:textId="7209F36B" w:rsidR="002D6947" w:rsidRPr="001A768D" w:rsidRDefault="002D6947">
                    <w:pPr>
                      <w:pStyle w:val="Bibliographie"/>
                      <w:rPr>
                        <w:rFonts w:eastAsiaTheme="minorEastAsia"/>
                        <w:noProof/>
                        <w:lang w:val="en-GB"/>
                      </w:rPr>
                    </w:pPr>
                    <w:r w:rsidRPr="001A768D">
                      <w:rPr>
                        <w:noProof/>
                        <w:lang w:val="en-GB"/>
                      </w:rPr>
                      <w:t xml:space="preserve">U. Marx, T. Andersson, A. Bahinski, M. Beilmann, S. Beken, F. Cassee, M. Cirit, M. Daneshian, S. Fitzpatrick, O. Frey, C. Gaertner, C. Giese, L. Griffith, T. Hartung, M. Heringa, J. Hoeng, W. de Jong, H. Kojima, J. Kuehnl, M. Leist, L. A et e. al., «Biology-inspired microphysiological system approaches to solve the prediction dilemma of substance testing.,» </w:t>
                    </w:r>
                    <w:r w:rsidRPr="001A768D">
                      <w:rPr>
                        <w:i/>
                        <w:iCs/>
                        <w:noProof/>
                        <w:lang w:val="en-GB"/>
                      </w:rPr>
                      <w:t xml:space="preserve">ALTEX, </w:t>
                    </w:r>
                    <w:r w:rsidR="001A768D">
                      <w:rPr>
                        <w:noProof/>
                        <w:lang w:val="en-GB"/>
                      </w:rPr>
                      <w:t xml:space="preserve">vol. 33, </w:t>
                    </w:r>
                    <w:r w:rsidRPr="001A768D">
                      <w:rPr>
                        <w:noProof/>
                        <w:lang w:val="en-GB"/>
                      </w:rPr>
                      <w:t xml:space="preserve">13, pp. 272-321, 2016. </w:t>
                    </w:r>
                  </w:p>
                </w:tc>
              </w:tr>
              <w:tr w:rsidR="002D6947" w:rsidRPr="004B28DB" w14:paraId="45822A44" w14:textId="77777777">
                <w:trPr>
                  <w:tblCellSpacing w:w="15" w:type="dxa"/>
                </w:trPr>
                <w:tc>
                  <w:tcPr>
                    <w:tcW w:w="50" w:type="pct"/>
                    <w:hideMark/>
                  </w:tcPr>
                  <w:p w14:paraId="076C5215" w14:textId="77777777" w:rsidR="002D6947" w:rsidRDefault="002D6947">
                    <w:pPr>
                      <w:pStyle w:val="Bibliographie"/>
                      <w:rPr>
                        <w:rFonts w:eastAsiaTheme="minorEastAsia"/>
                        <w:noProof/>
                      </w:rPr>
                    </w:pPr>
                    <w:r>
                      <w:rPr>
                        <w:noProof/>
                      </w:rPr>
                      <w:t xml:space="preserve">[16] </w:t>
                    </w:r>
                  </w:p>
                </w:tc>
                <w:tc>
                  <w:tcPr>
                    <w:tcW w:w="0" w:type="auto"/>
                    <w:hideMark/>
                  </w:tcPr>
                  <w:p w14:paraId="6195A906" w14:textId="5BCE0C70" w:rsidR="002D6947" w:rsidRPr="001A768D" w:rsidRDefault="002D6947">
                    <w:pPr>
                      <w:pStyle w:val="Bibliographie"/>
                      <w:rPr>
                        <w:rFonts w:eastAsiaTheme="minorEastAsia"/>
                        <w:noProof/>
                        <w:lang w:val="en-GB"/>
                      </w:rPr>
                    </w:pPr>
                    <w:r w:rsidRPr="001A768D">
                      <w:rPr>
                        <w:noProof/>
                        <w:lang w:val="en-GB"/>
                      </w:rPr>
                      <w:t xml:space="preserve">R. Sison-Young, D. Mitsa, R. E. Jenkins, D. Mottram, E. Alexandre, L. Richert, H. Aerts, R. Weaver, R. Jones, E. Johann, P. Hewitt, M. Ingelman-Sundberg, C. Goldring, N. Kitteringham et B. Park, «Comparative Proteomic Characterization of 4 Human Liver-Derived Single Cell Culture Models Reveals Significant Variation in the Capacity for Drug Disposition, Bioactivation, and Detoxication.,» </w:t>
                    </w:r>
                    <w:r w:rsidRPr="001A768D">
                      <w:rPr>
                        <w:i/>
                        <w:iCs/>
                        <w:noProof/>
                        <w:lang w:val="en-GB"/>
                      </w:rPr>
                      <w:t xml:space="preserve">Toxicol Sci. 2015 Oct;147(2):412-24, </w:t>
                    </w:r>
                    <w:r w:rsidR="001A768D">
                      <w:rPr>
                        <w:noProof/>
                        <w:lang w:val="en-GB"/>
                      </w:rPr>
                      <w:t xml:space="preserve">vol. 147, </w:t>
                    </w:r>
                    <w:r w:rsidRPr="001A768D">
                      <w:rPr>
                        <w:noProof/>
                        <w:lang w:val="en-GB"/>
                      </w:rPr>
                      <w:t xml:space="preserve">12, pp. 412-424, 2015. </w:t>
                    </w:r>
                  </w:p>
                </w:tc>
              </w:tr>
              <w:tr w:rsidR="002D6947" w14:paraId="04A0CAE5" w14:textId="77777777">
                <w:trPr>
                  <w:tblCellSpacing w:w="15" w:type="dxa"/>
                </w:trPr>
                <w:tc>
                  <w:tcPr>
                    <w:tcW w:w="50" w:type="pct"/>
                    <w:hideMark/>
                  </w:tcPr>
                  <w:p w14:paraId="2D9C3970" w14:textId="77777777" w:rsidR="002D6947" w:rsidRDefault="002D6947">
                    <w:pPr>
                      <w:pStyle w:val="Bibliographie"/>
                      <w:rPr>
                        <w:rFonts w:eastAsiaTheme="minorEastAsia"/>
                        <w:noProof/>
                      </w:rPr>
                    </w:pPr>
                    <w:r>
                      <w:rPr>
                        <w:noProof/>
                      </w:rPr>
                      <w:t xml:space="preserve">[17] </w:t>
                    </w:r>
                  </w:p>
                </w:tc>
                <w:tc>
                  <w:tcPr>
                    <w:tcW w:w="0" w:type="auto"/>
                    <w:hideMark/>
                  </w:tcPr>
                  <w:p w14:paraId="5D544325" w14:textId="77777777" w:rsidR="002D6947" w:rsidRDefault="002D6947">
                    <w:pPr>
                      <w:pStyle w:val="Bibliographie"/>
                      <w:rPr>
                        <w:rFonts w:eastAsiaTheme="minorEastAsia"/>
                        <w:noProof/>
                      </w:rPr>
                    </w:pPr>
                    <w:r w:rsidRPr="001A768D">
                      <w:rPr>
                        <w:noProof/>
                        <w:lang w:val="en-GB"/>
                      </w:rPr>
                      <w:t xml:space="preserve">Gerets, H.H, E. Hanon, M. Cornet, S. Dhalluin, O. Depelchin, M. Canning et A. F.A., «Selection of cytotoxicity markers for the screening of new chemical entities in a pharmaceutical context: A preliminary study using a multiplexing approach. </w:t>
                    </w:r>
                    <w:r>
                      <w:rPr>
                        <w:noProof/>
                      </w:rPr>
                      <w:t xml:space="preserve">Toxico,» </w:t>
                    </w:r>
                    <w:r>
                      <w:rPr>
                        <w:i/>
                        <w:iCs/>
                        <w:noProof/>
                      </w:rPr>
                      <w:t xml:space="preserve">Toxicology in vitro, </w:t>
                    </w:r>
                    <w:r>
                      <w:rPr>
                        <w:noProof/>
                      </w:rPr>
                      <w:t xml:space="preserve">vol. 23, pp. 319-332, 2009. </w:t>
                    </w:r>
                  </w:p>
                </w:tc>
              </w:tr>
              <w:tr w:rsidR="002D6947" w:rsidRPr="004B28DB" w14:paraId="12E2408D" w14:textId="77777777">
                <w:trPr>
                  <w:tblCellSpacing w:w="15" w:type="dxa"/>
                </w:trPr>
                <w:tc>
                  <w:tcPr>
                    <w:tcW w:w="50" w:type="pct"/>
                    <w:hideMark/>
                  </w:tcPr>
                  <w:p w14:paraId="27946E9D" w14:textId="77777777" w:rsidR="002D6947" w:rsidRDefault="002D6947">
                    <w:pPr>
                      <w:pStyle w:val="Bibliographie"/>
                      <w:rPr>
                        <w:rFonts w:eastAsiaTheme="minorEastAsia"/>
                        <w:noProof/>
                      </w:rPr>
                    </w:pPr>
                    <w:r>
                      <w:rPr>
                        <w:noProof/>
                      </w:rPr>
                      <w:t xml:space="preserve">[18] </w:t>
                    </w:r>
                  </w:p>
                </w:tc>
                <w:tc>
                  <w:tcPr>
                    <w:tcW w:w="0" w:type="auto"/>
                    <w:hideMark/>
                  </w:tcPr>
                  <w:p w14:paraId="04643217" w14:textId="77777777" w:rsidR="002D6947" w:rsidRPr="001A768D" w:rsidRDefault="002D6947">
                    <w:pPr>
                      <w:pStyle w:val="Bibliographie"/>
                      <w:rPr>
                        <w:rFonts w:eastAsiaTheme="minorEastAsia"/>
                        <w:noProof/>
                        <w:lang w:val="en-GB"/>
                      </w:rPr>
                    </w:pPr>
                    <w:r w:rsidRPr="001A768D">
                      <w:rPr>
                        <w:noProof/>
                        <w:lang w:val="en-GB"/>
                      </w:rPr>
                      <w:t xml:space="preserve">W. Schoonen, J. de Roos, W. Westerink et E. Débiton, «Cytotoxic effects of 110 reference compounds on </w:t>
                    </w:r>
                    <w:r w:rsidRPr="001A768D">
                      <w:rPr>
                        <w:noProof/>
                        <w:lang w:val="en-GB"/>
                      </w:rPr>
                      <w:lastRenderedPageBreak/>
                      <w:t xml:space="preserve">HepG2 cells and for 60 compounds on HeLa, ECC-1 and CHO cells. II Mechanistic assays on NAD(P)H, ATP and DNA contents.,» </w:t>
                    </w:r>
                    <w:r w:rsidRPr="001A768D">
                      <w:rPr>
                        <w:i/>
                        <w:iCs/>
                        <w:noProof/>
                        <w:lang w:val="en-GB"/>
                      </w:rPr>
                      <w:t xml:space="preserve">Toxicology In Vitro, </w:t>
                    </w:r>
                    <w:r w:rsidRPr="001A768D">
                      <w:rPr>
                        <w:noProof/>
                        <w:lang w:val="en-GB"/>
                      </w:rPr>
                      <w:t xml:space="preserve">vol. 19, pp. 491-503, 2005a. </w:t>
                    </w:r>
                  </w:p>
                </w:tc>
              </w:tr>
              <w:tr w:rsidR="002D6947" w:rsidRPr="004B28DB" w14:paraId="2AB64966" w14:textId="77777777">
                <w:trPr>
                  <w:tblCellSpacing w:w="15" w:type="dxa"/>
                </w:trPr>
                <w:tc>
                  <w:tcPr>
                    <w:tcW w:w="50" w:type="pct"/>
                    <w:hideMark/>
                  </w:tcPr>
                  <w:p w14:paraId="0CD30A70" w14:textId="77777777" w:rsidR="002D6947" w:rsidRDefault="002D6947">
                    <w:pPr>
                      <w:pStyle w:val="Bibliographie"/>
                      <w:rPr>
                        <w:rFonts w:eastAsiaTheme="minorEastAsia"/>
                        <w:noProof/>
                      </w:rPr>
                    </w:pPr>
                    <w:r>
                      <w:rPr>
                        <w:noProof/>
                      </w:rPr>
                      <w:lastRenderedPageBreak/>
                      <w:t xml:space="preserve">[19] </w:t>
                    </w:r>
                  </w:p>
                </w:tc>
                <w:tc>
                  <w:tcPr>
                    <w:tcW w:w="0" w:type="auto"/>
                    <w:hideMark/>
                  </w:tcPr>
                  <w:p w14:paraId="17441A6B" w14:textId="77777777" w:rsidR="002D6947" w:rsidRPr="001A768D" w:rsidRDefault="002D6947">
                    <w:pPr>
                      <w:pStyle w:val="Bibliographie"/>
                      <w:rPr>
                        <w:rFonts w:eastAsiaTheme="minorEastAsia"/>
                        <w:noProof/>
                        <w:lang w:val="en-GB"/>
                      </w:rPr>
                    </w:pPr>
                    <w:r w:rsidRPr="001A768D">
                      <w:rPr>
                        <w:noProof/>
                        <w:lang w:val="en-GB"/>
                      </w:rPr>
                      <w:t xml:space="preserve">W. Schoonen, J. de Roos, W. Westerink et E. Débiton, «Cytotoxic effects of 100 reference compounds on HepG2 and HeLa cells and of 60 compounds on ECC-1 and CHO cells. I. Mechanistic assays on ROS,glutathione depletion and calcein uptake.,» </w:t>
                    </w:r>
                    <w:r w:rsidRPr="001A768D">
                      <w:rPr>
                        <w:i/>
                        <w:iCs/>
                        <w:noProof/>
                        <w:lang w:val="en-GB"/>
                      </w:rPr>
                      <w:t xml:space="preserve">Toxicology in vitro, </w:t>
                    </w:r>
                    <w:r w:rsidRPr="001A768D">
                      <w:rPr>
                        <w:noProof/>
                        <w:lang w:val="en-GB"/>
                      </w:rPr>
                      <w:t xml:space="preserve">vol. 19, pp. 505-516, 2005b. </w:t>
                    </w:r>
                  </w:p>
                </w:tc>
              </w:tr>
              <w:tr w:rsidR="002D6947" w:rsidRPr="004B28DB" w14:paraId="05E9C48A" w14:textId="77777777">
                <w:trPr>
                  <w:tblCellSpacing w:w="15" w:type="dxa"/>
                </w:trPr>
                <w:tc>
                  <w:tcPr>
                    <w:tcW w:w="50" w:type="pct"/>
                    <w:hideMark/>
                  </w:tcPr>
                  <w:p w14:paraId="2E2A8F52" w14:textId="77777777" w:rsidR="002D6947" w:rsidRDefault="002D6947">
                    <w:pPr>
                      <w:pStyle w:val="Bibliographie"/>
                      <w:rPr>
                        <w:rFonts w:eastAsiaTheme="minorEastAsia"/>
                        <w:noProof/>
                      </w:rPr>
                    </w:pPr>
                    <w:r>
                      <w:rPr>
                        <w:noProof/>
                      </w:rPr>
                      <w:t xml:space="preserve">[20] </w:t>
                    </w:r>
                  </w:p>
                </w:tc>
                <w:tc>
                  <w:tcPr>
                    <w:tcW w:w="0" w:type="auto"/>
                    <w:hideMark/>
                  </w:tcPr>
                  <w:p w14:paraId="31C8F849" w14:textId="16CF8DDF" w:rsidR="002D6947" w:rsidRPr="001A768D" w:rsidRDefault="002D6947">
                    <w:pPr>
                      <w:pStyle w:val="Bibliographie"/>
                      <w:rPr>
                        <w:rFonts w:eastAsiaTheme="minorEastAsia"/>
                        <w:noProof/>
                        <w:lang w:val="en-GB"/>
                      </w:rPr>
                    </w:pPr>
                    <w:r w:rsidRPr="001A768D">
                      <w:rPr>
                        <w:noProof/>
                        <w:lang w:val="en-GB"/>
                      </w:rPr>
                      <w:t xml:space="preserve">P. O'Brien, W. Irwin, D. Diaz, E. Howard-Cofield, C. Krejsa, M. Slaughter, B. Gao, N. Kaludercic, A. Angeline, P. Bernardi, P. Brain et C. Hougham, «High concordance of drug-induced human hepatotoxicity with in vitro cytotoxicity measured in a novel cell-based model using high content screening,» </w:t>
                    </w:r>
                    <w:r w:rsidRPr="001A768D">
                      <w:rPr>
                        <w:i/>
                        <w:iCs/>
                        <w:noProof/>
                        <w:lang w:val="en-GB"/>
                      </w:rPr>
                      <w:t xml:space="preserve">Arch Toxicol. , </w:t>
                    </w:r>
                    <w:r w:rsidR="001A768D">
                      <w:rPr>
                        <w:noProof/>
                        <w:lang w:val="en-GB"/>
                      </w:rPr>
                      <w:t xml:space="preserve">vol. 80, </w:t>
                    </w:r>
                    <w:r w:rsidRPr="001A768D">
                      <w:rPr>
                        <w:noProof/>
                        <w:lang w:val="en-GB"/>
                      </w:rPr>
                      <w:t xml:space="preserve">19, pp. 580-604, 2006. </w:t>
                    </w:r>
                  </w:p>
                </w:tc>
              </w:tr>
              <w:tr w:rsidR="002D6947" w:rsidRPr="004B28DB" w14:paraId="6DC5D6C5" w14:textId="77777777">
                <w:trPr>
                  <w:tblCellSpacing w:w="15" w:type="dxa"/>
                </w:trPr>
                <w:tc>
                  <w:tcPr>
                    <w:tcW w:w="50" w:type="pct"/>
                    <w:hideMark/>
                  </w:tcPr>
                  <w:p w14:paraId="7425A890" w14:textId="77777777" w:rsidR="002D6947" w:rsidRDefault="002D6947">
                    <w:pPr>
                      <w:pStyle w:val="Bibliographie"/>
                      <w:rPr>
                        <w:rFonts w:eastAsiaTheme="minorEastAsia"/>
                        <w:noProof/>
                      </w:rPr>
                    </w:pPr>
                    <w:r>
                      <w:rPr>
                        <w:noProof/>
                      </w:rPr>
                      <w:t xml:space="preserve">[21] </w:t>
                    </w:r>
                  </w:p>
                </w:tc>
                <w:tc>
                  <w:tcPr>
                    <w:tcW w:w="0" w:type="auto"/>
                    <w:hideMark/>
                  </w:tcPr>
                  <w:p w14:paraId="63C0929F" w14:textId="77777777" w:rsidR="002D6947" w:rsidRPr="001A768D" w:rsidRDefault="002D6947">
                    <w:pPr>
                      <w:pStyle w:val="Bibliographie"/>
                      <w:rPr>
                        <w:rFonts w:eastAsiaTheme="minorEastAsia"/>
                        <w:noProof/>
                        <w:lang w:val="en-GB"/>
                      </w:rPr>
                    </w:pPr>
                    <w:r w:rsidRPr="001A768D">
                      <w:rPr>
                        <w:noProof/>
                        <w:lang w:val="en-GB"/>
                      </w:rPr>
                      <w:t xml:space="preserve">N. Hewitt et P. Hewitt, «Phase I and II enzyme characterization of two sources of HepG2 cell lines,» </w:t>
                    </w:r>
                    <w:r w:rsidRPr="001A768D">
                      <w:rPr>
                        <w:i/>
                        <w:iCs/>
                        <w:noProof/>
                        <w:lang w:val="en-GB"/>
                      </w:rPr>
                      <w:t xml:space="preserve">Xenobiotica, </w:t>
                    </w:r>
                    <w:r w:rsidRPr="001A768D">
                      <w:rPr>
                        <w:noProof/>
                        <w:lang w:val="en-GB"/>
                      </w:rPr>
                      <w:t xml:space="preserve">vol. 34, p. 243–56, 2004. </w:t>
                    </w:r>
                  </w:p>
                </w:tc>
              </w:tr>
              <w:tr w:rsidR="002D6947" w:rsidRPr="004B28DB" w14:paraId="5A6A75F5" w14:textId="77777777">
                <w:trPr>
                  <w:tblCellSpacing w:w="15" w:type="dxa"/>
                </w:trPr>
                <w:tc>
                  <w:tcPr>
                    <w:tcW w:w="50" w:type="pct"/>
                    <w:hideMark/>
                  </w:tcPr>
                  <w:p w14:paraId="59CD2AD1" w14:textId="77777777" w:rsidR="002D6947" w:rsidRDefault="002D6947">
                    <w:pPr>
                      <w:pStyle w:val="Bibliographie"/>
                      <w:rPr>
                        <w:rFonts w:eastAsiaTheme="minorEastAsia"/>
                        <w:noProof/>
                      </w:rPr>
                    </w:pPr>
                    <w:r>
                      <w:rPr>
                        <w:noProof/>
                      </w:rPr>
                      <w:t xml:space="preserve">[22] </w:t>
                    </w:r>
                  </w:p>
                </w:tc>
                <w:tc>
                  <w:tcPr>
                    <w:tcW w:w="0" w:type="auto"/>
                    <w:hideMark/>
                  </w:tcPr>
                  <w:p w14:paraId="2EF0794E" w14:textId="1BACC010" w:rsidR="002D6947" w:rsidRPr="001A768D" w:rsidRDefault="002D6947">
                    <w:pPr>
                      <w:pStyle w:val="Bibliographie"/>
                      <w:rPr>
                        <w:rFonts w:eastAsiaTheme="minorEastAsia"/>
                        <w:noProof/>
                        <w:lang w:val="en-GB"/>
                      </w:rPr>
                    </w:pPr>
                    <w:r w:rsidRPr="001A768D">
                      <w:rPr>
                        <w:noProof/>
                        <w:lang w:val="en-GB"/>
                      </w:rPr>
                      <w:t xml:space="preserve">H. McBride, M. Neuspiel et S. Wasiak, «Mitochondria More Than Just a Powerhouse,» </w:t>
                    </w:r>
                    <w:r w:rsidRPr="001A768D">
                      <w:rPr>
                        <w:i/>
                        <w:iCs/>
                        <w:noProof/>
                        <w:lang w:val="en-GB"/>
                      </w:rPr>
                      <w:t xml:space="preserve">Curr Biol, </w:t>
                    </w:r>
                    <w:r w:rsidR="001A768D">
                      <w:rPr>
                        <w:noProof/>
                        <w:lang w:val="en-GB"/>
                      </w:rPr>
                      <w:t xml:space="preserve">vol. 16, </w:t>
                    </w:r>
                    <w:r w:rsidRPr="001A768D">
                      <w:rPr>
                        <w:noProof/>
                        <w:lang w:val="en-GB"/>
                      </w:rPr>
                      <w:t xml:space="preserve">114, pp. 551-560, 2006. </w:t>
                    </w:r>
                  </w:p>
                </w:tc>
              </w:tr>
              <w:tr w:rsidR="002D6947" w:rsidRPr="004B28DB" w14:paraId="2609568A" w14:textId="77777777">
                <w:trPr>
                  <w:tblCellSpacing w:w="15" w:type="dxa"/>
                </w:trPr>
                <w:tc>
                  <w:tcPr>
                    <w:tcW w:w="50" w:type="pct"/>
                    <w:hideMark/>
                  </w:tcPr>
                  <w:p w14:paraId="413C22ED" w14:textId="77777777" w:rsidR="002D6947" w:rsidRDefault="002D6947">
                    <w:pPr>
                      <w:pStyle w:val="Bibliographie"/>
                      <w:rPr>
                        <w:rFonts w:eastAsiaTheme="minorEastAsia"/>
                        <w:noProof/>
                      </w:rPr>
                    </w:pPr>
                    <w:r>
                      <w:rPr>
                        <w:noProof/>
                      </w:rPr>
                      <w:t xml:space="preserve">[23] </w:t>
                    </w:r>
                  </w:p>
                </w:tc>
                <w:tc>
                  <w:tcPr>
                    <w:tcW w:w="0" w:type="auto"/>
                    <w:hideMark/>
                  </w:tcPr>
                  <w:p w14:paraId="5B97128A" w14:textId="77777777" w:rsidR="002D6947" w:rsidRDefault="002D6947">
                    <w:pPr>
                      <w:pStyle w:val="Bibliographie"/>
                      <w:rPr>
                        <w:noProof/>
                        <w:lang w:val="en-GB"/>
                      </w:rPr>
                    </w:pPr>
                    <w:r w:rsidRPr="001A768D">
                      <w:rPr>
                        <w:noProof/>
                        <w:lang w:val="en-GB"/>
                      </w:rPr>
                      <w:t xml:space="preserve">J. Dykens et Y. Will, «The significance of mitochondrial toxicity testing in drug development.,» </w:t>
                    </w:r>
                    <w:r w:rsidRPr="001A768D">
                      <w:rPr>
                        <w:i/>
                        <w:iCs/>
                        <w:noProof/>
                        <w:lang w:val="en-GB"/>
                      </w:rPr>
                      <w:t xml:space="preserve">Drug Discovery Today, </w:t>
                    </w:r>
                    <w:r w:rsidRPr="001A768D">
                      <w:rPr>
                        <w:noProof/>
                        <w:lang w:val="en-GB"/>
                      </w:rPr>
                      <w:t xml:space="preserve">vol. 12, pp. 777-785, 2007. </w:t>
                    </w:r>
                  </w:p>
                  <w:p w14:paraId="3B14BFA8" w14:textId="4DAF2D52" w:rsidR="002D6947" w:rsidRPr="001A768D" w:rsidRDefault="002D6947" w:rsidP="001A768D">
                    <w:pPr>
                      <w:rPr>
                        <w:rFonts w:eastAsiaTheme="minorEastAsia"/>
                        <w:lang w:val="en-GB"/>
                      </w:rPr>
                    </w:pPr>
                    <w:r w:rsidRPr="00974D2C">
                      <w:rPr>
                        <w:rFonts w:eastAsiaTheme="minorEastAsia"/>
                        <w:color w:val="984806" w:themeColor="accent6" w:themeShade="80"/>
                        <w:lang w:val="en-GB"/>
                      </w:rPr>
                      <w:t>* An valuable contribution on mitochondrial toxicities in drug discovery</w:t>
                    </w:r>
                  </w:p>
                </w:tc>
              </w:tr>
              <w:tr w:rsidR="002D6947" w14:paraId="52F6B0A4" w14:textId="77777777">
                <w:trPr>
                  <w:tblCellSpacing w:w="15" w:type="dxa"/>
                </w:trPr>
                <w:tc>
                  <w:tcPr>
                    <w:tcW w:w="50" w:type="pct"/>
                    <w:hideMark/>
                  </w:tcPr>
                  <w:p w14:paraId="4F49C30D" w14:textId="77777777" w:rsidR="002D6947" w:rsidRDefault="002D6947">
                    <w:pPr>
                      <w:pStyle w:val="Bibliographie"/>
                      <w:rPr>
                        <w:rFonts w:eastAsiaTheme="minorEastAsia"/>
                        <w:noProof/>
                      </w:rPr>
                    </w:pPr>
                    <w:r>
                      <w:rPr>
                        <w:noProof/>
                      </w:rPr>
                      <w:t xml:space="preserve">[24] </w:t>
                    </w:r>
                  </w:p>
                </w:tc>
                <w:tc>
                  <w:tcPr>
                    <w:tcW w:w="0" w:type="auto"/>
                    <w:hideMark/>
                  </w:tcPr>
                  <w:p w14:paraId="5BCC982C" w14:textId="77777777" w:rsidR="002D6947" w:rsidRDefault="002D6947">
                    <w:pPr>
                      <w:pStyle w:val="Bibliographie"/>
                      <w:rPr>
                        <w:rFonts w:eastAsiaTheme="minorEastAsia"/>
                        <w:noProof/>
                      </w:rPr>
                    </w:pPr>
                    <w:r w:rsidRPr="001A768D">
                      <w:rPr>
                        <w:noProof/>
                        <w:lang w:val="en-GB"/>
                      </w:rPr>
                      <w:t xml:space="preserve">D. Pessayre, B. Fromenty, A. Berson, M. Robin, P. Lettéron, R. Moreau et A. Mansouri, «Central role of mitochondria in drug-induced liver injury,» </w:t>
                    </w:r>
                    <w:r w:rsidRPr="001A768D">
                      <w:rPr>
                        <w:i/>
                        <w:iCs/>
                        <w:noProof/>
                        <w:lang w:val="en-GB"/>
                      </w:rPr>
                      <w:t xml:space="preserve">Drug Metab. </w:t>
                    </w:r>
                    <w:r>
                      <w:rPr>
                        <w:i/>
                        <w:iCs/>
                        <w:noProof/>
                      </w:rPr>
                      <w:t xml:space="preserve">Rev., </w:t>
                    </w:r>
                    <w:r>
                      <w:rPr>
                        <w:noProof/>
                      </w:rPr>
                      <w:t xml:space="preserve">vol. 44, pp. 34-87, 2012. </w:t>
                    </w:r>
                  </w:p>
                </w:tc>
              </w:tr>
              <w:tr w:rsidR="002D6947" w:rsidRPr="004B28DB" w14:paraId="32B4E72D" w14:textId="77777777">
                <w:trPr>
                  <w:tblCellSpacing w:w="15" w:type="dxa"/>
                </w:trPr>
                <w:tc>
                  <w:tcPr>
                    <w:tcW w:w="50" w:type="pct"/>
                    <w:hideMark/>
                  </w:tcPr>
                  <w:p w14:paraId="5CE3698E" w14:textId="77777777" w:rsidR="002D6947" w:rsidRDefault="002D6947">
                    <w:pPr>
                      <w:pStyle w:val="Bibliographie"/>
                      <w:rPr>
                        <w:rFonts w:eastAsiaTheme="minorEastAsia"/>
                        <w:noProof/>
                      </w:rPr>
                    </w:pPr>
                    <w:r>
                      <w:rPr>
                        <w:noProof/>
                      </w:rPr>
                      <w:t xml:space="preserve">[25] </w:t>
                    </w:r>
                  </w:p>
                </w:tc>
                <w:tc>
                  <w:tcPr>
                    <w:tcW w:w="0" w:type="auto"/>
                    <w:hideMark/>
                  </w:tcPr>
                  <w:p w14:paraId="1B554E98" w14:textId="77777777" w:rsidR="002D6947" w:rsidRPr="001A768D" w:rsidRDefault="002D6947">
                    <w:pPr>
                      <w:pStyle w:val="Bibliographie"/>
                      <w:rPr>
                        <w:rFonts w:eastAsiaTheme="minorEastAsia"/>
                        <w:noProof/>
                        <w:lang w:val="en-GB"/>
                      </w:rPr>
                    </w:pPr>
                    <w:r w:rsidRPr="001A768D">
                      <w:rPr>
                        <w:noProof/>
                        <w:lang w:val="en-GB"/>
                      </w:rPr>
                      <w:t xml:space="preserve">B. Fromenty, «Drug-induced liver injury in obesity,» </w:t>
                    </w:r>
                    <w:r w:rsidRPr="001A768D">
                      <w:rPr>
                        <w:i/>
                        <w:iCs/>
                        <w:noProof/>
                        <w:lang w:val="en-GB"/>
                      </w:rPr>
                      <w:t xml:space="preserve">J Hepatol, </w:t>
                    </w:r>
                    <w:r w:rsidRPr="001A768D">
                      <w:rPr>
                        <w:noProof/>
                        <w:lang w:val="en-GB"/>
                      </w:rPr>
                      <w:t xml:space="preserve">vol. 58, pp. 824-826, 2013. </w:t>
                    </w:r>
                  </w:p>
                </w:tc>
              </w:tr>
              <w:tr w:rsidR="002D6947" w:rsidRPr="004B28DB" w14:paraId="4EE45BE8" w14:textId="77777777">
                <w:trPr>
                  <w:tblCellSpacing w:w="15" w:type="dxa"/>
                </w:trPr>
                <w:tc>
                  <w:tcPr>
                    <w:tcW w:w="50" w:type="pct"/>
                    <w:hideMark/>
                  </w:tcPr>
                  <w:p w14:paraId="61156789" w14:textId="77777777" w:rsidR="002D6947" w:rsidRDefault="002D6947">
                    <w:pPr>
                      <w:pStyle w:val="Bibliographie"/>
                      <w:rPr>
                        <w:rFonts w:eastAsiaTheme="minorEastAsia"/>
                        <w:noProof/>
                      </w:rPr>
                    </w:pPr>
                    <w:r>
                      <w:rPr>
                        <w:noProof/>
                      </w:rPr>
                      <w:t xml:space="preserve">[26] </w:t>
                    </w:r>
                  </w:p>
                </w:tc>
                <w:tc>
                  <w:tcPr>
                    <w:tcW w:w="0" w:type="auto"/>
                    <w:hideMark/>
                  </w:tcPr>
                  <w:p w14:paraId="0D31E9D6" w14:textId="08C4D251" w:rsidR="002D6947" w:rsidRPr="001A768D" w:rsidRDefault="002D6947">
                    <w:pPr>
                      <w:pStyle w:val="Bibliographie"/>
                      <w:rPr>
                        <w:rFonts w:eastAsiaTheme="minorEastAsia"/>
                        <w:noProof/>
                        <w:lang w:val="en-GB"/>
                      </w:rPr>
                    </w:pPr>
                    <w:r w:rsidRPr="001A768D">
                      <w:rPr>
                        <w:noProof/>
                        <w:lang w:val="en-GB"/>
                      </w:rPr>
                      <w:t xml:space="preserve">S. Nadanaciva, J. Willis, M. Barker, D. Gharaibeh, R. Capaldi, M. Marusich et Y. Will, «Assessment of drug-induced mitochondrial dysfunction via altered cellular respiration and acidification measured in a 96-well platform,» </w:t>
                    </w:r>
                    <w:r w:rsidRPr="001A768D">
                      <w:rPr>
                        <w:i/>
                        <w:iCs/>
                        <w:noProof/>
                        <w:lang w:val="en-GB"/>
                      </w:rPr>
                      <w:t xml:space="preserve">J Bioenerg Biomembr , </w:t>
                    </w:r>
                    <w:r w:rsidR="001A768D">
                      <w:rPr>
                        <w:noProof/>
                        <w:lang w:val="en-GB"/>
                      </w:rPr>
                      <w:t xml:space="preserve">vol. 44, </w:t>
                    </w:r>
                    <w:r w:rsidRPr="001A768D">
                      <w:rPr>
                        <w:noProof/>
                        <w:lang w:val="en-GB"/>
                      </w:rPr>
                      <w:t xml:space="preserve">14, pp. 421-437, 2012. </w:t>
                    </w:r>
                  </w:p>
                </w:tc>
              </w:tr>
              <w:tr w:rsidR="002D6947" w:rsidRPr="004B28DB" w14:paraId="09D737F8" w14:textId="77777777">
                <w:trPr>
                  <w:tblCellSpacing w:w="15" w:type="dxa"/>
                </w:trPr>
                <w:tc>
                  <w:tcPr>
                    <w:tcW w:w="50" w:type="pct"/>
                    <w:hideMark/>
                  </w:tcPr>
                  <w:p w14:paraId="29A6B0B8" w14:textId="77777777" w:rsidR="002D6947" w:rsidRDefault="002D6947">
                    <w:pPr>
                      <w:pStyle w:val="Bibliographie"/>
                      <w:rPr>
                        <w:rFonts w:eastAsiaTheme="minorEastAsia"/>
                        <w:noProof/>
                      </w:rPr>
                    </w:pPr>
                    <w:r>
                      <w:rPr>
                        <w:noProof/>
                      </w:rPr>
                      <w:t xml:space="preserve">[27] </w:t>
                    </w:r>
                  </w:p>
                </w:tc>
                <w:tc>
                  <w:tcPr>
                    <w:tcW w:w="0" w:type="auto"/>
                    <w:hideMark/>
                  </w:tcPr>
                  <w:p w14:paraId="7AD649B9" w14:textId="69BECFE8" w:rsidR="002D6947" w:rsidRPr="001A768D" w:rsidRDefault="002D6947">
                    <w:pPr>
                      <w:pStyle w:val="Bibliographie"/>
                      <w:rPr>
                        <w:rFonts w:eastAsiaTheme="minorEastAsia"/>
                        <w:noProof/>
                        <w:lang w:val="en-GB"/>
                      </w:rPr>
                    </w:pPr>
                    <w:r w:rsidRPr="001A768D">
                      <w:rPr>
                        <w:noProof/>
                        <w:lang w:val="en-GB"/>
                      </w:rPr>
                      <w:t xml:space="preserve">K. Begriche, J. Massart, M. Robin, A. Borgne-Sanchez et B. Fromenty, «Drug-induced toxicity on mitochondria and lipid metabolism: mechanistic diversity and deleterious consequences for the liver.,» </w:t>
                    </w:r>
                    <w:r w:rsidRPr="001A768D">
                      <w:rPr>
                        <w:i/>
                        <w:iCs/>
                        <w:noProof/>
                        <w:lang w:val="en-GB"/>
                      </w:rPr>
                      <w:t xml:space="preserve">J Hepatol., </w:t>
                    </w:r>
                    <w:r w:rsidR="001A768D">
                      <w:rPr>
                        <w:noProof/>
                        <w:lang w:val="en-GB"/>
                      </w:rPr>
                      <w:t xml:space="preserve">vol. 54, </w:t>
                    </w:r>
                    <w:r w:rsidRPr="001A768D">
                      <w:rPr>
                        <w:noProof/>
                        <w:lang w:val="en-GB"/>
                      </w:rPr>
                      <w:t xml:space="preserve">14, pp. 773-794, 2011. </w:t>
                    </w:r>
                  </w:p>
                </w:tc>
              </w:tr>
              <w:tr w:rsidR="002D6947" w:rsidRPr="004B28DB" w14:paraId="5F51F41A" w14:textId="77777777">
                <w:trPr>
                  <w:tblCellSpacing w:w="15" w:type="dxa"/>
                </w:trPr>
                <w:tc>
                  <w:tcPr>
                    <w:tcW w:w="50" w:type="pct"/>
                    <w:hideMark/>
                  </w:tcPr>
                  <w:p w14:paraId="208ADF04" w14:textId="77777777" w:rsidR="002D6947" w:rsidRDefault="002D6947">
                    <w:pPr>
                      <w:pStyle w:val="Bibliographie"/>
                      <w:rPr>
                        <w:rFonts w:eastAsiaTheme="minorEastAsia"/>
                        <w:noProof/>
                      </w:rPr>
                    </w:pPr>
                    <w:r>
                      <w:rPr>
                        <w:noProof/>
                      </w:rPr>
                      <w:t xml:space="preserve">[28] </w:t>
                    </w:r>
                  </w:p>
                </w:tc>
                <w:tc>
                  <w:tcPr>
                    <w:tcW w:w="0" w:type="auto"/>
                    <w:hideMark/>
                  </w:tcPr>
                  <w:p w14:paraId="0A9A5F98" w14:textId="394275BA" w:rsidR="002D6947" w:rsidRPr="001A768D" w:rsidRDefault="002D6947">
                    <w:pPr>
                      <w:pStyle w:val="Bibliographie"/>
                      <w:rPr>
                        <w:rFonts w:eastAsiaTheme="minorEastAsia"/>
                        <w:noProof/>
                        <w:lang w:val="en-GB"/>
                      </w:rPr>
                    </w:pPr>
                    <w:r w:rsidRPr="001A768D">
                      <w:rPr>
                        <w:noProof/>
                        <w:lang w:val="en-GB"/>
                      </w:rPr>
                      <w:t xml:space="preserve">E. McKee, M. Ferguson, A. Bentley et T. Marks, «Inhibition of mammalian mitocondrial protein synthesis by oxazolidinones,» </w:t>
                    </w:r>
                    <w:r w:rsidRPr="001A768D">
                      <w:rPr>
                        <w:i/>
                        <w:iCs/>
                        <w:noProof/>
                        <w:lang w:val="en-GB"/>
                      </w:rPr>
                      <w:t xml:space="preserve">Antimicrobial Agents Chemother., </w:t>
                    </w:r>
                    <w:r w:rsidR="001A768D">
                      <w:rPr>
                        <w:noProof/>
                        <w:lang w:val="en-GB"/>
                      </w:rPr>
                      <w:t xml:space="preserve">vol. 50, </w:t>
                    </w:r>
                    <w:r w:rsidRPr="001A768D">
                      <w:rPr>
                        <w:noProof/>
                        <w:lang w:val="en-GB"/>
                      </w:rPr>
                      <w:t xml:space="preserve">16, pp. 2042-2049, 2006. </w:t>
                    </w:r>
                  </w:p>
                </w:tc>
              </w:tr>
              <w:tr w:rsidR="002D6947" w14:paraId="0C882620" w14:textId="77777777">
                <w:trPr>
                  <w:tblCellSpacing w:w="15" w:type="dxa"/>
                </w:trPr>
                <w:tc>
                  <w:tcPr>
                    <w:tcW w:w="50" w:type="pct"/>
                    <w:hideMark/>
                  </w:tcPr>
                  <w:p w14:paraId="660E77E3" w14:textId="77777777" w:rsidR="002D6947" w:rsidRDefault="002D6947">
                    <w:pPr>
                      <w:pStyle w:val="Bibliographie"/>
                      <w:rPr>
                        <w:rFonts w:eastAsiaTheme="minorEastAsia"/>
                        <w:noProof/>
                      </w:rPr>
                    </w:pPr>
                    <w:r>
                      <w:rPr>
                        <w:noProof/>
                      </w:rPr>
                      <w:t xml:space="preserve">[29] </w:t>
                    </w:r>
                  </w:p>
                </w:tc>
                <w:tc>
                  <w:tcPr>
                    <w:tcW w:w="0" w:type="auto"/>
                    <w:hideMark/>
                  </w:tcPr>
                  <w:p w14:paraId="541A35A0" w14:textId="77777777" w:rsidR="002D6947" w:rsidRDefault="002D6947">
                    <w:pPr>
                      <w:pStyle w:val="Bibliographie"/>
                      <w:rPr>
                        <w:rFonts w:eastAsiaTheme="minorEastAsia"/>
                        <w:noProof/>
                      </w:rPr>
                    </w:pPr>
                    <w:r w:rsidRPr="001A768D">
                      <w:rPr>
                        <w:noProof/>
                        <w:lang w:val="en-GB"/>
                      </w:rPr>
                      <w:t xml:space="preserve">L. De Bus, P. Depuydt, L. Libbrecht, L. Vandekerckhove, J. Nollet, D. Benoit, D. Vogelaers et H. Van Vlierberghe, «Servere Drug-induced liver injury associated with prolonged use of linezolid.,» </w:t>
                    </w:r>
                    <w:r w:rsidRPr="001A768D">
                      <w:rPr>
                        <w:i/>
                        <w:iCs/>
                        <w:noProof/>
                        <w:lang w:val="en-GB"/>
                      </w:rPr>
                      <w:t xml:space="preserve">J. Med. </w:t>
                    </w:r>
                    <w:r>
                      <w:rPr>
                        <w:i/>
                        <w:iCs/>
                        <w:noProof/>
                      </w:rPr>
                      <w:t xml:space="preserve">Toxicol., </w:t>
                    </w:r>
                    <w:r>
                      <w:rPr>
                        <w:noProof/>
                      </w:rPr>
                      <w:t xml:space="preserve">vol. 6, pp. 322-326, 2010. </w:t>
                    </w:r>
                  </w:p>
                </w:tc>
              </w:tr>
              <w:tr w:rsidR="002D6947" w:rsidRPr="004B28DB" w14:paraId="340F5ADC" w14:textId="77777777">
                <w:trPr>
                  <w:tblCellSpacing w:w="15" w:type="dxa"/>
                </w:trPr>
                <w:tc>
                  <w:tcPr>
                    <w:tcW w:w="50" w:type="pct"/>
                    <w:hideMark/>
                  </w:tcPr>
                  <w:p w14:paraId="5E2B5BC9" w14:textId="77777777" w:rsidR="002D6947" w:rsidRDefault="002D6947">
                    <w:pPr>
                      <w:pStyle w:val="Bibliographie"/>
                      <w:rPr>
                        <w:rFonts w:eastAsiaTheme="minorEastAsia"/>
                        <w:noProof/>
                      </w:rPr>
                    </w:pPr>
                    <w:r>
                      <w:rPr>
                        <w:noProof/>
                      </w:rPr>
                      <w:t xml:space="preserve">[30] </w:t>
                    </w:r>
                  </w:p>
                </w:tc>
                <w:tc>
                  <w:tcPr>
                    <w:tcW w:w="0" w:type="auto"/>
                    <w:hideMark/>
                  </w:tcPr>
                  <w:p w14:paraId="2D902FA8" w14:textId="4BD4855A" w:rsidR="002D6947" w:rsidRDefault="002D6947">
                    <w:pPr>
                      <w:pStyle w:val="Bibliographie"/>
                      <w:rPr>
                        <w:noProof/>
                        <w:lang w:val="en-GB"/>
                      </w:rPr>
                    </w:pPr>
                    <w:r w:rsidRPr="001A768D">
                      <w:rPr>
                        <w:noProof/>
                        <w:lang w:val="en-GB"/>
                      </w:rPr>
                      <w:t xml:space="preserve">L. Marroquin, J. Hynes, J. Dykens, J. Jamieson et Y. Will, «Circumventing the Crabtree effect: replacing media glucose with galactose increases susceptibility of HepG2 cells to mitochondrial toxicants,» </w:t>
                    </w:r>
                    <w:r w:rsidRPr="001A768D">
                      <w:rPr>
                        <w:i/>
                        <w:iCs/>
                        <w:noProof/>
                        <w:lang w:val="en-GB"/>
                      </w:rPr>
                      <w:t xml:space="preserve">Toxicol Sci., </w:t>
                    </w:r>
                    <w:r w:rsidR="001A768D">
                      <w:rPr>
                        <w:noProof/>
                        <w:lang w:val="en-GB"/>
                      </w:rPr>
                      <w:t xml:space="preserve">vol. 97, </w:t>
                    </w:r>
                    <w:r w:rsidRPr="001A768D">
                      <w:rPr>
                        <w:noProof/>
                        <w:lang w:val="en-GB"/>
                      </w:rPr>
                      <w:t xml:space="preserve">12, pp. 539-547, 2007. </w:t>
                    </w:r>
                  </w:p>
                  <w:p w14:paraId="406D16C5" w14:textId="429BAAA2" w:rsidR="001A768D" w:rsidRPr="001A768D" w:rsidRDefault="001A768D" w:rsidP="001A768D">
                    <w:pPr>
                      <w:rPr>
                        <w:rFonts w:eastAsiaTheme="minorEastAsia"/>
                        <w:lang w:val="en-GB"/>
                      </w:rPr>
                    </w:pPr>
                    <w:r w:rsidRPr="00974D2C">
                      <w:rPr>
                        <w:rFonts w:eastAsiaTheme="minorEastAsia"/>
                        <w:color w:val="984806" w:themeColor="accent6" w:themeShade="80"/>
                        <w:lang w:val="en-GB"/>
                      </w:rPr>
                      <w:t>* A key paper on the description of assay conditions and detection of mitochondrial toxicities</w:t>
                    </w:r>
                  </w:p>
                </w:tc>
              </w:tr>
              <w:tr w:rsidR="002D6947" w:rsidRPr="004B28DB" w14:paraId="4808A7BD" w14:textId="77777777">
                <w:trPr>
                  <w:tblCellSpacing w:w="15" w:type="dxa"/>
                </w:trPr>
                <w:tc>
                  <w:tcPr>
                    <w:tcW w:w="50" w:type="pct"/>
                    <w:hideMark/>
                  </w:tcPr>
                  <w:p w14:paraId="4C1D74DA" w14:textId="77777777" w:rsidR="002D6947" w:rsidRDefault="002D6947">
                    <w:pPr>
                      <w:pStyle w:val="Bibliographie"/>
                      <w:rPr>
                        <w:rFonts w:eastAsiaTheme="minorEastAsia"/>
                        <w:noProof/>
                      </w:rPr>
                    </w:pPr>
                    <w:r>
                      <w:rPr>
                        <w:noProof/>
                      </w:rPr>
                      <w:t xml:space="preserve">[31] </w:t>
                    </w:r>
                  </w:p>
                </w:tc>
                <w:tc>
                  <w:tcPr>
                    <w:tcW w:w="0" w:type="auto"/>
                    <w:hideMark/>
                  </w:tcPr>
                  <w:p w14:paraId="21189B40" w14:textId="1FB2E88D" w:rsidR="002D6947" w:rsidRPr="001A768D" w:rsidRDefault="002D6947" w:rsidP="001A768D">
                    <w:pPr>
                      <w:pStyle w:val="Bibliographie"/>
                      <w:rPr>
                        <w:noProof/>
                        <w:lang w:val="en-GB"/>
                      </w:rPr>
                    </w:pPr>
                    <w:r w:rsidRPr="001A768D">
                      <w:rPr>
                        <w:noProof/>
                        <w:lang w:val="en-GB"/>
                      </w:rPr>
                      <w:t xml:space="preserve">R. Swiss et Y. Will, «Assessment of mitochondrial toxicity in HepG2 cells cultured in high-glucose- or galactose-containing media,» </w:t>
                    </w:r>
                    <w:r w:rsidRPr="001A768D">
                      <w:rPr>
                        <w:i/>
                        <w:iCs/>
                        <w:noProof/>
                        <w:lang w:val="en-GB"/>
                      </w:rPr>
                      <w:t xml:space="preserve">49:2.20:2.20.1–2.20.14., </w:t>
                    </w:r>
                    <w:r w:rsidRPr="001A768D">
                      <w:rPr>
                        <w:noProof/>
                        <w:lang w:val="en-GB"/>
                      </w:rPr>
                      <w:t xml:space="preserve">vol. 49, p. 2.20:2.20.1–2.20.14., 2011. </w:t>
                    </w:r>
                  </w:p>
                </w:tc>
              </w:tr>
              <w:tr w:rsidR="002D6947" w:rsidRPr="001A768D" w14:paraId="4B7E2226" w14:textId="77777777">
                <w:trPr>
                  <w:tblCellSpacing w:w="15" w:type="dxa"/>
                </w:trPr>
                <w:tc>
                  <w:tcPr>
                    <w:tcW w:w="50" w:type="pct"/>
                    <w:hideMark/>
                  </w:tcPr>
                  <w:p w14:paraId="0F17CE10" w14:textId="77777777" w:rsidR="002D6947" w:rsidRDefault="002D6947">
                    <w:pPr>
                      <w:pStyle w:val="Bibliographie"/>
                      <w:rPr>
                        <w:rFonts w:eastAsiaTheme="minorEastAsia"/>
                        <w:noProof/>
                      </w:rPr>
                    </w:pPr>
                    <w:r>
                      <w:rPr>
                        <w:noProof/>
                      </w:rPr>
                      <w:t xml:space="preserve">[32] </w:t>
                    </w:r>
                  </w:p>
                </w:tc>
                <w:tc>
                  <w:tcPr>
                    <w:tcW w:w="0" w:type="auto"/>
                    <w:hideMark/>
                  </w:tcPr>
                  <w:p w14:paraId="1F48EB78" w14:textId="68EDF3D9" w:rsidR="002D6947" w:rsidRPr="001A768D" w:rsidRDefault="002D6947" w:rsidP="001A768D">
                    <w:pPr>
                      <w:pStyle w:val="Bibliographie"/>
                      <w:rPr>
                        <w:noProof/>
                      </w:rPr>
                    </w:pPr>
                    <w:r w:rsidRPr="001A768D">
                      <w:rPr>
                        <w:noProof/>
                        <w:lang w:val="en-GB"/>
                      </w:rPr>
                      <w:t xml:space="preserve">L. Kamalian, A. Chadwick, M. Bayliss, N. French, M. Monshouwer, J. Snoeys et K. Park, «The utility of HepG2 cells to identify direct mitochondrial dysfunction in the absence of cell death. </w:t>
                    </w:r>
                    <w:r>
                      <w:rPr>
                        <w:noProof/>
                      </w:rPr>
                      <w:t xml:space="preserve">2015,» </w:t>
                    </w:r>
                    <w:r>
                      <w:rPr>
                        <w:i/>
                        <w:iCs/>
                        <w:noProof/>
                      </w:rPr>
                      <w:t xml:space="preserve">Toxicology in vitro , </w:t>
                    </w:r>
                    <w:r>
                      <w:rPr>
                        <w:noProof/>
                      </w:rPr>
                      <w:t xml:space="preserve">vol. 29, pp. 732-740, 2015. </w:t>
                    </w:r>
                  </w:p>
                </w:tc>
              </w:tr>
              <w:tr w:rsidR="002D6947" w:rsidRPr="004B28DB" w14:paraId="2F5B884B" w14:textId="77777777">
                <w:trPr>
                  <w:tblCellSpacing w:w="15" w:type="dxa"/>
                </w:trPr>
                <w:tc>
                  <w:tcPr>
                    <w:tcW w:w="50" w:type="pct"/>
                    <w:hideMark/>
                  </w:tcPr>
                  <w:p w14:paraId="40F0F78D" w14:textId="77777777" w:rsidR="002D6947" w:rsidRDefault="002D6947">
                    <w:pPr>
                      <w:pStyle w:val="Bibliographie"/>
                      <w:rPr>
                        <w:rFonts w:eastAsiaTheme="minorEastAsia"/>
                        <w:noProof/>
                      </w:rPr>
                    </w:pPr>
                    <w:r>
                      <w:rPr>
                        <w:noProof/>
                      </w:rPr>
                      <w:t xml:space="preserve">[33] </w:t>
                    </w:r>
                  </w:p>
                </w:tc>
                <w:tc>
                  <w:tcPr>
                    <w:tcW w:w="0" w:type="auto"/>
                    <w:hideMark/>
                  </w:tcPr>
                  <w:p w14:paraId="7755BDB4" w14:textId="77777777" w:rsidR="002D6947" w:rsidRPr="001A768D" w:rsidRDefault="002D6947">
                    <w:pPr>
                      <w:pStyle w:val="Bibliographie"/>
                      <w:rPr>
                        <w:rFonts w:eastAsiaTheme="minorEastAsia"/>
                        <w:noProof/>
                        <w:lang w:val="en-GB"/>
                      </w:rPr>
                    </w:pPr>
                    <w:r w:rsidRPr="001A768D">
                      <w:rPr>
                        <w:noProof/>
                        <w:lang w:val="en-GB"/>
                      </w:rPr>
                      <w:t xml:space="preserve">J. Marchandeau et G. Labbe, «Evaluation of mitochondrial respiration in cultured rat hepatocytes.,» </w:t>
                    </w:r>
                    <w:r w:rsidRPr="001A768D">
                      <w:rPr>
                        <w:i/>
                        <w:iCs/>
                        <w:noProof/>
                        <w:lang w:val="en-GB"/>
                      </w:rPr>
                      <w:t xml:space="preserve">Methods Mol Biol. , </w:t>
                    </w:r>
                    <w:r w:rsidRPr="001A768D">
                      <w:rPr>
                        <w:noProof/>
                        <w:lang w:val="en-GB"/>
                      </w:rPr>
                      <w:t xml:space="preserve">vol. 691, pp. 243-253, 2011. </w:t>
                    </w:r>
                  </w:p>
                </w:tc>
              </w:tr>
              <w:tr w:rsidR="002D6947" w:rsidRPr="004B28DB" w14:paraId="77A43165" w14:textId="77777777">
                <w:trPr>
                  <w:tblCellSpacing w:w="15" w:type="dxa"/>
                </w:trPr>
                <w:tc>
                  <w:tcPr>
                    <w:tcW w:w="50" w:type="pct"/>
                    <w:hideMark/>
                  </w:tcPr>
                  <w:p w14:paraId="65888048" w14:textId="77777777" w:rsidR="002D6947" w:rsidRDefault="002D6947">
                    <w:pPr>
                      <w:pStyle w:val="Bibliographie"/>
                      <w:rPr>
                        <w:rFonts w:eastAsiaTheme="minorEastAsia"/>
                        <w:noProof/>
                      </w:rPr>
                    </w:pPr>
                    <w:r>
                      <w:rPr>
                        <w:noProof/>
                      </w:rPr>
                      <w:t xml:space="preserve">[34] </w:t>
                    </w:r>
                  </w:p>
                </w:tc>
                <w:tc>
                  <w:tcPr>
                    <w:tcW w:w="0" w:type="auto"/>
                    <w:hideMark/>
                  </w:tcPr>
                  <w:p w14:paraId="40AE3E98" w14:textId="77777777" w:rsidR="002D6947" w:rsidRPr="001A768D" w:rsidRDefault="002D6947">
                    <w:pPr>
                      <w:pStyle w:val="Bibliographie"/>
                      <w:rPr>
                        <w:rFonts w:eastAsiaTheme="minorEastAsia"/>
                        <w:noProof/>
                        <w:lang w:val="en-GB"/>
                      </w:rPr>
                    </w:pPr>
                    <w:r w:rsidRPr="001A768D">
                      <w:rPr>
                        <w:noProof/>
                        <w:lang w:val="en-GB"/>
                      </w:rPr>
                      <w:t xml:space="preserve">S. Pereira, G. Pereira, A. Moreno et P. Oliveira, «Can drug safety be predicted and animal experiments reduced by using isolated mitochondrial fractions?,» </w:t>
                    </w:r>
                    <w:r w:rsidRPr="001A768D">
                      <w:rPr>
                        <w:i/>
                        <w:iCs/>
                        <w:noProof/>
                        <w:lang w:val="en-GB"/>
                      </w:rPr>
                      <w:t xml:space="preserve">Altern Lab Anim. , </w:t>
                    </w:r>
                    <w:r w:rsidRPr="001A768D">
                      <w:rPr>
                        <w:noProof/>
                        <w:lang w:val="en-GB"/>
                      </w:rPr>
                      <w:t xml:space="preserve">vol. 37, pp. 355-365, 2009. </w:t>
                    </w:r>
                  </w:p>
                </w:tc>
              </w:tr>
              <w:tr w:rsidR="002D6947" w14:paraId="1765F2F4" w14:textId="77777777">
                <w:trPr>
                  <w:tblCellSpacing w:w="15" w:type="dxa"/>
                </w:trPr>
                <w:tc>
                  <w:tcPr>
                    <w:tcW w:w="50" w:type="pct"/>
                    <w:hideMark/>
                  </w:tcPr>
                  <w:p w14:paraId="7107EA45" w14:textId="77777777" w:rsidR="002D6947" w:rsidRDefault="002D6947">
                    <w:pPr>
                      <w:pStyle w:val="Bibliographie"/>
                      <w:rPr>
                        <w:rFonts w:eastAsiaTheme="minorEastAsia"/>
                        <w:noProof/>
                      </w:rPr>
                    </w:pPr>
                    <w:r>
                      <w:rPr>
                        <w:noProof/>
                      </w:rPr>
                      <w:t xml:space="preserve">[35] </w:t>
                    </w:r>
                  </w:p>
                </w:tc>
                <w:tc>
                  <w:tcPr>
                    <w:tcW w:w="0" w:type="auto"/>
                    <w:hideMark/>
                  </w:tcPr>
                  <w:p w14:paraId="57B35F90" w14:textId="77777777" w:rsidR="002D6947" w:rsidRDefault="002D6947">
                    <w:pPr>
                      <w:pStyle w:val="Bibliographie"/>
                      <w:rPr>
                        <w:rFonts w:eastAsiaTheme="minorEastAsia"/>
                        <w:noProof/>
                      </w:rPr>
                    </w:pPr>
                    <w:r w:rsidRPr="001A768D">
                      <w:rPr>
                        <w:noProof/>
                        <w:lang w:val="en-GB"/>
                      </w:rPr>
                      <w:t xml:space="preserve">J. Eakins, C. Bauch, H. Woodhouse, B. Park, S. Bevan, C. Dilworth et P. Walker, «A combined in vitro approach to improve the prediction of mitochondrial toxicants,» </w:t>
                    </w:r>
                    <w:r w:rsidRPr="001A768D">
                      <w:rPr>
                        <w:i/>
                        <w:iCs/>
                        <w:noProof/>
                        <w:lang w:val="en-GB"/>
                      </w:rPr>
                      <w:t xml:space="preserve">Toxicol In Vitro, </w:t>
                    </w:r>
                    <w:r w:rsidRPr="001A768D">
                      <w:rPr>
                        <w:noProof/>
                        <w:lang w:val="en-GB"/>
                      </w:rPr>
                      <w:t xml:space="preserve">vol. </w:t>
                    </w:r>
                    <w:r>
                      <w:rPr>
                        <w:noProof/>
                      </w:rPr>
                      <w:t xml:space="preserve">Apr 12, pp. 161-170, 2016. </w:t>
                    </w:r>
                  </w:p>
                </w:tc>
              </w:tr>
              <w:tr w:rsidR="002D6947" w:rsidRPr="004B28DB" w14:paraId="55DDEE3A" w14:textId="77777777">
                <w:trPr>
                  <w:tblCellSpacing w:w="15" w:type="dxa"/>
                </w:trPr>
                <w:tc>
                  <w:tcPr>
                    <w:tcW w:w="50" w:type="pct"/>
                    <w:hideMark/>
                  </w:tcPr>
                  <w:p w14:paraId="3D2633BD" w14:textId="77777777" w:rsidR="002D6947" w:rsidRDefault="002D6947">
                    <w:pPr>
                      <w:pStyle w:val="Bibliographie"/>
                      <w:rPr>
                        <w:rFonts w:eastAsiaTheme="minorEastAsia"/>
                        <w:noProof/>
                      </w:rPr>
                    </w:pPr>
                    <w:r>
                      <w:rPr>
                        <w:noProof/>
                      </w:rPr>
                      <w:t xml:space="preserve">[36] </w:t>
                    </w:r>
                  </w:p>
                </w:tc>
                <w:tc>
                  <w:tcPr>
                    <w:tcW w:w="0" w:type="auto"/>
                    <w:hideMark/>
                  </w:tcPr>
                  <w:p w14:paraId="7D9B9CDE" w14:textId="77777777" w:rsidR="002D6947" w:rsidRPr="001A768D" w:rsidRDefault="002D6947">
                    <w:pPr>
                      <w:pStyle w:val="Bibliographie"/>
                      <w:rPr>
                        <w:rFonts w:eastAsiaTheme="minorEastAsia"/>
                        <w:noProof/>
                        <w:lang w:val="en-GB"/>
                      </w:rPr>
                    </w:pPr>
                    <w:r w:rsidRPr="001A768D">
                      <w:rPr>
                        <w:noProof/>
                        <w:lang w:val="en-GB"/>
                      </w:rPr>
                      <w:t xml:space="preserve">J. Massart, M. Robin, F. Noury, A. Fautrel, P. Lettéron, A. Bado, P. Eliat et F. Fromenty, «Pentoxifylline aggravates fatty liver in obese and diabetic ob/ob mice by increasing intestinal glucose absorption and activating hepatic lipogenesis.,» </w:t>
                    </w:r>
                    <w:r w:rsidRPr="001A768D">
                      <w:rPr>
                        <w:i/>
                        <w:iCs/>
                        <w:noProof/>
                        <w:lang w:val="en-GB"/>
                      </w:rPr>
                      <w:t xml:space="preserve">Br J Pharmacol, </w:t>
                    </w:r>
                    <w:r w:rsidRPr="001A768D">
                      <w:rPr>
                        <w:noProof/>
                        <w:lang w:val="en-GB"/>
                      </w:rPr>
                      <w:t xml:space="preserve">vol. 165, pp. 1361-1374, 2012. </w:t>
                    </w:r>
                  </w:p>
                </w:tc>
              </w:tr>
              <w:tr w:rsidR="002D6947" w:rsidRPr="004B28DB" w14:paraId="2FEC48C3" w14:textId="77777777">
                <w:trPr>
                  <w:tblCellSpacing w:w="15" w:type="dxa"/>
                </w:trPr>
                <w:tc>
                  <w:tcPr>
                    <w:tcW w:w="50" w:type="pct"/>
                    <w:hideMark/>
                  </w:tcPr>
                  <w:p w14:paraId="3E091165" w14:textId="77777777" w:rsidR="002D6947" w:rsidRDefault="002D6947">
                    <w:pPr>
                      <w:pStyle w:val="Bibliographie"/>
                      <w:rPr>
                        <w:rFonts w:eastAsiaTheme="minorEastAsia"/>
                        <w:noProof/>
                      </w:rPr>
                    </w:pPr>
                    <w:r>
                      <w:rPr>
                        <w:noProof/>
                      </w:rPr>
                      <w:t xml:space="preserve">[37] </w:t>
                    </w:r>
                  </w:p>
                </w:tc>
                <w:tc>
                  <w:tcPr>
                    <w:tcW w:w="0" w:type="auto"/>
                    <w:hideMark/>
                  </w:tcPr>
                  <w:p w14:paraId="7CED1FDC" w14:textId="77777777" w:rsidR="002D6947" w:rsidRPr="001A768D" w:rsidRDefault="002D6947">
                    <w:pPr>
                      <w:pStyle w:val="Bibliographie"/>
                      <w:rPr>
                        <w:rFonts w:eastAsiaTheme="minorEastAsia"/>
                        <w:noProof/>
                        <w:lang w:val="en-GB"/>
                      </w:rPr>
                    </w:pPr>
                    <w:r w:rsidRPr="001A768D">
                      <w:rPr>
                        <w:noProof/>
                        <w:lang w:val="en-GB"/>
                      </w:rPr>
                      <w:t xml:space="preserve">J. Aubert, K. Begriche, M. Delannoy, I. Morel, J. Pajaud, C. Ribault, S. Lepage, M. M.R, C. Lucas-Clerc, B. Turlin, M. Robin, H. Jaeschke et B. Fromenty, «Differences in early acetaminophen hepatotoxicity between obese ob/ob and db/db mice.,» </w:t>
                    </w:r>
                    <w:r w:rsidRPr="001A768D">
                      <w:rPr>
                        <w:i/>
                        <w:iCs/>
                        <w:noProof/>
                        <w:lang w:val="en-GB"/>
                      </w:rPr>
                      <w:t xml:space="preserve">J Pharmacol Exp Ther, </w:t>
                    </w:r>
                    <w:r w:rsidRPr="001A768D">
                      <w:rPr>
                        <w:noProof/>
                        <w:lang w:val="en-GB"/>
                      </w:rPr>
                      <w:t xml:space="preserve">vol. 342, pp. 676-687, 2012. </w:t>
                    </w:r>
                  </w:p>
                </w:tc>
              </w:tr>
              <w:tr w:rsidR="002D6947" w:rsidRPr="004B28DB" w14:paraId="55E2D205" w14:textId="77777777">
                <w:trPr>
                  <w:tblCellSpacing w:w="15" w:type="dxa"/>
                </w:trPr>
                <w:tc>
                  <w:tcPr>
                    <w:tcW w:w="50" w:type="pct"/>
                    <w:hideMark/>
                  </w:tcPr>
                  <w:p w14:paraId="16B034D6" w14:textId="77777777" w:rsidR="002D6947" w:rsidRDefault="002D6947">
                    <w:pPr>
                      <w:pStyle w:val="Bibliographie"/>
                      <w:rPr>
                        <w:rFonts w:eastAsiaTheme="minorEastAsia"/>
                        <w:noProof/>
                      </w:rPr>
                    </w:pPr>
                    <w:r>
                      <w:rPr>
                        <w:noProof/>
                      </w:rPr>
                      <w:t xml:space="preserve">[38] </w:t>
                    </w:r>
                  </w:p>
                </w:tc>
                <w:tc>
                  <w:tcPr>
                    <w:tcW w:w="0" w:type="auto"/>
                    <w:hideMark/>
                  </w:tcPr>
                  <w:p w14:paraId="00E7C0F9" w14:textId="6462309D" w:rsidR="002D6947" w:rsidRPr="001A768D" w:rsidRDefault="002D6947">
                    <w:pPr>
                      <w:pStyle w:val="Bibliographie"/>
                      <w:rPr>
                        <w:rFonts w:eastAsiaTheme="minorEastAsia"/>
                        <w:noProof/>
                        <w:lang w:val="en-GB"/>
                      </w:rPr>
                    </w:pPr>
                    <w:r w:rsidRPr="001A768D">
                      <w:rPr>
                        <w:noProof/>
                        <w:lang w:val="en-GB"/>
                      </w:rPr>
                      <w:t xml:space="preserve">A. Weglewska-Jurkiewicz, J. Jakóbkiewicz-Banecka, E. Pronicka et G. Wegrzyn, «False positive results of mitochondrial DNA depletion/deletion due to single nucleotide substitutions causing appearance of </w:t>
                    </w:r>
                    <w:r w:rsidRPr="001A768D">
                      <w:rPr>
                        <w:noProof/>
                        <w:lang w:val="en-GB"/>
                      </w:rPr>
                      <w:lastRenderedPageBreak/>
                      <w:t xml:space="preserve">additional PvuII restriction sites.,» </w:t>
                    </w:r>
                    <w:r w:rsidRPr="001A768D">
                      <w:rPr>
                        <w:i/>
                        <w:iCs/>
                        <w:noProof/>
                        <w:lang w:val="en-GB"/>
                      </w:rPr>
                      <w:t xml:space="preserve">Diagn Mol Pathol, </w:t>
                    </w:r>
                    <w:r w:rsidR="001A768D">
                      <w:rPr>
                        <w:noProof/>
                        <w:lang w:val="en-GB"/>
                      </w:rPr>
                      <w:t xml:space="preserve">vol. 16, </w:t>
                    </w:r>
                    <w:r w:rsidRPr="001A768D">
                      <w:rPr>
                        <w:noProof/>
                        <w:lang w:val="en-GB"/>
                      </w:rPr>
                      <w:t xml:space="preserve">12, pp. 116-120, 2007. </w:t>
                    </w:r>
                  </w:p>
                </w:tc>
              </w:tr>
              <w:tr w:rsidR="002D6947" w:rsidRPr="004B28DB" w14:paraId="4C6D799A" w14:textId="77777777">
                <w:trPr>
                  <w:tblCellSpacing w:w="15" w:type="dxa"/>
                </w:trPr>
                <w:tc>
                  <w:tcPr>
                    <w:tcW w:w="50" w:type="pct"/>
                    <w:hideMark/>
                  </w:tcPr>
                  <w:p w14:paraId="799FE12E" w14:textId="77777777" w:rsidR="002D6947" w:rsidRDefault="002D6947">
                    <w:pPr>
                      <w:pStyle w:val="Bibliographie"/>
                      <w:rPr>
                        <w:rFonts w:eastAsiaTheme="minorEastAsia"/>
                        <w:noProof/>
                      </w:rPr>
                    </w:pPr>
                    <w:r>
                      <w:rPr>
                        <w:noProof/>
                      </w:rPr>
                      <w:lastRenderedPageBreak/>
                      <w:t xml:space="preserve">[39] </w:t>
                    </w:r>
                  </w:p>
                </w:tc>
                <w:tc>
                  <w:tcPr>
                    <w:tcW w:w="0" w:type="auto"/>
                    <w:hideMark/>
                  </w:tcPr>
                  <w:p w14:paraId="058EA570" w14:textId="03CF923E" w:rsidR="002D6947" w:rsidRPr="001A768D" w:rsidRDefault="002D6947">
                    <w:pPr>
                      <w:pStyle w:val="Bibliographie"/>
                      <w:rPr>
                        <w:rFonts w:eastAsiaTheme="minorEastAsia"/>
                        <w:noProof/>
                        <w:lang w:val="en-GB"/>
                      </w:rPr>
                    </w:pPr>
                    <w:r w:rsidRPr="001A768D">
                      <w:rPr>
                        <w:noProof/>
                        <w:lang w:val="en-GB"/>
                      </w:rPr>
                      <w:t xml:space="preserve">C. Lianga, K. Ahmada et C. Suea, «The broadening spectrum of mitochondrial disease: Shifts in the diagnostic paradigm,» </w:t>
                    </w:r>
                    <w:r w:rsidRPr="001A768D">
                      <w:rPr>
                        <w:i/>
                        <w:iCs/>
                        <w:noProof/>
                        <w:lang w:val="en-GB"/>
                      </w:rPr>
                      <w:t xml:space="preserve">Biochimica et Biophysica Acta (BBA) - General Subjects, </w:t>
                    </w:r>
                    <w:r w:rsidR="00537EEF">
                      <w:rPr>
                        <w:noProof/>
                        <w:lang w:val="en-GB"/>
                      </w:rPr>
                      <w:t xml:space="preserve">vol. 1840, </w:t>
                    </w:r>
                    <w:r w:rsidRPr="001A768D">
                      <w:rPr>
                        <w:noProof/>
                        <w:lang w:val="en-GB"/>
                      </w:rPr>
                      <w:t xml:space="preserve">14, p. 1360–1367, 2013. </w:t>
                    </w:r>
                  </w:p>
                </w:tc>
              </w:tr>
              <w:tr w:rsidR="002D6947" w:rsidRPr="004B28DB" w14:paraId="66B32F14" w14:textId="77777777">
                <w:trPr>
                  <w:tblCellSpacing w:w="15" w:type="dxa"/>
                </w:trPr>
                <w:tc>
                  <w:tcPr>
                    <w:tcW w:w="50" w:type="pct"/>
                    <w:hideMark/>
                  </w:tcPr>
                  <w:p w14:paraId="1EDEE077" w14:textId="77777777" w:rsidR="002D6947" w:rsidRDefault="002D6947">
                    <w:pPr>
                      <w:pStyle w:val="Bibliographie"/>
                      <w:rPr>
                        <w:rFonts w:eastAsiaTheme="minorEastAsia"/>
                        <w:noProof/>
                      </w:rPr>
                    </w:pPr>
                    <w:r>
                      <w:rPr>
                        <w:noProof/>
                      </w:rPr>
                      <w:t xml:space="preserve">[40] </w:t>
                    </w:r>
                  </w:p>
                </w:tc>
                <w:tc>
                  <w:tcPr>
                    <w:tcW w:w="0" w:type="auto"/>
                    <w:hideMark/>
                  </w:tcPr>
                  <w:p w14:paraId="6755EEB3" w14:textId="1010AB86" w:rsidR="002D6947" w:rsidRPr="001A768D" w:rsidRDefault="002D6947">
                    <w:pPr>
                      <w:pStyle w:val="Bibliographie"/>
                      <w:rPr>
                        <w:rFonts w:eastAsiaTheme="minorEastAsia"/>
                        <w:noProof/>
                        <w:lang w:val="en-GB"/>
                      </w:rPr>
                    </w:pPr>
                    <w:r w:rsidRPr="001A768D">
                      <w:rPr>
                        <w:noProof/>
                        <w:lang w:val="en-GB"/>
                      </w:rPr>
                      <w:t xml:space="preserve">R. Haas, S. Parikh, M. Falk, R. Saneto, N. Wolf, N. Darin, L. Wong, B. Cohen et R. Naviaux, «The in-depth evaluation of suspected mitochondrial disease.,» </w:t>
                    </w:r>
                    <w:r w:rsidRPr="001A768D">
                      <w:rPr>
                        <w:i/>
                        <w:iCs/>
                        <w:noProof/>
                        <w:lang w:val="en-GB"/>
                      </w:rPr>
                      <w:t xml:space="preserve">Mol Genet Metab, </w:t>
                    </w:r>
                    <w:r w:rsidR="001A768D">
                      <w:rPr>
                        <w:noProof/>
                        <w:lang w:val="en-GB"/>
                      </w:rPr>
                      <w:t xml:space="preserve">vol. 94, </w:t>
                    </w:r>
                    <w:r w:rsidRPr="001A768D">
                      <w:rPr>
                        <w:noProof/>
                        <w:lang w:val="en-GB"/>
                      </w:rPr>
                      <w:t xml:space="preserve">11, pp. 16-37, 2008. </w:t>
                    </w:r>
                  </w:p>
                </w:tc>
              </w:tr>
              <w:tr w:rsidR="002D6947" w:rsidRPr="004B28DB" w14:paraId="097B6AFE" w14:textId="77777777">
                <w:trPr>
                  <w:tblCellSpacing w:w="15" w:type="dxa"/>
                </w:trPr>
                <w:tc>
                  <w:tcPr>
                    <w:tcW w:w="50" w:type="pct"/>
                    <w:hideMark/>
                  </w:tcPr>
                  <w:p w14:paraId="0321FB3F" w14:textId="77777777" w:rsidR="002D6947" w:rsidRDefault="002D6947">
                    <w:pPr>
                      <w:pStyle w:val="Bibliographie"/>
                      <w:rPr>
                        <w:rFonts w:eastAsiaTheme="minorEastAsia"/>
                        <w:noProof/>
                      </w:rPr>
                    </w:pPr>
                    <w:r>
                      <w:rPr>
                        <w:noProof/>
                      </w:rPr>
                      <w:t xml:space="preserve">[41] </w:t>
                    </w:r>
                  </w:p>
                </w:tc>
                <w:tc>
                  <w:tcPr>
                    <w:tcW w:w="0" w:type="auto"/>
                    <w:hideMark/>
                  </w:tcPr>
                  <w:p w14:paraId="7CD8A871" w14:textId="6AABB452" w:rsidR="002D6947" w:rsidRDefault="002D6947">
                    <w:pPr>
                      <w:pStyle w:val="Bibliographie"/>
                      <w:rPr>
                        <w:noProof/>
                        <w:lang w:val="en-GB"/>
                      </w:rPr>
                    </w:pPr>
                    <w:r w:rsidRPr="001A768D">
                      <w:rPr>
                        <w:noProof/>
                        <w:lang w:val="en-GB"/>
                      </w:rPr>
                      <w:t xml:space="preserve">M. D. Aleo, Y. Luo, R. Swiss, P. D. Bonin, D. M. Potter et Y. Will, «Human drug-induced liver injury severity is highly associated with dual inhibition of liver mitochondrial function and bile salt export pump,» </w:t>
                    </w:r>
                    <w:r w:rsidRPr="001A768D">
                      <w:rPr>
                        <w:i/>
                        <w:iCs/>
                        <w:noProof/>
                        <w:lang w:val="en-GB"/>
                      </w:rPr>
                      <w:t xml:space="preserve">Hepatology, </w:t>
                    </w:r>
                    <w:r w:rsidR="001A768D">
                      <w:rPr>
                        <w:noProof/>
                        <w:lang w:val="en-GB"/>
                      </w:rPr>
                      <w:t xml:space="preserve">vol. 60, </w:t>
                    </w:r>
                    <w:r w:rsidRPr="001A768D">
                      <w:rPr>
                        <w:noProof/>
                        <w:lang w:val="en-GB"/>
                      </w:rPr>
                      <w:t xml:space="preserve">13, pp. 1015-1022, 2014. </w:t>
                    </w:r>
                  </w:p>
                  <w:p w14:paraId="49B03F5B" w14:textId="1EC2DEE7" w:rsidR="001A768D" w:rsidRPr="001A768D" w:rsidRDefault="001A768D" w:rsidP="001A768D">
                    <w:pPr>
                      <w:rPr>
                        <w:rFonts w:eastAsiaTheme="minorEastAsia"/>
                        <w:lang w:val="en-GB"/>
                      </w:rPr>
                    </w:pPr>
                    <w:r w:rsidRPr="00974D2C">
                      <w:rPr>
                        <w:rFonts w:eastAsiaTheme="minorEastAsia"/>
                        <w:color w:val="984806" w:themeColor="accent6" w:themeShade="80"/>
                        <w:lang w:val="en-GB"/>
                      </w:rPr>
                      <w:t>* An important contribution on the association of endpoints for detection for toxicities</w:t>
                    </w:r>
                  </w:p>
                </w:tc>
              </w:tr>
              <w:tr w:rsidR="002D6947" w14:paraId="61A32589" w14:textId="77777777">
                <w:trPr>
                  <w:tblCellSpacing w:w="15" w:type="dxa"/>
                </w:trPr>
                <w:tc>
                  <w:tcPr>
                    <w:tcW w:w="50" w:type="pct"/>
                    <w:hideMark/>
                  </w:tcPr>
                  <w:p w14:paraId="5EC45016" w14:textId="77777777" w:rsidR="002D6947" w:rsidRDefault="002D6947">
                    <w:pPr>
                      <w:pStyle w:val="Bibliographie"/>
                      <w:rPr>
                        <w:rFonts w:eastAsiaTheme="minorEastAsia"/>
                        <w:noProof/>
                      </w:rPr>
                    </w:pPr>
                    <w:r>
                      <w:rPr>
                        <w:noProof/>
                      </w:rPr>
                      <w:t xml:space="preserve">[42] </w:t>
                    </w:r>
                  </w:p>
                </w:tc>
                <w:tc>
                  <w:tcPr>
                    <w:tcW w:w="0" w:type="auto"/>
                    <w:hideMark/>
                  </w:tcPr>
                  <w:p w14:paraId="2C415694" w14:textId="7E232949" w:rsidR="002D6947" w:rsidRDefault="002D6947">
                    <w:pPr>
                      <w:pStyle w:val="Bibliographie"/>
                      <w:rPr>
                        <w:rFonts w:eastAsiaTheme="minorEastAsia"/>
                        <w:noProof/>
                      </w:rPr>
                    </w:pPr>
                    <w:r w:rsidRPr="001A768D">
                      <w:rPr>
                        <w:noProof/>
                        <w:lang w:val="en-GB"/>
                      </w:rPr>
                      <w:t xml:space="preserve">J. Dykens, L. Marroquin et Y. Will, «Strategies to reduce late-stage drug attrition due to mitochondrial toxicity. </w:t>
                    </w:r>
                    <w:r>
                      <w:rPr>
                        <w:noProof/>
                      </w:rPr>
                      <w:t xml:space="preserve">Dykens JA(1), Marroquin LD, Will Y,» </w:t>
                    </w:r>
                    <w:r>
                      <w:rPr>
                        <w:i/>
                        <w:iCs/>
                        <w:noProof/>
                      </w:rPr>
                      <w:t xml:space="preserve">Expert Rev Mol Diagn, </w:t>
                    </w:r>
                    <w:r w:rsidR="001A768D">
                      <w:rPr>
                        <w:noProof/>
                      </w:rPr>
                      <w:t xml:space="preserve">vol. 7, </w:t>
                    </w:r>
                    <w:r>
                      <w:rPr>
                        <w:noProof/>
                      </w:rPr>
                      <w:t xml:space="preserve">12, pp. 161-175, Mar 2007. </w:t>
                    </w:r>
                  </w:p>
                </w:tc>
              </w:tr>
              <w:tr w:rsidR="002D6947" w14:paraId="6BE998D7" w14:textId="77777777">
                <w:trPr>
                  <w:tblCellSpacing w:w="15" w:type="dxa"/>
                </w:trPr>
                <w:tc>
                  <w:tcPr>
                    <w:tcW w:w="50" w:type="pct"/>
                    <w:hideMark/>
                  </w:tcPr>
                  <w:p w14:paraId="4AE3D455" w14:textId="77777777" w:rsidR="002D6947" w:rsidRDefault="002D6947">
                    <w:pPr>
                      <w:pStyle w:val="Bibliographie"/>
                      <w:rPr>
                        <w:rFonts w:eastAsiaTheme="minorEastAsia"/>
                        <w:noProof/>
                      </w:rPr>
                    </w:pPr>
                    <w:r>
                      <w:rPr>
                        <w:noProof/>
                      </w:rPr>
                      <w:t xml:space="preserve">[43] </w:t>
                    </w:r>
                  </w:p>
                </w:tc>
                <w:tc>
                  <w:tcPr>
                    <w:tcW w:w="0" w:type="auto"/>
                    <w:hideMark/>
                  </w:tcPr>
                  <w:p w14:paraId="2155995F" w14:textId="77777777" w:rsidR="002D6947" w:rsidRDefault="002D6947">
                    <w:pPr>
                      <w:pStyle w:val="Bibliographie"/>
                      <w:rPr>
                        <w:rFonts w:eastAsiaTheme="minorEastAsia"/>
                        <w:noProof/>
                      </w:rPr>
                    </w:pPr>
                    <w:r w:rsidRPr="001A768D">
                      <w:rPr>
                        <w:noProof/>
                        <w:lang w:val="en-GB"/>
                      </w:rPr>
                      <w:t xml:space="preserve">A. Broom, J. Ambroso, G. Brunori, A. Burns, J. Armitage, I. Francis, M. Gandhi, R. Peterson, T. Gant, A. Boobis et J. Lyon, «Effects of mid-respiratory chain inhibition on mitochondrial function in vitro and in vivo,» </w:t>
                    </w:r>
                    <w:r w:rsidRPr="001A768D">
                      <w:rPr>
                        <w:i/>
                        <w:iCs/>
                        <w:noProof/>
                        <w:lang w:val="en-GB"/>
                      </w:rPr>
                      <w:t xml:space="preserve">Toxicol. </w:t>
                    </w:r>
                    <w:r>
                      <w:rPr>
                        <w:i/>
                        <w:iCs/>
                        <w:noProof/>
                      </w:rPr>
                      <w:t xml:space="preserve">Res., </w:t>
                    </w:r>
                    <w:r>
                      <w:rPr>
                        <w:noProof/>
                      </w:rPr>
                      <w:t xml:space="preserve">vol. 5, pp. 136-150, 2016. </w:t>
                    </w:r>
                  </w:p>
                </w:tc>
              </w:tr>
              <w:tr w:rsidR="002D6947" w:rsidRPr="004B28DB" w14:paraId="442B6238" w14:textId="77777777">
                <w:trPr>
                  <w:tblCellSpacing w:w="15" w:type="dxa"/>
                </w:trPr>
                <w:tc>
                  <w:tcPr>
                    <w:tcW w:w="50" w:type="pct"/>
                    <w:hideMark/>
                  </w:tcPr>
                  <w:p w14:paraId="7B996D4F" w14:textId="77777777" w:rsidR="002D6947" w:rsidRDefault="002D6947">
                    <w:pPr>
                      <w:pStyle w:val="Bibliographie"/>
                      <w:rPr>
                        <w:rFonts w:eastAsiaTheme="minorEastAsia"/>
                        <w:noProof/>
                      </w:rPr>
                    </w:pPr>
                    <w:r>
                      <w:rPr>
                        <w:noProof/>
                      </w:rPr>
                      <w:t xml:space="preserve">[44] </w:t>
                    </w:r>
                  </w:p>
                </w:tc>
                <w:tc>
                  <w:tcPr>
                    <w:tcW w:w="0" w:type="auto"/>
                    <w:hideMark/>
                  </w:tcPr>
                  <w:p w14:paraId="48035D9E" w14:textId="473523B7" w:rsidR="002D6947" w:rsidRPr="001A768D" w:rsidRDefault="002D6947">
                    <w:pPr>
                      <w:pStyle w:val="Bibliographie"/>
                      <w:rPr>
                        <w:rFonts w:eastAsiaTheme="minorEastAsia"/>
                        <w:noProof/>
                        <w:lang w:val="en-GB"/>
                      </w:rPr>
                    </w:pPr>
                    <w:r w:rsidRPr="001A768D">
                      <w:rPr>
                        <w:noProof/>
                        <w:lang w:val="en-GB"/>
                      </w:rPr>
                      <w:t xml:space="preserve">Y. Will et J. Dykens, «Mitochondrial toxicity assessment in industry – a decade of technology development and insight,» </w:t>
                    </w:r>
                    <w:r w:rsidRPr="001A768D">
                      <w:rPr>
                        <w:i/>
                        <w:iCs/>
                        <w:noProof/>
                        <w:lang w:val="en-GB"/>
                      </w:rPr>
                      <w:t xml:space="preserve">Expert Opinion on Drug Metabolism and Toxicology, </w:t>
                    </w:r>
                    <w:r w:rsidR="001A768D">
                      <w:rPr>
                        <w:noProof/>
                        <w:lang w:val="en-GB"/>
                      </w:rPr>
                      <w:t xml:space="preserve">vol. 10, </w:t>
                    </w:r>
                    <w:r w:rsidRPr="001A768D">
                      <w:rPr>
                        <w:noProof/>
                        <w:lang w:val="en-GB"/>
                      </w:rPr>
                      <w:t xml:space="preserve">18, pp. 1061-1067, 2014. </w:t>
                    </w:r>
                  </w:p>
                </w:tc>
              </w:tr>
              <w:tr w:rsidR="002D6947" w:rsidRPr="004B28DB" w14:paraId="1787A575" w14:textId="77777777">
                <w:trPr>
                  <w:tblCellSpacing w:w="15" w:type="dxa"/>
                </w:trPr>
                <w:tc>
                  <w:tcPr>
                    <w:tcW w:w="50" w:type="pct"/>
                    <w:hideMark/>
                  </w:tcPr>
                  <w:p w14:paraId="4F63E6CB" w14:textId="77777777" w:rsidR="002D6947" w:rsidRDefault="002D6947">
                    <w:pPr>
                      <w:pStyle w:val="Bibliographie"/>
                      <w:rPr>
                        <w:rFonts w:eastAsiaTheme="minorEastAsia"/>
                        <w:noProof/>
                      </w:rPr>
                    </w:pPr>
                    <w:r>
                      <w:rPr>
                        <w:noProof/>
                      </w:rPr>
                      <w:t xml:space="preserve">[45] </w:t>
                    </w:r>
                  </w:p>
                </w:tc>
                <w:tc>
                  <w:tcPr>
                    <w:tcW w:w="0" w:type="auto"/>
                    <w:hideMark/>
                  </w:tcPr>
                  <w:p w14:paraId="4699DB87" w14:textId="77777777" w:rsidR="002D6947" w:rsidRPr="001A768D" w:rsidRDefault="002D6947">
                    <w:pPr>
                      <w:pStyle w:val="Bibliographie"/>
                      <w:rPr>
                        <w:rFonts w:eastAsiaTheme="minorEastAsia"/>
                        <w:noProof/>
                        <w:lang w:val="en-GB"/>
                      </w:rPr>
                    </w:pPr>
                    <w:r w:rsidRPr="001A768D">
                      <w:rPr>
                        <w:noProof/>
                        <w:lang w:val="en-GB"/>
                      </w:rPr>
                      <w:t xml:space="preserve">M. Ong, A. Wang, K. Leow, Y. Khoo et U. Boelsterli, «Nimesulide-induced hepatic mitochondrial injury in heterologous SOD2(+/-) mice.,» </w:t>
                    </w:r>
                    <w:r w:rsidRPr="001A768D">
                      <w:rPr>
                        <w:i/>
                        <w:iCs/>
                        <w:noProof/>
                        <w:lang w:val="en-GB"/>
                      </w:rPr>
                      <w:t xml:space="preserve">Free Radical Biol Med, </w:t>
                    </w:r>
                    <w:r w:rsidRPr="001A768D">
                      <w:rPr>
                        <w:noProof/>
                        <w:lang w:val="en-GB"/>
                      </w:rPr>
                      <w:t xml:space="preserve">vol. 40, pp. 420-429, 2006. </w:t>
                    </w:r>
                  </w:p>
                </w:tc>
              </w:tr>
              <w:tr w:rsidR="002D6947" w14:paraId="34649346" w14:textId="77777777">
                <w:trPr>
                  <w:tblCellSpacing w:w="15" w:type="dxa"/>
                </w:trPr>
                <w:tc>
                  <w:tcPr>
                    <w:tcW w:w="50" w:type="pct"/>
                    <w:hideMark/>
                  </w:tcPr>
                  <w:p w14:paraId="49E3440F" w14:textId="77777777" w:rsidR="002D6947" w:rsidRDefault="002D6947">
                    <w:pPr>
                      <w:pStyle w:val="Bibliographie"/>
                      <w:rPr>
                        <w:rFonts w:eastAsiaTheme="minorEastAsia"/>
                        <w:noProof/>
                      </w:rPr>
                    </w:pPr>
                    <w:r>
                      <w:rPr>
                        <w:noProof/>
                      </w:rPr>
                      <w:t xml:space="preserve">[46] </w:t>
                    </w:r>
                  </w:p>
                </w:tc>
                <w:tc>
                  <w:tcPr>
                    <w:tcW w:w="0" w:type="auto"/>
                    <w:hideMark/>
                  </w:tcPr>
                  <w:p w14:paraId="2EB6C306" w14:textId="77777777" w:rsidR="002D6947" w:rsidRDefault="002D6947">
                    <w:pPr>
                      <w:pStyle w:val="Bibliographie"/>
                      <w:rPr>
                        <w:rFonts w:eastAsiaTheme="minorEastAsia"/>
                        <w:noProof/>
                      </w:rPr>
                    </w:pPr>
                    <w:r w:rsidRPr="001A768D">
                      <w:rPr>
                        <w:noProof/>
                        <w:lang w:val="en-GB"/>
                      </w:rPr>
                      <w:t xml:space="preserve">Ong, M.M.K, C. Latchoumycandane et U. Boelsterli, «Troglitazone-induced hepatic necrosis in an animal model of silent genetic mitochondrial abnormalities.,» </w:t>
                    </w:r>
                    <w:r w:rsidRPr="001A768D">
                      <w:rPr>
                        <w:i/>
                        <w:iCs/>
                        <w:noProof/>
                        <w:lang w:val="en-GB"/>
                      </w:rPr>
                      <w:t xml:space="preserve">Toxicol. </w:t>
                    </w:r>
                    <w:r>
                      <w:rPr>
                        <w:i/>
                        <w:iCs/>
                        <w:noProof/>
                      </w:rPr>
                      <w:t xml:space="preserve">Sci., </w:t>
                    </w:r>
                    <w:r>
                      <w:rPr>
                        <w:noProof/>
                      </w:rPr>
                      <w:t xml:space="preserve">vol. 97, pp. 205-213, 2007. </w:t>
                    </w:r>
                  </w:p>
                </w:tc>
              </w:tr>
              <w:tr w:rsidR="002D6947" w:rsidRPr="004B28DB" w14:paraId="02576C90" w14:textId="77777777">
                <w:trPr>
                  <w:tblCellSpacing w:w="15" w:type="dxa"/>
                </w:trPr>
                <w:tc>
                  <w:tcPr>
                    <w:tcW w:w="50" w:type="pct"/>
                    <w:hideMark/>
                  </w:tcPr>
                  <w:p w14:paraId="1172B2F5" w14:textId="77777777" w:rsidR="002D6947" w:rsidRDefault="002D6947">
                    <w:pPr>
                      <w:pStyle w:val="Bibliographie"/>
                      <w:rPr>
                        <w:rFonts w:eastAsiaTheme="minorEastAsia"/>
                        <w:noProof/>
                      </w:rPr>
                    </w:pPr>
                    <w:r>
                      <w:rPr>
                        <w:noProof/>
                      </w:rPr>
                      <w:t xml:space="preserve">[47] </w:t>
                    </w:r>
                  </w:p>
                </w:tc>
                <w:tc>
                  <w:tcPr>
                    <w:tcW w:w="0" w:type="auto"/>
                    <w:hideMark/>
                  </w:tcPr>
                  <w:p w14:paraId="78482243" w14:textId="38E94240" w:rsidR="002D6947" w:rsidRPr="001A768D" w:rsidRDefault="002D6947">
                    <w:pPr>
                      <w:pStyle w:val="Bibliographie"/>
                      <w:rPr>
                        <w:rFonts w:eastAsiaTheme="minorEastAsia"/>
                        <w:noProof/>
                        <w:lang w:val="en-GB"/>
                      </w:rPr>
                    </w:pPr>
                    <w:r w:rsidRPr="001A768D">
                      <w:rPr>
                        <w:noProof/>
                        <w:lang w:val="en-GB"/>
                      </w:rPr>
                      <w:t xml:space="preserve">D. Xu, T. Nishimura, S. Nishimura, H. Zhang, M. Zeng, Y. Guo, M. Masek, M. Michie, J. Glenn et P. Peltz, «Fialuridine Induces Acute Liver Failure in Chimeric TK-NOG Mice: A Model for Detecting Hepatic Drug Toxicity Prior to Human Testing,» </w:t>
                    </w:r>
                    <w:r w:rsidRPr="001A768D">
                      <w:rPr>
                        <w:i/>
                        <w:iCs/>
                        <w:noProof/>
                        <w:lang w:val="en-GB"/>
                      </w:rPr>
                      <w:t xml:space="preserve">PLOS Medicine, </w:t>
                    </w:r>
                    <w:r w:rsidR="001A768D">
                      <w:rPr>
                        <w:noProof/>
                        <w:lang w:val="en-GB"/>
                      </w:rPr>
                      <w:t xml:space="preserve">vol. 11, </w:t>
                    </w:r>
                    <w:r w:rsidRPr="001A768D">
                      <w:rPr>
                        <w:noProof/>
                        <w:lang w:val="en-GB"/>
                      </w:rPr>
                      <w:t xml:space="preserve">14, p. 1001628, 2014. </w:t>
                    </w:r>
                  </w:p>
                </w:tc>
              </w:tr>
              <w:tr w:rsidR="002D6947" w:rsidRPr="004B28DB" w14:paraId="6BE566F0" w14:textId="77777777">
                <w:trPr>
                  <w:tblCellSpacing w:w="15" w:type="dxa"/>
                </w:trPr>
                <w:tc>
                  <w:tcPr>
                    <w:tcW w:w="50" w:type="pct"/>
                    <w:hideMark/>
                  </w:tcPr>
                  <w:p w14:paraId="6EEC8C54" w14:textId="77777777" w:rsidR="002D6947" w:rsidRDefault="002D6947">
                    <w:pPr>
                      <w:pStyle w:val="Bibliographie"/>
                      <w:rPr>
                        <w:rFonts w:eastAsiaTheme="minorEastAsia"/>
                        <w:noProof/>
                      </w:rPr>
                    </w:pPr>
                    <w:r>
                      <w:rPr>
                        <w:noProof/>
                      </w:rPr>
                      <w:t xml:space="preserve">[48] </w:t>
                    </w:r>
                  </w:p>
                </w:tc>
                <w:tc>
                  <w:tcPr>
                    <w:tcW w:w="0" w:type="auto"/>
                    <w:hideMark/>
                  </w:tcPr>
                  <w:p w14:paraId="03D05F51" w14:textId="7D6EBB3C" w:rsidR="002D6947" w:rsidRPr="001A768D" w:rsidRDefault="002D6947">
                    <w:pPr>
                      <w:pStyle w:val="Bibliographie"/>
                      <w:rPr>
                        <w:rFonts w:eastAsiaTheme="minorEastAsia"/>
                        <w:noProof/>
                        <w:lang w:val="en-GB"/>
                      </w:rPr>
                    </w:pPr>
                    <w:r w:rsidRPr="001A768D">
                      <w:rPr>
                        <w:noProof/>
                        <w:lang w:val="en-GB"/>
                      </w:rPr>
                      <w:t xml:space="preserve">R. Kashimshetty, V. Desai, V. Kale, T. Lee, C. Moland, W. Branham, L. New, E. Chan, H. Younis et U. Boelsterli, «Underlying mitochondrial dysfunction triggers flutamide-induced oxidative liver injury in a mouse model of idiosyncratic drug toxicity.,» </w:t>
                    </w:r>
                    <w:r w:rsidRPr="001A768D">
                      <w:rPr>
                        <w:i/>
                        <w:iCs/>
                        <w:noProof/>
                        <w:lang w:val="en-GB"/>
                      </w:rPr>
                      <w:t xml:space="preserve">Toxicol Appl Pharmacol., </w:t>
                    </w:r>
                    <w:r w:rsidR="001A768D">
                      <w:rPr>
                        <w:noProof/>
                        <w:lang w:val="en-GB"/>
                      </w:rPr>
                      <w:t xml:space="preserve">vol. 238, </w:t>
                    </w:r>
                    <w:r w:rsidRPr="001A768D">
                      <w:rPr>
                        <w:noProof/>
                        <w:lang w:val="en-GB"/>
                      </w:rPr>
                      <w:t xml:space="preserve">12, pp. 150-159, 2009. </w:t>
                    </w:r>
                  </w:p>
                </w:tc>
              </w:tr>
              <w:tr w:rsidR="002D6947" w:rsidRPr="004B28DB" w14:paraId="4B27F865" w14:textId="77777777">
                <w:trPr>
                  <w:tblCellSpacing w:w="15" w:type="dxa"/>
                </w:trPr>
                <w:tc>
                  <w:tcPr>
                    <w:tcW w:w="50" w:type="pct"/>
                    <w:hideMark/>
                  </w:tcPr>
                  <w:p w14:paraId="5AAAEE16" w14:textId="77777777" w:rsidR="002D6947" w:rsidRDefault="002D6947">
                    <w:pPr>
                      <w:pStyle w:val="Bibliographie"/>
                      <w:rPr>
                        <w:rFonts w:eastAsiaTheme="minorEastAsia"/>
                        <w:noProof/>
                      </w:rPr>
                    </w:pPr>
                    <w:r>
                      <w:rPr>
                        <w:noProof/>
                      </w:rPr>
                      <w:t xml:space="preserve">[49] </w:t>
                    </w:r>
                  </w:p>
                </w:tc>
                <w:tc>
                  <w:tcPr>
                    <w:tcW w:w="0" w:type="auto"/>
                    <w:hideMark/>
                  </w:tcPr>
                  <w:p w14:paraId="6A7CA738" w14:textId="77777777" w:rsidR="002D6947" w:rsidRPr="001A768D" w:rsidRDefault="002D6947">
                    <w:pPr>
                      <w:pStyle w:val="Bibliographie"/>
                      <w:rPr>
                        <w:rFonts w:eastAsiaTheme="minorEastAsia"/>
                        <w:noProof/>
                        <w:lang w:val="en-GB"/>
                      </w:rPr>
                    </w:pPr>
                    <w:r w:rsidRPr="001A768D">
                      <w:rPr>
                        <w:noProof/>
                        <w:lang w:val="en-GB"/>
                      </w:rPr>
                      <w:t xml:space="preserve">K. Fujimoto, K. Kumagai, K. Ito, S. Arakawa, Y. Ando, S.-i. Oda, T. Yamoto et S. Manabe, «Sensitivity of Liver Injury in Heterozygous Sod2 Knockout Mice Treated with Troglitazone or Acetaminophen,» </w:t>
                    </w:r>
                    <w:r w:rsidRPr="001A768D">
                      <w:rPr>
                        <w:i/>
                        <w:iCs/>
                        <w:noProof/>
                        <w:lang w:val="en-GB"/>
                      </w:rPr>
                      <w:t xml:space="preserve">Toxicologic Pathology, </w:t>
                    </w:r>
                    <w:r w:rsidRPr="001A768D">
                      <w:rPr>
                        <w:noProof/>
                        <w:lang w:val="en-GB"/>
                      </w:rPr>
                      <w:t xml:space="preserve">vol. 37, pp. 193-200, 2009. </w:t>
                    </w:r>
                  </w:p>
                </w:tc>
              </w:tr>
              <w:tr w:rsidR="002D6947" w:rsidRPr="004B28DB" w14:paraId="7F621AAD" w14:textId="77777777">
                <w:trPr>
                  <w:tblCellSpacing w:w="15" w:type="dxa"/>
                </w:trPr>
                <w:tc>
                  <w:tcPr>
                    <w:tcW w:w="50" w:type="pct"/>
                    <w:hideMark/>
                  </w:tcPr>
                  <w:p w14:paraId="5771077E" w14:textId="77777777" w:rsidR="002D6947" w:rsidRDefault="002D6947">
                    <w:pPr>
                      <w:pStyle w:val="Bibliographie"/>
                      <w:rPr>
                        <w:rFonts w:eastAsiaTheme="minorEastAsia"/>
                        <w:noProof/>
                      </w:rPr>
                    </w:pPr>
                    <w:r>
                      <w:rPr>
                        <w:noProof/>
                      </w:rPr>
                      <w:t xml:space="preserve">[50] </w:t>
                    </w:r>
                  </w:p>
                </w:tc>
                <w:tc>
                  <w:tcPr>
                    <w:tcW w:w="0" w:type="auto"/>
                    <w:hideMark/>
                  </w:tcPr>
                  <w:p w14:paraId="26394D95" w14:textId="77777777" w:rsidR="002D6947" w:rsidRPr="001A768D" w:rsidRDefault="002D6947">
                    <w:pPr>
                      <w:pStyle w:val="Bibliographie"/>
                      <w:rPr>
                        <w:rFonts w:eastAsiaTheme="minorEastAsia"/>
                        <w:noProof/>
                        <w:lang w:val="en-GB"/>
                      </w:rPr>
                    </w:pPr>
                    <w:r w:rsidRPr="001A768D">
                      <w:rPr>
                        <w:noProof/>
                        <w:lang w:val="en-GB"/>
                      </w:rPr>
                      <w:t xml:space="preserve">M. Festing, «Improving toxicity screening and drug development by using genetically defined strains.,» </w:t>
                    </w:r>
                    <w:r w:rsidRPr="001A768D">
                      <w:rPr>
                        <w:i/>
                        <w:iCs/>
                        <w:noProof/>
                        <w:lang w:val="en-GB"/>
                      </w:rPr>
                      <w:t xml:space="preserve">Methods Mol Biol., </w:t>
                    </w:r>
                    <w:r w:rsidRPr="001A768D">
                      <w:rPr>
                        <w:noProof/>
                        <w:lang w:val="en-GB"/>
                      </w:rPr>
                      <w:t xml:space="preserve">vol. 602, pp. 1-21, 2010. </w:t>
                    </w:r>
                  </w:p>
                </w:tc>
              </w:tr>
              <w:tr w:rsidR="002D6947" w14:paraId="230E5D44" w14:textId="77777777">
                <w:trPr>
                  <w:tblCellSpacing w:w="15" w:type="dxa"/>
                </w:trPr>
                <w:tc>
                  <w:tcPr>
                    <w:tcW w:w="50" w:type="pct"/>
                    <w:hideMark/>
                  </w:tcPr>
                  <w:p w14:paraId="71A65EF9" w14:textId="77777777" w:rsidR="002D6947" w:rsidRDefault="002D6947">
                    <w:pPr>
                      <w:pStyle w:val="Bibliographie"/>
                      <w:rPr>
                        <w:rFonts w:eastAsiaTheme="minorEastAsia"/>
                        <w:noProof/>
                      </w:rPr>
                    </w:pPr>
                    <w:r>
                      <w:rPr>
                        <w:noProof/>
                      </w:rPr>
                      <w:t xml:space="preserve">[51] </w:t>
                    </w:r>
                  </w:p>
                </w:tc>
                <w:tc>
                  <w:tcPr>
                    <w:tcW w:w="0" w:type="auto"/>
                    <w:hideMark/>
                  </w:tcPr>
                  <w:p w14:paraId="16966787" w14:textId="6150FAC5" w:rsidR="002D6947" w:rsidRDefault="002D6947">
                    <w:pPr>
                      <w:pStyle w:val="Bibliographie"/>
                      <w:rPr>
                        <w:rFonts w:eastAsiaTheme="minorEastAsia"/>
                        <w:noProof/>
                      </w:rPr>
                    </w:pPr>
                    <w:r w:rsidRPr="001A768D">
                      <w:rPr>
                        <w:noProof/>
                        <w:lang w:val="en-GB"/>
                      </w:rPr>
                      <w:t xml:space="preserve">J. Montaner, H. Coté, R. Harris, B. Yip, P. Harrigan et M. O'shaughnessy, «Nucleoside-related mitochondrial toxicity among HIV-infected patients receiving antiretroviral therapy; Insights from the evaluation of venous lactic acid and periperal blood mitochondrial DNA.,» </w:t>
                    </w:r>
                    <w:r w:rsidRPr="001A768D">
                      <w:rPr>
                        <w:i/>
                        <w:iCs/>
                        <w:noProof/>
                        <w:lang w:val="en-GB"/>
                      </w:rPr>
                      <w:t xml:space="preserve">Clin. </w:t>
                    </w:r>
                    <w:r>
                      <w:rPr>
                        <w:i/>
                        <w:iCs/>
                        <w:noProof/>
                      </w:rPr>
                      <w:t xml:space="preserve">Infect; Dis., </w:t>
                    </w:r>
                    <w:r w:rsidR="001A768D">
                      <w:rPr>
                        <w:noProof/>
                      </w:rPr>
                      <w:t xml:space="preserve">vol. 38, </w:t>
                    </w:r>
                    <w:r>
                      <w:rPr>
                        <w:noProof/>
                      </w:rPr>
                      <w:t xml:space="preserve">12, pp. S73-79, 2004. </w:t>
                    </w:r>
                  </w:p>
                </w:tc>
              </w:tr>
              <w:tr w:rsidR="002D6947" w:rsidRPr="004B28DB" w14:paraId="64EB8D69" w14:textId="77777777">
                <w:trPr>
                  <w:tblCellSpacing w:w="15" w:type="dxa"/>
                </w:trPr>
                <w:tc>
                  <w:tcPr>
                    <w:tcW w:w="50" w:type="pct"/>
                    <w:hideMark/>
                  </w:tcPr>
                  <w:p w14:paraId="791CCE85" w14:textId="77777777" w:rsidR="002D6947" w:rsidRDefault="002D6947">
                    <w:pPr>
                      <w:pStyle w:val="Bibliographie"/>
                      <w:rPr>
                        <w:rFonts w:eastAsiaTheme="minorEastAsia"/>
                        <w:noProof/>
                      </w:rPr>
                    </w:pPr>
                    <w:r>
                      <w:rPr>
                        <w:noProof/>
                      </w:rPr>
                      <w:t xml:space="preserve">[52] </w:t>
                    </w:r>
                  </w:p>
                </w:tc>
                <w:tc>
                  <w:tcPr>
                    <w:tcW w:w="0" w:type="auto"/>
                    <w:hideMark/>
                  </w:tcPr>
                  <w:p w14:paraId="612BB5D5" w14:textId="48B4806D" w:rsidR="002D6947" w:rsidRPr="001A768D" w:rsidRDefault="002D6947">
                    <w:pPr>
                      <w:pStyle w:val="Bibliographie"/>
                      <w:rPr>
                        <w:rFonts w:eastAsiaTheme="minorEastAsia"/>
                        <w:noProof/>
                        <w:lang w:val="en-GB"/>
                      </w:rPr>
                    </w:pPr>
                    <w:r w:rsidRPr="001A768D">
                      <w:rPr>
                        <w:noProof/>
                        <w:lang w:val="en-GB"/>
                      </w:rPr>
                      <w:t xml:space="preserve">J. Hailey, J. Nold, R. Brown, J. Cullen, J. Holder, H. Jordan, D. Ennulat et R. Miller, «Biliary proliferative lesions in the Sprague-Dawley rat: adverse/non-adverse.,» </w:t>
                    </w:r>
                    <w:r w:rsidRPr="001A768D">
                      <w:rPr>
                        <w:i/>
                        <w:iCs/>
                        <w:noProof/>
                        <w:lang w:val="en-GB"/>
                      </w:rPr>
                      <w:t xml:space="preserve">Toxicol Pathol., </w:t>
                    </w:r>
                    <w:r w:rsidR="001A768D">
                      <w:rPr>
                        <w:noProof/>
                        <w:lang w:val="en-GB"/>
                      </w:rPr>
                      <w:t xml:space="preserve">vol. 42, </w:t>
                    </w:r>
                    <w:r w:rsidRPr="001A768D">
                      <w:rPr>
                        <w:noProof/>
                        <w:lang w:val="en-GB"/>
                      </w:rPr>
                      <w:t xml:space="preserve">15, pp. 844-54, 2014. </w:t>
                    </w:r>
                  </w:p>
                </w:tc>
              </w:tr>
              <w:tr w:rsidR="002D6947" w:rsidRPr="004B28DB" w14:paraId="4C68AE29" w14:textId="77777777">
                <w:trPr>
                  <w:tblCellSpacing w:w="15" w:type="dxa"/>
                </w:trPr>
                <w:tc>
                  <w:tcPr>
                    <w:tcW w:w="50" w:type="pct"/>
                    <w:hideMark/>
                  </w:tcPr>
                  <w:p w14:paraId="3B9CD79A" w14:textId="77777777" w:rsidR="002D6947" w:rsidRDefault="002D6947">
                    <w:pPr>
                      <w:pStyle w:val="Bibliographie"/>
                      <w:rPr>
                        <w:rFonts w:eastAsiaTheme="minorEastAsia"/>
                        <w:noProof/>
                      </w:rPr>
                    </w:pPr>
                    <w:r>
                      <w:rPr>
                        <w:noProof/>
                      </w:rPr>
                      <w:t xml:space="preserve">[53] </w:t>
                    </w:r>
                  </w:p>
                </w:tc>
                <w:tc>
                  <w:tcPr>
                    <w:tcW w:w="0" w:type="auto"/>
                    <w:hideMark/>
                  </w:tcPr>
                  <w:p w14:paraId="0B07FC5A" w14:textId="77777777" w:rsidR="002D6947" w:rsidRPr="001A768D" w:rsidRDefault="002D6947">
                    <w:pPr>
                      <w:pStyle w:val="Bibliographie"/>
                      <w:rPr>
                        <w:rFonts w:eastAsiaTheme="minorEastAsia"/>
                        <w:noProof/>
                        <w:lang w:val="en-GB"/>
                      </w:rPr>
                    </w:pPr>
                    <w:r w:rsidRPr="001A768D">
                      <w:rPr>
                        <w:noProof/>
                        <w:lang w:val="en-GB"/>
                      </w:rPr>
                      <w:t xml:space="preserve">K. Köck, B. Ferslew, I. Netterberg, K. Yang, T. Urban, P. Swann, P. Stewart et L. Brouwer, «Risk factors for development of cholestatic drug-induced liver injury: Inhibition of hepatic basolateral bile acid transporters multidrug resistance-associated proteins 3 and 4.,» </w:t>
                    </w:r>
                    <w:r w:rsidRPr="001A768D">
                      <w:rPr>
                        <w:i/>
                        <w:iCs/>
                        <w:noProof/>
                        <w:lang w:val="en-GB"/>
                      </w:rPr>
                      <w:t xml:space="preserve">Drug Met Dispos., </w:t>
                    </w:r>
                    <w:r w:rsidRPr="001A768D">
                      <w:rPr>
                        <w:noProof/>
                        <w:lang w:val="en-GB"/>
                      </w:rPr>
                      <w:t xml:space="preserve">vol. 42, pp. 665-674, 2014. </w:t>
                    </w:r>
                  </w:p>
                </w:tc>
              </w:tr>
              <w:tr w:rsidR="002D6947" w:rsidRPr="004B28DB" w14:paraId="66C0B28A" w14:textId="77777777">
                <w:trPr>
                  <w:tblCellSpacing w:w="15" w:type="dxa"/>
                </w:trPr>
                <w:tc>
                  <w:tcPr>
                    <w:tcW w:w="50" w:type="pct"/>
                    <w:hideMark/>
                  </w:tcPr>
                  <w:p w14:paraId="66EE2DD7" w14:textId="77777777" w:rsidR="002D6947" w:rsidRDefault="002D6947">
                    <w:pPr>
                      <w:pStyle w:val="Bibliographie"/>
                      <w:rPr>
                        <w:rFonts w:eastAsiaTheme="minorEastAsia"/>
                        <w:noProof/>
                      </w:rPr>
                    </w:pPr>
                    <w:r>
                      <w:rPr>
                        <w:noProof/>
                      </w:rPr>
                      <w:t xml:space="preserve">[54] </w:t>
                    </w:r>
                  </w:p>
                </w:tc>
                <w:tc>
                  <w:tcPr>
                    <w:tcW w:w="0" w:type="auto"/>
                    <w:hideMark/>
                  </w:tcPr>
                  <w:p w14:paraId="5A616DDE" w14:textId="77777777" w:rsidR="002D6947" w:rsidRPr="001A768D" w:rsidRDefault="002D6947">
                    <w:pPr>
                      <w:pStyle w:val="Bibliographie"/>
                      <w:rPr>
                        <w:rFonts w:eastAsiaTheme="minorEastAsia"/>
                        <w:noProof/>
                        <w:lang w:val="en-GB"/>
                      </w:rPr>
                    </w:pPr>
                    <w:r w:rsidRPr="001A768D">
                      <w:rPr>
                        <w:noProof/>
                        <w:lang w:val="en-GB"/>
                      </w:rPr>
                      <w:t xml:space="preserve">R. E. Morgan, C. van Staden, Y. Chen, N. Kalyanaraman, J. Kalanzi, R. Dunn, C. Afshari et H. Hamadeh, «A Multifactorial Approach to Hepatobiliary Transporter Assessment Enables Improved Therapeutic Compound Development,» </w:t>
                    </w:r>
                    <w:r w:rsidRPr="001A768D">
                      <w:rPr>
                        <w:i/>
                        <w:iCs/>
                        <w:noProof/>
                        <w:lang w:val="en-GB"/>
                      </w:rPr>
                      <w:t xml:space="preserve">Tox Sciences, </w:t>
                    </w:r>
                    <w:r w:rsidRPr="001A768D">
                      <w:rPr>
                        <w:noProof/>
                        <w:lang w:val="en-GB"/>
                      </w:rPr>
                      <w:t xml:space="preserve">16 August 2013. </w:t>
                    </w:r>
                  </w:p>
                </w:tc>
              </w:tr>
              <w:tr w:rsidR="002D6947" w:rsidRPr="004B28DB" w14:paraId="25A4CBA9" w14:textId="77777777">
                <w:trPr>
                  <w:tblCellSpacing w:w="15" w:type="dxa"/>
                </w:trPr>
                <w:tc>
                  <w:tcPr>
                    <w:tcW w:w="50" w:type="pct"/>
                    <w:hideMark/>
                  </w:tcPr>
                  <w:p w14:paraId="098E509F" w14:textId="77777777" w:rsidR="002D6947" w:rsidRDefault="002D6947">
                    <w:pPr>
                      <w:pStyle w:val="Bibliographie"/>
                      <w:rPr>
                        <w:rFonts w:eastAsiaTheme="minorEastAsia"/>
                        <w:noProof/>
                      </w:rPr>
                    </w:pPr>
                    <w:r>
                      <w:rPr>
                        <w:noProof/>
                      </w:rPr>
                      <w:t xml:space="preserve">[55] </w:t>
                    </w:r>
                  </w:p>
                </w:tc>
                <w:tc>
                  <w:tcPr>
                    <w:tcW w:w="0" w:type="auto"/>
                    <w:hideMark/>
                  </w:tcPr>
                  <w:p w14:paraId="33B79A3C" w14:textId="4C07D675" w:rsidR="002D6947" w:rsidRPr="001A768D" w:rsidRDefault="002D6947">
                    <w:pPr>
                      <w:pStyle w:val="Bibliographie"/>
                      <w:rPr>
                        <w:rFonts w:eastAsiaTheme="minorEastAsia"/>
                        <w:noProof/>
                        <w:lang w:val="en-GB"/>
                      </w:rPr>
                    </w:pPr>
                    <w:r w:rsidRPr="001A768D">
                      <w:rPr>
                        <w:noProof/>
                        <w:lang w:val="en-GB"/>
                      </w:rPr>
                      <w:t xml:space="preserve">E. Blomme et Y. Will, «Toxicology strategies for drug discovery: Present and Future.,» </w:t>
                    </w:r>
                    <w:r w:rsidRPr="001A768D">
                      <w:rPr>
                        <w:i/>
                        <w:iCs/>
                        <w:noProof/>
                        <w:lang w:val="en-GB"/>
                      </w:rPr>
                      <w:t xml:space="preserve">Chem Res Toxicol., </w:t>
                    </w:r>
                    <w:r w:rsidR="001A768D">
                      <w:rPr>
                        <w:noProof/>
                        <w:lang w:val="en-GB"/>
                      </w:rPr>
                      <w:t xml:space="preserve">vol. 29, </w:t>
                    </w:r>
                    <w:r w:rsidRPr="001A768D">
                      <w:rPr>
                        <w:noProof/>
                        <w:lang w:val="en-GB"/>
                      </w:rPr>
                      <w:t xml:space="preserve">14, pp. 473-504, 2016. </w:t>
                    </w:r>
                  </w:p>
                </w:tc>
              </w:tr>
              <w:tr w:rsidR="002D6947" w:rsidRPr="004B28DB" w14:paraId="7E51F941" w14:textId="77777777">
                <w:trPr>
                  <w:tblCellSpacing w:w="15" w:type="dxa"/>
                </w:trPr>
                <w:tc>
                  <w:tcPr>
                    <w:tcW w:w="50" w:type="pct"/>
                    <w:hideMark/>
                  </w:tcPr>
                  <w:p w14:paraId="3E25E065" w14:textId="77777777" w:rsidR="002D6947" w:rsidRDefault="002D6947">
                    <w:pPr>
                      <w:pStyle w:val="Bibliographie"/>
                      <w:rPr>
                        <w:rFonts w:eastAsiaTheme="minorEastAsia"/>
                        <w:noProof/>
                      </w:rPr>
                    </w:pPr>
                    <w:r>
                      <w:rPr>
                        <w:noProof/>
                      </w:rPr>
                      <w:t xml:space="preserve">[56] </w:t>
                    </w:r>
                  </w:p>
                </w:tc>
                <w:tc>
                  <w:tcPr>
                    <w:tcW w:w="0" w:type="auto"/>
                    <w:hideMark/>
                  </w:tcPr>
                  <w:p w14:paraId="4E1E5FE7" w14:textId="77777777" w:rsidR="002D6947" w:rsidRPr="001A768D" w:rsidRDefault="002D6947">
                    <w:pPr>
                      <w:pStyle w:val="Bibliographie"/>
                      <w:rPr>
                        <w:rFonts w:eastAsiaTheme="minorEastAsia"/>
                        <w:noProof/>
                        <w:lang w:val="en-GB"/>
                      </w:rPr>
                    </w:pPr>
                    <w:r w:rsidRPr="001A768D">
                      <w:rPr>
                        <w:noProof/>
                        <w:lang w:val="en-GB"/>
                      </w:rPr>
                      <w:t xml:space="preserve">Li et Y. T Chiang, «Bile acid signalling in metabolic disease and drug therapy.,» </w:t>
                    </w:r>
                    <w:r w:rsidRPr="001A768D">
                      <w:rPr>
                        <w:i/>
                        <w:iCs/>
                        <w:noProof/>
                        <w:lang w:val="en-GB"/>
                      </w:rPr>
                      <w:t xml:space="preserve">Pharm Rev., </w:t>
                    </w:r>
                    <w:r w:rsidRPr="001A768D">
                      <w:rPr>
                        <w:noProof/>
                        <w:lang w:val="en-GB"/>
                      </w:rPr>
                      <w:t xml:space="preserve">vol. 66, pp. 948-983, 2014. </w:t>
                    </w:r>
                  </w:p>
                </w:tc>
              </w:tr>
              <w:tr w:rsidR="002D6947" w:rsidRPr="004B28DB" w14:paraId="5D9E6D55" w14:textId="77777777">
                <w:trPr>
                  <w:tblCellSpacing w:w="15" w:type="dxa"/>
                </w:trPr>
                <w:tc>
                  <w:tcPr>
                    <w:tcW w:w="50" w:type="pct"/>
                    <w:hideMark/>
                  </w:tcPr>
                  <w:p w14:paraId="29D438BD" w14:textId="77777777" w:rsidR="002D6947" w:rsidRDefault="002D6947">
                    <w:pPr>
                      <w:pStyle w:val="Bibliographie"/>
                      <w:rPr>
                        <w:rFonts w:eastAsiaTheme="minorEastAsia"/>
                        <w:noProof/>
                      </w:rPr>
                    </w:pPr>
                    <w:r>
                      <w:rPr>
                        <w:noProof/>
                      </w:rPr>
                      <w:t xml:space="preserve">[57] </w:t>
                    </w:r>
                  </w:p>
                </w:tc>
                <w:tc>
                  <w:tcPr>
                    <w:tcW w:w="0" w:type="auto"/>
                    <w:hideMark/>
                  </w:tcPr>
                  <w:p w14:paraId="4D916361" w14:textId="77777777" w:rsidR="002D6947" w:rsidRPr="001A768D" w:rsidRDefault="002D6947">
                    <w:pPr>
                      <w:pStyle w:val="Bibliographie"/>
                      <w:rPr>
                        <w:rFonts w:eastAsiaTheme="minorEastAsia"/>
                        <w:noProof/>
                        <w:lang w:val="en-GB"/>
                      </w:rPr>
                    </w:pPr>
                    <w:r w:rsidRPr="001A768D">
                      <w:rPr>
                        <w:noProof/>
                        <w:lang w:val="en-GB"/>
                      </w:rPr>
                      <w:t xml:space="preserve">A. Rogue, S. Anthérieu, T. Vluggens A: Umbdenstock, N. Claude, C. de la Moureyue, R. Weaver et A. Guillouzo, «PPAR agonists reduce steatosis in oleic acid-overloaded HepaRG cells,» </w:t>
                    </w:r>
                    <w:r w:rsidRPr="001A768D">
                      <w:rPr>
                        <w:i/>
                        <w:iCs/>
                        <w:noProof/>
                        <w:lang w:val="en-GB"/>
                      </w:rPr>
                      <w:t xml:space="preserve">Tox and Appl Pharm, </w:t>
                    </w:r>
                    <w:r w:rsidRPr="001A768D">
                      <w:rPr>
                        <w:noProof/>
                        <w:lang w:val="en-GB"/>
                      </w:rPr>
                      <w:t xml:space="preserve">vol. 276, pp. 73-81, 2014. </w:t>
                    </w:r>
                  </w:p>
                </w:tc>
              </w:tr>
              <w:tr w:rsidR="002D6947" w:rsidRPr="004B28DB" w14:paraId="5EBD221A" w14:textId="77777777">
                <w:trPr>
                  <w:tblCellSpacing w:w="15" w:type="dxa"/>
                </w:trPr>
                <w:tc>
                  <w:tcPr>
                    <w:tcW w:w="50" w:type="pct"/>
                    <w:hideMark/>
                  </w:tcPr>
                  <w:p w14:paraId="21D541B4" w14:textId="77777777" w:rsidR="002D6947" w:rsidRDefault="002D6947">
                    <w:pPr>
                      <w:pStyle w:val="Bibliographie"/>
                      <w:rPr>
                        <w:rFonts w:eastAsiaTheme="minorEastAsia"/>
                        <w:noProof/>
                      </w:rPr>
                    </w:pPr>
                    <w:r>
                      <w:rPr>
                        <w:noProof/>
                      </w:rPr>
                      <w:lastRenderedPageBreak/>
                      <w:t xml:space="preserve">[58] </w:t>
                    </w:r>
                  </w:p>
                </w:tc>
                <w:tc>
                  <w:tcPr>
                    <w:tcW w:w="0" w:type="auto"/>
                    <w:hideMark/>
                  </w:tcPr>
                  <w:p w14:paraId="0D46587B" w14:textId="77777777" w:rsidR="002D6947" w:rsidRPr="001A768D" w:rsidRDefault="002D6947">
                    <w:pPr>
                      <w:pStyle w:val="Bibliographie"/>
                      <w:rPr>
                        <w:rFonts w:eastAsiaTheme="minorEastAsia"/>
                        <w:noProof/>
                        <w:lang w:val="en-GB"/>
                      </w:rPr>
                    </w:pPr>
                    <w:r w:rsidRPr="001A768D">
                      <w:rPr>
                        <w:noProof/>
                        <w:lang w:val="en-GB"/>
                      </w:rPr>
                      <w:t xml:space="preserve">M. Burbank, A. Burben, A. Sharanek, R. Weaver, C. Gugen-Guillouzo et A. Guillouzo, «Early alterations of bile canaliculi dynamics and the Rho kinase/myosyn light chain kinase pathway are characteristics of drug-induced intrahepatic cholestasis.,» </w:t>
                    </w:r>
                    <w:r w:rsidRPr="001A768D">
                      <w:rPr>
                        <w:i/>
                        <w:iCs/>
                        <w:noProof/>
                        <w:lang w:val="en-GB"/>
                      </w:rPr>
                      <w:t xml:space="preserve">Drug Met Disposition, </w:t>
                    </w:r>
                    <w:r w:rsidRPr="001A768D">
                      <w:rPr>
                        <w:noProof/>
                        <w:lang w:val="en-GB"/>
                      </w:rPr>
                      <w:t xml:space="preserve">vol. 44, pp. 1-14, 2016. </w:t>
                    </w:r>
                  </w:p>
                </w:tc>
              </w:tr>
              <w:tr w:rsidR="002D6947" w:rsidRPr="004B28DB" w14:paraId="45B2FBE5" w14:textId="77777777">
                <w:trPr>
                  <w:tblCellSpacing w:w="15" w:type="dxa"/>
                </w:trPr>
                <w:tc>
                  <w:tcPr>
                    <w:tcW w:w="50" w:type="pct"/>
                    <w:hideMark/>
                  </w:tcPr>
                  <w:p w14:paraId="18D21ADC" w14:textId="77777777" w:rsidR="002D6947" w:rsidRDefault="002D6947">
                    <w:pPr>
                      <w:pStyle w:val="Bibliographie"/>
                      <w:rPr>
                        <w:rFonts w:eastAsiaTheme="minorEastAsia"/>
                        <w:noProof/>
                      </w:rPr>
                    </w:pPr>
                    <w:r>
                      <w:rPr>
                        <w:noProof/>
                      </w:rPr>
                      <w:t xml:space="preserve">[59] </w:t>
                    </w:r>
                  </w:p>
                </w:tc>
                <w:tc>
                  <w:tcPr>
                    <w:tcW w:w="0" w:type="auto"/>
                    <w:hideMark/>
                  </w:tcPr>
                  <w:p w14:paraId="4F5D347A" w14:textId="77777777" w:rsidR="002D6947" w:rsidRPr="001A768D" w:rsidRDefault="002D6947">
                    <w:pPr>
                      <w:pStyle w:val="Bibliographie"/>
                      <w:rPr>
                        <w:rFonts w:eastAsiaTheme="minorEastAsia"/>
                        <w:noProof/>
                        <w:lang w:val="en-GB"/>
                      </w:rPr>
                    </w:pPr>
                    <w:r w:rsidRPr="001A768D">
                      <w:rPr>
                        <w:noProof/>
                        <w:lang w:val="en-GB"/>
                      </w:rPr>
                      <w:t xml:space="preserve">V. Starokozhk, S. Vatakuti, B. Schievink, M. Merema, A. Asplund, J. Synnergren, A. Aspegren et G. Groothuis, «Maintenance of drug metabolism and transport functions in human precision-cut liver slices during prolonged incubation for 5 days,» </w:t>
                    </w:r>
                    <w:r w:rsidRPr="001A768D">
                      <w:rPr>
                        <w:i/>
                        <w:iCs/>
                        <w:noProof/>
                        <w:lang w:val="en-GB"/>
                      </w:rPr>
                      <w:t xml:space="preserve">Arch Toxicol, </w:t>
                    </w:r>
                    <w:r w:rsidRPr="001A768D">
                      <w:rPr>
                        <w:noProof/>
                        <w:lang w:val="en-GB"/>
                      </w:rPr>
                      <w:t xml:space="preserve">7 October 2016. </w:t>
                    </w:r>
                  </w:p>
                </w:tc>
              </w:tr>
              <w:tr w:rsidR="002D6947" w:rsidRPr="004B28DB" w14:paraId="4B70769F" w14:textId="77777777">
                <w:trPr>
                  <w:tblCellSpacing w:w="15" w:type="dxa"/>
                </w:trPr>
                <w:tc>
                  <w:tcPr>
                    <w:tcW w:w="50" w:type="pct"/>
                    <w:hideMark/>
                  </w:tcPr>
                  <w:p w14:paraId="7E765648" w14:textId="77777777" w:rsidR="002D6947" w:rsidRDefault="002D6947">
                    <w:pPr>
                      <w:pStyle w:val="Bibliographie"/>
                      <w:rPr>
                        <w:rFonts w:eastAsiaTheme="minorEastAsia"/>
                        <w:noProof/>
                      </w:rPr>
                    </w:pPr>
                    <w:r>
                      <w:rPr>
                        <w:noProof/>
                      </w:rPr>
                      <w:t xml:space="preserve">[60] </w:t>
                    </w:r>
                  </w:p>
                </w:tc>
                <w:tc>
                  <w:tcPr>
                    <w:tcW w:w="0" w:type="auto"/>
                    <w:hideMark/>
                  </w:tcPr>
                  <w:p w14:paraId="1CD8FD0C" w14:textId="77777777" w:rsidR="002D6947" w:rsidRPr="001A768D" w:rsidRDefault="002D6947">
                    <w:pPr>
                      <w:pStyle w:val="Bibliographie"/>
                      <w:rPr>
                        <w:rFonts w:eastAsiaTheme="minorEastAsia"/>
                        <w:noProof/>
                        <w:lang w:val="en-GB"/>
                      </w:rPr>
                    </w:pPr>
                    <w:r w:rsidRPr="001A768D">
                      <w:rPr>
                        <w:noProof/>
                        <w:lang w:val="en-GB"/>
                      </w:rPr>
                      <w:t xml:space="preserve">S. Vatakuti, J. Pennings, E. Gore, P. Olinga et G. Groothuis, «Classification of Cholestatic and Necrotic Hepatotoxicants Using Transcriptomics on Human Precision-Cut Liver Slices.,» </w:t>
                    </w:r>
                    <w:r w:rsidRPr="001A768D">
                      <w:rPr>
                        <w:i/>
                        <w:iCs/>
                        <w:noProof/>
                        <w:lang w:val="en-GB"/>
                      </w:rPr>
                      <w:t xml:space="preserve">Chem REs Toxicol, </w:t>
                    </w:r>
                    <w:r w:rsidRPr="001A768D">
                      <w:rPr>
                        <w:noProof/>
                        <w:lang w:val="en-GB"/>
                      </w:rPr>
                      <w:t xml:space="preserve">pp. 342-351, 9 March 2016. </w:t>
                    </w:r>
                  </w:p>
                </w:tc>
              </w:tr>
              <w:tr w:rsidR="002D6947" w:rsidRPr="004B28DB" w14:paraId="70821D16" w14:textId="77777777">
                <w:trPr>
                  <w:tblCellSpacing w:w="15" w:type="dxa"/>
                </w:trPr>
                <w:tc>
                  <w:tcPr>
                    <w:tcW w:w="50" w:type="pct"/>
                    <w:hideMark/>
                  </w:tcPr>
                  <w:p w14:paraId="3483939E" w14:textId="77777777" w:rsidR="002D6947" w:rsidRDefault="002D6947">
                    <w:pPr>
                      <w:pStyle w:val="Bibliographie"/>
                      <w:rPr>
                        <w:rFonts w:eastAsiaTheme="minorEastAsia"/>
                        <w:noProof/>
                      </w:rPr>
                    </w:pPr>
                    <w:r>
                      <w:rPr>
                        <w:noProof/>
                      </w:rPr>
                      <w:t xml:space="preserve">[61] </w:t>
                    </w:r>
                  </w:p>
                </w:tc>
                <w:tc>
                  <w:tcPr>
                    <w:tcW w:w="0" w:type="auto"/>
                    <w:hideMark/>
                  </w:tcPr>
                  <w:p w14:paraId="36C2F6C8" w14:textId="77777777" w:rsidR="002D6947" w:rsidRPr="001A768D" w:rsidRDefault="002D6947">
                    <w:pPr>
                      <w:pStyle w:val="Bibliographie"/>
                      <w:rPr>
                        <w:rFonts w:eastAsiaTheme="minorEastAsia"/>
                        <w:noProof/>
                        <w:lang w:val="en-GB"/>
                      </w:rPr>
                    </w:pPr>
                    <w:r w:rsidRPr="001A768D">
                      <w:rPr>
                        <w:noProof/>
                        <w:lang w:val="en-GB"/>
                      </w:rPr>
                      <w:t xml:space="preserve">M. Le Vee, G. Noel, E. Joudan, B. Stiger et O. Fardel, «Polarized experssion of drug transporters in differentiated human hepatoma HepaRG cells.,» </w:t>
                    </w:r>
                    <w:r w:rsidRPr="001A768D">
                      <w:rPr>
                        <w:i/>
                        <w:iCs/>
                        <w:noProof/>
                        <w:lang w:val="en-GB"/>
                      </w:rPr>
                      <w:t xml:space="preserve">Toxicology in vitro, </w:t>
                    </w:r>
                    <w:r w:rsidRPr="001A768D">
                      <w:rPr>
                        <w:noProof/>
                        <w:lang w:val="en-GB"/>
                      </w:rPr>
                      <w:t xml:space="preserve">vol. 6, pp. 1976-1986, 2013. </w:t>
                    </w:r>
                  </w:p>
                </w:tc>
              </w:tr>
              <w:tr w:rsidR="002D6947" w:rsidRPr="004B28DB" w14:paraId="5516216F" w14:textId="77777777">
                <w:trPr>
                  <w:tblCellSpacing w:w="15" w:type="dxa"/>
                </w:trPr>
                <w:tc>
                  <w:tcPr>
                    <w:tcW w:w="50" w:type="pct"/>
                    <w:hideMark/>
                  </w:tcPr>
                  <w:p w14:paraId="4AA2CB4E" w14:textId="77777777" w:rsidR="002D6947" w:rsidRDefault="002D6947">
                    <w:pPr>
                      <w:pStyle w:val="Bibliographie"/>
                      <w:rPr>
                        <w:rFonts w:eastAsiaTheme="minorEastAsia"/>
                        <w:noProof/>
                      </w:rPr>
                    </w:pPr>
                    <w:r>
                      <w:rPr>
                        <w:noProof/>
                      </w:rPr>
                      <w:t xml:space="preserve">[62] </w:t>
                    </w:r>
                  </w:p>
                </w:tc>
                <w:tc>
                  <w:tcPr>
                    <w:tcW w:w="0" w:type="auto"/>
                    <w:hideMark/>
                  </w:tcPr>
                  <w:p w14:paraId="625E41FB" w14:textId="16C2FF4C" w:rsidR="002D6947" w:rsidRPr="001A768D" w:rsidRDefault="002D6947">
                    <w:pPr>
                      <w:pStyle w:val="Bibliographie"/>
                      <w:rPr>
                        <w:rFonts w:eastAsiaTheme="minorEastAsia"/>
                        <w:noProof/>
                        <w:lang w:val="en-GB"/>
                      </w:rPr>
                    </w:pPr>
                    <w:r w:rsidRPr="001A768D">
                      <w:rPr>
                        <w:noProof/>
                        <w:lang w:val="en-GB"/>
                      </w:rPr>
                      <w:t xml:space="preserve">C. Stephens, R. Andrade et M. Lucena, « Mechanisms of drug-induced liver injury.,» </w:t>
                    </w:r>
                    <w:r w:rsidRPr="001A768D">
                      <w:rPr>
                        <w:i/>
                        <w:iCs/>
                        <w:noProof/>
                        <w:lang w:val="en-GB"/>
                      </w:rPr>
                      <w:t xml:space="preserve">Curr Opin Allergy Clin Immunol, </w:t>
                    </w:r>
                    <w:r w:rsidR="00537EEF">
                      <w:rPr>
                        <w:noProof/>
                        <w:lang w:val="en-GB"/>
                      </w:rPr>
                      <w:t xml:space="preserve">vol. 14, </w:t>
                    </w:r>
                    <w:r w:rsidRPr="001A768D">
                      <w:rPr>
                        <w:noProof/>
                        <w:lang w:val="en-GB"/>
                      </w:rPr>
                      <w:t xml:space="preserve">14, pp. 286-92, 2014. </w:t>
                    </w:r>
                  </w:p>
                </w:tc>
              </w:tr>
              <w:tr w:rsidR="002D6947" w:rsidRPr="004B28DB" w14:paraId="568E6403" w14:textId="77777777">
                <w:trPr>
                  <w:tblCellSpacing w:w="15" w:type="dxa"/>
                </w:trPr>
                <w:tc>
                  <w:tcPr>
                    <w:tcW w:w="50" w:type="pct"/>
                    <w:hideMark/>
                  </w:tcPr>
                  <w:p w14:paraId="4D0D84B4" w14:textId="77777777" w:rsidR="002D6947" w:rsidRDefault="002D6947">
                    <w:pPr>
                      <w:pStyle w:val="Bibliographie"/>
                      <w:rPr>
                        <w:rFonts w:eastAsiaTheme="minorEastAsia"/>
                        <w:noProof/>
                      </w:rPr>
                    </w:pPr>
                    <w:r>
                      <w:rPr>
                        <w:noProof/>
                      </w:rPr>
                      <w:t xml:space="preserve">[63] </w:t>
                    </w:r>
                  </w:p>
                </w:tc>
                <w:tc>
                  <w:tcPr>
                    <w:tcW w:w="0" w:type="auto"/>
                    <w:hideMark/>
                  </w:tcPr>
                  <w:p w14:paraId="1AA8BE04" w14:textId="71017722" w:rsidR="002D6947" w:rsidRPr="001A768D" w:rsidRDefault="002D6947">
                    <w:pPr>
                      <w:pStyle w:val="Bibliographie"/>
                      <w:rPr>
                        <w:rFonts w:eastAsiaTheme="minorEastAsia"/>
                        <w:noProof/>
                        <w:lang w:val="en-GB"/>
                      </w:rPr>
                    </w:pPr>
                    <w:r w:rsidRPr="001A768D">
                      <w:rPr>
                        <w:noProof/>
                        <w:lang w:val="en-GB"/>
                      </w:rPr>
                      <w:t xml:space="preserve">C. Ju et T. Reilly, «Role of immune reactions in drug-induced liver injury (DILI).,» </w:t>
                    </w:r>
                    <w:r w:rsidRPr="001A768D">
                      <w:rPr>
                        <w:i/>
                        <w:iCs/>
                        <w:noProof/>
                        <w:lang w:val="en-GB"/>
                      </w:rPr>
                      <w:t xml:space="preserve">Drug Metab Rev, </w:t>
                    </w:r>
                    <w:r w:rsidR="001A768D">
                      <w:rPr>
                        <w:noProof/>
                        <w:lang w:val="en-GB"/>
                      </w:rPr>
                      <w:t xml:space="preserve">vol. 44, </w:t>
                    </w:r>
                    <w:r w:rsidRPr="001A768D">
                      <w:rPr>
                        <w:noProof/>
                        <w:lang w:val="en-GB"/>
                      </w:rPr>
                      <w:t xml:space="preserve">11, pp. 107-115, 2012. </w:t>
                    </w:r>
                  </w:p>
                </w:tc>
              </w:tr>
              <w:tr w:rsidR="002D6947" w:rsidRPr="00537EEF" w14:paraId="29E0387B" w14:textId="77777777">
                <w:trPr>
                  <w:tblCellSpacing w:w="15" w:type="dxa"/>
                </w:trPr>
                <w:tc>
                  <w:tcPr>
                    <w:tcW w:w="50" w:type="pct"/>
                    <w:hideMark/>
                  </w:tcPr>
                  <w:p w14:paraId="2F9FA8A6" w14:textId="77777777" w:rsidR="002D6947" w:rsidRDefault="002D6947">
                    <w:pPr>
                      <w:pStyle w:val="Bibliographie"/>
                      <w:rPr>
                        <w:rFonts w:eastAsiaTheme="minorEastAsia"/>
                        <w:noProof/>
                      </w:rPr>
                    </w:pPr>
                    <w:r>
                      <w:rPr>
                        <w:noProof/>
                      </w:rPr>
                      <w:t xml:space="preserve">[64] </w:t>
                    </w:r>
                  </w:p>
                </w:tc>
                <w:tc>
                  <w:tcPr>
                    <w:tcW w:w="0" w:type="auto"/>
                    <w:hideMark/>
                  </w:tcPr>
                  <w:p w14:paraId="1B15AED1" w14:textId="48E5E3DD" w:rsidR="002D6947" w:rsidRPr="00537EEF" w:rsidRDefault="002D6947">
                    <w:pPr>
                      <w:pStyle w:val="Bibliographie"/>
                      <w:rPr>
                        <w:rFonts w:eastAsiaTheme="minorEastAsia"/>
                        <w:noProof/>
                        <w:lang w:val="en-GB"/>
                      </w:rPr>
                    </w:pPr>
                    <w:r w:rsidRPr="001A768D">
                      <w:rPr>
                        <w:noProof/>
                        <w:lang w:val="en-GB"/>
                      </w:rPr>
                      <w:t xml:space="preserve">V. Racanelli et B. Rehermann, «The liver as an immunological organ.,» </w:t>
                    </w:r>
                    <w:r w:rsidRPr="001A768D">
                      <w:rPr>
                        <w:i/>
                        <w:iCs/>
                        <w:noProof/>
                        <w:lang w:val="en-GB"/>
                      </w:rPr>
                      <w:t xml:space="preserve">Hepatology, </w:t>
                    </w:r>
                    <w:r w:rsidR="00537EEF">
                      <w:rPr>
                        <w:noProof/>
                        <w:lang w:val="en-GB"/>
                      </w:rPr>
                      <w:t xml:space="preserve">vol. 43, </w:t>
                    </w:r>
                    <w:r w:rsidRPr="001A768D">
                      <w:rPr>
                        <w:noProof/>
                        <w:lang w:val="en-GB"/>
                      </w:rPr>
                      <w:t xml:space="preserve">12 suppl 1, pp. </w:t>
                    </w:r>
                    <w:r w:rsidRPr="00537EEF">
                      <w:rPr>
                        <w:noProof/>
                        <w:lang w:val="en-GB"/>
                      </w:rPr>
                      <w:t xml:space="preserve">S54-62, 2006. </w:t>
                    </w:r>
                  </w:p>
                </w:tc>
              </w:tr>
              <w:tr w:rsidR="002D6947" w:rsidRPr="004B28DB" w14:paraId="1F3BA4B5" w14:textId="77777777">
                <w:trPr>
                  <w:tblCellSpacing w:w="15" w:type="dxa"/>
                </w:trPr>
                <w:tc>
                  <w:tcPr>
                    <w:tcW w:w="50" w:type="pct"/>
                    <w:hideMark/>
                  </w:tcPr>
                  <w:p w14:paraId="19E39523" w14:textId="77777777" w:rsidR="002D6947" w:rsidRDefault="002D6947">
                    <w:pPr>
                      <w:pStyle w:val="Bibliographie"/>
                      <w:rPr>
                        <w:rFonts w:eastAsiaTheme="minorEastAsia"/>
                        <w:noProof/>
                      </w:rPr>
                    </w:pPr>
                    <w:r>
                      <w:rPr>
                        <w:noProof/>
                      </w:rPr>
                      <w:t xml:space="preserve">[65] </w:t>
                    </w:r>
                  </w:p>
                </w:tc>
                <w:tc>
                  <w:tcPr>
                    <w:tcW w:w="0" w:type="auto"/>
                    <w:hideMark/>
                  </w:tcPr>
                  <w:p w14:paraId="4ADD1A02" w14:textId="77777777" w:rsidR="002D6947" w:rsidRPr="001A768D" w:rsidRDefault="002D6947">
                    <w:pPr>
                      <w:pStyle w:val="Bibliographie"/>
                      <w:rPr>
                        <w:rFonts w:eastAsiaTheme="minorEastAsia"/>
                        <w:noProof/>
                        <w:lang w:val="en-GB"/>
                      </w:rPr>
                    </w:pPr>
                    <w:r w:rsidRPr="001A768D">
                      <w:rPr>
                        <w:noProof/>
                        <w:lang w:val="en-GB"/>
                      </w:rPr>
                      <w:t xml:space="preserve">J. Papay, D. Clines, R. Rafi, N. Yuen, S. Britt, J. Walsh et C. Hunt, «Drug-induced liver injury following positive drug rechallenge,» </w:t>
                    </w:r>
                    <w:r w:rsidRPr="001A768D">
                      <w:rPr>
                        <w:i/>
                        <w:iCs/>
                        <w:noProof/>
                        <w:lang w:val="en-GB"/>
                      </w:rPr>
                      <w:t xml:space="preserve">Regulatory Toxicology and Pharmacology, </w:t>
                    </w:r>
                    <w:r w:rsidRPr="001A768D">
                      <w:rPr>
                        <w:noProof/>
                        <w:lang w:val="en-GB"/>
                      </w:rPr>
                      <w:t xml:space="preserve">vol. 54, pp. 84-90, 2009. </w:t>
                    </w:r>
                  </w:p>
                </w:tc>
              </w:tr>
              <w:tr w:rsidR="002D6947" w:rsidRPr="004B28DB" w14:paraId="23563F48" w14:textId="77777777">
                <w:trPr>
                  <w:tblCellSpacing w:w="15" w:type="dxa"/>
                </w:trPr>
                <w:tc>
                  <w:tcPr>
                    <w:tcW w:w="50" w:type="pct"/>
                    <w:hideMark/>
                  </w:tcPr>
                  <w:p w14:paraId="4E2A6F65" w14:textId="77777777" w:rsidR="002D6947" w:rsidRDefault="002D6947">
                    <w:pPr>
                      <w:pStyle w:val="Bibliographie"/>
                      <w:rPr>
                        <w:rFonts w:eastAsiaTheme="minorEastAsia"/>
                        <w:noProof/>
                      </w:rPr>
                    </w:pPr>
                    <w:r>
                      <w:rPr>
                        <w:noProof/>
                      </w:rPr>
                      <w:t xml:space="preserve">[66] </w:t>
                    </w:r>
                  </w:p>
                </w:tc>
                <w:tc>
                  <w:tcPr>
                    <w:tcW w:w="0" w:type="auto"/>
                    <w:hideMark/>
                  </w:tcPr>
                  <w:p w14:paraId="4D006602" w14:textId="74721408" w:rsidR="002D6947" w:rsidRPr="001A768D" w:rsidRDefault="002D6947">
                    <w:pPr>
                      <w:pStyle w:val="Bibliographie"/>
                      <w:rPr>
                        <w:rFonts w:eastAsiaTheme="minorEastAsia"/>
                        <w:noProof/>
                        <w:lang w:val="en-GB"/>
                      </w:rPr>
                    </w:pPr>
                    <w:r w:rsidRPr="001A768D">
                      <w:rPr>
                        <w:noProof/>
                        <w:lang w:val="en-GB"/>
                      </w:rPr>
                      <w:t xml:space="preserve">M. Ogese, S. Ahmed, A. Alferivic, C. Betts, A. Dickinson, L. Faulkner, N. French, A. Gibson, G. M. Hirschfield, M. Kammüller, X. Meng, S. Martin, P. Musette, Norris et e. al., «New Approaches to Investigate Drug-Induced Hypersensitivity,» </w:t>
                    </w:r>
                    <w:r w:rsidRPr="001A768D">
                      <w:rPr>
                        <w:i/>
                        <w:iCs/>
                        <w:noProof/>
                        <w:lang w:val="en-GB"/>
                      </w:rPr>
                      <w:t xml:space="preserve">Chemical Research in toxicology, </w:t>
                    </w:r>
                    <w:r w:rsidR="001A768D">
                      <w:rPr>
                        <w:noProof/>
                        <w:lang w:val="en-GB"/>
                      </w:rPr>
                      <w:t xml:space="preserve">vol. 30, </w:t>
                    </w:r>
                    <w:r w:rsidRPr="001A768D">
                      <w:rPr>
                        <w:noProof/>
                        <w:lang w:val="en-GB"/>
                      </w:rPr>
                      <w:t xml:space="preserve">11, p. 239–259, 2 November 2017. </w:t>
                    </w:r>
                  </w:p>
                </w:tc>
              </w:tr>
              <w:tr w:rsidR="002D6947" w:rsidRPr="004B28DB" w14:paraId="5711576D" w14:textId="77777777">
                <w:trPr>
                  <w:tblCellSpacing w:w="15" w:type="dxa"/>
                </w:trPr>
                <w:tc>
                  <w:tcPr>
                    <w:tcW w:w="50" w:type="pct"/>
                    <w:hideMark/>
                  </w:tcPr>
                  <w:p w14:paraId="3EC67DDB" w14:textId="77777777" w:rsidR="002D6947" w:rsidRDefault="002D6947">
                    <w:pPr>
                      <w:pStyle w:val="Bibliographie"/>
                      <w:rPr>
                        <w:rFonts w:eastAsiaTheme="minorEastAsia"/>
                        <w:noProof/>
                      </w:rPr>
                    </w:pPr>
                    <w:r>
                      <w:rPr>
                        <w:noProof/>
                      </w:rPr>
                      <w:t xml:space="preserve">[67] </w:t>
                    </w:r>
                  </w:p>
                </w:tc>
                <w:tc>
                  <w:tcPr>
                    <w:tcW w:w="0" w:type="auto"/>
                    <w:hideMark/>
                  </w:tcPr>
                  <w:p w14:paraId="5FD70616" w14:textId="77777777" w:rsidR="002D6947" w:rsidRPr="001A768D" w:rsidRDefault="002D6947">
                    <w:pPr>
                      <w:pStyle w:val="Bibliographie"/>
                      <w:rPr>
                        <w:rFonts w:eastAsiaTheme="minorEastAsia"/>
                        <w:noProof/>
                        <w:lang w:val="en-GB"/>
                      </w:rPr>
                    </w:pPr>
                    <w:r w:rsidRPr="001A768D">
                      <w:rPr>
                        <w:noProof/>
                        <w:lang w:val="en-GB"/>
                      </w:rPr>
                      <w:t xml:space="preserve">I. Metushi, C. Sanders, W. Lee et J. Uetrecht, «Detection of anti-isoniazid and anti-cytochrome P450 antibodies in patients with isoniazid-induced liver failure,» </w:t>
                    </w:r>
                    <w:r w:rsidRPr="001A768D">
                      <w:rPr>
                        <w:i/>
                        <w:iCs/>
                        <w:noProof/>
                        <w:lang w:val="en-GB"/>
                      </w:rPr>
                      <w:t xml:space="preserve">Hepatology, </w:t>
                    </w:r>
                    <w:r w:rsidRPr="001A768D">
                      <w:rPr>
                        <w:noProof/>
                        <w:lang w:val="en-GB"/>
                      </w:rPr>
                      <w:t xml:space="preserve">vol. 59, pp. 1084-1093, 2014. </w:t>
                    </w:r>
                  </w:p>
                </w:tc>
              </w:tr>
              <w:tr w:rsidR="002D6947" w:rsidRPr="004B28DB" w14:paraId="45E0507E" w14:textId="77777777">
                <w:trPr>
                  <w:tblCellSpacing w:w="15" w:type="dxa"/>
                </w:trPr>
                <w:tc>
                  <w:tcPr>
                    <w:tcW w:w="50" w:type="pct"/>
                    <w:hideMark/>
                  </w:tcPr>
                  <w:p w14:paraId="4F53DDD8" w14:textId="77777777" w:rsidR="002D6947" w:rsidRDefault="002D6947">
                    <w:pPr>
                      <w:pStyle w:val="Bibliographie"/>
                      <w:rPr>
                        <w:rFonts w:eastAsiaTheme="minorEastAsia"/>
                        <w:noProof/>
                      </w:rPr>
                    </w:pPr>
                    <w:r>
                      <w:rPr>
                        <w:noProof/>
                      </w:rPr>
                      <w:t xml:space="preserve">[68] </w:t>
                    </w:r>
                  </w:p>
                </w:tc>
                <w:tc>
                  <w:tcPr>
                    <w:tcW w:w="0" w:type="auto"/>
                    <w:hideMark/>
                  </w:tcPr>
                  <w:p w14:paraId="5F727ADD" w14:textId="74F4628B" w:rsidR="002D6947" w:rsidRPr="001A768D" w:rsidRDefault="002D6947">
                    <w:pPr>
                      <w:pStyle w:val="Bibliographie"/>
                      <w:rPr>
                        <w:rFonts w:eastAsiaTheme="minorEastAsia"/>
                        <w:noProof/>
                        <w:lang w:val="en-GB"/>
                      </w:rPr>
                    </w:pPr>
                    <w:r w:rsidRPr="001A768D">
                      <w:rPr>
                        <w:noProof/>
                        <w:lang w:val="en-GB"/>
                      </w:rPr>
                      <w:t xml:space="preserve">S. Kim, K. Saide, J. Farrell, L. Faulkner, A. Tailor, M. Ogese, A. K. Daly, M. Pirmohamed, B. Park et D. Naisbitt, «Characterization of amoxicillin- and clavulanic acid-specific T cells in patients with amoxicillin-clavulanate-induc,» </w:t>
                    </w:r>
                    <w:r w:rsidRPr="001A768D">
                      <w:rPr>
                        <w:i/>
                        <w:iCs/>
                        <w:noProof/>
                        <w:lang w:val="en-GB"/>
                      </w:rPr>
                      <w:t xml:space="preserve">Hepatology, </w:t>
                    </w:r>
                    <w:r w:rsidR="001A768D">
                      <w:rPr>
                        <w:noProof/>
                        <w:lang w:val="en-GB"/>
                      </w:rPr>
                      <w:t xml:space="preserve">vol. 62, </w:t>
                    </w:r>
                    <w:r w:rsidRPr="001A768D">
                      <w:rPr>
                        <w:noProof/>
                        <w:lang w:val="en-GB"/>
                      </w:rPr>
                      <w:t xml:space="preserve">13, pp. 887-899, 2015. </w:t>
                    </w:r>
                  </w:p>
                </w:tc>
              </w:tr>
              <w:tr w:rsidR="002D6947" w:rsidRPr="004B28DB" w14:paraId="1E2E4F76" w14:textId="77777777">
                <w:trPr>
                  <w:tblCellSpacing w:w="15" w:type="dxa"/>
                </w:trPr>
                <w:tc>
                  <w:tcPr>
                    <w:tcW w:w="50" w:type="pct"/>
                    <w:hideMark/>
                  </w:tcPr>
                  <w:p w14:paraId="497CD44E" w14:textId="77777777" w:rsidR="002D6947" w:rsidRDefault="002D6947">
                    <w:pPr>
                      <w:pStyle w:val="Bibliographie"/>
                      <w:rPr>
                        <w:rFonts w:eastAsiaTheme="minorEastAsia"/>
                        <w:noProof/>
                      </w:rPr>
                    </w:pPr>
                    <w:r>
                      <w:rPr>
                        <w:noProof/>
                      </w:rPr>
                      <w:t xml:space="preserve">[69] </w:t>
                    </w:r>
                  </w:p>
                </w:tc>
                <w:tc>
                  <w:tcPr>
                    <w:tcW w:w="0" w:type="auto"/>
                    <w:hideMark/>
                  </w:tcPr>
                  <w:p w14:paraId="54E988B4" w14:textId="69946B12" w:rsidR="002D6947" w:rsidRPr="001A768D" w:rsidRDefault="002D6947">
                    <w:pPr>
                      <w:pStyle w:val="Bibliographie"/>
                      <w:rPr>
                        <w:rFonts w:eastAsiaTheme="minorEastAsia"/>
                        <w:noProof/>
                        <w:lang w:val="en-GB"/>
                      </w:rPr>
                    </w:pPr>
                    <w:r w:rsidRPr="001A768D">
                      <w:rPr>
                        <w:noProof/>
                        <w:lang w:val="en-GB"/>
                      </w:rPr>
                      <w:t xml:space="preserve">A. Daly, P. Donaldson, P. Bhatnagar, Y. Shen, I. Pe'er, A. Floratos, M. Daly, D. B. Goldstein, S. John, M. Nelson, J. Graham, B. Park, J. Dillon, W. Bernal, H. Cordell, M. Pirmohamed, G. Aithal et C. Day, «HLA-B*5701 genotype is a major determinant of drug-induced liver injury due to flucloxacillin,» </w:t>
                    </w:r>
                    <w:r w:rsidRPr="001A768D">
                      <w:rPr>
                        <w:i/>
                        <w:iCs/>
                        <w:noProof/>
                        <w:lang w:val="en-GB"/>
                      </w:rPr>
                      <w:t xml:space="preserve">Nat Genetics, </w:t>
                    </w:r>
                    <w:r w:rsidR="00537EEF">
                      <w:rPr>
                        <w:noProof/>
                        <w:lang w:val="en-GB"/>
                      </w:rPr>
                      <w:t xml:space="preserve">vol. 41, </w:t>
                    </w:r>
                    <w:r w:rsidRPr="001A768D">
                      <w:rPr>
                        <w:noProof/>
                        <w:lang w:val="en-GB"/>
                      </w:rPr>
                      <w:t xml:space="preserve">17, pp. 816-819, 2009. </w:t>
                    </w:r>
                  </w:p>
                </w:tc>
              </w:tr>
              <w:tr w:rsidR="002D6947" w:rsidRPr="004B28DB" w14:paraId="1B781294" w14:textId="77777777">
                <w:trPr>
                  <w:tblCellSpacing w:w="15" w:type="dxa"/>
                </w:trPr>
                <w:tc>
                  <w:tcPr>
                    <w:tcW w:w="50" w:type="pct"/>
                    <w:hideMark/>
                  </w:tcPr>
                  <w:p w14:paraId="71AB352F" w14:textId="77777777" w:rsidR="002D6947" w:rsidRDefault="002D6947">
                    <w:pPr>
                      <w:pStyle w:val="Bibliographie"/>
                      <w:rPr>
                        <w:rFonts w:eastAsiaTheme="minorEastAsia"/>
                        <w:noProof/>
                      </w:rPr>
                    </w:pPr>
                    <w:r>
                      <w:rPr>
                        <w:noProof/>
                      </w:rPr>
                      <w:t xml:space="preserve">[70] </w:t>
                    </w:r>
                  </w:p>
                </w:tc>
                <w:tc>
                  <w:tcPr>
                    <w:tcW w:w="0" w:type="auto"/>
                    <w:hideMark/>
                  </w:tcPr>
                  <w:p w14:paraId="50244BAD" w14:textId="579F03E7" w:rsidR="002D6947" w:rsidRPr="001A768D" w:rsidRDefault="002D6947">
                    <w:pPr>
                      <w:pStyle w:val="Bibliographie"/>
                      <w:rPr>
                        <w:rFonts w:eastAsiaTheme="minorEastAsia"/>
                        <w:noProof/>
                        <w:lang w:val="en-GB"/>
                      </w:rPr>
                    </w:pPr>
                    <w:r w:rsidRPr="001A768D">
                      <w:rPr>
                        <w:noProof/>
                        <w:lang w:val="en-GB"/>
                      </w:rPr>
                      <w:t xml:space="preserve">M. Monshi, L. Faulkner, A. Gibson, R. Jenkins, J. Farrell, C. Earnshaw, A. Alfirevic, K. Cederbrant, A. Daly, N. French, M. Pirmohamed, B. Park et D. Naisbitt, «Human leukocyte antigen (HLA)-B*57:01-restricted activation,» </w:t>
                    </w:r>
                    <w:r w:rsidRPr="001A768D">
                      <w:rPr>
                        <w:i/>
                        <w:iCs/>
                        <w:noProof/>
                        <w:lang w:val="en-GB"/>
                      </w:rPr>
                      <w:t xml:space="preserve">Hepatology, </w:t>
                    </w:r>
                    <w:r w:rsidR="001A768D">
                      <w:rPr>
                        <w:noProof/>
                        <w:lang w:val="en-GB"/>
                      </w:rPr>
                      <w:t xml:space="preserve">vol. 57, </w:t>
                    </w:r>
                    <w:r w:rsidRPr="001A768D">
                      <w:rPr>
                        <w:noProof/>
                        <w:lang w:val="en-GB"/>
                      </w:rPr>
                      <w:t xml:space="preserve">12, pp. 727-739, 2013. </w:t>
                    </w:r>
                  </w:p>
                </w:tc>
              </w:tr>
              <w:tr w:rsidR="002D6947" w14:paraId="4B4CBAEA" w14:textId="77777777">
                <w:trPr>
                  <w:tblCellSpacing w:w="15" w:type="dxa"/>
                </w:trPr>
                <w:tc>
                  <w:tcPr>
                    <w:tcW w:w="50" w:type="pct"/>
                    <w:hideMark/>
                  </w:tcPr>
                  <w:p w14:paraId="686D6C5D" w14:textId="77777777" w:rsidR="002D6947" w:rsidRDefault="002D6947">
                    <w:pPr>
                      <w:pStyle w:val="Bibliographie"/>
                      <w:rPr>
                        <w:rFonts w:eastAsiaTheme="minorEastAsia"/>
                        <w:noProof/>
                      </w:rPr>
                    </w:pPr>
                    <w:r>
                      <w:rPr>
                        <w:noProof/>
                      </w:rPr>
                      <w:t xml:space="preserve">[71] </w:t>
                    </w:r>
                  </w:p>
                </w:tc>
                <w:tc>
                  <w:tcPr>
                    <w:tcW w:w="0" w:type="auto"/>
                    <w:hideMark/>
                  </w:tcPr>
                  <w:p w14:paraId="48E31941" w14:textId="69285B68" w:rsidR="002D6947" w:rsidRDefault="002D6947">
                    <w:pPr>
                      <w:pStyle w:val="Bibliographie"/>
                      <w:rPr>
                        <w:rFonts w:eastAsiaTheme="minorEastAsia"/>
                        <w:noProof/>
                      </w:rPr>
                    </w:pPr>
                    <w:r w:rsidRPr="001A768D">
                      <w:rPr>
                        <w:noProof/>
                        <w:lang w:val="en-GB"/>
                      </w:rPr>
                      <w:t xml:space="preserve">C. F. Spraggs, L. Budde, L. Briley, N. Bing, C. Cox, K. King, J. Whittaker, V. Mooser, A. Preston, S. Stein et L. Cardon, «HLA-DQA1*02:01 is a major risk factor for lapatinib-induced hepatotoxicity in women with advanced breat cancer,» </w:t>
                    </w:r>
                    <w:r w:rsidRPr="001A768D">
                      <w:rPr>
                        <w:i/>
                        <w:iCs/>
                        <w:noProof/>
                        <w:lang w:val="en-GB"/>
                      </w:rPr>
                      <w:t xml:space="preserve">J. Clin. </w:t>
                    </w:r>
                    <w:r>
                      <w:rPr>
                        <w:i/>
                        <w:iCs/>
                        <w:noProof/>
                      </w:rPr>
                      <w:t xml:space="preserve">Oncol., </w:t>
                    </w:r>
                    <w:r w:rsidR="001A768D">
                      <w:rPr>
                        <w:noProof/>
                      </w:rPr>
                      <w:t xml:space="preserve">vol. 29, </w:t>
                    </w:r>
                    <w:r>
                      <w:rPr>
                        <w:noProof/>
                      </w:rPr>
                      <w:t xml:space="preserve">16, pp. 667-673, 2011. </w:t>
                    </w:r>
                  </w:p>
                </w:tc>
              </w:tr>
              <w:tr w:rsidR="002D6947" w:rsidRPr="004B28DB" w14:paraId="458BB100" w14:textId="77777777">
                <w:trPr>
                  <w:tblCellSpacing w:w="15" w:type="dxa"/>
                </w:trPr>
                <w:tc>
                  <w:tcPr>
                    <w:tcW w:w="50" w:type="pct"/>
                    <w:hideMark/>
                  </w:tcPr>
                  <w:p w14:paraId="59AB76DA" w14:textId="77777777" w:rsidR="002D6947" w:rsidRDefault="002D6947">
                    <w:pPr>
                      <w:pStyle w:val="Bibliographie"/>
                      <w:rPr>
                        <w:rFonts w:eastAsiaTheme="minorEastAsia"/>
                        <w:noProof/>
                      </w:rPr>
                    </w:pPr>
                    <w:r>
                      <w:rPr>
                        <w:noProof/>
                      </w:rPr>
                      <w:t xml:space="preserve">[72] </w:t>
                    </w:r>
                  </w:p>
                </w:tc>
                <w:tc>
                  <w:tcPr>
                    <w:tcW w:w="0" w:type="auto"/>
                    <w:hideMark/>
                  </w:tcPr>
                  <w:p w14:paraId="21FB6CDA" w14:textId="77777777" w:rsidR="002D6947" w:rsidRPr="001A768D" w:rsidRDefault="002D6947">
                    <w:pPr>
                      <w:pStyle w:val="Bibliographie"/>
                      <w:rPr>
                        <w:rFonts w:eastAsiaTheme="minorEastAsia"/>
                        <w:noProof/>
                        <w:lang w:val="en-GB"/>
                      </w:rPr>
                    </w:pPr>
                    <w:r w:rsidRPr="001A768D">
                      <w:rPr>
                        <w:noProof/>
                        <w:lang w:val="en-GB"/>
                      </w:rPr>
                      <w:t xml:space="preserve">M. Keisu et T. Andersson, « Drug-induced liver injury in humans: the case of ximelagatran.,» </w:t>
                    </w:r>
                    <w:r w:rsidRPr="001A768D">
                      <w:rPr>
                        <w:i/>
                        <w:iCs/>
                        <w:noProof/>
                        <w:lang w:val="en-GB"/>
                      </w:rPr>
                      <w:t xml:space="preserve">Handb Exp Pharmacol 407-18, </w:t>
                    </w:r>
                    <w:r w:rsidRPr="001A768D">
                      <w:rPr>
                        <w:noProof/>
                        <w:lang w:val="en-GB"/>
                      </w:rPr>
                      <w:t xml:space="preserve">vol. 169, pp. 407-418, 2010. </w:t>
                    </w:r>
                  </w:p>
                </w:tc>
              </w:tr>
              <w:tr w:rsidR="002D6947" w:rsidRPr="004B28DB" w14:paraId="2556FD63" w14:textId="77777777">
                <w:trPr>
                  <w:tblCellSpacing w:w="15" w:type="dxa"/>
                </w:trPr>
                <w:tc>
                  <w:tcPr>
                    <w:tcW w:w="50" w:type="pct"/>
                    <w:hideMark/>
                  </w:tcPr>
                  <w:p w14:paraId="1B12239F" w14:textId="77777777" w:rsidR="002D6947" w:rsidRDefault="002D6947">
                    <w:pPr>
                      <w:pStyle w:val="Bibliographie"/>
                      <w:rPr>
                        <w:rFonts w:eastAsiaTheme="minorEastAsia"/>
                        <w:noProof/>
                      </w:rPr>
                    </w:pPr>
                    <w:r>
                      <w:rPr>
                        <w:noProof/>
                      </w:rPr>
                      <w:t xml:space="preserve">[73] </w:t>
                    </w:r>
                  </w:p>
                </w:tc>
                <w:tc>
                  <w:tcPr>
                    <w:tcW w:w="0" w:type="auto"/>
                    <w:hideMark/>
                  </w:tcPr>
                  <w:p w14:paraId="21ED3D57" w14:textId="77777777" w:rsidR="002D6947" w:rsidRPr="001A768D" w:rsidRDefault="002D6947">
                    <w:pPr>
                      <w:pStyle w:val="Bibliographie"/>
                      <w:rPr>
                        <w:rFonts w:eastAsiaTheme="minorEastAsia"/>
                        <w:noProof/>
                        <w:lang w:val="en-GB"/>
                      </w:rPr>
                    </w:pPr>
                    <w:r w:rsidRPr="001A768D">
                      <w:rPr>
                        <w:noProof/>
                        <w:lang w:val="en-GB"/>
                      </w:rPr>
                      <w:t xml:space="preserve">I. Metushi, M. Hayes et J. Uetrecht, «Treatment of PD-1(-/-) mice with amodiaquine and anti-CTLA4 leads to liver injury similar to idiosyncratic liver injury in patients.,» </w:t>
                    </w:r>
                    <w:r w:rsidRPr="001A768D">
                      <w:rPr>
                        <w:i/>
                        <w:iCs/>
                        <w:noProof/>
                        <w:lang w:val="en-GB"/>
                      </w:rPr>
                      <w:t xml:space="preserve">Hepatology, </w:t>
                    </w:r>
                    <w:r w:rsidRPr="001A768D">
                      <w:rPr>
                        <w:noProof/>
                        <w:lang w:val="en-GB"/>
                      </w:rPr>
                      <w:t xml:space="preserve">vol. 61, pp. 1332-1242, 2015. </w:t>
                    </w:r>
                  </w:p>
                </w:tc>
              </w:tr>
              <w:tr w:rsidR="002D6947" w:rsidRPr="004B28DB" w14:paraId="15A49113" w14:textId="77777777">
                <w:trPr>
                  <w:tblCellSpacing w:w="15" w:type="dxa"/>
                </w:trPr>
                <w:tc>
                  <w:tcPr>
                    <w:tcW w:w="50" w:type="pct"/>
                    <w:hideMark/>
                  </w:tcPr>
                  <w:p w14:paraId="15437D15" w14:textId="77777777" w:rsidR="002D6947" w:rsidRDefault="002D6947">
                    <w:pPr>
                      <w:pStyle w:val="Bibliographie"/>
                      <w:rPr>
                        <w:rFonts w:eastAsiaTheme="minorEastAsia"/>
                        <w:noProof/>
                      </w:rPr>
                    </w:pPr>
                    <w:r>
                      <w:rPr>
                        <w:noProof/>
                      </w:rPr>
                      <w:t xml:space="preserve">[74] </w:t>
                    </w:r>
                  </w:p>
                </w:tc>
                <w:tc>
                  <w:tcPr>
                    <w:tcW w:w="0" w:type="auto"/>
                    <w:hideMark/>
                  </w:tcPr>
                  <w:p w14:paraId="5922585B" w14:textId="77777777" w:rsidR="002D6947" w:rsidRPr="001A768D" w:rsidRDefault="002D6947">
                    <w:pPr>
                      <w:pStyle w:val="Bibliographie"/>
                      <w:rPr>
                        <w:rFonts w:eastAsiaTheme="minorEastAsia"/>
                        <w:noProof/>
                        <w:lang w:val="en-GB"/>
                      </w:rPr>
                    </w:pPr>
                    <w:r w:rsidRPr="001A768D">
                      <w:rPr>
                        <w:noProof/>
                        <w:lang w:val="en-GB"/>
                      </w:rPr>
                      <w:t xml:space="preserve">R. Nattrass, L. Faulkner, M. Vocanson, D. Antoine, A. K. G. Kipar, J. Nicolas, B. Park et D. Naisbitt, «Activation of Flucloxacillin-Specific CD8+ T-Cells With the Potential to Promote Hepatocyte Cytotoxicity in a Mouse Model.,» </w:t>
                    </w:r>
                    <w:r w:rsidRPr="001A768D">
                      <w:rPr>
                        <w:i/>
                        <w:iCs/>
                        <w:noProof/>
                        <w:lang w:val="en-GB"/>
                      </w:rPr>
                      <w:t xml:space="preserve">Toxicology, </w:t>
                    </w:r>
                    <w:r w:rsidRPr="001A768D">
                      <w:rPr>
                        <w:noProof/>
                        <w:lang w:val="en-GB"/>
                      </w:rPr>
                      <w:t xml:space="preserve">vol. 146, pp. 146-156, 2015. </w:t>
                    </w:r>
                  </w:p>
                </w:tc>
              </w:tr>
              <w:tr w:rsidR="002D6947" w14:paraId="375F0055" w14:textId="77777777">
                <w:trPr>
                  <w:tblCellSpacing w:w="15" w:type="dxa"/>
                </w:trPr>
                <w:tc>
                  <w:tcPr>
                    <w:tcW w:w="50" w:type="pct"/>
                    <w:hideMark/>
                  </w:tcPr>
                  <w:p w14:paraId="655E3C99" w14:textId="77777777" w:rsidR="002D6947" w:rsidRDefault="002D6947">
                    <w:pPr>
                      <w:pStyle w:val="Bibliographie"/>
                      <w:rPr>
                        <w:rFonts w:eastAsiaTheme="minorEastAsia"/>
                        <w:noProof/>
                      </w:rPr>
                    </w:pPr>
                    <w:r>
                      <w:rPr>
                        <w:noProof/>
                      </w:rPr>
                      <w:t xml:space="preserve">[75] </w:t>
                    </w:r>
                  </w:p>
                </w:tc>
                <w:tc>
                  <w:tcPr>
                    <w:tcW w:w="0" w:type="auto"/>
                    <w:hideMark/>
                  </w:tcPr>
                  <w:p w14:paraId="6B47AA59" w14:textId="511F58FC" w:rsidR="002D6947" w:rsidRDefault="002D6947">
                    <w:pPr>
                      <w:pStyle w:val="Bibliographie"/>
                      <w:rPr>
                        <w:rFonts w:eastAsiaTheme="minorEastAsia"/>
                        <w:noProof/>
                      </w:rPr>
                    </w:pPr>
                    <w:r w:rsidRPr="001A768D">
                      <w:rPr>
                        <w:noProof/>
                        <w:lang w:val="en-GB"/>
                      </w:rPr>
                      <w:t xml:space="preserve">P. Shaw, M. Hopfensperger, P. Ganey et R. Roth, «Lipopolysaccharide and trovafloxacin coexposure in mice causes idiosyncrasy-like liver injury dependent on tumor necrosis factor-alpha.,» </w:t>
                    </w:r>
                    <w:r w:rsidRPr="001A768D">
                      <w:rPr>
                        <w:i/>
                        <w:iCs/>
                        <w:noProof/>
                        <w:lang w:val="en-GB"/>
                      </w:rPr>
                      <w:t xml:space="preserve">Toxicol. </w:t>
                    </w:r>
                    <w:r>
                      <w:rPr>
                        <w:i/>
                        <w:iCs/>
                        <w:noProof/>
                      </w:rPr>
                      <w:t xml:space="preserve">Sci., </w:t>
                    </w:r>
                    <w:r w:rsidR="001A768D">
                      <w:rPr>
                        <w:noProof/>
                      </w:rPr>
                      <w:t xml:space="preserve">vol. 100, </w:t>
                    </w:r>
                    <w:r>
                      <w:rPr>
                        <w:noProof/>
                      </w:rPr>
                      <w:t xml:space="preserve">11, p. 259–266, 2007. </w:t>
                    </w:r>
                  </w:p>
                </w:tc>
              </w:tr>
              <w:tr w:rsidR="002D6947" w:rsidRPr="004B28DB" w14:paraId="31D58CC9" w14:textId="77777777">
                <w:trPr>
                  <w:tblCellSpacing w:w="15" w:type="dxa"/>
                </w:trPr>
                <w:tc>
                  <w:tcPr>
                    <w:tcW w:w="50" w:type="pct"/>
                    <w:hideMark/>
                  </w:tcPr>
                  <w:p w14:paraId="529C9B36" w14:textId="77777777" w:rsidR="002D6947" w:rsidRDefault="002D6947">
                    <w:pPr>
                      <w:pStyle w:val="Bibliographie"/>
                      <w:rPr>
                        <w:rFonts w:eastAsiaTheme="minorEastAsia"/>
                        <w:noProof/>
                      </w:rPr>
                    </w:pPr>
                    <w:r>
                      <w:rPr>
                        <w:noProof/>
                      </w:rPr>
                      <w:t xml:space="preserve">[76] </w:t>
                    </w:r>
                  </w:p>
                </w:tc>
                <w:tc>
                  <w:tcPr>
                    <w:tcW w:w="0" w:type="auto"/>
                    <w:hideMark/>
                  </w:tcPr>
                  <w:p w14:paraId="5CFB5AC1" w14:textId="42686377" w:rsidR="002D6947" w:rsidRPr="001A768D" w:rsidRDefault="002D6947">
                    <w:pPr>
                      <w:pStyle w:val="Bibliographie"/>
                      <w:rPr>
                        <w:rFonts w:eastAsiaTheme="minorEastAsia"/>
                        <w:noProof/>
                        <w:lang w:val="en-GB"/>
                      </w:rPr>
                    </w:pPr>
                    <w:r w:rsidRPr="001A768D">
                      <w:rPr>
                        <w:noProof/>
                        <w:lang w:val="en-GB"/>
                      </w:rPr>
                      <w:t xml:space="preserve">J. Waring, M. Liguori, J. Luyendyk, J. Maddox, P. Ganey, R. Stachlewitz, C. North, E. Blomme et R. Roth, «Microarray analysis of liopolysaccaride potentiation of trovafloxacin-induced liver proinflammatory chemokines and neutrophils.,» </w:t>
                    </w:r>
                    <w:r w:rsidRPr="001A768D">
                      <w:rPr>
                        <w:i/>
                        <w:iCs/>
                        <w:noProof/>
                        <w:lang w:val="en-GB"/>
                      </w:rPr>
                      <w:t xml:space="preserve">J Pharmacol Exp Ther., </w:t>
                    </w:r>
                    <w:r w:rsidR="001A768D">
                      <w:rPr>
                        <w:noProof/>
                        <w:lang w:val="en-GB"/>
                      </w:rPr>
                      <w:t xml:space="preserve">vol. 316, </w:t>
                    </w:r>
                    <w:r w:rsidRPr="001A768D">
                      <w:rPr>
                        <w:noProof/>
                        <w:lang w:val="en-GB"/>
                      </w:rPr>
                      <w:t xml:space="preserve">13, pp. 1080-1087, 2006. </w:t>
                    </w:r>
                  </w:p>
                </w:tc>
              </w:tr>
              <w:tr w:rsidR="002D6947" w:rsidRPr="004B28DB" w14:paraId="780A4BBB" w14:textId="77777777">
                <w:trPr>
                  <w:tblCellSpacing w:w="15" w:type="dxa"/>
                </w:trPr>
                <w:tc>
                  <w:tcPr>
                    <w:tcW w:w="50" w:type="pct"/>
                    <w:hideMark/>
                  </w:tcPr>
                  <w:p w14:paraId="6886B95C" w14:textId="77777777" w:rsidR="002D6947" w:rsidRDefault="002D6947">
                    <w:pPr>
                      <w:pStyle w:val="Bibliographie"/>
                      <w:rPr>
                        <w:rFonts w:eastAsiaTheme="minorEastAsia"/>
                        <w:noProof/>
                      </w:rPr>
                    </w:pPr>
                    <w:r>
                      <w:rPr>
                        <w:noProof/>
                      </w:rPr>
                      <w:t xml:space="preserve">[77] </w:t>
                    </w:r>
                  </w:p>
                </w:tc>
                <w:tc>
                  <w:tcPr>
                    <w:tcW w:w="0" w:type="auto"/>
                    <w:hideMark/>
                  </w:tcPr>
                  <w:p w14:paraId="1381DD0F" w14:textId="77777777" w:rsidR="002D6947" w:rsidRPr="001A768D" w:rsidRDefault="002D6947">
                    <w:pPr>
                      <w:pStyle w:val="Bibliographie"/>
                      <w:rPr>
                        <w:rFonts w:eastAsiaTheme="minorEastAsia"/>
                        <w:noProof/>
                        <w:lang w:val="en-GB"/>
                      </w:rPr>
                    </w:pPr>
                    <w:r w:rsidRPr="001A768D">
                      <w:rPr>
                        <w:noProof/>
                        <w:lang w:val="en-GB"/>
                      </w:rPr>
                      <w:t xml:space="preserve">I. Metushi et J. Uetrecht, «Isoniazid-induced liver injury and immune response in mice.,» </w:t>
                    </w:r>
                    <w:r w:rsidRPr="001A768D">
                      <w:rPr>
                        <w:i/>
                        <w:iCs/>
                        <w:noProof/>
                        <w:lang w:val="en-GB"/>
                      </w:rPr>
                      <w:t xml:space="preserve">J </w:t>
                    </w:r>
                    <w:r w:rsidRPr="001A768D">
                      <w:rPr>
                        <w:i/>
                        <w:iCs/>
                        <w:noProof/>
                        <w:lang w:val="en-GB"/>
                      </w:rPr>
                      <w:lastRenderedPageBreak/>
                      <w:t xml:space="preserve">Immunotoxicol., </w:t>
                    </w:r>
                    <w:r w:rsidRPr="001A768D">
                      <w:rPr>
                        <w:noProof/>
                        <w:lang w:val="en-GB"/>
                      </w:rPr>
                      <w:t xml:space="preserve">vol. 11, n° %14, pp. 383-392, 2014. </w:t>
                    </w:r>
                  </w:p>
                </w:tc>
              </w:tr>
              <w:tr w:rsidR="002D6947" w:rsidRPr="004B28DB" w14:paraId="657189E2" w14:textId="77777777">
                <w:trPr>
                  <w:tblCellSpacing w:w="15" w:type="dxa"/>
                </w:trPr>
                <w:tc>
                  <w:tcPr>
                    <w:tcW w:w="50" w:type="pct"/>
                    <w:hideMark/>
                  </w:tcPr>
                  <w:p w14:paraId="3E08497B" w14:textId="77777777" w:rsidR="002D6947" w:rsidRDefault="002D6947">
                    <w:pPr>
                      <w:pStyle w:val="Bibliographie"/>
                      <w:rPr>
                        <w:rFonts w:eastAsiaTheme="minorEastAsia"/>
                        <w:noProof/>
                      </w:rPr>
                    </w:pPr>
                    <w:r>
                      <w:rPr>
                        <w:noProof/>
                      </w:rPr>
                      <w:lastRenderedPageBreak/>
                      <w:t xml:space="preserve">[78] </w:t>
                    </w:r>
                  </w:p>
                </w:tc>
                <w:tc>
                  <w:tcPr>
                    <w:tcW w:w="0" w:type="auto"/>
                    <w:hideMark/>
                  </w:tcPr>
                  <w:p w14:paraId="5EF7D9F6" w14:textId="795F4035" w:rsidR="002D6947" w:rsidRPr="001A768D" w:rsidRDefault="002D6947">
                    <w:pPr>
                      <w:pStyle w:val="Bibliographie"/>
                      <w:rPr>
                        <w:rFonts w:eastAsiaTheme="minorEastAsia"/>
                        <w:noProof/>
                        <w:lang w:val="en-GB"/>
                      </w:rPr>
                    </w:pPr>
                    <w:r w:rsidRPr="001A768D">
                      <w:rPr>
                        <w:noProof/>
                        <w:lang w:val="en-GB"/>
                      </w:rPr>
                      <w:t xml:space="preserve">M. Chakraborty, A. M. Fullerton, K. Semple, L. S. Chea, W. R. Proctor, M. Bourdi, D. E. Kleiner, X. Zeng, P. M. Ryan, P. K. Dagur, J. D. Berkson, T. P. Reilly et L. R. Pohl, «Drug-induced allergic hepatitis develops in mice when myeloid-derived suppressor cells are depleted prior to halothane treatment.,» </w:t>
                    </w:r>
                    <w:r w:rsidRPr="001A768D">
                      <w:rPr>
                        <w:i/>
                        <w:iCs/>
                        <w:noProof/>
                        <w:lang w:val="en-GB"/>
                      </w:rPr>
                      <w:t xml:space="preserve">Hepatology, </w:t>
                    </w:r>
                    <w:r w:rsidR="001A768D">
                      <w:rPr>
                        <w:noProof/>
                        <w:lang w:val="en-GB"/>
                      </w:rPr>
                      <w:t xml:space="preserve">vol. 62, </w:t>
                    </w:r>
                    <w:r w:rsidRPr="001A768D">
                      <w:rPr>
                        <w:noProof/>
                        <w:lang w:val="en-GB"/>
                      </w:rPr>
                      <w:t xml:space="preserve">12, pp. 546-557, 2015. </w:t>
                    </w:r>
                  </w:p>
                </w:tc>
              </w:tr>
              <w:tr w:rsidR="002D6947" w:rsidRPr="004B28DB" w14:paraId="2C5FAA5A" w14:textId="77777777">
                <w:trPr>
                  <w:tblCellSpacing w:w="15" w:type="dxa"/>
                </w:trPr>
                <w:tc>
                  <w:tcPr>
                    <w:tcW w:w="50" w:type="pct"/>
                    <w:hideMark/>
                  </w:tcPr>
                  <w:p w14:paraId="4FC382EF" w14:textId="77777777" w:rsidR="002D6947" w:rsidRDefault="002D6947">
                    <w:pPr>
                      <w:pStyle w:val="Bibliographie"/>
                      <w:rPr>
                        <w:rFonts w:eastAsiaTheme="minorEastAsia"/>
                        <w:noProof/>
                      </w:rPr>
                    </w:pPr>
                    <w:r>
                      <w:rPr>
                        <w:noProof/>
                      </w:rPr>
                      <w:t xml:space="preserve">[79] </w:t>
                    </w:r>
                  </w:p>
                </w:tc>
                <w:tc>
                  <w:tcPr>
                    <w:tcW w:w="0" w:type="auto"/>
                    <w:hideMark/>
                  </w:tcPr>
                  <w:p w14:paraId="1A82F0E1" w14:textId="77777777" w:rsidR="002D6947" w:rsidRPr="001A768D" w:rsidRDefault="002D6947">
                    <w:pPr>
                      <w:pStyle w:val="Bibliographie"/>
                      <w:rPr>
                        <w:rFonts w:eastAsiaTheme="minorEastAsia"/>
                        <w:noProof/>
                        <w:lang w:val="en-GB"/>
                      </w:rPr>
                    </w:pPr>
                    <w:r w:rsidRPr="001A768D">
                      <w:rPr>
                        <w:noProof/>
                        <w:lang w:val="en-GB"/>
                      </w:rPr>
                      <w:t xml:space="preserve">S. Takai, S. Higuchi, A. Yano, K. Tsuneyama, T. Fukami, M. Nakajima et T. Yokoi, «Involvement of immune- and inflammatory-related factors in flucloxacillin-induced liver injury in mice.,» </w:t>
                    </w:r>
                    <w:r w:rsidRPr="001A768D">
                      <w:rPr>
                        <w:i/>
                        <w:iCs/>
                        <w:noProof/>
                        <w:lang w:val="en-GB"/>
                      </w:rPr>
                      <w:t xml:space="preserve">Journal of applied toxicology, </w:t>
                    </w:r>
                    <w:r w:rsidRPr="001A768D">
                      <w:rPr>
                        <w:noProof/>
                        <w:lang w:val="en-GB"/>
                      </w:rPr>
                      <w:t xml:space="preserve">vol. 35, pp. 142-151, 2015. </w:t>
                    </w:r>
                  </w:p>
                </w:tc>
              </w:tr>
              <w:tr w:rsidR="002D6947" w:rsidRPr="004B28DB" w14:paraId="01DA84B6" w14:textId="77777777">
                <w:trPr>
                  <w:tblCellSpacing w:w="15" w:type="dxa"/>
                </w:trPr>
                <w:tc>
                  <w:tcPr>
                    <w:tcW w:w="50" w:type="pct"/>
                    <w:hideMark/>
                  </w:tcPr>
                  <w:p w14:paraId="6D170487" w14:textId="77777777" w:rsidR="002D6947" w:rsidRDefault="002D6947">
                    <w:pPr>
                      <w:pStyle w:val="Bibliographie"/>
                      <w:rPr>
                        <w:rFonts w:eastAsiaTheme="minorEastAsia"/>
                        <w:noProof/>
                      </w:rPr>
                    </w:pPr>
                    <w:r>
                      <w:rPr>
                        <w:noProof/>
                      </w:rPr>
                      <w:t xml:space="preserve">[80] </w:t>
                    </w:r>
                  </w:p>
                </w:tc>
                <w:tc>
                  <w:tcPr>
                    <w:tcW w:w="0" w:type="auto"/>
                    <w:hideMark/>
                  </w:tcPr>
                  <w:p w14:paraId="271593F9" w14:textId="77777777" w:rsidR="002D6947" w:rsidRPr="001A768D" w:rsidRDefault="002D6947">
                    <w:pPr>
                      <w:pStyle w:val="Bibliographie"/>
                      <w:rPr>
                        <w:rFonts w:eastAsiaTheme="minorEastAsia"/>
                        <w:noProof/>
                        <w:lang w:val="en-GB"/>
                      </w:rPr>
                    </w:pPr>
                    <w:r w:rsidRPr="001A768D">
                      <w:rPr>
                        <w:noProof/>
                        <w:lang w:val="en-GB"/>
                      </w:rPr>
                      <w:t xml:space="preserve">M. Robles-Diaz, I. Medina-Caliz, C. Stephens, R. Andrade et M. Lucena, «Biomarkers in DILI One More Step Forward,» </w:t>
                    </w:r>
                    <w:r w:rsidRPr="001A768D">
                      <w:rPr>
                        <w:i/>
                        <w:iCs/>
                        <w:noProof/>
                        <w:lang w:val="en-GB"/>
                      </w:rPr>
                      <w:t xml:space="preserve">Front Pharmacol, </w:t>
                    </w:r>
                    <w:r w:rsidRPr="001A768D">
                      <w:rPr>
                        <w:noProof/>
                        <w:lang w:val="en-GB"/>
                      </w:rPr>
                      <w:t xml:space="preserve">vol. 7, p. 267, 2016. </w:t>
                    </w:r>
                  </w:p>
                </w:tc>
              </w:tr>
              <w:tr w:rsidR="002D6947" w:rsidRPr="004B28DB" w14:paraId="4884E706" w14:textId="77777777">
                <w:trPr>
                  <w:tblCellSpacing w:w="15" w:type="dxa"/>
                </w:trPr>
                <w:tc>
                  <w:tcPr>
                    <w:tcW w:w="50" w:type="pct"/>
                    <w:hideMark/>
                  </w:tcPr>
                  <w:p w14:paraId="3721F802" w14:textId="77777777" w:rsidR="002D6947" w:rsidRDefault="002D6947">
                    <w:pPr>
                      <w:pStyle w:val="Bibliographie"/>
                      <w:rPr>
                        <w:rFonts w:eastAsiaTheme="minorEastAsia"/>
                        <w:noProof/>
                      </w:rPr>
                    </w:pPr>
                    <w:r>
                      <w:rPr>
                        <w:noProof/>
                      </w:rPr>
                      <w:t xml:space="preserve">[81] </w:t>
                    </w:r>
                  </w:p>
                </w:tc>
                <w:tc>
                  <w:tcPr>
                    <w:tcW w:w="0" w:type="auto"/>
                    <w:hideMark/>
                  </w:tcPr>
                  <w:p w14:paraId="2D343FEB" w14:textId="77777777" w:rsidR="002D6947" w:rsidRPr="001A768D" w:rsidRDefault="002D6947">
                    <w:pPr>
                      <w:pStyle w:val="Bibliographie"/>
                      <w:rPr>
                        <w:rFonts w:eastAsiaTheme="minorEastAsia"/>
                        <w:noProof/>
                        <w:lang w:val="en-GB"/>
                      </w:rPr>
                    </w:pPr>
                    <w:r w:rsidRPr="001A768D">
                      <w:rPr>
                        <w:noProof/>
                        <w:lang w:val="en-GB"/>
                      </w:rPr>
                      <w:t xml:space="preserve">R. Hornby, P. Starkey Lewis, J. Dear, C. Goldring et B. Park, «MicroRNAs as potential circulating biomarkers of drug-induced liver injury: key current and future issues for translation to humans.,» </w:t>
                    </w:r>
                    <w:r w:rsidRPr="001A768D">
                      <w:rPr>
                        <w:i/>
                        <w:iCs/>
                        <w:noProof/>
                        <w:lang w:val="en-GB"/>
                      </w:rPr>
                      <w:t xml:space="preserve">Expert Rev Clin Pharmacol , </w:t>
                    </w:r>
                    <w:r w:rsidRPr="001A768D">
                      <w:rPr>
                        <w:noProof/>
                        <w:lang w:val="en-GB"/>
                      </w:rPr>
                      <w:t xml:space="preserve">vol. 7, pp. 349-62, 2014. </w:t>
                    </w:r>
                  </w:p>
                </w:tc>
              </w:tr>
              <w:tr w:rsidR="002D6947" w:rsidRPr="004B28DB" w14:paraId="2B9B0CF8" w14:textId="77777777">
                <w:trPr>
                  <w:tblCellSpacing w:w="15" w:type="dxa"/>
                </w:trPr>
                <w:tc>
                  <w:tcPr>
                    <w:tcW w:w="50" w:type="pct"/>
                    <w:hideMark/>
                  </w:tcPr>
                  <w:p w14:paraId="2D9FA40D" w14:textId="77777777" w:rsidR="002D6947" w:rsidRDefault="002D6947">
                    <w:pPr>
                      <w:pStyle w:val="Bibliographie"/>
                      <w:rPr>
                        <w:rFonts w:eastAsiaTheme="minorEastAsia"/>
                        <w:noProof/>
                      </w:rPr>
                    </w:pPr>
                    <w:r>
                      <w:rPr>
                        <w:noProof/>
                      </w:rPr>
                      <w:t xml:space="preserve">[82] </w:t>
                    </w:r>
                  </w:p>
                </w:tc>
                <w:tc>
                  <w:tcPr>
                    <w:tcW w:w="0" w:type="auto"/>
                    <w:hideMark/>
                  </w:tcPr>
                  <w:p w14:paraId="60655C84" w14:textId="77777777" w:rsidR="002D6947" w:rsidRPr="001A768D" w:rsidRDefault="002D6947">
                    <w:pPr>
                      <w:pStyle w:val="Bibliographie"/>
                      <w:rPr>
                        <w:rFonts w:eastAsiaTheme="minorEastAsia"/>
                        <w:noProof/>
                        <w:lang w:val="en-GB"/>
                      </w:rPr>
                    </w:pPr>
                    <w:r w:rsidRPr="001A768D">
                      <w:rPr>
                        <w:noProof/>
                        <w:lang w:val="en-GB"/>
                      </w:rPr>
                      <w:t xml:space="preserve">M. Zhang, M. Chen et W. Tong, «Is toxicogenomics a more reliable and sensitive biomarker than conventional indicators from rats to predict drug-induced liver injury in humans?,» </w:t>
                    </w:r>
                    <w:r w:rsidRPr="001A768D">
                      <w:rPr>
                        <w:i/>
                        <w:iCs/>
                        <w:noProof/>
                        <w:lang w:val="en-GB"/>
                      </w:rPr>
                      <w:t xml:space="preserve">Chem Res Toxicol , </w:t>
                    </w:r>
                    <w:r w:rsidRPr="001A768D">
                      <w:rPr>
                        <w:noProof/>
                        <w:lang w:val="en-GB"/>
                      </w:rPr>
                      <w:t xml:space="preserve">vol. 25 , pp. 122-9 , 2012. </w:t>
                    </w:r>
                  </w:p>
                </w:tc>
              </w:tr>
              <w:tr w:rsidR="002D6947" w:rsidRPr="004B28DB" w14:paraId="1104A656" w14:textId="77777777">
                <w:trPr>
                  <w:tblCellSpacing w:w="15" w:type="dxa"/>
                </w:trPr>
                <w:tc>
                  <w:tcPr>
                    <w:tcW w:w="50" w:type="pct"/>
                    <w:hideMark/>
                  </w:tcPr>
                  <w:p w14:paraId="764D57D6" w14:textId="77777777" w:rsidR="002D6947" w:rsidRDefault="002D6947">
                    <w:pPr>
                      <w:pStyle w:val="Bibliographie"/>
                      <w:rPr>
                        <w:rFonts w:eastAsiaTheme="minorEastAsia"/>
                        <w:noProof/>
                      </w:rPr>
                    </w:pPr>
                    <w:r>
                      <w:rPr>
                        <w:noProof/>
                      </w:rPr>
                      <w:t xml:space="preserve">[83] </w:t>
                    </w:r>
                  </w:p>
                </w:tc>
                <w:tc>
                  <w:tcPr>
                    <w:tcW w:w="0" w:type="auto"/>
                    <w:hideMark/>
                  </w:tcPr>
                  <w:p w14:paraId="102FB377" w14:textId="77777777" w:rsidR="002D6947" w:rsidRPr="001A768D" w:rsidRDefault="002D6947">
                    <w:pPr>
                      <w:pStyle w:val="Bibliographie"/>
                      <w:rPr>
                        <w:rFonts w:eastAsiaTheme="minorEastAsia"/>
                        <w:noProof/>
                        <w:lang w:val="en-GB"/>
                      </w:rPr>
                    </w:pPr>
                    <w:r w:rsidRPr="001A768D">
                      <w:rPr>
                        <w:noProof/>
                        <w:lang w:val="en-GB"/>
                      </w:rPr>
                      <w:t xml:space="preserve">A. Smith, J. Calley, S. Mathur, H. Qian, H. Wu, M. Farmen, B. P. Caiment F4, J. Li, C. Fisher, P. Kirby, E. Koenig, D. Hall et D. Watson, «The Rat microRNA body atlas; Evaluation of the microRNA content of rat organs through deep sequencing and characterization of pancreas enriched miRNAs as biomarkers of pancreatic toxicity in the rat and dog.,» </w:t>
                    </w:r>
                    <w:r w:rsidRPr="001A768D">
                      <w:rPr>
                        <w:i/>
                        <w:iCs/>
                        <w:noProof/>
                        <w:lang w:val="en-GB"/>
                      </w:rPr>
                      <w:t xml:space="preserve">BMC Genomics, </w:t>
                    </w:r>
                    <w:r w:rsidRPr="001A768D">
                      <w:rPr>
                        <w:noProof/>
                        <w:lang w:val="en-GB"/>
                      </w:rPr>
                      <w:t xml:space="preserve">vol. 17, p. 694, 30 Aug 2016. </w:t>
                    </w:r>
                  </w:p>
                </w:tc>
              </w:tr>
              <w:tr w:rsidR="002D6947" w:rsidRPr="004B28DB" w14:paraId="0DBF0F73" w14:textId="77777777">
                <w:trPr>
                  <w:tblCellSpacing w:w="15" w:type="dxa"/>
                </w:trPr>
                <w:tc>
                  <w:tcPr>
                    <w:tcW w:w="50" w:type="pct"/>
                    <w:hideMark/>
                  </w:tcPr>
                  <w:p w14:paraId="7A6DFD5E" w14:textId="77777777" w:rsidR="002D6947" w:rsidRDefault="002D6947">
                    <w:pPr>
                      <w:pStyle w:val="Bibliographie"/>
                      <w:rPr>
                        <w:rFonts w:eastAsiaTheme="minorEastAsia"/>
                        <w:noProof/>
                      </w:rPr>
                    </w:pPr>
                    <w:r>
                      <w:rPr>
                        <w:noProof/>
                      </w:rPr>
                      <w:t xml:space="preserve">[84] </w:t>
                    </w:r>
                  </w:p>
                </w:tc>
                <w:tc>
                  <w:tcPr>
                    <w:tcW w:w="0" w:type="auto"/>
                    <w:hideMark/>
                  </w:tcPr>
                  <w:p w14:paraId="689DEDF7" w14:textId="77777777" w:rsidR="002D6947" w:rsidRPr="001A768D" w:rsidRDefault="002D6947">
                    <w:pPr>
                      <w:pStyle w:val="Bibliographie"/>
                      <w:rPr>
                        <w:rFonts w:eastAsiaTheme="minorEastAsia"/>
                        <w:noProof/>
                        <w:lang w:val="en-GB"/>
                      </w:rPr>
                    </w:pPr>
                    <w:r w:rsidRPr="001A768D">
                      <w:rPr>
                        <w:noProof/>
                        <w:lang w:val="en-GB"/>
                      </w:rPr>
                      <w:t xml:space="preserve">C. Fisher, H. Bernard, F. Wolenski, J. Gerrein, M. Carsillo, M. Gallacher, A. Tse, R. Peters, A. Smith, A. Meehan, S. Tirrell et P. Kirby, «The beagle dog MicroRNA tissue atlas: identifying translatable biomarkers of organ toxicity.,» </w:t>
                    </w:r>
                    <w:r w:rsidRPr="001A768D">
                      <w:rPr>
                        <w:i/>
                        <w:iCs/>
                        <w:noProof/>
                        <w:lang w:val="en-GB"/>
                      </w:rPr>
                      <w:t xml:space="preserve">BMC Gemomics, </w:t>
                    </w:r>
                    <w:r w:rsidRPr="001A768D">
                      <w:rPr>
                        <w:noProof/>
                        <w:lang w:val="en-GB"/>
                      </w:rPr>
                      <w:t xml:space="preserve">6 Nov 2016. </w:t>
                    </w:r>
                  </w:p>
                </w:tc>
              </w:tr>
              <w:tr w:rsidR="002D6947" w:rsidRPr="004B28DB" w14:paraId="24D81FD9" w14:textId="77777777">
                <w:trPr>
                  <w:tblCellSpacing w:w="15" w:type="dxa"/>
                </w:trPr>
                <w:tc>
                  <w:tcPr>
                    <w:tcW w:w="50" w:type="pct"/>
                    <w:hideMark/>
                  </w:tcPr>
                  <w:p w14:paraId="75C065C6" w14:textId="77777777" w:rsidR="002D6947" w:rsidRDefault="002D6947">
                    <w:pPr>
                      <w:pStyle w:val="Bibliographie"/>
                      <w:rPr>
                        <w:rFonts w:eastAsiaTheme="minorEastAsia"/>
                        <w:noProof/>
                      </w:rPr>
                    </w:pPr>
                    <w:r>
                      <w:rPr>
                        <w:noProof/>
                      </w:rPr>
                      <w:t xml:space="preserve">[85] </w:t>
                    </w:r>
                  </w:p>
                </w:tc>
                <w:tc>
                  <w:tcPr>
                    <w:tcW w:w="0" w:type="auto"/>
                    <w:hideMark/>
                  </w:tcPr>
                  <w:p w14:paraId="710D4334" w14:textId="77777777" w:rsidR="002D6947" w:rsidRPr="001A768D" w:rsidRDefault="002D6947">
                    <w:pPr>
                      <w:pStyle w:val="Bibliographie"/>
                      <w:rPr>
                        <w:rFonts w:eastAsiaTheme="minorEastAsia"/>
                        <w:noProof/>
                        <w:lang w:val="en-GB"/>
                      </w:rPr>
                    </w:pPr>
                    <w:r w:rsidRPr="001A768D">
                      <w:rPr>
                        <w:noProof/>
                        <w:lang w:val="en-GB"/>
                      </w:rPr>
                      <w:t xml:space="preserve">A. Califano, A. Butte, S. Friend, T. Ideker et E. Schadt, «Leveraging models of cell regulation and GWAS data in integrative network-based association studies.,» </w:t>
                    </w:r>
                    <w:r w:rsidRPr="001A768D">
                      <w:rPr>
                        <w:i/>
                        <w:iCs/>
                        <w:noProof/>
                        <w:lang w:val="en-GB"/>
                      </w:rPr>
                      <w:t xml:space="preserve">Nat Genet , </w:t>
                    </w:r>
                    <w:r w:rsidRPr="001A768D">
                      <w:rPr>
                        <w:noProof/>
                        <w:lang w:val="en-GB"/>
                      </w:rPr>
                      <w:t xml:space="preserve">vol. 44, pp. 841-847, 2012. </w:t>
                    </w:r>
                  </w:p>
                </w:tc>
              </w:tr>
              <w:tr w:rsidR="002D6947" w:rsidRPr="004B28DB" w14:paraId="2E25A9E1" w14:textId="77777777">
                <w:trPr>
                  <w:tblCellSpacing w:w="15" w:type="dxa"/>
                </w:trPr>
                <w:tc>
                  <w:tcPr>
                    <w:tcW w:w="50" w:type="pct"/>
                    <w:hideMark/>
                  </w:tcPr>
                  <w:p w14:paraId="124A8859" w14:textId="77777777" w:rsidR="002D6947" w:rsidRDefault="002D6947">
                    <w:pPr>
                      <w:pStyle w:val="Bibliographie"/>
                      <w:rPr>
                        <w:rFonts w:eastAsiaTheme="minorEastAsia"/>
                        <w:noProof/>
                      </w:rPr>
                    </w:pPr>
                    <w:r>
                      <w:rPr>
                        <w:noProof/>
                      </w:rPr>
                      <w:t xml:space="preserve">[86] </w:t>
                    </w:r>
                  </w:p>
                </w:tc>
                <w:tc>
                  <w:tcPr>
                    <w:tcW w:w="0" w:type="auto"/>
                    <w:hideMark/>
                  </w:tcPr>
                  <w:p w14:paraId="505D80DE" w14:textId="77777777" w:rsidR="002D6947" w:rsidRPr="001A768D" w:rsidRDefault="002D6947">
                    <w:pPr>
                      <w:pStyle w:val="Bibliographie"/>
                      <w:rPr>
                        <w:rFonts w:eastAsiaTheme="minorEastAsia"/>
                        <w:noProof/>
                        <w:lang w:val="en-GB"/>
                      </w:rPr>
                    </w:pPr>
                    <w:r w:rsidRPr="001A768D">
                      <w:rPr>
                        <w:noProof/>
                        <w:lang w:val="en-GB"/>
                      </w:rPr>
                      <w:t xml:space="preserve">J. Sutherland, R. Jolly, K. Goldstein et J. Stevens, «Sutherland, J.J., Jolly, R.A., Goldstein, K.M. &amp; Stevens, J.L. Assessing Concordance of Drug-Induced Transcriptional Response in Rodent Liver and Cultured Hepatocytes.,» </w:t>
                    </w:r>
                    <w:r w:rsidRPr="001A768D">
                      <w:rPr>
                        <w:i/>
                        <w:iCs/>
                        <w:noProof/>
                        <w:lang w:val="en-GB"/>
                      </w:rPr>
                      <w:t xml:space="preserve">PLoS Comput Biol , </w:t>
                    </w:r>
                    <w:r w:rsidRPr="001A768D">
                      <w:rPr>
                        <w:noProof/>
                        <w:lang w:val="en-GB"/>
                      </w:rPr>
                      <w:t xml:space="preserve">vol. 12, p. e1004847, 2016. </w:t>
                    </w:r>
                  </w:p>
                </w:tc>
              </w:tr>
              <w:tr w:rsidR="002D6947" w:rsidRPr="004B28DB" w14:paraId="13119AF1" w14:textId="77777777">
                <w:trPr>
                  <w:tblCellSpacing w:w="15" w:type="dxa"/>
                </w:trPr>
                <w:tc>
                  <w:tcPr>
                    <w:tcW w:w="50" w:type="pct"/>
                    <w:hideMark/>
                  </w:tcPr>
                  <w:p w14:paraId="75F2DF6C" w14:textId="77777777" w:rsidR="002D6947" w:rsidRDefault="002D6947">
                    <w:pPr>
                      <w:pStyle w:val="Bibliographie"/>
                      <w:rPr>
                        <w:rFonts w:eastAsiaTheme="minorEastAsia"/>
                        <w:noProof/>
                      </w:rPr>
                    </w:pPr>
                    <w:r>
                      <w:rPr>
                        <w:noProof/>
                      </w:rPr>
                      <w:t xml:space="preserve">[87] </w:t>
                    </w:r>
                  </w:p>
                </w:tc>
                <w:tc>
                  <w:tcPr>
                    <w:tcW w:w="0" w:type="auto"/>
                    <w:hideMark/>
                  </w:tcPr>
                  <w:p w14:paraId="01722567" w14:textId="77777777" w:rsidR="002D6947" w:rsidRPr="001A768D" w:rsidRDefault="002D6947">
                    <w:pPr>
                      <w:pStyle w:val="Bibliographie"/>
                      <w:rPr>
                        <w:rFonts w:eastAsiaTheme="minorEastAsia"/>
                        <w:noProof/>
                        <w:lang w:val="en-GB"/>
                      </w:rPr>
                    </w:pPr>
                    <w:r w:rsidRPr="001A768D">
                      <w:rPr>
                        <w:noProof/>
                        <w:lang w:val="en-GB"/>
                      </w:rPr>
                      <w:t xml:space="preserve">J. Jiang, J. Wolters, S. van Breda, J. Kleinjans et T. de Kok, «Development of novel tools for the in vitro investigation of drug-induced liver injury.,» </w:t>
                    </w:r>
                    <w:r w:rsidRPr="001A768D">
                      <w:rPr>
                        <w:i/>
                        <w:iCs/>
                        <w:noProof/>
                        <w:lang w:val="en-GB"/>
                      </w:rPr>
                      <w:t xml:space="preserve">Expert Opin Drug Metab Toxicol , </w:t>
                    </w:r>
                    <w:r w:rsidRPr="001A768D">
                      <w:rPr>
                        <w:noProof/>
                        <w:lang w:val="en-GB"/>
                      </w:rPr>
                      <w:t xml:space="preserve">vol. 11, pp. 1523-1523, 2015. </w:t>
                    </w:r>
                  </w:p>
                </w:tc>
              </w:tr>
              <w:tr w:rsidR="002D6947" w:rsidRPr="004B28DB" w14:paraId="4A8DB648" w14:textId="77777777">
                <w:trPr>
                  <w:tblCellSpacing w:w="15" w:type="dxa"/>
                </w:trPr>
                <w:tc>
                  <w:tcPr>
                    <w:tcW w:w="50" w:type="pct"/>
                    <w:hideMark/>
                  </w:tcPr>
                  <w:p w14:paraId="2571BDB6" w14:textId="77777777" w:rsidR="002D6947" w:rsidRDefault="002D6947">
                    <w:pPr>
                      <w:pStyle w:val="Bibliographie"/>
                      <w:rPr>
                        <w:rFonts w:eastAsiaTheme="minorEastAsia"/>
                        <w:noProof/>
                      </w:rPr>
                    </w:pPr>
                    <w:r>
                      <w:rPr>
                        <w:noProof/>
                      </w:rPr>
                      <w:t xml:space="preserve">[88] </w:t>
                    </w:r>
                  </w:p>
                </w:tc>
                <w:tc>
                  <w:tcPr>
                    <w:tcW w:w="0" w:type="auto"/>
                    <w:hideMark/>
                  </w:tcPr>
                  <w:p w14:paraId="1787A9E7" w14:textId="39B24173" w:rsidR="002D6947" w:rsidRPr="001A768D" w:rsidRDefault="002D6947">
                    <w:pPr>
                      <w:pStyle w:val="Bibliographie"/>
                      <w:rPr>
                        <w:rFonts w:eastAsiaTheme="minorEastAsia"/>
                        <w:noProof/>
                        <w:lang w:val="en-GB"/>
                      </w:rPr>
                    </w:pPr>
                    <w:r w:rsidRPr="001A768D">
                      <w:rPr>
                        <w:noProof/>
                        <w:lang w:val="en-GB"/>
                      </w:rPr>
                      <w:t xml:space="preserve">B. Park, A. Boobis, S. Clarke, C. Goldring, D. Jones, J. Kenna, C. Lambert, H. Laverty, D. Naisbitt, S. Nelson, D. Nicoll-Griffith, R. Obach, P. Routledge, D. Smith, D. Tweedie, N. Vermeulen, D. Williams, I. Wilson et T. Baillie, «Managing the challenge of chemically reactive metabolites in drug development.,» </w:t>
                    </w:r>
                    <w:r w:rsidRPr="001A768D">
                      <w:rPr>
                        <w:i/>
                        <w:iCs/>
                        <w:noProof/>
                        <w:lang w:val="en-GB"/>
                      </w:rPr>
                      <w:t xml:space="preserve">Nat Rev Drug Discovery, </w:t>
                    </w:r>
                    <w:r w:rsidR="001A768D">
                      <w:rPr>
                        <w:noProof/>
                        <w:lang w:val="en-GB"/>
                      </w:rPr>
                      <w:t xml:space="preserve">vol. 10, </w:t>
                    </w:r>
                    <w:r w:rsidRPr="001A768D">
                      <w:rPr>
                        <w:noProof/>
                        <w:lang w:val="en-GB"/>
                      </w:rPr>
                      <w:t xml:space="preserve">14, pp. 292-306, 2011. </w:t>
                    </w:r>
                  </w:p>
                </w:tc>
              </w:tr>
              <w:tr w:rsidR="002D6947" w:rsidRPr="004B28DB" w14:paraId="4DBEAB34" w14:textId="77777777">
                <w:trPr>
                  <w:tblCellSpacing w:w="15" w:type="dxa"/>
                </w:trPr>
                <w:tc>
                  <w:tcPr>
                    <w:tcW w:w="50" w:type="pct"/>
                    <w:hideMark/>
                  </w:tcPr>
                  <w:p w14:paraId="3996C28F" w14:textId="77777777" w:rsidR="002D6947" w:rsidRDefault="002D6947">
                    <w:pPr>
                      <w:pStyle w:val="Bibliographie"/>
                      <w:rPr>
                        <w:rFonts w:eastAsiaTheme="minorEastAsia"/>
                        <w:noProof/>
                      </w:rPr>
                    </w:pPr>
                    <w:r>
                      <w:rPr>
                        <w:noProof/>
                      </w:rPr>
                      <w:t xml:space="preserve">[89] </w:t>
                    </w:r>
                  </w:p>
                </w:tc>
                <w:tc>
                  <w:tcPr>
                    <w:tcW w:w="0" w:type="auto"/>
                    <w:hideMark/>
                  </w:tcPr>
                  <w:p w14:paraId="67B2B460" w14:textId="235CF3D1" w:rsidR="002D6947" w:rsidRPr="001A768D" w:rsidRDefault="002D6947">
                    <w:pPr>
                      <w:pStyle w:val="Bibliographie"/>
                      <w:rPr>
                        <w:rFonts w:eastAsiaTheme="minorEastAsia"/>
                        <w:noProof/>
                        <w:lang w:val="en-GB"/>
                      </w:rPr>
                    </w:pPr>
                    <w:r w:rsidRPr="001A768D">
                      <w:rPr>
                        <w:noProof/>
                        <w:lang w:val="en-GB"/>
                      </w:rPr>
                      <w:t xml:space="preserve">R. Thompson, E. Isin, M, Y. Li, L. Weidolf, K. Page, I. Wilson, S. Swallow, B. Middleton, S. Stahl, A. Foster, H. Dolgos, R. Weaver et J. Kenna, «in vitro appraoched to assess the potential for risk of idiosynratic adverse reactions caused by candidate drugs.,» </w:t>
                    </w:r>
                    <w:r w:rsidRPr="001A768D">
                      <w:rPr>
                        <w:i/>
                        <w:iCs/>
                        <w:noProof/>
                        <w:lang w:val="en-GB"/>
                      </w:rPr>
                      <w:t xml:space="preserve">Chem Res Toxicol, </w:t>
                    </w:r>
                    <w:r w:rsidR="00537EEF">
                      <w:rPr>
                        <w:noProof/>
                        <w:lang w:val="en-GB"/>
                      </w:rPr>
                      <w:t xml:space="preserve">vol. 25, </w:t>
                    </w:r>
                    <w:r w:rsidRPr="001A768D">
                      <w:rPr>
                        <w:noProof/>
                        <w:lang w:val="en-GB"/>
                      </w:rPr>
                      <w:t xml:space="preserve">18, pp. 1616-1632, 2012. </w:t>
                    </w:r>
                  </w:p>
                </w:tc>
              </w:tr>
              <w:tr w:rsidR="002D6947" w:rsidRPr="004B28DB" w14:paraId="21063390" w14:textId="77777777">
                <w:trPr>
                  <w:tblCellSpacing w:w="15" w:type="dxa"/>
                </w:trPr>
                <w:tc>
                  <w:tcPr>
                    <w:tcW w:w="50" w:type="pct"/>
                    <w:hideMark/>
                  </w:tcPr>
                  <w:p w14:paraId="26BACC0C" w14:textId="77777777" w:rsidR="002D6947" w:rsidRDefault="002D6947">
                    <w:pPr>
                      <w:pStyle w:val="Bibliographie"/>
                      <w:rPr>
                        <w:rFonts w:eastAsiaTheme="minorEastAsia"/>
                        <w:noProof/>
                      </w:rPr>
                    </w:pPr>
                    <w:r>
                      <w:rPr>
                        <w:noProof/>
                      </w:rPr>
                      <w:t xml:space="preserve">[90] </w:t>
                    </w:r>
                  </w:p>
                </w:tc>
                <w:tc>
                  <w:tcPr>
                    <w:tcW w:w="0" w:type="auto"/>
                    <w:hideMark/>
                  </w:tcPr>
                  <w:p w14:paraId="6732C040" w14:textId="77777777" w:rsidR="002D6947" w:rsidRPr="001A768D" w:rsidRDefault="002D6947">
                    <w:pPr>
                      <w:pStyle w:val="Bibliographie"/>
                      <w:rPr>
                        <w:rFonts w:eastAsiaTheme="minorEastAsia"/>
                        <w:noProof/>
                        <w:lang w:val="en-GB"/>
                      </w:rPr>
                    </w:pPr>
                    <w:r w:rsidRPr="001A768D">
                      <w:rPr>
                        <w:noProof/>
                        <w:lang w:val="en-GB"/>
                      </w:rPr>
                      <w:t xml:space="preserve">S. Nakayama, R. Atsumi, H. Takakusa, Y. Kobayashi, A. Kurihara, Y. Nagai, D. Nakai et O. Okazaki, «A zone classification system for risk assessment of idiosyncratic drug toxicity using daily dose and covalent binding.,» </w:t>
                    </w:r>
                    <w:r w:rsidRPr="001A768D">
                      <w:rPr>
                        <w:i/>
                        <w:iCs/>
                        <w:noProof/>
                        <w:lang w:val="en-GB"/>
                      </w:rPr>
                      <w:t xml:space="preserve">Drug Met Dispos., </w:t>
                    </w:r>
                    <w:r w:rsidRPr="001A768D">
                      <w:rPr>
                        <w:noProof/>
                        <w:lang w:val="en-GB"/>
                      </w:rPr>
                      <w:t xml:space="preserve">vol. 37, pp. 1970-1977, 2009. </w:t>
                    </w:r>
                  </w:p>
                </w:tc>
              </w:tr>
              <w:tr w:rsidR="002D6947" w:rsidRPr="004B28DB" w14:paraId="48717FBE" w14:textId="77777777">
                <w:trPr>
                  <w:tblCellSpacing w:w="15" w:type="dxa"/>
                </w:trPr>
                <w:tc>
                  <w:tcPr>
                    <w:tcW w:w="50" w:type="pct"/>
                    <w:hideMark/>
                  </w:tcPr>
                  <w:p w14:paraId="05F4ECC3" w14:textId="77777777" w:rsidR="002D6947" w:rsidRDefault="002D6947">
                    <w:pPr>
                      <w:pStyle w:val="Bibliographie"/>
                      <w:rPr>
                        <w:rFonts w:eastAsiaTheme="minorEastAsia"/>
                        <w:noProof/>
                      </w:rPr>
                    </w:pPr>
                    <w:r>
                      <w:rPr>
                        <w:noProof/>
                      </w:rPr>
                      <w:t xml:space="preserve">[91] </w:t>
                    </w:r>
                  </w:p>
                </w:tc>
                <w:tc>
                  <w:tcPr>
                    <w:tcW w:w="0" w:type="auto"/>
                    <w:hideMark/>
                  </w:tcPr>
                  <w:p w14:paraId="67D805F8" w14:textId="77777777" w:rsidR="001A768D" w:rsidRDefault="002D6947">
                    <w:pPr>
                      <w:pStyle w:val="Bibliographie"/>
                      <w:rPr>
                        <w:noProof/>
                        <w:lang w:val="en-GB"/>
                      </w:rPr>
                    </w:pPr>
                    <w:r w:rsidRPr="001A768D">
                      <w:rPr>
                        <w:noProof/>
                        <w:lang w:val="en-GB"/>
                      </w:rPr>
                      <w:t xml:space="preserve">R. Obach, A. Kalgutkar, J. Soglia et S. Zhao, «Can in vitro metabolism-dependent covalent binding data in liver microsomes distinguish hepatotoxic from non-hepatotoxic drugs? An analysis of 18 drugs with consideration of intrinsic clearnace and daily dose.,» </w:t>
                    </w:r>
                    <w:r w:rsidRPr="001A768D">
                      <w:rPr>
                        <w:i/>
                        <w:iCs/>
                        <w:noProof/>
                        <w:lang w:val="en-GB"/>
                      </w:rPr>
                      <w:t xml:space="preserve">Chem Res Toxicol, </w:t>
                    </w:r>
                    <w:r w:rsidRPr="001A768D">
                      <w:rPr>
                        <w:noProof/>
                        <w:lang w:val="en-GB"/>
                      </w:rPr>
                      <w:t>vol. 21, pp. 1814-1822, 2008.</w:t>
                    </w:r>
                  </w:p>
                  <w:p w14:paraId="202BB954" w14:textId="2AC9A797" w:rsidR="002D6947" w:rsidRPr="001A768D" w:rsidRDefault="001A768D">
                    <w:pPr>
                      <w:pStyle w:val="Bibliographie"/>
                      <w:rPr>
                        <w:rFonts w:eastAsiaTheme="minorEastAsia"/>
                        <w:noProof/>
                        <w:lang w:val="en-GB"/>
                      </w:rPr>
                    </w:pPr>
                    <w:r w:rsidRPr="00974D2C">
                      <w:rPr>
                        <w:rFonts w:eastAsiaTheme="minorEastAsia"/>
                        <w:color w:val="984806" w:themeColor="accent6" w:themeShade="80"/>
                        <w:lang w:val="en-GB"/>
                      </w:rPr>
                      <w:t>* An important paper on the role covalent binding and DILI</w:t>
                    </w:r>
                    <w:r w:rsidR="002D6947" w:rsidRPr="001A768D">
                      <w:rPr>
                        <w:noProof/>
                        <w:lang w:val="en-GB"/>
                      </w:rPr>
                      <w:t xml:space="preserve"> </w:t>
                    </w:r>
                  </w:p>
                </w:tc>
              </w:tr>
              <w:tr w:rsidR="002D6947" w:rsidRPr="004B28DB" w14:paraId="1FF04897" w14:textId="77777777">
                <w:trPr>
                  <w:tblCellSpacing w:w="15" w:type="dxa"/>
                </w:trPr>
                <w:tc>
                  <w:tcPr>
                    <w:tcW w:w="50" w:type="pct"/>
                    <w:hideMark/>
                  </w:tcPr>
                  <w:p w14:paraId="453E66A7" w14:textId="77777777" w:rsidR="002D6947" w:rsidRDefault="002D6947">
                    <w:pPr>
                      <w:pStyle w:val="Bibliographie"/>
                      <w:rPr>
                        <w:rFonts w:eastAsiaTheme="minorEastAsia"/>
                        <w:noProof/>
                      </w:rPr>
                    </w:pPr>
                    <w:r>
                      <w:rPr>
                        <w:noProof/>
                      </w:rPr>
                      <w:t xml:space="preserve">[92] </w:t>
                    </w:r>
                  </w:p>
                </w:tc>
                <w:tc>
                  <w:tcPr>
                    <w:tcW w:w="0" w:type="auto"/>
                    <w:hideMark/>
                  </w:tcPr>
                  <w:p w14:paraId="05F4EB37" w14:textId="4A987D4E" w:rsidR="002D6947" w:rsidRPr="001A768D" w:rsidRDefault="002D6947">
                    <w:pPr>
                      <w:pStyle w:val="Bibliographie"/>
                      <w:rPr>
                        <w:rFonts w:eastAsiaTheme="minorEastAsia"/>
                        <w:noProof/>
                        <w:lang w:val="en-GB"/>
                      </w:rPr>
                    </w:pPr>
                    <w:r w:rsidRPr="001A768D">
                      <w:rPr>
                        <w:noProof/>
                        <w:lang w:val="en-GB"/>
                      </w:rPr>
                      <w:t xml:space="preserve">M. Sakatis, M. Reese, A. Harrell, M. Taylor, I. Baines, L. Chen, J. Bloomer, E. Yang, H. Ellens, J. Ambroso, C. Lovatt, A. Ayrton et S. Clarke, «preclinical stratergy to reduce clinical hepatotoxicity using in vitro bioactivation data for 200 compounds.,» </w:t>
                    </w:r>
                    <w:r w:rsidRPr="001A768D">
                      <w:rPr>
                        <w:i/>
                        <w:iCs/>
                        <w:noProof/>
                        <w:lang w:val="en-GB"/>
                      </w:rPr>
                      <w:t xml:space="preserve">Chem REs Toxicol, </w:t>
                    </w:r>
                    <w:r w:rsidR="001A768D">
                      <w:rPr>
                        <w:noProof/>
                        <w:lang w:val="en-GB"/>
                      </w:rPr>
                      <w:t xml:space="preserve">vol. 25, </w:t>
                    </w:r>
                    <w:r w:rsidRPr="001A768D">
                      <w:rPr>
                        <w:noProof/>
                        <w:lang w:val="en-GB"/>
                      </w:rPr>
                      <w:t xml:space="preserve">110, pp. 2067-2082, 2012. </w:t>
                    </w:r>
                  </w:p>
                </w:tc>
              </w:tr>
              <w:tr w:rsidR="002D6947" w:rsidRPr="004B28DB" w14:paraId="26DC5099" w14:textId="77777777">
                <w:trPr>
                  <w:tblCellSpacing w:w="15" w:type="dxa"/>
                </w:trPr>
                <w:tc>
                  <w:tcPr>
                    <w:tcW w:w="50" w:type="pct"/>
                    <w:hideMark/>
                  </w:tcPr>
                  <w:p w14:paraId="601D97C1" w14:textId="77777777" w:rsidR="002D6947" w:rsidRDefault="002D6947">
                    <w:pPr>
                      <w:pStyle w:val="Bibliographie"/>
                      <w:rPr>
                        <w:rFonts w:eastAsiaTheme="minorEastAsia"/>
                        <w:noProof/>
                      </w:rPr>
                    </w:pPr>
                    <w:r>
                      <w:rPr>
                        <w:noProof/>
                      </w:rPr>
                      <w:t xml:space="preserve">[93] </w:t>
                    </w:r>
                  </w:p>
                </w:tc>
                <w:tc>
                  <w:tcPr>
                    <w:tcW w:w="0" w:type="auto"/>
                    <w:hideMark/>
                  </w:tcPr>
                  <w:p w14:paraId="6A53AB37" w14:textId="77777777" w:rsidR="002D6947" w:rsidRPr="001A768D" w:rsidRDefault="002D6947">
                    <w:pPr>
                      <w:pStyle w:val="Bibliographie"/>
                      <w:rPr>
                        <w:rFonts w:eastAsiaTheme="minorEastAsia"/>
                        <w:noProof/>
                        <w:lang w:val="en-GB"/>
                      </w:rPr>
                    </w:pPr>
                    <w:r w:rsidRPr="001A768D">
                      <w:rPr>
                        <w:noProof/>
                        <w:lang w:val="en-GB"/>
                      </w:rPr>
                      <w:t xml:space="preserve">J. Uetrecht, « New concepts in immunology relevant to idiosyncratic drug reactions: the “danger hypothesis” and innate immune system.,» </w:t>
                    </w:r>
                    <w:r w:rsidRPr="001A768D">
                      <w:rPr>
                        <w:i/>
                        <w:iCs/>
                        <w:noProof/>
                        <w:lang w:val="en-GB"/>
                      </w:rPr>
                      <w:t xml:space="preserve">Chemical Research in Toxicology , </w:t>
                    </w:r>
                    <w:r w:rsidRPr="001A768D">
                      <w:rPr>
                        <w:noProof/>
                        <w:lang w:val="en-GB"/>
                      </w:rPr>
                      <w:t xml:space="preserve">vol. 12, pp. 387-395, 1999. </w:t>
                    </w:r>
                  </w:p>
                </w:tc>
              </w:tr>
              <w:tr w:rsidR="002D6947" w:rsidRPr="004B28DB" w14:paraId="18F02388" w14:textId="77777777">
                <w:trPr>
                  <w:tblCellSpacing w:w="15" w:type="dxa"/>
                </w:trPr>
                <w:tc>
                  <w:tcPr>
                    <w:tcW w:w="50" w:type="pct"/>
                    <w:hideMark/>
                  </w:tcPr>
                  <w:p w14:paraId="6D0CBB78" w14:textId="77777777" w:rsidR="002D6947" w:rsidRDefault="002D6947">
                    <w:pPr>
                      <w:pStyle w:val="Bibliographie"/>
                      <w:rPr>
                        <w:rFonts w:eastAsiaTheme="minorEastAsia"/>
                        <w:noProof/>
                      </w:rPr>
                    </w:pPr>
                    <w:r>
                      <w:rPr>
                        <w:noProof/>
                      </w:rPr>
                      <w:t xml:space="preserve">[94] </w:t>
                    </w:r>
                  </w:p>
                </w:tc>
                <w:tc>
                  <w:tcPr>
                    <w:tcW w:w="0" w:type="auto"/>
                    <w:hideMark/>
                  </w:tcPr>
                  <w:p w14:paraId="1C80EC26" w14:textId="64CAB840" w:rsidR="002D6947" w:rsidRPr="001A768D" w:rsidRDefault="002D6947">
                    <w:pPr>
                      <w:pStyle w:val="Bibliographie"/>
                      <w:rPr>
                        <w:rFonts w:eastAsiaTheme="minorEastAsia"/>
                        <w:noProof/>
                        <w:lang w:val="en-GB"/>
                      </w:rPr>
                    </w:pPr>
                    <w:r w:rsidRPr="001A768D">
                      <w:rPr>
                        <w:noProof/>
                        <w:lang w:val="en-GB"/>
                      </w:rPr>
                      <w:t xml:space="preserve">J. Walgren, M. Mitchell et D. Thompson, «Role of Metabolism in Drug-Induced Idiosyncratic Hepatotoxicit,» </w:t>
                    </w:r>
                    <w:r w:rsidRPr="001A768D">
                      <w:rPr>
                        <w:i/>
                        <w:iCs/>
                        <w:noProof/>
                        <w:lang w:val="en-GB"/>
                      </w:rPr>
                      <w:t xml:space="preserve">Critical REview in Toxicology, </w:t>
                    </w:r>
                    <w:r w:rsidR="001A768D">
                      <w:rPr>
                        <w:noProof/>
                        <w:lang w:val="en-GB"/>
                      </w:rPr>
                      <w:t xml:space="preserve">vol. 35, </w:t>
                    </w:r>
                    <w:r w:rsidRPr="001A768D">
                      <w:rPr>
                        <w:noProof/>
                        <w:lang w:val="en-GB"/>
                      </w:rPr>
                      <w:t xml:space="preserve">14, pp. 325-361, 2005. </w:t>
                    </w:r>
                  </w:p>
                </w:tc>
              </w:tr>
              <w:tr w:rsidR="002D6947" w:rsidRPr="004B28DB" w14:paraId="1E278817" w14:textId="77777777">
                <w:trPr>
                  <w:tblCellSpacing w:w="15" w:type="dxa"/>
                </w:trPr>
                <w:tc>
                  <w:tcPr>
                    <w:tcW w:w="50" w:type="pct"/>
                    <w:hideMark/>
                  </w:tcPr>
                  <w:p w14:paraId="4F8FD4F3" w14:textId="77777777" w:rsidR="002D6947" w:rsidRDefault="002D6947">
                    <w:pPr>
                      <w:pStyle w:val="Bibliographie"/>
                      <w:rPr>
                        <w:rFonts w:eastAsiaTheme="minorEastAsia"/>
                        <w:noProof/>
                      </w:rPr>
                    </w:pPr>
                    <w:r>
                      <w:rPr>
                        <w:noProof/>
                      </w:rPr>
                      <w:t xml:space="preserve">[95] </w:t>
                    </w:r>
                  </w:p>
                </w:tc>
                <w:tc>
                  <w:tcPr>
                    <w:tcW w:w="0" w:type="auto"/>
                    <w:hideMark/>
                  </w:tcPr>
                  <w:p w14:paraId="5BE93F20" w14:textId="5BAD0948" w:rsidR="002D6947" w:rsidRPr="001A768D" w:rsidRDefault="002D6947">
                    <w:pPr>
                      <w:pStyle w:val="Bibliographie"/>
                      <w:rPr>
                        <w:rFonts w:eastAsiaTheme="minorEastAsia"/>
                        <w:noProof/>
                        <w:lang w:val="en-GB"/>
                      </w:rPr>
                    </w:pPr>
                    <w:r w:rsidRPr="001A768D">
                      <w:rPr>
                        <w:noProof/>
                        <w:lang w:val="en-GB"/>
                      </w:rPr>
                      <w:t xml:space="preserve">R. Sison-Young, V. Lauschke, E. Johann, E. Alexandre, S. Antherieu, H. Aerts, H. Gerets, G. Labbe, D. </w:t>
                    </w:r>
                    <w:r w:rsidRPr="001A768D">
                      <w:rPr>
                        <w:noProof/>
                        <w:lang w:val="en-GB"/>
                      </w:rPr>
                      <w:lastRenderedPageBreak/>
                      <w:t xml:space="preserve">Hoët, M. Dorau, C. Schofield, C. Lovatt, J. Holder, S. Stahl, L. Richert, N. Kitteringham, R. Jones et e. al., «A multicenter assessment of single-cell models aligned to standard measures of cell health for prediction of acute hepatotoxicity,» </w:t>
                    </w:r>
                    <w:r w:rsidRPr="001A768D">
                      <w:rPr>
                        <w:i/>
                        <w:iCs/>
                        <w:noProof/>
                        <w:lang w:val="en-GB"/>
                      </w:rPr>
                      <w:t xml:space="preserve">Arch Toxicol, </w:t>
                    </w:r>
                    <w:r w:rsidR="001A768D">
                      <w:rPr>
                        <w:noProof/>
                        <w:lang w:val="en-GB"/>
                      </w:rPr>
                      <w:t xml:space="preserve">vol. 91, </w:t>
                    </w:r>
                    <w:r w:rsidRPr="001A768D">
                      <w:rPr>
                        <w:noProof/>
                        <w:lang w:val="en-GB"/>
                      </w:rPr>
                      <w:t xml:space="preserve">13, p. 1385–1400, 2017. </w:t>
                    </w:r>
                  </w:p>
                </w:tc>
              </w:tr>
              <w:tr w:rsidR="002D6947" w14:paraId="4D274CE9" w14:textId="77777777">
                <w:trPr>
                  <w:tblCellSpacing w:w="15" w:type="dxa"/>
                </w:trPr>
                <w:tc>
                  <w:tcPr>
                    <w:tcW w:w="50" w:type="pct"/>
                    <w:hideMark/>
                  </w:tcPr>
                  <w:p w14:paraId="6D9CAF8C" w14:textId="77777777" w:rsidR="002D6947" w:rsidRDefault="002D6947">
                    <w:pPr>
                      <w:pStyle w:val="Bibliographie"/>
                      <w:rPr>
                        <w:rFonts w:eastAsiaTheme="minorEastAsia"/>
                        <w:noProof/>
                      </w:rPr>
                    </w:pPr>
                    <w:r>
                      <w:rPr>
                        <w:noProof/>
                      </w:rPr>
                      <w:lastRenderedPageBreak/>
                      <w:t xml:space="preserve">[96] </w:t>
                    </w:r>
                  </w:p>
                </w:tc>
                <w:tc>
                  <w:tcPr>
                    <w:tcW w:w="0" w:type="auto"/>
                    <w:hideMark/>
                  </w:tcPr>
                  <w:p w14:paraId="2F077BDB" w14:textId="7829FA4C" w:rsidR="002D6947" w:rsidRDefault="002D6947">
                    <w:pPr>
                      <w:pStyle w:val="Bibliographie"/>
                      <w:rPr>
                        <w:rFonts w:eastAsiaTheme="minorEastAsia"/>
                        <w:noProof/>
                      </w:rPr>
                    </w:pPr>
                    <w:r w:rsidRPr="001A768D">
                      <w:rPr>
                        <w:noProof/>
                        <w:lang w:val="en-GB"/>
                      </w:rPr>
                      <w:t xml:space="preserve">N. Herzog, M. Hansen, S. Miethbauer, K. Schmidtke, U. Anderer, A. Lupp, S. Sperling, D. Seehofer, G. Damm, K. Scheibner et J. Küpper, «Primary-like human hepatocytes genetically engineered to obtain proliferation competence display hepatic differentiation characteristics in monolayer and organotypical spheroid cultures,» </w:t>
                    </w:r>
                    <w:r w:rsidRPr="001A768D">
                      <w:rPr>
                        <w:i/>
                        <w:iCs/>
                        <w:noProof/>
                        <w:lang w:val="en-GB"/>
                      </w:rPr>
                      <w:t xml:space="preserve">Cell Biol Int. </w:t>
                    </w:r>
                    <w:r>
                      <w:rPr>
                        <w:i/>
                        <w:iCs/>
                        <w:noProof/>
                      </w:rPr>
                      <w:t xml:space="preserve">*, </w:t>
                    </w:r>
                    <w:r w:rsidR="001A768D">
                      <w:rPr>
                        <w:noProof/>
                      </w:rPr>
                      <w:t xml:space="preserve">vol. 40, </w:t>
                    </w:r>
                    <w:r>
                      <w:rPr>
                        <w:noProof/>
                      </w:rPr>
                      <w:t xml:space="preserve">13, pp. 341-53, 2016 . </w:t>
                    </w:r>
                  </w:p>
                </w:tc>
              </w:tr>
              <w:tr w:rsidR="002D6947" w:rsidRPr="004B28DB" w14:paraId="0EFB4B2C" w14:textId="77777777">
                <w:trPr>
                  <w:tblCellSpacing w:w="15" w:type="dxa"/>
                </w:trPr>
                <w:tc>
                  <w:tcPr>
                    <w:tcW w:w="50" w:type="pct"/>
                    <w:hideMark/>
                  </w:tcPr>
                  <w:p w14:paraId="77BE6401" w14:textId="77777777" w:rsidR="002D6947" w:rsidRDefault="002D6947">
                    <w:pPr>
                      <w:pStyle w:val="Bibliographie"/>
                      <w:rPr>
                        <w:rFonts w:eastAsiaTheme="minorEastAsia"/>
                        <w:noProof/>
                      </w:rPr>
                    </w:pPr>
                    <w:r>
                      <w:rPr>
                        <w:noProof/>
                      </w:rPr>
                      <w:t xml:space="preserve">[97] </w:t>
                    </w:r>
                  </w:p>
                </w:tc>
                <w:tc>
                  <w:tcPr>
                    <w:tcW w:w="0" w:type="auto"/>
                    <w:hideMark/>
                  </w:tcPr>
                  <w:p w14:paraId="5E0F60A4" w14:textId="72A1C179" w:rsidR="002D6947" w:rsidRPr="001A768D" w:rsidRDefault="002D6947">
                    <w:pPr>
                      <w:pStyle w:val="Bibliographie"/>
                      <w:rPr>
                        <w:rFonts w:eastAsiaTheme="minorEastAsia"/>
                        <w:noProof/>
                        <w:lang w:val="en-GB"/>
                      </w:rPr>
                    </w:pPr>
                    <w:r w:rsidRPr="001A768D">
                      <w:rPr>
                        <w:noProof/>
                        <w:lang w:val="en-GB"/>
                      </w:rPr>
                      <w:t xml:space="preserve">C. Goldring, D. Antoine, F. Bonner, J. Crozier, C. Denning, R. Fontana, N. Hanley, D. Hay, M. Ingelman-Sundberg, S. Juhila, N. Kitteringham, B. Lima, A. Norris, A. Pridgeon, J. Ross, R. Sison Young, T. D, B. Tornesi, B. van der Water, R. Weaver et et, «Stem cell-derived models to improve mechanistic understanding and prediction of human drug induced liver injury,» </w:t>
                    </w:r>
                    <w:r w:rsidRPr="001A768D">
                      <w:rPr>
                        <w:i/>
                        <w:iCs/>
                        <w:noProof/>
                        <w:lang w:val="en-GB"/>
                      </w:rPr>
                      <w:t xml:space="preserve">Hepatology, </w:t>
                    </w:r>
                    <w:r w:rsidR="001A768D">
                      <w:rPr>
                        <w:noProof/>
                        <w:lang w:val="en-GB"/>
                      </w:rPr>
                      <w:t xml:space="preserve">vol. 65, </w:t>
                    </w:r>
                    <w:r w:rsidRPr="001A768D">
                      <w:rPr>
                        <w:noProof/>
                        <w:lang w:val="en-GB"/>
                      </w:rPr>
                      <w:t xml:space="preserve">12, pp. 710-721, 2016. </w:t>
                    </w:r>
                  </w:p>
                </w:tc>
              </w:tr>
              <w:tr w:rsidR="002D6947" w:rsidRPr="004B28DB" w14:paraId="65D0F09B" w14:textId="77777777">
                <w:trPr>
                  <w:tblCellSpacing w:w="15" w:type="dxa"/>
                </w:trPr>
                <w:tc>
                  <w:tcPr>
                    <w:tcW w:w="50" w:type="pct"/>
                    <w:hideMark/>
                  </w:tcPr>
                  <w:p w14:paraId="597F976C" w14:textId="77777777" w:rsidR="002D6947" w:rsidRDefault="002D6947">
                    <w:pPr>
                      <w:pStyle w:val="Bibliographie"/>
                      <w:rPr>
                        <w:rFonts w:eastAsiaTheme="minorEastAsia"/>
                        <w:noProof/>
                      </w:rPr>
                    </w:pPr>
                    <w:r>
                      <w:rPr>
                        <w:noProof/>
                      </w:rPr>
                      <w:t xml:space="preserve">[98] </w:t>
                    </w:r>
                  </w:p>
                </w:tc>
                <w:tc>
                  <w:tcPr>
                    <w:tcW w:w="0" w:type="auto"/>
                    <w:hideMark/>
                  </w:tcPr>
                  <w:p w14:paraId="0EE0EC2B" w14:textId="77777777" w:rsidR="002D6947" w:rsidRPr="001A768D" w:rsidRDefault="002D6947">
                    <w:pPr>
                      <w:pStyle w:val="Bibliographie"/>
                      <w:rPr>
                        <w:rFonts w:eastAsiaTheme="minorEastAsia"/>
                        <w:noProof/>
                        <w:lang w:val="en-GB"/>
                      </w:rPr>
                    </w:pPr>
                    <w:r w:rsidRPr="001A768D">
                      <w:rPr>
                        <w:noProof/>
                        <w:lang w:val="en-GB"/>
                      </w:rPr>
                      <w:t xml:space="preserve">D. Hendriks, F. P. L. Hendriks, S. Messner, W. Mortiz et M. Ingelman-Sundberg, «Hepatic 3D spheroid models for the detection and study of compounds with cholestatic liability,» </w:t>
                    </w:r>
                    <w:r w:rsidRPr="001A768D">
                      <w:rPr>
                        <w:i/>
                        <w:iCs/>
                        <w:noProof/>
                        <w:lang w:val="en-GB"/>
                      </w:rPr>
                      <w:t xml:space="preserve">Scientific Reports, </w:t>
                    </w:r>
                    <w:r w:rsidRPr="001A768D">
                      <w:rPr>
                        <w:noProof/>
                        <w:lang w:val="en-GB"/>
                      </w:rPr>
                      <w:t xml:space="preserve">vol. 6, p. Article number: 35434 , 2016. </w:t>
                    </w:r>
                  </w:p>
                </w:tc>
              </w:tr>
              <w:tr w:rsidR="002D6947" w:rsidRPr="004B28DB" w14:paraId="616D030F" w14:textId="77777777">
                <w:trPr>
                  <w:tblCellSpacing w:w="15" w:type="dxa"/>
                </w:trPr>
                <w:tc>
                  <w:tcPr>
                    <w:tcW w:w="50" w:type="pct"/>
                    <w:hideMark/>
                  </w:tcPr>
                  <w:p w14:paraId="1BAB52FC" w14:textId="77777777" w:rsidR="002D6947" w:rsidRDefault="002D6947">
                    <w:pPr>
                      <w:pStyle w:val="Bibliographie"/>
                      <w:rPr>
                        <w:rFonts w:eastAsiaTheme="minorEastAsia"/>
                        <w:noProof/>
                      </w:rPr>
                    </w:pPr>
                    <w:r>
                      <w:rPr>
                        <w:noProof/>
                      </w:rPr>
                      <w:t xml:space="preserve">[99] </w:t>
                    </w:r>
                  </w:p>
                </w:tc>
                <w:tc>
                  <w:tcPr>
                    <w:tcW w:w="0" w:type="auto"/>
                    <w:hideMark/>
                  </w:tcPr>
                  <w:p w14:paraId="169B5DDF" w14:textId="34BC372A" w:rsidR="002D6947" w:rsidRPr="001A768D" w:rsidRDefault="002D6947">
                    <w:pPr>
                      <w:pStyle w:val="Bibliographie"/>
                      <w:rPr>
                        <w:rFonts w:eastAsiaTheme="minorEastAsia"/>
                        <w:noProof/>
                        <w:lang w:val="en-GB"/>
                      </w:rPr>
                    </w:pPr>
                    <w:r w:rsidRPr="001A768D">
                      <w:rPr>
                        <w:noProof/>
                        <w:lang w:val="en-GB"/>
                      </w:rPr>
                      <w:t xml:space="preserve">G. Goldring, A. Norris, N. Kitteringham, M. Aleo, D. Antoine, J. Heslop, B. A. Howell, M. Ingelman-Sundberg, R. Kia, L. Kamalian, S. Koerbe et e. al., «Mechanism-Based Markers of Drug-Induced Liver Injury to Improve the Physiological Relevance and Predictivity of In Vitro Models,» </w:t>
                    </w:r>
                    <w:r w:rsidRPr="001A768D">
                      <w:rPr>
                        <w:i/>
                        <w:iCs/>
                        <w:noProof/>
                        <w:lang w:val="en-GB"/>
                      </w:rPr>
                      <w:t xml:space="preserve">Applied in vitro toxicology, </w:t>
                    </w:r>
                    <w:r w:rsidR="00537EEF">
                      <w:rPr>
                        <w:noProof/>
                        <w:lang w:val="en-GB"/>
                      </w:rPr>
                      <w:t xml:space="preserve">vol. 1, </w:t>
                    </w:r>
                    <w:r w:rsidRPr="001A768D">
                      <w:rPr>
                        <w:noProof/>
                        <w:lang w:val="en-GB"/>
                      </w:rPr>
                      <w:t xml:space="preserve">13, pp. 175-187, 2015. </w:t>
                    </w:r>
                  </w:p>
                </w:tc>
              </w:tr>
              <w:tr w:rsidR="002D6947" w:rsidRPr="004B28DB" w14:paraId="37E1B3A9" w14:textId="77777777">
                <w:trPr>
                  <w:tblCellSpacing w:w="15" w:type="dxa"/>
                </w:trPr>
                <w:tc>
                  <w:tcPr>
                    <w:tcW w:w="50" w:type="pct"/>
                    <w:hideMark/>
                  </w:tcPr>
                  <w:p w14:paraId="2E1B487E" w14:textId="77777777" w:rsidR="002D6947" w:rsidRDefault="002D6947">
                    <w:pPr>
                      <w:pStyle w:val="Bibliographie"/>
                      <w:rPr>
                        <w:rFonts w:eastAsiaTheme="minorEastAsia"/>
                        <w:noProof/>
                      </w:rPr>
                    </w:pPr>
                    <w:r>
                      <w:rPr>
                        <w:noProof/>
                      </w:rPr>
                      <w:t xml:space="preserve">[100] </w:t>
                    </w:r>
                  </w:p>
                </w:tc>
                <w:tc>
                  <w:tcPr>
                    <w:tcW w:w="0" w:type="auto"/>
                    <w:hideMark/>
                  </w:tcPr>
                  <w:p w14:paraId="67B8CEC8" w14:textId="77777777" w:rsidR="002D6947" w:rsidRPr="001A768D" w:rsidRDefault="002D6947">
                    <w:pPr>
                      <w:pStyle w:val="Bibliographie"/>
                      <w:rPr>
                        <w:rFonts w:eastAsiaTheme="minorEastAsia"/>
                        <w:noProof/>
                        <w:lang w:val="en-GB"/>
                      </w:rPr>
                    </w:pPr>
                    <w:r w:rsidRPr="001A768D">
                      <w:rPr>
                        <w:noProof/>
                        <w:lang w:val="en-GB"/>
                      </w:rPr>
                      <w:t xml:space="preserve">M. Chen, H. Bisgin, L. Tong, H. Hong, H. Fang, J. Borlak et W. Tong, «Toward predictive models for drug-induced liver injury in humans: are we there yet?,» </w:t>
                    </w:r>
                    <w:r w:rsidRPr="001A768D">
                      <w:rPr>
                        <w:i/>
                        <w:iCs/>
                        <w:noProof/>
                        <w:lang w:val="en-GB"/>
                      </w:rPr>
                      <w:t xml:space="preserve">Biomarkers Med., </w:t>
                    </w:r>
                    <w:r w:rsidRPr="001A768D">
                      <w:rPr>
                        <w:noProof/>
                        <w:lang w:val="en-GB"/>
                      </w:rPr>
                      <w:t xml:space="preserve">vol. 8, pp. 201-213, 2014. </w:t>
                    </w:r>
                  </w:p>
                </w:tc>
              </w:tr>
              <w:tr w:rsidR="002D6947" w:rsidRPr="004B28DB" w14:paraId="79506C4A" w14:textId="77777777">
                <w:trPr>
                  <w:tblCellSpacing w:w="15" w:type="dxa"/>
                </w:trPr>
                <w:tc>
                  <w:tcPr>
                    <w:tcW w:w="50" w:type="pct"/>
                    <w:hideMark/>
                  </w:tcPr>
                  <w:p w14:paraId="68B62E89" w14:textId="77777777" w:rsidR="002D6947" w:rsidRDefault="002D6947">
                    <w:pPr>
                      <w:pStyle w:val="Bibliographie"/>
                      <w:rPr>
                        <w:rFonts w:eastAsiaTheme="minorEastAsia"/>
                        <w:noProof/>
                      </w:rPr>
                    </w:pPr>
                    <w:r>
                      <w:rPr>
                        <w:noProof/>
                      </w:rPr>
                      <w:t xml:space="preserve">[101] </w:t>
                    </w:r>
                  </w:p>
                </w:tc>
                <w:tc>
                  <w:tcPr>
                    <w:tcW w:w="0" w:type="auto"/>
                    <w:hideMark/>
                  </w:tcPr>
                  <w:p w14:paraId="30243D4C" w14:textId="77777777" w:rsidR="002D6947" w:rsidRPr="001A768D" w:rsidRDefault="002D6947">
                    <w:pPr>
                      <w:pStyle w:val="Bibliographie"/>
                      <w:rPr>
                        <w:rFonts w:eastAsiaTheme="minorEastAsia"/>
                        <w:noProof/>
                        <w:lang w:val="en-GB"/>
                      </w:rPr>
                    </w:pPr>
                    <w:r w:rsidRPr="001A768D">
                      <w:rPr>
                        <w:noProof/>
                        <w:lang w:val="en-GB"/>
                      </w:rPr>
                      <w:t xml:space="preserve">S. Oda, K. Matsuo, A. Nakajima et T. Yokoi, «A novel cell-based assay for the evaluation of immune- and inflammatory-related gene expression as biomarkers for the risk assessment of drug-induced liver injury.,» </w:t>
                    </w:r>
                    <w:r w:rsidRPr="001A768D">
                      <w:rPr>
                        <w:i/>
                        <w:iCs/>
                        <w:noProof/>
                        <w:lang w:val="en-GB"/>
                      </w:rPr>
                      <w:t xml:space="preserve">Toxicology letters, </w:t>
                    </w:r>
                    <w:r w:rsidRPr="001A768D">
                      <w:rPr>
                        <w:noProof/>
                        <w:lang w:val="en-GB"/>
                      </w:rPr>
                      <w:t xml:space="preserve">vol. 241, pp. 60-70, 2016. </w:t>
                    </w:r>
                  </w:p>
                </w:tc>
              </w:tr>
              <w:tr w:rsidR="002D6947" w:rsidRPr="004B28DB" w14:paraId="5AD283A9" w14:textId="77777777">
                <w:trPr>
                  <w:tblCellSpacing w:w="15" w:type="dxa"/>
                </w:trPr>
                <w:tc>
                  <w:tcPr>
                    <w:tcW w:w="50" w:type="pct"/>
                    <w:hideMark/>
                  </w:tcPr>
                  <w:p w14:paraId="1D57515D" w14:textId="77777777" w:rsidR="002D6947" w:rsidRDefault="002D6947">
                    <w:pPr>
                      <w:pStyle w:val="Bibliographie"/>
                      <w:rPr>
                        <w:rFonts w:eastAsiaTheme="minorEastAsia"/>
                        <w:noProof/>
                      </w:rPr>
                    </w:pPr>
                    <w:r>
                      <w:rPr>
                        <w:noProof/>
                      </w:rPr>
                      <w:t xml:space="preserve">[102] </w:t>
                    </w:r>
                  </w:p>
                </w:tc>
                <w:tc>
                  <w:tcPr>
                    <w:tcW w:w="0" w:type="auto"/>
                    <w:hideMark/>
                  </w:tcPr>
                  <w:p w14:paraId="39D927A4" w14:textId="66EC991A" w:rsidR="002D6947" w:rsidRPr="001A768D" w:rsidRDefault="002D6947">
                    <w:pPr>
                      <w:pStyle w:val="Bibliographie"/>
                      <w:rPr>
                        <w:rFonts w:eastAsiaTheme="minorEastAsia"/>
                        <w:noProof/>
                        <w:lang w:val="en-GB"/>
                      </w:rPr>
                    </w:pPr>
                    <w:r w:rsidRPr="001A768D">
                      <w:rPr>
                        <w:noProof/>
                        <w:lang w:val="en-GB"/>
                      </w:rPr>
                      <w:t xml:space="preserve">T. Usui, M. Mise, T. Hashizume, M. Yabuki et S. Komuro, «Evaluation of the potential for drug-induced liver injury based on in vitro covalent binding to human liver proteins,» </w:t>
                    </w:r>
                    <w:r w:rsidRPr="001A768D">
                      <w:rPr>
                        <w:i/>
                        <w:iCs/>
                        <w:noProof/>
                        <w:lang w:val="en-GB"/>
                      </w:rPr>
                      <w:t xml:space="preserve">Drug Metab Dispos, </w:t>
                    </w:r>
                    <w:r w:rsidR="001A768D">
                      <w:rPr>
                        <w:noProof/>
                        <w:lang w:val="en-GB"/>
                      </w:rPr>
                      <w:t xml:space="preserve">vol. 37, </w:t>
                    </w:r>
                    <w:r w:rsidRPr="001A768D">
                      <w:rPr>
                        <w:noProof/>
                        <w:lang w:val="en-GB"/>
                      </w:rPr>
                      <w:t xml:space="preserve">112, pp. 2383-92, 2009. </w:t>
                    </w:r>
                  </w:p>
                </w:tc>
              </w:tr>
              <w:tr w:rsidR="002D6947" w:rsidRPr="004B28DB" w14:paraId="35FC0586" w14:textId="77777777">
                <w:trPr>
                  <w:tblCellSpacing w:w="15" w:type="dxa"/>
                </w:trPr>
                <w:tc>
                  <w:tcPr>
                    <w:tcW w:w="50" w:type="pct"/>
                    <w:hideMark/>
                  </w:tcPr>
                  <w:p w14:paraId="5911D65D" w14:textId="77777777" w:rsidR="002D6947" w:rsidRDefault="002D6947">
                    <w:pPr>
                      <w:pStyle w:val="Bibliographie"/>
                      <w:rPr>
                        <w:rFonts w:eastAsiaTheme="minorEastAsia"/>
                        <w:noProof/>
                      </w:rPr>
                    </w:pPr>
                    <w:r>
                      <w:rPr>
                        <w:noProof/>
                      </w:rPr>
                      <w:t xml:space="preserve">[103] </w:t>
                    </w:r>
                  </w:p>
                </w:tc>
                <w:tc>
                  <w:tcPr>
                    <w:tcW w:w="0" w:type="auto"/>
                    <w:hideMark/>
                  </w:tcPr>
                  <w:p w14:paraId="1C59A42D" w14:textId="1291534C" w:rsidR="002D6947" w:rsidRPr="001A768D" w:rsidRDefault="002D6947">
                    <w:pPr>
                      <w:pStyle w:val="Bibliographie"/>
                      <w:rPr>
                        <w:rFonts w:eastAsiaTheme="minorEastAsia"/>
                        <w:noProof/>
                        <w:lang w:val="en-GB"/>
                      </w:rPr>
                    </w:pPr>
                    <w:r w:rsidRPr="001A768D">
                      <w:rPr>
                        <w:noProof/>
                        <w:lang w:val="en-GB"/>
                      </w:rPr>
                      <w:t xml:space="preserve">D. Naisbitt, E. Yang, M. Alhaidari, N. Berry, A. Lawrenson, J. Farrell, P. Martin, K. Strebel, A. Owen, M. Pye, N. French, S. Clarke, P. O'Neill et B. Park, «Towards depersonalized abacavir therapy: chemical modification eliminates HLA-B*57 : 01-restricted CD8+ T-cell activation,» </w:t>
                    </w:r>
                    <w:r w:rsidRPr="001A768D">
                      <w:rPr>
                        <w:i/>
                        <w:iCs/>
                        <w:noProof/>
                        <w:lang w:val="en-GB"/>
                      </w:rPr>
                      <w:t xml:space="preserve">AIDS, </w:t>
                    </w:r>
                    <w:r w:rsidR="001A768D">
                      <w:rPr>
                        <w:noProof/>
                        <w:lang w:val="en-GB"/>
                      </w:rPr>
                      <w:t xml:space="preserve">vol. 29, </w:t>
                    </w:r>
                    <w:r w:rsidRPr="001A768D">
                      <w:rPr>
                        <w:noProof/>
                        <w:lang w:val="en-GB"/>
                      </w:rPr>
                      <w:t xml:space="preserve">118, pp. 2385-95, 2015. </w:t>
                    </w:r>
                  </w:p>
                </w:tc>
              </w:tr>
              <w:tr w:rsidR="002D6947" w:rsidRPr="004B28DB" w14:paraId="6C5DEFE8" w14:textId="77777777">
                <w:trPr>
                  <w:tblCellSpacing w:w="15" w:type="dxa"/>
                </w:trPr>
                <w:tc>
                  <w:tcPr>
                    <w:tcW w:w="50" w:type="pct"/>
                    <w:hideMark/>
                  </w:tcPr>
                  <w:p w14:paraId="206CC1D8" w14:textId="77777777" w:rsidR="002D6947" w:rsidRDefault="002D6947">
                    <w:pPr>
                      <w:pStyle w:val="Bibliographie"/>
                      <w:rPr>
                        <w:rFonts w:eastAsiaTheme="minorEastAsia"/>
                        <w:noProof/>
                      </w:rPr>
                    </w:pPr>
                    <w:r>
                      <w:rPr>
                        <w:noProof/>
                      </w:rPr>
                      <w:t xml:space="preserve">[104] </w:t>
                    </w:r>
                  </w:p>
                </w:tc>
                <w:tc>
                  <w:tcPr>
                    <w:tcW w:w="0" w:type="auto"/>
                    <w:hideMark/>
                  </w:tcPr>
                  <w:p w14:paraId="07553EFC" w14:textId="77777777" w:rsidR="002D6947" w:rsidRPr="001A768D" w:rsidRDefault="002D6947">
                    <w:pPr>
                      <w:pStyle w:val="Bibliographie"/>
                      <w:rPr>
                        <w:rFonts w:eastAsiaTheme="minorEastAsia"/>
                        <w:noProof/>
                        <w:lang w:val="en-GB"/>
                      </w:rPr>
                    </w:pPr>
                    <w:r w:rsidRPr="001A768D">
                      <w:rPr>
                        <w:noProof/>
                        <w:lang w:val="en-GB"/>
                      </w:rPr>
                      <w:t xml:space="preserve">J.-Y. Goh, R. Weaver, L. Dixon, N. Platt et R. Roberts, «Development and use of in vitro alternatives to animal testing by the pharmaceutical industry,» </w:t>
                    </w:r>
                    <w:r w:rsidRPr="001A768D">
                      <w:rPr>
                        <w:i/>
                        <w:iCs/>
                        <w:noProof/>
                        <w:lang w:val="en-GB"/>
                      </w:rPr>
                      <w:t xml:space="preserve">Toxicology Research, </w:t>
                    </w:r>
                    <w:r w:rsidRPr="001A768D">
                      <w:rPr>
                        <w:noProof/>
                        <w:lang w:val="en-GB"/>
                      </w:rPr>
                      <w:t xml:space="preserve">vol. 4, pp. 1297-1307, 2015. </w:t>
                    </w:r>
                  </w:p>
                </w:tc>
              </w:tr>
              <w:tr w:rsidR="002D6947" w14:paraId="7479E92D" w14:textId="77777777">
                <w:trPr>
                  <w:tblCellSpacing w:w="15" w:type="dxa"/>
                </w:trPr>
                <w:tc>
                  <w:tcPr>
                    <w:tcW w:w="50" w:type="pct"/>
                    <w:hideMark/>
                  </w:tcPr>
                  <w:p w14:paraId="6AC9977B" w14:textId="77777777" w:rsidR="002D6947" w:rsidRDefault="002D6947">
                    <w:pPr>
                      <w:pStyle w:val="Bibliographie"/>
                      <w:rPr>
                        <w:rFonts w:eastAsiaTheme="minorEastAsia"/>
                        <w:noProof/>
                      </w:rPr>
                    </w:pPr>
                    <w:r>
                      <w:rPr>
                        <w:noProof/>
                      </w:rPr>
                      <w:t xml:space="preserve">[105] </w:t>
                    </w:r>
                  </w:p>
                </w:tc>
                <w:tc>
                  <w:tcPr>
                    <w:tcW w:w="0" w:type="auto"/>
                    <w:hideMark/>
                  </w:tcPr>
                  <w:p w14:paraId="52C541CB" w14:textId="77777777" w:rsidR="002D6947" w:rsidRDefault="002D6947">
                    <w:pPr>
                      <w:pStyle w:val="Bibliographie"/>
                      <w:rPr>
                        <w:rFonts w:eastAsiaTheme="minorEastAsia"/>
                        <w:noProof/>
                      </w:rPr>
                    </w:pPr>
                    <w:r>
                      <w:rPr>
                        <w:noProof/>
                      </w:rPr>
                      <w:t xml:space="preserve">T. Riss, R. Moravec, A. Niles, S. Duellman, H. Benink et T. Worzella, «Cell Viability Assays,» chez </w:t>
                    </w:r>
                    <w:r>
                      <w:rPr>
                        <w:i/>
                        <w:iCs/>
                        <w:noProof/>
                      </w:rPr>
                      <w:t>Assay Guidance Manual</w:t>
                    </w:r>
                    <w:r>
                      <w:rPr>
                        <w:noProof/>
                      </w:rPr>
                      <w:t xml:space="preserve">, G. Sittampalam, N. Coussens, H. Nelson et e. al, Éds., MD, Bethesda, 2016. </w:t>
                    </w:r>
                  </w:p>
                </w:tc>
              </w:tr>
              <w:tr w:rsidR="002D6947" w:rsidRPr="004B28DB" w14:paraId="41716A60" w14:textId="77777777">
                <w:trPr>
                  <w:tblCellSpacing w:w="15" w:type="dxa"/>
                </w:trPr>
                <w:tc>
                  <w:tcPr>
                    <w:tcW w:w="50" w:type="pct"/>
                    <w:hideMark/>
                  </w:tcPr>
                  <w:p w14:paraId="03F35ACA" w14:textId="77777777" w:rsidR="002D6947" w:rsidRDefault="002D6947">
                    <w:pPr>
                      <w:pStyle w:val="Bibliographie"/>
                      <w:rPr>
                        <w:rFonts w:eastAsiaTheme="minorEastAsia"/>
                        <w:noProof/>
                      </w:rPr>
                    </w:pPr>
                    <w:r>
                      <w:rPr>
                        <w:noProof/>
                      </w:rPr>
                      <w:t xml:space="preserve">[106] </w:t>
                    </w:r>
                  </w:p>
                </w:tc>
                <w:tc>
                  <w:tcPr>
                    <w:tcW w:w="0" w:type="auto"/>
                    <w:hideMark/>
                  </w:tcPr>
                  <w:p w14:paraId="29EE9907" w14:textId="2854CEA1" w:rsidR="002D6947" w:rsidRPr="001A768D" w:rsidRDefault="002D6947">
                    <w:pPr>
                      <w:pStyle w:val="Bibliographie"/>
                      <w:rPr>
                        <w:rFonts w:eastAsiaTheme="minorEastAsia"/>
                        <w:noProof/>
                        <w:lang w:val="en-GB"/>
                      </w:rPr>
                    </w:pPr>
                    <w:r w:rsidRPr="001A768D">
                      <w:rPr>
                        <w:noProof/>
                        <w:lang w:val="en-GB"/>
                      </w:rPr>
                      <w:t xml:space="preserve">S. Bopp et T. Lettieri, «Comparison of four differnt colorimetric and fluorometric cytotoxicity assays in a zebrfish liver cell line.,» </w:t>
                    </w:r>
                    <w:r w:rsidRPr="001A768D">
                      <w:rPr>
                        <w:i/>
                        <w:iCs/>
                        <w:noProof/>
                        <w:lang w:val="en-GB"/>
                      </w:rPr>
                      <w:t xml:space="preserve">BMC pharmacology, </w:t>
                    </w:r>
                    <w:r w:rsidR="001A768D">
                      <w:rPr>
                        <w:noProof/>
                        <w:lang w:val="en-GB"/>
                      </w:rPr>
                      <w:t xml:space="preserve">vol. 8, </w:t>
                    </w:r>
                    <w:r w:rsidRPr="001A768D">
                      <w:rPr>
                        <w:noProof/>
                        <w:lang w:val="en-GB"/>
                      </w:rPr>
                      <w:t xml:space="preserve">11, p. 8, 2008. </w:t>
                    </w:r>
                  </w:p>
                </w:tc>
              </w:tr>
              <w:tr w:rsidR="002D6947" w:rsidRPr="004B28DB" w14:paraId="22E4167D" w14:textId="77777777">
                <w:trPr>
                  <w:tblCellSpacing w:w="15" w:type="dxa"/>
                </w:trPr>
                <w:tc>
                  <w:tcPr>
                    <w:tcW w:w="50" w:type="pct"/>
                    <w:hideMark/>
                  </w:tcPr>
                  <w:p w14:paraId="370AADA2" w14:textId="77777777" w:rsidR="002D6947" w:rsidRDefault="002D6947">
                    <w:pPr>
                      <w:pStyle w:val="Bibliographie"/>
                      <w:rPr>
                        <w:rFonts w:eastAsiaTheme="minorEastAsia"/>
                        <w:noProof/>
                      </w:rPr>
                    </w:pPr>
                    <w:r>
                      <w:rPr>
                        <w:noProof/>
                      </w:rPr>
                      <w:t xml:space="preserve">[107] </w:t>
                    </w:r>
                  </w:p>
                </w:tc>
                <w:tc>
                  <w:tcPr>
                    <w:tcW w:w="0" w:type="auto"/>
                    <w:hideMark/>
                  </w:tcPr>
                  <w:p w14:paraId="2FB3E1A4" w14:textId="77777777" w:rsidR="002D6947" w:rsidRPr="001A768D" w:rsidRDefault="002D6947">
                    <w:pPr>
                      <w:pStyle w:val="Bibliographie"/>
                      <w:rPr>
                        <w:rFonts w:eastAsiaTheme="minorEastAsia"/>
                        <w:noProof/>
                        <w:lang w:val="en-GB"/>
                      </w:rPr>
                    </w:pPr>
                    <w:r w:rsidRPr="001A768D">
                      <w:rPr>
                        <w:noProof/>
                        <w:lang w:val="en-GB"/>
                      </w:rPr>
                      <w:t xml:space="preserve">E. Borenfreund et J. Puerner, «Toxicity determined in vitro by morphological alterations and Neutral Red absorption.,» </w:t>
                    </w:r>
                    <w:r w:rsidRPr="001A768D">
                      <w:rPr>
                        <w:i/>
                        <w:iCs/>
                        <w:noProof/>
                        <w:lang w:val="en-GB"/>
                      </w:rPr>
                      <w:t xml:space="preserve">Toxicology Lett, </w:t>
                    </w:r>
                    <w:r w:rsidRPr="001A768D">
                      <w:rPr>
                        <w:noProof/>
                        <w:lang w:val="en-GB"/>
                      </w:rPr>
                      <w:t xml:space="preserve">vol. 24, pp. 119-124, 1985. </w:t>
                    </w:r>
                  </w:p>
                </w:tc>
              </w:tr>
              <w:tr w:rsidR="002D6947" w:rsidRPr="004B28DB" w14:paraId="52AB51C1" w14:textId="77777777">
                <w:trPr>
                  <w:tblCellSpacing w:w="15" w:type="dxa"/>
                </w:trPr>
                <w:tc>
                  <w:tcPr>
                    <w:tcW w:w="50" w:type="pct"/>
                    <w:hideMark/>
                  </w:tcPr>
                  <w:p w14:paraId="233F7EF2" w14:textId="77777777" w:rsidR="002D6947" w:rsidRDefault="002D6947">
                    <w:pPr>
                      <w:pStyle w:val="Bibliographie"/>
                      <w:rPr>
                        <w:rFonts w:eastAsiaTheme="minorEastAsia"/>
                        <w:noProof/>
                      </w:rPr>
                    </w:pPr>
                    <w:r>
                      <w:rPr>
                        <w:noProof/>
                      </w:rPr>
                      <w:t xml:space="preserve">[108] </w:t>
                    </w:r>
                  </w:p>
                </w:tc>
                <w:tc>
                  <w:tcPr>
                    <w:tcW w:w="0" w:type="auto"/>
                    <w:hideMark/>
                  </w:tcPr>
                  <w:p w14:paraId="55F5D2F8" w14:textId="154569A5" w:rsidR="002D6947" w:rsidRPr="001A768D" w:rsidRDefault="002D6947">
                    <w:pPr>
                      <w:pStyle w:val="Bibliographie"/>
                      <w:rPr>
                        <w:rFonts w:eastAsiaTheme="minorEastAsia"/>
                        <w:noProof/>
                        <w:lang w:val="en-GB"/>
                      </w:rPr>
                    </w:pPr>
                    <w:r w:rsidRPr="001A768D">
                      <w:rPr>
                        <w:noProof/>
                        <w:lang w:val="en-GB"/>
                      </w:rPr>
                      <w:t xml:space="preserve">F. Atienzar, H. Gerets, K. Tilmant, G. Toussaint et S. Dhalluin, «Evaluation of Impedance-Based Label-Free Technology as a Tool for Pharmacology and Toxicology Investigations,» </w:t>
                    </w:r>
                    <w:r w:rsidRPr="001A768D">
                      <w:rPr>
                        <w:i/>
                        <w:iCs/>
                        <w:noProof/>
                        <w:lang w:val="en-GB"/>
                      </w:rPr>
                      <w:t xml:space="preserve">Biosensors , </w:t>
                    </w:r>
                    <w:r w:rsidR="001A768D">
                      <w:rPr>
                        <w:noProof/>
                        <w:lang w:val="en-GB"/>
                      </w:rPr>
                      <w:t xml:space="preserve">vol. 3, </w:t>
                    </w:r>
                    <w:r w:rsidRPr="001A768D">
                      <w:rPr>
                        <w:noProof/>
                        <w:lang w:val="en-GB"/>
                      </w:rPr>
                      <w:t xml:space="preserve">11, pp. 132-156, 2013. </w:t>
                    </w:r>
                  </w:p>
                </w:tc>
              </w:tr>
              <w:tr w:rsidR="002D6947" w:rsidRPr="004B28DB" w14:paraId="6099739C" w14:textId="77777777">
                <w:trPr>
                  <w:tblCellSpacing w:w="15" w:type="dxa"/>
                </w:trPr>
                <w:tc>
                  <w:tcPr>
                    <w:tcW w:w="50" w:type="pct"/>
                    <w:hideMark/>
                  </w:tcPr>
                  <w:p w14:paraId="116C34E7" w14:textId="77777777" w:rsidR="002D6947" w:rsidRDefault="002D6947">
                    <w:pPr>
                      <w:pStyle w:val="Bibliographie"/>
                      <w:rPr>
                        <w:rFonts w:eastAsiaTheme="minorEastAsia"/>
                        <w:noProof/>
                      </w:rPr>
                    </w:pPr>
                    <w:r>
                      <w:rPr>
                        <w:noProof/>
                      </w:rPr>
                      <w:t xml:space="preserve">[109] </w:t>
                    </w:r>
                  </w:p>
                </w:tc>
                <w:tc>
                  <w:tcPr>
                    <w:tcW w:w="0" w:type="auto"/>
                    <w:hideMark/>
                  </w:tcPr>
                  <w:p w14:paraId="7F3648F2" w14:textId="79880A6E" w:rsidR="002D6947" w:rsidRPr="001A768D" w:rsidRDefault="002D6947">
                    <w:pPr>
                      <w:pStyle w:val="Bibliographie"/>
                      <w:rPr>
                        <w:rFonts w:eastAsiaTheme="minorEastAsia"/>
                        <w:noProof/>
                        <w:lang w:val="en-GB"/>
                      </w:rPr>
                    </w:pPr>
                    <w:r w:rsidRPr="001A768D">
                      <w:rPr>
                        <w:noProof/>
                        <w:lang w:val="en-GB"/>
                      </w:rPr>
                      <w:t xml:space="preserve">S. Park, Y. Choi et B. Lee, «in vitro validation of drug-induced phospholipidosis,» </w:t>
                    </w:r>
                    <w:r w:rsidRPr="001A768D">
                      <w:rPr>
                        <w:i/>
                        <w:iCs/>
                        <w:noProof/>
                        <w:lang w:val="en-GB"/>
                      </w:rPr>
                      <w:t xml:space="preserve">J. Toxicol Sci., </w:t>
                    </w:r>
                    <w:r w:rsidR="001A768D">
                      <w:rPr>
                        <w:noProof/>
                        <w:lang w:val="en-GB"/>
                      </w:rPr>
                      <w:t xml:space="preserve">vol. 37, </w:t>
                    </w:r>
                    <w:r w:rsidRPr="001A768D">
                      <w:rPr>
                        <w:noProof/>
                        <w:lang w:val="en-GB"/>
                      </w:rPr>
                      <w:t xml:space="preserve">12, pp. 261-267, 2012. </w:t>
                    </w:r>
                  </w:p>
                </w:tc>
              </w:tr>
              <w:tr w:rsidR="002D6947" w:rsidRPr="004B28DB" w14:paraId="5273865A" w14:textId="77777777">
                <w:trPr>
                  <w:tblCellSpacing w:w="15" w:type="dxa"/>
                </w:trPr>
                <w:tc>
                  <w:tcPr>
                    <w:tcW w:w="50" w:type="pct"/>
                    <w:hideMark/>
                  </w:tcPr>
                  <w:p w14:paraId="79F4FFB6" w14:textId="77777777" w:rsidR="002D6947" w:rsidRDefault="002D6947">
                    <w:pPr>
                      <w:pStyle w:val="Bibliographie"/>
                      <w:rPr>
                        <w:rFonts w:eastAsiaTheme="minorEastAsia"/>
                        <w:noProof/>
                      </w:rPr>
                    </w:pPr>
                    <w:r>
                      <w:rPr>
                        <w:noProof/>
                      </w:rPr>
                      <w:t xml:space="preserve">[110] </w:t>
                    </w:r>
                  </w:p>
                </w:tc>
                <w:tc>
                  <w:tcPr>
                    <w:tcW w:w="0" w:type="auto"/>
                    <w:hideMark/>
                  </w:tcPr>
                  <w:p w14:paraId="4702D35E" w14:textId="77777777" w:rsidR="002D6947" w:rsidRPr="001A768D" w:rsidRDefault="002D6947">
                    <w:pPr>
                      <w:pStyle w:val="Bibliographie"/>
                      <w:rPr>
                        <w:rFonts w:eastAsiaTheme="minorEastAsia"/>
                        <w:noProof/>
                        <w:lang w:val="en-GB"/>
                      </w:rPr>
                    </w:pPr>
                    <w:r w:rsidRPr="001A768D">
                      <w:rPr>
                        <w:noProof/>
                        <w:lang w:val="en-GB"/>
                      </w:rPr>
                      <w:t xml:space="preserve">C. Goldring, R. Weaver, B. Kramer, O. A. Klingmueller, C. J. Van der Water, A. Guillouzo, D. Naisbitt, N. French, N. Kitteringham, C. Pridgeon, P. Knolle, J. Sidaway, R. Sison-Young, L. Kamalian, A. Mercer, L. Faulkner, R. Pieters et e. al., «Drug-Induced Liver Injury: Mechanism-Informed Prediction in Drug,» chez </w:t>
                    </w:r>
                    <w:r w:rsidRPr="001A768D">
                      <w:rPr>
                        <w:i/>
                        <w:iCs/>
                        <w:noProof/>
                        <w:lang w:val="en-GB"/>
                      </w:rPr>
                      <w:t>Comprehensive Medicinal Chemistry, 3rd Ed</w:t>
                    </w:r>
                    <w:r w:rsidRPr="001A768D">
                      <w:rPr>
                        <w:noProof/>
                        <w:lang w:val="en-GB"/>
                      </w:rPr>
                      <w:t>, Oxford, Elsevier, 2017, pp. 1-18.</w:t>
                    </w:r>
                  </w:p>
                </w:tc>
              </w:tr>
              <w:tr w:rsidR="002D6947" w:rsidRPr="004B28DB" w14:paraId="32BE4987" w14:textId="77777777">
                <w:trPr>
                  <w:tblCellSpacing w:w="15" w:type="dxa"/>
                </w:trPr>
                <w:tc>
                  <w:tcPr>
                    <w:tcW w:w="50" w:type="pct"/>
                    <w:hideMark/>
                  </w:tcPr>
                  <w:p w14:paraId="34F6164B" w14:textId="77777777" w:rsidR="002D6947" w:rsidRDefault="002D6947">
                    <w:pPr>
                      <w:pStyle w:val="Bibliographie"/>
                      <w:rPr>
                        <w:rFonts w:eastAsiaTheme="minorEastAsia"/>
                        <w:noProof/>
                      </w:rPr>
                    </w:pPr>
                    <w:r>
                      <w:rPr>
                        <w:noProof/>
                      </w:rPr>
                      <w:t xml:space="preserve">[111] </w:t>
                    </w:r>
                  </w:p>
                </w:tc>
                <w:tc>
                  <w:tcPr>
                    <w:tcW w:w="0" w:type="auto"/>
                    <w:hideMark/>
                  </w:tcPr>
                  <w:p w14:paraId="5FC20ECA" w14:textId="0CCF0FF1" w:rsidR="002D6947" w:rsidRPr="001A768D" w:rsidRDefault="002D6947">
                    <w:pPr>
                      <w:pStyle w:val="Bibliographie"/>
                      <w:rPr>
                        <w:rFonts w:eastAsiaTheme="minorEastAsia"/>
                        <w:noProof/>
                        <w:lang w:val="en-GB"/>
                      </w:rPr>
                    </w:pPr>
                    <w:r w:rsidRPr="001A768D">
                      <w:rPr>
                        <w:noProof/>
                        <w:lang w:val="en-GB"/>
                      </w:rPr>
                      <w:t xml:space="preserve">J. Xu, P. Henstock, M. Dunn, A. Smith, J. Chabot et D. de Graaf, «Cellular imaging predictions of clinical drug-induced liver injury,» </w:t>
                    </w:r>
                    <w:r w:rsidRPr="001A768D">
                      <w:rPr>
                        <w:i/>
                        <w:iCs/>
                        <w:noProof/>
                        <w:lang w:val="en-GB"/>
                      </w:rPr>
                      <w:t xml:space="preserve">Toxicol Sci., </w:t>
                    </w:r>
                    <w:r w:rsidR="001A768D">
                      <w:rPr>
                        <w:noProof/>
                        <w:lang w:val="en-GB"/>
                      </w:rPr>
                      <w:t xml:space="preserve">vol. 105, </w:t>
                    </w:r>
                    <w:r w:rsidRPr="001A768D">
                      <w:rPr>
                        <w:noProof/>
                        <w:lang w:val="en-GB"/>
                      </w:rPr>
                      <w:t xml:space="preserve">11, pp. 97-105, 2008. </w:t>
                    </w:r>
                  </w:p>
                </w:tc>
              </w:tr>
              <w:tr w:rsidR="002D6947" w:rsidRPr="004B28DB" w14:paraId="753CB4A9" w14:textId="77777777">
                <w:trPr>
                  <w:tblCellSpacing w:w="15" w:type="dxa"/>
                </w:trPr>
                <w:tc>
                  <w:tcPr>
                    <w:tcW w:w="50" w:type="pct"/>
                    <w:hideMark/>
                  </w:tcPr>
                  <w:p w14:paraId="49179A55" w14:textId="77777777" w:rsidR="002D6947" w:rsidRDefault="002D6947">
                    <w:pPr>
                      <w:pStyle w:val="Bibliographie"/>
                      <w:rPr>
                        <w:rFonts w:eastAsiaTheme="minorEastAsia"/>
                        <w:noProof/>
                      </w:rPr>
                    </w:pPr>
                    <w:r>
                      <w:rPr>
                        <w:noProof/>
                      </w:rPr>
                      <w:t xml:space="preserve">[112] </w:t>
                    </w:r>
                  </w:p>
                </w:tc>
                <w:tc>
                  <w:tcPr>
                    <w:tcW w:w="0" w:type="auto"/>
                    <w:hideMark/>
                  </w:tcPr>
                  <w:p w14:paraId="29888400" w14:textId="77777777" w:rsidR="002D6947" w:rsidRPr="001A768D" w:rsidRDefault="002D6947">
                    <w:pPr>
                      <w:pStyle w:val="Bibliographie"/>
                      <w:rPr>
                        <w:rFonts w:eastAsiaTheme="minorEastAsia"/>
                        <w:noProof/>
                        <w:lang w:val="en-GB"/>
                      </w:rPr>
                    </w:pPr>
                    <w:r w:rsidRPr="001A768D">
                      <w:rPr>
                        <w:noProof/>
                        <w:lang w:val="en-GB"/>
                      </w:rPr>
                      <w:t xml:space="preserve">J. Hynes, O. V. Marroquin LD, K. Christiansen, G. Stevens, D. Papkovsky et Y. Will, «Investigation of Drug-Induced Mitochondrial Toxicity Using Fluorescence-Based Oxygen-Sensitive Probes,» </w:t>
                    </w:r>
                    <w:r w:rsidRPr="001A768D">
                      <w:rPr>
                        <w:i/>
                        <w:iCs/>
                        <w:noProof/>
                        <w:lang w:val="en-GB"/>
                      </w:rPr>
                      <w:t xml:space="preserve">Toxicological Sciences, </w:t>
                    </w:r>
                    <w:r w:rsidRPr="001A768D">
                      <w:rPr>
                        <w:noProof/>
                        <w:lang w:val="en-GB"/>
                      </w:rPr>
                      <w:t xml:space="preserve">vol. 92, pp. 186-200, 2006. </w:t>
                    </w:r>
                  </w:p>
                </w:tc>
              </w:tr>
              <w:tr w:rsidR="002D6947" w14:paraId="0938F4AC" w14:textId="77777777">
                <w:trPr>
                  <w:tblCellSpacing w:w="15" w:type="dxa"/>
                </w:trPr>
                <w:tc>
                  <w:tcPr>
                    <w:tcW w:w="50" w:type="pct"/>
                    <w:hideMark/>
                  </w:tcPr>
                  <w:p w14:paraId="34EBAE3B" w14:textId="77777777" w:rsidR="002D6947" w:rsidRDefault="002D6947">
                    <w:pPr>
                      <w:pStyle w:val="Bibliographie"/>
                      <w:rPr>
                        <w:rFonts w:eastAsiaTheme="minorEastAsia"/>
                        <w:noProof/>
                      </w:rPr>
                    </w:pPr>
                    <w:r>
                      <w:rPr>
                        <w:noProof/>
                      </w:rPr>
                      <w:t xml:space="preserve">[113] </w:t>
                    </w:r>
                  </w:p>
                </w:tc>
                <w:tc>
                  <w:tcPr>
                    <w:tcW w:w="0" w:type="auto"/>
                    <w:hideMark/>
                  </w:tcPr>
                  <w:p w14:paraId="5087EA6B" w14:textId="44E06223" w:rsidR="002D6947" w:rsidRDefault="002D6947">
                    <w:pPr>
                      <w:pStyle w:val="Bibliographie"/>
                      <w:rPr>
                        <w:rFonts w:eastAsiaTheme="minorEastAsia"/>
                        <w:noProof/>
                      </w:rPr>
                    </w:pPr>
                    <w:r w:rsidRPr="001A768D">
                      <w:rPr>
                        <w:noProof/>
                        <w:lang w:val="en-GB"/>
                      </w:rPr>
                      <w:t xml:space="preserve">A. Ball, L. Kamalian, A. Alfirevic, J. Lyon et A. Chadwick, «Identification of the Additional </w:t>
                    </w:r>
                    <w:r w:rsidRPr="001A768D">
                      <w:rPr>
                        <w:noProof/>
                        <w:lang w:val="en-GB"/>
                      </w:rPr>
                      <w:lastRenderedPageBreak/>
                      <w:t xml:space="preserve">Mitochondrial Liabilities of 2-Hydroxyflutamide When Compared With its Parent Compound, Flutamide in HepG2 Cells,» </w:t>
                    </w:r>
                    <w:r w:rsidRPr="001A768D">
                      <w:rPr>
                        <w:i/>
                        <w:iCs/>
                        <w:noProof/>
                        <w:lang w:val="en-GB"/>
                      </w:rPr>
                      <w:t xml:space="preserve">Toxicol. </w:t>
                    </w:r>
                    <w:r>
                      <w:rPr>
                        <w:i/>
                        <w:iCs/>
                        <w:noProof/>
                      </w:rPr>
                      <w:t xml:space="preserve">Sci., </w:t>
                    </w:r>
                    <w:r w:rsidR="001A768D">
                      <w:rPr>
                        <w:noProof/>
                      </w:rPr>
                      <w:t xml:space="preserve">vol. 153, </w:t>
                    </w:r>
                    <w:r>
                      <w:rPr>
                        <w:noProof/>
                      </w:rPr>
                      <w:t xml:space="preserve">12, pp. 341-351, 2016. </w:t>
                    </w:r>
                  </w:p>
                </w:tc>
              </w:tr>
              <w:tr w:rsidR="002D6947" w:rsidRPr="004B28DB" w14:paraId="3F789E58" w14:textId="77777777">
                <w:trPr>
                  <w:tblCellSpacing w:w="15" w:type="dxa"/>
                </w:trPr>
                <w:tc>
                  <w:tcPr>
                    <w:tcW w:w="50" w:type="pct"/>
                    <w:hideMark/>
                  </w:tcPr>
                  <w:p w14:paraId="690F303E" w14:textId="77777777" w:rsidR="002D6947" w:rsidRDefault="002D6947">
                    <w:pPr>
                      <w:pStyle w:val="Bibliographie"/>
                      <w:rPr>
                        <w:rFonts w:eastAsiaTheme="minorEastAsia"/>
                        <w:noProof/>
                      </w:rPr>
                    </w:pPr>
                    <w:r>
                      <w:rPr>
                        <w:noProof/>
                      </w:rPr>
                      <w:lastRenderedPageBreak/>
                      <w:t xml:space="preserve">[114] </w:t>
                    </w:r>
                  </w:p>
                </w:tc>
                <w:tc>
                  <w:tcPr>
                    <w:tcW w:w="0" w:type="auto"/>
                    <w:hideMark/>
                  </w:tcPr>
                  <w:p w14:paraId="06BA987D" w14:textId="618391FB" w:rsidR="002D6947" w:rsidRPr="001A768D" w:rsidRDefault="002D6947">
                    <w:pPr>
                      <w:pStyle w:val="Bibliographie"/>
                      <w:rPr>
                        <w:rFonts w:eastAsiaTheme="minorEastAsia"/>
                        <w:noProof/>
                        <w:lang w:val="en-GB"/>
                      </w:rPr>
                    </w:pPr>
                    <w:r w:rsidRPr="001A768D">
                      <w:rPr>
                        <w:noProof/>
                        <w:lang w:val="en-GB"/>
                      </w:rPr>
                      <w:t xml:space="preserve">S. Nadanaciva, A. Bernal, R. Aggeler, R. Capaldi et Y. Will, «Target identification of drug induced mitochondrial toxicity using immunocapture based OXPHOS activity assays,» </w:t>
                    </w:r>
                    <w:r w:rsidRPr="001A768D">
                      <w:rPr>
                        <w:i/>
                        <w:iCs/>
                        <w:noProof/>
                        <w:lang w:val="en-GB"/>
                      </w:rPr>
                      <w:t xml:space="preserve">Toxicoloy in vitro, </w:t>
                    </w:r>
                    <w:r w:rsidR="001A768D">
                      <w:rPr>
                        <w:noProof/>
                        <w:lang w:val="en-GB"/>
                      </w:rPr>
                      <w:t xml:space="preserve">vol. 21, </w:t>
                    </w:r>
                    <w:r w:rsidRPr="001A768D">
                      <w:rPr>
                        <w:noProof/>
                        <w:lang w:val="en-GB"/>
                      </w:rPr>
                      <w:t xml:space="preserve">15, pp. 902-911, 2007. </w:t>
                    </w:r>
                  </w:p>
                </w:tc>
              </w:tr>
              <w:tr w:rsidR="002D6947" w14:paraId="0F071EEC" w14:textId="77777777">
                <w:trPr>
                  <w:tblCellSpacing w:w="15" w:type="dxa"/>
                </w:trPr>
                <w:tc>
                  <w:tcPr>
                    <w:tcW w:w="50" w:type="pct"/>
                    <w:hideMark/>
                  </w:tcPr>
                  <w:p w14:paraId="115F72E2" w14:textId="77777777" w:rsidR="002D6947" w:rsidRDefault="002D6947">
                    <w:pPr>
                      <w:pStyle w:val="Bibliographie"/>
                      <w:rPr>
                        <w:rFonts w:eastAsiaTheme="minorEastAsia"/>
                        <w:noProof/>
                      </w:rPr>
                    </w:pPr>
                    <w:r>
                      <w:rPr>
                        <w:noProof/>
                      </w:rPr>
                      <w:t xml:space="preserve">[115] </w:t>
                    </w:r>
                  </w:p>
                </w:tc>
                <w:tc>
                  <w:tcPr>
                    <w:tcW w:w="0" w:type="auto"/>
                    <w:hideMark/>
                  </w:tcPr>
                  <w:p w14:paraId="15C70492" w14:textId="77777777" w:rsidR="002D6947" w:rsidRDefault="002D6947">
                    <w:pPr>
                      <w:pStyle w:val="Bibliographie"/>
                      <w:rPr>
                        <w:rFonts w:eastAsiaTheme="minorEastAsia"/>
                        <w:noProof/>
                      </w:rPr>
                    </w:pPr>
                    <w:r w:rsidRPr="001A768D">
                      <w:rPr>
                        <w:noProof/>
                        <w:lang w:val="en-GB"/>
                      </w:rPr>
                      <w:t xml:space="preserve">E. Ojuka, B. Andrew, N. Bezuidenhout, S. George, G. Maarman, H. Madlala, Mendham et P. Osiki, «Measurement of </w:t>
                    </w:r>
                    <w:r>
                      <w:rPr>
                        <w:noProof/>
                      </w:rPr>
                      <w:t>β</w:t>
                    </w:r>
                    <w:r w:rsidRPr="001A768D">
                      <w:rPr>
                        <w:noProof/>
                        <w:lang w:val="en-GB"/>
                      </w:rPr>
                      <w:t xml:space="preserve">-oxidation capacity of biological samples by respirometry: a review of principles and substrates,» </w:t>
                    </w:r>
                    <w:r w:rsidRPr="001A768D">
                      <w:rPr>
                        <w:i/>
                        <w:iCs/>
                        <w:noProof/>
                        <w:lang w:val="en-GB"/>
                      </w:rPr>
                      <w:t xml:space="preserve">Ojuka E, Andrew B, Bezuidenhout N, George S, Maarman G, Madlala HP, Mendham A, Osiki PO. Measurement of </w:t>
                    </w:r>
                    <w:r>
                      <w:rPr>
                        <w:i/>
                        <w:iCs/>
                        <w:noProof/>
                      </w:rPr>
                      <w:t>β</w:t>
                    </w:r>
                    <w:r w:rsidRPr="001A768D">
                      <w:rPr>
                        <w:i/>
                        <w:iCs/>
                        <w:noProof/>
                        <w:lang w:val="en-GB"/>
                      </w:rPr>
                      <w:t xml:space="preserve">-oxidation capacity of biological samples by respirometry: a review of principles and substrates. </w:t>
                    </w:r>
                    <w:r>
                      <w:rPr>
                        <w:i/>
                        <w:iCs/>
                        <w:noProof/>
                      </w:rPr>
                      <w:t xml:space="preserve">American Journal of Physiology - Endocrinology and M, </w:t>
                    </w:r>
                    <w:r>
                      <w:rPr>
                        <w:noProof/>
                      </w:rPr>
                      <w:t xml:space="preserve">vol. 310, pp. 715-723, 2016. </w:t>
                    </w:r>
                  </w:p>
                </w:tc>
              </w:tr>
              <w:tr w:rsidR="002D6947" w14:paraId="2EE532CF" w14:textId="77777777">
                <w:trPr>
                  <w:tblCellSpacing w:w="15" w:type="dxa"/>
                </w:trPr>
                <w:tc>
                  <w:tcPr>
                    <w:tcW w:w="50" w:type="pct"/>
                    <w:hideMark/>
                  </w:tcPr>
                  <w:p w14:paraId="1F39FAF5" w14:textId="77777777" w:rsidR="002D6947" w:rsidRDefault="002D6947">
                    <w:pPr>
                      <w:pStyle w:val="Bibliographie"/>
                      <w:rPr>
                        <w:rFonts w:eastAsiaTheme="minorEastAsia"/>
                        <w:noProof/>
                      </w:rPr>
                    </w:pPr>
                    <w:r>
                      <w:rPr>
                        <w:noProof/>
                      </w:rPr>
                      <w:t xml:space="preserve">[116] </w:t>
                    </w:r>
                  </w:p>
                </w:tc>
                <w:tc>
                  <w:tcPr>
                    <w:tcW w:w="0" w:type="auto"/>
                    <w:hideMark/>
                  </w:tcPr>
                  <w:p w14:paraId="0E5D5DD3" w14:textId="131D476B" w:rsidR="002D6947" w:rsidRDefault="002D6947">
                    <w:pPr>
                      <w:pStyle w:val="Bibliographie"/>
                      <w:rPr>
                        <w:rFonts w:eastAsiaTheme="minorEastAsia"/>
                        <w:noProof/>
                      </w:rPr>
                    </w:pPr>
                    <w:r>
                      <w:rPr>
                        <w:noProof/>
                      </w:rPr>
                      <w:t xml:space="preserve">S. Perry, J. Norman, J. Barbieri, E. Brown et H. Gelbard, «Mitochondrial membrane potential probes and the proton gradient: a practical usage guide,» </w:t>
                    </w:r>
                    <w:r>
                      <w:rPr>
                        <w:i/>
                        <w:iCs/>
                        <w:noProof/>
                      </w:rPr>
                      <w:t xml:space="preserve">Biotechniques , </w:t>
                    </w:r>
                    <w:r w:rsidR="001A768D">
                      <w:rPr>
                        <w:noProof/>
                      </w:rPr>
                      <w:t xml:space="preserve">vol. 50 , </w:t>
                    </w:r>
                    <w:r>
                      <w:rPr>
                        <w:noProof/>
                      </w:rPr>
                      <w:t xml:space="preserve">12, p. 98–115, Feb 2011. </w:t>
                    </w:r>
                  </w:p>
                </w:tc>
              </w:tr>
              <w:tr w:rsidR="002D6947" w:rsidRPr="004B28DB" w14:paraId="383E8B52" w14:textId="77777777">
                <w:trPr>
                  <w:tblCellSpacing w:w="15" w:type="dxa"/>
                </w:trPr>
                <w:tc>
                  <w:tcPr>
                    <w:tcW w:w="50" w:type="pct"/>
                    <w:hideMark/>
                  </w:tcPr>
                  <w:p w14:paraId="29DAE9CB" w14:textId="77777777" w:rsidR="002D6947" w:rsidRDefault="002D6947">
                    <w:pPr>
                      <w:pStyle w:val="Bibliographie"/>
                      <w:rPr>
                        <w:rFonts w:eastAsiaTheme="minorEastAsia"/>
                        <w:noProof/>
                      </w:rPr>
                    </w:pPr>
                    <w:r>
                      <w:rPr>
                        <w:noProof/>
                      </w:rPr>
                      <w:t xml:space="preserve">[117] </w:t>
                    </w:r>
                  </w:p>
                </w:tc>
                <w:tc>
                  <w:tcPr>
                    <w:tcW w:w="0" w:type="auto"/>
                    <w:hideMark/>
                  </w:tcPr>
                  <w:p w14:paraId="4E47EC3C" w14:textId="7B1D2FDC" w:rsidR="002D6947" w:rsidRPr="001A768D" w:rsidRDefault="002D6947">
                    <w:pPr>
                      <w:pStyle w:val="Bibliographie"/>
                      <w:rPr>
                        <w:rFonts w:eastAsiaTheme="minorEastAsia"/>
                        <w:noProof/>
                        <w:lang w:val="en-GB"/>
                      </w:rPr>
                    </w:pPr>
                    <w:r w:rsidRPr="001A768D">
                      <w:rPr>
                        <w:noProof/>
                        <w:lang w:val="en-GB"/>
                      </w:rPr>
                      <w:t xml:space="preserve">M. Persson, A. Løye, M. Jacquet, N. Mow, A. Thougaard, T. Mow et J. Hornberg, «High-Content Analysis/Screening for Predictive Toxicology: Application to Hepatotoxicity and Genotoxicity,» </w:t>
                    </w:r>
                    <w:r w:rsidRPr="001A768D">
                      <w:rPr>
                        <w:i/>
                        <w:iCs/>
                        <w:noProof/>
                        <w:lang w:val="en-GB"/>
                      </w:rPr>
                      <w:t xml:space="preserve">Basic clinical pharmacology &amp; Toxicology, </w:t>
                    </w:r>
                    <w:r w:rsidR="001A768D">
                      <w:rPr>
                        <w:noProof/>
                        <w:lang w:val="en-GB"/>
                      </w:rPr>
                      <w:t xml:space="preserve">vol. 115, </w:t>
                    </w:r>
                    <w:r w:rsidRPr="001A768D">
                      <w:rPr>
                        <w:noProof/>
                        <w:lang w:val="en-GB"/>
                      </w:rPr>
                      <w:t xml:space="preserve">11, pp. 18-23, 2014. </w:t>
                    </w:r>
                  </w:p>
                </w:tc>
              </w:tr>
              <w:tr w:rsidR="002D6947" w:rsidRPr="004B28DB" w14:paraId="37FFAF47" w14:textId="77777777">
                <w:trPr>
                  <w:tblCellSpacing w:w="15" w:type="dxa"/>
                </w:trPr>
                <w:tc>
                  <w:tcPr>
                    <w:tcW w:w="50" w:type="pct"/>
                    <w:hideMark/>
                  </w:tcPr>
                  <w:p w14:paraId="5273943E" w14:textId="77777777" w:rsidR="002D6947" w:rsidRDefault="002D6947">
                    <w:pPr>
                      <w:pStyle w:val="Bibliographie"/>
                      <w:rPr>
                        <w:rFonts w:eastAsiaTheme="minorEastAsia"/>
                        <w:noProof/>
                      </w:rPr>
                    </w:pPr>
                    <w:r>
                      <w:rPr>
                        <w:noProof/>
                      </w:rPr>
                      <w:t xml:space="preserve">[118] </w:t>
                    </w:r>
                  </w:p>
                </w:tc>
                <w:tc>
                  <w:tcPr>
                    <w:tcW w:w="0" w:type="auto"/>
                    <w:hideMark/>
                  </w:tcPr>
                  <w:p w14:paraId="370AE4FE" w14:textId="77777777" w:rsidR="002D6947" w:rsidRPr="001A768D" w:rsidRDefault="002D6947">
                    <w:pPr>
                      <w:pStyle w:val="Bibliographie"/>
                      <w:rPr>
                        <w:rFonts w:eastAsiaTheme="minorEastAsia"/>
                        <w:noProof/>
                        <w:lang w:val="en-GB"/>
                      </w:rPr>
                    </w:pPr>
                    <w:r w:rsidRPr="001A768D">
                      <w:rPr>
                        <w:noProof/>
                        <w:lang w:val="en-GB"/>
                      </w:rPr>
                      <w:t xml:space="preserve">M. Robinson, C. Harmon et C. O'Farrelly, «Liver immunology and its role in inflammation and homeostasis,» </w:t>
                    </w:r>
                    <w:r w:rsidRPr="001A768D">
                      <w:rPr>
                        <w:i/>
                        <w:iCs/>
                        <w:noProof/>
                        <w:lang w:val="en-GB"/>
                      </w:rPr>
                      <w:t xml:space="preserve">Cellular &amp; olecular Immunology, </w:t>
                    </w:r>
                    <w:r w:rsidRPr="001A768D">
                      <w:rPr>
                        <w:noProof/>
                        <w:lang w:val="en-GB"/>
                      </w:rPr>
                      <w:t xml:space="preserve">vol. 13, pp. 267-276, 2016. </w:t>
                    </w:r>
                  </w:p>
                </w:tc>
              </w:tr>
              <w:tr w:rsidR="002D6947" w:rsidRPr="004B28DB" w14:paraId="3B939205" w14:textId="77777777">
                <w:trPr>
                  <w:tblCellSpacing w:w="15" w:type="dxa"/>
                </w:trPr>
                <w:tc>
                  <w:tcPr>
                    <w:tcW w:w="50" w:type="pct"/>
                    <w:hideMark/>
                  </w:tcPr>
                  <w:p w14:paraId="66F409D0" w14:textId="77777777" w:rsidR="002D6947" w:rsidRDefault="002D6947">
                    <w:pPr>
                      <w:pStyle w:val="Bibliographie"/>
                      <w:rPr>
                        <w:rFonts w:eastAsiaTheme="minorEastAsia"/>
                        <w:noProof/>
                      </w:rPr>
                    </w:pPr>
                    <w:r>
                      <w:rPr>
                        <w:noProof/>
                      </w:rPr>
                      <w:t xml:space="preserve">[119] </w:t>
                    </w:r>
                  </w:p>
                </w:tc>
                <w:tc>
                  <w:tcPr>
                    <w:tcW w:w="0" w:type="auto"/>
                    <w:hideMark/>
                  </w:tcPr>
                  <w:p w14:paraId="3B29544B" w14:textId="77777777" w:rsidR="002D6947" w:rsidRPr="001A768D" w:rsidRDefault="002D6947">
                    <w:pPr>
                      <w:pStyle w:val="Bibliographie"/>
                      <w:rPr>
                        <w:rFonts w:eastAsiaTheme="minorEastAsia"/>
                        <w:noProof/>
                        <w:lang w:val="en-GB"/>
                      </w:rPr>
                    </w:pPr>
                    <w:r w:rsidRPr="001A768D">
                      <w:rPr>
                        <w:noProof/>
                        <w:lang w:val="en-GB"/>
                      </w:rPr>
                      <w:t xml:space="preserve">N. Kaplowitz, «Idiosyncratic drug hepatotoxicity,» </w:t>
                    </w:r>
                    <w:r w:rsidRPr="001A768D">
                      <w:rPr>
                        <w:i/>
                        <w:iCs/>
                        <w:noProof/>
                        <w:lang w:val="en-GB"/>
                      </w:rPr>
                      <w:t xml:space="preserve">Nature Reviews Drug discovery, </w:t>
                    </w:r>
                    <w:r w:rsidRPr="001A768D">
                      <w:rPr>
                        <w:noProof/>
                        <w:lang w:val="en-GB"/>
                      </w:rPr>
                      <w:t xml:space="preserve">vol. 4, pp. 489-499, 2005. </w:t>
                    </w:r>
                  </w:p>
                </w:tc>
              </w:tr>
              <w:tr w:rsidR="002D6947" w:rsidRPr="004B28DB" w14:paraId="1D488A7F" w14:textId="77777777">
                <w:trPr>
                  <w:tblCellSpacing w:w="15" w:type="dxa"/>
                </w:trPr>
                <w:tc>
                  <w:tcPr>
                    <w:tcW w:w="50" w:type="pct"/>
                    <w:hideMark/>
                  </w:tcPr>
                  <w:p w14:paraId="27559C50" w14:textId="77777777" w:rsidR="002D6947" w:rsidRDefault="002D6947">
                    <w:pPr>
                      <w:pStyle w:val="Bibliographie"/>
                      <w:rPr>
                        <w:rFonts w:eastAsiaTheme="minorEastAsia"/>
                        <w:noProof/>
                      </w:rPr>
                    </w:pPr>
                    <w:r>
                      <w:rPr>
                        <w:noProof/>
                      </w:rPr>
                      <w:t xml:space="preserve">[120] </w:t>
                    </w:r>
                  </w:p>
                </w:tc>
                <w:tc>
                  <w:tcPr>
                    <w:tcW w:w="0" w:type="auto"/>
                    <w:hideMark/>
                  </w:tcPr>
                  <w:p w14:paraId="1A5A8261" w14:textId="77777777" w:rsidR="002D6947" w:rsidRPr="001A768D" w:rsidRDefault="002D6947">
                    <w:pPr>
                      <w:pStyle w:val="Bibliographie"/>
                      <w:rPr>
                        <w:rFonts w:eastAsiaTheme="minorEastAsia"/>
                        <w:noProof/>
                        <w:lang w:val="en-GB"/>
                      </w:rPr>
                    </w:pPr>
                    <w:r w:rsidRPr="001A768D">
                      <w:rPr>
                        <w:noProof/>
                        <w:lang w:val="en-GB"/>
                      </w:rPr>
                      <w:t xml:space="preserve">H. Laverty, D. Antoine, C. Benson, M. Chaponda, D. Williams et B. Park, «The potential of cytokines as safety biomarkers for drug-induced liver injury.,» </w:t>
                    </w:r>
                    <w:r w:rsidRPr="001A768D">
                      <w:rPr>
                        <w:i/>
                        <w:iCs/>
                        <w:noProof/>
                        <w:lang w:val="en-GB"/>
                      </w:rPr>
                      <w:t xml:space="preserve">Eur J Clin Pharmacol , </w:t>
                    </w:r>
                    <w:r w:rsidRPr="001A768D">
                      <w:rPr>
                        <w:noProof/>
                        <w:lang w:val="en-GB"/>
                      </w:rPr>
                      <w:t xml:space="preserve">vol. 66, pp. 961-975, 2010. </w:t>
                    </w:r>
                  </w:p>
                </w:tc>
              </w:tr>
              <w:tr w:rsidR="002D6947" w:rsidRPr="004B28DB" w14:paraId="58DE3AB5" w14:textId="77777777">
                <w:trPr>
                  <w:tblCellSpacing w:w="15" w:type="dxa"/>
                </w:trPr>
                <w:tc>
                  <w:tcPr>
                    <w:tcW w:w="50" w:type="pct"/>
                    <w:hideMark/>
                  </w:tcPr>
                  <w:p w14:paraId="02F5FA04" w14:textId="77777777" w:rsidR="002D6947" w:rsidRDefault="002D6947">
                    <w:pPr>
                      <w:pStyle w:val="Bibliographie"/>
                      <w:rPr>
                        <w:rFonts w:eastAsiaTheme="minorEastAsia"/>
                        <w:noProof/>
                      </w:rPr>
                    </w:pPr>
                    <w:r>
                      <w:rPr>
                        <w:noProof/>
                      </w:rPr>
                      <w:t xml:space="preserve">[121] </w:t>
                    </w:r>
                  </w:p>
                </w:tc>
                <w:tc>
                  <w:tcPr>
                    <w:tcW w:w="0" w:type="auto"/>
                    <w:hideMark/>
                  </w:tcPr>
                  <w:p w14:paraId="318510B2" w14:textId="77777777" w:rsidR="002D6947" w:rsidRPr="001A768D" w:rsidRDefault="002D6947">
                    <w:pPr>
                      <w:pStyle w:val="Bibliographie"/>
                      <w:rPr>
                        <w:rFonts w:eastAsiaTheme="minorEastAsia"/>
                        <w:noProof/>
                        <w:lang w:val="en-GB"/>
                      </w:rPr>
                    </w:pPr>
                    <w:r w:rsidRPr="001A768D">
                      <w:rPr>
                        <w:noProof/>
                        <w:lang w:val="en-GB"/>
                      </w:rPr>
                      <w:t xml:space="preserve">M. Mennicke, A. Zawodniak, M. Keller, L. Wilkens, N. Yawalkar, F. Stickel, A. Keogh, D. Inderbitzin, D. Candinas et W. J. Pichler, «Fulminant liver failure after vancomycin in a sulfasalazine-induced DRESS syndrome: fatal recurrence after liver transplatation,» </w:t>
                    </w:r>
                    <w:r w:rsidRPr="001A768D">
                      <w:rPr>
                        <w:i/>
                        <w:iCs/>
                        <w:noProof/>
                        <w:lang w:val="en-GB"/>
                      </w:rPr>
                      <w:t xml:space="preserve">American Journal of Translpantation , </w:t>
                    </w:r>
                    <w:r w:rsidRPr="001A768D">
                      <w:rPr>
                        <w:noProof/>
                        <w:lang w:val="en-GB"/>
                      </w:rPr>
                      <w:t xml:space="preserve">vol. 9, pp. 2197-2202, 2009. </w:t>
                    </w:r>
                  </w:p>
                </w:tc>
              </w:tr>
              <w:tr w:rsidR="002D6947" w:rsidRPr="004B28DB" w14:paraId="15457554" w14:textId="77777777">
                <w:trPr>
                  <w:tblCellSpacing w:w="15" w:type="dxa"/>
                </w:trPr>
                <w:tc>
                  <w:tcPr>
                    <w:tcW w:w="50" w:type="pct"/>
                    <w:hideMark/>
                  </w:tcPr>
                  <w:p w14:paraId="607F0B84" w14:textId="77777777" w:rsidR="002D6947" w:rsidRDefault="002D6947">
                    <w:pPr>
                      <w:pStyle w:val="Bibliographie"/>
                      <w:rPr>
                        <w:rFonts w:eastAsiaTheme="minorEastAsia"/>
                        <w:noProof/>
                      </w:rPr>
                    </w:pPr>
                    <w:r>
                      <w:rPr>
                        <w:noProof/>
                      </w:rPr>
                      <w:t xml:space="preserve">[122] </w:t>
                    </w:r>
                  </w:p>
                </w:tc>
                <w:tc>
                  <w:tcPr>
                    <w:tcW w:w="0" w:type="auto"/>
                    <w:hideMark/>
                  </w:tcPr>
                  <w:p w14:paraId="04E9B806" w14:textId="77777777" w:rsidR="002D6947" w:rsidRPr="001A768D" w:rsidRDefault="002D6947">
                    <w:pPr>
                      <w:pStyle w:val="Bibliographie"/>
                      <w:rPr>
                        <w:rFonts w:eastAsiaTheme="minorEastAsia"/>
                        <w:noProof/>
                        <w:lang w:val="en-GB"/>
                      </w:rPr>
                    </w:pPr>
                    <w:r w:rsidRPr="001A768D">
                      <w:rPr>
                        <w:noProof/>
                        <w:lang w:val="en-GB"/>
                      </w:rPr>
                      <w:t xml:space="preserve">L. James, P. Simpson, H. Farrar, G. Kearns, G. Wasserman, J. Blumer, M. Reed, J. Sullivan et J. Hinson, «Cytokines and toxicity in acetaminophen overdose.,» </w:t>
                    </w:r>
                    <w:r w:rsidRPr="001A768D">
                      <w:rPr>
                        <w:i/>
                        <w:iCs/>
                        <w:noProof/>
                        <w:lang w:val="en-GB"/>
                      </w:rPr>
                      <w:t xml:space="preserve">Journal of clinical pharmacology, </w:t>
                    </w:r>
                    <w:r w:rsidRPr="001A768D">
                      <w:rPr>
                        <w:noProof/>
                        <w:lang w:val="en-GB"/>
                      </w:rPr>
                      <w:t xml:space="preserve">vol. 45, pp. 1165-1171, 2005. </w:t>
                    </w:r>
                  </w:p>
                </w:tc>
              </w:tr>
              <w:tr w:rsidR="002D6947" w:rsidRPr="004B28DB" w14:paraId="30670DD1" w14:textId="77777777">
                <w:trPr>
                  <w:tblCellSpacing w:w="15" w:type="dxa"/>
                </w:trPr>
                <w:tc>
                  <w:tcPr>
                    <w:tcW w:w="50" w:type="pct"/>
                    <w:hideMark/>
                  </w:tcPr>
                  <w:p w14:paraId="24B2E55E" w14:textId="77777777" w:rsidR="002D6947" w:rsidRDefault="002D6947">
                    <w:pPr>
                      <w:pStyle w:val="Bibliographie"/>
                      <w:rPr>
                        <w:rFonts w:eastAsiaTheme="minorEastAsia"/>
                        <w:noProof/>
                      </w:rPr>
                    </w:pPr>
                    <w:r>
                      <w:rPr>
                        <w:noProof/>
                      </w:rPr>
                      <w:t xml:space="preserve">[123] </w:t>
                    </w:r>
                  </w:p>
                </w:tc>
                <w:tc>
                  <w:tcPr>
                    <w:tcW w:w="0" w:type="auto"/>
                    <w:hideMark/>
                  </w:tcPr>
                  <w:p w14:paraId="7E16166B" w14:textId="77777777" w:rsidR="002D6947" w:rsidRPr="001A768D" w:rsidRDefault="002D6947">
                    <w:pPr>
                      <w:pStyle w:val="Bibliographie"/>
                      <w:rPr>
                        <w:rFonts w:eastAsiaTheme="minorEastAsia"/>
                        <w:noProof/>
                        <w:lang w:val="en-GB"/>
                      </w:rPr>
                    </w:pPr>
                    <w:r w:rsidRPr="001A768D">
                      <w:rPr>
                        <w:noProof/>
                        <w:lang w:val="en-GB"/>
                      </w:rPr>
                      <w:t xml:space="preserve">J. Li, X. Zhu, F. Liu, P. Cai, C. Sanders, W. Lee et J. Uetrecht, «Cytokine and autoantibody patterns in acute liver failure,» </w:t>
                    </w:r>
                    <w:r w:rsidRPr="001A768D">
                      <w:rPr>
                        <w:i/>
                        <w:iCs/>
                        <w:noProof/>
                        <w:lang w:val="en-GB"/>
                      </w:rPr>
                      <w:t xml:space="preserve">Journal of immunotoxicology, </w:t>
                    </w:r>
                    <w:r w:rsidRPr="001A768D">
                      <w:rPr>
                        <w:noProof/>
                        <w:lang w:val="en-GB"/>
                      </w:rPr>
                      <w:t xml:space="preserve">vol. 7, pp. 157-164, 2010. </w:t>
                    </w:r>
                  </w:p>
                </w:tc>
              </w:tr>
              <w:tr w:rsidR="002D6947" w14:paraId="157AD31D" w14:textId="77777777">
                <w:trPr>
                  <w:tblCellSpacing w:w="15" w:type="dxa"/>
                </w:trPr>
                <w:tc>
                  <w:tcPr>
                    <w:tcW w:w="50" w:type="pct"/>
                    <w:hideMark/>
                  </w:tcPr>
                  <w:p w14:paraId="7C89EA02" w14:textId="77777777" w:rsidR="002D6947" w:rsidRDefault="002D6947">
                    <w:pPr>
                      <w:pStyle w:val="Bibliographie"/>
                      <w:rPr>
                        <w:rFonts w:eastAsiaTheme="minorEastAsia"/>
                        <w:noProof/>
                      </w:rPr>
                    </w:pPr>
                    <w:r>
                      <w:rPr>
                        <w:noProof/>
                      </w:rPr>
                      <w:t xml:space="preserve">[124] </w:t>
                    </w:r>
                  </w:p>
                </w:tc>
                <w:tc>
                  <w:tcPr>
                    <w:tcW w:w="0" w:type="auto"/>
                    <w:hideMark/>
                  </w:tcPr>
                  <w:p w14:paraId="51E33BD2" w14:textId="77777777" w:rsidR="002D6947" w:rsidRDefault="002D6947">
                    <w:pPr>
                      <w:pStyle w:val="Bibliographie"/>
                      <w:rPr>
                        <w:rFonts w:eastAsiaTheme="minorEastAsia"/>
                        <w:noProof/>
                      </w:rPr>
                    </w:pPr>
                    <w:r w:rsidRPr="001A768D">
                      <w:rPr>
                        <w:noProof/>
                        <w:lang w:val="en-GB"/>
                      </w:rPr>
                      <w:t xml:space="preserve">K. Kakisaka et Y. Takikawa, « Elevation of serum cytokines preceding elevation of liver enzymes in a case of drug-induced liver injury.,» </w:t>
                    </w:r>
                    <w:r w:rsidRPr="001A768D">
                      <w:rPr>
                        <w:i/>
                        <w:iCs/>
                        <w:noProof/>
                        <w:lang w:val="en-GB"/>
                      </w:rPr>
                      <w:t xml:space="preserve">Hepatology research : the official journal of the Japan Society of Hepatology , </w:t>
                    </w:r>
                    <w:r w:rsidRPr="001A768D">
                      <w:rPr>
                        <w:noProof/>
                        <w:lang w:val="en-GB"/>
                      </w:rPr>
                      <w:t xml:space="preserve">vol. 44, pp. </w:t>
                    </w:r>
                    <w:r>
                      <w:rPr>
                        <w:noProof/>
                      </w:rPr>
                      <w:t xml:space="preserve">E284-289, 2014. </w:t>
                    </w:r>
                  </w:p>
                </w:tc>
              </w:tr>
              <w:tr w:rsidR="002D6947" w:rsidRPr="004B28DB" w14:paraId="7A32F9E8" w14:textId="77777777">
                <w:trPr>
                  <w:tblCellSpacing w:w="15" w:type="dxa"/>
                </w:trPr>
                <w:tc>
                  <w:tcPr>
                    <w:tcW w:w="50" w:type="pct"/>
                    <w:hideMark/>
                  </w:tcPr>
                  <w:p w14:paraId="2401C1A0" w14:textId="77777777" w:rsidR="002D6947" w:rsidRDefault="002D6947">
                    <w:pPr>
                      <w:pStyle w:val="Bibliographie"/>
                      <w:rPr>
                        <w:rFonts w:eastAsiaTheme="minorEastAsia"/>
                        <w:noProof/>
                      </w:rPr>
                    </w:pPr>
                    <w:r>
                      <w:rPr>
                        <w:noProof/>
                      </w:rPr>
                      <w:t xml:space="preserve">[125] </w:t>
                    </w:r>
                  </w:p>
                </w:tc>
                <w:tc>
                  <w:tcPr>
                    <w:tcW w:w="0" w:type="auto"/>
                    <w:hideMark/>
                  </w:tcPr>
                  <w:p w14:paraId="726DD28A" w14:textId="77777777" w:rsidR="002D6947" w:rsidRPr="001A768D" w:rsidRDefault="002D6947">
                    <w:pPr>
                      <w:pStyle w:val="Bibliographie"/>
                      <w:rPr>
                        <w:rFonts w:eastAsiaTheme="minorEastAsia"/>
                        <w:noProof/>
                        <w:lang w:val="en-GB"/>
                      </w:rPr>
                    </w:pPr>
                    <w:r w:rsidRPr="001A768D">
                      <w:rPr>
                        <w:noProof/>
                        <w:lang w:val="en-GB"/>
                      </w:rPr>
                      <w:t xml:space="preserve">P. Berry, C. Antoniades, M. Hussain, M. McPhail, W. Bernal, D. Vergani et J. Wendon, «Admission levels and early changes in serum interleukin-10 are predictive of poor outcome in acute liver failure and decompensated cirrhosis.,» </w:t>
                    </w:r>
                    <w:r w:rsidRPr="001A768D">
                      <w:rPr>
                        <w:i/>
                        <w:iCs/>
                        <w:noProof/>
                        <w:lang w:val="en-GB"/>
                      </w:rPr>
                      <w:t xml:space="preserve">Liver Int, </w:t>
                    </w:r>
                    <w:r w:rsidRPr="001A768D">
                      <w:rPr>
                        <w:noProof/>
                        <w:lang w:val="en-GB"/>
                      </w:rPr>
                      <w:t xml:space="preserve">vol. 30, pp. 733-740, 2010. </w:t>
                    </w:r>
                  </w:p>
                </w:tc>
              </w:tr>
              <w:tr w:rsidR="002D6947" w:rsidRPr="004B28DB" w14:paraId="0756B96A" w14:textId="77777777">
                <w:trPr>
                  <w:tblCellSpacing w:w="15" w:type="dxa"/>
                </w:trPr>
                <w:tc>
                  <w:tcPr>
                    <w:tcW w:w="50" w:type="pct"/>
                    <w:hideMark/>
                  </w:tcPr>
                  <w:p w14:paraId="10AA2A34" w14:textId="77777777" w:rsidR="002D6947" w:rsidRDefault="002D6947">
                    <w:pPr>
                      <w:pStyle w:val="Bibliographie"/>
                      <w:rPr>
                        <w:rFonts w:eastAsiaTheme="minorEastAsia"/>
                        <w:noProof/>
                      </w:rPr>
                    </w:pPr>
                    <w:r>
                      <w:rPr>
                        <w:noProof/>
                      </w:rPr>
                      <w:t xml:space="preserve">[126] </w:t>
                    </w:r>
                  </w:p>
                </w:tc>
                <w:tc>
                  <w:tcPr>
                    <w:tcW w:w="0" w:type="auto"/>
                    <w:hideMark/>
                  </w:tcPr>
                  <w:p w14:paraId="6B21B62C" w14:textId="16B1890B" w:rsidR="002D6947" w:rsidRPr="001A768D" w:rsidRDefault="002D6947">
                    <w:pPr>
                      <w:pStyle w:val="Bibliographie"/>
                      <w:rPr>
                        <w:rFonts w:eastAsiaTheme="minorEastAsia"/>
                        <w:noProof/>
                        <w:lang w:val="en-GB"/>
                      </w:rPr>
                    </w:pPr>
                    <w:r w:rsidRPr="001A768D">
                      <w:rPr>
                        <w:noProof/>
                        <w:lang w:val="en-GB"/>
                      </w:rPr>
                      <w:t xml:space="preserve">H. Dubois-Pot-Schneider, K. Fekir, C. Coulouarn, D. Glaise, C. Aninat, K. Jarnouen, R. Le Guével, T. Kubo, S. Ishida, F. Morel et A. Corlu, «Inflammatory cytokines promote the retrodifferentiation of tumor-derived hepatocyte-like cells to progenitor cells,» </w:t>
                    </w:r>
                    <w:r w:rsidRPr="001A768D">
                      <w:rPr>
                        <w:i/>
                        <w:iCs/>
                        <w:noProof/>
                        <w:lang w:val="en-GB"/>
                      </w:rPr>
                      <w:t xml:space="preserve">Hepatology, </w:t>
                    </w:r>
                    <w:r w:rsidR="001A768D">
                      <w:rPr>
                        <w:noProof/>
                        <w:lang w:val="en-GB"/>
                      </w:rPr>
                      <w:t xml:space="preserve">vol. 60, </w:t>
                    </w:r>
                    <w:r w:rsidRPr="001A768D">
                      <w:rPr>
                        <w:noProof/>
                        <w:lang w:val="en-GB"/>
                      </w:rPr>
                      <w:t xml:space="preserve">16, pp. 2077-2090, 2014. </w:t>
                    </w:r>
                  </w:p>
                </w:tc>
              </w:tr>
              <w:tr w:rsidR="002D6947" w:rsidRPr="004B28DB" w14:paraId="3095C342" w14:textId="77777777">
                <w:trPr>
                  <w:tblCellSpacing w:w="15" w:type="dxa"/>
                </w:trPr>
                <w:tc>
                  <w:tcPr>
                    <w:tcW w:w="50" w:type="pct"/>
                    <w:hideMark/>
                  </w:tcPr>
                  <w:p w14:paraId="2513BB8D" w14:textId="77777777" w:rsidR="002D6947" w:rsidRDefault="002D6947">
                    <w:pPr>
                      <w:pStyle w:val="Bibliographie"/>
                      <w:rPr>
                        <w:rFonts w:eastAsiaTheme="minorEastAsia"/>
                        <w:noProof/>
                      </w:rPr>
                    </w:pPr>
                    <w:r>
                      <w:rPr>
                        <w:noProof/>
                      </w:rPr>
                      <w:t xml:space="preserve">[127] </w:t>
                    </w:r>
                  </w:p>
                </w:tc>
                <w:tc>
                  <w:tcPr>
                    <w:tcW w:w="0" w:type="auto"/>
                    <w:hideMark/>
                  </w:tcPr>
                  <w:p w14:paraId="010ED1DD" w14:textId="77777777" w:rsidR="002D6947" w:rsidRPr="001A768D" w:rsidRDefault="002D6947">
                    <w:pPr>
                      <w:pStyle w:val="Bibliographie"/>
                      <w:rPr>
                        <w:rFonts w:eastAsiaTheme="minorEastAsia"/>
                        <w:noProof/>
                        <w:lang w:val="en-GB"/>
                      </w:rPr>
                    </w:pPr>
                    <w:r w:rsidRPr="001A768D">
                      <w:rPr>
                        <w:noProof/>
                        <w:lang w:val="en-GB"/>
                      </w:rPr>
                      <w:t xml:space="preserve">A. Yano, S. Oda, T. N. M. Fukami et T. Yokoi, «Development of a cell-based assay system considering drug metabolism and immune- and inflammatory-related factors for the risk assessment of drug-induced liver injury.,» </w:t>
                    </w:r>
                    <w:r w:rsidRPr="001A768D">
                      <w:rPr>
                        <w:i/>
                        <w:iCs/>
                        <w:noProof/>
                        <w:lang w:val="en-GB"/>
                      </w:rPr>
                      <w:t xml:space="preserve">Toxicology letters, </w:t>
                    </w:r>
                    <w:r w:rsidRPr="001A768D">
                      <w:rPr>
                        <w:noProof/>
                        <w:lang w:val="en-GB"/>
                      </w:rPr>
                      <w:t xml:space="preserve">vol. 1, p. 228, 2014. </w:t>
                    </w:r>
                  </w:p>
                </w:tc>
              </w:tr>
              <w:tr w:rsidR="002D6947" w:rsidRPr="004B28DB" w14:paraId="6C7755AF" w14:textId="77777777">
                <w:trPr>
                  <w:tblCellSpacing w:w="15" w:type="dxa"/>
                </w:trPr>
                <w:tc>
                  <w:tcPr>
                    <w:tcW w:w="50" w:type="pct"/>
                    <w:hideMark/>
                  </w:tcPr>
                  <w:p w14:paraId="7C7088C0" w14:textId="77777777" w:rsidR="002D6947" w:rsidRDefault="002D6947">
                    <w:pPr>
                      <w:pStyle w:val="Bibliographie"/>
                      <w:rPr>
                        <w:rFonts w:eastAsiaTheme="minorEastAsia"/>
                        <w:noProof/>
                      </w:rPr>
                    </w:pPr>
                    <w:r>
                      <w:rPr>
                        <w:noProof/>
                      </w:rPr>
                      <w:t xml:space="preserve">[128] </w:t>
                    </w:r>
                  </w:p>
                </w:tc>
                <w:tc>
                  <w:tcPr>
                    <w:tcW w:w="0" w:type="auto"/>
                    <w:hideMark/>
                  </w:tcPr>
                  <w:p w14:paraId="043B27ED" w14:textId="77777777" w:rsidR="002D6947" w:rsidRPr="001A768D" w:rsidRDefault="002D6947">
                    <w:pPr>
                      <w:pStyle w:val="Bibliographie"/>
                      <w:rPr>
                        <w:rFonts w:eastAsiaTheme="minorEastAsia"/>
                        <w:noProof/>
                        <w:lang w:val="en-GB"/>
                      </w:rPr>
                    </w:pPr>
                    <w:r w:rsidRPr="001A768D">
                      <w:rPr>
                        <w:noProof/>
                        <w:lang w:val="en-GB"/>
                      </w:rPr>
                      <w:t xml:space="preserve">R. Morgan, M. Trauner, v. S. C.J., P. Lee, B. Ramachandran, M. Eschenberg, C. Afshari, C. Qualls, R. Lightfoot-Dunn et H. Hamadeh, «Interference with Bile Salt Export Pump Function Is a Susceptibility Factor for Human Liver Injury in Drug Development,» </w:t>
                    </w:r>
                    <w:r w:rsidRPr="001A768D">
                      <w:rPr>
                        <w:i/>
                        <w:iCs/>
                        <w:noProof/>
                        <w:lang w:val="en-GB"/>
                      </w:rPr>
                      <w:t xml:space="preserve">Toxicological Sciences, </w:t>
                    </w:r>
                    <w:r w:rsidRPr="001A768D">
                      <w:rPr>
                        <w:noProof/>
                        <w:lang w:val="en-GB"/>
                      </w:rPr>
                      <w:t xml:space="preserve">vol. 118, pp. 485-500, 2010. </w:t>
                    </w:r>
                  </w:p>
                </w:tc>
              </w:tr>
              <w:tr w:rsidR="002D6947" w14:paraId="25681D99" w14:textId="77777777">
                <w:trPr>
                  <w:tblCellSpacing w:w="15" w:type="dxa"/>
                </w:trPr>
                <w:tc>
                  <w:tcPr>
                    <w:tcW w:w="50" w:type="pct"/>
                    <w:hideMark/>
                  </w:tcPr>
                  <w:p w14:paraId="391F0952" w14:textId="77777777" w:rsidR="002D6947" w:rsidRDefault="002D6947">
                    <w:pPr>
                      <w:pStyle w:val="Bibliographie"/>
                      <w:rPr>
                        <w:rFonts w:eastAsiaTheme="minorEastAsia"/>
                        <w:noProof/>
                      </w:rPr>
                    </w:pPr>
                    <w:r>
                      <w:rPr>
                        <w:noProof/>
                      </w:rPr>
                      <w:t xml:space="preserve">[129] </w:t>
                    </w:r>
                  </w:p>
                </w:tc>
                <w:tc>
                  <w:tcPr>
                    <w:tcW w:w="0" w:type="auto"/>
                    <w:hideMark/>
                  </w:tcPr>
                  <w:p w14:paraId="76B55418" w14:textId="77777777" w:rsidR="002D6947" w:rsidRDefault="002D6947">
                    <w:pPr>
                      <w:pStyle w:val="Bibliographie"/>
                      <w:rPr>
                        <w:rFonts w:eastAsiaTheme="minorEastAsia"/>
                        <w:noProof/>
                      </w:rPr>
                    </w:pPr>
                    <w:r w:rsidRPr="001A768D">
                      <w:rPr>
                        <w:noProof/>
                        <w:lang w:val="en-GB"/>
                      </w:rPr>
                      <w:t xml:space="preserve">T. Mosma, «Rapid colorimetric assay for cellular growth and survival: Application to proliferation and cytotoxicity assays.,» </w:t>
                    </w:r>
                    <w:r w:rsidRPr="001A768D">
                      <w:rPr>
                        <w:i/>
                        <w:iCs/>
                        <w:noProof/>
                        <w:lang w:val="en-GB"/>
                      </w:rPr>
                      <w:t xml:space="preserve">J Immunol. </w:t>
                    </w:r>
                    <w:r>
                      <w:rPr>
                        <w:i/>
                        <w:iCs/>
                        <w:noProof/>
                      </w:rPr>
                      <w:t xml:space="preserve">Methods, </w:t>
                    </w:r>
                    <w:r>
                      <w:rPr>
                        <w:noProof/>
                      </w:rPr>
                      <w:t xml:space="preserve">vol. 65, pp. 55-63, 1983. </w:t>
                    </w:r>
                  </w:p>
                </w:tc>
              </w:tr>
              <w:tr w:rsidR="002D6947" w:rsidRPr="004B28DB" w14:paraId="6C00FE08" w14:textId="77777777">
                <w:trPr>
                  <w:tblCellSpacing w:w="15" w:type="dxa"/>
                </w:trPr>
                <w:tc>
                  <w:tcPr>
                    <w:tcW w:w="50" w:type="pct"/>
                    <w:hideMark/>
                  </w:tcPr>
                  <w:p w14:paraId="26443A3F" w14:textId="77777777" w:rsidR="002D6947" w:rsidRDefault="002D6947">
                    <w:pPr>
                      <w:pStyle w:val="Bibliographie"/>
                      <w:rPr>
                        <w:rFonts w:eastAsiaTheme="minorEastAsia"/>
                        <w:noProof/>
                      </w:rPr>
                    </w:pPr>
                    <w:r>
                      <w:rPr>
                        <w:noProof/>
                      </w:rPr>
                      <w:t xml:space="preserve">[130] </w:t>
                    </w:r>
                  </w:p>
                </w:tc>
                <w:tc>
                  <w:tcPr>
                    <w:tcW w:w="0" w:type="auto"/>
                    <w:hideMark/>
                  </w:tcPr>
                  <w:p w14:paraId="227B3730" w14:textId="6DB67705" w:rsidR="002D6947" w:rsidRPr="001A768D" w:rsidRDefault="002D6947">
                    <w:pPr>
                      <w:pStyle w:val="Bibliographie"/>
                      <w:rPr>
                        <w:rFonts w:eastAsiaTheme="minorEastAsia"/>
                        <w:noProof/>
                        <w:lang w:val="en-GB"/>
                      </w:rPr>
                    </w:pPr>
                    <w:r w:rsidRPr="001A768D">
                      <w:rPr>
                        <w:noProof/>
                        <w:lang w:val="en-GB"/>
                      </w:rPr>
                      <w:t xml:space="preserve">S. Chatterjee, L. Richert, P. Augustijns et P. Annaert, «Hepatocyte-based in vitro model for assessment of drug-induced cholestasis,» </w:t>
                    </w:r>
                    <w:r w:rsidRPr="001A768D">
                      <w:rPr>
                        <w:i/>
                        <w:iCs/>
                        <w:noProof/>
                        <w:lang w:val="en-GB"/>
                      </w:rPr>
                      <w:t xml:space="preserve">Toxicol Appl Pharmacol, </w:t>
                    </w:r>
                    <w:r w:rsidR="001A768D">
                      <w:rPr>
                        <w:noProof/>
                        <w:lang w:val="en-GB"/>
                      </w:rPr>
                      <w:t xml:space="preserve">vol. 274, </w:t>
                    </w:r>
                    <w:r w:rsidRPr="001A768D">
                      <w:rPr>
                        <w:noProof/>
                        <w:lang w:val="en-GB"/>
                      </w:rPr>
                      <w:t xml:space="preserve">11, pp. 124-36, 2014. </w:t>
                    </w:r>
                  </w:p>
                </w:tc>
              </w:tr>
              <w:tr w:rsidR="002D6947" w:rsidRPr="004B28DB" w14:paraId="54D45CC2" w14:textId="77777777">
                <w:trPr>
                  <w:tblCellSpacing w:w="15" w:type="dxa"/>
                </w:trPr>
                <w:tc>
                  <w:tcPr>
                    <w:tcW w:w="50" w:type="pct"/>
                    <w:hideMark/>
                  </w:tcPr>
                  <w:p w14:paraId="7D1E71B0" w14:textId="77777777" w:rsidR="002D6947" w:rsidRDefault="002D6947">
                    <w:pPr>
                      <w:pStyle w:val="Bibliographie"/>
                      <w:rPr>
                        <w:rFonts w:eastAsiaTheme="minorEastAsia"/>
                        <w:noProof/>
                      </w:rPr>
                    </w:pPr>
                    <w:r>
                      <w:rPr>
                        <w:noProof/>
                      </w:rPr>
                      <w:t xml:space="preserve">[131] </w:t>
                    </w:r>
                  </w:p>
                </w:tc>
                <w:tc>
                  <w:tcPr>
                    <w:tcW w:w="0" w:type="auto"/>
                    <w:hideMark/>
                  </w:tcPr>
                  <w:p w14:paraId="13FC65A6" w14:textId="77777777" w:rsidR="002D6947" w:rsidRPr="001A768D" w:rsidRDefault="002D6947">
                    <w:pPr>
                      <w:pStyle w:val="Bibliographie"/>
                      <w:rPr>
                        <w:rFonts w:eastAsiaTheme="minorEastAsia"/>
                        <w:noProof/>
                        <w:lang w:val="en-GB"/>
                      </w:rPr>
                    </w:pPr>
                    <w:r w:rsidRPr="001A768D">
                      <w:rPr>
                        <w:noProof/>
                        <w:lang w:val="en-GB"/>
                      </w:rPr>
                      <w:t xml:space="preserve">A. Ullrich, C. Berg, I. Hengstler et D. Runge, «Use of a Standardised and Validated Long-term Human Hepatocyte Culture System for Repetitive Analyses of Drugs: Repeated Administrations of Acetaminophen reduces Albumin and Urea Secretion.,» </w:t>
                    </w:r>
                    <w:r w:rsidRPr="001A768D">
                      <w:rPr>
                        <w:i/>
                        <w:iCs/>
                        <w:noProof/>
                        <w:lang w:val="en-GB"/>
                      </w:rPr>
                      <w:t xml:space="preserve">Altex, </w:t>
                    </w:r>
                    <w:r w:rsidRPr="001A768D">
                      <w:rPr>
                        <w:noProof/>
                        <w:lang w:val="en-GB"/>
                      </w:rPr>
                      <w:t xml:space="preserve">vol. 24, pp. 35-40, 2006. </w:t>
                    </w:r>
                  </w:p>
                </w:tc>
              </w:tr>
              <w:tr w:rsidR="002D6947" w:rsidRPr="004B28DB" w14:paraId="044B1478" w14:textId="77777777">
                <w:trPr>
                  <w:tblCellSpacing w:w="15" w:type="dxa"/>
                </w:trPr>
                <w:tc>
                  <w:tcPr>
                    <w:tcW w:w="50" w:type="pct"/>
                    <w:hideMark/>
                  </w:tcPr>
                  <w:p w14:paraId="71F754F1" w14:textId="77777777" w:rsidR="002D6947" w:rsidRDefault="002D6947">
                    <w:pPr>
                      <w:pStyle w:val="Bibliographie"/>
                      <w:rPr>
                        <w:rFonts w:eastAsiaTheme="minorEastAsia"/>
                        <w:noProof/>
                      </w:rPr>
                    </w:pPr>
                    <w:r>
                      <w:rPr>
                        <w:noProof/>
                      </w:rPr>
                      <w:t xml:space="preserve">[132] </w:t>
                    </w:r>
                  </w:p>
                </w:tc>
                <w:tc>
                  <w:tcPr>
                    <w:tcW w:w="0" w:type="auto"/>
                    <w:hideMark/>
                  </w:tcPr>
                  <w:p w14:paraId="388292EB" w14:textId="77777777" w:rsidR="002D6947" w:rsidRPr="001A768D" w:rsidRDefault="002D6947">
                    <w:pPr>
                      <w:pStyle w:val="Bibliographie"/>
                      <w:rPr>
                        <w:rFonts w:eastAsiaTheme="minorEastAsia"/>
                        <w:noProof/>
                        <w:lang w:val="en-GB"/>
                      </w:rPr>
                    </w:pPr>
                    <w:r w:rsidRPr="001A768D">
                      <w:rPr>
                        <w:noProof/>
                        <w:lang w:val="en-GB"/>
                      </w:rPr>
                      <w:t xml:space="preserve">T. Tomida, H. Okamura, M. Satsukawa, T. Yoko et Y. Konno, «The utility of HepaRG cells as an in vitro </w:t>
                    </w:r>
                    <w:r w:rsidRPr="001A768D">
                      <w:rPr>
                        <w:noProof/>
                        <w:lang w:val="en-GB"/>
                      </w:rPr>
                      <w:lastRenderedPageBreak/>
                      <w:t xml:space="preserve">cell-based assay system for assessing drug-induced liver injury,» </w:t>
                    </w:r>
                    <w:r w:rsidRPr="001A768D">
                      <w:rPr>
                        <w:i/>
                        <w:iCs/>
                        <w:noProof/>
                        <w:lang w:val="en-GB"/>
                      </w:rPr>
                      <w:t xml:space="preserve">Toxicology Letters, </w:t>
                    </w:r>
                    <w:r w:rsidRPr="001A768D">
                      <w:rPr>
                        <w:noProof/>
                        <w:lang w:val="en-GB"/>
                      </w:rPr>
                      <w:t xml:space="preserve">vol. 236, pp. 16-24, 2015. </w:t>
                    </w:r>
                  </w:p>
                </w:tc>
              </w:tr>
              <w:tr w:rsidR="002D6947" w:rsidRPr="004B28DB" w14:paraId="6594C167" w14:textId="77777777">
                <w:trPr>
                  <w:tblCellSpacing w:w="15" w:type="dxa"/>
                </w:trPr>
                <w:tc>
                  <w:tcPr>
                    <w:tcW w:w="50" w:type="pct"/>
                    <w:hideMark/>
                  </w:tcPr>
                  <w:p w14:paraId="4F5D03EE" w14:textId="77777777" w:rsidR="002D6947" w:rsidRDefault="002D6947">
                    <w:pPr>
                      <w:pStyle w:val="Bibliographie"/>
                      <w:rPr>
                        <w:rFonts w:eastAsiaTheme="minorEastAsia"/>
                        <w:noProof/>
                      </w:rPr>
                    </w:pPr>
                    <w:r>
                      <w:rPr>
                        <w:noProof/>
                      </w:rPr>
                      <w:lastRenderedPageBreak/>
                      <w:t xml:space="preserve">[133] </w:t>
                    </w:r>
                  </w:p>
                </w:tc>
                <w:tc>
                  <w:tcPr>
                    <w:tcW w:w="0" w:type="auto"/>
                    <w:hideMark/>
                  </w:tcPr>
                  <w:p w14:paraId="3E6C8E1D" w14:textId="11DC9916" w:rsidR="002D6947" w:rsidRPr="001A768D" w:rsidRDefault="002D6947">
                    <w:pPr>
                      <w:pStyle w:val="Bibliographie"/>
                      <w:rPr>
                        <w:rFonts w:eastAsiaTheme="minorEastAsia"/>
                        <w:noProof/>
                        <w:lang w:val="en-GB"/>
                      </w:rPr>
                    </w:pPr>
                    <w:r w:rsidRPr="001A768D">
                      <w:rPr>
                        <w:noProof/>
                        <w:lang w:val="en-GB"/>
                      </w:rPr>
                      <w:t xml:space="preserve">U. Boelsterli et P. Lim, «Mitochondrial abnormalities a link to idiosyncratic drug hepatoxicity,» </w:t>
                    </w:r>
                    <w:r w:rsidRPr="001A768D">
                      <w:rPr>
                        <w:i/>
                        <w:iCs/>
                        <w:noProof/>
                        <w:lang w:val="en-GB"/>
                      </w:rPr>
                      <w:t xml:space="preserve">Toxicol Appl Pharmacol, </w:t>
                    </w:r>
                    <w:r w:rsidR="001A768D">
                      <w:rPr>
                        <w:noProof/>
                        <w:lang w:val="en-GB"/>
                      </w:rPr>
                      <w:t xml:space="preserve">vol. 220, </w:t>
                    </w:r>
                    <w:r w:rsidRPr="001A768D">
                      <w:rPr>
                        <w:noProof/>
                        <w:lang w:val="en-GB"/>
                      </w:rPr>
                      <w:t xml:space="preserve">11, pp. 92-107, 2007. </w:t>
                    </w:r>
                  </w:p>
                </w:tc>
              </w:tr>
              <w:tr w:rsidR="002D6947" w:rsidRPr="004B28DB" w14:paraId="0307029F" w14:textId="77777777">
                <w:trPr>
                  <w:tblCellSpacing w:w="15" w:type="dxa"/>
                </w:trPr>
                <w:tc>
                  <w:tcPr>
                    <w:tcW w:w="50" w:type="pct"/>
                    <w:hideMark/>
                  </w:tcPr>
                  <w:p w14:paraId="16CC8894" w14:textId="77777777" w:rsidR="002D6947" w:rsidRDefault="002D6947">
                    <w:pPr>
                      <w:pStyle w:val="Bibliographie"/>
                      <w:rPr>
                        <w:rFonts w:eastAsiaTheme="minorEastAsia"/>
                        <w:noProof/>
                      </w:rPr>
                    </w:pPr>
                    <w:r>
                      <w:rPr>
                        <w:noProof/>
                      </w:rPr>
                      <w:t xml:space="preserve">[134] </w:t>
                    </w:r>
                  </w:p>
                </w:tc>
                <w:tc>
                  <w:tcPr>
                    <w:tcW w:w="0" w:type="auto"/>
                    <w:hideMark/>
                  </w:tcPr>
                  <w:p w14:paraId="3FA0486B" w14:textId="77777777" w:rsidR="002D6947" w:rsidRPr="001A768D" w:rsidRDefault="002D6947">
                    <w:pPr>
                      <w:pStyle w:val="Bibliographie"/>
                      <w:rPr>
                        <w:rFonts w:eastAsiaTheme="minorEastAsia"/>
                        <w:noProof/>
                        <w:lang w:val="en-GB"/>
                      </w:rPr>
                    </w:pPr>
                    <w:r w:rsidRPr="001A768D">
                      <w:rPr>
                        <w:noProof/>
                        <w:lang w:val="en-GB"/>
                      </w:rPr>
                      <w:t xml:space="preserve">«Isoniazid-induced liver injury and immune response in mice». </w:t>
                    </w:r>
                  </w:p>
                </w:tc>
              </w:tr>
            </w:tbl>
            <w:p w14:paraId="3EFC47C2" w14:textId="77777777" w:rsidR="002D6947" w:rsidRPr="001A768D" w:rsidRDefault="002D6947">
              <w:pPr>
                <w:rPr>
                  <w:noProof/>
                  <w:lang w:val="en-GB"/>
                </w:rPr>
              </w:pPr>
            </w:p>
            <w:p w14:paraId="31D32E4E" w14:textId="124A8088" w:rsidR="00795FE6" w:rsidRDefault="00696EBD" w:rsidP="00696EBD">
              <w:pPr>
                <w:rPr>
                  <w:b/>
                  <w:sz w:val="24"/>
                  <w:szCs w:val="24"/>
                  <w:lang w:val="en-GB"/>
                </w:rPr>
              </w:pPr>
              <w:r>
                <w:fldChar w:fldCharType="end"/>
              </w:r>
            </w:p>
          </w:sdtContent>
        </w:sdt>
      </w:sdtContent>
    </w:sdt>
    <w:p w14:paraId="4512B8B3" w14:textId="5BB3173C" w:rsidR="00021F2B" w:rsidRPr="00D542F0" w:rsidRDefault="000F25CF">
      <w:pPr>
        <w:rPr>
          <w:sz w:val="24"/>
          <w:szCs w:val="24"/>
          <w:lang w:val="en-US"/>
        </w:rPr>
        <w:sectPr w:rsidR="00021F2B" w:rsidRPr="00D542F0" w:rsidSect="00D91712">
          <w:headerReference w:type="default" r:id="rId9"/>
          <w:footerReference w:type="default" r:id="rId10"/>
          <w:pgSz w:w="11907" w:h="16839" w:code="9"/>
          <w:pgMar w:top="1417" w:right="1417" w:bottom="1417" w:left="1417" w:header="720" w:footer="720" w:gutter="0"/>
          <w:cols w:space="720"/>
          <w:docGrid w:linePitch="272"/>
        </w:sectPr>
      </w:pPr>
      <w:r w:rsidRPr="00D542F0" w:rsidDel="000F25CF">
        <w:rPr>
          <w:sz w:val="24"/>
          <w:szCs w:val="24"/>
          <w:lang w:val="en-GB"/>
        </w:rPr>
        <w:t xml:space="preserve"> </w:t>
      </w:r>
      <w:r w:rsidR="00D542F0" w:rsidRPr="00D542F0">
        <w:rPr>
          <w:sz w:val="24"/>
          <w:szCs w:val="24"/>
          <w:lang w:val="en-GB"/>
        </w:rPr>
        <w:t>Papers of special note have been highlighted as either of interest (*) or of considerable interest (**) to readers.</w:t>
      </w:r>
    </w:p>
    <w:p w14:paraId="0DA42BF3" w14:textId="66F0F5CD" w:rsidR="00D67981" w:rsidRPr="00021F2B" w:rsidRDefault="00D67981">
      <w:pPr>
        <w:rPr>
          <w:b/>
          <w:sz w:val="24"/>
          <w:szCs w:val="24"/>
          <w:lang w:val="en-US"/>
        </w:rPr>
      </w:pPr>
    </w:p>
    <w:p w14:paraId="6E36B2EF" w14:textId="77777777" w:rsidR="00E57576" w:rsidRPr="00B72890" w:rsidRDefault="00E57576" w:rsidP="00E57576">
      <w:pPr>
        <w:rPr>
          <w:b/>
          <w:sz w:val="24"/>
          <w:szCs w:val="24"/>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E57576" w:rsidRPr="000F2425" w14:paraId="73200DCE" w14:textId="77777777" w:rsidTr="00464295">
        <w:trPr>
          <w:trHeight w:val="256"/>
        </w:trPr>
        <w:tc>
          <w:tcPr>
            <w:tcW w:w="8046" w:type="dxa"/>
            <w:tcBorders>
              <w:bottom w:val="single" w:sz="4" w:space="0" w:color="auto"/>
            </w:tcBorders>
            <w:shd w:val="clear" w:color="auto" w:fill="auto"/>
          </w:tcPr>
          <w:p w14:paraId="437B7ABA" w14:textId="77777777" w:rsidR="00E57576" w:rsidRPr="00B72890" w:rsidRDefault="00E57576" w:rsidP="00464295">
            <w:pPr>
              <w:jc w:val="center"/>
              <w:rPr>
                <w:b/>
                <w:lang w:val="en-US"/>
              </w:rPr>
            </w:pPr>
            <w:r w:rsidRPr="00B72890">
              <w:rPr>
                <w:b/>
                <w:lang w:val="en-US"/>
              </w:rPr>
              <w:t>ARTICLE HIGHLIGHTS</w:t>
            </w:r>
          </w:p>
        </w:tc>
      </w:tr>
      <w:tr w:rsidR="00E57576" w:rsidRPr="004B28DB" w14:paraId="35979F34" w14:textId="77777777" w:rsidTr="00464295">
        <w:trPr>
          <w:trHeight w:val="256"/>
        </w:trPr>
        <w:tc>
          <w:tcPr>
            <w:tcW w:w="8046" w:type="dxa"/>
            <w:tcBorders>
              <w:top w:val="single" w:sz="4" w:space="0" w:color="auto"/>
              <w:left w:val="single" w:sz="4" w:space="0" w:color="auto"/>
              <w:bottom w:val="nil"/>
              <w:right w:val="single" w:sz="4" w:space="0" w:color="auto"/>
            </w:tcBorders>
            <w:shd w:val="clear" w:color="auto" w:fill="auto"/>
          </w:tcPr>
          <w:p w14:paraId="2FBE88AE" w14:textId="77777777" w:rsidR="00E57576" w:rsidRPr="000F2425" w:rsidRDefault="00E57576" w:rsidP="00464295">
            <w:pPr>
              <w:numPr>
                <w:ilvl w:val="0"/>
                <w:numId w:val="2"/>
              </w:numPr>
              <w:spacing w:line="360" w:lineRule="auto"/>
              <w:rPr>
                <w:lang w:val="en-US"/>
              </w:rPr>
            </w:pPr>
            <w:r w:rsidRPr="000F2425">
              <w:rPr>
                <w:lang w:val="en-US"/>
              </w:rPr>
              <w:t xml:space="preserve">No standard approach exists </w:t>
            </w:r>
            <w:r w:rsidR="00061BD9">
              <w:rPr>
                <w:lang w:val="en-US"/>
              </w:rPr>
              <w:t xml:space="preserve">in the pharmaceutical industry </w:t>
            </w:r>
            <w:r w:rsidRPr="000F2425">
              <w:rPr>
                <w:lang w:val="en-US"/>
              </w:rPr>
              <w:t xml:space="preserve">with respect to </w:t>
            </w:r>
            <w:r w:rsidR="00061BD9">
              <w:rPr>
                <w:lang w:val="en-US"/>
              </w:rPr>
              <w:t xml:space="preserve">the </w:t>
            </w:r>
            <w:r w:rsidRPr="000F2425">
              <w:rPr>
                <w:lang w:val="en-US"/>
              </w:rPr>
              <w:t xml:space="preserve">systematic and sequential use of </w:t>
            </w:r>
            <w:r w:rsidRPr="004275D0">
              <w:rPr>
                <w:i/>
                <w:lang w:val="en-US"/>
              </w:rPr>
              <w:t>in vitro</w:t>
            </w:r>
            <w:r w:rsidRPr="000F2425">
              <w:rPr>
                <w:lang w:val="en-US"/>
              </w:rPr>
              <w:t xml:space="preserve"> test systems for detection of human DILI</w:t>
            </w:r>
          </w:p>
          <w:p w14:paraId="3B8E43F8" w14:textId="77777777" w:rsidR="00E57576" w:rsidRPr="000F2425" w:rsidRDefault="00C45051" w:rsidP="00464295">
            <w:pPr>
              <w:numPr>
                <w:ilvl w:val="0"/>
                <w:numId w:val="2"/>
              </w:numPr>
              <w:spacing w:line="360" w:lineRule="auto"/>
              <w:rPr>
                <w:lang w:val="en-US"/>
              </w:rPr>
            </w:pPr>
            <w:r>
              <w:rPr>
                <w:lang w:val="en-US"/>
              </w:rPr>
              <w:t>Of the numerous tests for DILI, a</w:t>
            </w:r>
            <w:r w:rsidR="00E57576" w:rsidRPr="000F2425">
              <w:rPr>
                <w:lang w:val="en-US"/>
              </w:rPr>
              <w:t xml:space="preserve"> </w:t>
            </w:r>
            <w:r>
              <w:rPr>
                <w:lang w:val="en-US"/>
              </w:rPr>
              <w:t xml:space="preserve">first screen for the detection of cytotoxicity is broadly adopted across </w:t>
            </w:r>
            <w:r w:rsidR="00061BD9">
              <w:rPr>
                <w:lang w:val="en-US"/>
              </w:rPr>
              <w:t xml:space="preserve">the </w:t>
            </w:r>
            <w:r>
              <w:rPr>
                <w:lang w:val="en-US"/>
              </w:rPr>
              <w:t>industry</w:t>
            </w:r>
          </w:p>
          <w:p w14:paraId="2C5C9E03" w14:textId="77777777" w:rsidR="00E57576" w:rsidRPr="000F2425" w:rsidRDefault="00E57576" w:rsidP="00464295">
            <w:pPr>
              <w:numPr>
                <w:ilvl w:val="0"/>
                <w:numId w:val="2"/>
              </w:numPr>
              <w:spacing w:line="360" w:lineRule="auto"/>
              <w:rPr>
                <w:lang w:val="en-US"/>
              </w:rPr>
            </w:pPr>
            <w:r w:rsidRPr="000F2425">
              <w:rPr>
                <w:lang w:val="en-US"/>
              </w:rPr>
              <w:t xml:space="preserve">No test systems </w:t>
            </w:r>
            <w:r w:rsidR="00061BD9">
              <w:rPr>
                <w:lang w:val="en-US"/>
              </w:rPr>
              <w:t>have been</w:t>
            </w:r>
            <w:r w:rsidR="00061BD9" w:rsidRPr="000F2425">
              <w:rPr>
                <w:lang w:val="en-US"/>
              </w:rPr>
              <w:t xml:space="preserve"> </w:t>
            </w:r>
            <w:r w:rsidR="0055277D">
              <w:rPr>
                <w:lang w:val="en-US"/>
              </w:rPr>
              <w:t>robustly evaluated</w:t>
            </w:r>
            <w:r w:rsidRPr="000F2425">
              <w:rPr>
                <w:lang w:val="en-US"/>
              </w:rPr>
              <w:t xml:space="preserve"> for performance and bench-mark</w:t>
            </w:r>
            <w:r w:rsidR="00061BD9">
              <w:rPr>
                <w:lang w:val="en-US"/>
              </w:rPr>
              <w:t>ed</w:t>
            </w:r>
            <w:r w:rsidRPr="000F2425">
              <w:rPr>
                <w:lang w:val="en-US"/>
              </w:rPr>
              <w:t xml:space="preserve"> </w:t>
            </w:r>
            <w:r w:rsidR="00C45051">
              <w:rPr>
                <w:lang w:val="en-US"/>
              </w:rPr>
              <w:t xml:space="preserve">across </w:t>
            </w:r>
            <w:r w:rsidR="00061BD9">
              <w:rPr>
                <w:lang w:val="en-US"/>
              </w:rPr>
              <w:t xml:space="preserve">the </w:t>
            </w:r>
            <w:r w:rsidR="00C45051">
              <w:rPr>
                <w:lang w:val="en-US"/>
              </w:rPr>
              <w:t>industry</w:t>
            </w:r>
          </w:p>
          <w:p w14:paraId="78269E9F" w14:textId="299EC56C" w:rsidR="00E57576" w:rsidRPr="000F2425" w:rsidRDefault="00E57576" w:rsidP="00464295">
            <w:pPr>
              <w:numPr>
                <w:ilvl w:val="0"/>
                <w:numId w:val="2"/>
              </w:numPr>
              <w:spacing w:line="360" w:lineRule="auto"/>
              <w:rPr>
                <w:lang w:val="en-US"/>
              </w:rPr>
            </w:pPr>
            <w:r w:rsidRPr="000F2425">
              <w:rPr>
                <w:lang w:val="en-US"/>
              </w:rPr>
              <w:t xml:space="preserve">A consensus </w:t>
            </w:r>
            <w:r w:rsidR="00061BD9">
              <w:rPr>
                <w:lang w:val="en-US"/>
              </w:rPr>
              <w:t>among</w:t>
            </w:r>
            <w:r w:rsidR="00061BD9" w:rsidRPr="000F2425">
              <w:rPr>
                <w:lang w:val="en-US"/>
              </w:rPr>
              <w:t xml:space="preserve"> </w:t>
            </w:r>
            <w:r w:rsidRPr="000F2425">
              <w:rPr>
                <w:lang w:val="en-US"/>
              </w:rPr>
              <w:t xml:space="preserve">EFPIA members identifies </w:t>
            </w:r>
            <w:r w:rsidR="0055277D">
              <w:rPr>
                <w:lang w:val="en-US"/>
              </w:rPr>
              <w:t>several</w:t>
            </w:r>
            <w:r w:rsidR="0055277D" w:rsidRPr="000F2425">
              <w:rPr>
                <w:lang w:val="en-US"/>
              </w:rPr>
              <w:t xml:space="preserve"> </w:t>
            </w:r>
            <w:r w:rsidRPr="000F2425">
              <w:rPr>
                <w:lang w:val="en-US"/>
              </w:rPr>
              <w:t>major gaps for improvement</w:t>
            </w:r>
            <w:r w:rsidR="00F2766D">
              <w:rPr>
                <w:lang w:val="en-US"/>
              </w:rPr>
              <w:t xml:space="preserve"> for </w:t>
            </w:r>
            <w:r w:rsidR="00ED6756">
              <w:rPr>
                <w:lang w:val="en-US"/>
              </w:rPr>
              <w:t xml:space="preserve">the </w:t>
            </w:r>
            <w:r w:rsidR="00F2766D">
              <w:rPr>
                <w:lang w:val="en-US"/>
              </w:rPr>
              <w:t>detection of DILI</w:t>
            </w:r>
          </w:p>
          <w:p w14:paraId="7CA0292D" w14:textId="2B410128" w:rsidR="00E57576" w:rsidRPr="000F2425" w:rsidRDefault="00ED6756" w:rsidP="00464295">
            <w:pPr>
              <w:numPr>
                <w:ilvl w:val="0"/>
                <w:numId w:val="2"/>
              </w:numPr>
              <w:spacing w:line="360" w:lineRule="auto"/>
              <w:rPr>
                <w:lang w:val="en-US"/>
              </w:rPr>
            </w:pPr>
            <w:r>
              <w:rPr>
                <w:lang w:val="en-US"/>
              </w:rPr>
              <w:t>Greater Industry consensus is likely only</w:t>
            </w:r>
            <w:r w:rsidR="00E57576" w:rsidRPr="000F2425">
              <w:rPr>
                <w:lang w:val="en-US"/>
              </w:rPr>
              <w:t xml:space="preserve"> achievable with systematic evidence-based pharmacological and physiological characterization of routinely used hepatocellular-based cell models and endpoints fit for decision-making in </w:t>
            </w:r>
            <w:r w:rsidR="0019485E">
              <w:rPr>
                <w:lang w:val="en-US"/>
              </w:rPr>
              <w:t>D</w:t>
            </w:r>
            <w:r w:rsidR="00D26048">
              <w:rPr>
                <w:lang w:val="en-US"/>
              </w:rPr>
              <w:t xml:space="preserve">rug </w:t>
            </w:r>
            <w:r w:rsidR="0019485E">
              <w:rPr>
                <w:lang w:val="en-US"/>
              </w:rPr>
              <w:t>D</w:t>
            </w:r>
            <w:r w:rsidR="00E57576" w:rsidRPr="000F2425">
              <w:rPr>
                <w:lang w:val="en-US"/>
              </w:rPr>
              <w:t>iscovery</w:t>
            </w:r>
          </w:p>
          <w:p w14:paraId="0F1CA33F" w14:textId="77777777" w:rsidR="00D26048" w:rsidRDefault="00D26048" w:rsidP="00464295">
            <w:pPr>
              <w:numPr>
                <w:ilvl w:val="0"/>
                <w:numId w:val="2"/>
              </w:numPr>
              <w:spacing w:line="360" w:lineRule="auto"/>
              <w:rPr>
                <w:lang w:val="en-US"/>
              </w:rPr>
            </w:pPr>
            <w:r>
              <w:rPr>
                <w:lang w:val="en-US"/>
              </w:rPr>
              <w:t>Better understanding of DILI will lead to better, predictive in vitro tools in the future</w:t>
            </w:r>
          </w:p>
          <w:p w14:paraId="58AF71C4" w14:textId="77777777" w:rsidR="00E57576" w:rsidRPr="000F2425" w:rsidRDefault="00D26048" w:rsidP="00464295">
            <w:pPr>
              <w:numPr>
                <w:ilvl w:val="0"/>
                <w:numId w:val="2"/>
              </w:numPr>
              <w:spacing w:line="360" w:lineRule="auto"/>
              <w:rPr>
                <w:lang w:val="en-US"/>
              </w:rPr>
            </w:pPr>
            <w:r>
              <w:rPr>
                <w:lang w:val="en-US"/>
              </w:rPr>
              <w:t xml:space="preserve">3D </w:t>
            </w:r>
            <w:proofErr w:type="spellStart"/>
            <w:r>
              <w:rPr>
                <w:lang w:val="en-US"/>
              </w:rPr>
              <w:t>microphysiolog</w:t>
            </w:r>
            <w:r w:rsidR="006F66D5">
              <w:rPr>
                <w:lang w:val="en-US"/>
              </w:rPr>
              <w:t>ic</w:t>
            </w:r>
            <w:r>
              <w:rPr>
                <w:lang w:val="en-US"/>
              </w:rPr>
              <w:t>al</w:t>
            </w:r>
            <w:proofErr w:type="spellEnd"/>
            <w:r>
              <w:rPr>
                <w:lang w:val="en-US"/>
              </w:rPr>
              <w:t xml:space="preserve"> cell models are exciting, but still require </w:t>
            </w:r>
            <w:r w:rsidR="00061BD9">
              <w:rPr>
                <w:lang w:val="en-US"/>
              </w:rPr>
              <w:t xml:space="preserve">characterization and </w:t>
            </w:r>
            <w:r>
              <w:rPr>
                <w:lang w:val="en-US"/>
              </w:rPr>
              <w:t xml:space="preserve">validation for acceptance </w:t>
            </w:r>
            <w:r w:rsidR="0055277D">
              <w:rPr>
                <w:lang w:val="en-US"/>
              </w:rPr>
              <w:t xml:space="preserve">and application </w:t>
            </w:r>
            <w:r>
              <w:rPr>
                <w:lang w:val="en-US"/>
              </w:rPr>
              <w:t>within EFPIA companies</w:t>
            </w:r>
          </w:p>
          <w:p w14:paraId="5DAC49C9" w14:textId="77777777" w:rsidR="00E57576" w:rsidRPr="000F2425" w:rsidRDefault="00E57576" w:rsidP="00464295">
            <w:pPr>
              <w:rPr>
                <w:lang w:val="en-US"/>
              </w:rPr>
            </w:pPr>
          </w:p>
        </w:tc>
      </w:tr>
      <w:tr w:rsidR="00E57576" w:rsidRPr="004B28DB" w14:paraId="253BDBF5" w14:textId="77777777" w:rsidTr="00464295">
        <w:trPr>
          <w:trHeight w:val="70"/>
        </w:trPr>
        <w:tc>
          <w:tcPr>
            <w:tcW w:w="8046" w:type="dxa"/>
            <w:tcBorders>
              <w:top w:val="single" w:sz="4" w:space="0" w:color="auto"/>
            </w:tcBorders>
            <w:shd w:val="clear" w:color="auto" w:fill="auto"/>
          </w:tcPr>
          <w:p w14:paraId="14C3590C" w14:textId="77777777" w:rsidR="00E57576" w:rsidRPr="000F2425" w:rsidRDefault="00E57576" w:rsidP="00464295">
            <w:pPr>
              <w:rPr>
                <w:lang w:val="en-US"/>
              </w:rPr>
            </w:pPr>
            <w:r w:rsidRPr="000F2425">
              <w:rPr>
                <w:lang w:val="en-US"/>
              </w:rPr>
              <w:t>This Box summarizes key points contained in this article</w:t>
            </w:r>
          </w:p>
        </w:tc>
      </w:tr>
    </w:tbl>
    <w:p w14:paraId="0471FB22" w14:textId="77777777" w:rsidR="00E57576" w:rsidRDefault="00464295" w:rsidP="00E57576">
      <w:pPr>
        <w:rPr>
          <w:lang w:val="en-US"/>
        </w:rPr>
      </w:pPr>
      <w:r>
        <w:rPr>
          <w:lang w:val="en-US"/>
        </w:rPr>
        <w:br w:type="textWrapping" w:clear="all"/>
      </w:r>
    </w:p>
    <w:p w14:paraId="23BBF283" w14:textId="77777777" w:rsidR="00E57576" w:rsidRDefault="00E57576" w:rsidP="00E57576">
      <w:pPr>
        <w:rPr>
          <w:lang w:val="en-US"/>
        </w:rPr>
      </w:pPr>
    </w:p>
    <w:p w14:paraId="7C53570A" w14:textId="77777777" w:rsidR="00BB2080" w:rsidRDefault="00B72890" w:rsidP="00BB2080">
      <w:pPr>
        <w:rPr>
          <w:lang w:val="en-US"/>
        </w:rPr>
      </w:pPr>
      <w:r>
        <w:rPr>
          <w:lang w:val="en-US"/>
        </w:rPr>
        <w:br w:type="page"/>
      </w:r>
    </w:p>
    <w:p w14:paraId="243F1777" w14:textId="7FB15EDA" w:rsidR="00BB2080" w:rsidRPr="00BB2080" w:rsidRDefault="00BB2080" w:rsidP="00BB2080">
      <w:pPr>
        <w:rPr>
          <w:b/>
          <w:sz w:val="22"/>
          <w:lang w:val="en-US"/>
        </w:rPr>
      </w:pPr>
      <w:proofErr w:type="gramStart"/>
      <w:r w:rsidRPr="00BB2080">
        <w:rPr>
          <w:b/>
          <w:sz w:val="22"/>
          <w:lang w:val="en-US"/>
        </w:rPr>
        <w:lastRenderedPageBreak/>
        <w:t>Table 1.</w:t>
      </w:r>
      <w:proofErr w:type="gramEnd"/>
      <w:r w:rsidR="00484665">
        <w:rPr>
          <w:b/>
          <w:sz w:val="22"/>
          <w:lang w:val="en-US"/>
        </w:rPr>
        <w:t xml:space="preserve"> Cytotoxicity and c</w:t>
      </w:r>
      <w:r w:rsidR="00AD452B">
        <w:rPr>
          <w:b/>
          <w:sz w:val="22"/>
          <w:lang w:val="en-US"/>
        </w:rPr>
        <w:t>ell health</w:t>
      </w:r>
      <w:r w:rsidR="00AD452B" w:rsidRPr="00BB2080">
        <w:rPr>
          <w:b/>
          <w:sz w:val="22"/>
          <w:lang w:val="en-US"/>
        </w:rPr>
        <w:t xml:space="preserve"> </w:t>
      </w:r>
      <w:r w:rsidRPr="00BB2080">
        <w:rPr>
          <w:b/>
          <w:sz w:val="22"/>
          <w:lang w:val="en-US"/>
        </w:rPr>
        <w:t>endpoint assays</w:t>
      </w:r>
    </w:p>
    <w:p w14:paraId="2373FB63" w14:textId="77777777" w:rsidR="00BB2080" w:rsidRPr="00525724" w:rsidRDefault="00BB2080" w:rsidP="00BB2080">
      <w:pPr>
        <w:rPr>
          <w:lang w:val="en-US"/>
        </w:rPr>
      </w:pPr>
    </w:p>
    <w:tbl>
      <w:tblPr>
        <w:tblW w:w="8613" w:type="dxa"/>
        <w:tblBorders>
          <w:top w:val="single" w:sz="8" w:space="0" w:color="000000"/>
          <w:bottom w:val="single" w:sz="8" w:space="0" w:color="000000"/>
        </w:tblBorders>
        <w:tblLook w:val="04A0" w:firstRow="1" w:lastRow="0" w:firstColumn="1" w:lastColumn="0" w:noHBand="0" w:noVBand="1"/>
      </w:tblPr>
      <w:tblGrid>
        <w:gridCol w:w="2240"/>
        <w:gridCol w:w="1270"/>
        <w:gridCol w:w="1276"/>
        <w:gridCol w:w="1559"/>
        <w:gridCol w:w="2268"/>
      </w:tblGrid>
      <w:tr w:rsidR="00895631" w:rsidRPr="0091469C" w14:paraId="41CD85BB" w14:textId="77777777" w:rsidTr="0091469C">
        <w:trPr>
          <w:trHeight w:val="300"/>
        </w:trPr>
        <w:tc>
          <w:tcPr>
            <w:tcW w:w="2240" w:type="dxa"/>
            <w:tcBorders>
              <w:top w:val="single" w:sz="8" w:space="0" w:color="000000"/>
              <w:left w:val="nil"/>
              <w:bottom w:val="single" w:sz="8" w:space="0" w:color="000000"/>
              <w:right w:val="nil"/>
            </w:tcBorders>
            <w:shd w:val="clear" w:color="auto" w:fill="auto"/>
            <w:noWrap/>
            <w:hideMark/>
          </w:tcPr>
          <w:p w14:paraId="337FBF8F" w14:textId="77777777" w:rsidR="00895631" w:rsidRPr="0091469C" w:rsidRDefault="00895631" w:rsidP="0091469C">
            <w:pPr>
              <w:jc w:val="center"/>
              <w:rPr>
                <w:rFonts w:ascii="Calibri" w:hAnsi="Calibri" w:cs="Calibri"/>
                <w:b/>
                <w:bCs/>
                <w:color w:val="000000"/>
                <w:sz w:val="22"/>
                <w:lang w:val="en-GB"/>
              </w:rPr>
            </w:pPr>
            <w:r w:rsidRPr="0091469C">
              <w:rPr>
                <w:rFonts w:ascii="Calibri" w:hAnsi="Calibri" w:cs="Calibri"/>
                <w:b/>
                <w:bCs/>
                <w:color w:val="000000"/>
                <w:sz w:val="22"/>
                <w:lang w:val="en-GB"/>
              </w:rPr>
              <w:t> </w:t>
            </w:r>
          </w:p>
        </w:tc>
        <w:tc>
          <w:tcPr>
            <w:tcW w:w="1270" w:type="dxa"/>
            <w:tcBorders>
              <w:top w:val="single" w:sz="8" w:space="0" w:color="000000"/>
              <w:left w:val="nil"/>
              <w:bottom w:val="single" w:sz="8" w:space="0" w:color="000000"/>
              <w:right w:val="nil"/>
            </w:tcBorders>
            <w:shd w:val="clear" w:color="auto" w:fill="auto"/>
            <w:noWrap/>
            <w:hideMark/>
          </w:tcPr>
          <w:p w14:paraId="46E4AC70" w14:textId="77777777" w:rsidR="00895631" w:rsidRPr="0091469C" w:rsidRDefault="00895631" w:rsidP="0091469C">
            <w:pPr>
              <w:jc w:val="center"/>
              <w:rPr>
                <w:rFonts w:ascii="Calibri" w:hAnsi="Calibri" w:cs="Calibri"/>
                <w:b/>
                <w:bCs/>
                <w:color w:val="000000"/>
                <w:sz w:val="22"/>
                <w:lang w:val="en-GB"/>
              </w:rPr>
            </w:pPr>
            <w:r w:rsidRPr="0091469C">
              <w:rPr>
                <w:rFonts w:ascii="Calibri" w:hAnsi="Calibri" w:cs="Calibri"/>
                <w:b/>
                <w:bCs/>
                <w:color w:val="000000"/>
                <w:sz w:val="22"/>
                <w:lang w:val="en-GB"/>
              </w:rPr>
              <w:t xml:space="preserve">Functional </w:t>
            </w:r>
          </w:p>
        </w:tc>
        <w:tc>
          <w:tcPr>
            <w:tcW w:w="1276" w:type="dxa"/>
            <w:tcBorders>
              <w:top w:val="single" w:sz="8" w:space="0" w:color="000000"/>
              <w:left w:val="nil"/>
              <w:bottom w:val="single" w:sz="8" w:space="0" w:color="000000"/>
              <w:right w:val="nil"/>
            </w:tcBorders>
            <w:shd w:val="clear" w:color="auto" w:fill="auto"/>
            <w:noWrap/>
            <w:hideMark/>
          </w:tcPr>
          <w:p w14:paraId="4DB81635" w14:textId="77777777" w:rsidR="00895631" w:rsidRPr="0091469C" w:rsidRDefault="00895631" w:rsidP="0091469C">
            <w:pPr>
              <w:jc w:val="center"/>
              <w:rPr>
                <w:rFonts w:ascii="Calibri" w:hAnsi="Calibri" w:cs="Calibri"/>
                <w:b/>
                <w:bCs/>
                <w:color w:val="000000"/>
                <w:sz w:val="22"/>
                <w:lang w:val="en-GB"/>
              </w:rPr>
            </w:pPr>
            <w:r w:rsidRPr="0091469C">
              <w:rPr>
                <w:rFonts w:ascii="Calibri" w:hAnsi="Calibri" w:cs="Calibri"/>
                <w:b/>
                <w:bCs/>
                <w:color w:val="000000"/>
                <w:sz w:val="22"/>
                <w:lang w:val="en-GB"/>
              </w:rPr>
              <w:t xml:space="preserve">Gene </w:t>
            </w:r>
          </w:p>
        </w:tc>
        <w:tc>
          <w:tcPr>
            <w:tcW w:w="1559" w:type="dxa"/>
            <w:tcBorders>
              <w:top w:val="single" w:sz="8" w:space="0" w:color="000000"/>
              <w:left w:val="nil"/>
              <w:bottom w:val="single" w:sz="8" w:space="0" w:color="000000"/>
              <w:right w:val="nil"/>
            </w:tcBorders>
            <w:shd w:val="clear" w:color="auto" w:fill="auto"/>
          </w:tcPr>
          <w:p w14:paraId="2A38E112" w14:textId="77777777" w:rsidR="00895631" w:rsidRPr="0091469C" w:rsidRDefault="00895631" w:rsidP="0091469C">
            <w:pPr>
              <w:jc w:val="center"/>
              <w:rPr>
                <w:rFonts w:ascii="Calibri" w:hAnsi="Calibri" w:cs="Calibri"/>
                <w:b/>
                <w:bCs/>
                <w:color w:val="000000"/>
                <w:sz w:val="22"/>
                <w:lang w:val="en-GB"/>
              </w:rPr>
            </w:pPr>
            <w:r w:rsidRPr="0091469C">
              <w:rPr>
                <w:rFonts w:ascii="Calibri" w:hAnsi="Calibri" w:cs="Calibri"/>
                <w:b/>
                <w:bCs/>
                <w:color w:val="000000"/>
                <w:sz w:val="22"/>
                <w:lang w:val="en-GB"/>
              </w:rPr>
              <w:t xml:space="preserve">Mitochondrial </w:t>
            </w:r>
          </w:p>
        </w:tc>
        <w:tc>
          <w:tcPr>
            <w:tcW w:w="2268" w:type="dxa"/>
            <w:tcBorders>
              <w:top w:val="single" w:sz="8" w:space="0" w:color="000000"/>
              <w:left w:val="nil"/>
              <w:bottom w:val="single" w:sz="8" w:space="0" w:color="000000"/>
              <w:right w:val="nil"/>
            </w:tcBorders>
            <w:shd w:val="clear" w:color="auto" w:fill="auto"/>
          </w:tcPr>
          <w:p w14:paraId="631F4601" w14:textId="77777777" w:rsidR="00895631" w:rsidRPr="0091469C" w:rsidRDefault="00895631" w:rsidP="0091469C">
            <w:pPr>
              <w:jc w:val="center"/>
              <w:rPr>
                <w:rFonts w:ascii="Calibri" w:hAnsi="Calibri" w:cs="Calibri"/>
                <w:b/>
                <w:bCs/>
                <w:color w:val="000000"/>
                <w:sz w:val="22"/>
                <w:lang w:val="en-GB"/>
              </w:rPr>
            </w:pPr>
            <w:r w:rsidRPr="0091469C">
              <w:rPr>
                <w:rFonts w:ascii="Calibri" w:hAnsi="Calibri" w:cs="Calibri"/>
                <w:b/>
                <w:bCs/>
                <w:color w:val="000000"/>
                <w:sz w:val="22"/>
                <w:lang w:val="en-GB"/>
              </w:rPr>
              <w:t>Entire cell toxicity</w:t>
            </w:r>
          </w:p>
        </w:tc>
      </w:tr>
      <w:tr w:rsidR="00895631" w:rsidRPr="0091469C" w14:paraId="2AE79BB2" w14:textId="77777777" w:rsidTr="0091469C">
        <w:trPr>
          <w:trHeight w:val="300"/>
        </w:trPr>
        <w:tc>
          <w:tcPr>
            <w:tcW w:w="2240" w:type="dxa"/>
            <w:tcBorders>
              <w:left w:val="nil"/>
              <w:right w:val="nil"/>
            </w:tcBorders>
            <w:shd w:val="clear" w:color="auto" w:fill="C0C0C0"/>
            <w:noWrap/>
            <w:hideMark/>
          </w:tcPr>
          <w:p w14:paraId="049029F5" w14:textId="77777777" w:rsidR="00895631" w:rsidRPr="0091469C" w:rsidRDefault="00895631" w:rsidP="003A099E">
            <w:pPr>
              <w:spacing w:before="240"/>
              <w:jc w:val="center"/>
              <w:rPr>
                <w:rFonts w:ascii="Calibri" w:hAnsi="Calibri" w:cs="Calibri"/>
                <w:b/>
                <w:bCs/>
                <w:color w:val="000000"/>
                <w:sz w:val="18"/>
                <w:lang w:val="en-GB"/>
              </w:rPr>
            </w:pPr>
            <w:r w:rsidRPr="0091469C">
              <w:rPr>
                <w:rFonts w:ascii="Calibri" w:hAnsi="Calibri" w:cs="Calibri"/>
                <w:b/>
                <w:bCs/>
                <w:color w:val="000000"/>
                <w:sz w:val="18"/>
                <w:lang w:val="en-GB"/>
              </w:rPr>
              <w:t xml:space="preserve">ATP, MTT, </w:t>
            </w:r>
            <w:proofErr w:type="spellStart"/>
            <w:r w:rsidR="003A099E" w:rsidRPr="0091469C">
              <w:rPr>
                <w:rFonts w:ascii="Calibri" w:hAnsi="Calibri" w:cs="Calibri"/>
                <w:b/>
                <w:bCs/>
                <w:color w:val="000000"/>
                <w:sz w:val="18"/>
                <w:lang w:val="en-GB"/>
              </w:rPr>
              <w:t>Re</w:t>
            </w:r>
            <w:r w:rsidR="003A099E">
              <w:rPr>
                <w:rFonts w:ascii="Calibri" w:hAnsi="Calibri" w:cs="Calibri"/>
                <w:b/>
                <w:bCs/>
                <w:color w:val="000000"/>
                <w:sz w:val="18"/>
                <w:lang w:val="en-GB"/>
              </w:rPr>
              <w:t>zas</w:t>
            </w:r>
            <w:r w:rsidR="003A099E" w:rsidRPr="0091469C">
              <w:rPr>
                <w:rFonts w:ascii="Calibri" w:hAnsi="Calibri" w:cs="Calibri"/>
                <w:b/>
                <w:bCs/>
                <w:color w:val="000000"/>
                <w:sz w:val="18"/>
                <w:lang w:val="en-GB"/>
              </w:rPr>
              <w:t>urin</w:t>
            </w:r>
            <w:proofErr w:type="spellEnd"/>
          </w:p>
        </w:tc>
        <w:tc>
          <w:tcPr>
            <w:tcW w:w="1270" w:type="dxa"/>
            <w:tcBorders>
              <w:left w:val="nil"/>
              <w:right w:val="nil"/>
            </w:tcBorders>
            <w:shd w:val="clear" w:color="auto" w:fill="C0C0C0"/>
            <w:noWrap/>
            <w:hideMark/>
          </w:tcPr>
          <w:p w14:paraId="29A6595F"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X</w:t>
            </w:r>
          </w:p>
        </w:tc>
        <w:tc>
          <w:tcPr>
            <w:tcW w:w="1276" w:type="dxa"/>
            <w:tcBorders>
              <w:left w:val="nil"/>
              <w:right w:val="nil"/>
            </w:tcBorders>
            <w:shd w:val="clear" w:color="auto" w:fill="C0C0C0"/>
            <w:noWrap/>
            <w:hideMark/>
          </w:tcPr>
          <w:p w14:paraId="6DBF6248"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 </w:t>
            </w:r>
          </w:p>
        </w:tc>
        <w:tc>
          <w:tcPr>
            <w:tcW w:w="1559" w:type="dxa"/>
            <w:tcBorders>
              <w:left w:val="nil"/>
              <w:right w:val="nil"/>
            </w:tcBorders>
            <w:shd w:val="clear" w:color="auto" w:fill="C0C0C0"/>
          </w:tcPr>
          <w:p w14:paraId="622A5D04"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X</w:t>
            </w:r>
          </w:p>
        </w:tc>
        <w:tc>
          <w:tcPr>
            <w:tcW w:w="2268" w:type="dxa"/>
            <w:tcBorders>
              <w:left w:val="nil"/>
              <w:right w:val="nil"/>
            </w:tcBorders>
            <w:shd w:val="clear" w:color="auto" w:fill="C0C0C0"/>
          </w:tcPr>
          <w:p w14:paraId="0E3F3BD9" w14:textId="77777777" w:rsidR="00895631" w:rsidRPr="0091469C" w:rsidRDefault="00895631" w:rsidP="0091469C">
            <w:pPr>
              <w:spacing w:before="240"/>
              <w:jc w:val="center"/>
              <w:rPr>
                <w:rFonts w:ascii="Calibri" w:hAnsi="Calibri" w:cs="Calibri"/>
                <w:b/>
                <w:color w:val="000000"/>
                <w:sz w:val="18"/>
                <w:lang w:val="en-GB"/>
              </w:rPr>
            </w:pPr>
          </w:p>
        </w:tc>
      </w:tr>
      <w:tr w:rsidR="00895631" w:rsidRPr="0091469C" w14:paraId="6EDD3704" w14:textId="77777777" w:rsidTr="0091469C">
        <w:trPr>
          <w:trHeight w:val="300"/>
        </w:trPr>
        <w:tc>
          <w:tcPr>
            <w:tcW w:w="2240" w:type="dxa"/>
            <w:shd w:val="clear" w:color="auto" w:fill="auto"/>
            <w:noWrap/>
            <w:hideMark/>
          </w:tcPr>
          <w:p w14:paraId="124CC76B" w14:textId="77777777" w:rsidR="00895631" w:rsidRPr="0091469C" w:rsidRDefault="00895631" w:rsidP="0091469C">
            <w:pPr>
              <w:spacing w:before="240"/>
              <w:jc w:val="center"/>
              <w:rPr>
                <w:rFonts w:ascii="Calibri" w:hAnsi="Calibri" w:cs="Calibri"/>
                <w:b/>
                <w:bCs/>
                <w:color w:val="000000"/>
                <w:sz w:val="18"/>
                <w:lang w:val="en-GB"/>
              </w:rPr>
            </w:pPr>
            <w:r w:rsidRPr="0091469C">
              <w:rPr>
                <w:rFonts w:ascii="Calibri" w:hAnsi="Calibri" w:cs="Calibri"/>
                <w:b/>
                <w:bCs/>
                <w:color w:val="000000"/>
                <w:sz w:val="18"/>
                <w:lang w:val="en-GB"/>
              </w:rPr>
              <w:t>LDH release</w:t>
            </w:r>
          </w:p>
        </w:tc>
        <w:tc>
          <w:tcPr>
            <w:tcW w:w="1270" w:type="dxa"/>
            <w:shd w:val="clear" w:color="auto" w:fill="auto"/>
            <w:noWrap/>
            <w:hideMark/>
          </w:tcPr>
          <w:p w14:paraId="268B1FDA"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X</w:t>
            </w:r>
          </w:p>
        </w:tc>
        <w:tc>
          <w:tcPr>
            <w:tcW w:w="1276" w:type="dxa"/>
            <w:shd w:val="clear" w:color="auto" w:fill="auto"/>
            <w:noWrap/>
            <w:hideMark/>
          </w:tcPr>
          <w:p w14:paraId="4251A8B7"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 </w:t>
            </w:r>
          </w:p>
        </w:tc>
        <w:tc>
          <w:tcPr>
            <w:tcW w:w="1559" w:type="dxa"/>
            <w:shd w:val="clear" w:color="auto" w:fill="auto"/>
          </w:tcPr>
          <w:p w14:paraId="51C24900" w14:textId="77777777" w:rsidR="00895631" w:rsidRPr="0091469C" w:rsidRDefault="00895631" w:rsidP="0091469C">
            <w:pPr>
              <w:spacing w:before="240"/>
              <w:jc w:val="center"/>
              <w:rPr>
                <w:rFonts w:ascii="Calibri" w:hAnsi="Calibri" w:cs="Calibri"/>
                <w:b/>
                <w:color w:val="000000"/>
                <w:sz w:val="18"/>
                <w:lang w:val="en-GB"/>
              </w:rPr>
            </w:pPr>
          </w:p>
        </w:tc>
        <w:tc>
          <w:tcPr>
            <w:tcW w:w="2268" w:type="dxa"/>
            <w:shd w:val="clear" w:color="auto" w:fill="auto"/>
          </w:tcPr>
          <w:p w14:paraId="25775AA5"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X</w:t>
            </w:r>
          </w:p>
        </w:tc>
      </w:tr>
      <w:tr w:rsidR="00895631" w:rsidRPr="0091469C" w14:paraId="38B251B8" w14:textId="77777777" w:rsidTr="0091469C">
        <w:trPr>
          <w:trHeight w:val="300"/>
        </w:trPr>
        <w:tc>
          <w:tcPr>
            <w:tcW w:w="2240" w:type="dxa"/>
            <w:tcBorders>
              <w:left w:val="nil"/>
              <w:right w:val="nil"/>
            </w:tcBorders>
            <w:shd w:val="clear" w:color="auto" w:fill="C0C0C0"/>
            <w:noWrap/>
            <w:hideMark/>
          </w:tcPr>
          <w:p w14:paraId="379494CE" w14:textId="77777777" w:rsidR="00895631" w:rsidRPr="0091469C" w:rsidRDefault="00895631" w:rsidP="0091469C">
            <w:pPr>
              <w:spacing w:before="240"/>
              <w:jc w:val="center"/>
              <w:rPr>
                <w:rFonts w:ascii="Calibri" w:hAnsi="Calibri" w:cs="Calibri"/>
                <w:b/>
                <w:bCs/>
                <w:color w:val="000000"/>
                <w:sz w:val="18"/>
                <w:lang w:val="en-GB"/>
              </w:rPr>
            </w:pPr>
            <w:r w:rsidRPr="0091469C">
              <w:rPr>
                <w:rFonts w:ascii="Calibri" w:hAnsi="Calibri" w:cs="Calibri"/>
                <w:b/>
                <w:bCs/>
                <w:color w:val="000000"/>
                <w:sz w:val="18"/>
                <w:lang w:val="en-GB"/>
              </w:rPr>
              <w:t>CFDA-AM</w:t>
            </w:r>
          </w:p>
        </w:tc>
        <w:tc>
          <w:tcPr>
            <w:tcW w:w="1270" w:type="dxa"/>
            <w:tcBorders>
              <w:left w:val="nil"/>
              <w:right w:val="nil"/>
            </w:tcBorders>
            <w:shd w:val="clear" w:color="auto" w:fill="C0C0C0"/>
            <w:noWrap/>
            <w:hideMark/>
          </w:tcPr>
          <w:p w14:paraId="5A1D8285"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X</w:t>
            </w:r>
          </w:p>
        </w:tc>
        <w:tc>
          <w:tcPr>
            <w:tcW w:w="1276" w:type="dxa"/>
            <w:tcBorders>
              <w:left w:val="nil"/>
              <w:right w:val="nil"/>
            </w:tcBorders>
            <w:shd w:val="clear" w:color="auto" w:fill="C0C0C0"/>
            <w:noWrap/>
            <w:hideMark/>
          </w:tcPr>
          <w:p w14:paraId="3925006F"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 </w:t>
            </w:r>
          </w:p>
        </w:tc>
        <w:tc>
          <w:tcPr>
            <w:tcW w:w="1559" w:type="dxa"/>
            <w:tcBorders>
              <w:left w:val="nil"/>
              <w:right w:val="nil"/>
            </w:tcBorders>
            <w:shd w:val="clear" w:color="auto" w:fill="C0C0C0"/>
          </w:tcPr>
          <w:p w14:paraId="5B8E6D2D" w14:textId="77777777" w:rsidR="00895631" w:rsidRPr="0091469C" w:rsidRDefault="00895631" w:rsidP="0091469C">
            <w:pPr>
              <w:spacing w:before="240"/>
              <w:jc w:val="center"/>
              <w:rPr>
                <w:rFonts w:ascii="Calibri" w:hAnsi="Calibri" w:cs="Calibri"/>
                <w:b/>
                <w:color w:val="000000"/>
                <w:sz w:val="18"/>
                <w:lang w:val="en-GB"/>
              </w:rPr>
            </w:pPr>
          </w:p>
        </w:tc>
        <w:tc>
          <w:tcPr>
            <w:tcW w:w="2268" w:type="dxa"/>
            <w:tcBorders>
              <w:left w:val="nil"/>
              <w:right w:val="nil"/>
            </w:tcBorders>
            <w:shd w:val="clear" w:color="auto" w:fill="C0C0C0"/>
          </w:tcPr>
          <w:p w14:paraId="01FF42CD"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X</w:t>
            </w:r>
          </w:p>
        </w:tc>
      </w:tr>
      <w:tr w:rsidR="00895631" w:rsidRPr="0091469C" w14:paraId="665309A1" w14:textId="77777777" w:rsidTr="0091469C">
        <w:trPr>
          <w:trHeight w:val="300"/>
        </w:trPr>
        <w:tc>
          <w:tcPr>
            <w:tcW w:w="2240" w:type="dxa"/>
            <w:shd w:val="clear" w:color="auto" w:fill="auto"/>
            <w:noWrap/>
            <w:hideMark/>
          </w:tcPr>
          <w:p w14:paraId="2BF5CFDF" w14:textId="77777777" w:rsidR="00895631" w:rsidRPr="0091469C" w:rsidRDefault="00895631" w:rsidP="0091469C">
            <w:pPr>
              <w:spacing w:before="240"/>
              <w:jc w:val="center"/>
              <w:rPr>
                <w:rFonts w:ascii="Calibri" w:hAnsi="Calibri" w:cs="Calibri"/>
                <w:b/>
                <w:bCs/>
                <w:color w:val="000000"/>
                <w:sz w:val="18"/>
                <w:lang w:val="en-GB"/>
              </w:rPr>
            </w:pPr>
            <w:r w:rsidRPr="0091469C">
              <w:rPr>
                <w:rFonts w:ascii="Calibri" w:hAnsi="Calibri" w:cs="Calibri"/>
                <w:b/>
                <w:bCs/>
                <w:color w:val="000000"/>
                <w:sz w:val="18"/>
                <w:lang w:val="en-GB"/>
              </w:rPr>
              <w:t>Neutral Red</w:t>
            </w:r>
          </w:p>
        </w:tc>
        <w:tc>
          <w:tcPr>
            <w:tcW w:w="1270" w:type="dxa"/>
            <w:shd w:val="clear" w:color="auto" w:fill="auto"/>
            <w:noWrap/>
            <w:hideMark/>
          </w:tcPr>
          <w:p w14:paraId="10346832"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X</w:t>
            </w:r>
          </w:p>
        </w:tc>
        <w:tc>
          <w:tcPr>
            <w:tcW w:w="1276" w:type="dxa"/>
            <w:shd w:val="clear" w:color="auto" w:fill="auto"/>
            <w:noWrap/>
            <w:hideMark/>
          </w:tcPr>
          <w:p w14:paraId="458DF2E5"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 </w:t>
            </w:r>
          </w:p>
        </w:tc>
        <w:tc>
          <w:tcPr>
            <w:tcW w:w="1559" w:type="dxa"/>
            <w:shd w:val="clear" w:color="auto" w:fill="auto"/>
          </w:tcPr>
          <w:p w14:paraId="71AC25E3" w14:textId="77777777" w:rsidR="00895631" w:rsidRPr="0091469C" w:rsidRDefault="00895631" w:rsidP="0091469C">
            <w:pPr>
              <w:spacing w:before="240"/>
              <w:jc w:val="center"/>
              <w:rPr>
                <w:rFonts w:ascii="Calibri" w:hAnsi="Calibri" w:cs="Calibri"/>
                <w:b/>
                <w:color w:val="000000"/>
                <w:sz w:val="18"/>
                <w:lang w:val="en-GB"/>
              </w:rPr>
            </w:pPr>
          </w:p>
        </w:tc>
        <w:tc>
          <w:tcPr>
            <w:tcW w:w="2268" w:type="dxa"/>
            <w:shd w:val="clear" w:color="auto" w:fill="auto"/>
          </w:tcPr>
          <w:p w14:paraId="7436687A"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X</w:t>
            </w:r>
          </w:p>
        </w:tc>
      </w:tr>
      <w:tr w:rsidR="00895631" w:rsidRPr="0091469C" w14:paraId="11EBBA08" w14:textId="77777777" w:rsidTr="0091469C">
        <w:trPr>
          <w:trHeight w:val="300"/>
        </w:trPr>
        <w:tc>
          <w:tcPr>
            <w:tcW w:w="2240" w:type="dxa"/>
            <w:tcBorders>
              <w:left w:val="nil"/>
              <w:right w:val="nil"/>
            </w:tcBorders>
            <w:shd w:val="clear" w:color="auto" w:fill="C0C0C0"/>
            <w:noWrap/>
            <w:hideMark/>
          </w:tcPr>
          <w:p w14:paraId="1AA54254" w14:textId="77777777" w:rsidR="00895631" w:rsidRPr="0091469C" w:rsidRDefault="00895631" w:rsidP="0091469C">
            <w:pPr>
              <w:spacing w:before="240"/>
              <w:jc w:val="center"/>
              <w:rPr>
                <w:rFonts w:ascii="Calibri" w:hAnsi="Calibri" w:cs="Calibri"/>
                <w:b/>
                <w:bCs/>
                <w:color w:val="000000"/>
                <w:sz w:val="18"/>
                <w:lang w:val="en-GB"/>
              </w:rPr>
            </w:pPr>
            <w:r w:rsidRPr="0091469C">
              <w:rPr>
                <w:rFonts w:ascii="Calibri" w:hAnsi="Calibri" w:cs="Calibri"/>
                <w:b/>
                <w:bCs/>
                <w:color w:val="000000"/>
                <w:sz w:val="18"/>
                <w:lang w:val="en-GB"/>
              </w:rPr>
              <w:t>Impedance</w:t>
            </w:r>
          </w:p>
        </w:tc>
        <w:tc>
          <w:tcPr>
            <w:tcW w:w="1270" w:type="dxa"/>
            <w:tcBorders>
              <w:left w:val="nil"/>
              <w:right w:val="nil"/>
            </w:tcBorders>
            <w:shd w:val="clear" w:color="auto" w:fill="C0C0C0"/>
            <w:noWrap/>
            <w:hideMark/>
          </w:tcPr>
          <w:p w14:paraId="50EE4604"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 </w:t>
            </w:r>
          </w:p>
        </w:tc>
        <w:tc>
          <w:tcPr>
            <w:tcW w:w="1276" w:type="dxa"/>
            <w:tcBorders>
              <w:left w:val="nil"/>
              <w:right w:val="nil"/>
            </w:tcBorders>
            <w:shd w:val="clear" w:color="auto" w:fill="C0C0C0"/>
            <w:noWrap/>
            <w:hideMark/>
          </w:tcPr>
          <w:p w14:paraId="6000D574"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 </w:t>
            </w:r>
          </w:p>
        </w:tc>
        <w:tc>
          <w:tcPr>
            <w:tcW w:w="1559" w:type="dxa"/>
            <w:tcBorders>
              <w:left w:val="nil"/>
              <w:right w:val="nil"/>
            </w:tcBorders>
            <w:shd w:val="clear" w:color="auto" w:fill="C0C0C0"/>
          </w:tcPr>
          <w:p w14:paraId="1B09A05B" w14:textId="77777777" w:rsidR="00895631" w:rsidRPr="0091469C" w:rsidRDefault="00895631" w:rsidP="0091469C">
            <w:pPr>
              <w:spacing w:before="240"/>
              <w:jc w:val="center"/>
              <w:rPr>
                <w:rFonts w:ascii="Calibri" w:hAnsi="Calibri" w:cs="Calibri"/>
                <w:b/>
                <w:color w:val="000000"/>
                <w:sz w:val="18"/>
                <w:lang w:val="en-GB"/>
              </w:rPr>
            </w:pPr>
          </w:p>
        </w:tc>
        <w:tc>
          <w:tcPr>
            <w:tcW w:w="2268" w:type="dxa"/>
            <w:tcBorders>
              <w:left w:val="nil"/>
              <w:right w:val="nil"/>
            </w:tcBorders>
            <w:shd w:val="clear" w:color="auto" w:fill="C0C0C0"/>
          </w:tcPr>
          <w:p w14:paraId="5B597509"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X</w:t>
            </w:r>
          </w:p>
        </w:tc>
      </w:tr>
      <w:tr w:rsidR="00895631" w:rsidRPr="0091469C" w14:paraId="4C21AB2E" w14:textId="77777777" w:rsidTr="0091469C">
        <w:trPr>
          <w:trHeight w:val="300"/>
        </w:trPr>
        <w:tc>
          <w:tcPr>
            <w:tcW w:w="2240" w:type="dxa"/>
            <w:shd w:val="clear" w:color="auto" w:fill="auto"/>
            <w:noWrap/>
            <w:hideMark/>
          </w:tcPr>
          <w:p w14:paraId="1B4C7DA1" w14:textId="77777777" w:rsidR="00895631" w:rsidRPr="0091469C" w:rsidRDefault="00895631" w:rsidP="0091469C">
            <w:pPr>
              <w:spacing w:before="240"/>
              <w:jc w:val="center"/>
              <w:rPr>
                <w:rFonts w:ascii="Calibri" w:hAnsi="Calibri" w:cs="Calibri"/>
                <w:b/>
                <w:bCs/>
                <w:color w:val="000000"/>
                <w:sz w:val="18"/>
                <w:lang w:val="en-GB"/>
              </w:rPr>
            </w:pPr>
            <w:r w:rsidRPr="0091469C">
              <w:rPr>
                <w:rFonts w:ascii="Calibri" w:hAnsi="Calibri" w:cs="Calibri"/>
                <w:b/>
                <w:bCs/>
                <w:color w:val="000000"/>
                <w:sz w:val="18"/>
                <w:lang w:val="en-GB"/>
              </w:rPr>
              <w:t>DNA release</w:t>
            </w:r>
          </w:p>
        </w:tc>
        <w:tc>
          <w:tcPr>
            <w:tcW w:w="1270" w:type="dxa"/>
            <w:shd w:val="clear" w:color="auto" w:fill="auto"/>
            <w:noWrap/>
            <w:hideMark/>
          </w:tcPr>
          <w:p w14:paraId="607C5038"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 </w:t>
            </w:r>
          </w:p>
        </w:tc>
        <w:tc>
          <w:tcPr>
            <w:tcW w:w="1276" w:type="dxa"/>
            <w:shd w:val="clear" w:color="auto" w:fill="auto"/>
            <w:noWrap/>
            <w:hideMark/>
          </w:tcPr>
          <w:p w14:paraId="1C1E602B"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 X</w:t>
            </w:r>
          </w:p>
        </w:tc>
        <w:tc>
          <w:tcPr>
            <w:tcW w:w="1559" w:type="dxa"/>
            <w:shd w:val="clear" w:color="auto" w:fill="auto"/>
          </w:tcPr>
          <w:p w14:paraId="545C13B5" w14:textId="77777777" w:rsidR="00895631" w:rsidRPr="0091469C" w:rsidRDefault="00895631" w:rsidP="0091469C">
            <w:pPr>
              <w:spacing w:before="240"/>
              <w:jc w:val="center"/>
              <w:rPr>
                <w:rFonts w:ascii="Calibri" w:hAnsi="Calibri" w:cs="Calibri"/>
                <w:b/>
                <w:color w:val="000000"/>
                <w:sz w:val="18"/>
                <w:lang w:val="en-GB"/>
              </w:rPr>
            </w:pPr>
          </w:p>
        </w:tc>
        <w:tc>
          <w:tcPr>
            <w:tcW w:w="2268" w:type="dxa"/>
            <w:shd w:val="clear" w:color="auto" w:fill="auto"/>
          </w:tcPr>
          <w:p w14:paraId="6B6CE888"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X</w:t>
            </w:r>
          </w:p>
        </w:tc>
      </w:tr>
      <w:tr w:rsidR="00895631" w:rsidRPr="0091469C" w14:paraId="7BAB2A2E" w14:textId="77777777" w:rsidTr="0091469C">
        <w:trPr>
          <w:trHeight w:val="300"/>
        </w:trPr>
        <w:tc>
          <w:tcPr>
            <w:tcW w:w="2240" w:type="dxa"/>
            <w:tcBorders>
              <w:left w:val="nil"/>
              <w:right w:val="nil"/>
            </w:tcBorders>
            <w:shd w:val="clear" w:color="auto" w:fill="C0C0C0"/>
            <w:noWrap/>
            <w:hideMark/>
          </w:tcPr>
          <w:p w14:paraId="42B0F4A1" w14:textId="77777777" w:rsidR="00895631" w:rsidRPr="0091469C" w:rsidRDefault="00895631" w:rsidP="0091469C">
            <w:pPr>
              <w:spacing w:before="240"/>
              <w:jc w:val="center"/>
              <w:rPr>
                <w:rFonts w:ascii="Calibri" w:hAnsi="Calibri" w:cs="Calibri"/>
                <w:b/>
                <w:bCs/>
                <w:color w:val="000000"/>
                <w:sz w:val="18"/>
                <w:lang w:val="en-GB"/>
              </w:rPr>
            </w:pPr>
            <w:r w:rsidRPr="0091469C">
              <w:rPr>
                <w:rFonts w:ascii="Calibri" w:hAnsi="Calibri" w:cs="Calibri"/>
                <w:b/>
                <w:bCs/>
                <w:color w:val="000000"/>
                <w:sz w:val="18"/>
                <w:lang w:val="en-GB"/>
              </w:rPr>
              <w:t>Albumin</w:t>
            </w:r>
          </w:p>
        </w:tc>
        <w:tc>
          <w:tcPr>
            <w:tcW w:w="1270" w:type="dxa"/>
            <w:tcBorders>
              <w:left w:val="nil"/>
              <w:right w:val="nil"/>
            </w:tcBorders>
            <w:shd w:val="clear" w:color="auto" w:fill="C0C0C0"/>
            <w:noWrap/>
            <w:hideMark/>
          </w:tcPr>
          <w:p w14:paraId="19A59411"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X</w:t>
            </w:r>
          </w:p>
        </w:tc>
        <w:tc>
          <w:tcPr>
            <w:tcW w:w="1276" w:type="dxa"/>
            <w:tcBorders>
              <w:left w:val="nil"/>
              <w:right w:val="nil"/>
            </w:tcBorders>
            <w:shd w:val="clear" w:color="auto" w:fill="C0C0C0"/>
            <w:noWrap/>
            <w:hideMark/>
          </w:tcPr>
          <w:p w14:paraId="002DFFE9"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 </w:t>
            </w:r>
          </w:p>
        </w:tc>
        <w:tc>
          <w:tcPr>
            <w:tcW w:w="1559" w:type="dxa"/>
            <w:tcBorders>
              <w:left w:val="nil"/>
              <w:right w:val="nil"/>
            </w:tcBorders>
            <w:shd w:val="clear" w:color="auto" w:fill="C0C0C0"/>
          </w:tcPr>
          <w:p w14:paraId="7FBF35CD" w14:textId="77777777" w:rsidR="00895631" w:rsidRPr="0091469C" w:rsidRDefault="00895631" w:rsidP="0091469C">
            <w:pPr>
              <w:spacing w:before="240"/>
              <w:jc w:val="center"/>
              <w:rPr>
                <w:rFonts w:ascii="Calibri" w:hAnsi="Calibri" w:cs="Calibri"/>
                <w:b/>
                <w:color w:val="000000"/>
                <w:sz w:val="18"/>
                <w:lang w:val="en-GB"/>
              </w:rPr>
            </w:pPr>
          </w:p>
        </w:tc>
        <w:tc>
          <w:tcPr>
            <w:tcW w:w="2268" w:type="dxa"/>
            <w:tcBorders>
              <w:left w:val="nil"/>
              <w:right w:val="nil"/>
            </w:tcBorders>
            <w:shd w:val="clear" w:color="auto" w:fill="C0C0C0"/>
          </w:tcPr>
          <w:p w14:paraId="65800776"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X</w:t>
            </w:r>
          </w:p>
        </w:tc>
      </w:tr>
      <w:tr w:rsidR="00895631" w:rsidRPr="0091469C" w14:paraId="0578F1F2" w14:textId="77777777" w:rsidTr="0091469C">
        <w:trPr>
          <w:trHeight w:val="300"/>
        </w:trPr>
        <w:tc>
          <w:tcPr>
            <w:tcW w:w="2240" w:type="dxa"/>
            <w:shd w:val="clear" w:color="auto" w:fill="auto"/>
            <w:noWrap/>
            <w:hideMark/>
          </w:tcPr>
          <w:p w14:paraId="707E31A0" w14:textId="77777777" w:rsidR="00895631" w:rsidRPr="0091469C" w:rsidRDefault="00895631" w:rsidP="0091469C">
            <w:pPr>
              <w:spacing w:before="240"/>
              <w:jc w:val="center"/>
              <w:rPr>
                <w:rFonts w:ascii="Calibri" w:hAnsi="Calibri" w:cs="Calibri"/>
                <w:b/>
                <w:bCs/>
                <w:color w:val="000000"/>
                <w:sz w:val="18"/>
                <w:lang w:val="en-GB"/>
              </w:rPr>
            </w:pPr>
            <w:r w:rsidRPr="0091469C">
              <w:rPr>
                <w:rFonts w:ascii="Calibri" w:hAnsi="Calibri" w:cs="Calibri"/>
                <w:b/>
                <w:bCs/>
                <w:color w:val="000000"/>
                <w:sz w:val="18"/>
                <w:lang w:val="en-GB"/>
              </w:rPr>
              <w:t>Urea</w:t>
            </w:r>
          </w:p>
        </w:tc>
        <w:tc>
          <w:tcPr>
            <w:tcW w:w="1270" w:type="dxa"/>
            <w:shd w:val="clear" w:color="auto" w:fill="auto"/>
            <w:noWrap/>
            <w:hideMark/>
          </w:tcPr>
          <w:p w14:paraId="3442BE56"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X</w:t>
            </w:r>
          </w:p>
        </w:tc>
        <w:tc>
          <w:tcPr>
            <w:tcW w:w="1276" w:type="dxa"/>
            <w:shd w:val="clear" w:color="auto" w:fill="auto"/>
            <w:noWrap/>
            <w:hideMark/>
          </w:tcPr>
          <w:p w14:paraId="7F8CC2C7"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 </w:t>
            </w:r>
          </w:p>
        </w:tc>
        <w:tc>
          <w:tcPr>
            <w:tcW w:w="1559" w:type="dxa"/>
            <w:shd w:val="clear" w:color="auto" w:fill="auto"/>
          </w:tcPr>
          <w:p w14:paraId="56194ED1" w14:textId="77777777" w:rsidR="00895631" w:rsidRPr="0091469C" w:rsidRDefault="00895631" w:rsidP="0091469C">
            <w:pPr>
              <w:spacing w:before="240"/>
              <w:jc w:val="center"/>
              <w:rPr>
                <w:rFonts w:ascii="Calibri" w:hAnsi="Calibri" w:cs="Calibri"/>
                <w:b/>
                <w:color w:val="000000"/>
                <w:sz w:val="18"/>
                <w:lang w:val="en-GB"/>
              </w:rPr>
            </w:pPr>
          </w:p>
        </w:tc>
        <w:tc>
          <w:tcPr>
            <w:tcW w:w="2268" w:type="dxa"/>
            <w:shd w:val="clear" w:color="auto" w:fill="auto"/>
          </w:tcPr>
          <w:p w14:paraId="23F191F4"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X</w:t>
            </w:r>
          </w:p>
        </w:tc>
      </w:tr>
      <w:tr w:rsidR="00895631" w:rsidRPr="0091469C" w14:paraId="6F0535DF" w14:textId="77777777" w:rsidTr="0091469C">
        <w:trPr>
          <w:trHeight w:val="300"/>
        </w:trPr>
        <w:tc>
          <w:tcPr>
            <w:tcW w:w="2240" w:type="dxa"/>
            <w:tcBorders>
              <w:left w:val="nil"/>
              <w:right w:val="nil"/>
            </w:tcBorders>
            <w:shd w:val="clear" w:color="auto" w:fill="C0C0C0"/>
            <w:noWrap/>
            <w:hideMark/>
          </w:tcPr>
          <w:p w14:paraId="0BE67C27" w14:textId="77777777" w:rsidR="00895631" w:rsidRPr="0091469C" w:rsidRDefault="00307B04" w:rsidP="0091469C">
            <w:pPr>
              <w:spacing w:before="240"/>
              <w:jc w:val="center"/>
              <w:rPr>
                <w:rFonts w:ascii="Calibri" w:hAnsi="Calibri" w:cs="Calibri"/>
                <w:b/>
                <w:bCs/>
                <w:color w:val="000000"/>
                <w:sz w:val="18"/>
                <w:lang w:val="en-GB"/>
              </w:rPr>
            </w:pPr>
            <w:r>
              <w:rPr>
                <w:rFonts w:ascii="Calibri" w:hAnsi="Calibri" w:cs="Calibri"/>
                <w:b/>
                <w:bCs/>
                <w:color w:val="000000"/>
                <w:sz w:val="18"/>
                <w:lang w:val="en-GB"/>
              </w:rPr>
              <w:t>m</w:t>
            </w:r>
            <w:r w:rsidRPr="0091469C">
              <w:rPr>
                <w:rFonts w:ascii="Calibri" w:hAnsi="Calibri" w:cs="Calibri"/>
                <w:b/>
                <w:bCs/>
                <w:color w:val="000000"/>
                <w:sz w:val="18"/>
                <w:lang w:val="en-GB"/>
              </w:rPr>
              <w:t>i</w:t>
            </w:r>
            <w:r>
              <w:rPr>
                <w:rFonts w:ascii="Calibri" w:hAnsi="Calibri" w:cs="Calibri"/>
                <w:b/>
                <w:bCs/>
                <w:color w:val="000000"/>
                <w:sz w:val="18"/>
                <w:lang w:val="en-GB"/>
              </w:rPr>
              <w:t>R</w:t>
            </w:r>
            <w:r w:rsidRPr="0091469C">
              <w:rPr>
                <w:rFonts w:ascii="Calibri" w:hAnsi="Calibri" w:cs="Calibri"/>
                <w:b/>
                <w:bCs/>
                <w:color w:val="000000"/>
                <w:sz w:val="18"/>
                <w:lang w:val="en-GB"/>
              </w:rPr>
              <w:t>122</w:t>
            </w:r>
          </w:p>
        </w:tc>
        <w:tc>
          <w:tcPr>
            <w:tcW w:w="1270" w:type="dxa"/>
            <w:tcBorders>
              <w:left w:val="nil"/>
              <w:right w:val="nil"/>
            </w:tcBorders>
            <w:shd w:val="clear" w:color="auto" w:fill="C0C0C0"/>
            <w:noWrap/>
            <w:hideMark/>
          </w:tcPr>
          <w:p w14:paraId="2435903A"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 </w:t>
            </w:r>
          </w:p>
        </w:tc>
        <w:tc>
          <w:tcPr>
            <w:tcW w:w="1276" w:type="dxa"/>
            <w:tcBorders>
              <w:left w:val="nil"/>
              <w:right w:val="nil"/>
            </w:tcBorders>
            <w:shd w:val="clear" w:color="auto" w:fill="C0C0C0"/>
            <w:noWrap/>
            <w:hideMark/>
          </w:tcPr>
          <w:p w14:paraId="35EAD36B"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X</w:t>
            </w:r>
          </w:p>
        </w:tc>
        <w:tc>
          <w:tcPr>
            <w:tcW w:w="1559" w:type="dxa"/>
            <w:tcBorders>
              <w:left w:val="nil"/>
              <w:right w:val="nil"/>
            </w:tcBorders>
            <w:shd w:val="clear" w:color="auto" w:fill="C0C0C0"/>
          </w:tcPr>
          <w:p w14:paraId="0CBD7B41" w14:textId="77777777" w:rsidR="00895631" w:rsidRPr="0091469C" w:rsidRDefault="00895631" w:rsidP="0091469C">
            <w:pPr>
              <w:spacing w:before="240"/>
              <w:jc w:val="center"/>
              <w:rPr>
                <w:rFonts w:ascii="Calibri" w:hAnsi="Calibri" w:cs="Calibri"/>
                <w:b/>
                <w:color w:val="000000"/>
                <w:sz w:val="18"/>
                <w:lang w:val="en-GB"/>
              </w:rPr>
            </w:pPr>
          </w:p>
        </w:tc>
        <w:tc>
          <w:tcPr>
            <w:tcW w:w="2268" w:type="dxa"/>
            <w:tcBorders>
              <w:left w:val="nil"/>
              <w:right w:val="nil"/>
            </w:tcBorders>
            <w:shd w:val="clear" w:color="auto" w:fill="C0C0C0"/>
          </w:tcPr>
          <w:p w14:paraId="5C2E15BF"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X</w:t>
            </w:r>
          </w:p>
        </w:tc>
      </w:tr>
      <w:tr w:rsidR="00895631" w:rsidRPr="0091469C" w14:paraId="4CDA5C0E" w14:textId="77777777" w:rsidTr="0091469C">
        <w:trPr>
          <w:trHeight w:val="300"/>
        </w:trPr>
        <w:tc>
          <w:tcPr>
            <w:tcW w:w="2240" w:type="dxa"/>
            <w:shd w:val="clear" w:color="auto" w:fill="auto"/>
            <w:noWrap/>
            <w:hideMark/>
          </w:tcPr>
          <w:p w14:paraId="35F0A506" w14:textId="77777777" w:rsidR="00895631" w:rsidRPr="0091469C" w:rsidRDefault="00895631" w:rsidP="0091469C">
            <w:pPr>
              <w:spacing w:before="240"/>
              <w:jc w:val="center"/>
              <w:rPr>
                <w:rFonts w:ascii="Calibri" w:hAnsi="Calibri" w:cs="Calibri"/>
                <w:b/>
                <w:bCs/>
                <w:color w:val="000000"/>
                <w:sz w:val="18"/>
                <w:lang w:val="en-GB"/>
              </w:rPr>
            </w:pPr>
            <w:r w:rsidRPr="0091469C">
              <w:rPr>
                <w:rFonts w:ascii="Calibri" w:hAnsi="Calibri" w:cs="Calibri"/>
                <w:b/>
                <w:bCs/>
                <w:color w:val="000000"/>
                <w:sz w:val="18"/>
                <w:lang w:val="en-GB"/>
              </w:rPr>
              <w:t>Nrf2</w:t>
            </w:r>
          </w:p>
        </w:tc>
        <w:tc>
          <w:tcPr>
            <w:tcW w:w="1270" w:type="dxa"/>
            <w:shd w:val="clear" w:color="auto" w:fill="auto"/>
            <w:noWrap/>
            <w:hideMark/>
          </w:tcPr>
          <w:p w14:paraId="6BF79824"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 </w:t>
            </w:r>
          </w:p>
        </w:tc>
        <w:tc>
          <w:tcPr>
            <w:tcW w:w="1276" w:type="dxa"/>
            <w:shd w:val="clear" w:color="auto" w:fill="auto"/>
            <w:noWrap/>
            <w:hideMark/>
          </w:tcPr>
          <w:p w14:paraId="1494896D"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X</w:t>
            </w:r>
          </w:p>
        </w:tc>
        <w:tc>
          <w:tcPr>
            <w:tcW w:w="1559" w:type="dxa"/>
            <w:shd w:val="clear" w:color="auto" w:fill="auto"/>
          </w:tcPr>
          <w:p w14:paraId="2168E740" w14:textId="77777777" w:rsidR="00895631" w:rsidRPr="0091469C" w:rsidRDefault="00895631" w:rsidP="0091469C">
            <w:pPr>
              <w:spacing w:before="240"/>
              <w:jc w:val="center"/>
              <w:rPr>
                <w:rFonts w:ascii="Calibri" w:hAnsi="Calibri" w:cs="Calibri"/>
                <w:b/>
                <w:color w:val="000000"/>
                <w:sz w:val="18"/>
                <w:lang w:val="en-GB"/>
              </w:rPr>
            </w:pPr>
          </w:p>
        </w:tc>
        <w:tc>
          <w:tcPr>
            <w:tcW w:w="2268" w:type="dxa"/>
            <w:shd w:val="clear" w:color="auto" w:fill="auto"/>
          </w:tcPr>
          <w:p w14:paraId="507C551F" w14:textId="77777777" w:rsidR="00895631" w:rsidRPr="0091469C" w:rsidRDefault="00895631" w:rsidP="0091469C">
            <w:pPr>
              <w:spacing w:before="240"/>
              <w:jc w:val="center"/>
              <w:rPr>
                <w:rFonts w:ascii="Calibri" w:hAnsi="Calibri" w:cs="Calibri"/>
                <w:b/>
                <w:color w:val="000000"/>
                <w:sz w:val="18"/>
                <w:lang w:val="en-GB"/>
              </w:rPr>
            </w:pPr>
            <w:r w:rsidRPr="0091469C">
              <w:rPr>
                <w:rFonts w:ascii="Calibri" w:hAnsi="Calibri" w:cs="Calibri"/>
                <w:b/>
                <w:color w:val="000000"/>
                <w:sz w:val="18"/>
                <w:lang w:val="en-GB"/>
              </w:rPr>
              <w:t>X</w:t>
            </w:r>
          </w:p>
        </w:tc>
      </w:tr>
      <w:tr w:rsidR="00895631" w:rsidRPr="0091469C" w14:paraId="4DA952A5" w14:textId="77777777" w:rsidTr="0091469C">
        <w:trPr>
          <w:trHeight w:val="300"/>
        </w:trPr>
        <w:tc>
          <w:tcPr>
            <w:tcW w:w="2240" w:type="dxa"/>
            <w:tcBorders>
              <w:left w:val="nil"/>
              <w:right w:val="nil"/>
            </w:tcBorders>
            <w:shd w:val="clear" w:color="auto" w:fill="C0C0C0"/>
            <w:noWrap/>
            <w:hideMark/>
          </w:tcPr>
          <w:p w14:paraId="700A5E19" w14:textId="77777777" w:rsidR="00895631" w:rsidRPr="0091469C" w:rsidRDefault="00AD452B" w:rsidP="0091469C">
            <w:pPr>
              <w:spacing w:before="240"/>
              <w:rPr>
                <w:rFonts w:ascii="Calibri" w:hAnsi="Calibri" w:cs="Calibri"/>
                <w:b/>
                <w:bCs/>
                <w:color w:val="000000"/>
                <w:sz w:val="18"/>
                <w:lang w:val="en-GB"/>
              </w:rPr>
            </w:pPr>
            <w:r>
              <w:rPr>
                <w:rFonts w:ascii="Calibri" w:hAnsi="Calibri" w:cs="Calibri"/>
                <w:b/>
                <w:bCs/>
                <w:color w:val="000000"/>
                <w:sz w:val="18"/>
                <w:lang w:val="en-GB"/>
              </w:rPr>
              <w:t>High content imaging for cell health parameters</w:t>
            </w:r>
          </w:p>
        </w:tc>
        <w:tc>
          <w:tcPr>
            <w:tcW w:w="1270" w:type="dxa"/>
            <w:tcBorders>
              <w:left w:val="nil"/>
              <w:right w:val="nil"/>
            </w:tcBorders>
            <w:shd w:val="clear" w:color="auto" w:fill="C0C0C0"/>
            <w:noWrap/>
            <w:hideMark/>
          </w:tcPr>
          <w:p w14:paraId="58C8DD31" w14:textId="77777777" w:rsidR="00895631" w:rsidRPr="0091469C" w:rsidRDefault="00AD452B" w:rsidP="00D97543">
            <w:pPr>
              <w:spacing w:before="240"/>
              <w:jc w:val="center"/>
              <w:rPr>
                <w:rFonts w:ascii="Calibri" w:hAnsi="Calibri" w:cs="Calibri"/>
                <w:b/>
                <w:color w:val="000000"/>
                <w:sz w:val="18"/>
                <w:lang w:val="en-GB"/>
              </w:rPr>
            </w:pPr>
            <w:r>
              <w:rPr>
                <w:rFonts w:ascii="Calibri" w:hAnsi="Calibri" w:cs="Calibri"/>
                <w:b/>
                <w:color w:val="000000"/>
                <w:sz w:val="18"/>
                <w:lang w:val="en-GB"/>
              </w:rPr>
              <w:t>X</w:t>
            </w:r>
          </w:p>
        </w:tc>
        <w:tc>
          <w:tcPr>
            <w:tcW w:w="1276" w:type="dxa"/>
            <w:tcBorders>
              <w:left w:val="nil"/>
              <w:right w:val="nil"/>
            </w:tcBorders>
            <w:shd w:val="clear" w:color="auto" w:fill="C0C0C0"/>
            <w:noWrap/>
            <w:hideMark/>
          </w:tcPr>
          <w:p w14:paraId="2CDA813C" w14:textId="77777777" w:rsidR="00895631" w:rsidRPr="0091469C" w:rsidRDefault="00895631" w:rsidP="00D97543">
            <w:pPr>
              <w:spacing w:before="240"/>
              <w:jc w:val="center"/>
              <w:rPr>
                <w:rFonts w:ascii="Calibri" w:hAnsi="Calibri" w:cs="Calibri"/>
                <w:b/>
                <w:color w:val="000000"/>
                <w:sz w:val="18"/>
                <w:lang w:val="en-GB"/>
              </w:rPr>
            </w:pPr>
          </w:p>
        </w:tc>
        <w:tc>
          <w:tcPr>
            <w:tcW w:w="1559" w:type="dxa"/>
            <w:tcBorders>
              <w:left w:val="nil"/>
              <w:right w:val="nil"/>
            </w:tcBorders>
            <w:shd w:val="clear" w:color="auto" w:fill="C0C0C0"/>
          </w:tcPr>
          <w:p w14:paraId="559CABDE" w14:textId="77777777" w:rsidR="00895631" w:rsidRPr="0091469C" w:rsidRDefault="00AD452B" w:rsidP="00D97543">
            <w:pPr>
              <w:spacing w:before="240"/>
              <w:jc w:val="center"/>
              <w:rPr>
                <w:rFonts w:ascii="Calibri" w:hAnsi="Calibri" w:cs="Calibri"/>
                <w:b/>
                <w:color w:val="000000"/>
                <w:sz w:val="18"/>
                <w:lang w:val="en-GB"/>
              </w:rPr>
            </w:pPr>
            <w:r>
              <w:rPr>
                <w:rFonts w:ascii="Calibri" w:hAnsi="Calibri" w:cs="Calibri"/>
                <w:b/>
                <w:color w:val="000000"/>
                <w:sz w:val="18"/>
                <w:lang w:val="en-GB"/>
              </w:rPr>
              <w:t>X</w:t>
            </w:r>
          </w:p>
        </w:tc>
        <w:tc>
          <w:tcPr>
            <w:tcW w:w="2268" w:type="dxa"/>
            <w:tcBorders>
              <w:left w:val="nil"/>
              <w:right w:val="nil"/>
            </w:tcBorders>
            <w:shd w:val="clear" w:color="auto" w:fill="C0C0C0"/>
          </w:tcPr>
          <w:p w14:paraId="767A5204" w14:textId="77777777" w:rsidR="00895631" w:rsidRPr="0091469C" w:rsidRDefault="00AD452B" w:rsidP="00AD452B">
            <w:pPr>
              <w:spacing w:before="240"/>
              <w:jc w:val="center"/>
              <w:rPr>
                <w:rFonts w:ascii="Calibri" w:hAnsi="Calibri" w:cs="Calibri"/>
                <w:b/>
                <w:color w:val="000000"/>
                <w:sz w:val="18"/>
                <w:lang w:val="en-GB"/>
              </w:rPr>
            </w:pPr>
            <w:r>
              <w:rPr>
                <w:rFonts w:ascii="Calibri" w:hAnsi="Calibri" w:cs="Calibri"/>
                <w:b/>
                <w:color w:val="000000"/>
                <w:sz w:val="18"/>
                <w:lang w:val="en-GB"/>
              </w:rPr>
              <w:t>X</w:t>
            </w:r>
          </w:p>
        </w:tc>
      </w:tr>
    </w:tbl>
    <w:p w14:paraId="73D4730F" w14:textId="77777777" w:rsidR="00A17B68" w:rsidRDefault="00A17B68" w:rsidP="00A17B68">
      <w:pPr>
        <w:rPr>
          <w:lang w:val="en-US"/>
        </w:rPr>
      </w:pPr>
    </w:p>
    <w:p w14:paraId="34CFECCB" w14:textId="18E925CA" w:rsidR="0067748F" w:rsidRPr="00525724" w:rsidRDefault="003A099E" w:rsidP="00506745">
      <w:pPr>
        <w:jc w:val="both"/>
        <w:rPr>
          <w:lang w:val="en-US"/>
        </w:rPr>
      </w:pPr>
      <w:proofErr w:type="gramStart"/>
      <w:r>
        <w:rPr>
          <w:b/>
          <w:lang w:val="en-US"/>
        </w:rPr>
        <w:t>Table 1</w:t>
      </w:r>
      <w:r w:rsidR="00A17B68">
        <w:rPr>
          <w:b/>
          <w:lang w:val="en-US"/>
        </w:rPr>
        <w:t>.</w:t>
      </w:r>
      <w:proofErr w:type="gramEnd"/>
      <w:r w:rsidR="00A17B68">
        <w:rPr>
          <w:b/>
          <w:lang w:val="en-US"/>
        </w:rPr>
        <w:t xml:space="preserve"> </w:t>
      </w:r>
      <w:r w:rsidR="00550BAA" w:rsidRPr="005D5883">
        <w:rPr>
          <w:b/>
          <w:sz w:val="22"/>
          <w:lang w:val="en-US"/>
        </w:rPr>
        <w:t>C</w:t>
      </w:r>
      <w:r w:rsidR="00550BAA">
        <w:rPr>
          <w:b/>
          <w:sz w:val="22"/>
          <w:lang w:val="en-US"/>
        </w:rPr>
        <w:t xml:space="preserve">ell </w:t>
      </w:r>
      <w:r w:rsidR="005C2383">
        <w:rPr>
          <w:b/>
          <w:sz w:val="22"/>
          <w:lang w:val="en-US"/>
        </w:rPr>
        <w:t>health</w:t>
      </w:r>
      <w:r w:rsidR="005C2383" w:rsidRPr="005D5883">
        <w:rPr>
          <w:b/>
          <w:sz w:val="22"/>
          <w:lang w:val="en-US"/>
        </w:rPr>
        <w:t xml:space="preserve"> </w:t>
      </w:r>
      <w:r w:rsidR="005C2383">
        <w:rPr>
          <w:b/>
          <w:sz w:val="22"/>
          <w:lang w:val="en-US"/>
        </w:rPr>
        <w:t>and</w:t>
      </w:r>
      <w:r w:rsidR="00484665">
        <w:rPr>
          <w:b/>
          <w:sz w:val="22"/>
          <w:lang w:val="en-US"/>
        </w:rPr>
        <w:t xml:space="preserve"> </w:t>
      </w:r>
      <w:r w:rsidR="00D97543">
        <w:rPr>
          <w:b/>
          <w:sz w:val="22"/>
          <w:lang w:val="en-US"/>
        </w:rPr>
        <w:t xml:space="preserve">Cytotoxicity </w:t>
      </w:r>
      <w:r w:rsidR="00E161D8">
        <w:rPr>
          <w:b/>
          <w:sz w:val="22"/>
          <w:lang w:val="en-US"/>
        </w:rPr>
        <w:t>endpoint assays</w:t>
      </w:r>
      <w:r w:rsidR="00A17B68" w:rsidRPr="005D5883">
        <w:rPr>
          <w:sz w:val="22"/>
          <w:lang w:val="en-US"/>
        </w:rPr>
        <w:t>. Endpoints us</w:t>
      </w:r>
      <w:r w:rsidR="00061BD9">
        <w:rPr>
          <w:sz w:val="22"/>
          <w:lang w:val="en-US"/>
        </w:rPr>
        <w:t>ed</w:t>
      </w:r>
      <w:r w:rsidR="00A17B68" w:rsidRPr="005D5883">
        <w:rPr>
          <w:sz w:val="22"/>
          <w:lang w:val="en-US"/>
        </w:rPr>
        <w:t xml:space="preserve"> for the asses</w:t>
      </w:r>
      <w:r w:rsidR="007B0D9D" w:rsidRPr="005D5883">
        <w:rPr>
          <w:sz w:val="22"/>
          <w:lang w:val="en-US"/>
        </w:rPr>
        <w:t>sment of cytotoxicity</w:t>
      </w:r>
      <w:r w:rsidR="00A17B68" w:rsidRPr="005D5883">
        <w:rPr>
          <w:sz w:val="22"/>
          <w:lang w:val="en-US"/>
        </w:rPr>
        <w:t xml:space="preserve"> include</w:t>
      </w:r>
      <w:r w:rsidR="00061BD9">
        <w:rPr>
          <w:sz w:val="22"/>
          <w:lang w:val="en-US"/>
        </w:rPr>
        <w:t>:</w:t>
      </w:r>
      <w:r w:rsidR="00A17B68" w:rsidRPr="005D5883">
        <w:rPr>
          <w:sz w:val="22"/>
          <w:lang w:val="en-US"/>
        </w:rPr>
        <w:t xml:space="preserve"> </w:t>
      </w:r>
      <w:r w:rsidR="005D5883" w:rsidRPr="005D5883">
        <w:rPr>
          <w:sz w:val="22"/>
          <w:lang w:val="en-US"/>
        </w:rPr>
        <w:t xml:space="preserve">lactate dehydrogenase </w:t>
      </w:r>
      <w:r w:rsidR="00D97543">
        <w:rPr>
          <w:sz w:val="22"/>
          <w:lang w:val="en-US"/>
        </w:rPr>
        <w:t>(</w:t>
      </w:r>
      <w:r w:rsidR="00D97543" w:rsidRPr="005D5883">
        <w:rPr>
          <w:sz w:val="22"/>
          <w:lang w:val="en-US"/>
        </w:rPr>
        <w:t>LDH</w:t>
      </w:r>
      <w:r w:rsidR="00D97543">
        <w:rPr>
          <w:sz w:val="22"/>
          <w:lang w:val="en-US"/>
        </w:rPr>
        <w:t>)</w:t>
      </w:r>
      <w:r w:rsidR="00061BD9">
        <w:rPr>
          <w:sz w:val="22"/>
          <w:lang w:val="en-US"/>
        </w:rPr>
        <w:t xml:space="preserve"> release</w:t>
      </w:r>
      <w:r w:rsidR="00D97543">
        <w:rPr>
          <w:sz w:val="22"/>
          <w:lang w:val="en-US"/>
        </w:rPr>
        <w:t xml:space="preserve">, </w:t>
      </w:r>
      <w:r w:rsidR="005D5883" w:rsidRPr="005D5883">
        <w:rPr>
          <w:sz w:val="22"/>
          <w:lang w:val="en-US"/>
        </w:rPr>
        <w:t>membran</w:t>
      </w:r>
      <w:r w:rsidR="00A17B68" w:rsidRPr="005D5883">
        <w:rPr>
          <w:sz w:val="22"/>
          <w:lang w:val="en-US"/>
        </w:rPr>
        <w:t xml:space="preserve">e permeability; MTT </w:t>
      </w:r>
      <w:r w:rsidR="00061BD9">
        <w:rPr>
          <w:sz w:val="22"/>
          <w:lang w:val="en-US"/>
        </w:rPr>
        <w:t>(</w:t>
      </w:r>
      <w:r w:rsidR="00A17B68" w:rsidRPr="005D5883">
        <w:rPr>
          <w:sz w:val="22"/>
          <w:lang w:val="en-US"/>
        </w:rPr>
        <w:t>mitochondrial metabolism &amp; respiratory toxicity</w:t>
      </w:r>
      <w:r w:rsidR="00061BD9">
        <w:rPr>
          <w:sz w:val="22"/>
          <w:lang w:val="en-US"/>
        </w:rPr>
        <w:t>)</w:t>
      </w:r>
      <w:r w:rsidR="00A17B68" w:rsidRPr="005D5883">
        <w:rPr>
          <w:sz w:val="22"/>
          <w:lang w:val="en-US"/>
        </w:rPr>
        <w:t xml:space="preserve">; general physiological cell-state; Neutral red (lysosomal activity); </w:t>
      </w:r>
      <w:proofErr w:type="spellStart"/>
      <w:r w:rsidR="00A17B68" w:rsidRPr="005D5883">
        <w:rPr>
          <w:sz w:val="22"/>
          <w:lang w:val="en-US"/>
        </w:rPr>
        <w:t>Sulforhodamine</w:t>
      </w:r>
      <w:proofErr w:type="spellEnd"/>
      <w:r w:rsidR="00A17B68" w:rsidRPr="005D5883">
        <w:rPr>
          <w:sz w:val="22"/>
          <w:lang w:val="en-US"/>
        </w:rPr>
        <w:t xml:space="preserve"> B</w:t>
      </w:r>
      <w:r w:rsidR="00061BD9">
        <w:rPr>
          <w:sz w:val="22"/>
          <w:lang w:val="en-US"/>
        </w:rPr>
        <w:t xml:space="preserve"> (</w:t>
      </w:r>
      <w:r w:rsidR="00A17B68" w:rsidRPr="005D5883">
        <w:rPr>
          <w:sz w:val="22"/>
          <w:lang w:val="en-US"/>
        </w:rPr>
        <w:t>cell proliferation</w:t>
      </w:r>
      <w:r w:rsidR="00061BD9">
        <w:rPr>
          <w:sz w:val="22"/>
          <w:lang w:val="en-US"/>
        </w:rPr>
        <w:t>); ATP content</w:t>
      </w:r>
      <w:r w:rsidR="00A17B68" w:rsidRPr="005D5883">
        <w:rPr>
          <w:sz w:val="22"/>
          <w:lang w:val="en-US"/>
        </w:rPr>
        <w:t>. In the presence of high glucose-containing medi</w:t>
      </w:r>
      <w:r w:rsidR="00061BD9">
        <w:rPr>
          <w:sz w:val="22"/>
          <w:lang w:val="en-US"/>
        </w:rPr>
        <w:t>um</w:t>
      </w:r>
      <w:r w:rsidR="00A17B68" w:rsidRPr="005D5883">
        <w:rPr>
          <w:sz w:val="22"/>
          <w:lang w:val="en-US"/>
        </w:rPr>
        <w:t xml:space="preserve">, </w:t>
      </w:r>
      <w:r w:rsidR="005D5883" w:rsidRPr="005D5883">
        <w:rPr>
          <w:sz w:val="22"/>
          <w:lang w:val="en-US"/>
        </w:rPr>
        <w:t xml:space="preserve">some </w:t>
      </w:r>
      <w:r w:rsidR="00A17B68" w:rsidRPr="005D5883">
        <w:rPr>
          <w:sz w:val="22"/>
          <w:lang w:val="en-US"/>
        </w:rPr>
        <w:t xml:space="preserve">endpoints will reflect general cytotoxicity </w:t>
      </w:r>
      <w:r w:rsidR="00061BD9">
        <w:rPr>
          <w:sz w:val="22"/>
          <w:lang w:val="en-US"/>
        </w:rPr>
        <w:t>in contrast to</w:t>
      </w:r>
      <w:r w:rsidR="00061BD9" w:rsidRPr="005D5883">
        <w:rPr>
          <w:sz w:val="22"/>
          <w:lang w:val="en-US"/>
        </w:rPr>
        <w:t xml:space="preserve"> </w:t>
      </w:r>
      <w:r w:rsidR="00061BD9">
        <w:rPr>
          <w:sz w:val="22"/>
          <w:lang w:val="en-US"/>
        </w:rPr>
        <w:t xml:space="preserve">a galactose-containing </w:t>
      </w:r>
      <w:r w:rsidR="00A17B68" w:rsidRPr="005D5883">
        <w:rPr>
          <w:sz w:val="22"/>
          <w:lang w:val="en-US"/>
        </w:rPr>
        <w:t>media (see mitochondrial test s</w:t>
      </w:r>
      <w:r w:rsidR="005D5883" w:rsidRPr="005D5883">
        <w:rPr>
          <w:sz w:val="22"/>
          <w:lang w:val="en-US"/>
        </w:rPr>
        <w:t xml:space="preserve">ystems). </w:t>
      </w:r>
      <w:r w:rsidR="005D5883" w:rsidRPr="005D5883">
        <w:rPr>
          <w:sz w:val="22"/>
          <w:lang w:val="en-GB"/>
        </w:rPr>
        <w:t>Impedance</w:t>
      </w:r>
      <w:r w:rsidR="005D5883" w:rsidRPr="005D5883">
        <w:rPr>
          <w:sz w:val="22"/>
          <w:lang w:val="en"/>
        </w:rPr>
        <w:t>-based real time cell analyzer (RTCA)</w:t>
      </w:r>
      <w:r w:rsidR="00E161D8">
        <w:rPr>
          <w:sz w:val="22"/>
          <w:lang w:val="en"/>
        </w:rPr>
        <w:t xml:space="preserve"> is</w:t>
      </w:r>
      <w:r w:rsidR="005D5883" w:rsidRPr="005D5883">
        <w:rPr>
          <w:sz w:val="22"/>
          <w:lang w:val="en"/>
        </w:rPr>
        <w:t xml:space="preserve"> </w:t>
      </w:r>
      <w:r w:rsidR="0055277D">
        <w:rPr>
          <w:sz w:val="22"/>
          <w:lang w:val="en"/>
        </w:rPr>
        <w:t xml:space="preserve">a </w:t>
      </w:r>
      <w:r w:rsidR="00BD49C0">
        <w:rPr>
          <w:sz w:val="22"/>
          <w:lang w:val="en"/>
        </w:rPr>
        <w:t xml:space="preserve">label-free </w:t>
      </w:r>
      <w:r w:rsidR="005D5883">
        <w:rPr>
          <w:sz w:val="22"/>
          <w:lang w:val="en"/>
        </w:rPr>
        <w:t xml:space="preserve">method for screening </w:t>
      </w:r>
      <w:r w:rsidR="005D5883" w:rsidRPr="005D5883">
        <w:rPr>
          <w:sz w:val="22"/>
          <w:lang w:val="en"/>
        </w:rPr>
        <w:t xml:space="preserve">cytotoxicity with </w:t>
      </w:r>
      <w:r w:rsidR="0055277D">
        <w:rPr>
          <w:sz w:val="22"/>
          <w:lang w:val="en"/>
        </w:rPr>
        <w:t xml:space="preserve">potential </w:t>
      </w:r>
      <w:r w:rsidR="005D5883" w:rsidRPr="005D5883">
        <w:rPr>
          <w:sz w:val="22"/>
          <w:lang w:val="en"/>
        </w:rPr>
        <w:t xml:space="preserve">application </w:t>
      </w:r>
      <w:r w:rsidR="0055277D">
        <w:rPr>
          <w:sz w:val="22"/>
          <w:lang w:val="en"/>
        </w:rPr>
        <w:t>for</w:t>
      </w:r>
      <w:r w:rsidR="0055277D" w:rsidRPr="005D5883">
        <w:rPr>
          <w:sz w:val="22"/>
          <w:lang w:val="en"/>
        </w:rPr>
        <w:t xml:space="preserve"> </w:t>
      </w:r>
      <w:r w:rsidR="005D5883" w:rsidRPr="005D5883">
        <w:rPr>
          <w:sz w:val="22"/>
          <w:lang w:val="en"/>
        </w:rPr>
        <w:t>mechanistic</w:t>
      </w:r>
      <w:r w:rsidR="00E161D8">
        <w:rPr>
          <w:sz w:val="22"/>
          <w:lang w:val="en"/>
        </w:rPr>
        <w:t xml:space="preserve"> </w:t>
      </w:r>
      <w:r w:rsidR="0055277D">
        <w:rPr>
          <w:sz w:val="22"/>
          <w:lang w:val="en"/>
        </w:rPr>
        <w:t xml:space="preserve">understanding </w:t>
      </w:r>
      <w:r w:rsidR="005D5883" w:rsidRPr="005D5883">
        <w:rPr>
          <w:sz w:val="22"/>
          <w:lang w:val="en"/>
        </w:rPr>
        <w:t xml:space="preserve">of cellular targets. </w:t>
      </w:r>
      <w:r w:rsidR="00AD452B">
        <w:rPr>
          <w:sz w:val="22"/>
          <w:lang w:val="en"/>
        </w:rPr>
        <w:t xml:space="preserve"> High content imaging can employ various cell stains to perform </w:t>
      </w:r>
      <w:proofErr w:type="spellStart"/>
      <w:r w:rsidR="00AD452B">
        <w:rPr>
          <w:sz w:val="22"/>
          <w:lang w:val="en"/>
        </w:rPr>
        <w:t>multiparametric</w:t>
      </w:r>
      <w:proofErr w:type="spellEnd"/>
      <w:r w:rsidR="00AD452B">
        <w:rPr>
          <w:sz w:val="22"/>
          <w:lang w:val="en"/>
        </w:rPr>
        <w:t xml:space="preserve"> assessment of cell health. </w:t>
      </w:r>
      <w:r w:rsidR="00BB2080">
        <w:rPr>
          <w:lang w:val="en-US"/>
        </w:rPr>
        <w:br w:type="page"/>
      </w:r>
    </w:p>
    <w:p w14:paraId="47245001" w14:textId="77777777" w:rsidR="00A97AA0" w:rsidRPr="00B72890" w:rsidRDefault="00A97AA0" w:rsidP="00A97AA0">
      <w:pPr>
        <w:rPr>
          <w:lang w:val="en-US"/>
        </w:rPr>
      </w:pPr>
      <w:r w:rsidRPr="00B72890">
        <w:rPr>
          <w:b/>
          <w:sz w:val="24"/>
          <w:lang w:val="en-US"/>
        </w:rPr>
        <w:lastRenderedPageBreak/>
        <w:t xml:space="preserve">Table2.  </w:t>
      </w:r>
      <w:r w:rsidRPr="00B72890">
        <w:rPr>
          <w:b/>
          <w:i/>
          <w:sz w:val="24"/>
          <w:lang w:val="en-US"/>
        </w:rPr>
        <w:t xml:space="preserve">Endpoint </w:t>
      </w:r>
      <w:r>
        <w:rPr>
          <w:b/>
          <w:i/>
          <w:sz w:val="24"/>
          <w:lang w:val="en-US"/>
        </w:rPr>
        <w:t>m</w:t>
      </w:r>
      <w:r w:rsidRPr="00B72890">
        <w:rPr>
          <w:b/>
          <w:i/>
          <w:sz w:val="24"/>
          <w:lang w:val="en-US"/>
        </w:rPr>
        <w:t xml:space="preserve">easurements in </w:t>
      </w:r>
      <w:r>
        <w:rPr>
          <w:b/>
          <w:i/>
          <w:sz w:val="24"/>
          <w:lang w:val="en-US"/>
        </w:rPr>
        <w:t>cell health</w:t>
      </w:r>
      <w:r w:rsidRPr="00B72890">
        <w:rPr>
          <w:b/>
          <w:i/>
          <w:sz w:val="24"/>
          <w:lang w:val="en-US"/>
        </w:rPr>
        <w:t xml:space="preserve"> </w:t>
      </w:r>
      <w:r w:rsidR="00FC2808">
        <w:rPr>
          <w:b/>
          <w:i/>
          <w:sz w:val="24"/>
          <w:lang w:val="en-US"/>
        </w:rPr>
        <w:t>(</w:t>
      </w:r>
      <w:r w:rsidR="00FC671D">
        <w:rPr>
          <w:b/>
          <w:i/>
          <w:sz w:val="24"/>
          <w:lang w:val="en-US"/>
        </w:rPr>
        <w:t>c</w:t>
      </w:r>
      <w:r w:rsidR="00FC2808">
        <w:rPr>
          <w:b/>
          <w:i/>
          <w:sz w:val="24"/>
          <w:lang w:val="en-US"/>
        </w:rPr>
        <w:t xml:space="preserve">ytotoxicity) </w:t>
      </w:r>
      <w:r w:rsidRPr="00B72890">
        <w:rPr>
          <w:b/>
          <w:i/>
          <w:sz w:val="24"/>
          <w:lang w:val="en-US"/>
        </w:rPr>
        <w:t>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97AA0" w:rsidRPr="004B28DB" w14:paraId="24C63679" w14:textId="77777777" w:rsidTr="002E19CE">
        <w:tc>
          <w:tcPr>
            <w:tcW w:w="9016" w:type="dxa"/>
            <w:shd w:val="clear" w:color="auto" w:fill="auto"/>
          </w:tcPr>
          <w:p w14:paraId="571E09D5" w14:textId="1FFBEB82" w:rsidR="00A97AA0" w:rsidRPr="00915F29" w:rsidRDefault="00A97AA0" w:rsidP="00915F29">
            <w:pPr>
              <w:pStyle w:val="Paragraphedeliste"/>
              <w:numPr>
                <w:ilvl w:val="0"/>
                <w:numId w:val="5"/>
              </w:numPr>
              <w:spacing w:after="120" w:line="240" w:lineRule="auto"/>
              <w:ind w:left="708"/>
              <w:jc w:val="both"/>
              <w:rPr>
                <w:rFonts w:ascii="Times New Roman" w:hAnsi="Times New Roman"/>
                <w:sz w:val="18"/>
                <w:szCs w:val="18"/>
              </w:rPr>
            </w:pPr>
            <w:r>
              <w:rPr>
                <w:rFonts w:ascii="Times New Roman" w:hAnsi="Times New Roman"/>
                <w:b/>
                <w:sz w:val="18"/>
                <w:szCs w:val="18"/>
              </w:rPr>
              <w:t xml:space="preserve">Cell counting and indirect measurements of cell toxicity: </w:t>
            </w:r>
            <w:r>
              <w:rPr>
                <w:rFonts w:ascii="Times New Roman" w:hAnsi="Times New Roman"/>
                <w:sz w:val="18"/>
                <w:szCs w:val="18"/>
              </w:rPr>
              <w:t xml:space="preserve">Cytotoxicity can be measured by direct cell counts using bright field imaging, by </w:t>
            </w:r>
            <w:r w:rsidR="00442736">
              <w:rPr>
                <w:rFonts w:ascii="Times New Roman" w:hAnsi="Times New Roman"/>
                <w:sz w:val="18"/>
                <w:szCs w:val="18"/>
              </w:rPr>
              <w:t xml:space="preserve">use of </w:t>
            </w:r>
            <w:r>
              <w:rPr>
                <w:rFonts w:ascii="Times New Roman" w:hAnsi="Times New Roman"/>
                <w:sz w:val="18"/>
                <w:szCs w:val="18"/>
              </w:rPr>
              <w:t>fluorescent DNA stains, correlating e</w:t>
            </w:r>
            <w:r w:rsidR="006E0148">
              <w:rPr>
                <w:rFonts w:ascii="Times New Roman" w:hAnsi="Times New Roman"/>
                <w:sz w:val="18"/>
                <w:szCs w:val="18"/>
              </w:rPr>
              <w:t>n</w:t>
            </w:r>
            <w:r>
              <w:rPr>
                <w:rFonts w:ascii="Times New Roman" w:hAnsi="Times New Roman"/>
                <w:sz w:val="18"/>
                <w:szCs w:val="18"/>
              </w:rPr>
              <w:t>zymatic reaction</w:t>
            </w:r>
            <w:r w:rsidR="006E0148">
              <w:rPr>
                <w:rFonts w:ascii="Times New Roman" w:hAnsi="Times New Roman"/>
                <w:sz w:val="18"/>
                <w:szCs w:val="18"/>
              </w:rPr>
              <w:t>s</w:t>
            </w:r>
            <w:r>
              <w:rPr>
                <w:rFonts w:ascii="Times New Roman" w:hAnsi="Times New Roman"/>
                <w:sz w:val="18"/>
                <w:szCs w:val="18"/>
              </w:rPr>
              <w:t xml:space="preserve"> such as ATP, tetrazolium/formazan, and </w:t>
            </w:r>
            <w:proofErr w:type="spellStart"/>
            <w:r>
              <w:rPr>
                <w:rFonts w:ascii="Times New Roman" w:hAnsi="Times New Roman"/>
                <w:sz w:val="18"/>
                <w:szCs w:val="18"/>
              </w:rPr>
              <w:t>re</w:t>
            </w:r>
            <w:r w:rsidR="008849E2">
              <w:rPr>
                <w:rFonts w:ascii="Times New Roman" w:hAnsi="Times New Roman"/>
                <w:sz w:val="18"/>
                <w:szCs w:val="18"/>
              </w:rPr>
              <w:t>saz</w:t>
            </w:r>
            <w:r>
              <w:rPr>
                <w:rFonts w:ascii="Times New Roman" w:hAnsi="Times New Roman"/>
                <w:sz w:val="18"/>
                <w:szCs w:val="18"/>
              </w:rPr>
              <w:t>urin</w:t>
            </w:r>
            <w:proofErr w:type="spellEnd"/>
            <w:r>
              <w:rPr>
                <w:rFonts w:ascii="Times New Roman" w:hAnsi="Times New Roman"/>
                <w:sz w:val="18"/>
                <w:szCs w:val="18"/>
              </w:rPr>
              <w:t xml:space="preserve"> measurements </w:t>
            </w:r>
            <w:r w:rsidR="006E0148" w:rsidRPr="006E0148">
              <w:rPr>
                <w:rFonts w:ascii="Times New Roman" w:hAnsi="Times New Roman"/>
                <w:noProof/>
                <w:sz w:val="18"/>
                <w:szCs w:val="18"/>
                <w:lang w:val="en-GB"/>
              </w:rPr>
              <w:t xml:space="preserve"> </w:t>
            </w:r>
            <w:sdt>
              <w:sdtPr>
                <w:rPr>
                  <w:rFonts w:ascii="Times New Roman" w:hAnsi="Times New Roman"/>
                  <w:noProof/>
                  <w:sz w:val="18"/>
                  <w:szCs w:val="18"/>
                  <w:lang w:val="en-GB"/>
                </w:rPr>
                <w:id w:val="-1467659814"/>
                <w:citation/>
              </w:sdtPr>
              <w:sdtEndPr/>
              <w:sdtContent>
                <w:r w:rsidR="007A7FB5">
                  <w:rPr>
                    <w:rFonts w:ascii="Times New Roman" w:hAnsi="Times New Roman"/>
                    <w:noProof/>
                    <w:sz w:val="18"/>
                    <w:szCs w:val="18"/>
                    <w:lang w:val="en-GB"/>
                  </w:rPr>
                  <w:fldChar w:fldCharType="begin"/>
                </w:r>
                <w:r w:rsidR="007A7FB5">
                  <w:rPr>
                    <w:rFonts w:ascii="Times New Roman" w:hAnsi="Times New Roman"/>
                    <w:noProof/>
                    <w:sz w:val="18"/>
                    <w:szCs w:val="18"/>
                    <w:lang w:val="en-GB"/>
                  </w:rPr>
                  <w:instrText xml:space="preserve"> CITATION Ris16 \l 2057 </w:instrText>
                </w:r>
                <w:r w:rsidR="007A7FB5">
                  <w:rPr>
                    <w:rFonts w:ascii="Times New Roman" w:hAnsi="Times New Roman"/>
                    <w:noProof/>
                    <w:sz w:val="18"/>
                    <w:szCs w:val="18"/>
                    <w:lang w:val="en-GB"/>
                  </w:rPr>
                  <w:fldChar w:fldCharType="separate"/>
                </w:r>
                <w:r w:rsidR="002D6947" w:rsidRPr="002D6947">
                  <w:rPr>
                    <w:rFonts w:ascii="Times New Roman" w:hAnsi="Times New Roman"/>
                    <w:noProof/>
                    <w:sz w:val="18"/>
                    <w:szCs w:val="18"/>
                    <w:lang w:val="en-GB"/>
                  </w:rPr>
                  <w:t>[105]</w:t>
                </w:r>
                <w:r w:rsidR="007A7FB5">
                  <w:rPr>
                    <w:rFonts w:ascii="Times New Roman" w:hAnsi="Times New Roman"/>
                    <w:noProof/>
                    <w:sz w:val="18"/>
                    <w:szCs w:val="18"/>
                    <w:lang w:val="en-GB"/>
                  </w:rPr>
                  <w:fldChar w:fldCharType="end"/>
                </w:r>
              </w:sdtContent>
            </w:sdt>
            <w:sdt>
              <w:sdtPr>
                <w:rPr>
                  <w:rFonts w:ascii="Times New Roman" w:hAnsi="Times New Roman"/>
                  <w:noProof/>
                  <w:sz w:val="18"/>
                  <w:szCs w:val="18"/>
                  <w:lang w:val="en-GB"/>
                </w:rPr>
                <w:id w:val="153267451"/>
                <w:citation/>
              </w:sdtPr>
              <w:sdtEndPr/>
              <w:sdtContent>
                <w:r w:rsidR="007A7FB5">
                  <w:rPr>
                    <w:rFonts w:ascii="Times New Roman" w:hAnsi="Times New Roman"/>
                    <w:noProof/>
                    <w:sz w:val="18"/>
                    <w:szCs w:val="18"/>
                    <w:lang w:val="en-GB"/>
                  </w:rPr>
                  <w:fldChar w:fldCharType="begin"/>
                </w:r>
                <w:r w:rsidR="007A7FB5">
                  <w:rPr>
                    <w:rFonts w:ascii="Times New Roman" w:hAnsi="Times New Roman"/>
                    <w:noProof/>
                    <w:sz w:val="18"/>
                    <w:szCs w:val="18"/>
                    <w:lang w:val="en-GB"/>
                  </w:rPr>
                  <w:instrText xml:space="preserve"> CITATION Per16 \l 2057 </w:instrText>
                </w:r>
                <w:r w:rsidR="007A7FB5">
                  <w:rPr>
                    <w:rFonts w:ascii="Times New Roman" w:hAnsi="Times New Roman"/>
                    <w:noProof/>
                    <w:sz w:val="18"/>
                    <w:szCs w:val="18"/>
                    <w:lang w:val="en-GB"/>
                  </w:rPr>
                  <w:fldChar w:fldCharType="separate"/>
                </w:r>
                <w:r w:rsidR="002D6947">
                  <w:rPr>
                    <w:rFonts w:ascii="Times New Roman" w:hAnsi="Times New Roman"/>
                    <w:noProof/>
                    <w:sz w:val="18"/>
                    <w:szCs w:val="18"/>
                    <w:lang w:val="en-GB"/>
                  </w:rPr>
                  <w:t xml:space="preserve"> </w:t>
                </w:r>
                <w:r w:rsidR="002D6947" w:rsidRPr="002D6947">
                  <w:rPr>
                    <w:rFonts w:ascii="Times New Roman" w:hAnsi="Times New Roman"/>
                    <w:noProof/>
                    <w:sz w:val="18"/>
                    <w:szCs w:val="18"/>
                    <w:lang w:val="en-GB"/>
                  </w:rPr>
                  <w:t>[13]</w:t>
                </w:r>
                <w:r w:rsidR="007A7FB5">
                  <w:rPr>
                    <w:rFonts w:ascii="Times New Roman" w:hAnsi="Times New Roman"/>
                    <w:noProof/>
                    <w:sz w:val="18"/>
                    <w:szCs w:val="18"/>
                    <w:lang w:val="en-GB"/>
                  </w:rPr>
                  <w:fldChar w:fldCharType="end"/>
                </w:r>
              </w:sdtContent>
            </w:sdt>
          </w:p>
          <w:p w14:paraId="366C178E" w14:textId="77777777" w:rsidR="00915F29" w:rsidRPr="009034B9" w:rsidRDefault="00915F29" w:rsidP="00915F29">
            <w:pPr>
              <w:pStyle w:val="Paragraphedeliste"/>
              <w:spacing w:after="120" w:line="240" w:lineRule="auto"/>
              <w:ind w:left="708"/>
              <w:jc w:val="both"/>
              <w:rPr>
                <w:rFonts w:ascii="Times New Roman" w:hAnsi="Times New Roman"/>
                <w:sz w:val="18"/>
                <w:szCs w:val="18"/>
              </w:rPr>
            </w:pPr>
          </w:p>
          <w:p w14:paraId="6BD080FE" w14:textId="1E86A409" w:rsidR="00A97AA0" w:rsidRPr="00F033A4" w:rsidRDefault="00A97AA0" w:rsidP="00915F29">
            <w:pPr>
              <w:pStyle w:val="Paragraphedeliste"/>
              <w:numPr>
                <w:ilvl w:val="0"/>
                <w:numId w:val="5"/>
              </w:numPr>
              <w:spacing w:after="120" w:line="240" w:lineRule="auto"/>
              <w:ind w:left="708"/>
              <w:jc w:val="both"/>
              <w:rPr>
                <w:rFonts w:ascii="Times New Roman" w:hAnsi="Times New Roman"/>
                <w:sz w:val="18"/>
                <w:szCs w:val="18"/>
              </w:rPr>
            </w:pPr>
            <w:r w:rsidRPr="00F033A4">
              <w:rPr>
                <w:rFonts w:ascii="Times New Roman" w:hAnsi="Times New Roman"/>
                <w:b/>
                <w:sz w:val="18"/>
                <w:szCs w:val="18"/>
              </w:rPr>
              <w:t>Loss of cell membrane integrity</w:t>
            </w:r>
            <w:r w:rsidRPr="00F033A4">
              <w:rPr>
                <w:rFonts w:ascii="Times New Roman" w:hAnsi="Times New Roman"/>
                <w:sz w:val="18"/>
                <w:szCs w:val="18"/>
              </w:rPr>
              <w:t>: Reduced cell membrane integrity as a measurement for late apoptosis or necrosis</w:t>
            </w:r>
            <w:r w:rsidR="00442736">
              <w:rPr>
                <w:rFonts w:ascii="Times New Roman" w:hAnsi="Times New Roman"/>
                <w:sz w:val="18"/>
                <w:szCs w:val="18"/>
              </w:rPr>
              <w:t>. C</w:t>
            </w:r>
            <w:r w:rsidRPr="00F033A4">
              <w:rPr>
                <w:rFonts w:ascii="Times New Roman" w:hAnsi="Times New Roman"/>
                <w:sz w:val="18"/>
                <w:szCs w:val="18"/>
              </w:rPr>
              <w:t>an be perfo</w:t>
            </w:r>
            <w:r w:rsidR="00FC2808" w:rsidRPr="00F033A4">
              <w:rPr>
                <w:rFonts w:ascii="Times New Roman" w:hAnsi="Times New Roman"/>
                <w:sz w:val="18"/>
                <w:szCs w:val="18"/>
              </w:rPr>
              <w:t>r</w:t>
            </w:r>
            <w:r w:rsidRPr="00F033A4">
              <w:rPr>
                <w:rFonts w:ascii="Times New Roman" w:hAnsi="Times New Roman"/>
                <w:sz w:val="18"/>
                <w:szCs w:val="18"/>
              </w:rPr>
              <w:t>med by measurement of leakage of intracellular proteins such as lactate dehydrogenase</w:t>
            </w:r>
            <w:r w:rsidR="00061BD9" w:rsidRPr="00F033A4">
              <w:rPr>
                <w:rFonts w:ascii="Times New Roman" w:hAnsi="Times New Roman"/>
                <w:sz w:val="18"/>
                <w:szCs w:val="18"/>
              </w:rPr>
              <w:t xml:space="preserve"> (LDH)</w:t>
            </w:r>
            <w:r w:rsidRPr="00F033A4">
              <w:rPr>
                <w:rFonts w:ascii="Times New Roman" w:hAnsi="Times New Roman"/>
                <w:sz w:val="18"/>
                <w:szCs w:val="18"/>
              </w:rPr>
              <w:t>, or by retention or penetration of fluorescent probes</w:t>
            </w:r>
            <w:r w:rsidR="008849E2" w:rsidRPr="00F033A4">
              <w:rPr>
                <w:rFonts w:ascii="Times New Roman" w:hAnsi="Times New Roman"/>
                <w:noProof/>
                <w:sz w:val="18"/>
                <w:szCs w:val="18"/>
                <w:lang w:val="en-GB"/>
              </w:rPr>
              <w:t xml:space="preserve"> </w:t>
            </w:r>
            <w:sdt>
              <w:sdtPr>
                <w:rPr>
                  <w:rFonts w:ascii="Times New Roman" w:hAnsi="Times New Roman"/>
                  <w:noProof/>
                  <w:sz w:val="18"/>
                  <w:szCs w:val="18"/>
                  <w:lang w:val="en-GB"/>
                </w:rPr>
                <w:id w:val="398252797"/>
                <w:citation/>
              </w:sdtPr>
              <w:sdtEndPr/>
              <w:sdtContent>
                <w:r w:rsidR="00426F45" w:rsidRPr="00F033A4">
                  <w:rPr>
                    <w:rFonts w:ascii="Times New Roman" w:hAnsi="Times New Roman"/>
                    <w:noProof/>
                    <w:sz w:val="18"/>
                    <w:szCs w:val="18"/>
                    <w:lang w:val="en-GB"/>
                  </w:rPr>
                  <w:fldChar w:fldCharType="begin"/>
                </w:r>
                <w:r w:rsidR="00426F45" w:rsidRPr="00F033A4">
                  <w:rPr>
                    <w:rFonts w:ascii="Times New Roman" w:hAnsi="Times New Roman"/>
                    <w:noProof/>
                    <w:sz w:val="18"/>
                    <w:szCs w:val="18"/>
                  </w:rPr>
                  <w:instrText xml:space="preserve"> CITATION Bop08 \l 1036 </w:instrText>
                </w:r>
                <w:r w:rsidR="00426F45" w:rsidRPr="00F033A4">
                  <w:rPr>
                    <w:rFonts w:ascii="Times New Roman" w:hAnsi="Times New Roman"/>
                    <w:noProof/>
                    <w:sz w:val="18"/>
                    <w:szCs w:val="18"/>
                    <w:lang w:val="en-GB"/>
                  </w:rPr>
                  <w:fldChar w:fldCharType="separate"/>
                </w:r>
                <w:r w:rsidR="002D6947" w:rsidRPr="002D6947">
                  <w:rPr>
                    <w:rFonts w:ascii="Times New Roman" w:hAnsi="Times New Roman"/>
                    <w:noProof/>
                    <w:sz w:val="18"/>
                    <w:szCs w:val="18"/>
                  </w:rPr>
                  <w:t>[106]</w:t>
                </w:r>
                <w:r w:rsidR="00426F45" w:rsidRPr="00F033A4">
                  <w:rPr>
                    <w:rFonts w:ascii="Times New Roman" w:hAnsi="Times New Roman"/>
                    <w:noProof/>
                    <w:sz w:val="18"/>
                    <w:szCs w:val="18"/>
                    <w:lang w:val="en-GB"/>
                  </w:rPr>
                  <w:fldChar w:fldCharType="end"/>
                </w:r>
              </w:sdtContent>
            </w:sdt>
            <w:r w:rsidR="00D9330C" w:rsidRPr="00F033A4">
              <w:rPr>
                <w:rFonts w:ascii="Times New Roman" w:hAnsi="Times New Roman"/>
                <w:sz w:val="18"/>
                <w:szCs w:val="18"/>
              </w:rPr>
              <w:t>.</w:t>
            </w:r>
          </w:p>
          <w:p w14:paraId="38F18B62" w14:textId="77777777" w:rsidR="00915F29" w:rsidRPr="00F033A4" w:rsidRDefault="00915F29" w:rsidP="00915F29">
            <w:pPr>
              <w:pStyle w:val="Paragraphedeliste"/>
              <w:spacing w:after="120" w:line="240" w:lineRule="auto"/>
              <w:ind w:left="708"/>
              <w:jc w:val="both"/>
              <w:rPr>
                <w:rFonts w:ascii="Times New Roman" w:hAnsi="Times New Roman"/>
                <w:sz w:val="18"/>
                <w:szCs w:val="18"/>
              </w:rPr>
            </w:pPr>
          </w:p>
          <w:p w14:paraId="5F9868B8" w14:textId="77777777" w:rsidR="00897C39" w:rsidRPr="00897C39" w:rsidRDefault="00A97AA0" w:rsidP="00915F29">
            <w:pPr>
              <w:pStyle w:val="Paragraphedeliste"/>
              <w:numPr>
                <w:ilvl w:val="0"/>
                <w:numId w:val="5"/>
              </w:numPr>
              <w:spacing w:after="120" w:line="240" w:lineRule="auto"/>
              <w:ind w:left="708"/>
              <w:jc w:val="both"/>
              <w:rPr>
                <w:rFonts w:ascii="Times New Roman" w:hAnsi="Times New Roman"/>
                <w:sz w:val="18"/>
                <w:szCs w:val="18"/>
              </w:rPr>
            </w:pPr>
            <w:r w:rsidRPr="00F033A4">
              <w:rPr>
                <w:rFonts w:ascii="Times New Roman" w:hAnsi="Times New Roman"/>
                <w:b/>
                <w:sz w:val="18"/>
                <w:szCs w:val="18"/>
              </w:rPr>
              <w:t>Lysosomal function:</w:t>
            </w:r>
            <w:r w:rsidRPr="00F033A4">
              <w:rPr>
                <w:rFonts w:ascii="Times New Roman" w:hAnsi="Times New Roman"/>
                <w:sz w:val="18"/>
                <w:szCs w:val="18"/>
              </w:rPr>
              <w:t xml:space="preserve"> Lysosomal function can be assessed using </w:t>
            </w:r>
            <w:proofErr w:type="spellStart"/>
            <w:r w:rsidRPr="00F033A4">
              <w:rPr>
                <w:rFonts w:ascii="Times New Roman" w:hAnsi="Times New Roman"/>
                <w:sz w:val="18"/>
                <w:szCs w:val="18"/>
              </w:rPr>
              <w:t>lysosomotropic</w:t>
            </w:r>
            <w:proofErr w:type="spellEnd"/>
            <w:r w:rsidRPr="00F033A4">
              <w:rPr>
                <w:rFonts w:ascii="Times New Roman" w:hAnsi="Times New Roman"/>
                <w:sz w:val="18"/>
                <w:szCs w:val="18"/>
              </w:rPr>
              <w:t xml:space="preserve"> fluorescent probes, such as </w:t>
            </w:r>
            <w:proofErr w:type="spellStart"/>
            <w:r w:rsidRPr="00F033A4">
              <w:rPr>
                <w:rFonts w:ascii="Times New Roman" w:hAnsi="Times New Roman"/>
                <w:sz w:val="18"/>
                <w:szCs w:val="18"/>
              </w:rPr>
              <w:t>LysoTracker</w:t>
            </w:r>
            <w:proofErr w:type="spellEnd"/>
            <w:r w:rsidRPr="00F033A4">
              <w:rPr>
                <w:rFonts w:ascii="Times New Roman" w:hAnsi="Times New Roman"/>
                <w:sz w:val="18"/>
                <w:szCs w:val="18"/>
              </w:rPr>
              <w:t xml:space="preserve">, or indirectly by measurements of accumulation of neutral or phospholipids </w:t>
            </w:r>
            <w:sdt>
              <w:sdtPr>
                <w:rPr>
                  <w:rFonts w:ascii="Times New Roman" w:hAnsi="Times New Roman"/>
                  <w:noProof/>
                  <w:sz w:val="18"/>
                  <w:szCs w:val="18"/>
                  <w:lang w:val="en-GB"/>
                </w:rPr>
                <w:id w:val="474258897"/>
                <w:citation/>
              </w:sdtPr>
              <w:sdtEndPr/>
              <w:sdtContent>
                <w:r w:rsidR="00A736FA" w:rsidRPr="009B2E09">
                  <w:rPr>
                    <w:rFonts w:ascii="Times New Roman" w:hAnsi="Times New Roman"/>
                    <w:noProof/>
                    <w:sz w:val="18"/>
                    <w:szCs w:val="18"/>
                    <w:lang w:val="en-GB"/>
                  </w:rPr>
                  <w:fldChar w:fldCharType="begin"/>
                </w:r>
                <w:r w:rsidR="00A736FA" w:rsidRPr="00F033A4">
                  <w:rPr>
                    <w:rFonts w:ascii="Times New Roman" w:hAnsi="Times New Roman"/>
                    <w:noProof/>
                    <w:sz w:val="18"/>
                    <w:szCs w:val="18"/>
                    <w:lang w:val="en-GB"/>
                  </w:rPr>
                  <w:instrText xml:space="preserve"> CITATION Bor85 \l 2057 </w:instrText>
                </w:r>
                <w:r w:rsidR="00A736FA" w:rsidRPr="009B2E09">
                  <w:rPr>
                    <w:rFonts w:ascii="Times New Roman" w:hAnsi="Times New Roman"/>
                    <w:noProof/>
                    <w:sz w:val="18"/>
                    <w:szCs w:val="18"/>
                    <w:lang w:val="en-GB"/>
                  </w:rPr>
                  <w:fldChar w:fldCharType="separate"/>
                </w:r>
                <w:r w:rsidR="002D6947" w:rsidRPr="002D6947">
                  <w:rPr>
                    <w:rFonts w:ascii="Times New Roman" w:hAnsi="Times New Roman"/>
                    <w:noProof/>
                    <w:sz w:val="18"/>
                    <w:szCs w:val="18"/>
                    <w:lang w:val="en-GB"/>
                  </w:rPr>
                  <w:t>[107]</w:t>
                </w:r>
                <w:r w:rsidR="00A736FA" w:rsidRPr="009B2E09">
                  <w:rPr>
                    <w:rFonts w:ascii="Times New Roman" w:hAnsi="Times New Roman"/>
                    <w:noProof/>
                    <w:sz w:val="18"/>
                    <w:szCs w:val="18"/>
                    <w:lang w:val="en-GB"/>
                  </w:rPr>
                  <w:fldChar w:fldCharType="end"/>
                </w:r>
              </w:sdtContent>
            </w:sdt>
            <w:r w:rsidR="00A736FA" w:rsidRPr="00F033A4">
              <w:rPr>
                <w:rFonts w:ascii="Times New Roman" w:hAnsi="Times New Roman"/>
                <w:noProof/>
                <w:sz w:val="18"/>
                <w:szCs w:val="18"/>
                <w:lang w:val="en-GB"/>
              </w:rPr>
              <w:t xml:space="preserve">. </w:t>
            </w:r>
          </w:p>
          <w:p w14:paraId="28C23C09" w14:textId="77777777" w:rsidR="00897C39" w:rsidRPr="00897C39" w:rsidRDefault="00897C39" w:rsidP="00897C39">
            <w:pPr>
              <w:pStyle w:val="Paragraphedeliste"/>
              <w:rPr>
                <w:rFonts w:ascii="Times New Roman" w:hAnsi="Times New Roman"/>
                <w:b/>
                <w:sz w:val="18"/>
                <w:szCs w:val="18"/>
              </w:rPr>
            </w:pPr>
          </w:p>
          <w:p w14:paraId="35FDF540" w14:textId="2E4F9D86" w:rsidR="004B0132" w:rsidRDefault="00A97AA0" w:rsidP="004B0132">
            <w:pPr>
              <w:pStyle w:val="Paragraphedeliste"/>
              <w:numPr>
                <w:ilvl w:val="0"/>
                <w:numId w:val="5"/>
              </w:numPr>
              <w:spacing w:after="120" w:line="240" w:lineRule="auto"/>
              <w:ind w:left="708"/>
              <w:jc w:val="both"/>
              <w:rPr>
                <w:rFonts w:ascii="Times New Roman" w:hAnsi="Times New Roman"/>
                <w:sz w:val="18"/>
                <w:szCs w:val="18"/>
              </w:rPr>
            </w:pPr>
            <w:r w:rsidRPr="00F033A4">
              <w:rPr>
                <w:rFonts w:ascii="Times New Roman" w:hAnsi="Times New Roman"/>
                <w:b/>
                <w:sz w:val="18"/>
                <w:szCs w:val="18"/>
              </w:rPr>
              <w:t>Cell morphology, proliferation</w:t>
            </w:r>
            <w:r w:rsidRPr="00F033A4">
              <w:rPr>
                <w:rFonts w:ascii="Times New Roman" w:hAnsi="Times New Roman"/>
                <w:sz w:val="18"/>
                <w:szCs w:val="18"/>
              </w:rPr>
              <w:t xml:space="preserve">: Cell morphology and proliferation can be assessed using </w:t>
            </w:r>
            <w:r w:rsidR="00FC2808" w:rsidRPr="00F033A4">
              <w:rPr>
                <w:rFonts w:ascii="Times New Roman" w:hAnsi="Times New Roman"/>
                <w:sz w:val="18"/>
                <w:szCs w:val="18"/>
              </w:rPr>
              <w:t xml:space="preserve">impedance </w:t>
            </w:r>
            <w:r w:rsidRPr="00F033A4">
              <w:rPr>
                <w:rFonts w:ascii="Times New Roman" w:hAnsi="Times New Roman"/>
                <w:sz w:val="18"/>
                <w:szCs w:val="18"/>
              </w:rPr>
              <w:t xml:space="preserve">assays, or </w:t>
            </w:r>
            <w:r w:rsidR="00442736">
              <w:rPr>
                <w:rFonts w:ascii="Times New Roman" w:hAnsi="Times New Roman"/>
                <w:sz w:val="18"/>
                <w:szCs w:val="18"/>
              </w:rPr>
              <w:t xml:space="preserve">by </w:t>
            </w:r>
            <w:r w:rsidR="00442736" w:rsidRPr="00F033A4">
              <w:rPr>
                <w:rFonts w:ascii="Times New Roman" w:hAnsi="Times New Roman"/>
                <w:sz w:val="18"/>
                <w:szCs w:val="18"/>
              </w:rPr>
              <w:t>us</w:t>
            </w:r>
            <w:r w:rsidR="00442736">
              <w:rPr>
                <w:rFonts w:ascii="Times New Roman" w:hAnsi="Times New Roman"/>
                <w:sz w:val="18"/>
                <w:szCs w:val="18"/>
              </w:rPr>
              <w:t>e of</w:t>
            </w:r>
            <w:r w:rsidR="00442736" w:rsidRPr="00F033A4">
              <w:rPr>
                <w:rFonts w:ascii="Times New Roman" w:hAnsi="Times New Roman"/>
                <w:sz w:val="18"/>
                <w:szCs w:val="18"/>
              </w:rPr>
              <w:t xml:space="preserve"> </w:t>
            </w:r>
            <w:r w:rsidRPr="00F033A4">
              <w:rPr>
                <w:rFonts w:ascii="Times New Roman" w:hAnsi="Times New Roman"/>
                <w:sz w:val="18"/>
                <w:szCs w:val="18"/>
              </w:rPr>
              <w:t>imaging with fluorescent probes</w:t>
            </w:r>
            <w:r w:rsidR="008849E2" w:rsidRPr="00F033A4">
              <w:rPr>
                <w:rFonts w:ascii="Times New Roman" w:hAnsi="Times New Roman"/>
                <w:noProof/>
                <w:sz w:val="18"/>
                <w:szCs w:val="18"/>
                <w:lang w:val="en-GB"/>
              </w:rPr>
              <w:t xml:space="preserve"> </w:t>
            </w:r>
            <w:sdt>
              <w:sdtPr>
                <w:rPr>
                  <w:rFonts w:ascii="Times New Roman" w:hAnsi="Times New Roman"/>
                  <w:noProof/>
                  <w:sz w:val="18"/>
                  <w:szCs w:val="18"/>
                  <w:lang w:val="en-GB"/>
                </w:rPr>
                <w:id w:val="-670642666"/>
                <w:citation/>
              </w:sdtPr>
              <w:sdtEndPr/>
              <w:sdtContent>
                <w:r w:rsidR="007A7FB5" w:rsidRPr="00F033A4">
                  <w:rPr>
                    <w:rFonts w:ascii="Times New Roman" w:hAnsi="Times New Roman"/>
                    <w:noProof/>
                    <w:sz w:val="18"/>
                    <w:szCs w:val="18"/>
                    <w:lang w:val="en-GB"/>
                  </w:rPr>
                  <w:fldChar w:fldCharType="begin"/>
                </w:r>
                <w:r w:rsidR="00F033A4" w:rsidRPr="00F033A4">
                  <w:rPr>
                    <w:rFonts w:ascii="Times New Roman" w:hAnsi="Times New Roman"/>
                    <w:noProof/>
                    <w:sz w:val="18"/>
                    <w:szCs w:val="18"/>
                    <w:lang w:val="en-GB"/>
                  </w:rPr>
                  <w:instrText xml:space="preserve">CITATION Ati13 \n  \l 2057 </w:instrText>
                </w:r>
                <w:r w:rsidR="007A7FB5" w:rsidRPr="00F033A4">
                  <w:rPr>
                    <w:rFonts w:ascii="Times New Roman" w:hAnsi="Times New Roman"/>
                    <w:noProof/>
                    <w:sz w:val="18"/>
                    <w:szCs w:val="18"/>
                    <w:lang w:val="en-GB"/>
                  </w:rPr>
                  <w:fldChar w:fldCharType="separate"/>
                </w:r>
                <w:r w:rsidR="002D6947" w:rsidRPr="002D6947">
                  <w:rPr>
                    <w:rFonts w:ascii="Times New Roman" w:hAnsi="Times New Roman"/>
                    <w:noProof/>
                    <w:sz w:val="18"/>
                    <w:szCs w:val="18"/>
                    <w:lang w:val="en-GB"/>
                  </w:rPr>
                  <w:t>[108]</w:t>
                </w:r>
                <w:r w:rsidR="007A7FB5" w:rsidRPr="00F033A4">
                  <w:rPr>
                    <w:rFonts w:ascii="Times New Roman" w:hAnsi="Times New Roman"/>
                    <w:noProof/>
                    <w:sz w:val="18"/>
                    <w:szCs w:val="18"/>
                    <w:lang w:val="en-GB"/>
                  </w:rPr>
                  <w:fldChar w:fldCharType="end"/>
                </w:r>
              </w:sdtContent>
            </w:sdt>
            <w:r w:rsidRPr="00F033A4">
              <w:rPr>
                <w:rFonts w:ascii="Times New Roman" w:hAnsi="Times New Roman"/>
                <w:sz w:val="18"/>
                <w:szCs w:val="18"/>
              </w:rPr>
              <w:t xml:space="preserve">. </w:t>
            </w:r>
            <w:r w:rsidR="008849E2" w:rsidRPr="00F033A4">
              <w:rPr>
                <w:rFonts w:ascii="Times New Roman" w:hAnsi="Times New Roman"/>
                <w:sz w:val="18"/>
                <w:szCs w:val="18"/>
              </w:rPr>
              <w:t xml:space="preserve"> </w:t>
            </w:r>
          </w:p>
          <w:p w14:paraId="707CCB5E" w14:textId="77777777" w:rsidR="004B0132" w:rsidRPr="004B0132" w:rsidRDefault="004B0132" w:rsidP="004B0132">
            <w:pPr>
              <w:pStyle w:val="Paragraphedeliste"/>
              <w:rPr>
                <w:rFonts w:ascii="Times New Roman" w:hAnsi="Times New Roman"/>
                <w:sz w:val="18"/>
                <w:szCs w:val="18"/>
              </w:rPr>
            </w:pPr>
          </w:p>
          <w:p w14:paraId="702763FB" w14:textId="77777777" w:rsidR="004B0132" w:rsidRPr="004B0132" w:rsidRDefault="004B0132" w:rsidP="004B0132">
            <w:pPr>
              <w:pStyle w:val="Paragraphedeliste"/>
              <w:spacing w:after="120" w:line="240" w:lineRule="auto"/>
              <w:ind w:left="708"/>
              <w:jc w:val="both"/>
              <w:rPr>
                <w:rFonts w:ascii="Times New Roman" w:hAnsi="Times New Roman"/>
                <w:sz w:val="18"/>
                <w:szCs w:val="18"/>
              </w:rPr>
            </w:pPr>
          </w:p>
          <w:p w14:paraId="4173D570" w14:textId="77777777" w:rsidR="004B0132" w:rsidRPr="004B0132" w:rsidRDefault="004B0132" w:rsidP="004B0132">
            <w:pPr>
              <w:pStyle w:val="Paragraphedeliste"/>
              <w:numPr>
                <w:ilvl w:val="0"/>
                <w:numId w:val="26"/>
              </w:numPr>
              <w:autoSpaceDE w:val="0"/>
              <w:autoSpaceDN w:val="0"/>
              <w:adjustRightInd w:val="0"/>
              <w:rPr>
                <w:rFonts w:ascii="Times New Roman" w:hAnsi="Times New Roman"/>
                <w:sz w:val="18"/>
                <w:szCs w:val="18"/>
                <w:shd w:val="clear" w:color="auto" w:fill="FFFFFF"/>
                <w:lang w:val="en-GB"/>
              </w:rPr>
            </w:pPr>
            <w:proofErr w:type="spellStart"/>
            <w:r w:rsidRPr="004B0132">
              <w:rPr>
                <w:rFonts w:ascii="Times New Roman" w:hAnsi="Times New Roman"/>
                <w:b/>
                <w:color w:val="333333"/>
                <w:sz w:val="18"/>
                <w:szCs w:val="18"/>
                <w:shd w:val="clear" w:color="auto" w:fill="FFFFFF"/>
                <w:lang w:val="en-GB"/>
              </w:rPr>
              <w:t>Phospholipidosis</w:t>
            </w:r>
            <w:proofErr w:type="spellEnd"/>
            <w:r w:rsidRPr="004B0132">
              <w:rPr>
                <w:rFonts w:ascii="Times New Roman" w:hAnsi="Times New Roman"/>
                <w:color w:val="333333"/>
                <w:sz w:val="18"/>
                <w:szCs w:val="18"/>
                <w:shd w:val="clear" w:color="auto" w:fill="FFFFFF"/>
                <w:lang w:val="en-GB"/>
              </w:rPr>
              <w:t xml:space="preserve">. Drug-induced </w:t>
            </w:r>
            <w:proofErr w:type="spellStart"/>
            <w:r w:rsidRPr="004B0132">
              <w:rPr>
                <w:rFonts w:ascii="Times New Roman" w:hAnsi="Times New Roman"/>
                <w:color w:val="333333"/>
                <w:sz w:val="18"/>
                <w:szCs w:val="18"/>
                <w:shd w:val="clear" w:color="auto" w:fill="FFFFFF"/>
                <w:lang w:val="en-GB"/>
              </w:rPr>
              <w:t>phospholipidosis</w:t>
            </w:r>
            <w:proofErr w:type="spellEnd"/>
            <w:r w:rsidRPr="004B0132">
              <w:rPr>
                <w:rFonts w:ascii="Times New Roman" w:hAnsi="Times New Roman"/>
                <w:color w:val="333333"/>
                <w:sz w:val="18"/>
                <w:szCs w:val="18"/>
                <w:shd w:val="clear" w:color="auto" w:fill="FFFFFF"/>
                <w:lang w:val="en-GB"/>
              </w:rPr>
              <w:t xml:space="preserve"> can be assessed by use of the </w:t>
            </w:r>
            <w:proofErr w:type="spellStart"/>
            <w:r w:rsidRPr="004B0132">
              <w:rPr>
                <w:rFonts w:ascii="Times New Roman" w:hAnsi="Times New Roman"/>
                <w:color w:val="333333"/>
                <w:sz w:val="18"/>
                <w:szCs w:val="18"/>
                <w:shd w:val="clear" w:color="auto" w:fill="FFFFFF"/>
                <w:lang w:val="en-GB"/>
              </w:rPr>
              <w:t>LipidTox</w:t>
            </w:r>
            <w:proofErr w:type="spellEnd"/>
            <w:r w:rsidRPr="004B0132">
              <w:rPr>
                <w:rFonts w:ascii="Times New Roman" w:hAnsi="Times New Roman"/>
                <w:color w:val="333333"/>
                <w:sz w:val="18"/>
                <w:szCs w:val="18"/>
                <w:shd w:val="clear" w:color="auto" w:fill="FFFFFF"/>
                <w:lang w:val="en-GB"/>
              </w:rPr>
              <w:t xml:space="preserve"> assay </w:t>
            </w:r>
            <w:sdt>
              <w:sdtPr>
                <w:rPr>
                  <w:rFonts w:ascii="Times New Roman" w:hAnsi="Times New Roman"/>
                  <w:sz w:val="18"/>
                  <w:szCs w:val="18"/>
                  <w:shd w:val="clear" w:color="auto" w:fill="FFFFFF"/>
                  <w:lang w:val="en-GB"/>
                </w:rPr>
                <w:id w:val="1970009013"/>
                <w:citation/>
              </w:sdtPr>
              <w:sdtEndPr/>
              <w:sdtContent>
                <w:r w:rsidRPr="004B0132">
                  <w:rPr>
                    <w:rFonts w:ascii="Times New Roman" w:hAnsi="Times New Roman"/>
                    <w:color w:val="333333"/>
                    <w:sz w:val="18"/>
                    <w:szCs w:val="18"/>
                    <w:shd w:val="clear" w:color="auto" w:fill="FFFFFF"/>
                    <w:lang w:val="en-GB"/>
                  </w:rPr>
                  <w:fldChar w:fldCharType="begin"/>
                </w:r>
                <w:r w:rsidRPr="004B0132">
                  <w:rPr>
                    <w:rFonts w:ascii="Times New Roman" w:hAnsi="Times New Roman"/>
                    <w:color w:val="333333"/>
                    <w:sz w:val="18"/>
                    <w:szCs w:val="18"/>
                    <w:shd w:val="clear" w:color="auto" w:fill="FFFFFF"/>
                    <w:lang w:val="en-GB"/>
                  </w:rPr>
                  <w:instrText xml:space="preserve"> CITATION Par12 \l 2057 </w:instrText>
                </w:r>
                <w:r w:rsidRPr="004B0132">
                  <w:rPr>
                    <w:rFonts w:ascii="Times New Roman" w:hAnsi="Times New Roman"/>
                    <w:color w:val="333333"/>
                    <w:sz w:val="18"/>
                    <w:szCs w:val="18"/>
                    <w:shd w:val="clear" w:color="auto" w:fill="FFFFFF"/>
                    <w:lang w:val="en-GB"/>
                  </w:rPr>
                  <w:fldChar w:fldCharType="separate"/>
                </w:r>
                <w:r w:rsidR="002D6947" w:rsidRPr="002D6947">
                  <w:rPr>
                    <w:rFonts w:ascii="Times New Roman" w:hAnsi="Times New Roman"/>
                    <w:noProof/>
                    <w:color w:val="333333"/>
                    <w:sz w:val="18"/>
                    <w:szCs w:val="18"/>
                    <w:shd w:val="clear" w:color="auto" w:fill="FFFFFF"/>
                    <w:lang w:val="en-GB"/>
                  </w:rPr>
                  <w:t>[109]</w:t>
                </w:r>
                <w:r w:rsidRPr="004B0132">
                  <w:rPr>
                    <w:rFonts w:ascii="Times New Roman" w:hAnsi="Times New Roman"/>
                    <w:color w:val="333333"/>
                    <w:sz w:val="18"/>
                    <w:szCs w:val="18"/>
                    <w:shd w:val="clear" w:color="auto" w:fill="FFFFFF"/>
                    <w:lang w:val="en-GB"/>
                  </w:rPr>
                  <w:fldChar w:fldCharType="end"/>
                </w:r>
              </w:sdtContent>
            </w:sdt>
            <w:r w:rsidRPr="004B0132">
              <w:rPr>
                <w:rFonts w:ascii="Times New Roman" w:hAnsi="Times New Roman"/>
                <w:color w:val="333333"/>
                <w:sz w:val="18"/>
                <w:szCs w:val="18"/>
                <w:shd w:val="clear" w:color="auto" w:fill="FFFFFF"/>
                <w:lang w:val="en-GB"/>
              </w:rPr>
              <w:t xml:space="preserve">. </w:t>
            </w:r>
            <w:r w:rsidRPr="004B0132">
              <w:rPr>
                <w:rFonts w:ascii="Times New Roman" w:hAnsi="Times New Roman"/>
                <w:sz w:val="18"/>
                <w:szCs w:val="18"/>
                <w:lang w:val="en-GB"/>
              </w:rPr>
              <w:t>L</w:t>
            </w:r>
            <w:r w:rsidRPr="004B0132">
              <w:rPr>
                <w:rFonts w:ascii="Times New Roman" w:hAnsi="Times New Roman"/>
                <w:color w:val="000000"/>
                <w:sz w:val="18"/>
                <w:szCs w:val="18"/>
                <w:lang w:val="en-GB"/>
              </w:rPr>
              <w:t xml:space="preserve">ysosomal function may be severely perturbed at the onset of hepatocyte death </w:t>
            </w:r>
            <w:sdt>
              <w:sdtPr>
                <w:rPr>
                  <w:rFonts w:ascii="Times New Roman" w:hAnsi="Times New Roman"/>
                  <w:sz w:val="18"/>
                  <w:szCs w:val="18"/>
                  <w:lang w:val="en-GB"/>
                </w:rPr>
                <w:id w:val="-1605803522"/>
                <w:citation/>
              </w:sdtPr>
              <w:sdtEndPr/>
              <w:sdtContent>
                <w:r w:rsidRPr="004B0132">
                  <w:rPr>
                    <w:rFonts w:ascii="Times New Roman" w:hAnsi="Times New Roman"/>
                    <w:color w:val="000000"/>
                    <w:sz w:val="18"/>
                    <w:szCs w:val="18"/>
                    <w:lang w:val="en-GB"/>
                  </w:rPr>
                  <w:fldChar w:fldCharType="begin"/>
                </w:r>
                <w:r w:rsidRPr="004B0132">
                  <w:rPr>
                    <w:rFonts w:ascii="Times New Roman" w:hAnsi="Times New Roman"/>
                    <w:color w:val="000000"/>
                    <w:sz w:val="18"/>
                    <w:szCs w:val="18"/>
                    <w:lang w:val="en-GB"/>
                  </w:rPr>
                  <w:instrText xml:space="preserve"> CITATION Gol17 \l 2057 </w:instrText>
                </w:r>
                <w:r w:rsidRPr="004B0132">
                  <w:rPr>
                    <w:rFonts w:ascii="Times New Roman" w:hAnsi="Times New Roman"/>
                    <w:color w:val="000000"/>
                    <w:sz w:val="18"/>
                    <w:szCs w:val="18"/>
                    <w:lang w:val="en-GB"/>
                  </w:rPr>
                  <w:fldChar w:fldCharType="separate"/>
                </w:r>
                <w:r w:rsidR="002D6947" w:rsidRPr="002D6947">
                  <w:rPr>
                    <w:rFonts w:ascii="Times New Roman" w:hAnsi="Times New Roman"/>
                    <w:noProof/>
                    <w:color w:val="000000"/>
                    <w:sz w:val="18"/>
                    <w:szCs w:val="18"/>
                    <w:lang w:val="en-GB"/>
                  </w:rPr>
                  <w:t>[110]</w:t>
                </w:r>
                <w:r w:rsidRPr="004B0132">
                  <w:rPr>
                    <w:rFonts w:ascii="Times New Roman" w:hAnsi="Times New Roman"/>
                    <w:color w:val="000000"/>
                    <w:sz w:val="18"/>
                    <w:szCs w:val="18"/>
                    <w:lang w:val="en-GB"/>
                  </w:rPr>
                  <w:fldChar w:fldCharType="end"/>
                </w:r>
              </w:sdtContent>
            </w:sdt>
            <w:r w:rsidRPr="004B0132">
              <w:rPr>
                <w:rFonts w:ascii="Times New Roman" w:hAnsi="Times New Roman"/>
                <w:color w:val="000000"/>
                <w:sz w:val="18"/>
                <w:szCs w:val="18"/>
                <w:lang w:val="en-GB"/>
              </w:rPr>
              <w:t xml:space="preserve">. Can be associated with </w:t>
            </w:r>
            <w:proofErr w:type="spellStart"/>
            <w:r w:rsidRPr="004B0132">
              <w:rPr>
                <w:rFonts w:ascii="Times New Roman" w:hAnsi="Times New Roman"/>
                <w:color w:val="000000"/>
                <w:sz w:val="18"/>
                <w:szCs w:val="18"/>
                <w:lang w:val="en-GB"/>
              </w:rPr>
              <w:t>phospholipidosis</w:t>
            </w:r>
            <w:proofErr w:type="spellEnd"/>
            <w:r w:rsidRPr="004B0132">
              <w:rPr>
                <w:rFonts w:ascii="Times New Roman" w:hAnsi="Times New Roman"/>
                <w:color w:val="000000"/>
                <w:sz w:val="18"/>
                <w:szCs w:val="18"/>
                <w:lang w:val="en-GB"/>
              </w:rPr>
              <w:t xml:space="preserve"> as a consequence of disturbed phospholipid breakdown in lysosomes. Occurrence of </w:t>
            </w:r>
            <w:proofErr w:type="spellStart"/>
            <w:r w:rsidRPr="004B0132">
              <w:rPr>
                <w:rFonts w:ascii="Times New Roman" w:hAnsi="Times New Roman"/>
                <w:color w:val="000000"/>
                <w:sz w:val="18"/>
                <w:szCs w:val="18"/>
                <w:lang w:val="en-GB"/>
              </w:rPr>
              <w:t>phospholipidosis</w:t>
            </w:r>
            <w:proofErr w:type="spellEnd"/>
            <w:r w:rsidRPr="004B0132">
              <w:rPr>
                <w:rFonts w:ascii="Times New Roman" w:hAnsi="Times New Roman"/>
                <w:color w:val="000000"/>
                <w:sz w:val="18"/>
                <w:szCs w:val="18"/>
                <w:lang w:val="en-GB"/>
              </w:rPr>
              <w:t xml:space="preserve"> often related to the physicochemical characteristics of compounds.</w:t>
            </w:r>
          </w:p>
          <w:p w14:paraId="2A7B0DDD" w14:textId="5503917D" w:rsidR="00EA3A27" w:rsidRPr="004B0132" w:rsidRDefault="00EA3A27" w:rsidP="004B0132">
            <w:pPr>
              <w:pStyle w:val="Paragraphedeliste"/>
              <w:spacing w:after="120" w:line="240" w:lineRule="auto"/>
              <w:ind w:left="708"/>
              <w:jc w:val="both"/>
              <w:rPr>
                <w:rFonts w:ascii="Times New Roman" w:hAnsi="Times New Roman"/>
                <w:sz w:val="18"/>
                <w:szCs w:val="20"/>
                <w:lang w:val="en-GB"/>
              </w:rPr>
            </w:pPr>
          </w:p>
          <w:p w14:paraId="457DCDF8" w14:textId="77777777" w:rsidR="00915F29" w:rsidRDefault="00915F29" w:rsidP="00915F29">
            <w:pPr>
              <w:pStyle w:val="Paragraphedeliste"/>
              <w:spacing w:after="120" w:line="240" w:lineRule="auto"/>
              <w:ind w:left="708"/>
              <w:jc w:val="both"/>
              <w:rPr>
                <w:rFonts w:ascii="Times New Roman" w:hAnsi="Times New Roman"/>
                <w:sz w:val="18"/>
                <w:szCs w:val="18"/>
              </w:rPr>
            </w:pPr>
          </w:p>
          <w:p w14:paraId="06537A17" w14:textId="77777777" w:rsidR="00A97AA0" w:rsidRDefault="00A97AA0" w:rsidP="00915F29">
            <w:pPr>
              <w:pStyle w:val="Paragraphedeliste"/>
              <w:numPr>
                <w:ilvl w:val="0"/>
                <w:numId w:val="5"/>
              </w:numPr>
              <w:spacing w:after="120" w:line="240" w:lineRule="auto"/>
              <w:ind w:left="708"/>
              <w:jc w:val="both"/>
              <w:rPr>
                <w:rFonts w:ascii="Times New Roman" w:hAnsi="Times New Roman"/>
                <w:sz w:val="18"/>
                <w:szCs w:val="18"/>
              </w:rPr>
            </w:pPr>
            <w:r w:rsidRPr="009034B9">
              <w:rPr>
                <w:rFonts w:ascii="Times New Roman" w:hAnsi="Times New Roman"/>
                <w:b/>
                <w:sz w:val="18"/>
                <w:szCs w:val="18"/>
              </w:rPr>
              <w:t xml:space="preserve">Glutathione: </w:t>
            </w:r>
            <w:r w:rsidRPr="009034B9">
              <w:rPr>
                <w:rFonts w:ascii="Times New Roman" w:hAnsi="Times New Roman"/>
                <w:sz w:val="18"/>
                <w:szCs w:val="18"/>
              </w:rPr>
              <w:t xml:space="preserve">Measures of glutathione levels as </w:t>
            </w:r>
            <w:r>
              <w:rPr>
                <w:rFonts w:ascii="Times New Roman" w:hAnsi="Times New Roman"/>
                <w:sz w:val="18"/>
                <w:szCs w:val="18"/>
              </w:rPr>
              <w:t>can be performed with fluorescent probes and used to measure oxidative status of cells</w:t>
            </w:r>
            <w:sdt>
              <w:sdtPr>
                <w:rPr>
                  <w:rFonts w:ascii="Times New Roman" w:hAnsi="Times New Roman"/>
                  <w:sz w:val="18"/>
                  <w:szCs w:val="18"/>
                </w:rPr>
                <w:id w:val="-1515923381"/>
                <w:citation/>
              </w:sdtPr>
              <w:sdtEndPr/>
              <w:sdtContent>
                <w:r w:rsidR="001871BB">
                  <w:rPr>
                    <w:rFonts w:ascii="Times New Roman" w:hAnsi="Times New Roman"/>
                    <w:sz w:val="18"/>
                    <w:szCs w:val="18"/>
                  </w:rPr>
                  <w:fldChar w:fldCharType="begin"/>
                </w:r>
                <w:r w:rsidR="001871BB">
                  <w:rPr>
                    <w:rFonts w:ascii="Times New Roman" w:hAnsi="Times New Roman"/>
                    <w:sz w:val="18"/>
                    <w:szCs w:val="18"/>
                    <w:lang w:val="en-GB"/>
                  </w:rPr>
                  <w:instrText xml:space="preserve"> CITATION Per14 \l 2057 </w:instrText>
                </w:r>
                <w:r w:rsidR="001871BB">
                  <w:rPr>
                    <w:rFonts w:ascii="Times New Roman" w:hAnsi="Times New Roman"/>
                    <w:sz w:val="18"/>
                    <w:szCs w:val="18"/>
                  </w:rPr>
                  <w:fldChar w:fldCharType="separate"/>
                </w:r>
                <w:r w:rsidR="002D6947">
                  <w:rPr>
                    <w:rFonts w:ascii="Times New Roman" w:hAnsi="Times New Roman"/>
                    <w:noProof/>
                    <w:sz w:val="18"/>
                    <w:szCs w:val="18"/>
                    <w:lang w:val="en-GB"/>
                  </w:rPr>
                  <w:t xml:space="preserve"> </w:t>
                </w:r>
                <w:r w:rsidR="002D6947" w:rsidRPr="002D6947">
                  <w:rPr>
                    <w:rFonts w:ascii="Times New Roman" w:hAnsi="Times New Roman"/>
                    <w:noProof/>
                    <w:sz w:val="18"/>
                    <w:szCs w:val="18"/>
                    <w:lang w:val="en-GB"/>
                  </w:rPr>
                  <w:t>[12]</w:t>
                </w:r>
                <w:r w:rsidR="001871BB">
                  <w:rPr>
                    <w:rFonts w:ascii="Times New Roman" w:hAnsi="Times New Roman"/>
                    <w:sz w:val="18"/>
                    <w:szCs w:val="18"/>
                  </w:rPr>
                  <w:fldChar w:fldCharType="end"/>
                </w:r>
              </w:sdtContent>
            </w:sdt>
            <w:r w:rsidR="007A7FB5">
              <w:rPr>
                <w:rFonts w:ascii="Times New Roman" w:hAnsi="Times New Roman"/>
                <w:sz w:val="18"/>
                <w:szCs w:val="18"/>
              </w:rPr>
              <w:t>.</w:t>
            </w:r>
          </w:p>
          <w:p w14:paraId="4B7F7369" w14:textId="77777777" w:rsidR="00915F29" w:rsidRPr="009034B9" w:rsidRDefault="00915F29" w:rsidP="00915F29">
            <w:pPr>
              <w:pStyle w:val="Paragraphedeliste"/>
              <w:spacing w:after="120" w:line="240" w:lineRule="auto"/>
              <w:ind w:left="708"/>
              <w:jc w:val="both"/>
              <w:rPr>
                <w:rFonts w:ascii="Times New Roman" w:hAnsi="Times New Roman"/>
                <w:sz w:val="18"/>
                <w:szCs w:val="18"/>
              </w:rPr>
            </w:pPr>
          </w:p>
          <w:p w14:paraId="737B5FAE" w14:textId="77777777" w:rsidR="008849E2" w:rsidRDefault="00A97AA0" w:rsidP="00915F29">
            <w:pPr>
              <w:pStyle w:val="Paragraphedeliste"/>
              <w:numPr>
                <w:ilvl w:val="0"/>
                <w:numId w:val="5"/>
              </w:numPr>
              <w:spacing w:after="120" w:line="240" w:lineRule="auto"/>
              <w:ind w:left="708"/>
              <w:jc w:val="both"/>
              <w:rPr>
                <w:rFonts w:ascii="Times New Roman" w:hAnsi="Times New Roman"/>
                <w:sz w:val="18"/>
                <w:szCs w:val="18"/>
              </w:rPr>
            </w:pPr>
            <w:r w:rsidRPr="009034B9">
              <w:rPr>
                <w:rFonts w:ascii="Times New Roman" w:hAnsi="Times New Roman"/>
                <w:b/>
                <w:sz w:val="18"/>
                <w:szCs w:val="18"/>
              </w:rPr>
              <w:t>Hepatocellular markers</w:t>
            </w:r>
            <w:r w:rsidRPr="009034B9">
              <w:rPr>
                <w:rFonts w:ascii="Times New Roman" w:hAnsi="Times New Roman"/>
                <w:sz w:val="18"/>
                <w:szCs w:val="18"/>
              </w:rPr>
              <w:t xml:space="preserve">: Selective endpoint assessment of cell function </w:t>
            </w:r>
            <w:r>
              <w:rPr>
                <w:rFonts w:ascii="Times New Roman" w:hAnsi="Times New Roman"/>
                <w:sz w:val="18"/>
                <w:szCs w:val="18"/>
              </w:rPr>
              <w:t>can be made by</w:t>
            </w:r>
            <w:r w:rsidRPr="009034B9">
              <w:rPr>
                <w:rFonts w:ascii="Times New Roman" w:hAnsi="Times New Roman"/>
                <w:sz w:val="18"/>
                <w:szCs w:val="18"/>
              </w:rPr>
              <w:t xml:space="preserve"> measure</w:t>
            </w:r>
            <w:r>
              <w:rPr>
                <w:rFonts w:ascii="Times New Roman" w:hAnsi="Times New Roman"/>
                <w:sz w:val="18"/>
                <w:szCs w:val="18"/>
              </w:rPr>
              <w:t>ments</w:t>
            </w:r>
            <w:r w:rsidRPr="009034B9">
              <w:rPr>
                <w:rFonts w:ascii="Times New Roman" w:hAnsi="Times New Roman"/>
                <w:sz w:val="18"/>
                <w:szCs w:val="18"/>
              </w:rPr>
              <w:t xml:space="preserve"> of urea and</w:t>
            </w:r>
            <w:r>
              <w:rPr>
                <w:rFonts w:ascii="Times New Roman" w:hAnsi="Times New Roman"/>
                <w:sz w:val="18"/>
                <w:szCs w:val="18"/>
              </w:rPr>
              <w:t xml:space="preserve"> albumin formation, or s</w:t>
            </w:r>
            <w:r w:rsidRPr="009034B9">
              <w:rPr>
                <w:rFonts w:ascii="Times New Roman" w:hAnsi="Times New Roman"/>
                <w:sz w:val="18"/>
                <w:szCs w:val="18"/>
              </w:rPr>
              <w:t>pecific hepatocellular marker</w:t>
            </w:r>
            <w:r>
              <w:rPr>
                <w:rFonts w:ascii="Times New Roman" w:hAnsi="Times New Roman"/>
                <w:sz w:val="18"/>
                <w:szCs w:val="18"/>
              </w:rPr>
              <w:t>s such as</w:t>
            </w:r>
            <w:r w:rsidRPr="009034B9">
              <w:rPr>
                <w:rFonts w:ascii="Times New Roman" w:hAnsi="Times New Roman"/>
                <w:sz w:val="18"/>
                <w:szCs w:val="18"/>
              </w:rPr>
              <w:t xml:space="preserve"> miRNA122</w:t>
            </w:r>
            <w:r>
              <w:rPr>
                <w:rFonts w:ascii="Times New Roman" w:hAnsi="Times New Roman"/>
                <w:sz w:val="18"/>
                <w:szCs w:val="18"/>
              </w:rPr>
              <w:t xml:space="preserve"> </w:t>
            </w:r>
          </w:p>
          <w:p w14:paraId="5F127C90" w14:textId="77777777" w:rsidR="00915F29" w:rsidRDefault="00915F29" w:rsidP="00915F29">
            <w:pPr>
              <w:pStyle w:val="Paragraphedeliste"/>
              <w:spacing w:after="120" w:line="240" w:lineRule="auto"/>
              <w:ind w:left="708"/>
              <w:jc w:val="both"/>
              <w:rPr>
                <w:rFonts w:ascii="Times New Roman" w:hAnsi="Times New Roman"/>
                <w:sz w:val="18"/>
                <w:szCs w:val="18"/>
              </w:rPr>
            </w:pPr>
          </w:p>
          <w:p w14:paraId="63417EF2" w14:textId="77777777" w:rsidR="008849E2" w:rsidRPr="00F033A4" w:rsidRDefault="00A97AA0" w:rsidP="00915F29">
            <w:pPr>
              <w:pStyle w:val="Paragraphedeliste"/>
              <w:numPr>
                <w:ilvl w:val="0"/>
                <w:numId w:val="5"/>
              </w:numPr>
              <w:spacing w:after="120" w:line="240" w:lineRule="auto"/>
              <w:ind w:left="708"/>
              <w:jc w:val="both"/>
              <w:rPr>
                <w:rFonts w:ascii="Times New Roman" w:hAnsi="Times New Roman"/>
                <w:sz w:val="18"/>
                <w:szCs w:val="18"/>
              </w:rPr>
            </w:pPr>
            <w:r w:rsidRPr="00F033A4">
              <w:rPr>
                <w:rFonts w:ascii="Times New Roman" w:hAnsi="Times New Roman"/>
                <w:b/>
                <w:sz w:val="18"/>
                <w:szCs w:val="18"/>
              </w:rPr>
              <w:t>High content imaging</w:t>
            </w:r>
            <w:r w:rsidRPr="00F033A4">
              <w:rPr>
                <w:rFonts w:ascii="Times New Roman" w:hAnsi="Times New Roman"/>
                <w:sz w:val="18"/>
                <w:szCs w:val="18"/>
              </w:rPr>
              <w:t xml:space="preserve">: </w:t>
            </w:r>
            <w:proofErr w:type="spellStart"/>
            <w:r w:rsidRPr="00F033A4">
              <w:rPr>
                <w:rFonts w:ascii="Times New Roman" w:hAnsi="Times New Roman"/>
                <w:sz w:val="18"/>
                <w:szCs w:val="18"/>
              </w:rPr>
              <w:t>Multiparametric</w:t>
            </w:r>
            <w:proofErr w:type="spellEnd"/>
            <w:r w:rsidRPr="00F033A4">
              <w:rPr>
                <w:rFonts w:ascii="Times New Roman" w:hAnsi="Times New Roman"/>
                <w:sz w:val="18"/>
                <w:szCs w:val="18"/>
              </w:rPr>
              <w:t xml:space="preserve"> imaging can be used to combine several of the above mentioned end</w:t>
            </w:r>
            <w:r w:rsidR="008849E2" w:rsidRPr="00F033A4">
              <w:rPr>
                <w:rFonts w:ascii="Times New Roman" w:hAnsi="Times New Roman"/>
                <w:sz w:val="18"/>
                <w:szCs w:val="18"/>
              </w:rPr>
              <w:t xml:space="preserve"> </w:t>
            </w:r>
            <w:r w:rsidRPr="00F033A4">
              <w:rPr>
                <w:rFonts w:ascii="Times New Roman" w:hAnsi="Times New Roman"/>
                <w:sz w:val="18"/>
                <w:szCs w:val="18"/>
              </w:rPr>
              <w:t>points</w:t>
            </w:r>
            <w:r w:rsidR="008849E2" w:rsidRPr="00F033A4">
              <w:rPr>
                <w:rFonts w:ascii="Times New Roman" w:hAnsi="Times New Roman"/>
                <w:noProof/>
                <w:sz w:val="18"/>
                <w:szCs w:val="18"/>
                <w:lang w:val="en-GB"/>
              </w:rPr>
              <w:t xml:space="preserve"> </w:t>
            </w:r>
            <w:sdt>
              <w:sdtPr>
                <w:rPr>
                  <w:rFonts w:ascii="Times New Roman" w:hAnsi="Times New Roman"/>
                  <w:noProof/>
                  <w:sz w:val="18"/>
                  <w:szCs w:val="18"/>
                  <w:lang w:val="en-GB"/>
                </w:rPr>
                <w:id w:val="-828746628"/>
                <w:citation/>
              </w:sdtPr>
              <w:sdtEndPr/>
              <w:sdtContent>
                <w:r w:rsidR="007A7FB5" w:rsidRPr="00F033A4">
                  <w:rPr>
                    <w:rFonts w:ascii="Times New Roman" w:hAnsi="Times New Roman"/>
                    <w:noProof/>
                    <w:sz w:val="18"/>
                    <w:szCs w:val="18"/>
                    <w:lang w:val="en-GB"/>
                  </w:rPr>
                  <w:fldChar w:fldCharType="begin"/>
                </w:r>
                <w:r w:rsidR="007A7FB5" w:rsidRPr="00F033A4">
                  <w:rPr>
                    <w:rFonts w:ascii="Times New Roman" w:hAnsi="Times New Roman"/>
                    <w:noProof/>
                    <w:sz w:val="18"/>
                    <w:szCs w:val="18"/>
                    <w:lang w:val="en-GB"/>
                  </w:rPr>
                  <w:instrText xml:space="preserve"> CITATION Per16 \l 2057 </w:instrText>
                </w:r>
                <w:r w:rsidR="007A7FB5" w:rsidRPr="00F033A4">
                  <w:rPr>
                    <w:rFonts w:ascii="Times New Roman" w:hAnsi="Times New Roman"/>
                    <w:noProof/>
                    <w:sz w:val="18"/>
                    <w:szCs w:val="18"/>
                    <w:lang w:val="en-GB"/>
                  </w:rPr>
                  <w:fldChar w:fldCharType="separate"/>
                </w:r>
                <w:r w:rsidR="002D6947" w:rsidRPr="002D6947">
                  <w:rPr>
                    <w:rFonts w:ascii="Times New Roman" w:hAnsi="Times New Roman"/>
                    <w:noProof/>
                    <w:sz w:val="18"/>
                    <w:szCs w:val="18"/>
                    <w:lang w:val="en-GB"/>
                  </w:rPr>
                  <w:t>[13]</w:t>
                </w:r>
                <w:r w:rsidR="007A7FB5" w:rsidRPr="00F033A4">
                  <w:rPr>
                    <w:rFonts w:ascii="Times New Roman" w:hAnsi="Times New Roman"/>
                    <w:noProof/>
                    <w:sz w:val="18"/>
                    <w:szCs w:val="18"/>
                    <w:lang w:val="en-GB"/>
                  </w:rPr>
                  <w:fldChar w:fldCharType="end"/>
                </w:r>
              </w:sdtContent>
            </w:sdt>
            <w:r w:rsidR="007A7FB5" w:rsidRPr="00F033A4">
              <w:rPr>
                <w:rFonts w:ascii="Times New Roman" w:hAnsi="Times New Roman"/>
                <w:noProof/>
                <w:sz w:val="18"/>
                <w:szCs w:val="18"/>
                <w:lang w:val="en-GB"/>
              </w:rPr>
              <w:t>.</w:t>
            </w:r>
          </w:p>
          <w:p w14:paraId="62AFF390" w14:textId="77777777" w:rsidR="00915F29" w:rsidRPr="00F033A4" w:rsidRDefault="00915F29" w:rsidP="00915F29">
            <w:pPr>
              <w:pStyle w:val="Paragraphedeliste"/>
              <w:spacing w:after="120" w:line="240" w:lineRule="auto"/>
              <w:ind w:left="708"/>
              <w:jc w:val="both"/>
              <w:rPr>
                <w:rFonts w:ascii="Times New Roman" w:hAnsi="Times New Roman"/>
                <w:sz w:val="18"/>
                <w:szCs w:val="18"/>
              </w:rPr>
            </w:pPr>
          </w:p>
          <w:p w14:paraId="131FB980" w14:textId="77777777" w:rsidR="00A97AA0" w:rsidRPr="00F033A4" w:rsidRDefault="00A97AA0" w:rsidP="00915F29">
            <w:pPr>
              <w:pStyle w:val="Paragraphedeliste"/>
              <w:numPr>
                <w:ilvl w:val="0"/>
                <w:numId w:val="5"/>
              </w:numPr>
              <w:spacing w:after="120" w:line="240" w:lineRule="auto"/>
              <w:ind w:left="0"/>
              <w:jc w:val="both"/>
              <w:rPr>
                <w:rFonts w:ascii="Times New Roman" w:hAnsi="Times New Roman"/>
                <w:sz w:val="18"/>
                <w:szCs w:val="18"/>
              </w:rPr>
            </w:pPr>
            <w:r w:rsidRPr="00F033A4">
              <w:rPr>
                <w:rFonts w:ascii="Times New Roman" w:hAnsi="Times New Roman"/>
                <w:b/>
                <w:bCs/>
                <w:i/>
                <w:iCs/>
                <w:sz w:val="18"/>
                <w:szCs w:val="18"/>
              </w:rPr>
              <w:t xml:space="preserve">Limitations &amp; gaps in knowledge of endpoints and/or suitability    </w:t>
            </w:r>
          </w:p>
          <w:p w14:paraId="431C2357" w14:textId="77777777" w:rsidR="00CB4816" w:rsidRDefault="00BF2D10" w:rsidP="00915F29">
            <w:pPr>
              <w:pStyle w:val="Paragraphedeliste"/>
              <w:numPr>
                <w:ilvl w:val="0"/>
                <w:numId w:val="4"/>
              </w:numPr>
              <w:spacing w:after="80" w:line="240" w:lineRule="auto"/>
              <w:jc w:val="both"/>
              <w:rPr>
                <w:rFonts w:ascii="Times New Roman" w:hAnsi="Times New Roman"/>
                <w:sz w:val="18"/>
                <w:szCs w:val="18"/>
              </w:rPr>
            </w:pPr>
            <w:r w:rsidRPr="00F033A4">
              <w:rPr>
                <w:rFonts w:ascii="Times New Roman" w:hAnsi="Times New Roman"/>
                <w:sz w:val="18"/>
                <w:szCs w:val="18"/>
              </w:rPr>
              <w:t>Most endpoin</w:t>
            </w:r>
            <w:r>
              <w:rPr>
                <w:rFonts w:ascii="Times New Roman" w:hAnsi="Times New Roman"/>
                <w:sz w:val="18"/>
                <w:szCs w:val="18"/>
              </w:rPr>
              <w:t xml:space="preserve">ts are </w:t>
            </w:r>
            <w:r w:rsidR="00CB4816">
              <w:rPr>
                <w:rFonts w:ascii="Times New Roman" w:hAnsi="Times New Roman"/>
                <w:sz w:val="18"/>
                <w:szCs w:val="18"/>
              </w:rPr>
              <w:t xml:space="preserve">broad </w:t>
            </w:r>
            <w:r>
              <w:rPr>
                <w:rFonts w:ascii="Times New Roman" w:hAnsi="Times New Roman"/>
                <w:sz w:val="18"/>
                <w:szCs w:val="18"/>
              </w:rPr>
              <w:t xml:space="preserve">assessments of cell health or a specific organelle function without insight into true molecular events. </w:t>
            </w:r>
          </w:p>
          <w:p w14:paraId="29849128" w14:textId="77777777" w:rsidR="00CB4816" w:rsidRDefault="00CB4816" w:rsidP="00CB4816">
            <w:pPr>
              <w:pStyle w:val="Paragraphedeliste"/>
              <w:spacing w:after="80" w:line="240" w:lineRule="auto"/>
              <w:jc w:val="both"/>
              <w:rPr>
                <w:rFonts w:ascii="Times New Roman" w:hAnsi="Times New Roman"/>
                <w:sz w:val="18"/>
                <w:szCs w:val="18"/>
              </w:rPr>
            </w:pPr>
          </w:p>
          <w:p w14:paraId="5DC1691F" w14:textId="77777777" w:rsidR="00BF2D10" w:rsidRDefault="00BF2D10" w:rsidP="00915F29">
            <w:pPr>
              <w:pStyle w:val="Paragraphedeliste"/>
              <w:numPr>
                <w:ilvl w:val="0"/>
                <w:numId w:val="4"/>
              </w:numPr>
              <w:spacing w:after="80" w:line="240" w:lineRule="auto"/>
              <w:jc w:val="both"/>
              <w:rPr>
                <w:rFonts w:ascii="Times New Roman" w:hAnsi="Times New Roman"/>
                <w:sz w:val="18"/>
                <w:szCs w:val="18"/>
              </w:rPr>
            </w:pPr>
            <w:r>
              <w:rPr>
                <w:rFonts w:ascii="Times New Roman" w:hAnsi="Times New Roman"/>
                <w:sz w:val="18"/>
                <w:szCs w:val="18"/>
              </w:rPr>
              <w:t xml:space="preserve">Structure activity relationships are typically hard to </w:t>
            </w:r>
            <w:r w:rsidR="00CB4816">
              <w:rPr>
                <w:rFonts w:ascii="Times New Roman" w:hAnsi="Times New Roman"/>
                <w:sz w:val="18"/>
                <w:szCs w:val="18"/>
              </w:rPr>
              <w:t xml:space="preserve">interpret </w:t>
            </w:r>
            <w:r>
              <w:rPr>
                <w:rFonts w:ascii="Times New Roman" w:hAnsi="Times New Roman"/>
                <w:sz w:val="18"/>
                <w:szCs w:val="18"/>
              </w:rPr>
              <w:t>as decreases in cell health can occur through disturbances of several pathways.</w:t>
            </w:r>
          </w:p>
          <w:p w14:paraId="5FEAAFF0" w14:textId="77777777" w:rsidR="00915F29" w:rsidRDefault="00915F29" w:rsidP="00915F29">
            <w:pPr>
              <w:pStyle w:val="Paragraphedeliste"/>
              <w:spacing w:after="80" w:line="240" w:lineRule="auto"/>
              <w:jc w:val="both"/>
              <w:rPr>
                <w:rFonts w:ascii="Times New Roman" w:hAnsi="Times New Roman"/>
                <w:sz w:val="18"/>
                <w:szCs w:val="18"/>
              </w:rPr>
            </w:pPr>
          </w:p>
          <w:p w14:paraId="496C76AF" w14:textId="3F5AF69F" w:rsidR="00A97AA0" w:rsidRDefault="00A97AA0" w:rsidP="00915F29">
            <w:pPr>
              <w:pStyle w:val="Paragraphedeliste"/>
              <w:numPr>
                <w:ilvl w:val="0"/>
                <w:numId w:val="4"/>
              </w:numPr>
              <w:spacing w:after="80" w:line="240" w:lineRule="auto"/>
              <w:jc w:val="both"/>
              <w:rPr>
                <w:rFonts w:ascii="Times New Roman" w:hAnsi="Times New Roman"/>
                <w:sz w:val="18"/>
                <w:szCs w:val="18"/>
              </w:rPr>
            </w:pPr>
            <w:r>
              <w:rPr>
                <w:rFonts w:ascii="Times New Roman" w:hAnsi="Times New Roman"/>
                <w:sz w:val="18"/>
                <w:szCs w:val="18"/>
              </w:rPr>
              <w:t>Depending on the type of cell health measurements, there can be several interpretations of the result. As an example, loss of cell counts may be due to decreased cell health or a simple loss of cell attachment</w:t>
            </w:r>
            <w:r w:rsidR="00CB4816">
              <w:rPr>
                <w:rFonts w:ascii="Times New Roman" w:hAnsi="Times New Roman"/>
                <w:sz w:val="18"/>
                <w:szCs w:val="18"/>
              </w:rPr>
              <w:t>;</w:t>
            </w:r>
            <w:r>
              <w:rPr>
                <w:rFonts w:ascii="Times New Roman" w:hAnsi="Times New Roman"/>
                <w:sz w:val="18"/>
                <w:szCs w:val="18"/>
              </w:rPr>
              <w:t xml:space="preserve"> tetrazolium/formazan reactions are not only dependent on cell health but also endocytosis/exocytosis</w:t>
            </w:r>
            <w:r w:rsidR="00442736">
              <w:rPr>
                <w:rFonts w:ascii="Times New Roman" w:hAnsi="Times New Roman"/>
                <w:sz w:val="18"/>
                <w:szCs w:val="18"/>
              </w:rPr>
              <w:t xml:space="preserve">. </w:t>
            </w:r>
            <w:r>
              <w:rPr>
                <w:rFonts w:ascii="Times New Roman" w:hAnsi="Times New Roman"/>
                <w:sz w:val="18"/>
                <w:szCs w:val="18"/>
              </w:rPr>
              <w:t xml:space="preserve">ATP measurements may be due loss of viability or decreased mitochondrial activity. Therefore, it is often prudent to assess cell health with </w:t>
            </w:r>
            <w:r w:rsidR="00CB4816">
              <w:rPr>
                <w:rFonts w:ascii="Times New Roman" w:hAnsi="Times New Roman"/>
                <w:sz w:val="18"/>
                <w:szCs w:val="18"/>
              </w:rPr>
              <w:t xml:space="preserve">multiple </w:t>
            </w:r>
            <w:r>
              <w:rPr>
                <w:rFonts w:ascii="Times New Roman" w:hAnsi="Times New Roman"/>
                <w:sz w:val="18"/>
                <w:szCs w:val="18"/>
              </w:rPr>
              <w:t xml:space="preserve">endpoints. </w:t>
            </w:r>
          </w:p>
          <w:p w14:paraId="6111F203" w14:textId="77777777" w:rsidR="00915F29" w:rsidRDefault="00915F29" w:rsidP="00915F29">
            <w:pPr>
              <w:pStyle w:val="Paragraphedeliste"/>
              <w:spacing w:after="80" w:line="240" w:lineRule="auto"/>
              <w:jc w:val="both"/>
              <w:rPr>
                <w:rFonts w:ascii="Times New Roman" w:hAnsi="Times New Roman"/>
                <w:sz w:val="18"/>
                <w:szCs w:val="18"/>
              </w:rPr>
            </w:pPr>
          </w:p>
          <w:p w14:paraId="087E4026" w14:textId="77777777" w:rsidR="00CB4816" w:rsidRPr="00CB4816" w:rsidRDefault="00A97AA0" w:rsidP="00CB4816">
            <w:pPr>
              <w:pStyle w:val="Paragraphedeliste"/>
              <w:numPr>
                <w:ilvl w:val="0"/>
                <w:numId w:val="4"/>
              </w:numPr>
              <w:spacing w:after="80" w:line="240" w:lineRule="auto"/>
              <w:jc w:val="both"/>
              <w:rPr>
                <w:rFonts w:ascii="Times New Roman" w:hAnsi="Times New Roman"/>
                <w:sz w:val="18"/>
                <w:szCs w:val="18"/>
              </w:rPr>
            </w:pPr>
            <w:r>
              <w:rPr>
                <w:rFonts w:ascii="Times New Roman" w:hAnsi="Times New Roman"/>
                <w:sz w:val="18"/>
                <w:szCs w:val="18"/>
              </w:rPr>
              <w:t xml:space="preserve">Different endpoints may have different sensitivity and specificity towards DILI based on the technical method and endpoints </w:t>
            </w:r>
            <w:r w:rsidR="00464295">
              <w:rPr>
                <w:rFonts w:ascii="Times New Roman" w:hAnsi="Times New Roman"/>
                <w:sz w:val="18"/>
                <w:szCs w:val="18"/>
              </w:rPr>
              <w:t xml:space="preserve">in use to detect </w:t>
            </w:r>
            <w:r>
              <w:rPr>
                <w:rFonts w:ascii="Times New Roman" w:hAnsi="Times New Roman"/>
                <w:sz w:val="18"/>
                <w:szCs w:val="18"/>
              </w:rPr>
              <w:t>different mechanisms.</w:t>
            </w:r>
          </w:p>
          <w:p w14:paraId="6E6FAA39" w14:textId="77777777" w:rsidR="00CB4816" w:rsidRDefault="00CB4816" w:rsidP="00CB4816">
            <w:pPr>
              <w:pStyle w:val="Paragraphedeliste"/>
              <w:spacing w:after="80" w:line="240" w:lineRule="auto"/>
              <w:jc w:val="both"/>
              <w:rPr>
                <w:rFonts w:ascii="Times New Roman" w:hAnsi="Times New Roman"/>
                <w:sz w:val="18"/>
                <w:szCs w:val="18"/>
              </w:rPr>
            </w:pPr>
          </w:p>
          <w:p w14:paraId="4CE2444B" w14:textId="77777777" w:rsidR="00A97AA0" w:rsidRDefault="00A97AA0" w:rsidP="00915F29">
            <w:pPr>
              <w:pStyle w:val="Paragraphedeliste"/>
              <w:numPr>
                <w:ilvl w:val="0"/>
                <w:numId w:val="4"/>
              </w:numPr>
              <w:spacing w:after="80" w:line="240" w:lineRule="auto"/>
              <w:jc w:val="both"/>
              <w:rPr>
                <w:rFonts w:ascii="Times New Roman" w:hAnsi="Times New Roman"/>
                <w:sz w:val="18"/>
                <w:szCs w:val="18"/>
              </w:rPr>
            </w:pPr>
            <w:r>
              <w:rPr>
                <w:rFonts w:ascii="Times New Roman" w:hAnsi="Times New Roman"/>
                <w:sz w:val="18"/>
                <w:szCs w:val="18"/>
              </w:rPr>
              <w:t>Most cell health endpoints are similar across cell types and do not reflect specific organ toxicities.</w:t>
            </w:r>
            <w:r w:rsidR="00550BAA">
              <w:rPr>
                <w:rFonts w:ascii="Times New Roman" w:hAnsi="Times New Roman"/>
                <w:sz w:val="18"/>
                <w:szCs w:val="18"/>
              </w:rPr>
              <w:t xml:space="preserve"> The value of the endpoints </w:t>
            </w:r>
            <w:r w:rsidR="008849E2">
              <w:rPr>
                <w:rFonts w:ascii="Times New Roman" w:hAnsi="Times New Roman"/>
                <w:sz w:val="18"/>
                <w:szCs w:val="18"/>
              </w:rPr>
              <w:t xml:space="preserve">is </w:t>
            </w:r>
            <w:r w:rsidR="00550BAA">
              <w:rPr>
                <w:rFonts w:ascii="Times New Roman" w:hAnsi="Times New Roman"/>
                <w:sz w:val="18"/>
                <w:szCs w:val="18"/>
              </w:rPr>
              <w:t>highly dependent on the cell system.</w:t>
            </w:r>
          </w:p>
          <w:p w14:paraId="1F62C731" w14:textId="77777777" w:rsidR="00915F29" w:rsidRDefault="00915F29" w:rsidP="00915F29">
            <w:pPr>
              <w:pStyle w:val="Paragraphedeliste"/>
              <w:spacing w:after="80" w:line="240" w:lineRule="auto"/>
              <w:jc w:val="both"/>
              <w:rPr>
                <w:rFonts w:ascii="Times New Roman" w:hAnsi="Times New Roman"/>
                <w:sz w:val="18"/>
                <w:szCs w:val="18"/>
              </w:rPr>
            </w:pPr>
          </w:p>
          <w:p w14:paraId="2B806364" w14:textId="77777777" w:rsidR="00A97AA0" w:rsidRDefault="00A97AA0" w:rsidP="00915F29">
            <w:pPr>
              <w:pStyle w:val="Paragraphedeliste"/>
              <w:numPr>
                <w:ilvl w:val="0"/>
                <w:numId w:val="4"/>
              </w:numPr>
              <w:spacing w:after="80" w:line="240" w:lineRule="auto"/>
              <w:jc w:val="both"/>
              <w:rPr>
                <w:rFonts w:ascii="Times New Roman" w:hAnsi="Times New Roman"/>
                <w:sz w:val="18"/>
                <w:szCs w:val="18"/>
              </w:rPr>
            </w:pPr>
            <w:r>
              <w:rPr>
                <w:rFonts w:ascii="Times New Roman" w:hAnsi="Times New Roman"/>
                <w:sz w:val="18"/>
                <w:szCs w:val="18"/>
              </w:rPr>
              <w:t xml:space="preserve">There is currently no consensus on time points for assessments, or estimated separations from therapeutic exposures to compromised cell </w:t>
            </w:r>
            <w:r w:rsidR="008849E2">
              <w:rPr>
                <w:rFonts w:ascii="Times New Roman" w:hAnsi="Times New Roman"/>
                <w:sz w:val="18"/>
                <w:szCs w:val="18"/>
              </w:rPr>
              <w:t>health</w:t>
            </w:r>
            <w:r>
              <w:rPr>
                <w:rFonts w:ascii="Times New Roman" w:hAnsi="Times New Roman"/>
                <w:sz w:val="18"/>
                <w:szCs w:val="18"/>
              </w:rPr>
              <w:t xml:space="preserve"> needed to avoid DILI. Most </w:t>
            </w:r>
            <w:r w:rsidR="00CB4816">
              <w:rPr>
                <w:rFonts w:ascii="Times New Roman" w:hAnsi="Times New Roman"/>
                <w:sz w:val="18"/>
                <w:szCs w:val="18"/>
              </w:rPr>
              <w:t xml:space="preserve">Companies </w:t>
            </w:r>
            <w:r>
              <w:rPr>
                <w:rFonts w:ascii="Times New Roman" w:hAnsi="Times New Roman"/>
                <w:sz w:val="18"/>
                <w:szCs w:val="18"/>
              </w:rPr>
              <w:t>rely on internal validations for their specific assays.</w:t>
            </w:r>
          </w:p>
          <w:p w14:paraId="7771BCD4" w14:textId="77777777" w:rsidR="00915F29" w:rsidRDefault="00915F29" w:rsidP="00915F29">
            <w:pPr>
              <w:pStyle w:val="Paragraphedeliste"/>
              <w:spacing w:after="80" w:line="240" w:lineRule="auto"/>
              <w:jc w:val="both"/>
              <w:rPr>
                <w:rFonts w:ascii="Times New Roman" w:hAnsi="Times New Roman"/>
                <w:sz w:val="18"/>
                <w:szCs w:val="18"/>
              </w:rPr>
            </w:pPr>
          </w:p>
          <w:p w14:paraId="6166187C" w14:textId="77777777" w:rsidR="00A97AA0" w:rsidRPr="00AD17E2" w:rsidRDefault="00A97AA0" w:rsidP="00915F29">
            <w:pPr>
              <w:pStyle w:val="Paragraphedeliste"/>
              <w:numPr>
                <w:ilvl w:val="0"/>
                <w:numId w:val="4"/>
              </w:numPr>
              <w:spacing w:after="80" w:line="240" w:lineRule="auto"/>
              <w:jc w:val="both"/>
              <w:rPr>
                <w:rFonts w:ascii="Times New Roman" w:hAnsi="Times New Roman"/>
                <w:sz w:val="18"/>
                <w:szCs w:val="18"/>
              </w:rPr>
            </w:pPr>
            <w:r>
              <w:rPr>
                <w:rFonts w:ascii="Times New Roman" w:hAnsi="Times New Roman"/>
                <w:sz w:val="18"/>
                <w:szCs w:val="18"/>
              </w:rPr>
              <w:t>Physi</w:t>
            </w:r>
            <w:r w:rsidR="00210564">
              <w:rPr>
                <w:rFonts w:ascii="Times New Roman" w:hAnsi="Times New Roman"/>
                <w:sz w:val="18"/>
                <w:szCs w:val="18"/>
              </w:rPr>
              <w:t>c</w:t>
            </w:r>
            <w:r>
              <w:rPr>
                <w:rFonts w:ascii="Times New Roman" w:hAnsi="Times New Roman"/>
                <w:sz w:val="18"/>
                <w:szCs w:val="18"/>
              </w:rPr>
              <w:t>ochemical properties of molecules may interfere with cell health measurements such as poor solubility, lipophilicity, auto</w:t>
            </w:r>
            <w:r w:rsidR="008849E2">
              <w:rPr>
                <w:rFonts w:ascii="Times New Roman" w:hAnsi="Times New Roman"/>
                <w:sz w:val="18"/>
                <w:szCs w:val="18"/>
              </w:rPr>
              <w:t>-</w:t>
            </w:r>
            <w:r>
              <w:rPr>
                <w:rFonts w:ascii="Times New Roman" w:hAnsi="Times New Roman"/>
                <w:sz w:val="18"/>
                <w:szCs w:val="18"/>
              </w:rPr>
              <w:t>fluorescen</w:t>
            </w:r>
            <w:r w:rsidR="008849E2">
              <w:rPr>
                <w:rFonts w:ascii="Times New Roman" w:hAnsi="Times New Roman"/>
                <w:sz w:val="18"/>
                <w:szCs w:val="18"/>
              </w:rPr>
              <w:t>c</w:t>
            </w:r>
            <w:r>
              <w:rPr>
                <w:rFonts w:ascii="Times New Roman" w:hAnsi="Times New Roman"/>
                <w:sz w:val="18"/>
                <w:szCs w:val="18"/>
              </w:rPr>
              <w:t xml:space="preserve">e </w:t>
            </w:r>
            <w:r w:rsidRPr="00CB4816">
              <w:rPr>
                <w:rFonts w:ascii="Times New Roman" w:hAnsi="Times New Roman"/>
                <w:i/>
                <w:sz w:val="18"/>
                <w:szCs w:val="18"/>
              </w:rPr>
              <w:t>etc</w:t>
            </w:r>
            <w:r>
              <w:rPr>
                <w:rFonts w:ascii="Times New Roman" w:hAnsi="Times New Roman"/>
                <w:sz w:val="18"/>
                <w:szCs w:val="18"/>
              </w:rPr>
              <w:t>.</w:t>
            </w:r>
          </w:p>
        </w:tc>
      </w:tr>
    </w:tbl>
    <w:p w14:paraId="6324893C" w14:textId="77777777" w:rsidR="00E57576" w:rsidRPr="00B72890" w:rsidRDefault="00E57576" w:rsidP="00E57576">
      <w:pPr>
        <w:rPr>
          <w:b/>
          <w:i/>
          <w:sz w:val="24"/>
          <w:szCs w:val="18"/>
          <w:lang w:val="en-US"/>
        </w:rPr>
      </w:pPr>
      <w:r w:rsidRPr="009034B9">
        <w:rPr>
          <w:b/>
          <w:noProof/>
          <w:sz w:val="18"/>
          <w:szCs w:val="18"/>
          <w:lang w:val="en-US"/>
        </w:rPr>
        <w:br w:type="page"/>
      </w:r>
      <w:r w:rsidRPr="00B72890">
        <w:rPr>
          <w:b/>
          <w:sz w:val="24"/>
          <w:szCs w:val="18"/>
          <w:lang w:val="en-US"/>
        </w:rPr>
        <w:lastRenderedPageBreak/>
        <w:t xml:space="preserve">Table3.  </w:t>
      </w:r>
      <w:r w:rsidRPr="00B72890">
        <w:rPr>
          <w:b/>
          <w:i/>
          <w:sz w:val="24"/>
          <w:szCs w:val="18"/>
          <w:lang w:val="en-US"/>
        </w:rPr>
        <w:t xml:space="preserve">Endpoint </w:t>
      </w:r>
      <w:r w:rsidR="00A41B50">
        <w:rPr>
          <w:b/>
          <w:i/>
          <w:sz w:val="24"/>
          <w:szCs w:val="18"/>
          <w:lang w:val="en-US"/>
        </w:rPr>
        <w:t>m</w:t>
      </w:r>
      <w:r w:rsidRPr="00B72890">
        <w:rPr>
          <w:b/>
          <w:i/>
          <w:sz w:val="24"/>
          <w:szCs w:val="18"/>
          <w:lang w:val="en-US"/>
        </w:rPr>
        <w:t>easurements in mitochondrial toxicity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E57576" w:rsidRPr="004B28DB" w14:paraId="722E29D6" w14:textId="77777777" w:rsidTr="0054714F">
        <w:tc>
          <w:tcPr>
            <w:tcW w:w="9213" w:type="dxa"/>
            <w:shd w:val="clear" w:color="auto" w:fill="auto"/>
          </w:tcPr>
          <w:p w14:paraId="0BB1B55E" w14:textId="56EC1E9C" w:rsidR="00E57576" w:rsidRPr="002373E9" w:rsidRDefault="00E57576" w:rsidP="00915F29">
            <w:pPr>
              <w:pStyle w:val="Paragraphedeliste"/>
              <w:numPr>
                <w:ilvl w:val="0"/>
                <w:numId w:val="5"/>
              </w:numPr>
              <w:spacing w:after="120" w:line="240" w:lineRule="auto"/>
              <w:jc w:val="both"/>
              <w:rPr>
                <w:rFonts w:ascii="Times New Roman" w:hAnsi="Times New Roman"/>
                <w:sz w:val="18"/>
                <w:szCs w:val="18"/>
              </w:rPr>
            </w:pPr>
            <w:r w:rsidRPr="00C23FA5">
              <w:rPr>
                <w:rFonts w:ascii="Times New Roman" w:hAnsi="Times New Roman"/>
                <w:b/>
                <w:sz w:val="18"/>
                <w:szCs w:val="16"/>
              </w:rPr>
              <w:t xml:space="preserve">Glucose vs galactose assay.  </w:t>
            </w:r>
            <w:r w:rsidRPr="00C23FA5">
              <w:rPr>
                <w:rFonts w:ascii="Times New Roman" w:hAnsi="Times New Roman"/>
                <w:sz w:val="18"/>
                <w:szCs w:val="16"/>
              </w:rPr>
              <w:t xml:space="preserve">Cells cultured </w:t>
            </w:r>
            <w:r w:rsidR="009A3A74">
              <w:rPr>
                <w:rFonts w:ascii="Times New Roman" w:hAnsi="Times New Roman"/>
                <w:sz w:val="18"/>
                <w:szCs w:val="16"/>
              </w:rPr>
              <w:t>in</w:t>
            </w:r>
            <w:r w:rsidRPr="00C23FA5">
              <w:rPr>
                <w:rFonts w:ascii="Times New Roman" w:hAnsi="Times New Roman"/>
                <w:sz w:val="18"/>
                <w:szCs w:val="16"/>
              </w:rPr>
              <w:t xml:space="preserve"> galactose</w:t>
            </w:r>
            <w:r w:rsidR="00210564">
              <w:rPr>
                <w:rFonts w:ascii="Times New Roman" w:hAnsi="Times New Roman"/>
                <w:sz w:val="18"/>
                <w:szCs w:val="16"/>
              </w:rPr>
              <w:t>-</w:t>
            </w:r>
            <w:r w:rsidRPr="00C23FA5">
              <w:rPr>
                <w:rFonts w:ascii="Times New Roman" w:hAnsi="Times New Roman"/>
                <w:sz w:val="18"/>
                <w:szCs w:val="16"/>
              </w:rPr>
              <w:t xml:space="preserve"> or glucose</w:t>
            </w:r>
            <w:r w:rsidR="00210564">
              <w:rPr>
                <w:rFonts w:ascii="Times New Roman" w:hAnsi="Times New Roman"/>
                <w:sz w:val="18"/>
                <w:szCs w:val="16"/>
              </w:rPr>
              <w:t>-</w:t>
            </w:r>
            <w:r w:rsidRPr="00C23FA5">
              <w:rPr>
                <w:rFonts w:ascii="Times New Roman" w:hAnsi="Times New Roman"/>
                <w:sz w:val="18"/>
                <w:szCs w:val="16"/>
              </w:rPr>
              <w:t xml:space="preserve">supplemented media facilitate </w:t>
            </w:r>
            <w:r w:rsidR="008A72C7">
              <w:rPr>
                <w:rFonts w:ascii="Times New Roman" w:hAnsi="Times New Roman"/>
                <w:sz w:val="18"/>
                <w:szCs w:val="16"/>
              </w:rPr>
              <w:t xml:space="preserve">the </w:t>
            </w:r>
            <w:r w:rsidRPr="00C23FA5">
              <w:rPr>
                <w:rFonts w:ascii="Times New Roman" w:hAnsi="Times New Roman"/>
                <w:sz w:val="18"/>
                <w:szCs w:val="16"/>
              </w:rPr>
              <w:t xml:space="preserve">identification of </w:t>
            </w:r>
            <w:r w:rsidRPr="000959D0">
              <w:rPr>
                <w:rFonts w:ascii="Times New Roman" w:hAnsi="Times New Roman"/>
                <w:sz w:val="18"/>
                <w:szCs w:val="18"/>
              </w:rPr>
              <w:t xml:space="preserve">mitochondrial-targeted chemical insult as opposed to general cytotoxicity, respectively </w:t>
            </w:r>
            <w:sdt>
              <w:sdtPr>
                <w:rPr>
                  <w:rFonts w:ascii="Times New Roman" w:hAnsi="Times New Roman"/>
                  <w:sz w:val="18"/>
                  <w:szCs w:val="18"/>
                </w:rPr>
                <w:id w:val="1686868497"/>
                <w:citation/>
              </w:sdtPr>
              <w:sdtEndPr/>
              <w:sdtContent>
                <w:r w:rsidR="007A7FB5">
                  <w:rPr>
                    <w:rFonts w:ascii="Times New Roman" w:hAnsi="Times New Roman"/>
                    <w:sz w:val="18"/>
                    <w:szCs w:val="18"/>
                  </w:rPr>
                  <w:fldChar w:fldCharType="begin"/>
                </w:r>
                <w:r w:rsidR="007A7FB5">
                  <w:rPr>
                    <w:rFonts w:ascii="Times New Roman" w:hAnsi="Times New Roman"/>
                    <w:noProof/>
                    <w:sz w:val="18"/>
                    <w:szCs w:val="18"/>
                    <w:lang w:val="en-GB"/>
                  </w:rPr>
                  <w:instrText xml:space="preserve"> CITATION Swi11 \l 2057 </w:instrText>
                </w:r>
                <w:r w:rsidR="007A7FB5">
                  <w:rPr>
                    <w:rFonts w:ascii="Times New Roman" w:hAnsi="Times New Roman"/>
                    <w:sz w:val="18"/>
                    <w:szCs w:val="18"/>
                  </w:rPr>
                  <w:fldChar w:fldCharType="separate"/>
                </w:r>
                <w:r w:rsidR="002D6947" w:rsidRPr="002D6947">
                  <w:rPr>
                    <w:rFonts w:ascii="Times New Roman" w:hAnsi="Times New Roman"/>
                    <w:noProof/>
                    <w:sz w:val="18"/>
                    <w:szCs w:val="18"/>
                    <w:lang w:val="en-GB"/>
                  </w:rPr>
                  <w:t>[31]</w:t>
                </w:r>
                <w:r w:rsidR="007A7FB5">
                  <w:rPr>
                    <w:rFonts w:ascii="Times New Roman" w:hAnsi="Times New Roman"/>
                    <w:sz w:val="18"/>
                    <w:szCs w:val="18"/>
                  </w:rPr>
                  <w:fldChar w:fldCharType="end"/>
                </w:r>
              </w:sdtContent>
            </w:sdt>
            <w:sdt>
              <w:sdtPr>
                <w:rPr>
                  <w:rFonts w:ascii="Times New Roman" w:hAnsi="Times New Roman"/>
                  <w:sz w:val="18"/>
                  <w:szCs w:val="18"/>
                </w:rPr>
                <w:id w:val="75019010"/>
                <w:citation/>
              </w:sdtPr>
              <w:sdtEndPr/>
              <w:sdtContent>
                <w:r w:rsidR="007A7FB5">
                  <w:rPr>
                    <w:rFonts w:ascii="Times New Roman" w:hAnsi="Times New Roman"/>
                    <w:sz w:val="18"/>
                    <w:szCs w:val="18"/>
                  </w:rPr>
                  <w:fldChar w:fldCharType="begin"/>
                </w:r>
                <w:r w:rsidR="007A7FB5">
                  <w:rPr>
                    <w:rFonts w:ascii="Times New Roman" w:hAnsi="Times New Roman"/>
                    <w:sz w:val="18"/>
                    <w:szCs w:val="18"/>
                    <w:lang w:val="en-GB"/>
                  </w:rPr>
                  <w:instrText xml:space="preserve"> CITATION Mar071 \l 2057 </w:instrText>
                </w:r>
                <w:r w:rsidR="007A7FB5">
                  <w:rPr>
                    <w:rFonts w:ascii="Times New Roman" w:hAnsi="Times New Roman"/>
                    <w:sz w:val="18"/>
                    <w:szCs w:val="18"/>
                  </w:rPr>
                  <w:fldChar w:fldCharType="separate"/>
                </w:r>
                <w:r w:rsidR="002D6947">
                  <w:rPr>
                    <w:rFonts w:ascii="Times New Roman" w:hAnsi="Times New Roman"/>
                    <w:noProof/>
                    <w:sz w:val="18"/>
                    <w:szCs w:val="18"/>
                    <w:lang w:val="en-GB"/>
                  </w:rPr>
                  <w:t xml:space="preserve"> </w:t>
                </w:r>
                <w:r w:rsidR="002D6947" w:rsidRPr="002D6947">
                  <w:rPr>
                    <w:rFonts w:ascii="Times New Roman" w:hAnsi="Times New Roman"/>
                    <w:noProof/>
                    <w:sz w:val="18"/>
                    <w:szCs w:val="18"/>
                    <w:lang w:val="en-GB"/>
                  </w:rPr>
                  <w:t>[30]</w:t>
                </w:r>
                <w:r w:rsidR="007A7FB5">
                  <w:rPr>
                    <w:rFonts w:ascii="Times New Roman" w:hAnsi="Times New Roman"/>
                    <w:sz w:val="18"/>
                    <w:szCs w:val="18"/>
                  </w:rPr>
                  <w:fldChar w:fldCharType="end"/>
                </w:r>
              </w:sdtContent>
            </w:sdt>
            <w:r w:rsidR="002373E9">
              <w:rPr>
                <w:rFonts w:ascii="Times New Roman" w:hAnsi="Times New Roman"/>
                <w:noProof/>
                <w:sz w:val="18"/>
                <w:szCs w:val="18"/>
                <w:lang w:val="en-GB"/>
              </w:rPr>
              <w:t xml:space="preserve">. </w:t>
            </w:r>
            <w:r w:rsidRPr="002373E9">
              <w:rPr>
                <w:rFonts w:ascii="Times New Roman" w:hAnsi="Times New Roman"/>
                <w:sz w:val="18"/>
                <w:szCs w:val="18"/>
              </w:rPr>
              <w:t xml:space="preserve">Different endpoints can be deployed (Figure </w:t>
            </w:r>
            <w:r w:rsidR="009A3A74" w:rsidRPr="002373E9">
              <w:rPr>
                <w:rFonts w:ascii="Times New Roman" w:hAnsi="Times New Roman"/>
                <w:sz w:val="18"/>
                <w:szCs w:val="18"/>
              </w:rPr>
              <w:t>2</w:t>
            </w:r>
            <w:r w:rsidRPr="002373E9">
              <w:rPr>
                <w:rFonts w:ascii="Times New Roman" w:hAnsi="Times New Roman"/>
                <w:sz w:val="18"/>
                <w:szCs w:val="18"/>
              </w:rPr>
              <w:t xml:space="preserve">). </w:t>
            </w:r>
          </w:p>
          <w:p w14:paraId="3B878036" w14:textId="298C6B51" w:rsidR="00F801F3" w:rsidRPr="00D438A9" w:rsidRDefault="00E57576" w:rsidP="00915F29">
            <w:pPr>
              <w:numPr>
                <w:ilvl w:val="0"/>
                <w:numId w:val="5"/>
              </w:numPr>
              <w:jc w:val="both"/>
              <w:rPr>
                <w:sz w:val="18"/>
                <w:szCs w:val="16"/>
                <w:lang w:val="en-GB" w:eastAsia="en-GB"/>
              </w:rPr>
            </w:pPr>
            <w:r w:rsidRPr="00255494">
              <w:rPr>
                <w:b/>
                <w:sz w:val="18"/>
                <w:szCs w:val="16"/>
                <w:lang w:val="en-GB"/>
              </w:rPr>
              <w:t>Measurement of mitochondrial membrane potential</w:t>
            </w:r>
            <w:r w:rsidRPr="00255494">
              <w:rPr>
                <w:sz w:val="18"/>
                <w:szCs w:val="16"/>
                <w:lang w:val="en-GB"/>
              </w:rPr>
              <w:t xml:space="preserve"> </w:t>
            </w:r>
            <w:r w:rsidRPr="00255494">
              <w:rPr>
                <w:b/>
                <w:sz w:val="18"/>
                <w:szCs w:val="16"/>
                <w:lang w:val="en-GB"/>
              </w:rPr>
              <w:t>(MMP)</w:t>
            </w:r>
            <w:r w:rsidRPr="00255494">
              <w:rPr>
                <w:sz w:val="18"/>
                <w:szCs w:val="16"/>
                <w:lang w:val="en-GB"/>
              </w:rPr>
              <w:t xml:space="preserve">. </w:t>
            </w:r>
            <w:r w:rsidR="00F801F3" w:rsidRPr="00D438A9">
              <w:rPr>
                <w:sz w:val="18"/>
                <w:szCs w:val="16"/>
                <w:lang w:val="en-GB"/>
              </w:rPr>
              <w:t xml:space="preserve">Fluorescent probes for MMP (e.g. TMRE, </w:t>
            </w:r>
            <w:proofErr w:type="spellStart"/>
            <w:r w:rsidR="00F801F3" w:rsidRPr="00D438A9">
              <w:rPr>
                <w:sz w:val="18"/>
                <w:szCs w:val="16"/>
                <w:lang w:val="en-GB"/>
              </w:rPr>
              <w:t>Mitotracker</w:t>
            </w:r>
            <w:proofErr w:type="spellEnd"/>
            <w:r w:rsidR="00F801F3" w:rsidRPr="00D438A9">
              <w:rPr>
                <w:sz w:val="18"/>
                <w:szCs w:val="16"/>
                <w:lang w:val="en-GB"/>
              </w:rPr>
              <w:t>, JC-10, Rhodamine 123) in different cell types or isolated mitochondria can be measured using plate-readers</w:t>
            </w:r>
            <w:r w:rsidR="00484665">
              <w:rPr>
                <w:sz w:val="18"/>
                <w:szCs w:val="16"/>
                <w:lang w:val="en-GB"/>
              </w:rPr>
              <w:t xml:space="preserve"> or</w:t>
            </w:r>
            <w:r w:rsidR="00D438A9">
              <w:rPr>
                <w:sz w:val="18"/>
                <w:szCs w:val="16"/>
                <w:lang w:val="en-GB"/>
              </w:rPr>
              <w:t xml:space="preserve"> </w:t>
            </w:r>
            <w:r w:rsidR="00F801F3" w:rsidRPr="00D438A9">
              <w:rPr>
                <w:sz w:val="18"/>
                <w:szCs w:val="16"/>
                <w:lang w:val="en-GB"/>
              </w:rPr>
              <w:t>image analysis</w:t>
            </w:r>
            <w:r w:rsidR="00D438A9">
              <w:rPr>
                <w:sz w:val="18"/>
                <w:szCs w:val="16"/>
                <w:lang w:val="en-GB"/>
              </w:rPr>
              <w:t xml:space="preserve"> </w:t>
            </w:r>
            <w:r w:rsidR="00484665">
              <w:rPr>
                <w:sz w:val="18"/>
                <w:szCs w:val="16"/>
                <w:lang w:val="en-GB"/>
              </w:rPr>
              <w:t>and</w:t>
            </w:r>
            <w:r w:rsidR="00484665" w:rsidRPr="00D438A9">
              <w:rPr>
                <w:sz w:val="18"/>
                <w:szCs w:val="16"/>
                <w:lang w:val="en-GB"/>
              </w:rPr>
              <w:t xml:space="preserve"> </w:t>
            </w:r>
            <w:r w:rsidR="00F801F3" w:rsidRPr="00D438A9">
              <w:rPr>
                <w:sz w:val="18"/>
                <w:szCs w:val="16"/>
                <w:lang w:val="en-GB"/>
              </w:rPr>
              <w:t xml:space="preserve">multiplexed with other parameters of </w:t>
            </w:r>
            <w:r w:rsidR="00484665">
              <w:rPr>
                <w:sz w:val="18"/>
                <w:szCs w:val="16"/>
                <w:lang w:val="en-GB"/>
              </w:rPr>
              <w:t xml:space="preserve">mitochondrial and </w:t>
            </w:r>
            <w:r w:rsidR="00F801F3" w:rsidRPr="00D438A9">
              <w:rPr>
                <w:sz w:val="18"/>
                <w:szCs w:val="16"/>
                <w:lang w:val="en-GB"/>
              </w:rPr>
              <w:t>cell function e.g. oxidative stress, apoptosis</w:t>
            </w:r>
            <w:r w:rsidR="00484665">
              <w:rPr>
                <w:sz w:val="18"/>
                <w:szCs w:val="16"/>
                <w:lang w:val="en-GB"/>
              </w:rPr>
              <w:t xml:space="preserve"> and Steatosis</w:t>
            </w:r>
            <w:r w:rsidR="00F801F3" w:rsidRPr="00D438A9">
              <w:rPr>
                <w:sz w:val="18"/>
                <w:szCs w:val="16"/>
                <w:lang w:val="en-GB"/>
              </w:rPr>
              <w:t xml:space="preserve"> </w:t>
            </w:r>
            <w:sdt>
              <w:sdtPr>
                <w:rPr>
                  <w:sz w:val="18"/>
                  <w:szCs w:val="16"/>
                  <w:lang w:val="en-GB"/>
                </w:rPr>
                <w:id w:val="1623493857"/>
                <w:citation/>
              </w:sdtPr>
              <w:sdtEndPr/>
              <w:sdtContent>
                <w:r w:rsidR="007A7FB5">
                  <w:rPr>
                    <w:sz w:val="18"/>
                    <w:szCs w:val="16"/>
                    <w:lang w:val="en-GB"/>
                  </w:rPr>
                  <w:fldChar w:fldCharType="begin"/>
                </w:r>
                <w:r w:rsidR="00F033A4">
                  <w:rPr>
                    <w:noProof/>
                    <w:sz w:val="18"/>
                    <w:szCs w:val="16"/>
                    <w:lang w:val="en-GB"/>
                  </w:rPr>
                  <w:instrText xml:space="preserve">CITATION XuJ08 \n  \l 2057 </w:instrText>
                </w:r>
                <w:r w:rsidR="007A7FB5">
                  <w:rPr>
                    <w:sz w:val="18"/>
                    <w:szCs w:val="16"/>
                    <w:lang w:val="en-GB"/>
                  </w:rPr>
                  <w:fldChar w:fldCharType="separate"/>
                </w:r>
                <w:r w:rsidR="002D6947" w:rsidRPr="002D6947">
                  <w:rPr>
                    <w:noProof/>
                    <w:sz w:val="18"/>
                    <w:szCs w:val="16"/>
                    <w:lang w:val="en-GB"/>
                  </w:rPr>
                  <w:t>[111]</w:t>
                </w:r>
                <w:r w:rsidR="007A7FB5">
                  <w:rPr>
                    <w:sz w:val="18"/>
                    <w:szCs w:val="16"/>
                    <w:lang w:val="en-GB"/>
                  </w:rPr>
                  <w:fldChar w:fldCharType="end"/>
                </w:r>
              </w:sdtContent>
            </w:sdt>
            <w:sdt>
              <w:sdtPr>
                <w:rPr>
                  <w:sz w:val="18"/>
                  <w:szCs w:val="16"/>
                  <w:lang w:val="en-GB"/>
                </w:rPr>
                <w:id w:val="1984807544"/>
                <w:citation/>
              </w:sdtPr>
              <w:sdtEndPr/>
              <w:sdtContent>
                <w:r w:rsidR="007A7FB5">
                  <w:rPr>
                    <w:sz w:val="18"/>
                    <w:szCs w:val="16"/>
                    <w:lang w:val="en-GB"/>
                  </w:rPr>
                  <w:fldChar w:fldCharType="begin"/>
                </w:r>
                <w:r w:rsidR="007A7FB5">
                  <w:rPr>
                    <w:sz w:val="18"/>
                    <w:szCs w:val="16"/>
                    <w:lang w:val="en-GB"/>
                  </w:rPr>
                  <w:instrText xml:space="preserve"> CITATION Per14 \l 2057 </w:instrText>
                </w:r>
                <w:r w:rsidR="007A7FB5">
                  <w:rPr>
                    <w:sz w:val="18"/>
                    <w:szCs w:val="16"/>
                    <w:lang w:val="en-GB"/>
                  </w:rPr>
                  <w:fldChar w:fldCharType="separate"/>
                </w:r>
                <w:r w:rsidR="002D6947">
                  <w:rPr>
                    <w:noProof/>
                    <w:sz w:val="18"/>
                    <w:szCs w:val="16"/>
                    <w:lang w:val="en-GB"/>
                  </w:rPr>
                  <w:t xml:space="preserve"> </w:t>
                </w:r>
                <w:r w:rsidR="002D6947" w:rsidRPr="002D6947">
                  <w:rPr>
                    <w:noProof/>
                    <w:sz w:val="18"/>
                    <w:szCs w:val="16"/>
                    <w:lang w:val="en-GB"/>
                  </w:rPr>
                  <w:t>[12]</w:t>
                </w:r>
                <w:r w:rsidR="007A7FB5">
                  <w:rPr>
                    <w:sz w:val="18"/>
                    <w:szCs w:val="16"/>
                    <w:lang w:val="en-GB"/>
                  </w:rPr>
                  <w:fldChar w:fldCharType="end"/>
                </w:r>
              </w:sdtContent>
            </w:sdt>
            <w:r w:rsidR="00F801F3" w:rsidRPr="00D438A9">
              <w:rPr>
                <w:sz w:val="18"/>
                <w:szCs w:val="16"/>
                <w:lang w:val="en-GB"/>
              </w:rPr>
              <w:t xml:space="preserve">. </w:t>
            </w:r>
          </w:p>
          <w:p w14:paraId="584E5FC6" w14:textId="77777777" w:rsidR="00F801F3" w:rsidRPr="00D438A9" w:rsidRDefault="00F801F3" w:rsidP="00915F29">
            <w:pPr>
              <w:ind w:left="720"/>
              <w:jc w:val="both"/>
              <w:rPr>
                <w:sz w:val="18"/>
                <w:szCs w:val="16"/>
                <w:lang w:val="en-GB" w:eastAsia="en-GB"/>
              </w:rPr>
            </w:pPr>
          </w:p>
          <w:p w14:paraId="51BD05B2" w14:textId="77777777" w:rsidR="00E57576" w:rsidRPr="00C23FA5" w:rsidRDefault="00E57576" w:rsidP="00915F29">
            <w:pPr>
              <w:numPr>
                <w:ilvl w:val="0"/>
                <w:numId w:val="5"/>
              </w:numPr>
              <w:jc w:val="both"/>
              <w:rPr>
                <w:sz w:val="18"/>
                <w:szCs w:val="16"/>
                <w:lang w:val="en-GB" w:eastAsia="en-GB"/>
              </w:rPr>
            </w:pPr>
            <w:r w:rsidRPr="00C23FA5">
              <w:rPr>
                <w:b/>
                <w:sz w:val="18"/>
                <w:szCs w:val="16"/>
                <w:lang w:val="en-US"/>
              </w:rPr>
              <w:t>Measurement of mitochondrial respiration.</w:t>
            </w:r>
            <w:r w:rsidRPr="00C23FA5">
              <w:rPr>
                <w:sz w:val="18"/>
                <w:szCs w:val="16"/>
                <w:lang w:val="en-US"/>
              </w:rPr>
              <w:t xml:space="preserve"> </w:t>
            </w:r>
            <w:r w:rsidR="00307B04">
              <w:rPr>
                <w:sz w:val="18"/>
                <w:szCs w:val="16"/>
                <w:lang w:val="en-US"/>
              </w:rPr>
              <w:t>Mitochondrial respiration can be measured by use of i</w:t>
            </w:r>
            <w:r w:rsidRPr="00C23FA5">
              <w:rPr>
                <w:sz w:val="18"/>
                <w:szCs w:val="16"/>
                <w:lang w:val="en-US"/>
              </w:rPr>
              <w:t xml:space="preserve">solated mitochondria </w:t>
            </w:r>
            <w:r w:rsidR="000C657C">
              <w:rPr>
                <w:sz w:val="18"/>
                <w:szCs w:val="16"/>
                <w:lang w:val="en-US"/>
              </w:rPr>
              <w:t>or</w:t>
            </w:r>
            <w:r w:rsidR="000C657C" w:rsidRPr="00C23FA5">
              <w:rPr>
                <w:sz w:val="18"/>
                <w:szCs w:val="16"/>
                <w:lang w:val="en-US"/>
              </w:rPr>
              <w:t xml:space="preserve"> </w:t>
            </w:r>
            <w:r w:rsidRPr="00C23FA5">
              <w:rPr>
                <w:sz w:val="18"/>
                <w:szCs w:val="16"/>
                <w:lang w:val="en-US"/>
              </w:rPr>
              <w:t>cells</w:t>
            </w:r>
            <w:r w:rsidR="000C657C">
              <w:rPr>
                <w:sz w:val="18"/>
                <w:szCs w:val="16"/>
                <w:lang w:val="en-US"/>
              </w:rPr>
              <w:t>,</w:t>
            </w:r>
            <w:r w:rsidR="000C657C" w:rsidRPr="00C23FA5">
              <w:rPr>
                <w:sz w:val="18"/>
                <w:szCs w:val="16"/>
                <w:lang w:val="en-US"/>
              </w:rPr>
              <w:t xml:space="preserve"> </w:t>
            </w:r>
            <w:r w:rsidR="000C657C">
              <w:rPr>
                <w:sz w:val="18"/>
                <w:szCs w:val="16"/>
                <w:lang w:val="en-GB" w:eastAsia="en-GB"/>
              </w:rPr>
              <w:t>with f</w:t>
            </w:r>
            <w:r w:rsidR="000C657C" w:rsidRPr="00C23FA5">
              <w:rPr>
                <w:sz w:val="18"/>
                <w:szCs w:val="16"/>
                <w:lang w:val="en-GB" w:eastAsia="en-GB"/>
              </w:rPr>
              <w:t>luorescence</w:t>
            </w:r>
            <w:r w:rsidR="00210564">
              <w:rPr>
                <w:sz w:val="18"/>
                <w:szCs w:val="16"/>
                <w:lang w:val="en-GB" w:eastAsia="en-GB"/>
              </w:rPr>
              <w:t>-</w:t>
            </w:r>
            <w:r w:rsidRPr="00C23FA5">
              <w:rPr>
                <w:sz w:val="18"/>
                <w:szCs w:val="16"/>
                <w:lang w:val="en-GB" w:eastAsia="en-GB"/>
              </w:rPr>
              <w:t xml:space="preserve">based tests </w:t>
            </w:r>
            <w:r w:rsidR="003F26B1">
              <w:rPr>
                <w:sz w:val="18"/>
                <w:szCs w:val="16"/>
                <w:lang w:val="en-GB" w:eastAsia="en-GB"/>
              </w:rPr>
              <w:t>of</w:t>
            </w:r>
            <w:r w:rsidRPr="00C23FA5">
              <w:rPr>
                <w:sz w:val="18"/>
                <w:szCs w:val="16"/>
                <w:lang w:val="en-GB" w:eastAsia="en-GB"/>
              </w:rPr>
              <w:t xml:space="preserve"> mitochondrial oxygen consumption (e.g. </w:t>
            </w:r>
            <w:proofErr w:type="spellStart"/>
            <w:r w:rsidRPr="00C23FA5">
              <w:rPr>
                <w:sz w:val="18"/>
                <w:szCs w:val="16"/>
                <w:lang w:val="en-GB" w:eastAsia="en-GB"/>
              </w:rPr>
              <w:t>Luxcell</w:t>
            </w:r>
            <w:proofErr w:type="spellEnd"/>
            <w:r w:rsidRPr="00C23FA5">
              <w:rPr>
                <w:noProof/>
                <w:sz w:val="18"/>
                <w:szCs w:val="16"/>
                <w:lang w:val="en-GB" w:eastAsia="en-GB"/>
              </w:rPr>
              <w:t xml:space="preserve"> </w:t>
            </w:r>
            <w:r w:rsidR="000C657C">
              <w:rPr>
                <w:sz w:val="18"/>
                <w:szCs w:val="16"/>
                <w:lang w:val="en-GB" w:eastAsia="en-GB"/>
              </w:rPr>
              <w:t xml:space="preserve">or </w:t>
            </w:r>
            <w:r w:rsidR="00D879C0">
              <w:rPr>
                <w:sz w:val="18"/>
                <w:szCs w:val="16"/>
                <w:lang w:val="en-US"/>
              </w:rPr>
              <w:t>XF</w:t>
            </w:r>
            <w:r w:rsidR="00F801F3">
              <w:rPr>
                <w:sz w:val="18"/>
                <w:szCs w:val="16"/>
                <w:lang w:val="en-US"/>
              </w:rPr>
              <w:t xml:space="preserve"> analyzer).</w:t>
            </w:r>
            <w:r w:rsidR="00D879C0">
              <w:rPr>
                <w:sz w:val="18"/>
                <w:szCs w:val="16"/>
                <w:lang w:val="en-US"/>
              </w:rPr>
              <w:t xml:space="preserve"> </w:t>
            </w:r>
            <w:r w:rsidR="000C657C">
              <w:rPr>
                <w:sz w:val="18"/>
                <w:szCs w:val="16"/>
                <w:lang w:val="en-US"/>
              </w:rPr>
              <w:t>S</w:t>
            </w:r>
            <w:r w:rsidRPr="00C23FA5">
              <w:rPr>
                <w:sz w:val="18"/>
                <w:szCs w:val="16"/>
                <w:lang w:val="en-US"/>
              </w:rPr>
              <w:t>pecific mechanistic end-points by use of stress tests, e.g. ATP production, uncoupling</w:t>
            </w:r>
            <w:r w:rsidR="00D874C4">
              <w:rPr>
                <w:sz w:val="18"/>
                <w:szCs w:val="16"/>
                <w:lang w:val="en-US"/>
              </w:rPr>
              <w:t xml:space="preserve"> and spare respiratory capacity</w:t>
            </w:r>
            <w:r w:rsidR="00F801F3">
              <w:rPr>
                <w:noProof/>
                <w:sz w:val="18"/>
                <w:szCs w:val="16"/>
                <w:lang w:val="en-GB"/>
              </w:rPr>
              <w:t xml:space="preserve"> </w:t>
            </w:r>
            <w:r w:rsidR="000C657C">
              <w:rPr>
                <w:noProof/>
                <w:sz w:val="18"/>
                <w:szCs w:val="16"/>
                <w:lang w:val="en-GB"/>
              </w:rPr>
              <w:t xml:space="preserve">can be employed </w:t>
            </w:r>
            <w:sdt>
              <w:sdtPr>
                <w:rPr>
                  <w:noProof/>
                  <w:sz w:val="18"/>
                  <w:szCs w:val="16"/>
                  <w:lang w:val="en-GB"/>
                </w:rPr>
                <w:id w:val="726643334"/>
                <w:citation/>
              </w:sdtPr>
              <w:sdtEndPr/>
              <w:sdtContent>
                <w:r w:rsidR="00307B04">
                  <w:rPr>
                    <w:noProof/>
                    <w:sz w:val="18"/>
                    <w:szCs w:val="16"/>
                    <w:lang w:val="en-GB"/>
                  </w:rPr>
                  <w:fldChar w:fldCharType="begin"/>
                </w:r>
                <w:r w:rsidR="00307B04" w:rsidRPr="00307B04">
                  <w:rPr>
                    <w:noProof/>
                    <w:sz w:val="18"/>
                    <w:szCs w:val="16"/>
                    <w:lang w:val="en-US"/>
                  </w:rPr>
                  <w:instrText xml:space="preserve"> CITATION Hyn06 \l 1036 </w:instrText>
                </w:r>
                <w:r w:rsidR="00307B04">
                  <w:rPr>
                    <w:noProof/>
                    <w:sz w:val="18"/>
                    <w:szCs w:val="16"/>
                    <w:lang w:val="en-GB"/>
                  </w:rPr>
                  <w:fldChar w:fldCharType="separate"/>
                </w:r>
                <w:r w:rsidR="002D6947" w:rsidRPr="002D6947">
                  <w:rPr>
                    <w:noProof/>
                    <w:sz w:val="18"/>
                    <w:szCs w:val="16"/>
                    <w:lang w:val="en-US"/>
                  </w:rPr>
                  <w:t>[112]</w:t>
                </w:r>
                <w:r w:rsidR="00307B04">
                  <w:rPr>
                    <w:noProof/>
                    <w:sz w:val="18"/>
                    <w:szCs w:val="16"/>
                    <w:lang w:val="en-GB"/>
                  </w:rPr>
                  <w:fldChar w:fldCharType="end"/>
                </w:r>
              </w:sdtContent>
            </w:sdt>
            <w:sdt>
              <w:sdtPr>
                <w:rPr>
                  <w:noProof/>
                  <w:sz w:val="18"/>
                  <w:szCs w:val="16"/>
                  <w:lang w:val="en-GB"/>
                </w:rPr>
                <w:id w:val="177241610"/>
                <w:citation/>
              </w:sdtPr>
              <w:sdtEndPr/>
              <w:sdtContent>
                <w:r w:rsidR="007A7FB5">
                  <w:rPr>
                    <w:noProof/>
                    <w:sz w:val="18"/>
                    <w:szCs w:val="16"/>
                    <w:lang w:val="en-GB"/>
                  </w:rPr>
                  <w:fldChar w:fldCharType="begin"/>
                </w:r>
                <w:r w:rsidR="007A7FB5">
                  <w:rPr>
                    <w:noProof/>
                    <w:sz w:val="18"/>
                    <w:szCs w:val="16"/>
                    <w:lang w:val="en-GB"/>
                  </w:rPr>
                  <w:instrText xml:space="preserve"> CITATION Bal16 \l 2057 </w:instrText>
                </w:r>
                <w:r w:rsidR="007A7FB5">
                  <w:rPr>
                    <w:noProof/>
                    <w:sz w:val="18"/>
                    <w:szCs w:val="16"/>
                    <w:lang w:val="en-GB"/>
                  </w:rPr>
                  <w:fldChar w:fldCharType="separate"/>
                </w:r>
                <w:r w:rsidR="002D6947">
                  <w:rPr>
                    <w:noProof/>
                    <w:sz w:val="18"/>
                    <w:szCs w:val="16"/>
                    <w:lang w:val="en-GB"/>
                  </w:rPr>
                  <w:t xml:space="preserve"> </w:t>
                </w:r>
                <w:r w:rsidR="002D6947" w:rsidRPr="002D6947">
                  <w:rPr>
                    <w:noProof/>
                    <w:sz w:val="18"/>
                    <w:szCs w:val="16"/>
                    <w:lang w:val="en-GB"/>
                  </w:rPr>
                  <w:t>[113]</w:t>
                </w:r>
                <w:r w:rsidR="007A7FB5">
                  <w:rPr>
                    <w:noProof/>
                    <w:sz w:val="18"/>
                    <w:szCs w:val="16"/>
                    <w:lang w:val="en-GB"/>
                  </w:rPr>
                  <w:fldChar w:fldCharType="end"/>
                </w:r>
              </w:sdtContent>
            </w:sdt>
            <w:r w:rsidRPr="00C23FA5">
              <w:rPr>
                <w:sz w:val="18"/>
                <w:szCs w:val="16"/>
                <w:lang w:val="en-US"/>
              </w:rPr>
              <w:t>.</w:t>
            </w:r>
          </w:p>
          <w:p w14:paraId="5B90648A" w14:textId="77777777" w:rsidR="00E57576" w:rsidRPr="00C23FA5" w:rsidRDefault="00E57576" w:rsidP="00915F29">
            <w:pPr>
              <w:ind w:left="720"/>
              <w:jc w:val="both"/>
              <w:rPr>
                <w:sz w:val="18"/>
                <w:szCs w:val="16"/>
                <w:lang w:val="en-GB" w:eastAsia="en-GB"/>
              </w:rPr>
            </w:pPr>
          </w:p>
          <w:p w14:paraId="4D6DEB08" w14:textId="5AC39B89" w:rsidR="001871BB" w:rsidRDefault="00E57576" w:rsidP="001871BB">
            <w:pPr>
              <w:pStyle w:val="Paragraphedeliste"/>
              <w:numPr>
                <w:ilvl w:val="0"/>
                <w:numId w:val="5"/>
              </w:numPr>
              <w:spacing w:after="120" w:line="240" w:lineRule="auto"/>
              <w:jc w:val="both"/>
              <w:rPr>
                <w:rFonts w:ascii="Times New Roman" w:hAnsi="Times New Roman"/>
                <w:sz w:val="18"/>
                <w:szCs w:val="16"/>
                <w:lang w:val="en-GB" w:eastAsia="en-GB"/>
              </w:rPr>
            </w:pPr>
            <w:r w:rsidRPr="00C23FA5">
              <w:rPr>
                <w:rFonts w:ascii="Times New Roman" w:hAnsi="Times New Roman"/>
                <w:b/>
                <w:sz w:val="18"/>
                <w:szCs w:val="16"/>
              </w:rPr>
              <w:t>Polarography and</w:t>
            </w:r>
            <w:r w:rsidRPr="00C23FA5">
              <w:rPr>
                <w:rFonts w:ascii="Times New Roman" w:hAnsi="Times New Roman"/>
                <w:sz w:val="18"/>
                <w:szCs w:val="16"/>
              </w:rPr>
              <w:t xml:space="preserve"> </w:t>
            </w:r>
            <w:r w:rsidRPr="00C23FA5">
              <w:rPr>
                <w:rFonts w:ascii="Times New Roman" w:hAnsi="Times New Roman"/>
                <w:b/>
                <w:sz w:val="18"/>
                <w:szCs w:val="16"/>
              </w:rPr>
              <w:t>Mitochondrial swelling</w:t>
            </w:r>
            <w:r w:rsidRPr="00C23FA5">
              <w:rPr>
                <w:rFonts w:ascii="Times New Roman" w:hAnsi="Times New Roman"/>
                <w:sz w:val="18"/>
                <w:szCs w:val="16"/>
              </w:rPr>
              <w:t xml:space="preserve">. Assessment of the morphological impact of drugs on mitochondria can be evaluated by use of isolated mitochondria. </w:t>
            </w:r>
            <w:sdt>
              <w:sdtPr>
                <w:rPr>
                  <w:rFonts w:ascii="Times New Roman" w:hAnsi="Times New Roman"/>
                  <w:noProof/>
                  <w:sz w:val="18"/>
                  <w:szCs w:val="16"/>
                  <w:lang w:val="en-GB"/>
                </w:rPr>
                <w:id w:val="378666602"/>
                <w:citation/>
              </w:sdtPr>
              <w:sdtEndPr/>
              <w:sdtContent>
                <w:r w:rsidR="007A7FB5">
                  <w:rPr>
                    <w:rFonts w:ascii="Times New Roman" w:hAnsi="Times New Roman"/>
                    <w:noProof/>
                    <w:sz w:val="18"/>
                    <w:szCs w:val="16"/>
                    <w:lang w:val="en-GB"/>
                  </w:rPr>
                  <w:fldChar w:fldCharType="begin"/>
                </w:r>
                <w:r w:rsidR="007A7FB5">
                  <w:rPr>
                    <w:rFonts w:ascii="Times New Roman" w:hAnsi="Times New Roman"/>
                    <w:noProof/>
                    <w:sz w:val="18"/>
                    <w:szCs w:val="16"/>
                    <w:lang w:val="en-GB"/>
                  </w:rPr>
                  <w:instrText xml:space="preserve"> CITATION Mar11 \l 2057 </w:instrText>
                </w:r>
                <w:r w:rsidR="007A7FB5">
                  <w:rPr>
                    <w:rFonts w:ascii="Times New Roman" w:hAnsi="Times New Roman"/>
                    <w:noProof/>
                    <w:sz w:val="18"/>
                    <w:szCs w:val="16"/>
                    <w:lang w:val="en-GB"/>
                  </w:rPr>
                  <w:fldChar w:fldCharType="separate"/>
                </w:r>
                <w:r w:rsidR="002D6947" w:rsidRPr="002D6947">
                  <w:rPr>
                    <w:rFonts w:ascii="Times New Roman" w:hAnsi="Times New Roman"/>
                    <w:noProof/>
                    <w:sz w:val="18"/>
                    <w:szCs w:val="16"/>
                    <w:lang w:val="en-GB"/>
                  </w:rPr>
                  <w:t>[33]</w:t>
                </w:r>
                <w:r w:rsidR="007A7FB5">
                  <w:rPr>
                    <w:rFonts w:ascii="Times New Roman" w:hAnsi="Times New Roman"/>
                    <w:noProof/>
                    <w:sz w:val="18"/>
                    <w:szCs w:val="16"/>
                    <w:lang w:val="en-GB"/>
                  </w:rPr>
                  <w:fldChar w:fldCharType="end"/>
                </w:r>
              </w:sdtContent>
            </w:sdt>
            <w:sdt>
              <w:sdtPr>
                <w:rPr>
                  <w:rFonts w:ascii="Times New Roman" w:hAnsi="Times New Roman"/>
                  <w:noProof/>
                  <w:sz w:val="18"/>
                  <w:szCs w:val="16"/>
                  <w:lang w:val="en-GB"/>
                </w:rPr>
                <w:id w:val="-2042431451"/>
                <w:citation/>
              </w:sdtPr>
              <w:sdtEndPr/>
              <w:sdtContent>
                <w:r w:rsidR="007A7FB5">
                  <w:rPr>
                    <w:rFonts w:ascii="Times New Roman" w:hAnsi="Times New Roman"/>
                    <w:noProof/>
                    <w:sz w:val="18"/>
                    <w:szCs w:val="16"/>
                    <w:lang w:val="en-GB"/>
                  </w:rPr>
                  <w:fldChar w:fldCharType="begin"/>
                </w:r>
                <w:r w:rsidR="007A7FB5">
                  <w:rPr>
                    <w:rFonts w:ascii="Times New Roman" w:hAnsi="Times New Roman"/>
                    <w:noProof/>
                    <w:sz w:val="18"/>
                    <w:szCs w:val="16"/>
                    <w:lang w:val="en-GB"/>
                  </w:rPr>
                  <w:instrText xml:space="preserve"> CITATION Per09 \l 2057 </w:instrText>
                </w:r>
                <w:r w:rsidR="007A7FB5">
                  <w:rPr>
                    <w:rFonts w:ascii="Times New Roman" w:hAnsi="Times New Roman"/>
                    <w:noProof/>
                    <w:sz w:val="18"/>
                    <w:szCs w:val="16"/>
                    <w:lang w:val="en-GB"/>
                  </w:rPr>
                  <w:fldChar w:fldCharType="separate"/>
                </w:r>
                <w:r w:rsidR="002D6947">
                  <w:rPr>
                    <w:rFonts w:ascii="Times New Roman" w:hAnsi="Times New Roman"/>
                    <w:noProof/>
                    <w:sz w:val="18"/>
                    <w:szCs w:val="16"/>
                    <w:lang w:val="en-GB"/>
                  </w:rPr>
                  <w:t xml:space="preserve"> </w:t>
                </w:r>
                <w:r w:rsidR="002D6947" w:rsidRPr="002D6947">
                  <w:rPr>
                    <w:rFonts w:ascii="Times New Roman" w:hAnsi="Times New Roman"/>
                    <w:noProof/>
                    <w:sz w:val="18"/>
                    <w:szCs w:val="16"/>
                    <w:lang w:val="en-GB"/>
                  </w:rPr>
                  <w:t>[34]</w:t>
                </w:r>
                <w:r w:rsidR="007A7FB5">
                  <w:rPr>
                    <w:rFonts w:ascii="Times New Roman" w:hAnsi="Times New Roman"/>
                    <w:noProof/>
                    <w:sz w:val="18"/>
                    <w:szCs w:val="16"/>
                    <w:lang w:val="en-GB"/>
                  </w:rPr>
                  <w:fldChar w:fldCharType="end"/>
                </w:r>
              </w:sdtContent>
            </w:sdt>
            <w:r w:rsidR="007A7FB5">
              <w:rPr>
                <w:rFonts w:ascii="Times New Roman" w:hAnsi="Times New Roman"/>
                <w:noProof/>
                <w:sz w:val="18"/>
                <w:szCs w:val="16"/>
                <w:lang w:val="en-GB"/>
              </w:rPr>
              <w:t>.</w:t>
            </w:r>
          </w:p>
          <w:p w14:paraId="7DBF41AF" w14:textId="77777777" w:rsidR="004B4CEC" w:rsidRPr="006E5664" w:rsidRDefault="004B4CEC" w:rsidP="006E5664">
            <w:pPr>
              <w:pStyle w:val="Paragraphedeliste"/>
              <w:rPr>
                <w:rFonts w:ascii="Times New Roman" w:hAnsi="Times New Roman"/>
                <w:sz w:val="18"/>
                <w:szCs w:val="16"/>
                <w:lang w:val="en-GB" w:eastAsia="en-GB"/>
              </w:rPr>
            </w:pPr>
          </w:p>
          <w:p w14:paraId="32839A32" w14:textId="451F131F" w:rsidR="004B4CEC" w:rsidRPr="00525724" w:rsidRDefault="005F2E2E" w:rsidP="00525724">
            <w:pPr>
              <w:pStyle w:val="Paragraphedeliste"/>
              <w:numPr>
                <w:ilvl w:val="0"/>
                <w:numId w:val="5"/>
              </w:numPr>
              <w:rPr>
                <w:sz w:val="18"/>
              </w:rPr>
            </w:pPr>
            <w:proofErr w:type="spellStart"/>
            <w:r w:rsidRPr="005F2E2E">
              <w:rPr>
                <w:rFonts w:ascii="Times New Roman" w:hAnsi="Times New Roman"/>
                <w:b/>
                <w:sz w:val="18"/>
                <w:lang w:val="en-GB"/>
              </w:rPr>
              <w:t>Immunocapture</w:t>
            </w:r>
            <w:proofErr w:type="spellEnd"/>
            <w:r w:rsidRPr="005F2E2E">
              <w:rPr>
                <w:rFonts w:ascii="Times New Roman" w:hAnsi="Times New Roman"/>
                <w:b/>
                <w:sz w:val="18"/>
                <w:lang w:val="en-GB"/>
              </w:rPr>
              <w:t xml:space="preserve"> Targeting</w:t>
            </w:r>
            <w:r w:rsidRPr="005F2E2E">
              <w:rPr>
                <w:rFonts w:ascii="Times New Roman" w:hAnsi="Times New Roman"/>
                <w:sz w:val="18"/>
                <w:lang w:val="en-GB"/>
              </w:rPr>
              <w:t xml:space="preserve">. </w:t>
            </w:r>
            <w:r w:rsidR="006E5664" w:rsidRPr="005F2E2E">
              <w:rPr>
                <w:rFonts w:ascii="Times New Roman" w:hAnsi="Times New Roman"/>
                <w:sz w:val="18"/>
                <w:lang w:val="en-GB"/>
              </w:rPr>
              <w:t>D</w:t>
            </w:r>
            <w:r w:rsidR="006E5664" w:rsidRPr="006E5664">
              <w:rPr>
                <w:rFonts w:ascii="Times New Roman" w:hAnsi="Times New Roman"/>
                <w:sz w:val="18"/>
                <w:lang w:val="en-GB"/>
              </w:rPr>
              <w:t xml:space="preserve">rug induced mitochondrial toxicity by use of </w:t>
            </w:r>
            <w:proofErr w:type="spellStart"/>
            <w:r w:rsidR="006E5664" w:rsidRPr="006E5664">
              <w:rPr>
                <w:rFonts w:ascii="Times New Roman" w:hAnsi="Times New Roman"/>
                <w:sz w:val="18"/>
                <w:lang w:val="en-GB"/>
              </w:rPr>
              <w:t>immunocapture</w:t>
            </w:r>
            <w:proofErr w:type="spellEnd"/>
            <w:r w:rsidR="006E5664" w:rsidRPr="006E5664">
              <w:rPr>
                <w:rFonts w:ascii="Times New Roman" w:hAnsi="Times New Roman"/>
                <w:sz w:val="18"/>
                <w:lang w:val="en-GB"/>
              </w:rPr>
              <w:t xml:space="preserve"> based OXPHOS allows target identification to identify drugs that directly inhibit four of the OXPHOS complexes: I, II, IV, and V activity. </w:t>
            </w:r>
            <w:r w:rsidR="006E5664" w:rsidRPr="006E5664">
              <w:rPr>
                <w:rFonts w:ascii="Times New Roman" w:hAnsi="Times New Roman"/>
                <w:sz w:val="18"/>
              </w:rPr>
              <w:t>Assay can be app</w:t>
            </w:r>
            <w:r w:rsidR="006E5664">
              <w:rPr>
                <w:rFonts w:ascii="Times New Roman" w:hAnsi="Times New Roman"/>
                <w:sz w:val="18"/>
              </w:rPr>
              <w:t xml:space="preserve">lied for use in drug screening </w:t>
            </w:r>
            <w:sdt>
              <w:sdtPr>
                <w:rPr>
                  <w:rFonts w:ascii="Times New Roman" w:hAnsi="Times New Roman"/>
                  <w:sz w:val="18"/>
                </w:rPr>
                <w:id w:val="166144250"/>
                <w:citation/>
              </w:sdtPr>
              <w:sdtEndPr/>
              <w:sdtContent>
                <w:r w:rsidR="006E5664">
                  <w:rPr>
                    <w:rFonts w:ascii="Times New Roman" w:hAnsi="Times New Roman"/>
                    <w:sz w:val="18"/>
                  </w:rPr>
                  <w:fldChar w:fldCharType="begin"/>
                </w:r>
                <w:r w:rsidR="006E5664">
                  <w:rPr>
                    <w:rFonts w:ascii="Times New Roman" w:hAnsi="Times New Roman"/>
                    <w:sz w:val="18"/>
                    <w:lang w:val="en-GB"/>
                  </w:rPr>
                  <w:instrText xml:space="preserve"> CITATION Tar \l 2057 </w:instrText>
                </w:r>
                <w:r w:rsidR="006E5664">
                  <w:rPr>
                    <w:rFonts w:ascii="Times New Roman" w:hAnsi="Times New Roman"/>
                    <w:sz w:val="18"/>
                  </w:rPr>
                  <w:fldChar w:fldCharType="separate"/>
                </w:r>
                <w:r w:rsidR="002D6947" w:rsidRPr="002D6947">
                  <w:rPr>
                    <w:rFonts w:ascii="Times New Roman" w:hAnsi="Times New Roman"/>
                    <w:noProof/>
                    <w:sz w:val="18"/>
                    <w:lang w:val="en-GB"/>
                  </w:rPr>
                  <w:t>[114]</w:t>
                </w:r>
                <w:r w:rsidR="006E5664">
                  <w:rPr>
                    <w:rFonts w:ascii="Times New Roman" w:hAnsi="Times New Roman"/>
                    <w:sz w:val="18"/>
                  </w:rPr>
                  <w:fldChar w:fldCharType="end"/>
                </w:r>
              </w:sdtContent>
            </w:sdt>
          </w:p>
          <w:p w14:paraId="4D8D3C67" w14:textId="77777777" w:rsidR="00E57576" w:rsidRPr="00C23FA5" w:rsidRDefault="003A099E" w:rsidP="00915F29">
            <w:pPr>
              <w:pStyle w:val="Paragraphedeliste"/>
              <w:numPr>
                <w:ilvl w:val="0"/>
                <w:numId w:val="5"/>
              </w:numPr>
              <w:spacing w:after="120" w:line="240" w:lineRule="auto"/>
              <w:jc w:val="both"/>
              <w:rPr>
                <w:rFonts w:ascii="Times New Roman" w:hAnsi="Times New Roman"/>
                <w:sz w:val="18"/>
                <w:szCs w:val="16"/>
                <w:lang w:val="en-GB" w:eastAsia="en-GB"/>
              </w:rPr>
            </w:pPr>
            <w:r w:rsidRPr="00C23FA5">
              <w:rPr>
                <w:rFonts w:ascii="Times New Roman" w:hAnsi="Times New Roman"/>
                <w:b/>
                <w:sz w:val="18"/>
                <w:szCs w:val="16"/>
              </w:rPr>
              <w:t>Beta-oxidation</w:t>
            </w:r>
            <w:r w:rsidR="00E57576" w:rsidRPr="00C23FA5">
              <w:rPr>
                <w:rFonts w:ascii="Times New Roman" w:hAnsi="Times New Roman"/>
                <w:b/>
                <w:sz w:val="18"/>
                <w:szCs w:val="16"/>
              </w:rPr>
              <w:t xml:space="preserve"> assays</w:t>
            </w:r>
            <w:r w:rsidR="00E57576" w:rsidRPr="00C23FA5">
              <w:rPr>
                <w:rFonts w:ascii="Times New Roman" w:hAnsi="Times New Roman"/>
                <w:sz w:val="18"/>
                <w:szCs w:val="16"/>
              </w:rPr>
              <w:t>. Measurement of oxygen consumption in parallel with pol</w:t>
            </w:r>
            <w:r w:rsidR="00307B04">
              <w:rPr>
                <w:rFonts w:ascii="Times New Roman" w:hAnsi="Times New Roman"/>
                <w:sz w:val="18"/>
                <w:szCs w:val="16"/>
              </w:rPr>
              <w:t>aro</w:t>
            </w:r>
            <w:r w:rsidR="00E57576" w:rsidRPr="00C23FA5">
              <w:rPr>
                <w:rFonts w:ascii="Times New Roman" w:hAnsi="Times New Roman"/>
                <w:sz w:val="18"/>
                <w:szCs w:val="16"/>
              </w:rPr>
              <w:t>graphy from beta</w:t>
            </w:r>
            <w:r>
              <w:rPr>
                <w:rFonts w:ascii="Times New Roman" w:hAnsi="Times New Roman"/>
                <w:sz w:val="18"/>
                <w:szCs w:val="16"/>
              </w:rPr>
              <w:t>-</w:t>
            </w:r>
            <w:r w:rsidR="00E57576" w:rsidRPr="00C23FA5">
              <w:rPr>
                <w:rFonts w:ascii="Times New Roman" w:hAnsi="Times New Roman"/>
                <w:sz w:val="18"/>
                <w:szCs w:val="16"/>
              </w:rPr>
              <w:t>oxidation using isolated mitochondria, or by measurement of ketone bodies</w:t>
            </w:r>
            <w:r w:rsidR="00E57576" w:rsidRPr="00C23FA5">
              <w:rPr>
                <w:rFonts w:ascii="Times New Roman" w:hAnsi="Times New Roman"/>
                <w:noProof/>
                <w:sz w:val="18"/>
                <w:szCs w:val="16"/>
                <w:lang w:val="en-GB"/>
              </w:rPr>
              <w:t xml:space="preserve"> </w:t>
            </w:r>
            <w:sdt>
              <w:sdtPr>
                <w:rPr>
                  <w:rFonts w:ascii="Times New Roman" w:hAnsi="Times New Roman"/>
                  <w:noProof/>
                  <w:sz w:val="18"/>
                  <w:szCs w:val="16"/>
                  <w:lang w:val="en-GB"/>
                </w:rPr>
                <w:id w:val="718481340"/>
                <w:citation/>
              </w:sdtPr>
              <w:sdtEndPr/>
              <w:sdtContent>
                <w:r w:rsidR="007A7FB5">
                  <w:rPr>
                    <w:rFonts w:ascii="Times New Roman" w:hAnsi="Times New Roman"/>
                    <w:noProof/>
                    <w:sz w:val="18"/>
                    <w:szCs w:val="16"/>
                    <w:lang w:val="en-GB"/>
                  </w:rPr>
                  <w:fldChar w:fldCharType="begin"/>
                </w:r>
                <w:r w:rsidR="007A7FB5">
                  <w:rPr>
                    <w:rFonts w:ascii="Times New Roman" w:hAnsi="Times New Roman"/>
                    <w:noProof/>
                    <w:sz w:val="18"/>
                    <w:szCs w:val="16"/>
                    <w:lang w:val="en-GB"/>
                  </w:rPr>
                  <w:instrText xml:space="preserve"> CITATION Oju16 \l 2057 </w:instrText>
                </w:r>
                <w:r w:rsidR="007A7FB5">
                  <w:rPr>
                    <w:rFonts w:ascii="Times New Roman" w:hAnsi="Times New Roman"/>
                    <w:noProof/>
                    <w:sz w:val="18"/>
                    <w:szCs w:val="16"/>
                    <w:lang w:val="en-GB"/>
                  </w:rPr>
                  <w:fldChar w:fldCharType="separate"/>
                </w:r>
                <w:r w:rsidR="002D6947" w:rsidRPr="002D6947">
                  <w:rPr>
                    <w:rFonts w:ascii="Times New Roman" w:hAnsi="Times New Roman"/>
                    <w:noProof/>
                    <w:sz w:val="18"/>
                    <w:szCs w:val="16"/>
                    <w:lang w:val="en-GB"/>
                  </w:rPr>
                  <w:t>[115]</w:t>
                </w:r>
                <w:r w:rsidR="007A7FB5">
                  <w:rPr>
                    <w:rFonts w:ascii="Times New Roman" w:hAnsi="Times New Roman"/>
                    <w:noProof/>
                    <w:sz w:val="18"/>
                    <w:szCs w:val="16"/>
                    <w:lang w:val="en-GB"/>
                  </w:rPr>
                  <w:fldChar w:fldCharType="end"/>
                </w:r>
              </w:sdtContent>
            </w:sdt>
            <w:r w:rsidR="007A7FB5">
              <w:rPr>
                <w:rFonts w:ascii="Times New Roman" w:hAnsi="Times New Roman"/>
                <w:noProof/>
                <w:sz w:val="18"/>
                <w:szCs w:val="16"/>
                <w:lang w:val="en-GB"/>
              </w:rPr>
              <w:t xml:space="preserve"> </w:t>
            </w:r>
            <w:r w:rsidR="00E57576" w:rsidRPr="00C23FA5">
              <w:rPr>
                <w:rFonts w:ascii="Times New Roman" w:hAnsi="Times New Roman"/>
                <w:sz w:val="18"/>
                <w:szCs w:val="16"/>
              </w:rPr>
              <w:t>with use of radiolabeled fatty acids. Inhibition of beta</w:t>
            </w:r>
            <w:r>
              <w:rPr>
                <w:rFonts w:ascii="Times New Roman" w:hAnsi="Times New Roman"/>
                <w:sz w:val="18"/>
                <w:szCs w:val="16"/>
              </w:rPr>
              <w:t>-</w:t>
            </w:r>
            <w:r w:rsidR="00E57576" w:rsidRPr="00C23FA5">
              <w:rPr>
                <w:rFonts w:ascii="Times New Roman" w:hAnsi="Times New Roman"/>
                <w:sz w:val="18"/>
                <w:szCs w:val="16"/>
              </w:rPr>
              <w:t>oxidati</w:t>
            </w:r>
            <w:r w:rsidR="00195F0F" w:rsidRPr="00C23FA5">
              <w:rPr>
                <w:rFonts w:ascii="Times New Roman" w:hAnsi="Times New Roman"/>
                <w:sz w:val="18"/>
                <w:szCs w:val="16"/>
              </w:rPr>
              <w:t xml:space="preserve">on </w:t>
            </w:r>
            <w:r w:rsidR="00E57576" w:rsidRPr="00C23FA5">
              <w:rPr>
                <w:rFonts w:ascii="Times New Roman" w:hAnsi="Times New Roman"/>
                <w:sz w:val="18"/>
                <w:szCs w:val="16"/>
              </w:rPr>
              <w:t xml:space="preserve">can equally be determined by use of fluorescent neutral red with the detection and accumulation of neutral lipids in the cytoplasm. </w:t>
            </w:r>
          </w:p>
          <w:p w14:paraId="3E530838" w14:textId="77777777" w:rsidR="00915F29" w:rsidRDefault="00915F29" w:rsidP="00915F29">
            <w:pPr>
              <w:pStyle w:val="Paragraphedeliste"/>
              <w:spacing w:after="120" w:line="240" w:lineRule="auto"/>
              <w:ind w:left="0"/>
              <w:jc w:val="both"/>
              <w:rPr>
                <w:rFonts w:ascii="Times New Roman" w:hAnsi="Times New Roman"/>
                <w:b/>
                <w:bCs/>
                <w:i/>
                <w:iCs/>
                <w:sz w:val="18"/>
                <w:szCs w:val="16"/>
              </w:rPr>
            </w:pPr>
          </w:p>
          <w:p w14:paraId="126F2D27" w14:textId="77777777" w:rsidR="00E57576" w:rsidRPr="00C23FA5" w:rsidRDefault="00E57576" w:rsidP="00915F29">
            <w:pPr>
              <w:pStyle w:val="Paragraphedeliste"/>
              <w:spacing w:after="120" w:line="240" w:lineRule="auto"/>
              <w:ind w:left="0"/>
              <w:jc w:val="both"/>
              <w:rPr>
                <w:rFonts w:ascii="Times New Roman" w:hAnsi="Times New Roman"/>
                <w:b/>
                <w:bCs/>
                <w:i/>
                <w:iCs/>
                <w:sz w:val="18"/>
                <w:szCs w:val="16"/>
              </w:rPr>
            </w:pPr>
            <w:r w:rsidRPr="00C23FA5">
              <w:rPr>
                <w:rFonts w:ascii="Times New Roman" w:hAnsi="Times New Roman"/>
                <w:b/>
                <w:bCs/>
                <w:i/>
                <w:iCs/>
                <w:sz w:val="18"/>
                <w:szCs w:val="16"/>
              </w:rPr>
              <w:t xml:space="preserve">Limitations &amp; gaps in ‘knowledge’ of in vitro test systems  </w:t>
            </w:r>
          </w:p>
          <w:p w14:paraId="4E23FEB8" w14:textId="1D32B389" w:rsidR="00E57576" w:rsidRPr="00C23FA5" w:rsidRDefault="00E57576" w:rsidP="00915F29">
            <w:pPr>
              <w:pStyle w:val="Paragraphedeliste"/>
              <w:numPr>
                <w:ilvl w:val="0"/>
                <w:numId w:val="9"/>
              </w:numPr>
              <w:spacing w:after="120" w:line="240" w:lineRule="auto"/>
              <w:jc w:val="both"/>
              <w:rPr>
                <w:rFonts w:ascii="Times New Roman" w:hAnsi="Times New Roman"/>
                <w:sz w:val="18"/>
                <w:szCs w:val="16"/>
                <w:lang w:val="en-GB"/>
              </w:rPr>
            </w:pPr>
            <w:r w:rsidRPr="00C23FA5">
              <w:rPr>
                <w:rFonts w:ascii="Times New Roman" w:hAnsi="Times New Roman"/>
                <w:b/>
                <w:sz w:val="18"/>
                <w:szCs w:val="16"/>
              </w:rPr>
              <w:t xml:space="preserve">Glucose vs galactose assay.  </w:t>
            </w:r>
            <w:r w:rsidRPr="00C23FA5">
              <w:rPr>
                <w:rFonts w:ascii="Times New Roman" w:hAnsi="Times New Roman"/>
                <w:sz w:val="18"/>
                <w:szCs w:val="16"/>
              </w:rPr>
              <w:t>Requires two parallel cell cultures. Cells cultured in galactose have tendencies of becoming fragile in long term galactose containing medium</w:t>
            </w:r>
            <w:r w:rsidR="006801ED">
              <w:rPr>
                <w:rFonts w:ascii="Times New Roman" w:hAnsi="Times New Roman"/>
                <w:sz w:val="18"/>
                <w:szCs w:val="16"/>
              </w:rPr>
              <w:t xml:space="preserve"> and </w:t>
            </w:r>
            <w:r w:rsidR="005C2383">
              <w:rPr>
                <w:rFonts w:ascii="Times New Roman" w:hAnsi="Times New Roman"/>
                <w:sz w:val="18"/>
                <w:szCs w:val="16"/>
              </w:rPr>
              <w:t>no detailed</w:t>
            </w:r>
            <w:r w:rsidRPr="00C23FA5">
              <w:rPr>
                <w:rFonts w:ascii="Times New Roman" w:hAnsi="Times New Roman"/>
                <w:sz w:val="18"/>
                <w:szCs w:val="16"/>
              </w:rPr>
              <w:t xml:space="preserve"> mechanistic </w:t>
            </w:r>
            <w:r w:rsidR="00610733">
              <w:rPr>
                <w:rFonts w:ascii="Times New Roman" w:hAnsi="Times New Roman"/>
                <w:sz w:val="18"/>
                <w:szCs w:val="16"/>
              </w:rPr>
              <w:t xml:space="preserve">information </w:t>
            </w:r>
            <w:r w:rsidR="006801ED">
              <w:rPr>
                <w:rFonts w:ascii="Times New Roman" w:hAnsi="Times New Roman"/>
                <w:sz w:val="18"/>
                <w:szCs w:val="16"/>
              </w:rPr>
              <w:t xml:space="preserve">is obtained. </w:t>
            </w:r>
          </w:p>
          <w:p w14:paraId="55EFB29B" w14:textId="41C3DDE8" w:rsidR="00E57576" w:rsidRPr="000C657C" w:rsidRDefault="00E57576" w:rsidP="00915F29">
            <w:pPr>
              <w:numPr>
                <w:ilvl w:val="0"/>
                <w:numId w:val="9"/>
              </w:numPr>
              <w:jc w:val="both"/>
              <w:rPr>
                <w:b/>
                <w:sz w:val="18"/>
                <w:szCs w:val="16"/>
                <w:lang w:val="en-GB" w:eastAsia="en-GB"/>
              </w:rPr>
            </w:pPr>
            <w:r w:rsidRPr="00C23FA5">
              <w:rPr>
                <w:b/>
                <w:sz w:val="18"/>
                <w:szCs w:val="16"/>
                <w:lang w:val="en-GB" w:eastAsia="en-GB"/>
              </w:rPr>
              <w:t>MMP</w:t>
            </w:r>
            <w:r w:rsidR="002E040D">
              <w:rPr>
                <w:b/>
                <w:sz w:val="18"/>
                <w:szCs w:val="16"/>
                <w:lang w:val="en-GB" w:eastAsia="en-GB"/>
              </w:rPr>
              <w:t xml:space="preserve"> </w:t>
            </w:r>
            <w:r w:rsidRPr="00C23FA5">
              <w:rPr>
                <w:b/>
                <w:sz w:val="18"/>
                <w:szCs w:val="16"/>
                <w:lang w:val="en-GB" w:eastAsia="en-GB"/>
              </w:rPr>
              <w:t xml:space="preserve">assays. </w:t>
            </w:r>
            <w:r w:rsidR="00610733">
              <w:rPr>
                <w:noProof/>
                <w:color w:val="000000"/>
                <w:sz w:val="18"/>
                <w:szCs w:val="16"/>
                <w:shd w:val="clear" w:color="auto" w:fill="FFFFFF"/>
                <w:lang w:val="en-GB"/>
              </w:rPr>
              <w:t xml:space="preserve">Probe drug interactions possible </w:t>
            </w:r>
            <w:sdt>
              <w:sdtPr>
                <w:rPr>
                  <w:noProof/>
                  <w:color w:val="000000"/>
                  <w:sz w:val="18"/>
                  <w:szCs w:val="16"/>
                  <w:shd w:val="clear" w:color="auto" w:fill="FFFFFF"/>
                  <w:vertAlign w:val="subscript"/>
                  <w:lang w:val="en-GB"/>
                </w:rPr>
                <w:id w:val="862403382"/>
                <w:citation/>
              </w:sdtPr>
              <w:sdtEndPr/>
              <w:sdtContent>
                <w:r w:rsidR="007A7FB5">
                  <w:rPr>
                    <w:noProof/>
                    <w:color w:val="000000"/>
                    <w:sz w:val="18"/>
                    <w:szCs w:val="16"/>
                    <w:shd w:val="clear" w:color="auto" w:fill="FFFFFF"/>
                    <w:vertAlign w:val="subscript"/>
                    <w:lang w:val="en-GB"/>
                  </w:rPr>
                  <w:fldChar w:fldCharType="begin"/>
                </w:r>
                <w:r w:rsidR="007A7FB5">
                  <w:rPr>
                    <w:noProof/>
                    <w:color w:val="000000"/>
                    <w:sz w:val="18"/>
                    <w:szCs w:val="16"/>
                    <w:shd w:val="clear" w:color="auto" w:fill="FFFFFF"/>
                    <w:lang w:val="en-GB"/>
                  </w:rPr>
                  <w:instrText xml:space="preserve"> CITATION Per11 \l 2057 </w:instrText>
                </w:r>
                <w:r w:rsidR="007A7FB5">
                  <w:rPr>
                    <w:noProof/>
                    <w:color w:val="000000"/>
                    <w:sz w:val="18"/>
                    <w:szCs w:val="16"/>
                    <w:shd w:val="clear" w:color="auto" w:fill="FFFFFF"/>
                    <w:vertAlign w:val="subscript"/>
                    <w:lang w:val="en-GB"/>
                  </w:rPr>
                  <w:fldChar w:fldCharType="separate"/>
                </w:r>
                <w:r w:rsidR="002D6947" w:rsidRPr="002D6947">
                  <w:rPr>
                    <w:noProof/>
                    <w:color w:val="000000"/>
                    <w:sz w:val="18"/>
                    <w:szCs w:val="16"/>
                    <w:shd w:val="clear" w:color="auto" w:fill="FFFFFF"/>
                    <w:lang w:val="en-GB"/>
                  </w:rPr>
                  <w:t>[116]</w:t>
                </w:r>
                <w:r w:rsidR="007A7FB5">
                  <w:rPr>
                    <w:noProof/>
                    <w:color w:val="000000"/>
                    <w:sz w:val="18"/>
                    <w:szCs w:val="16"/>
                    <w:shd w:val="clear" w:color="auto" w:fill="FFFFFF"/>
                    <w:vertAlign w:val="subscript"/>
                    <w:lang w:val="en-GB"/>
                  </w:rPr>
                  <w:fldChar w:fldCharType="end"/>
                </w:r>
              </w:sdtContent>
            </w:sdt>
            <w:r w:rsidR="007A7FB5">
              <w:rPr>
                <w:noProof/>
                <w:color w:val="000000"/>
                <w:sz w:val="18"/>
                <w:szCs w:val="16"/>
                <w:shd w:val="clear" w:color="auto" w:fill="FFFFFF"/>
                <w:vertAlign w:val="subscript"/>
                <w:lang w:val="en-GB"/>
              </w:rPr>
              <w:t xml:space="preserve"> </w:t>
            </w:r>
            <w:r w:rsidR="00610733">
              <w:rPr>
                <w:sz w:val="18"/>
                <w:szCs w:val="16"/>
                <w:lang w:val="en-GB"/>
              </w:rPr>
              <w:t xml:space="preserve">No detailed mechanistic information. </w:t>
            </w:r>
            <w:proofErr w:type="spellStart"/>
            <w:r w:rsidR="00610733">
              <w:rPr>
                <w:sz w:val="18"/>
                <w:szCs w:val="16"/>
                <w:lang w:val="en-GB"/>
              </w:rPr>
              <w:t>Multiparametric</w:t>
            </w:r>
            <w:proofErr w:type="spellEnd"/>
            <w:r w:rsidRPr="00C23FA5">
              <w:rPr>
                <w:sz w:val="18"/>
                <w:szCs w:val="16"/>
                <w:lang w:val="en-GB"/>
              </w:rPr>
              <w:t xml:space="preserve"> </w:t>
            </w:r>
            <w:r w:rsidR="00835655">
              <w:rPr>
                <w:sz w:val="18"/>
                <w:szCs w:val="16"/>
                <w:lang w:val="en-GB"/>
              </w:rPr>
              <w:t>HCA</w:t>
            </w:r>
            <w:r w:rsidR="00F801F3">
              <w:rPr>
                <w:sz w:val="18"/>
                <w:szCs w:val="16"/>
                <w:lang w:val="en-GB"/>
              </w:rPr>
              <w:t xml:space="preserve"> r</w:t>
            </w:r>
            <w:r w:rsidR="00F801F3" w:rsidRPr="00B207B2">
              <w:rPr>
                <w:sz w:val="18"/>
                <w:szCs w:val="16"/>
                <w:lang w:val="en-GB"/>
              </w:rPr>
              <w:t xml:space="preserve">equires </w:t>
            </w:r>
            <w:r w:rsidR="00F801F3">
              <w:rPr>
                <w:sz w:val="18"/>
                <w:szCs w:val="16"/>
                <w:lang w:val="en-GB"/>
              </w:rPr>
              <w:t xml:space="preserve">careful design, </w:t>
            </w:r>
            <w:r w:rsidR="00F801F3" w:rsidRPr="00B207B2">
              <w:rPr>
                <w:sz w:val="18"/>
                <w:szCs w:val="16"/>
                <w:lang w:val="en-GB"/>
              </w:rPr>
              <w:t>extensive data analysis and good reference compound dataset</w:t>
            </w:r>
            <w:r w:rsidR="001871BB">
              <w:rPr>
                <w:sz w:val="18"/>
                <w:szCs w:val="16"/>
                <w:lang w:val="en-GB"/>
              </w:rPr>
              <w:t>.</w:t>
            </w:r>
          </w:p>
          <w:p w14:paraId="67A3D560" w14:textId="77777777" w:rsidR="00F801F3" w:rsidRPr="00C23FA5" w:rsidRDefault="00F801F3" w:rsidP="00915F29">
            <w:pPr>
              <w:ind w:left="720"/>
              <w:jc w:val="both"/>
              <w:rPr>
                <w:b/>
                <w:sz w:val="18"/>
                <w:szCs w:val="16"/>
                <w:lang w:val="en-GB" w:eastAsia="en-GB"/>
              </w:rPr>
            </w:pPr>
          </w:p>
          <w:p w14:paraId="3E6520D1" w14:textId="16569741" w:rsidR="00915F29" w:rsidRPr="0035392C" w:rsidRDefault="00E57576" w:rsidP="006D7A31">
            <w:pPr>
              <w:pStyle w:val="Paragraphedeliste"/>
              <w:spacing w:after="120" w:line="240" w:lineRule="auto"/>
              <w:jc w:val="both"/>
              <w:rPr>
                <w:rFonts w:ascii="Times New Roman" w:hAnsi="Times New Roman"/>
                <w:sz w:val="18"/>
                <w:szCs w:val="16"/>
                <w:lang w:val="en-GB" w:eastAsia="en-GB"/>
              </w:rPr>
            </w:pPr>
            <w:r w:rsidRPr="0035392C">
              <w:rPr>
                <w:rFonts w:ascii="Times New Roman" w:hAnsi="Times New Roman"/>
                <w:b/>
                <w:sz w:val="18"/>
                <w:szCs w:val="16"/>
              </w:rPr>
              <w:t>OCR/ECAR</w:t>
            </w:r>
            <w:r w:rsidRPr="0035392C">
              <w:rPr>
                <w:rFonts w:ascii="Times New Roman" w:hAnsi="Times New Roman"/>
                <w:sz w:val="18"/>
                <w:szCs w:val="16"/>
              </w:rPr>
              <w:t xml:space="preserve"> </w:t>
            </w:r>
            <w:r w:rsidRPr="0035392C">
              <w:rPr>
                <w:rFonts w:ascii="Times New Roman" w:hAnsi="Times New Roman"/>
                <w:b/>
                <w:sz w:val="18"/>
                <w:szCs w:val="16"/>
              </w:rPr>
              <w:t>assays.</w:t>
            </w:r>
            <w:r w:rsidRPr="0035392C">
              <w:rPr>
                <w:rFonts w:ascii="Times New Roman" w:hAnsi="Times New Roman"/>
                <w:sz w:val="18"/>
                <w:szCs w:val="16"/>
              </w:rPr>
              <w:t xml:space="preserve"> </w:t>
            </w:r>
            <w:r w:rsidR="003A099E" w:rsidRPr="0035392C">
              <w:rPr>
                <w:rFonts w:ascii="Times New Roman" w:hAnsi="Times New Roman"/>
                <w:sz w:val="18"/>
                <w:szCs w:val="16"/>
              </w:rPr>
              <w:t xml:space="preserve">Acute </w:t>
            </w:r>
            <w:r w:rsidRPr="0035392C">
              <w:rPr>
                <w:rFonts w:ascii="Times New Roman" w:hAnsi="Times New Roman"/>
                <w:sz w:val="18"/>
                <w:szCs w:val="16"/>
              </w:rPr>
              <w:t xml:space="preserve">measurements of toxicity and </w:t>
            </w:r>
            <w:r w:rsidR="000C3DF9" w:rsidRPr="0035392C">
              <w:rPr>
                <w:rFonts w:ascii="Times New Roman" w:hAnsi="Times New Roman"/>
                <w:sz w:val="18"/>
                <w:szCs w:val="16"/>
              </w:rPr>
              <w:t xml:space="preserve">thus </w:t>
            </w:r>
            <w:r w:rsidRPr="0035392C">
              <w:rPr>
                <w:rFonts w:ascii="Times New Roman" w:hAnsi="Times New Roman"/>
                <w:sz w:val="18"/>
                <w:szCs w:val="16"/>
              </w:rPr>
              <w:t>effect</w:t>
            </w:r>
            <w:r w:rsidR="00A33812" w:rsidRPr="0035392C">
              <w:rPr>
                <w:rFonts w:ascii="Times New Roman" w:hAnsi="Times New Roman"/>
                <w:sz w:val="18"/>
                <w:szCs w:val="16"/>
              </w:rPr>
              <w:t>s</w:t>
            </w:r>
            <w:r w:rsidRPr="0035392C">
              <w:rPr>
                <w:rFonts w:ascii="Times New Roman" w:hAnsi="Times New Roman"/>
                <w:sz w:val="18"/>
                <w:szCs w:val="16"/>
              </w:rPr>
              <w:t xml:space="preserve"> of compensatory mechanisms are </w:t>
            </w:r>
            <w:r w:rsidR="00A33812" w:rsidRPr="0035392C">
              <w:rPr>
                <w:rFonts w:ascii="Times New Roman" w:hAnsi="Times New Roman"/>
                <w:sz w:val="18"/>
                <w:szCs w:val="16"/>
              </w:rPr>
              <w:t>limited</w:t>
            </w:r>
            <w:r w:rsidR="0035392C" w:rsidRPr="0035392C">
              <w:rPr>
                <w:rFonts w:ascii="Times New Roman" w:hAnsi="Times New Roman"/>
                <w:sz w:val="18"/>
                <w:szCs w:val="16"/>
              </w:rPr>
              <w:t xml:space="preserve"> and no </w:t>
            </w:r>
            <w:r w:rsidR="0035392C" w:rsidRPr="00B16B32">
              <w:rPr>
                <w:rFonts w:ascii="Times New Roman" w:hAnsi="Times New Roman"/>
                <w:sz w:val="18"/>
                <w:szCs w:val="16"/>
              </w:rPr>
              <w:t>long-term effects on mitochondria can be measured</w:t>
            </w:r>
            <w:proofErr w:type="gramStart"/>
            <w:r w:rsidR="0035392C" w:rsidRPr="00B16B32">
              <w:rPr>
                <w:rFonts w:ascii="Times New Roman" w:hAnsi="Times New Roman"/>
                <w:sz w:val="18"/>
                <w:szCs w:val="16"/>
              </w:rPr>
              <w:t>.</w:t>
            </w:r>
            <w:r w:rsidRPr="00490F93">
              <w:rPr>
                <w:rFonts w:ascii="Times New Roman" w:hAnsi="Times New Roman"/>
                <w:sz w:val="18"/>
                <w:szCs w:val="16"/>
              </w:rPr>
              <w:t>.</w:t>
            </w:r>
            <w:proofErr w:type="gramEnd"/>
            <w:r w:rsidRPr="00490F93">
              <w:rPr>
                <w:rFonts w:ascii="Times New Roman" w:hAnsi="Times New Roman"/>
                <w:sz w:val="18"/>
                <w:szCs w:val="16"/>
              </w:rPr>
              <w:t xml:space="preserve"> </w:t>
            </w:r>
            <w:r w:rsidR="00A33812">
              <w:rPr>
                <w:rFonts w:ascii="Times New Roman" w:hAnsi="Times New Roman"/>
                <w:sz w:val="18"/>
                <w:szCs w:val="16"/>
              </w:rPr>
              <w:t>P</w:t>
            </w:r>
            <w:r w:rsidR="00835655">
              <w:rPr>
                <w:rFonts w:ascii="Times New Roman" w:hAnsi="Times New Roman"/>
                <w:sz w:val="18"/>
                <w:szCs w:val="16"/>
              </w:rPr>
              <w:t xml:space="preserve">reliminary assessment of </w:t>
            </w:r>
            <w:r w:rsidRPr="00C23FA5">
              <w:rPr>
                <w:rFonts w:ascii="Times New Roman" w:hAnsi="Times New Roman"/>
                <w:sz w:val="18"/>
                <w:szCs w:val="16"/>
              </w:rPr>
              <w:t>cytotoxicity and effect of medium change is required before OCR</w:t>
            </w:r>
            <w:r w:rsidR="00A33812">
              <w:rPr>
                <w:rFonts w:ascii="Times New Roman" w:hAnsi="Times New Roman"/>
                <w:sz w:val="18"/>
                <w:szCs w:val="16"/>
              </w:rPr>
              <w:t>/</w:t>
            </w:r>
            <w:r w:rsidRPr="00C23FA5">
              <w:rPr>
                <w:rFonts w:ascii="Times New Roman" w:hAnsi="Times New Roman"/>
                <w:sz w:val="18"/>
                <w:szCs w:val="16"/>
              </w:rPr>
              <w:t xml:space="preserve">ECAR </w:t>
            </w:r>
            <w:r w:rsidR="00A33812">
              <w:rPr>
                <w:rFonts w:ascii="Times New Roman" w:hAnsi="Times New Roman"/>
                <w:sz w:val="18"/>
                <w:szCs w:val="16"/>
              </w:rPr>
              <w:t>assays are</w:t>
            </w:r>
            <w:r w:rsidRPr="00C23FA5">
              <w:rPr>
                <w:rFonts w:ascii="Times New Roman" w:hAnsi="Times New Roman"/>
                <w:sz w:val="18"/>
                <w:szCs w:val="16"/>
              </w:rPr>
              <w:t xml:space="preserve"> amenable for use</w:t>
            </w:r>
            <w:r w:rsidR="00835655">
              <w:rPr>
                <w:rFonts w:ascii="Times New Roman" w:hAnsi="Times New Roman"/>
                <w:sz w:val="18"/>
                <w:szCs w:val="16"/>
              </w:rPr>
              <w:t xml:space="preserve">, </w:t>
            </w:r>
            <w:r w:rsidRPr="00C23FA5">
              <w:rPr>
                <w:rFonts w:ascii="Times New Roman" w:hAnsi="Times New Roman"/>
                <w:sz w:val="18"/>
                <w:szCs w:val="16"/>
              </w:rPr>
              <w:t>in long-term testing.</w:t>
            </w:r>
          </w:p>
          <w:p w14:paraId="48A8C133" w14:textId="12F54B1E" w:rsidR="00915F29" w:rsidRDefault="00E57576" w:rsidP="00915F29">
            <w:pPr>
              <w:pStyle w:val="Paragraphedeliste"/>
              <w:numPr>
                <w:ilvl w:val="0"/>
                <w:numId w:val="9"/>
              </w:numPr>
              <w:spacing w:after="120" w:line="240" w:lineRule="auto"/>
              <w:jc w:val="both"/>
              <w:rPr>
                <w:rFonts w:ascii="Times New Roman" w:hAnsi="Times New Roman"/>
                <w:sz w:val="18"/>
                <w:szCs w:val="16"/>
              </w:rPr>
            </w:pPr>
            <w:r w:rsidRPr="00C23FA5">
              <w:rPr>
                <w:rFonts w:ascii="Times New Roman" w:hAnsi="Times New Roman"/>
                <w:b/>
                <w:sz w:val="18"/>
                <w:szCs w:val="16"/>
              </w:rPr>
              <w:t>Polarography</w:t>
            </w:r>
            <w:r w:rsidR="002E0324">
              <w:rPr>
                <w:rFonts w:ascii="Times New Roman" w:hAnsi="Times New Roman"/>
                <w:b/>
                <w:sz w:val="18"/>
                <w:szCs w:val="16"/>
              </w:rPr>
              <w:t>.</w:t>
            </w:r>
            <w:r w:rsidRPr="00C23FA5">
              <w:rPr>
                <w:rFonts w:ascii="Times New Roman" w:hAnsi="Times New Roman"/>
                <w:sz w:val="18"/>
                <w:szCs w:val="16"/>
              </w:rPr>
              <w:t xml:space="preserve"> Extremely low throughput requiring high quantity of cells to isolate mitochondria. Devoid of the cellular environment</w:t>
            </w:r>
            <w:proofErr w:type="gramStart"/>
            <w:r w:rsidR="0035392C">
              <w:rPr>
                <w:rFonts w:ascii="Times New Roman" w:hAnsi="Times New Roman"/>
                <w:sz w:val="18"/>
                <w:szCs w:val="16"/>
              </w:rPr>
              <w:t>.</w:t>
            </w:r>
            <w:r w:rsidRPr="00C23FA5">
              <w:rPr>
                <w:rFonts w:ascii="Times New Roman" w:hAnsi="Times New Roman"/>
                <w:sz w:val="18"/>
                <w:szCs w:val="16"/>
              </w:rPr>
              <w:t>.</w:t>
            </w:r>
            <w:proofErr w:type="gramEnd"/>
            <w:r w:rsidRPr="00C23FA5">
              <w:rPr>
                <w:rFonts w:ascii="Times New Roman" w:hAnsi="Times New Roman"/>
                <w:sz w:val="18"/>
                <w:szCs w:val="16"/>
              </w:rPr>
              <w:t xml:space="preserve"> </w:t>
            </w:r>
          </w:p>
          <w:p w14:paraId="0D08A21D" w14:textId="77777777" w:rsidR="00E57576" w:rsidRPr="00C23FA5" w:rsidRDefault="00E57576" w:rsidP="00915F29">
            <w:pPr>
              <w:pStyle w:val="Paragraphedeliste"/>
              <w:spacing w:after="120" w:line="240" w:lineRule="auto"/>
              <w:jc w:val="both"/>
              <w:rPr>
                <w:rFonts w:ascii="Times New Roman" w:hAnsi="Times New Roman"/>
                <w:sz w:val="18"/>
                <w:szCs w:val="16"/>
              </w:rPr>
            </w:pPr>
          </w:p>
          <w:p w14:paraId="4E954178" w14:textId="2C69BEC1" w:rsidR="00E57576" w:rsidRDefault="0035392C" w:rsidP="0035392C">
            <w:pPr>
              <w:pStyle w:val="Paragraphedeliste"/>
              <w:numPr>
                <w:ilvl w:val="0"/>
                <w:numId w:val="9"/>
              </w:numPr>
              <w:spacing w:after="120" w:line="240" w:lineRule="auto"/>
              <w:jc w:val="both"/>
              <w:rPr>
                <w:sz w:val="18"/>
                <w:szCs w:val="16"/>
              </w:rPr>
            </w:pPr>
            <w:r>
              <w:rPr>
                <w:rFonts w:ascii="Times New Roman" w:hAnsi="Times New Roman"/>
                <w:b/>
                <w:sz w:val="18"/>
                <w:szCs w:val="16"/>
              </w:rPr>
              <w:t>General</w:t>
            </w:r>
            <w:r w:rsidR="002E0324">
              <w:rPr>
                <w:rFonts w:ascii="Times New Roman" w:hAnsi="Times New Roman"/>
                <w:b/>
                <w:sz w:val="18"/>
                <w:szCs w:val="16"/>
              </w:rPr>
              <w:t>.</w:t>
            </w:r>
            <w:r w:rsidR="00E57576" w:rsidRPr="00C23FA5">
              <w:rPr>
                <w:rFonts w:ascii="Times New Roman" w:hAnsi="Times New Roman"/>
                <w:sz w:val="18"/>
                <w:szCs w:val="16"/>
              </w:rPr>
              <w:t xml:space="preserve"> No thorough assessment of the most promising cell model coupled with appropriate endpoint measurement(s) exists.</w:t>
            </w:r>
            <w:r w:rsidR="00E57576" w:rsidRPr="00C23FA5">
              <w:rPr>
                <w:sz w:val="18"/>
                <w:szCs w:val="16"/>
              </w:rPr>
              <w:t xml:space="preserve"> </w:t>
            </w:r>
            <w:r>
              <w:rPr>
                <w:sz w:val="18"/>
                <w:szCs w:val="16"/>
              </w:rPr>
              <w:t xml:space="preserve">No proper in vivo-in vitro correlation, evaluation of </w:t>
            </w:r>
            <w:proofErr w:type="spellStart"/>
            <w:r>
              <w:rPr>
                <w:sz w:val="18"/>
                <w:szCs w:val="16"/>
              </w:rPr>
              <w:t>predictivity</w:t>
            </w:r>
            <w:proofErr w:type="spellEnd"/>
            <w:r>
              <w:rPr>
                <w:sz w:val="18"/>
                <w:szCs w:val="16"/>
              </w:rPr>
              <w:t xml:space="preserve"> and comparison between the methods exist.</w:t>
            </w:r>
          </w:p>
          <w:p w14:paraId="4EFD6F23" w14:textId="77777777" w:rsidR="004B4CEC" w:rsidRPr="00FB4A73" w:rsidRDefault="004B4CEC" w:rsidP="00FB4A73">
            <w:pPr>
              <w:pStyle w:val="Paragraphedeliste"/>
              <w:rPr>
                <w:sz w:val="18"/>
                <w:szCs w:val="16"/>
              </w:rPr>
            </w:pPr>
          </w:p>
          <w:p w14:paraId="1F3FEB2F" w14:textId="7852CEFD" w:rsidR="004B4CEC" w:rsidRPr="00FB4A73" w:rsidRDefault="004B4CEC" w:rsidP="005C2383">
            <w:pPr>
              <w:pStyle w:val="Paragraphedeliste"/>
              <w:numPr>
                <w:ilvl w:val="0"/>
                <w:numId w:val="9"/>
              </w:numPr>
              <w:spacing w:after="120" w:line="240" w:lineRule="auto"/>
              <w:jc w:val="both"/>
              <w:rPr>
                <w:rFonts w:ascii="Times New Roman" w:hAnsi="Times New Roman"/>
                <w:sz w:val="18"/>
                <w:szCs w:val="18"/>
              </w:rPr>
            </w:pPr>
            <w:r w:rsidRPr="00525724">
              <w:rPr>
                <w:rFonts w:ascii="Times New Roman" w:hAnsi="Times New Roman"/>
                <w:b/>
                <w:noProof/>
                <w:color w:val="000000"/>
                <w:sz w:val="18"/>
                <w:szCs w:val="18"/>
              </w:rPr>
              <w:t xml:space="preserve">Combining </w:t>
            </w:r>
            <w:r w:rsidR="00A23F2C">
              <w:rPr>
                <w:rFonts w:ascii="Times New Roman" w:hAnsi="Times New Roman"/>
                <w:b/>
                <w:noProof/>
                <w:color w:val="000000"/>
                <w:sz w:val="18"/>
                <w:szCs w:val="18"/>
              </w:rPr>
              <w:t>E</w:t>
            </w:r>
            <w:r w:rsidR="00A23F2C" w:rsidRPr="00A23F2C">
              <w:rPr>
                <w:rFonts w:ascii="Times New Roman" w:hAnsi="Times New Roman"/>
                <w:b/>
                <w:noProof/>
                <w:color w:val="000000"/>
                <w:sz w:val="18"/>
                <w:szCs w:val="18"/>
              </w:rPr>
              <w:t>ndpo</w:t>
            </w:r>
            <w:r w:rsidR="00A23F2C">
              <w:rPr>
                <w:rFonts w:ascii="Times New Roman" w:hAnsi="Times New Roman"/>
                <w:b/>
                <w:noProof/>
                <w:color w:val="000000"/>
                <w:sz w:val="18"/>
                <w:szCs w:val="18"/>
              </w:rPr>
              <w:t>in</w:t>
            </w:r>
            <w:r w:rsidR="00A23F2C" w:rsidRPr="00525724">
              <w:rPr>
                <w:rFonts w:ascii="Times New Roman" w:hAnsi="Times New Roman"/>
                <w:b/>
                <w:noProof/>
                <w:color w:val="000000"/>
                <w:sz w:val="18"/>
                <w:szCs w:val="18"/>
              </w:rPr>
              <w:t xml:space="preserve">t </w:t>
            </w:r>
            <w:r w:rsidR="00A23F2C">
              <w:rPr>
                <w:rFonts w:ascii="Times New Roman" w:hAnsi="Times New Roman"/>
                <w:b/>
                <w:noProof/>
                <w:color w:val="000000"/>
                <w:sz w:val="18"/>
                <w:szCs w:val="18"/>
              </w:rPr>
              <w:t>Measurements</w:t>
            </w:r>
            <w:r w:rsidR="00A23F2C">
              <w:rPr>
                <w:rFonts w:ascii="Times New Roman" w:hAnsi="Times New Roman"/>
                <w:noProof/>
                <w:color w:val="000000"/>
                <w:sz w:val="18"/>
                <w:szCs w:val="18"/>
              </w:rPr>
              <w:t>. R</w:t>
            </w:r>
            <w:r w:rsidRPr="00FB4A73">
              <w:rPr>
                <w:rFonts w:ascii="Times New Roman" w:hAnsi="Times New Roman"/>
                <w:noProof/>
                <w:color w:val="000000"/>
                <w:sz w:val="18"/>
                <w:szCs w:val="18"/>
              </w:rPr>
              <w:t>esults f</w:t>
            </w:r>
            <w:r w:rsidR="00FB4A73">
              <w:rPr>
                <w:rFonts w:ascii="Times New Roman" w:hAnsi="Times New Roman"/>
                <w:noProof/>
                <w:color w:val="000000"/>
                <w:sz w:val="18"/>
                <w:szCs w:val="18"/>
              </w:rPr>
              <w:t>rom different mitochondrial end</w:t>
            </w:r>
            <w:r w:rsidRPr="00FB4A73">
              <w:rPr>
                <w:rFonts w:ascii="Times New Roman" w:hAnsi="Times New Roman"/>
                <w:noProof/>
                <w:color w:val="000000"/>
                <w:sz w:val="18"/>
                <w:szCs w:val="18"/>
              </w:rPr>
              <w:t xml:space="preserve">points (e.g. glu-gal, mitochondrial respiration, glycolysis and reserve capacity) or with other </w:t>
            </w:r>
            <w:r w:rsidR="00FB4A73">
              <w:rPr>
                <w:rFonts w:ascii="Times New Roman" w:hAnsi="Times New Roman"/>
                <w:noProof/>
                <w:color w:val="000000"/>
                <w:sz w:val="18"/>
                <w:szCs w:val="18"/>
              </w:rPr>
              <w:t>endpoints such as</w:t>
            </w:r>
            <w:r w:rsidRPr="00FB4A73">
              <w:rPr>
                <w:rFonts w:ascii="Times New Roman" w:hAnsi="Times New Roman"/>
                <w:noProof/>
                <w:color w:val="000000"/>
                <w:sz w:val="18"/>
                <w:szCs w:val="18"/>
              </w:rPr>
              <w:t xml:space="preserve"> mitochondrial </w:t>
            </w:r>
            <w:r w:rsidR="00FB4A73">
              <w:rPr>
                <w:rFonts w:ascii="Times New Roman" w:hAnsi="Times New Roman"/>
                <w:noProof/>
                <w:color w:val="000000"/>
                <w:sz w:val="18"/>
                <w:szCs w:val="18"/>
              </w:rPr>
              <w:t>respiration and BSEP inhibition is likely</w:t>
            </w:r>
            <w:r w:rsidRPr="00FB4A73">
              <w:rPr>
                <w:rFonts w:ascii="Times New Roman" w:hAnsi="Times New Roman"/>
                <w:noProof/>
                <w:color w:val="000000"/>
                <w:sz w:val="18"/>
                <w:szCs w:val="18"/>
              </w:rPr>
              <w:t xml:space="preserve"> </w:t>
            </w:r>
            <w:r w:rsidR="00FB4A73" w:rsidRPr="00FB4A73">
              <w:rPr>
                <w:rFonts w:ascii="Times New Roman" w:hAnsi="Times New Roman"/>
                <w:noProof/>
                <w:color w:val="000000"/>
                <w:sz w:val="18"/>
                <w:szCs w:val="18"/>
              </w:rPr>
              <w:t xml:space="preserve">to </w:t>
            </w:r>
            <w:r w:rsidR="00FB4A73">
              <w:rPr>
                <w:rFonts w:ascii="Times New Roman" w:hAnsi="Times New Roman"/>
                <w:noProof/>
                <w:color w:val="000000"/>
                <w:sz w:val="18"/>
                <w:szCs w:val="18"/>
              </w:rPr>
              <w:t xml:space="preserve">lead to the classification of </w:t>
            </w:r>
            <w:r w:rsidR="00FB4A73" w:rsidRPr="00FB4A73">
              <w:rPr>
                <w:rFonts w:ascii="Times New Roman" w:hAnsi="Times New Roman"/>
                <w:noProof/>
                <w:color w:val="000000"/>
                <w:sz w:val="18"/>
                <w:szCs w:val="18"/>
              </w:rPr>
              <w:t xml:space="preserve"> </w:t>
            </w:r>
            <w:r w:rsidR="00FB4A73">
              <w:rPr>
                <w:rFonts w:ascii="Times New Roman" w:hAnsi="Times New Roman"/>
                <w:noProof/>
                <w:color w:val="000000"/>
                <w:sz w:val="18"/>
                <w:szCs w:val="18"/>
              </w:rPr>
              <w:t xml:space="preserve">drugs as hepatotoxins. </w:t>
            </w:r>
            <w:r w:rsidR="002B698B">
              <w:rPr>
                <w:rFonts w:ascii="Times New Roman" w:hAnsi="Times New Roman"/>
                <w:noProof/>
                <w:color w:val="000000"/>
                <w:sz w:val="18"/>
                <w:szCs w:val="18"/>
              </w:rPr>
              <w:t>Notably, however, these effects are</w:t>
            </w:r>
            <w:r w:rsidR="00FB4A73">
              <w:rPr>
                <w:rFonts w:ascii="Times New Roman" w:hAnsi="Times New Roman"/>
                <w:noProof/>
                <w:color w:val="000000"/>
                <w:sz w:val="18"/>
                <w:szCs w:val="18"/>
              </w:rPr>
              <w:t xml:space="preserve"> typically </w:t>
            </w:r>
            <w:r w:rsidR="00FB4A73" w:rsidRPr="00FB4A73">
              <w:rPr>
                <w:rFonts w:ascii="Times New Roman" w:hAnsi="Times New Roman"/>
                <w:noProof/>
                <w:color w:val="000000"/>
                <w:sz w:val="18"/>
                <w:szCs w:val="18"/>
              </w:rPr>
              <w:t xml:space="preserve">only </w:t>
            </w:r>
            <w:r w:rsidR="002B698B">
              <w:rPr>
                <w:rFonts w:ascii="Times New Roman" w:hAnsi="Times New Roman"/>
                <w:noProof/>
                <w:color w:val="000000"/>
                <w:sz w:val="18"/>
                <w:szCs w:val="18"/>
              </w:rPr>
              <w:t xml:space="preserve">observed </w:t>
            </w:r>
            <w:r w:rsidR="00FB4A73" w:rsidRPr="00FB4A73">
              <w:rPr>
                <w:rFonts w:ascii="Times New Roman" w:hAnsi="Times New Roman"/>
                <w:noProof/>
                <w:color w:val="000000"/>
                <w:sz w:val="18"/>
                <w:szCs w:val="18"/>
              </w:rPr>
              <w:t xml:space="preserve">at </w:t>
            </w:r>
            <w:r w:rsidR="00FB4A73" w:rsidRPr="00FB4A73">
              <w:rPr>
                <w:rFonts w:ascii="Times New Roman" w:hAnsi="Times New Roman"/>
                <w:i/>
                <w:noProof/>
                <w:color w:val="000000"/>
                <w:sz w:val="18"/>
                <w:szCs w:val="18"/>
              </w:rPr>
              <w:t>in vitro</w:t>
            </w:r>
            <w:r w:rsidR="00FB4A73">
              <w:rPr>
                <w:rFonts w:ascii="Times New Roman" w:hAnsi="Times New Roman"/>
                <w:noProof/>
                <w:color w:val="000000"/>
                <w:sz w:val="18"/>
                <w:szCs w:val="18"/>
              </w:rPr>
              <w:t xml:space="preserve"> </w:t>
            </w:r>
            <w:r w:rsidR="00FB4A73" w:rsidRPr="00FB4A73">
              <w:rPr>
                <w:rFonts w:ascii="Times New Roman" w:hAnsi="Times New Roman"/>
                <w:noProof/>
                <w:color w:val="000000"/>
                <w:sz w:val="18"/>
                <w:szCs w:val="18"/>
              </w:rPr>
              <w:t xml:space="preserve">concentrations markedly above the therapeutic Cmax </w:t>
            </w:r>
            <w:r w:rsidR="002B698B">
              <w:rPr>
                <w:rFonts w:ascii="Times New Roman" w:hAnsi="Times New Roman"/>
                <w:noProof/>
                <w:color w:val="000000"/>
                <w:sz w:val="18"/>
                <w:szCs w:val="18"/>
              </w:rPr>
              <w:t xml:space="preserve">of many drugs </w:t>
            </w:r>
            <w:r w:rsidRPr="00FB4A73">
              <w:rPr>
                <w:rFonts w:ascii="Times New Roman" w:hAnsi="Times New Roman"/>
                <w:noProof/>
                <w:color w:val="000000"/>
                <w:sz w:val="18"/>
                <w:szCs w:val="18"/>
              </w:rPr>
              <w:t>(</w:t>
            </w:r>
            <w:r w:rsidR="005C2383">
              <w:rPr>
                <w:rFonts w:ascii="Times New Roman" w:hAnsi="Times New Roman"/>
                <w:noProof/>
                <w:color w:val="000000"/>
                <w:sz w:val="18"/>
                <w:szCs w:val="18"/>
              </w:rPr>
              <w:t>31</w:t>
            </w:r>
            <w:r w:rsidRPr="00FB4A73">
              <w:rPr>
                <w:rFonts w:ascii="Times New Roman" w:hAnsi="Times New Roman"/>
                <w:noProof/>
                <w:color w:val="000000"/>
                <w:sz w:val="18"/>
                <w:szCs w:val="18"/>
              </w:rPr>
              <w:t>)</w:t>
            </w:r>
            <w:r w:rsidR="00FB4A73">
              <w:rPr>
                <w:rFonts w:ascii="Times New Roman" w:hAnsi="Times New Roman"/>
                <w:noProof/>
                <w:color w:val="000000"/>
                <w:sz w:val="18"/>
                <w:szCs w:val="18"/>
              </w:rPr>
              <w:t>.</w:t>
            </w:r>
          </w:p>
        </w:tc>
      </w:tr>
    </w:tbl>
    <w:p w14:paraId="103484A8" w14:textId="77777777" w:rsidR="00630E3F" w:rsidRDefault="00630E3F" w:rsidP="00E57576">
      <w:pPr>
        <w:rPr>
          <w:b/>
          <w:sz w:val="24"/>
          <w:szCs w:val="18"/>
          <w:lang w:val="en-US"/>
        </w:rPr>
      </w:pPr>
    </w:p>
    <w:p w14:paraId="1000A5DA" w14:textId="77777777" w:rsidR="00630E3F" w:rsidRDefault="00630E3F">
      <w:pPr>
        <w:rPr>
          <w:b/>
          <w:sz w:val="24"/>
          <w:szCs w:val="18"/>
          <w:lang w:val="en-US"/>
        </w:rPr>
      </w:pPr>
      <w:r>
        <w:rPr>
          <w:b/>
          <w:sz w:val="24"/>
          <w:szCs w:val="18"/>
          <w:lang w:val="en-US"/>
        </w:rPr>
        <w:br w:type="page"/>
      </w:r>
    </w:p>
    <w:p w14:paraId="7A29AFCC" w14:textId="49D1C85E" w:rsidR="00E57576" w:rsidRPr="009034B9" w:rsidRDefault="00E57576" w:rsidP="00E57576">
      <w:pPr>
        <w:rPr>
          <w:sz w:val="18"/>
          <w:szCs w:val="18"/>
          <w:lang w:val="en-US"/>
        </w:rPr>
      </w:pPr>
      <w:r w:rsidRPr="00B72890">
        <w:rPr>
          <w:b/>
          <w:sz w:val="24"/>
          <w:szCs w:val="18"/>
          <w:lang w:val="en-US"/>
        </w:rPr>
        <w:lastRenderedPageBreak/>
        <w:t xml:space="preserve">Table4.  </w:t>
      </w:r>
      <w:r w:rsidR="00357FFA">
        <w:rPr>
          <w:b/>
          <w:i/>
          <w:sz w:val="24"/>
          <w:szCs w:val="18"/>
          <w:lang w:val="en-US"/>
        </w:rPr>
        <w:t>Assessments</w:t>
      </w:r>
      <w:r w:rsidRPr="00B72890">
        <w:rPr>
          <w:b/>
          <w:i/>
          <w:sz w:val="24"/>
          <w:szCs w:val="18"/>
          <w:lang w:val="en-US"/>
        </w:rPr>
        <w:t xml:space="preserve"> by </w:t>
      </w:r>
      <w:r w:rsidR="00B66392">
        <w:rPr>
          <w:b/>
          <w:i/>
          <w:sz w:val="24"/>
          <w:szCs w:val="18"/>
          <w:lang w:val="en-US"/>
        </w:rPr>
        <w:t>i</w:t>
      </w:r>
      <w:r w:rsidRPr="00B72890">
        <w:rPr>
          <w:b/>
          <w:i/>
          <w:sz w:val="24"/>
          <w:szCs w:val="18"/>
          <w:lang w:val="en-US"/>
        </w:rPr>
        <w:t xml:space="preserve">ndustry for </w:t>
      </w:r>
      <w:r w:rsidR="00357FFA">
        <w:rPr>
          <w:b/>
          <w:i/>
          <w:sz w:val="24"/>
          <w:szCs w:val="18"/>
          <w:lang w:val="en-US"/>
        </w:rPr>
        <w:t>the detection of</w:t>
      </w:r>
      <w:r w:rsidRPr="00B72890">
        <w:rPr>
          <w:b/>
          <w:i/>
          <w:sz w:val="24"/>
          <w:szCs w:val="18"/>
          <w:lang w:val="en-US"/>
        </w:rPr>
        <w:t xml:space="preserve"> cholestasis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E57576" w:rsidRPr="004B28DB" w14:paraId="5C8E3CDD" w14:textId="77777777" w:rsidTr="0054714F">
        <w:tc>
          <w:tcPr>
            <w:tcW w:w="9213" w:type="dxa"/>
            <w:shd w:val="clear" w:color="auto" w:fill="auto"/>
          </w:tcPr>
          <w:p w14:paraId="2C4A186D" w14:textId="77777777" w:rsidR="00E57576" w:rsidRDefault="00E57576" w:rsidP="0054714F">
            <w:pPr>
              <w:jc w:val="both"/>
              <w:rPr>
                <w:b/>
                <w:bCs/>
                <w:iCs/>
                <w:sz w:val="18"/>
                <w:szCs w:val="18"/>
                <w:lang w:val="en-US"/>
              </w:rPr>
            </w:pPr>
            <w:r w:rsidRPr="009034B9">
              <w:rPr>
                <w:b/>
                <w:bCs/>
                <w:iCs/>
                <w:sz w:val="18"/>
                <w:szCs w:val="18"/>
                <w:lang w:val="en-US"/>
              </w:rPr>
              <w:t xml:space="preserve">Issues with preclinical hepatobiliary toxicants </w:t>
            </w:r>
          </w:p>
          <w:p w14:paraId="3197D60E" w14:textId="77777777" w:rsidR="002D393B" w:rsidRPr="009034B9" w:rsidRDefault="002D393B" w:rsidP="0054714F">
            <w:pPr>
              <w:jc w:val="both"/>
              <w:rPr>
                <w:b/>
                <w:bCs/>
                <w:i/>
                <w:iCs/>
                <w:sz w:val="18"/>
                <w:szCs w:val="18"/>
                <w:lang w:val="en-US"/>
              </w:rPr>
            </w:pPr>
          </w:p>
          <w:p w14:paraId="28FBA35D" w14:textId="76D17662" w:rsidR="00E57576" w:rsidRPr="002D393B" w:rsidRDefault="00E57576" w:rsidP="00835655">
            <w:pPr>
              <w:pStyle w:val="Paragraphedeliste"/>
              <w:numPr>
                <w:ilvl w:val="0"/>
                <w:numId w:val="16"/>
              </w:numPr>
              <w:spacing w:after="0"/>
              <w:rPr>
                <w:rFonts w:ascii="Times New Roman" w:hAnsi="Times New Roman"/>
                <w:b/>
                <w:bCs/>
                <w:iCs/>
                <w:sz w:val="18"/>
                <w:szCs w:val="18"/>
              </w:rPr>
            </w:pPr>
            <w:r w:rsidRPr="00835655">
              <w:rPr>
                <w:rFonts w:ascii="Times New Roman" w:hAnsi="Times New Roman"/>
                <w:bCs/>
                <w:iCs/>
                <w:sz w:val="18"/>
                <w:szCs w:val="18"/>
              </w:rPr>
              <w:t xml:space="preserve">Detection of hepatobiliary injury frequently occurs only during the </w:t>
            </w:r>
            <w:r w:rsidR="00B66392" w:rsidRPr="00835655">
              <w:rPr>
                <w:rFonts w:ascii="Times New Roman" w:hAnsi="Times New Roman"/>
                <w:bCs/>
                <w:iCs/>
                <w:sz w:val="18"/>
                <w:szCs w:val="18"/>
              </w:rPr>
              <w:t xml:space="preserve">drug </w:t>
            </w:r>
            <w:r w:rsidRPr="00835655">
              <w:rPr>
                <w:rFonts w:ascii="Times New Roman" w:hAnsi="Times New Roman"/>
                <w:bCs/>
                <w:iCs/>
                <w:sz w:val="18"/>
                <w:szCs w:val="18"/>
              </w:rPr>
              <w:t xml:space="preserve">development, typically </w:t>
            </w:r>
            <w:r w:rsidRPr="00835655">
              <w:rPr>
                <w:rFonts w:ascii="Times New Roman" w:hAnsi="Times New Roman"/>
                <w:bCs/>
                <w:iCs/>
                <w:sz w:val="18"/>
                <w:szCs w:val="18"/>
                <w:lang w:val="en-GB" w:eastAsia="en-GB"/>
              </w:rPr>
              <w:t xml:space="preserve">after </w:t>
            </w:r>
            <w:r w:rsidR="00210564">
              <w:rPr>
                <w:rFonts w:ascii="Times New Roman" w:hAnsi="Times New Roman"/>
                <w:bCs/>
                <w:iCs/>
                <w:sz w:val="18"/>
                <w:szCs w:val="18"/>
                <w:lang w:val="en-GB" w:eastAsia="en-GB"/>
              </w:rPr>
              <w:t>init</w:t>
            </w:r>
            <w:r w:rsidR="00464295">
              <w:rPr>
                <w:rFonts w:ascii="Times New Roman" w:hAnsi="Times New Roman"/>
                <w:bCs/>
                <w:iCs/>
                <w:sz w:val="18"/>
                <w:szCs w:val="18"/>
                <w:lang w:val="en-GB" w:eastAsia="en-GB"/>
              </w:rPr>
              <w:t>i</w:t>
            </w:r>
            <w:r w:rsidR="00210564">
              <w:rPr>
                <w:rFonts w:ascii="Times New Roman" w:hAnsi="Times New Roman"/>
                <w:bCs/>
                <w:iCs/>
                <w:sz w:val="18"/>
                <w:szCs w:val="18"/>
                <w:lang w:val="en-GB" w:eastAsia="en-GB"/>
              </w:rPr>
              <w:t>ation</w:t>
            </w:r>
            <w:r w:rsidR="00210564" w:rsidRPr="00835655">
              <w:rPr>
                <w:rFonts w:ascii="Times New Roman" w:hAnsi="Times New Roman"/>
                <w:bCs/>
                <w:iCs/>
                <w:sz w:val="18"/>
                <w:szCs w:val="18"/>
                <w:lang w:val="en-GB" w:eastAsia="en-GB"/>
              </w:rPr>
              <w:t xml:space="preserve"> </w:t>
            </w:r>
            <w:r w:rsidRPr="00835655">
              <w:rPr>
                <w:rFonts w:ascii="Times New Roman" w:hAnsi="Times New Roman"/>
                <w:bCs/>
                <w:iCs/>
                <w:sz w:val="18"/>
                <w:szCs w:val="18"/>
                <w:lang w:val="en-GB" w:eastAsia="en-GB"/>
              </w:rPr>
              <w:t>of Phase I, once substantial investment in non-clinical and clinical research has occurred</w:t>
            </w:r>
            <w:r w:rsidR="00357FFA">
              <w:rPr>
                <w:rFonts w:ascii="Times New Roman" w:hAnsi="Times New Roman"/>
                <w:bCs/>
                <w:iCs/>
                <w:sz w:val="18"/>
                <w:szCs w:val="18"/>
                <w:lang w:val="en-GB" w:eastAsia="en-GB"/>
              </w:rPr>
              <w:t xml:space="preserve"> </w:t>
            </w:r>
            <w:sdt>
              <w:sdtPr>
                <w:rPr>
                  <w:rFonts w:ascii="Times New Roman" w:hAnsi="Times New Roman"/>
                  <w:bCs/>
                  <w:iCs/>
                  <w:sz w:val="18"/>
                  <w:szCs w:val="18"/>
                  <w:lang w:val="en-GB" w:eastAsia="en-GB"/>
                </w:rPr>
                <w:id w:val="-1563250383"/>
                <w:citation/>
              </w:sdtPr>
              <w:sdtEndPr/>
              <w:sdtContent>
                <w:r w:rsidR="00D96530" w:rsidRPr="00172DEE">
                  <w:rPr>
                    <w:rFonts w:ascii="Times New Roman" w:hAnsi="Times New Roman"/>
                    <w:bCs/>
                    <w:iCs/>
                    <w:sz w:val="18"/>
                    <w:szCs w:val="18"/>
                    <w:lang w:val="en-GB" w:eastAsia="en-GB"/>
                  </w:rPr>
                  <w:fldChar w:fldCharType="begin"/>
                </w:r>
                <w:r w:rsidR="00D96530" w:rsidRPr="001871BB">
                  <w:rPr>
                    <w:rFonts w:ascii="Times New Roman" w:hAnsi="Times New Roman"/>
                    <w:bCs/>
                    <w:iCs/>
                    <w:sz w:val="18"/>
                    <w:szCs w:val="18"/>
                    <w:lang w:val="en-GB" w:eastAsia="en-GB"/>
                  </w:rPr>
                  <w:instrText xml:space="preserve"> CITATION Hai14 \l 2057 </w:instrText>
                </w:r>
                <w:r w:rsidR="00D96530" w:rsidRPr="00172DEE">
                  <w:rPr>
                    <w:rFonts w:ascii="Times New Roman" w:hAnsi="Times New Roman"/>
                    <w:bCs/>
                    <w:iCs/>
                    <w:sz w:val="18"/>
                    <w:szCs w:val="18"/>
                    <w:lang w:val="en-GB" w:eastAsia="en-GB"/>
                  </w:rPr>
                  <w:fldChar w:fldCharType="separate"/>
                </w:r>
                <w:r w:rsidR="002D6947" w:rsidRPr="002D6947">
                  <w:rPr>
                    <w:rFonts w:ascii="Times New Roman" w:hAnsi="Times New Roman"/>
                    <w:noProof/>
                    <w:sz w:val="18"/>
                    <w:szCs w:val="18"/>
                    <w:lang w:val="en-GB" w:eastAsia="en-GB"/>
                  </w:rPr>
                  <w:t>[52]</w:t>
                </w:r>
                <w:r w:rsidR="00D96530" w:rsidRPr="00172DEE">
                  <w:rPr>
                    <w:rFonts w:ascii="Times New Roman" w:hAnsi="Times New Roman"/>
                    <w:bCs/>
                    <w:iCs/>
                    <w:sz w:val="18"/>
                    <w:szCs w:val="18"/>
                    <w:lang w:val="en-GB" w:eastAsia="en-GB"/>
                  </w:rPr>
                  <w:fldChar w:fldCharType="end"/>
                </w:r>
              </w:sdtContent>
            </w:sdt>
            <w:r w:rsidR="002D393B">
              <w:rPr>
                <w:rFonts w:ascii="Times New Roman" w:hAnsi="Times New Roman"/>
                <w:bCs/>
                <w:iCs/>
                <w:sz w:val="18"/>
                <w:szCs w:val="18"/>
                <w:lang w:val="en-GB" w:eastAsia="en-GB"/>
              </w:rPr>
              <w:t xml:space="preserve">. </w:t>
            </w:r>
          </w:p>
          <w:p w14:paraId="58B6FD2D" w14:textId="77777777" w:rsidR="002D393B" w:rsidRPr="00835655" w:rsidRDefault="002D393B" w:rsidP="002D393B">
            <w:pPr>
              <w:pStyle w:val="Paragraphedeliste"/>
              <w:spacing w:after="0"/>
              <w:ind w:left="360"/>
              <w:rPr>
                <w:rFonts w:ascii="Times New Roman" w:hAnsi="Times New Roman"/>
                <w:b/>
                <w:bCs/>
                <w:iCs/>
                <w:sz w:val="18"/>
                <w:szCs w:val="18"/>
              </w:rPr>
            </w:pPr>
          </w:p>
          <w:p w14:paraId="7F1B91BE" w14:textId="77777777" w:rsidR="002D393B" w:rsidRDefault="002D393B" w:rsidP="002D393B">
            <w:pPr>
              <w:pStyle w:val="Paragraphedeliste"/>
              <w:numPr>
                <w:ilvl w:val="0"/>
                <w:numId w:val="16"/>
              </w:numPr>
              <w:spacing w:after="0"/>
              <w:rPr>
                <w:rFonts w:ascii="Times New Roman" w:hAnsi="Times New Roman"/>
                <w:b/>
                <w:bCs/>
                <w:iCs/>
                <w:sz w:val="18"/>
                <w:szCs w:val="18"/>
              </w:rPr>
            </w:pPr>
            <w:r w:rsidRPr="002D393B">
              <w:rPr>
                <w:rFonts w:ascii="Times New Roman" w:hAnsi="Times New Roman"/>
                <w:b/>
                <w:bCs/>
                <w:iCs/>
                <w:sz w:val="18"/>
                <w:szCs w:val="18"/>
              </w:rPr>
              <w:t xml:space="preserve">Clinical </w:t>
            </w:r>
            <w:r w:rsidR="00210564">
              <w:rPr>
                <w:rFonts w:ascii="Times New Roman" w:hAnsi="Times New Roman"/>
                <w:b/>
                <w:bCs/>
                <w:iCs/>
                <w:sz w:val="18"/>
                <w:szCs w:val="18"/>
              </w:rPr>
              <w:t>characteristics</w:t>
            </w:r>
          </w:p>
          <w:p w14:paraId="5FB32387" w14:textId="77777777" w:rsidR="002D393B" w:rsidRPr="002D393B" w:rsidRDefault="00E57576" w:rsidP="002D393B">
            <w:pPr>
              <w:pStyle w:val="Paragraphedeliste"/>
              <w:numPr>
                <w:ilvl w:val="1"/>
                <w:numId w:val="16"/>
              </w:numPr>
              <w:spacing w:after="0"/>
              <w:rPr>
                <w:rFonts w:ascii="Times New Roman" w:hAnsi="Times New Roman"/>
                <w:b/>
                <w:bCs/>
                <w:iCs/>
                <w:sz w:val="18"/>
                <w:szCs w:val="18"/>
              </w:rPr>
            </w:pPr>
            <w:r w:rsidRPr="002D393B">
              <w:rPr>
                <w:rFonts w:ascii="Times New Roman" w:hAnsi="Times New Roman"/>
                <w:bCs/>
                <w:iCs/>
                <w:sz w:val="18"/>
                <w:szCs w:val="18"/>
              </w:rPr>
              <w:t>Poor correlation of clinical pathology readouts with no reliable or sensitive biomarkers</w:t>
            </w:r>
            <w:r w:rsidR="008E3AFE" w:rsidRPr="002D393B">
              <w:rPr>
                <w:rFonts w:ascii="Times New Roman" w:hAnsi="Times New Roman"/>
                <w:bCs/>
                <w:iCs/>
                <w:sz w:val="18"/>
                <w:szCs w:val="18"/>
              </w:rPr>
              <w:t xml:space="preserve"> </w:t>
            </w:r>
            <w:r w:rsidR="0035138D" w:rsidRPr="002D393B">
              <w:rPr>
                <w:rFonts w:ascii="Times New Roman" w:hAnsi="Times New Roman"/>
                <w:bCs/>
                <w:iCs/>
                <w:sz w:val="18"/>
                <w:szCs w:val="18"/>
              </w:rPr>
              <w:t>available</w:t>
            </w:r>
            <w:r w:rsidRPr="002D393B">
              <w:rPr>
                <w:rFonts w:ascii="Times New Roman" w:hAnsi="Times New Roman"/>
                <w:bCs/>
                <w:iCs/>
                <w:sz w:val="18"/>
                <w:szCs w:val="18"/>
              </w:rPr>
              <w:t xml:space="preserve">. </w:t>
            </w:r>
          </w:p>
          <w:p w14:paraId="7666D578" w14:textId="77777777" w:rsidR="002D393B" w:rsidRPr="002D393B" w:rsidRDefault="002D393B" w:rsidP="002D393B">
            <w:pPr>
              <w:pStyle w:val="Paragraphedeliste"/>
              <w:spacing w:after="0"/>
              <w:ind w:left="1080"/>
              <w:rPr>
                <w:rFonts w:ascii="Times New Roman" w:hAnsi="Times New Roman"/>
                <w:b/>
                <w:bCs/>
                <w:iCs/>
                <w:sz w:val="18"/>
                <w:szCs w:val="18"/>
              </w:rPr>
            </w:pPr>
          </w:p>
          <w:p w14:paraId="62185E38" w14:textId="77777777" w:rsidR="002D393B" w:rsidRPr="002D393B" w:rsidRDefault="00E57576" w:rsidP="002D393B">
            <w:pPr>
              <w:pStyle w:val="Paragraphedeliste"/>
              <w:numPr>
                <w:ilvl w:val="1"/>
                <w:numId w:val="16"/>
              </w:numPr>
              <w:spacing w:after="0"/>
              <w:rPr>
                <w:rFonts w:ascii="Times New Roman" w:hAnsi="Times New Roman"/>
                <w:b/>
                <w:bCs/>
                <w:iCs/>
                <w:sz w:val="18"/>
                <w:szCs w:val="18"/>
              </w:rPr>
            </w:pPr>
            <w:r w:rsidRPr="002D393B">
              <w:rPr>
                <w:rFonts w:ascii="Times New Roman" w:hAnsi="Times New Roman"/>
                <w:bCs/>
                <w:iCs/>
                <w:sz w:val="18"/>
                <w:szCs w:val="18"/>
                <w:lang w:val="en-GB"/>
              </w:rPr>
              <w:t>Pathologies frequently manifest differently and maybe related to chemical space of the drug -</w:t>
            </w:r>
            <w:r w:rsidR="00B66392" w:rsidRPr="002D393B">
              <w:rPr>
                <w:rFonts w:ascii="Times New Roman" w:hAnsi="Times New Roman"/>
                <w:bCs/>
                <w:iCs/>
                <w:sz w:val="18"/>
                <w:szCs w:val="18"/>
                <w:lang w:val="en-GB"/>
              </w:rPr>
              <w:t xml:space="preserve"> </w:t>
            </w:r>
            <w:r w:rsidRPr="002D393B">
              <w:rPr>
                <w:rFonts w:ascii="Times New Roman" w:hAnsi="Times New Roman"/>
                <w:bCs/>
                <w:iCs/>
                <w:sz w:val="18"/>
                <w:szCs w:val="18"/>
                <w:lang w:val="en-GB"/>
              </w:rPr>
              <w:t>include intrahepatic cholestasis</w:t>
            </w:r>
            <w:r w:rsidRPr="002D393B">
              <w:rPr>
                <w:rFonts w:ascii="Times New Roman" w:hAnsi="Times New Roman"/>
                <w:b/>
                <w:bCs/>
                <w:iCs/>
                <w:sz w:val="18"/>
                <w:szCs w:val="18"/>
                <w:lang w:val="en-GB"/>
              </w:rPr>
              <w:t xml:space="preserve">, </w:t>
            </w:r>
            <w:r w:rsidRPr="002D393B">
              <w:rPr>
                <w:rFonts w:ascii="Times New Roman" w:hAnsi="Times New Roman"/>
                <w:bCs/>
                <w:iCs/>
                <w:sz w:val="18"/>
                <w:szCs w:val="18"/>
                <w:lang w:val="en-GB"/>
              </w:rPr>
              <w:t xml:space="preserve">bile duct hyperplasia; implications of neoplasia/fibrosis </w:t>
            </w:r>
            <w:sdt>
              <w:sdtPr>
                <w:rPr>
                  <w:rFonts w:ascii="Times New Roman" w:hAnsi="Times New Roman"/>
                  <w:bCs/>
                  <w:iCs/>
                  <w:sz w:val="18"/>
                  <w:szCs w:val="18"/>
                  <w:lang w:val="en-GB"/>
                </w:rPr>
                <w:id w:val="-1481224101"/>
                <w:citation/>
              </w:sdtPr>
              <w:sdtEndPr/>
              <w:sdtContent>
                <w:r w:rsidR="007A7FB5">
                  <w:rPr>
                    <w:rFonts w:ascii="Times New Roman" w:hAnsi="Times New Roman"/>
                    <w:bCs/>
                    <w:iCs/>
                    <w:sz w:val="18"/>
                    <w:szCs w:val="18"/>
                    <w:lang w:val="en-GB"/>
                  </w:rPr>
                  <w:fldChar w:fldCharType="begin"/>
                </w:r>
                <w:r w:rsidR="007A7FB5">
                  <w:rPr>
                    <w:rFonts w:ascii="Times New Roman" w:hAnsi="Times New Roman"/>
                    <w:bCs/>
                    <w:iCs/>
                    <w:sz w:val="18"/>
                    <w:szCs w:val="18"/>
                    <w:lang w:val="en-GB"/>
                  </w:rPr>
                  <w:instrText xml:space="preserve"> CITATION Hai14 \l 2057 </w:instrText>
                </w:r>
                <w:r w:rsidR="007A7FB5">
                  <w:rPr>
                    <w:rFonts w:ascii="Times New Roman" w:hAnsi="Times New Roman"/>
                    <w:bCs/>
                    <w:iCs/>
                    <w:sz w:val="18"/>
                    <w:szCs w:val="18"/>
                    <w:lang w:val="en-GB"/>
                  </w:rPr>
                  <w:fldChar w:fldCharType="separate"/>
                </w:r>
                <w:r w:rsidR="002D6947" w:rsidRPr="002D6947">
                  <w:rPr>
                    <w:rFonts w:ascii="Times New Roman" w:hAnsi="Times New Roman"/>
                    <w:noProof/>
                    <w:sz w:val="18"/>
                    <w:szCs w:val="18"/>
                    <w:lang w:val="en-GB"/>
                  </w:rPr>
                  <w:t>[52]</w:t>
                </w:r>
                <w:r w:rsidR="007A7FB5">
                  <w:rPr>
                    <w:rFonts w:ascii="Times New Roman" w:hAnsi="Times New Roman"/>
                    <w:bCs/>
                    <w:iCs/>
                    <w:sz w:val="18"/>
                    <w:szCs w:val="18"/>
                    <w:lang w:val="en-GB"/>
                  </w:rPr>
                  <w:fldChar w:fldCharType="end"/>
                </w:r>
              </w:sdtContent>
            </w:sdt>
            <w:r w:rsidRPr="002D393B">
              <w:rPr>
                <w:rFonts w:ascii="Times New Roman" w:hAnsi="Times New Roman"/>
                <w:b/>
                <w:bCs/>
                <w:iCs/>
                <w:sz w:val="18"/>
                <w:szCs w:val="18"/>
                <w:lang w:val="en-GB"/>
              </w:rPr>
              <w:t xml:space="preserve">, </w:t>
            </w:r>
            <w:r w:rsidRPr="002D393B">
              <w:rPr>
                <w:rFonts w:ascii="Times New Roman" w:hAnsi="Times New Roman"/>
                <w:bCs/>
                <w:iCs/>
                <w:sz w:val="18"/>
                <w:szCs w:val="18"/>
                <w:lang w:val="en-GB"/>
              </w:rPr>
              <w:t>hyperbilirubinemia</w:t>
            </w:r>
            <w:r w:rsidRPr="002D393B">
              <w:rPr>
                <w:rFonts w:ascii="Times New Roman" w:hAnsi="Times New Roman"/>
                <w:b/>
                <w:bCs/>
                <w:iCs/>
                <w:sz w:val="18"/>
                <w:szCs w:val="18"/>
                <w:lang w:val="en-GB"/>
              </w:rPr>
              <w:t xml:space="preserve">, </w:t>
            </w:r>
            <w:r w:rsidRPr="002D393B">
              <w:rPr>
                <w:rFonts w:ascii="Times New Roman" w:hAnsi="Times New Roman"/>
                <w:bCs/>
                <w:iCs/>
                <w:sz w:val="18"/>
                <w:szCs w:val="18"/>
                <w:lang w:val="en-GB"/>
              </w:rPr>
              <w:t>inflammation/ inflammatory infiltrate</w:t>
            </w:r>
            <w:r w:rsidRPr="002D393B">
              <w:rPr>
                <w:rFonts w:ascii="Times New Roman" w:hAnsi="Times New Roman"/>
                <w:sz w:val="18"/>
                <w:szCs w:val="18"/>
                <w:lang w:val="en-GB"/>
              </w:rPr>
              <w:t xml:space="preserve"> </w:t>
            </w:r>
            <w:r w:rsidRPr="002D393B">
              <w:rPr>
                <w:rFonts w:ascii="Times New Roman" w:hAnsi="Times New Roman"/>
                <w:bCs/>
                <w:iCs/>
                <w:sz w:val="18"/>
                <w:szCs w:val="18"/>
                <w:lang w:val="en-GB"/>
              </w:rPr>
              <w:t>in portal tracts</w:t>
            </w:r>
            <w:r w:rsidRPr="002D393B">
              <w:rPr>
                <w:rFonts w:ascii="Times New Roman" w:hAnsi="Times New Roman"/>
                <w:b/>
                <w:bCs/>
                <w:iCs/>
                <w:sz w:val="18"/>
                <w:szCs w:val="18"/>
                <w:lang w:val="en-GB"/>
              </w:rPr>
              <w:t xml:space="preserve">, </w:t>
            </w:r>
            <w:r w:rsidRPr="002D393B">
              <w:rPr>
                <w:rFonts w:ascii="Times New Roman" w:hAnsi="Times New Roman"/>
                <w:bCs/>
                <w:iCs/>
                <w:sz w:val="18"/>
                <w:szCs w:val="18"/>
                <w:lang w:val="en-GB"/>
              </w:rPr>
              <w:t>bile duct necrosis</w:t>
            </w:r>
            <w:r w:rsidRPr="002D393B">
              <w:rPr>
                <w:rFonts w:ascii="Times New Roman" w:hAnsi="Times New Roman"/>
                <w:b/>
                <w:bCs/>
                <w:iCs/>
                <w:sz w:val="18"/>
                <w:szCs w:val="18"/>
                <w:lang w:val="en-GB"/>
              </w:rPr>
              <w:t xml:space="preserve">, </w:t>
            </w:r>
            <w:r w:rsidRPr="002D393B">
              <w:rPr>
                <w:rFonts w:ascii="Times New Roman" w:hAnsi="Times New Roman"/>
                <w:bCs/>
                <w:iCs/>
                <w:sz w:val="18"/>
                <w:szCs w:val="18"/>
                <w:lang w:val="en-GB"/>
              </w:rPr>
              <w:t>bile duct obstruction.</w:t>
            </w:r>
          </w:p>
          <w:p w14:paraId="5BE36D79" w14:textId="77777777" w:rsidR="002D393B" w:rsidRPr="002D393B" w:rsidRDefault="002D393B" w:rsidP="002D393B">
            <w:pPr>
              <w:pStyle w:val="Paragraphedeliste"/>
              <w:numPr>
                <w:ilvl w:val="0"/>
                <w:numId w:val="16"/>
              </w:numPr>
              <w:spacing w:after="0"/>
              <w:rPr>
                <w:rFonts w:ascii="Times New Roman" w:hAnsi="Times New Roman"/>
                <w:b/>
                <w:bCs/>
                <w:iCs/>
                <w:sz w:val="18"/>
                <w:szCs w:val="18"/>
              </w:rPr>
            </w:pPr>
            <w:r w:rsidRPr="002D393B">
              <w:rPr>
                <w:rFonts w:ascii="Times New Roman" w:hAnsi="Times New Roman"/>
                <w:b/>
                <w:sz w:val="18"/>
                <w:szCs w:val="18"/>
              </w:rPr>
              <w:t>Mechanisms</w:t>
            </w:r>
          </w:p>
          <w:p w14:paraId="3EEBA0B6" w14:textId="17028AEC" w:rsidR="00E57576" w:rsidRPr="002D393B" w:rsidRDefault="00E57576" w:rsidP="002D393B">
            <w:pPr>
              <w:pStyle w:val="Paragraphedeliste"/>
              <w:numPr>
                <w:ilvl w:val="1"/>
                <w:numId w:val="16"/>
              </w:numPr>
              <w:spacing w:after="0"/>
              <w:rPr>
                <w:rFonts w:ascii="Times New Roman" w:hAnsi="Times New Roman"/>
                <w:b/>
                <w:bCs/>
                <w:iCs/>
                <w:sz w:val="18"/>
                <w:szCs w:val="18"/>
              </w:rPr>
            </w:pPr>
            <w:r w:rsidRPr="002D393B">
              <w:rPr>
                <w:rFonts w:ascii="Times New Roman" w:hAnsi="Times New Roman"/>
                <w:sz w:val="18"/>
                <w:szCs w:val="18"/>
                <w:lang w:val="en-GB"/>
              </w:rPr>
              <w:t xml:space="preserve">Absence of detection of intrahepatic cholestasis in rodents is </w:t>
            </w:r>
            <w:r w:rsidR="00357FFA" w:rsidRPr="002D393B">
              <w:rPr>
                <w:rFonts w:ascii="Times New Roman" w:hAnsi="Times New Roman"/>
                <w:sz w:val="18"/>
                <w:szCs w:val="18"/>
                <w:lang w:val="en-GB"/>
              </w:rPr>
              <w:t xml:space="preserve">attributed </w:t>
            </w:r>
            <w:r w:rsidRPr="002D393B">
              <w:rPr>
                <w:rFonts w:ascii="Times New Roman" w:hAnsi="Times New Roman"/>
                <w:sz w:val="18"/>
                <w:szCs w:val="18"/>
                <w:lang w:val="en-GB"/>
              </w:rPr>
              <w:t>to differences in the selectivity, specificity</w:t>
            </w:r>
            <w:r w:rsidR="00F95E1F">
              <w:rPr>
                <w:rFonts w:ascii="Times New Roman" w:hAnsi="Times New Roman"/>
                <w:sz w:val="18"/>
                <w:szCs w:val="18"/>
                <w:lang w:val="en-GB"/>
              </w:rPr>
              <w:t xml:space="preserve">, relative </w:t>
            </w:r>
            <w:r w:rsidRPr="002D393B">
              <w:rPr>
                <w:rFonts w:ascii="Times New Roman" w:hAnsi="Times New Roman"/>
                <w:sz w:val="18"/>
                <w:szCs w:val="18"/>
                <w:lang w:val="en-GB"/>
              </w:rPr>
              <w:t>abundance of transporters, and composition of the bile acid pool</w:t>
            </w:r>
            <w:r w:rsidR="001871BB" w:rsidRPr="002D393B">
              <w:rPr>
                <w:rFonts w:ascii="Times New Roman" w:hAnsi="Times New Roman"/>
                <w:sz w:val="18"/>
                <w:szCs w:val="18"/>
                <w:lang w:val="en-GB"/>
              </w:rPr>
              <w:t>.</w:t>
            </w:r>
          </w:p>
          <w:p w14:paraId="70813337" w14:textId="77777777" w:rsidR="002D393B" w:rsidRPr="002D393B" w:rsidRDefault="002D393B" w:rsidP="002D393B">
            <w:pPr>
              <w:pStyle w:val="Paragraphedeliste"/>
              <w:spacing w:after="0"/>
              <w:ind w:left="1080"/>
              <w:rPr>
                <w:rFonts w:ascii="Times New Roman" w:hAnsi="Times New Roman"/>
                <w:b/>
                <w:bCs/>
                <w:iCs/>
                <w:sz w:val="18"/>
                <w:szCs w:val="18"/>
              </w:rPr>
            </w:pPr>
          </w:p>
          <w:p w14:paraId="2796C1AA" w14:textId="77777777" w:rsidR="002D393B" w:rsidRPr="002D393B" w:rsidRDefault="00E57576" w:rsidP="002D393B">
            <w:pPr>
              <w:pStyle w:val="Paragraphedeliste"/>
              <w:numPr>
                <w:ilvl w:val="1"/>
                <w:numId w:val="16"/>
              </w:numPr>
              <w:spacing w:after="0"/>
              <w:rPr>
                <w:rFonts w:ascii="Times New Roman" w:hAnsi="Times New Roman"/>
                <w:b/>
                <w:bCs/>
                <w:iCs/>
                <w:sz w:val="18"/>
                <w:szCs w:val="18"/>
              </w:rPr>
            </w:pPr>
            <w:r w:rsidRPr="00835655">
              <w:rPr>
                <w:rFonts w:ascii="Times New Roman" w:hAnsi="Times New Roman"/>
                <w:bCs/>
                <w:iCs/>
                <w:sz w:val="18"/>
                <w:szCs w:val="18"/>
              </w:rPr>
              <w:t xml:space="preserve">Bile formation and flow measurements in animal species are often highly variable and </w:t>
            </w:r>
            <w:r w:rsidR="00210564">
              <w:rPr>
                <w:rFonts w:ascii="Times New Roman" w:hAnsi="Times New Roman"/>
                <w:bCs/>
                <w:iCs/>
                <w:sz w:val="18"/>
                <w:szCs w:val="18"/>
              </w:rPr>
              <w:t>low</w:t>
            </w:r>
            <w:r w:rsidRPr="00835655">
              <w:rPr>
                <w:rFonts w:ascii="Times New Roman" w:hAnsi="Times New Roman"/>
                <w:bCs/>
                <w:iCs/>
                <w:sz w:val="18"/>
                <w:szCs w:val="18"/>
              </w:rPr>
              <w:t xml:space="preserve"> animal number limits effective use in assessment of risk</w:t>
            </w:r>
            <w:r w:rsidRPr="00835655">
              <w:rPr>
                <w:rFonts w:ascii="Times New Roman" w:hAnsi="Times New Roman"/>
                <w:b/>
                <w:bCs/>
                <w:iCs/>
                <w:sz w:val="18"/>
                <w:szCs w:val="18"/>
              </w:rPr>
              <w:t>.</w:t>
            </w:r>
          </w:p>
          <w:p w14:paraId="5D9053D3" w14:textId="77777777" w:rsidR="002D393B" w:rsidRPr="00835655" w:rsidRDefault="002D393B" w:rsidP="002D393B">
            <w:pPr>
              <w:pStyle w:val="Paragraphedeliste"/>
              <w:spacing w:after="0"/>
              <w:ind w:left="1080"/>
              <w:rPr>
                <w:rFonts w:ascii="Times New Roman" w:hAnsi="Times New Roman"/>
                <w:b/>
                <w:bCs/>
                <w:iCs/>
                <w:sz w:val="18"/>
                <w:szCs w:val="18"/>
              </w:rPr>
            </w:pPr>
          </w:p>
          <w:p w14:paraId="04ECA0EB" w14:textId="77777777" w:rsidR="00E57576" w:rsidRPr="002D393B" w:rsidRDefault="00E57576" w:rsidP="002D393B">
            <w:pPr>
              <w:pStyle w:val="Paragraphedeliste"/>
              <w:numPr>
                <w:ilvl w:val="1"/>
                <w:numId w:val="16"/>
              </w:numPr>
              <w:spacing w:after="0"/>
              <w:rPr>
                <w:rFonts w:ascii="Times New Roman" w:hAnsi="Times New Roman"/>
                <w:b/>
                <w:bCs/>
                <w:iCs/>
                <w:sz w:val="18"/>
                <w:szCs w:val="18"/>
              </w:rPr>
            </w:pPr>
            <w:r w:rsidRPr="00835655">
              <w:rPr>
                <w:rFonts w:ascii="Times New Roman" w:hAnsi="Times New Roman"/>
                <w:bCs/>
                <w:iCs/>
                <w:sz w:val="18"/>
                <w:szCs w:val="18"/>
              </w:rPr>
              <w:t>Mechanisms of hepatobiliary toxicants are likely multifactorial in nature, the complexity of which do not permit a single non-clinical approach to assess risk (intra- and extrahepatic).</w:t>
            </w:r>
          </w:p>
          <w:p w14:paraId="04E613FE" w14:textId="77777777" w:rsidR="002D393B" w:rsidRPr="00835655" w:rsidRDefault="002D393B" w:rsidP="002D393B">
            <w:pPr>
              <w:pStyle w:val="Paragraphedeliste"/>
              <w:spacing w:after="0"/>
              <w:ind w:left="1080"/>
              <w:rPr>
                <w:rFonts w:ascii="Times New Roman" w:hAnsi="Times New Roman"/>
                <w:b/>
                <w:bCs/>
                <w:iCs/>
                <w:sz w:val="18"/>
                <w:szCs w:val="18"/>
              </w:rPr>
            </w:pPr>
          </w:p>
          <w:p w14:paraId="0999A8BB" w14:textId="5F00D340" w:rsidR="00E57576" w:rsidRPr="00835655" w:rsidRDefault="00E57576" w:rsidP="002D393B">
            <w:pPr>
              <w:pStyle w:val="Paragraphedeliste"/>
              <w:numPr>
                <w:ilvl w:val="1"/>
                <w:numId w:val="16"/>
              </w:numPr>
              <w:spacing w:after="0"/>
              <w:rPr>
                <w:rFonts w:ascii="Times New Roman" w:hAnsi="Times New Roman"/>
                <w:sz w:val="18"/>
                <w:szCs w:val="18"/>
              </w:rPr>
            </w:pPr>
            <w:r w:rsidRPr="00835655">
              <w:rPr>
                <w:rFonts w:ascii="Times New Roman" w:hAnsi="Times New Roman"/>
                <w:bCs/>
                <w:iCs/>
                <w:sz w:val="18"/>
                <w:szCs w:val="18"/>
              </w:rPr>
              <w:t xml:space="preserve">The role of transporters is highly implicated in cholestasis. Isolated membrane </w:t>
            </w:r>
            <w:r w:rsidR="0035138D" w:rsidRPr="00835655">
              <w:rPr>
                <w:rFonts w:ascii="Times New Roman" w:hAnsi="Times New Roman"/>
                <w:bCs/>
                <w:iCs/>
                <w:sz w:val="18"/>
                <w:szCs w:val="18"/>
              </w:rPr>
              <w:t xml:space="preserve">or insect cell </w:t>
            </w:r>
            <w:r w:rsidRPr="00835655">
              <w:rPr>
                <w:rFonts w:ascii="Times New Roman" w:hAnsi="Times New Roman"/>
                <w:bCs/>
                <w:iCs/>
                <w:sz w:val="18"/>
                <w:szCs w:val="18"/>
              </w:rPr>
              <w:t xml:space="preserve">preparations and hepatocyte cultures </w:t>
            </w:r>
            <w:r w:rsidR="00357FFA">
              <w:rPr>
                <w:rFonts w:ascii="Times New Roman" w:hAnsi="Times New Roman"/>
                <w:bCs/>
                <w:iCs/>
                <w:sz w:val="18"/>
                <w:szCs w:val="18"/>
              </w:rPr>
              <w:t xml:space="preserve">are typically </w:t>
            </w:r>
            <w:r w:rsidRPr="00357FFA">
              <w:rPr>
                <w:rFonts w:ascii="Times New Roman" w:hAnsi="Times New Roman"/>
                <w:bCs/>
                <w:i/>
                <w:iCs/>
                <w:sz w:val="18"/>
                <w:szCs w:val="18"/>
              </w:rPr>
              <w:t>in vitro</w:t>
            </w:r>
            <w:r w:rsidRPr="00835655">
              <w:rPr>
                <w:rFonts w:ascii="Times New Roman" w:hAnsi="Times New Roman"/>
                <w:bCs/>
                <w:iCs/>
                <w:sz w:val="18"/>
                <w:szCs w:val="18"/>
              </w:rPr>
              <w:t xml:space="preserve"> test systems </w:t>
            </w:r>
            <w:r w:rsidR="00B456F8">
              <w:rPr>
                <w:rFonts w:ascii="Times New Roman" w:hAnsi="Times New Roman"/>
                <w:bCs/>
                <w:iCs/>
                <w:sz w:val="18"/>
                <w:szCs w:val="18"/>
              </w:rPr>
              <w:t>employed</w:t>
            </w:r>
            <w:r w:rsidR="00B456F8" w:rsidRPr="00835655" w:rsidDel="00B456F8">
              <w:rPr>
                <w:rFonts w:ascii="Times New Roman" w:hAnsi="Times New Roman"/>
                <w:bCs/>
                <w:iCs/>
                <w:sz w:val="18"/>
                <w:szCs w:val="18"/>
              </w:rPr>
              <w:t xml:space="preserve"> </w:t>
            </w:r>
            <w:r w:rsidRPr="00835655">
              <w:rPr>
                <w:rFonts w:ascii="Times New Roman" w:hAnsi="Times New Roman"/>
                <w:bCs/>
                <w:iCs/>
                <w:sz w:val="18"/>
                <w:szCs w:val="18"/>
              </w:rPr>
              <w:t xml:space="preserve">for use in </w:t>
            </w:r>
            <w:r w:rsidR="00210564">
              <w:rPr>
                <w:rFonts w:ascii="Times New Roman" w:hAnsi="Times New Roman"/>
                <w:bCs/>
                <w:iCs/>
                <w:sz w:val="18"/>
                <w:szCs w:val="18"/>
              </w:rPr>
              <w:t>d</w:t>
            </w:r>
            <w:r w:rsidRPr="00835655">
              <w:rPr>
                <w:rFonts w:ascii="Times New Roman" w:hAnsi="Times New Roman"/>
                <w:bCs/>
                <w:iCs/>
                <w:sz w:val="18"/>
                <w:szCs w:val="18"/>
              </w:rPr>
              <w:t xml:space="preserve">rug </w:t>
            </w:r>
            <w:r w:rsidR="00210564">
              <w:rPr>
                <w:rFonts w:ascii="Times New Roman" w:hAnsi="Times New Roman"/>
                <w:bCs/>
                <w:iCs/>
                <w:sz w:val="18"/>
                <w:szCs w:val="18"/>
              </w:rPr>
              <w:t>d</w:t>
            </w:r>
            <w:r w:rsidRPr="00835655">
              <w:rPr>
                <w:rFonts w:ascii="Times New Roman" w:hAnsi="Times New Roman"/>
                <w:bCs/>
                <w:iCs/>
                <w:sz w:val="18"/>
                <w:szCs w:val="18"/>
              </w:rPr>
              <w:t xml:space="preserve">iscovery. </w:t>
            </w:r>
          </w:p>
          <w:p w14:paraId="66EABCE9" w14:textId="77777777" w:rsidR="00E57576" w:rsidRPr="009034B9" w:rsidRDefault="00E57576" w:rsidP="0054714F">
            <w:pPr>
              <w:pStyle w:val="Paragraphedeliste"/>
              <w:spacing w:after="0" w:line="240" w:lineRule="auto"/>
              <w:ind w:left="0"/>
              <w:rPr>
                <w:rFonts w:ascii="Times New Roman" w:hAnsi="Times New Roman"/>
                <w:b/>
                <w:bCs/>
                <w:i/>
                <w:iCs/>
                <w:sz w:val="18"/>
                <w:szCs w:val="18"/>
              </w:rPr>
            </w:pPr>
          </w:p>
          <w:p w14:paraId="565E3293" w14:textId="77777777" w:rsidR="00E57576" w:rsidRDefault="00E57576" w:rsidP="0054714F">
            <w:pPr>
              <w:pStyle w:val="Paragraphedeliste"/>
              <w:spacing w:after="0" w:line="240" w:lineRule="auto"/>
              <w:ind w:left="0"/>
              <w:rPr>
                <w:rFonts w:ascii="Times New Roman" w:hAnsi="Times New Roman"/>
                <w:b/>
                <w:bCs/>
                <w:i/>
                <w:iCs/>
                <w:sz w:val="18"/>
                <w:szCs w:val="18"/>
              </w:rPr>
            </w:pPr>
            <w:r w:rsidRPr="009034B9">
              <w:rPr>
                <w:rFonts w:ascii="Times New Roman" w:hAnsi="Times New Roman"/>
                <w:b/>
                <w:bCs/>
                <w:i/>
                <w:iCs/>
                <w:sz w:val="18"/>
                <w:szCs w:val="18"/>
              </w:rPr>
              <w:t xml:space="preserve">Limitations &amp; gaps in ‘knowledge’ of in vitro test systems </w:t>
            </w:r>
          </w:p>
          <w:p w14:paraId="76C71BDF" w14:textId="77777777" w:rsidR="00081433" w:rsidRPr="009034B9" w:rsidRDefault="00081433" w:rsidP="0054714F">
            <w:pPr>
              <w:pStyle w:val="Paragraphedeliste"/>
              <w:spacing w:after="0" w:line="240" w:lineRule="auto"/>
              <w:ind w:left="0"/>
              <w:rPr>
                <w:rFonts w:ascii="Times New Roman" w:hAnsi="Times New Roman"/>
                <w:b/>
                <w:bCs/>
                <w:i/>
                <w:iCs/>
                <w:sz w:val="18"/>
                <w:szCs w:val="18"/>
              </w:rPr>
            </w:pPr>
          </w:p>
          <w:p w14:paraId="4F853E7C" w14:textId="6924A81C" w:rsidR="00E57576" w:rsidRDefault="00E57576" w:rsidP="00483542">
            <w:pPr>
              <w:pStyle w:val="Paragraphedeliste"/>
              <w:numPr>
                <w:ilvl w:val="0"/>
                <w:numId w:val="16"/>
              </w:numPr>
              <w:spacing w:after="0"/>
              <w:rPr>
                <w:rFonts w:ascii="Times New Roman" w:hAnsi="Times New Roman"/>
                <w:sz w:val="18"/>
                <w:szCs w:val="18"/>
              </w:rPr>
            </w:pPr>
            <w:r w:rsidRPr="009034B9">
              <w:rPr>
                <w:rFonts w:ascii="Times New Roman" w:hAnsi="Times New Roman"/>
                <w:sz w:val="18"/>
                <w:szCs w:val="18"/>
              </w:rPr>
              <w:t xml:space="preserve">No test system(s) currently exists for the assessment of biliary </w:t>
            </w:r>
            <w:r w:rsidR="00B456F8" w:rsidRPr="009034B9">
              <w:rPr>
                <w:rFonts w:ascii="Times New Roman" w:hAnsi="Times New Roman"/>
                <w:sz w:val="18"/>
                <w:szCs w:val="18"/>
              </w:rPr>
              <w:t>toxicit</w:t>
            </w:r>
            <w:r w:rsidR="00B456F8">
              <w:rPr>
                <w:rFonts w:ascii="Times New Roman" w:hAnsi="Times New Roman"/>
                <w:sz w:val="18"/>
                <w:szCs w:val="18"/>
              </w:rPr>
              <w:t>ies</w:t>
            </w:r>
          </w:p>
          <w:p w14:paraId="45BAFA48" w14:textId="77777777" w:rsidR="002D393B" w:rsidRPr="009034B9" w:rsidRDefault="002D393B" w:rsidP="002D393B">
            <w:pPr>
              <w:pStyle w:val="Paragraphedeliste"/>
              <w:spacing w:after="0"/>
              <w:ind w:left="360"/>
              <w:rPr>
                <w:rFonts w:ascii="Times New Roman" w:hAnsi="Times New Roman"/>
                <w:sz w:val="18"/>
                <w:szCs w:val="18"/>
              </w:rPr>
            </w:pPr>
          </w:p>
          <w:p w14:paraId="312070D4" w14:textId="7065EB46" w:rsidR="00446A1A" w:rsidRDefault="00E57576" w:rsidP="002D393B">
            <w:pPr>
              <w:pStyle w:val="Paragraphedeliste"/>
              <w:numPr>
                <w:ilvl w:val="0"/>
                <w:numId w:val="16"/>
              </w:numPr>
              <w:spacing w:after="0"/>
              <w:rPr>
                <w:rFonts w:ascii="Times New Roman" w:hAnsi="Times New Roman"/>
                <w:sz w:val="18"/>
                <w:szCs w:val="18"/>
              </w:rPr>
            </w:pPr>
            <w:r w:rsidRPr="009034B9">
              <w:rPr>
                <w:rFonts w:ascii="Times New Roman" w:hAnsi="Times New Roman"/>
                <w:sz w:val="18"/>
                <w:szCs w:val="18"/>
              </w:rPr>
              <w:t xml:space="preserve">Isolated </w:t>
            </w:r>
            <w:r w:rsidR="00B84985">
              <w:rPr>
                <w:rFonts w:ascii="Times New Roman" w:hAnsi="Times New Roman"/>
                <w:sz w:val="18"/>
                <w:szCs w:val="18"/>
              </w:rPr>
              <w:t xml:space="preserve">membrane and cell-based </w:t>
            </w:r>
            <w:r w:rsidRPr="009034B9">
              <w:rPr>
                <w:rFonts w:ascii="Times New Roman" w:hAnsi="Times New Roman"/>
                <w:sz w:val="18"/>
                <w:szCs w:val="18"/>
              </w:rPr>
              <w:t xml:space="preserve">transporter assays </w:t>
            </w:r>
            <w:r w:rsidR="00B456F8">
              <w:rPr>
                <w:rFonts w:ascii="Times New Roman" w:hAnsi="Times New Roman"/>
                <w:sz w:val="18"/>
                <w:szCs w:val="18"/>
              </w:rPr>
              <w:t>permit the study of</w:t>
            </w:r>
            <w:r w:rsidRPr="009034B9">
              <w:rPr>
                <w:rFonts w:ascii="Times New Roman" w:hAnsi="Times New Roman"/>
                <w:sz w:val="18"/>
                <w:szCs w:val="18"/>
              </w:rPr>
              <w:t xml:space="preserve"> drug inhibition on </w:t>
            </w:r>
            <w:r w:rsidR="00B456F8">
              <w:rPr>
                <w:rFonts w:ascii="Times New Roman" w:hAnsi="Times New Roman"/>
                <w:sz w:val="18"/>
                <w:szCs w:val="18"/>
              </w:rPr>
              <w:t xml:space="preserve">transporter function, but </w:t>
            </w:r>
            <w:r w:rsidR="00446A1A">
              <w:rPr>
                <w:rFonts w:ascii="Times New Roman" w:hAnsi="Times New Roman"/>
                <w:sz w:val="18"/>
                <w:szCs w:val="18"/>
              </w:rPr>
              <w:t>can differ in readout of drug liabilities;</w:t>
            </w:r>
            <w:r w:rsidR="00561CA2">
              <w:rPr>
                <w:rFonts w:ascii="Times New Roman" w:hAnsi="Times New Roman"/>
                <w:sz w:val="18"/>
                <w:szCs w:val="18"/>
              </w:rPr>
              <w:t xml:space="preserve"> Vesicles preparations do not account for metabolites as inhibitors of transporter function, impact on gene regulation or up/down regulation and integration of transporters to the apical and basolateral cell membranes.</w:t>
            </w:r>
          </w:p>
          <w:p w14:paraId="4495323B" w14:textId="77777777" w:rsidR="00446A1A" w:rsidRPr="00E250EF" w:rsidRDefault="00446A1A" w:rsidP="00E250EF">
            <w:pPr>
              <w:pStyle w:val="Paragraphedeliste"/>
              <w:rPr>
                <w:rFonts w:ascii="Times New Roman" w:hAnsi="Times New Roman"/>
                <w:sz w:val="18"/>
                <w:szCs w:val="18"/>
              </w:rPr>
            </w:pPr>
          </w:p>
          <w:p w14:paraId="2AB4EAA2" w14:textId="5D6FDFF5" w:rsidR="0025739F" w:rsidRDefault="0067417B" w:rsidP="002D393B">
            <w:pPr>
              <w:pStyle w:val="Paragraphedeliste"/>
              <w:numPr>
                <w:ilvl w:val="0"/>
                <w:numId w:val="16"/>
              </w:numPr>
              <w:spacing w:after="0"/>
              <w:rPr>
                <w:rFonts w:ascii="Times New Roman" w:hAnsi="Times New Roman"/>
                <w:sz w:val="18"/>
                <w:szCs w:val="18"/>
              </w:rPr>
            </w:pPr>
            <w:r>
              <w:rPr>
                <w:rFonts w:ascii="Times New Roman" w:hAnsi="Times New Roman"/>
                <w:sz w:val="18"/>
                <w:szCs w:val="18"/>
              </w:rPr>
              <w:t xml:space="preserve">Inhibition of </w:t>
            </w:r>
            <w:r w:rsidR="00E57576" w:rsidRPr="009034B9">
              <w:rPr>
                <w:rFonts w:ascii="Times New Roman" w:hAnsi="Times New Roman"/>
                <w:sz w:val="18"/>
                <w:szCs w:val="18"/>
              </w:rPr>
              <w:t xml:space="preserve">BSEP </w:t>
            </w:r>
            <w:r>
              <w:rPr>
                <w:rFonts w:ascii="Times New Roman" w:hAnsi="Times New Roman"/>
                <w:sz w:val="18"/>
                <w:szCs w:val="18"/>
              </w:rPr>
              <w:t>activity</w:t>
            </w:r>
            <w:r w:rsidRPr="009034B9">
              <w:rPr>
                <w:rFonts w:ascii="Times New Roman" w:hAnsi="Times New Roman"/>
                <w:sz w:val="18"/>
                <w:szCs w:val="18"/>
              </w:rPr>
              <w:t xml:space="preserve"> </w:t>
            </w:r>
            <w:r w:rsidR="0025739F">
              <w:rPr>
                <w:rFonts w:ascii="Times New Roman" w:hAnsi="Times New Roman"/>
                <w:sz w:val="18"/>
                <w:szCs w:val="18"/>
              </w:rPr>
              <w:t xml:space="preserve">may serve to triage large compound series with chemical risk, but false positive and negative results are expected. </w:t>
            </w:r>
            <w:sdt>
              <w:sdtPr>
                <w:rPr>
                  <w:rFonts w:ascii="Times New Roman" w:hAnsi="Times New Roman"/>
                  <w:sz w:val="18"/>
                  <w:szCs w:val="18"/>
                </w:rPr>
                <w:id w:val="-161700863"/>
                <w:citation/>
              </w:sdtPr>
              <w:sdtEndPr/>
              <w:sdtContent>
                <w:r w:rsidR="0025739F" w:rsidRPr="001871BB">
                  <w:rPr>
                    <w:rFonts w:ascii="Times New Roman" w:hAnsi="Times New Roman"/>
                    <w:sz w:val="18"/>
                    <w:szCs w:val="18"/>
                  </w:rPr>
                  <w:fldChar w:fldCharType="begin"/>
                </w:r>
                <w:r w:rsidR="0025739F" w:rsidRPr="001871BB">
                  <w:rPr>
                    <w:rFonts w:ascii="Times New Roman" w:hAnsi="Times New Roman"/>
                    <w:sz w:val="18"/>
                    <w:szCs w:val="18"/>
                    <w:lang w:val="en-GB"/>
                  </w:rPr>
                  <w:instrText xml:space="preserve"> CITATION Bur16 \l 2057 </w:instrText>
                </w:r>
                <w:r w:rsidR="0025739F" w:rsidRPr="001871BB">
                  <w:rPr>
                    <w:rFonts w:ascii="Times New Roman" w:hAnsi="Times New Roman"/>
                    <w:sz w:val="18"/>
                    <w:szCs w:val="18"/>
                  </w:rPr>
                  <w:fldChar w:fldCharType="separate"/>
                </w:r>
                <w:r w:rsidR="002D6947" w:rsidRPr="002D6947">
                  <w:rPr>
                    <w:rFonts w:ascii="Times New Roman" w:hAnsi="Times New Roman"/>
                    <w:noProof/>
                    <w:sz w:val="18"/>
                    <w:szCs w:val="18"/>
                    <w:lang w:val="en-GB"/>
                  </w:rPr>
                  <w:t>[58]</w:t>
                </w:r>
                <w:r w:rsidR="0025739F" w:rsidRPr="001871BB">
                  <w:rPr>
                    <w:rFonts w:ascii="Times New Roman" w:hAnsi="Times New Roman"/>
                    <w:sz w:val="18"/>
                    <w:szCs w:val="18"/>
                  </w:rPr>
                  <w:fldChar w:fldCharType="end"/>
                </w:r>
              </w:sdtContent>
            </w:sdt>
          </w:p>
          <w:p w14:paraId="2CC6B33C" w14:textId="6DAFEB50" w:rsidR="002D393B" w:rsidRPr="00E250EF" w:rsidRDefault="0025739F" w:rsidP="00E250EF">
            <w:pPr>
              <w:rPr>
                <w:sz w:val="18"/>
                <w:szCs w:val="18"/>
              </w:rPr>
            </w:pPr>
            <w:r>
              <w:rPr>
                <w:sz w:val="18"/>
                <w:szCs w:val="18"/>
              </w:rPr>
              <w:t xml:space="preserve">, </w:t>
            </w:r>
          </w:p>
          <w:p w14:paraId="5DD6C469" w14:textId="10E34E68" w:rsidR="00EE5362" w:rsidRPr="00E250EF" w:rsidRDefault="00E57576" w:rsidP="00483542">
            <w:pPr>
              <w:pStyle w:val="Paragraphedeliste"/>
              <w:numPr>
                <w:ilvl w:val="0"/>
                <w:numId w:val="16"/>
              </w:numPr>
              <w:spacing w:after="0"/>
              <w:rPr>
                <w:rFonts w:ascii="Times New Roman" w:hAnsi="Times New Roman"/>
                <w:sz w:val="18"/>
                <w:szCs w:val="18"/>
              </w:rPr>
            </w:pPr>
            <w:r w:rsidRPr="007E737B">
              <w:rPr>
                <w:rFonts w:ascii="Times New Roman" w:hAnsi="Times New Roman"/>
                <w:sz w:val="18"/>
                <w:szCs w:val="18"/>
              </w:rPr>
              <w:t xml:space="preserve">Florigenic analogues of bile acids, such as </w:t>
            </w:r>
            <w:proofErr w:type="spellStart"/>
            <w:r w:rsidRPr="007E737B">
              <w:rPr>
                <w:rFonts w:ascii="Times New Roman" w:hAnsi="Times New Roman"/>
                <w:sz w:val="18"/>
                <w:szCs w:val="18"/>
              </w:rPr>
              <w:t>cholyl</w:t>
            </w:r>
            <w:proofErr w:type="spellEnd"/>
            <w:r w:rsidRPr="007E737B">
              <w:rPr>
                <w:rFonts w:ascii="Times New Roman" w:hAnsi="Times New Roman"/>
                <w:sz w:val="18"/>
                <w:szCs w:val="18"/>
              </w:rPr>
              <w:t xml:space="preserve">-l </w:t>
            </w:r>
            <w:proofErr w:type="spellStart"/>
            <w:r w:rsidRPr="007E737B">
              <w:rPr>
                <w:rFonts w:ascii="Times New Roman" w:hAnsi="Times New Roman"/>
                <w:sz w:val="18"/>
                <w:szCs w:val="18"/>
              </w:rPr>
              <w:t>lysyl</w:t>
            </w:r>
            <w:proofErr w:type="spellEnd"/>
            <w:r w:rsidRPr="007E737B">
              <w:rPr>
                <w:rFonts w:ascii="Times New Roman" w:hAnsi="Times New Roman"/>
                <w:sz w:val="18"/>
                <w:szCs w:val="18"/>
              </w:rPr>
              <w:t xml:space="preserve"> (CLF) and </w:t>
            </w:r>
            <w:proofErr w:type="spellStart"/>
            <w:r w:rsidRPr="007E737B">
              <w:rPr>
                <w:rFonts w:ascii="Times New Roman" w:hAnsi="Times New Roman"/>
                <w:sz w:val="18"/>
                <w:szCs w:val="18"/>
              </w:rPr>
              <w:t>cholyglyacrylamide</w:t>
            </w:r>
            <w:proofErr w:type="spellEnd"/>
            <w:r w:rsidRPr="007E737B">
              <w:rPr>
                <w:rFonts w:ascii="Times New Roman" w:hAnsi="Times New Roman"/>
                <w:sz w:val="18"/>
                <w:szCs w:val="18"/>
              </w:rPr>
              <w:t xml:space="preserve"> (</w:t>
            </w:r>
            <w:proofErr w:type="spellStart"/>
            <w:r w:rsidRPr="007E737B">
              <w:rPr>
                <w:rFonts w:ascii="Times New Roman" w:hAnsi="Times New Roman"/>
                <w:sz w:val="18"/>
                <w:szCs w:val="18"/>
              </w:rPr>
              <w:t>CGamF</w:t>
            </w:r>
            <w:proofErr w:type="spellEnd"/>
            <w:r w:rsidRPr="007E737B">
              <w:rPr>
                <w:rFonts w:ascii="Times New Roman" w:hAnsi="Times New Roman"/>
                <w:sz w:val="18"/>
                <w:szCs w:val="18"/>
              </w:rPr>
              <w:t>), whilst useful for application to multiplex with other HCA formats</w:t>
            </w:r>
            <w:r w:rsidR="00446A1A">
              <w:rPr>
                <w:rFonts w:ascii="Times New Roman" w:hAnsi="Times New Roman"/>
                <w:sz w:val="18"/>
                <w:szCs w:val="18"/>
              </w:rPr>
              <w:t xml:space="preserve"> </w:t>
            </w:r>
            <w:r w:rsidRPr="007E737B">
              <w:rPr>
                <w:rFonts w:ascii="Times New Roman" w:hAnsi="Times New Roman"/>
                <w:sz w:val="18"/>
                <w:szCs w:val="18"/>
              </w:rPr>
              <w:t>have yet to be shown as specific markers of individual membrane transporters</w:t>
            </w:r>
            <w:r w:rsidR="00357FFA">
              <w:rPr>
                <w:rFonts w:ascii="Times New Roman" w:hAnsi="Times New Roman"/>
                <w:i/>
                <w:sz w:val="18"/>
                <w:szCs w:val="18"/>
              </w:rPr>
              <w:t xml:space="preserve"> </w:t>
            </w:r>
            <w:sdt>
              <w:sdtPr>
                <w:rPr>
                  <w:rFonts w:ascii="Times New Roman" w:hAnsi="Times New Roman"/>
                  <w:i/>
                  <w:sz w:val="18"/>
                  <w:szCs w:val="18"/>
                </w:rPr>
                <w:id w:val="615485013"/>
                <w:citation/>
              </w:sdtPr>
              <w:sdtEndPr/>
              <w:sdtContent>
                <w:r w:rsidR="001871BB">
                  <w:rPr>
                    <w:rFonts w:ascii="Times New Roman" w:hAnsi="Times New Roman"/>
                    <w:i/>
                    <w:sz w:val="18"/>
                    <w:szCs w:val="18"/>
                  </w:rPr>
                  <w:fldChar w:fldCharType="begin"/>
                </w:r>
                <w:r w:rsidR="001871BB">
                  <w:rPr>
                    <w:rFonts w:ascii="Times New Roman" w:hAnsi="Times New Roman"/>
                    <w:i/>
                    <w:sz w:val="18"/>
                    <w:szCs w:val="18"/>
                    <w:lang w:val="en-GB"/>
                  </w:rPr>
                  <w:instrText xml:space="preserve">CITATION Per141 \l 2057 </w:instrText>
                </w:r>
                <w:r w:rsidR="001871BB">
                  <w:rPr>
                    <w:rFonts w:ascii="Times New Roman" w:hAnsi="Times New Roman"/>
                    <w:i/>
                    <w:sz w:val="18"/>
                    <w:szCs w:val="18"/>
                  </w:rPr>
                  <w:fldChar w:fldCharType="separate"/>
                </w:r>
                <w:r w:rsidR="002D6947" w:rsidRPr="002D6947">
                  <w:rPr>
                    <w:rFonts w:ascii="Times New Roman" w:hAnsi="Times New Roman"/>
                    <w:noProof/>
                    <w:sz w:val="18"/>
                    <w:szCs w:val="18"/>
                    <w:lang w:val="en-GB"/>
                  </w:rPr>
                  <w:t>[117]</w:t>
                </w:r>
                <w:r w:rsidR="001871BB">
                  <w:rPr>
                    <w:rFonts w:ascii="Times New Roman" w:hAnsi="Times New Roman"/>
                    <w:i/>
                    <w:sz w:val="18"/>
                    <w:szCs w:val="18"/>
                  </w:rPr>
                  <w:fldChar w:fldCharType="end"/>
                </w:r>
              </w:sdtContent>
            </w:sdt>
          </w:p>
          <w:p w14:paraId="1339D227" w14:textId="77777777" w:rsidR="00446A1A" w:rsidRPr="00E250EF" w:rsidRDefault="00446A1A" w:rsidP="00E250EF">
            <w:pPr>
              <w:pStyle w:val="Paragraphedeliste"/>
              <w:rPr>
                <w:rFonts w:ascii="Times New Roman" w:hAnsi="Times New Roman"/>
                <w:sz w:val="18"/>
                <w:szCs w:val="18"/>
              </w:rPr>
            </w:pPr>
          </w:p>
          <w:p w14:paraId="2C3FEC20" w14:textId="18D0FBF3" w:rsidR="00446A1A" w:rsidRPr="002D393B" w:rsidRDefault="00446A1A" w:rsidP="00483542">
            <w:pPr>
              <w:pStyle w:val="Paragraphedeliste"/>
              <w:numPr>
                <w:ilvl w:val="0"/>
                <w:numId w:val="16"/>
              </w:numPr>
              <w:spacing w:after="0"/>
              <w:rPr>
                <w:rFonts w:ascii="Times New Roman" w:hAnsi="Times New Roman"/>
                <w:sz w:val="18"/>
                <w:szCs w:val="18"/>
              </w:rPr>
            </w:pPr>
            <w:r>
              <w:rPr>
                <w:rFonts w:ascii="Times New Roman" w:hAnsi="Times New Roman"/>
                <w:sz w:val="18"/>
                <w:szCs w:val="18"/>
              </w:rPr>
              <w:t>Novel selective probes substrates for individual transporters are required for use in cell-based assays. Such probes should serve a</w:t>
            </w:r>
            <w:r w:rsidR="00A118C9">
              <w:rPr>
                <w:rFonts w:ascii="Times New Roman" w:hAnsi="Times New Roman"/>
                <w:sz w:val="18"/>
                <w:szCs w:val="18"/>
              </w:rPr>
              <w:t>s</w:t>
            </w:r>
            <w:r>
              <w:rPr>
                <w:rFonts w:ascii="Times New Roman" w:hAnsi="Times New Roman"/>
                <w:sz w:val="18"/>
                <w:szCs w:val="18"/>
              </w:rPr>
              <w:t xml:space="preserve"> florigenic analogues of naturally occurring bile acids</w:t>
            </w:r>
            <w:r w:rsidR="00A118C9">
              <w:rPr>
                <w:rFonts w:ascii="Times New Roman" w:hAnsi="Times New Roman"/>
                <w:sz w:val="18"/>
                <w:szCs w:val="18"/>
              </w:rPr>
              <w:t xml:space="preserve"> with similar kinetics </w:t>
            </w:r>
            <w:r w:rsidR="004E5D0A">
              <w:rPr>
                <w:rFonts w:ascii="Times New Roman" w:hAnsi="Times New Roman"/>
                <w:sz w:val="18"/>
                <w:szCs w:val="18"/>
              </w:rPr>
              <w:t xml:space="preserve">to </w:t>
            </w:r>
            <w:r w:rsidR="005C2383">
              <w:rPr>
                <w:rFonts w:ascii="Times New Roman" w:hAnsi="Times New Roman"/>
                <w:sz w:val="18"/>
                <w:szCs w:val="18"/>
              </w:rPr>
              <w:t>the endogenous</w:t>
            </w:r>
            <w:r w:rsidR="00A118C9">
              <w:rPr>
                <w:rFonts w:ascii="Times New Roman" w:hAnsi="Times New Roman"/>
                <w:sz w:val="18"/>
                <w:szCs w:val="18"/>
              </w:rPr>
              <w:t xml:space="preserve"> monovalent and divalent bile acid conjugates</w:t>
            </w:r>
            <w:r w:rsidR="004E5D0A">
              <w:rPr>
                <w:rFonts w:ascii="Times New Roman" w:hAnsi="Times New Roman"/>
                <w:sz w:val="18"/>
                <w:szCs w:val="18"/>
              </w:rPr>
              <w:t xml:space="preserve">. </w:t>
            </w:r>
          </w:p>
          <w:p w14:paraId="2B5245D1" w14:textId="77777777" w:rsidR="002D393B" w:rsidRPr="00F106DE" w:rsidRDefault="002D393B" w:rsidP="002D393B">
            <w:pPr>
              <w:rPr>
                <w:sz w:val="18"/>
                <w:szCs w:val="18"/>
                <w:lang w:val="en-GB"/>
              </w:rPr>
            </w:pPr>
          </w:p>
          <w:p w14:paraId="5A8FD549" w14:textId="77777777" w:rsidR="00561CA2" w:rsidRDefault="00E57576" w:rsidP="00561CA2">
            <w:pPr>
              <w:pStyle w:val="Paragraphedeliste"/>
              <w:numPr>
                <w:ilvl w:val="0"/>
                <w:numId w:val="16"/>
              </w:numPr>
              <w:spacing w:after="0"/>
              <w:rPr>
                <w:rFonts w:ascii="Times New Roman" w:hAnsi="Times New Roman"/>
                <w:sz w:val="18"/>
                <w:szCs w:val="18"/>
              </w:rPr>
            </w:pPr>
            <w:r w:rsidRPr="009034B9">
              <w:rPr>
                <w:rFonts w:ascii="Times New Roman" w:hAnsi="Times New Roman"/>
                <w:sz w:val="18"/>
                <w:szCs w:val="18"/>
              </w:rPr>
              <w:t>Transcriptomic signatures by use of a database of compounds with concurrent and bile duct injury in the rat have been used, but issues of relevance to human are not fully described and validity of IVIVE transcrip</w:t>
            </w:r>
            <w:r w:rsidR="00D53ACB">
              <w:rPr>
                <w:rFonts w:ascii="Times New Roman" w:hAnsi="Times New Roman"/>
                <w:sz w:val="18"/>
                <w:szCs w:val="18"/>
              </w:rPr>
              <w:t>t</w:t>
            </w:r>
            <w:r w:rsidRPr="009034B9">
              <w:rPr>
                <w:rFonts w:ascii="Times New Roman" w:hAnsi="Times New Roman"/>
                <w:sz w:val="18"/>
                <w:szCs w:val="18"/>
              </w:rPr>
              <w:t>omic profiles can be limited</w:t>
            </w:r>
          </w:p>
          <w:p w14:paraId="3553E745" w14:textId="77777777" w:rsidR="00561CA2" w:rsidRPr="00561CA2" w:rsidRDefault="00561CA2" w:rsidP="00561CA2">
            <w:pPr>
              <w:pStyle w:val="Paragraphedeliste"/>
              <w:rPr>
                <w:rFonts w:ascii="Times New Roman" w:hAnsi="Times New Roman"/>
                <w:sz w:val="18"/>
                <w:szCs w:val="18"/>
                <w:lang w:val="en-GB"/>
              </w:rPr>
            </w:pPr>
          </w:p>
          <w:p w14:paraId="63F943DF" w14:textId="7B43A64C" w:rsidR="002D393B" w:rsidRPr="00561CA2" w:rsidRDefault="00E57576" w:rsidP="00561CA2">
            <w:pPr>
              <w:pStyle w:val="Paragraphedeliste"/>
              <w:numPr>
                <w:ilvl w:val="0"/>
                <w:numId w:val="16"/>
              </w:numPr>
              <w:spacing w:after="0"/>
              <w:rPr>
                <w:rFonts w:ascii="Times New Roman" w:hAnsi="Times New Roman"/>
                <w:sz w:val="18"/>
                <w:szCs w:val="18"/>
              </w:rPr>
            </w:pPr>
            <w:r w:rsidRPr="00561CA2">
              <w:rPr>
                <w:rFonts w:ascii="Times New Roman" w:hAnsi="Times New Roman"/>
                <w:sz w:val="18"/>
                <w:szCs w:val="18"/>
                <w:lang w:val="en-GB"/>
              </w:rPr>
              <w:t xml:space="preserve">Role of </w:t>
            </w:r>
            <w:r w:rsidR="00446A1A" w:rsidRPr="00561CA2">
              <w:rPr>
                <w:rFonts w:ascii="Times New Roman" w:hAnsi="Times New Roman"/>
                <w:sz w:val="18"/>
                <w:szCs w:val="18"/>
                <w:lang w:val="en-GB"/>
              </w:rPr>
              <w:t xml:space="preserve">adaptive immunity </w:t>
            </w:r>
            <w:r w:rsidRPr="00561CA2">
              <w:rPr>
                <w:rFonts w:ascii="Times New Roman" w:hAnsi="Times New Roman"/>
                <w:sz w:val="18"/>
                <w:szCs w:val="18"/>
                <w:lang w:val="en-GB"/>
              </w:rPr>
              <w:t xml:space="preserve">in cholestasis cannot be assessed in assays currently available </w:t>
            </w:r>
            <w:r w:rsidR="0035138D" w:rsidRPr="00561CA2">
              <w:rPr>
                <w:rFonts w:ascii="Times New Roman" w:hAnsi="Times New Roman"/>
                <w:sz w:val="18"/>
                <w:szCs w:val="18"/>
                <w:lang w:val="en-GB"/>
              </w:rPr>
              <w:t xml:space="preserve">and </w:t>
            </w:r>
            <w:r w:rsidRPr="00561CA2">
              <w:rPr>
                <w:rFonts w:ascii="Times New Roman" w:hAnsi="Times New Roman"/>
                <w:sz w:val="18"/>
                <w:szCs w:val="18"/>
                <w:lang w:val="en-GB"/>
              </w:rPr>
              <w:t>therefore</w:t>
            </w:r>
            <w:r w:rsidR="0035138D" w:rsidRPr="00561CA2">
              <w:rPr>
                <w:rFonts w:ascii="Times New Roman" w:hAnsi="Times New Roman"/>
                <w:sz w:val="18"/>
                <w:szCs w:val="18"/>
                <w:lang w:val="en-GB"/>
              </w:rPr>
              <w:t xml:space="preserve"> cannot</w:t>
            </w:r>
            <w:r w:rsidRPr="00561CA2">
              <w:rPr>
                <w:rFonts w:ascii="Times New Roman" w:hAnsi="Times New Roman"/>
                <w:sz w:val="18"/>
                <w:szCs w:val="18"/>
                <w:lang w:val="en-GB"/>
              </w:rPr>
              <w:t xml:space="preserve"> help identify association of </w:t>
            </w:r>
            <w:r w:rsidR="00446A1A" w:rsidRPr="00561CA2">
              <w:rPr>
                <w:rFonts w:ascii="Times New Roman" w:hAnsi="Times New Roman"/>
                <w:sz w:val="18"/>
                <w:szCs w:val="18"/>
                <w:lang w:val="en-GB"/>
              </w:rPr>
              <w:t xml:space="preserve">cholestasis and </w:t>
            </w:r>
            <w:r w:rsidRPr="00561CA2">
              <w:rPr>
                <w:rFonts w:ascii="Times New Roman" w:hAnsi="Times New Roman"/>
                <w:sz w:val="18"/>
                <w:szCs w:val="18"/>
                <w:lang w:val="en-GB"/>
              </w:rPr>
              <w:t>immune-mediated idiosyncratic DILI.</w:t>
            </w:r>
          </w:p>
          <w:p w14:paraId="6FDFE6EF" w14:textId="77777777" w:rsidR="00561CA2" w:rsidRDefault="00561CA2" w:rsidP="00561CA2">
            <w:pPr>
              <w:pStyle w:val="Paragraphedeliste"/>
              <w:spacing w:after="0"/>
              <w:ind w:left="360"/>
              <w:rPr>
                <w:rFonts w:ascii="Times New Roman" w:hAnsi="Times New Roman"/>
                <w:sz w:val="18"/>
                <w:szCs w:val="18"/>
              </w:rPr>
            </w:pPr>
          </w:p>
          <w:p w14:paraId="6CADA48A" w14:textId="2899D834" w:rsidR="00E57576" w:rsidRPr="009034B9" w:rsidRDefault="00E57576" w:rsidP="004E5D0A">
            <w:pPr>
              <w:pStyle w:val="Paragraphedeliste"/>
              <w:numPr>
                <w:ilvl w:val="0"/>
                <w:numId w:val="16"/>
              </w:numPr>
              <w:spacing w:after="0"/>
              <w:rPr>
                <w:rFonts w:ascii="Times New Roman" w:hAnsi="Times New Roman"/>
                <w:sz w:val="18"/>
                <w:szCs w:val="18"/>
              </w:rPr>
            </w:pPr>
            <w:r w:rsidRPr="009034B9">
              <w:rPr>
                <w:rFonts w:ascii="Times New Roman" w:hAnsi="Times New Roman"/>
                <w:sz w:val="18"/>
                <w:szCs w:val="18"/>
              </w:rPr>
              <w:t>Selectivity</w:t>
            </w:r>
            <w:r w:rsidR="00B84985">
              <w:rPr>
                <w:rFonts w:ascii="Times New Roman" w:hAnsi="Times New Roman"/>
                <w:sz w:val="18"/>
                <w:szCs w:val="18"/>
              </w:rPr>
              <w:t>,</w:t>
            </w:r>
            <w:r w:rsidRPr="009034B9">
              <w:rPr>
                <w:rFonts w:ascii="Times New Roman" w:hAnsi="Times New Roman"/>
                <w:sz w:val="18"/>
                <w:szCs w:val="18"/>
              </w:rPr>
              <w:t xml:space="preserve"> specificity</w:t>
            </w:r>
            <w:r w:rsidR="00B84985">
              <w:rPr>
                <w:rFonts w:ascii="Times New Roman" w:hAnsi="Times New Roman"/>
                <w:sz w:val="18"/>
                <w:szCs w:val="18"/>
              </w:rPr>
              <w:t xml:space="preserve"> and enzyme kinetics</w:t>
            </w:r>
            <w:r w:rsidRPr="009034B9">
              <w:rPr>
                <w:rFonts w:ascii="Times New Roman" w:hAnsi="Times New Roman"/>
                <w:sz w:val="18"/>
                <w:szCs w:val="18"/>
              </w:rPr>
              <w:t xml:space="preserve"> of </w:t>
            </w:r>
            <w:r w:rsidR="00446A1A">
              <w:rPr>
                <w:rFonts w:ascii="Times New Roman" w:hAnsi="Times New Roman"/>
                <w:sz w:val="18"/>
                <w:szCs w:val="18"/>
              </w:rPr>
              <w:t xml:space="preserve">bile acids across the </w:t>
            </w:r>
            <w:r w:rsidRPr="009034B9">
              <w:rPr>
                <w:rFonts w:ascii="Times New Roman" w:hAnsi="Times New Roman"/>
                <w:sz w:val="18"/>
                <w:szCs w:val="18"/>
              </w:rPr>
              <w:t xml:space="preserve">membrane transporters </w:t>
            </w:r>
            <w:r w:rsidR="00446A1A">
              <w:rPr>
                <w:rFonts w:ascii="Times New Roman" w:hAnsi="Times New Roman"/>
                <w:sz w:val="18"/>
                <w:szCs w:val="18"/>
              </w:rPr>
              <w:t>for key</w:t>
            </w:r>
            <w:r w:rsidRPr="009034B9">
              <w:rPr>
                <w:rFonts w:ascii="Times New Roman" w:hAnsi="Times New Roman"/>
                <w:sz w:val="18"/>
                <w:szCs w:val="18"/>
              </w:rPr>
              <w:t xml:space="preserve"> classes of bile acids are incomplete; limits the </w:t>
            </w:r>
            <w:r w:rsidR="004E5D0A">
              <w:rPr>
                <w:rFonts w:ascii="Times New Roman" w:hAnsi="Times New Roman"/>
                <w:sz w:val="18"/>
                <w:szCs w:val="18"/>
              </w:rPr>
              <w:t>detailed</w:t>
            </w:r>
            <w:r w:rsidRPr="009034B9">
              <w:rPr>
                <w:rFonts w:ascii="Times New Roman" w:hAnsi="Times New Roman"/>
                <w:sz w:val="18"/>
                <w:szCs w:val="18"/>
              </w:rPr>
              <w:t xml:space="preserve"> DDI assessment and knowledge of mechanisms (competitive and non-competitive</w:t>
            </w:r>
            <w:r w:rsidR="00EE5362">
              <w:rPr>
                <w:rFonts w:ascii="Times New Roman" w:hAnsi="Times New Roman"/>
                <w:sz w:val="18"/>
                <w:szCs w:val="18"/>
              </w:rPr>
              <w:t xml:space="preserve"> inhibition</w:t>
            </w:r>
            <w:r w:rsidRPr="009034B9">
              <w:rPr>
                <w:rFonts w:ascii="Times New Roman" w:hAnsi="Times New Roman"/>
                <w:sz w:val="18"/>
                <w:szCs w:val="18"/>
              </w:rPr>
              <w:t xml:space="preserve">) and impact on accumulation of 1° and 2° bile </w:t>
            </w:r>
            <w:r w:rsidR="00B84985">
              <w:rPr>
                <w:rFonts w:ascii="Times New Roman" w:hAnsi="Times New Roman"/>
                <w:sz w:val="18"/>
                <w:szCs w:val="18"/>
              </w:rPr>
              <w:t xml:space="preserve">acid </w:t>
            </w:r>
            <w:r w:rsidRPr="009034B9">
              <w:rPr>
                <w:rFonts w:ascii="Times New Roman" w:hAnsi="Times New Roman"/>
                <w:sz w:val="18"/>
                <w:szCs w:val="18"/>
              </w:rPr>
              <w:t>pool.</w:t>
            </w:r>
          </w:p>
        </w:tc>
      </w:tr>
    </w:tbl>
    <w:p w14:paraId="429BAE1F" w14:textId="77777777" w:rsidR="00E57576" w:rsidRPr="009034B9" w:rsidRDefault="00E57576" w:rsidP="00E57576">
      <w:pPr>
        <w:rPr>
          <w:b/>
          <w:i/>
          <w:sz w:val="18"/>
          <w:szCs w:val="18"/>
          <w:lang w:val="en-US"/>
        </w:rPr>
      </w:pPr>
      <w:r w:rsidRPr="009034B9">
        <w:rPr>
          <w:sz w:val="18"/>
          <w:szCs w:val="18"/>
          <w:lang w:val="en-US"/>
        </w:rPr>
        <w:br w:type="page"/>
      </w:r>
      <w:r w:rsidR="00B72890" w:rsidRPr="00B72890">
        <w:rPr>
          <w:b/>
          <w:sz w:val="24"/>
          <w:szCs w:val="18"/>
          <w:lang w:val="en-US"/>
        </w:rPr>
        <w:lastRenderedPageBreak/>
        <w:t>Table5</w:t>
      </w:r>
      <w:r w:rsidRPr="00B72890">
        <w:rPr>
          <w:b/>
          <w:sz w:val="24"/>
          <w:szCs w:val="18"/>
          <w:lang w:val="en-US"/>
        </w:rPr>
        <w:t xml:space="preserve">.  </w:t>
      </w:r>
      <w:r w:rsidRPr="00B72890">
        <w:rPr>
          <w:b/>
          <w:i/>
          <w:sz w:val="24"/>
          <w:szCs w:val="18"/>
          <w:lang w:val="en-US"/>
        </w:rPr>
        <w:t>Evidence for the role of immune function in human DILI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E57576" w:rsidRPr="004B28DB" w14:paraId="44FF35B9" w14:textId="77777777" w:rsidTr="0054714F">
        <w:tc>
          <w:tcPr>
            <w:tcW w:w="9213" w:type="dxa"/>
            <w:shd w:val="clear" w:color="auto" w:fill="auto"/>
          </w:tcPr>
          <w:p w14:paraId="6973AC42" w14:textId="77777777" w:rsidR="00081433" w:rsidRDefault="00081433" w:rsidP="0054714F">
            <w:pPr>
              <w:jc w:val="both"/>
              <w:rPr>
                <w:b/>
                <w:bCs/>
                <w:iCs/>
                <w:sz w:val="18"/>
                <w:szCs w:val="18"/>
                <w:lang w:val="en-US"/>
              </w:rPr>
            </w:pPr>
          </w:p>
          <w:p w14:paraId="15A44761" w14:textId="77777777" w:rsidR="00E57576" w:rsidRPr="009034B9" w:rsidRDefault="00E57576" w:rsidP="0054714F">
            <w:pPr>
              <w:jc w:val="both"/>
              <w:rPr>
                <w:b/>
                <w:bCs/>
                <w:iCs/>
                <w:sz w:val="18"/>
                <w:szCs w:val="18"/>
                <w:lang w:val="en-US"/>
              </w:rPr>
            </w:pPr>
            <w:r w:rsidRPr="009034B9">
              <w:rPr>
                <w:b/>
                <w:bCs/>
                <w:iCs/>
                <w:sz w:val="18"/>
                <w:szCs w:val="18"/>
                <w:lang w:val="en-US"/>
              </w:rPr>
              <w:t xml:space="preserve">Evidence of immunity in progression and resolution of </w:t>
            </w:r>
            <w:proofErr w:type="spellStart"/>
            <w:r w:rsidRPr="009034B9">
              <w:rPr>
                <w:b/>
                <w:bCs/>
                <w:iCs/>
                <w:sz w:val="18"/>
                <w:szCs w:val="18"/>
                <w:lang w:val="en-US"/>
              </w:rPr>
              <w:t>iDILI</w:t>
            </w:r>
            <w:proofErr w:type="spellEnd"/>
          </w:p>
          <w:p w14:paraId="5A532130" w14:textId="77777777" w:rsidR="00081433" w:rsidRPr="00835655" w:rsidRDefault="00081433" w:rsidP="00081433">
            <w:pPr>
              <w:pStyle w:val="Paragraphedeliste"/>
              <w:spacing w:after="0"/>
              <w:ind w:left="360"/>
              <w:rPr>
                <w:rFonts w:ascii="Times New Roman" w:hAnsi="Times New Roman"/>
                <w:b/>
                <w:bCs/>
                <w:iCs/>
                <w:sz w:val="18"/>
                <w:szCs w:val="18"/>
              </w:rPr>
            </w:pPr>
          </w:p>
          <w:p w14:paraId="422D1D2F" w14:textId="77777777" w:rsidR="00081433" w:rsidRDefault="00081433" w:rsidP="00081433">
            <w:pPr>
              <w:pStyle w:val="Paragraphedeliste"/>
              <w:numPr>
                <w:ilvl w:val="0"/>
                <w:numId w:val="13"/>
              </w:numPr>
              <w:spacing w:after="0"/>
              <w:rPr>
                <w:rFonts w:ascii="Times New Roman" w:hAnsi="Times New Roman"/>
                <w:b/>
                <w:bCs/>
                <w:iCs/>
                <w:sz w:val="18"/>
                <w:szCs w:val="18"/>
              </w:rPr>
            </w:pPr>
            <w:r w:rsidRPr="002D393B">
              <w:rPr>
                <w:rFonts w:ascii="Times New Roman" w:hAnsi="Times New Roman"/>
                <w:b/>
                <w:bCs/>
                <w:iCs/>
                <w:sz w:val="18"/>
                <w:szCs w:val="18"/>
              </w:rPr>
              <w:t xml:space="preserve">Clinical </w:t>
            </w:r>
            <w:r w:rsidR="00210564">
              <w:rPr>
                <w:rFonts w:ascii="Times New Roman" w:hAnsi="Times New Roman"/>
                <w:b/>
                <w:bCs/>
                <w:iCs/>
                <w:sz w:val="18"/>
                <w:szCs w:val="18"/>
              </w:rPr>
              <w:t>char</w:t>
            </w:r>
            <w:r w:rsidR="004D2982">
              <w:rPr>
                <w:rFonts w:ascii="Times New Roman" w:hAnsi="Times New Roman"/>
                <w:b/>
                <w:bCs/>
                <w:iCs/>
                <w:sz w:val="18"/>
                <w:szCs w:val="18"/>
              </w:rPr>
              <w:t>ac</w:t>
            </w:r>
            <w:r w:rsidR="00210564">
              <w:rPr>
                <w:rFonts w:ascii="Times New Roman" w:hAnsi="Times New Roman"/>
                <w:b/>
                <w:bCs/>
                <w:iCs/>
                <w:sz w:val="18"/>
                <w:szCs w:val="18"/>
              </w:rPr>
              <w:t>teristics</w:t>
            </w:r>
          </w:p>
          <w:p w14:paraId="57C55962" w14:textId="51A79D11" w:rsidR="00081433" w:rsidRPr="001870FB" w:rsidRDefault="00E57576" w:rsidP="00783FB8">
            <w:pPr>
              <w:pStyle w:val="Paragraphedeliste"/>
              <w:numPr>
                <w:ilvl w:val="1"/>
                <w:numId w:val="13"/>
              </w:numPr>
              <w:spacing w:after="0"/>
              <w:jc w:val="both"/>
              <w:rPr>
                <w:b/>
                <w:bCs/>
                <w:i/>
                <w:iCs/>
                <w:sz w:val="18"/>
                <w:szCs w:val="18"/>
                <w:lang w:val="en-GB"/>
              </w:rPr>
            </w:pPr>
            <w:r w:rsidRPr="001870FB">
              <w:rPr>
                <w:rFonts w:ascii="Times New Roman" w:hAnsi="Times New Roman"/>
                <w:bCs/>
                <w:iCs/>
                <w:sz w:val="18"/>
                <w:szCs w:val="18"/>
              </w:rPr>
              <w:t xml:space="preserve">Liver is a highly immunologically </w:t>
            </w:r>
            <w:proofErr w:type="spellStart"/>
            <w:r w:rsidRPr="001870FB">
              <w:rPr>
                <w:rFonts w:ascii="Times New Roman" w:hAnsi="Times New Roman"/>
                <w:bCs/>
                <w:iCs/>
                <w:sz w:val="18"/>
                <w:szCs w:val="18"/>
              </w:rPr>
              <w:t>tolerogenic</w:t>
            </w:r>
            <w:proofErr w:type="spellEnd"/>
            <w:r w:rsidRPr="001870FB">
              <w:rPr>
                <w:rFonts w:ascii="Times New Roman" w:hAnsi="Times New Roman"/>
                <w:bCs/>
                <w:iCs/>
                <w:sz w:val="18"/>
                <w:szCs w:val="18"/>
              </w:rPr>
              <w:t xml:space="preserve"> organ and sometimes referred to as an immune privileged site</w:t>
            </w:r>
            <w:r w:rsidR="00EE5362" w:rsidRPr="001870FB">
              <w:rPr>
                <w:rFonts w:ascii="Times New Roman" w:hAnsi="Times New Roman"/>
                <w:bCs/>
                <w:iCs/>
                <w:sz w:val="18"/>
                <w:szCs w:val="18"/>
              </w:rPr>
              <w:t xml:space="preserve"> </w:t>
            </w:r>
            <w:r w:rsidR="00326E49" w:rsidRPr="001870FB">
              <w:rPr>
                <w:rFonts w:ascii="Times New Roman" w:hAnsi="Times New Roman"/>
                <w:bCs/>
                <w:iCs/>
                <w:noProof/>
                <w:sz w:val="18"/>
                <w:szCs w:val="18"/>
                <w:lang w:val="en-GB"/>
              </w:rPr>
              <w:t xml:space="preserve"> </w:t>
            </w:r>
            <w:r w:rsidR="005E0E6C" w:rsidRPr="001870FB">
              <w:rPr>
                <w:rFonts w:ascii="Times New Roman" w:hAnsi="Times New Roman"/>
                <w:noProof/>
                <w:sz w:val="18"/>
                <w:szCs w:val="18"/>
                <w:lang w:val="en-GB"/>
              </w:rPr>
              <w:t xml:space="preserve"> </w:t>
            </w:r>
            <w:sdt>
              <w:sdtPr>
                <w:rPr>
                  <w:rFonts w:ascii="Times New Roman" w:hAnsi="Times New Roman"/>
                  <w:noProof/>
                  <w:sz w:val="18"/>
                  <w:szCs w:val="18"/>
                  <w:lang w:val="en-GB"/>
                </w:rPr>
                <w:id w:val="-1817243935"/>
                <w:citation/>
              </w:sdtPr>
              <w:sdtEndPr/>
              <w:sdtContent>
                <w:r w:rsidR="001870FB">
                  <w:rPr>
                    <w:rFonts w:ascii="Times New Roman" w:hAnsi="Times New Roman"/>
                    <w:noProof/>
                    <w:sz w:val="18"/>
                    <w:szCs w:val="18"/>
                    <w:lang w:val="en-GB"/>
                  </w:rPr>
                  <w:fldChar w:fldCharType="begin"/>
                </w:r>
                <w:r w:rsidR="001870FB">
                  <w:rPr>
                    <w:rFonts w:ascii="Times New Roman" w:hAnsi="Times New Roman"/>
                    <w:noProof/>
                    <w:sz w:val="18"/>
                    <w:szCs w:val="18"/>
                    <w:lang w:val="en-GB"/>
                  </w:rPr>
                  <w:instrText xml:space="preserve"> CITATION Rac06 \l 2057 </w:instrText>
                </w:r>
                <w:r w:rsidR="001870FB">
                  <w:rPr>
                    <w:rFonts w:ascii="Times New Roman" w:hAnsi="Times New Roman"/>
                    <w:noProof/>
                    <w:sz w:val="18"/>
                    <w:szCs w:val="18"/>
                    <w:lang w:val="en-GB"/>
                  </w:rPr>
                  <w:fldChar w:fldCharType="separate"/>
                </w:r>
                <w:r w:rsidR="002D6947" w:rsidRPr="002D6947">
                  <w:rPr>
                    <w:rFonts w:ascii="Times New Roman" w:hAnsi="Times New Roman"/>
                    <w:noProof/>
                    <w:sz w:val="18"/>
                    <w:szCs w:val="18"/>
                    <w:lang w:val="en-GB"/>
                  </w:rPr>
                  <w:t>[64]</w:t>
                </w:r>
                <w:r w:rsidR="001870FB">
                  <w:rPr>
                    <w:rFonts w:ascii="Times New Roman" w:hAnsi="Times New Roman"/>
                    <w:noProof/>
                    <w:sz w:val="18"/>
                    <w:szCs w:val="18"/>
                    <w:lang w:val="en-GB"/>
                  </w:rPr>
                  <w:fldChar w:fldCharType="end"/>
                </w:r>
              </w:sdtContent>
            </w:sdt>
            <w:r w:rsidR="001870FB">
              <w:rPr>
                <w:rFonts w:ascii="Times New Roman" w:hAnsi="Times New Roman"/>
                <w:noProof/>
                <w:sz w:val="18"/>
                <w:szCs w:val="18"/>
                <w:lang w:val="en-GB"/>
              </w:rPr>
              <w:t>.</w:t>
            </w:r>
          </w:p>
          <w:p w14:paraId="4902DF1D" w14:textId="77777777" w:rsidR="001870FB" w:rsidRPr="001870FB" w:rsidRDefault="001870FB" w:rsidP="001870FB">
            <w:pPr>
              <w:pStyle w:val="Paragraphedeliste"/>
              <w:spacing w:after="0"/>
              <w:ind w:left="1080"/>
              <w:jc w:val="both"/>
              <w:rPr>
                <w:b/>
                <w:bCs/>
                <w:i/>
                <w:iCs/>
                <w:sz w:val="18"/>
                <w:szCs w:val="18"/>
                <w:lang w:val="en-GB"/>
              </w:rPr>
            </w:pPr>
          </w:p>
          <w:p w14:paraId="5317599D" w14:textId="1B2576B9" w:rsidR="00783FB8" w:rsidRPr="004E1F05" w:rsidRDefault="00E57576" w:rsidP="004E1F05">
            <w:pPr>
              <w:pStyle w:val="Paragraphedeliste"/>
              <w:numPr>
                <w:ilvl w:val="1"/>
                <w:numId w:val="13"/>
              </w:numPr>
              <w:spacing w:after="0"/>
              <w:jc w:val="both"/>
              <w:rPr>
                <w:b/>
                <w:bCs/>
                <w:i/>
                <w:iCs/>
                <w:sz w:val="18"/>
                <w:szCs w:val="18"/>
                <w:lang w:val="en-GB"/>
              </w:rPr>
            </w:pPr>
            <w:r w:rsidRPr="004E1F05">
              <w:rPr>
                <w:rFonts w:ascii="Times New Roman" w:hAnsi="Times New Roman"/>
                <w:bCs/>
                <w:iCs/>
                <w:sz w:val="18"/>
                <w:szCs w:val="18"/>
              </w:rPr>
              <w:t>Dysregulation of the</w:t>
            </w:r>
            <w:r w:rsidRPr="004E1F05">
              <w:rPr>
                <w:rFonts w:ascii="Times New Roman" w:hAnsi="Times New Roman"/>
                <w:bCs/>
                <w:iCs/>
                <w:sz w:val="18"/>
                <w:szCs w:val="18"/>
                <w:lang w:val="en-GB"/>
              </w:rPr>
              <w:t xml:space="preserve"> </w:t>
            </w:r>
            <w:proofErr w:type="spellStart"/>
            <w:r w:rsidRPr="004E1F05">
              <w:rPr>
                <w:rFonts w:ascii="Times New Roman" w:hAnsi="Times New Roman"/>
                <w:bCs/>
                <w:iCs/>
                <w:sz w:val="18"/>
                <w:szCs w:val="18"/>
                <w:lang w:val="en-GB"/>
              </w:rPr>
              <w:t>tolerogenic</w:t>
            </w:r>
            <w:proofErr w:type="spellEnd"/>
            <w:r w:rsidRPr="004E1F05">
              <w:rPr>
                <w:rFonts w:ascii="Times New Roman" w:hAnsi="Times New Roman"/>
                <w:bCs/>
                <w:iCs/>
                <w:sz w:val="18"/>
                <w:szCs w:val="18"/>
              </w:rPr>
              <w:t xml:space="preserve"> immune microenvironment of the liver is believe</w:t>
            </w:r>
            <w:r w:rsidR="00D53ACB" w:rsidRPr="004E1F05">
              <w:rPr>
                <w:rFonts w:ascii="Times New Roman" w:hAnsi="Times New Roman"/>
                <w:bCs/>
                <w:iCs/>
                <w:sz w:val="18"/>
                <w:szCs w:val="18"/>
              </w:rPr>
              <w:t>d</w:t>
            </w:r>
            <w:r w:rsidRPr="004E1F05">
              <w:rPr>
                <w:rFonts w:ascii="Times New Roman" w:hAnsi="Times New Roman"/>
                <w:bCs/>
                <w:iCs/>
                <w:sz w:val="18"/>
                <w:szCs w:val="18"/>
              </w:rPr>
              <w:t xml:space="preserve"> to play a critical role in the initiation, exacerbation, progression and resolution of </w:t>
            </w:r>
            <w:r w:rsidR="00326E49" w:rsidRPr="004E1F05">
              <w:rPr>
                <w:rFonts w:ascii="Times New Roman" w:hAnsi="Times New Roman"/>
                <w:bCs/>
                <w:iCs/>
                <w:sz w:val="18"/>
                <w:szCs w:val="18"/>
              </w:rPr>
              <w:t xml:space="preserve"> </w:t>
            </w:r>
            <w:proofErr w:type="spellStart"/>
            <w:r w:rsidRPr="004E1F05">
              <w:rPr>
                <w:rFonts w:ascii="Times New Roman" w:hAnsi="Times New Roman"/>
                <w:bCs/>
                <w:iCs/>
                <w:sz w:val="18"/>
                <w:szCs w:val="18"/>
              </w:rPr>
              <w:t>iDILI</w:t>
            </w:r>
            <w:proofErr w:type="spellEnd"/>
            <w:r w:rsidR="00326E49" w:rsidRPr="004E1F05">
              <w:rPr>
                <w:rFonts w:ascii="Times New Roman" w:hAnsi="Times New Roman"/>
                <w:bCs/>
                <w:iCs/>
                <w:sz w:val="18"/>
                <w:szCs w:val="18"/>
              </w:rPr>
              <w:t xml:space="preserve"> </w:t>
            </w:r>
            <w:r w:rsidR="00326E49" w:rsidRPr="004E1F05">
              <w:rPr>
                <w:rFonts w:ascii="Times New Roman" w:hAnsi="Times New Roman"/>
                <w:bCs/>
                <w:iCs/>
                <w:noProof/>
                <w:sz w:val="18"/>
                <w:szCs w:val="18"/>
                <w:lang w:val="en-GB"/>
              </w:rPr>
              <w:t xml:space="preserve"> </w:t>
            </w:r>
            <w:sdt>
              <w:sdtPr>
                <w:rPr>
                  <w:rFonts w:ascii="Times New Roman" w:hAnsi="Times New Roman"/>
                  <w:bCs/>
                  <w:iCs/>
                  <w:noProof/>
                  <w:sz w:val="18"/>
                  <w:szCs w:val="18"/>
                  <w:lang w:val="en-GB"/>
                </w:rPr>
                <w:id w:val="-2124446535"/>
                <w:citation/>
              </w:sdtPr>
              <w:sdtEndPr/>
              <w:sdtContent>
                <w:r w:rsidR="004E1F05">
                  <w:rPr>
                    <w:rFonts w:ascii="Times New Roman" w:hAnsi="Times New Roman"/>
                    <w:bCs/>
                    <w:iCs/>
                    <w:noProof/>
                    <w:sz w:val="18"/>
                    <w:szCs w:val="18"/>
                    <w:lang w:val="en-GB"/>
                  </w:rPr>
                  <w:fldChar w:fldCharType="begin"/>
                </w:r>
                <w:r w:rsidR="004E1F05">
                  <w:rPr>
                    <w:bCs/>
                    <w:iCs/>
                    <w:noProof/>
                    <w:sz w:val="18"/>
                    <w:szCs w:val="18"/>
                    <w:lang w:val="en-GB"/>
                  </w:rPr>
                  <w:instrText xml:space="preserve"> CITATION Rob16 \l 2057 </w:instrText>
                </w:r>
                <w:r w:rsidR="004E1F05">
                  <w:rPr>
                    <w:rFonts w:ascii="Times New Roman" w:hAnsi="Times New Roman"/>
                    <w:bCs/>
                    <w:iCs/>
                    <w:noProof/>
                    <w:sz w:val="18"/>
                    <w:szCs w:val="18"/>
                    <w:lang w:val="en-GB"/>
                  </w:rPr>
                  <w:fldChar w:fldCharType="separate"/>
                </w:r>
                <w:r w:rsidR="002D6947" w:rsidRPr="002D6947">
                  <w:rPr>
                    <w:noProof/>
                    <w:sz w:val="18"/>
                    <w:szCs w:val="18"/>
                    <w:lang w:val="en-GB"/>
                  </w:rPr>
                  <w:t>[118]</w:t>
                </w:r>
                <w:r w:rsidR="004E1F05">
                  <w:rPr>
                    <w:rFonts w:ascii="Times New Roman" w:hAnsi="Times New Roman"/>
                    <w:bCs/>
                    <w:iCs/>
                    <w:noProof/>
                    <w:sz w:val="18"/>
                    <w:szCs w:val="18"/>
                    <w:lang w:val="en-GB"/>
                  </w:rPr>
                  <w:fldChar w:fldCharType="end"/>
                </w:r>
              </w:sdtContent>
            </w:sdt>
          </w:p>
          <w:p w14:paraId="41D5ADA2" w14:textId="77777777" w:rsidR="00783FB8" w:rsidRPr="007A7FB5" w:rsidRDefault="00783FB8" w:rsidP="00783FB8">
            <w:pPr>
              <w:pStyle w:val="Paragraphedeliste"/>
              <w:numPr>
                <w:ilvl w:val="1"/>
                <w:numId w:val="13"/>
              </w:numPr>
              <w:spacing w:after="0"/>
              <w:jc w:val="both"/>
              <w:rPr>
                <w:b/>
                <w:bCs/>
                <w:i/>
                <w:iCs/>
                <w:sz w:val="18"/>
                <w:szCs w:val="18"/>
                <w:lang w:val="en-GB"/>
              </w:rPr>
            </w:pPr>
            <w:r w:rsidRPr="007A7FB5">
              <w:rPr>
                <w:rFonts w:ascii="Times New Roman" w:hAnsi="Times New Roman"/>
                <w:sz w:val="18"/>
                <w:szCs w:val="18"/>
                <w:lang w:val="en-GB"/>
              </w:rPr>
              <w:t>The cytokine microenvironment surrounding immune cells can determine immune cell polarisation but also the severity of DILI</w:t>
            </w:r>
            <w:r w:rsidRPr="007A7FB5">
              <w:rPr>
                <w:rFonts w:ascii="Times New Roman" w:hAnsi="Times New Roman"/>
                <w:noProof/>
                <w:sz w:val="18"/>
                <w:szCs w:val="18"/>
              </w:rPr>
              <w:t xml:space="preserve"> </w:t>
            </w:r>
            <w:sdt>
              <w:sdtPr>
                <w:rPr>
                  <w:rFonts w:ascii="Times New Roman" w:hAnsi="Times New Roman"/>
                  <w:noProof/>
                  <w:sz w:val="18"/>
                  <w:szCs w:val="18"/>
                </w:rPr>
                <w:id w:val="-1640263666"/>
                <w:citation/>
              </w:sdtPr>
              <w:sdtEndPr/>
              <w:sdtContent>
                <w:r w:rsidR="007A7FB5">
                  <w:rPr>
                    <w:rFonts w:ascii="Times New Roman" w:hAnsi="Times New Roman"/>
                    <w:noProof/>
                    <w:sz w:val="18"/>
                    <w:szCs w:val="18"/>
                  </w:rPr>
                  <w:fldChar w:fldCharType="begin"/>
                </w:r>
                <w:r w:rsidR="007A7FB5">
                  <w:rPr>
                    <w:rFonts w:ascii="Times New Roman" w:hAnsi="Times New Roman"/>
                    <w:noProof/>
                    <w:sz w:val="18"/>
                    <w:szCs w:val="18"/>
                    <w:lang w:val="en-GB"/>
                  </w:rPr>
                  <w:instrText xml:space="preserve"> CITATION Kap05 \l 2057 </w:instrText>
                </w:r>
                <w:r w:rsidR="007A7FB5">
                  <w:rPr>
                    <w:rFonts w:ascii="Times New Roman" w:hAnsi="Times New Roman"/>
                    <w:noProof/>
                    <w:sz w:val="18"/>
                    <w:szCs w:val="18"/>
                  </w:rPr>
                  <w:fldChar w:fldCharType="separate"/>
                </w:r>
                <w:r w:rsidR="002D6947" w:rsidRPr="002D6947">
                  <w:rPr>
                    <w:rFonts w:ascii="Times New Roman" w:hAnsi="Times New Roman"/>
                    <w:noProof/>
                    <w:sz w:val="18"/>
                    <w:szCs w:val="18"/>
                    <w:lang w:val="en-GB"/>
                  </w:rPr>
                  <w:t>[119]</w:t>
                </w:r>
                <w:r w:rsidR="007A7FB5">
                  <w:rPr>
                    <w:rFonts w:ascii="Times New Roman" w:hAnsi="Times New Roman"/>
                    <w:noProof/>
                    <w:sz w:val="18"/>
                    <w:szCs w:val="18"/>
                  </w:rPr>
                  <w:fldChar w:fldCharType="end"/>
                </w:r>
              </w:sdtContent>
            </w:sdt>
            <w:sdt>
              <w:sdtPr>
                <w:rPr>
                  <w:rFonts w:ascii="Times New Roman" w:hAnsi="Times New Roman"/>
                  <w:noProof/>
                  <w:sz w:val="18"/>
                  <w:szCs w:val="18"/>
                </w:rPr>
                <w:id w:val="26455249"/>
                <w:citation/>
              </w:sdtPr>
              <w:sdtEndPr/>
              <w:sdtContent>
                <w:r w:rsidR="007A7FB5">
                  <w:rPr>
                    <w:rFonts w:ascii="Times New Roman" w:hAnsi="Times New Roman"/>
                    <w:noProof/>
                    <w:sz w:val="18"/>
                    <w:szCs w:val="18"/>
                  </w:rPr>
                  <w:fldChar w:fldCharType="begin"/>
                </w:r>
                <w:r w:rsidR="007A7FB5">
                  <w:rPr>
                    <w:rFonts w:ascii="Times New Roman" w:hAnsi="Times New Roman"/>
                    <w:noProof/>
                    <w:sz w:val="18"/>
                    <w:szCs w:val="18"/>
                    <w:lang w:val="en-GB"/>
                  </w:rPr>
                  <w:instrText xml:space="preserve"> CITATION Lav10 \l 2057 </w:instrText>
                </w:r>
                <w:r w:rsidR="007A7FB5">
                  <w:rPr>
                    <w:rFonts w:ascii="Times New Roman" w:hAnsi="Times New Roman"/>
                    <w:noProof/>
                    <w:sz w:val="18"/>
                    <w:szCs w:val="18"/>
                  </w:rPr>
                  <w:fldChar w:fldCharType="separate"/>
                </w:r>
                <w:r w:rsidR="002D6947">
                  <w:rPr>
                    <w:rFonts w:ascii="Times New Roman" w:hAnsi="Times New Roman"/>
                    <w:noProof/>
                    <w:sz w:val="18"/>
                    <w:szCs w:val="18"/>
                    <w:lang w:val="en-GB"/>
                  </w:rPr>
                  <w:t xml:space="preserve"> </w:t>
                </w:r>
                <w:r w:rsidR="002D6947" w:rsidRPr="002D6947">
                  <w:rPr>
                    <w:rFonts w:ascii="Times New Roman" w:hAnsi="Times New Roman"/>
                    <w:noProof/>
                    <w:sz w:val="18"/>
                    <w:szCs w:val="18"/>
                    <w:lang w:val="en-GB"/>
                  </w:rPr>
                  <w:t>[120]</w:t>
                </w:r>
                <w:r w:rsidR="007A7FB5">
                  <w:rPr>
                    <w:rFonts w:ascii="Times New Roman" w:hAnsi="Times New Roman"/>
                    <w:noProof/>
                    <w:sz w:val="18"/>
                    <w:szCs w:val="18"/>
                  </w:rPr>
                  <w:fldChar w:fldCharType="end"/>
                </w:r>
              </w:sdtContent>
            </w:sdt>
            <w:r w:rsidR="007A7FB5">
              <w:rPr>
                <w:rFonts w:ascii="Times New Roman" w:hAnsi="Times New Roman"/>
                <w:noProof/>
                <w:sz w:val="18"/>
                <w:szCs w:val="18"/>
              </w:rPr>
              <w:t>.</w:t>
            </w:r>
          </w:p>
          <w:p w14:paraId="7DC539C6" w14:textId="7EC22B66" w:rsidR="00E57576" w:rsidRPr="004E1F05" w:rsidRDefault="00783FB8" w:rsidP="004E1F05">
            <w:pPr>
              <w:pStyle w:val="Paragraphedeliste"/>
              <w:numPr>
                <w:ilvl w:val="1"/>
                <w:numId w:val="13"/>
              </w:numPr>
              <w:spacing w:after="0"/>
              <w:jc w:val="both"/>
              <w:rPr>
                <w:rFonts w:ascii="Times New Roman" w:hAnsi="Times New Roman"/>
                <w:b/>
                <w:bCs/>
                <w:i/>
                <w:iCs/>
                <w:sz w:val="18"/>
                <w:szCs w:val="18"/>
              </w:rPr>
            </w:pPr>
            <w:r w:rsidRPr="004E1F05">
              <w:rPr>
                <w:rFonts w:ascii="Times New Roman" w:hAnsi="Times New Roman"/>
                <w:sz w:val="18"/>
                <w:szCs w:val="18"/>
                <w:lang w:val="en-GB"/>
              </w:rPr>
              <w:t xml:space="preserve">Infiltration of </w:t>
            </w:r>
            <w:proofErr w:type="spellStart"/>
            <w:r w:rsidRPr="004E1F05">
              <w:rPr>
                <w:rFonts w:ascii="Times New Roman" w:hAnsi="Times New Roman"/>
                <w:sz w:val="18"/>
                <w:szCs w:val="18"/>
                <w:lang w:val="en-GB"/>
              </w:rPr>
              <w:t>granzyme</w:t>
            </w:r>
            <w:proofErr w:type="spellEnd"/>
            <w:r w:rsidRPr="004E1F05">
              <w:rPr>
                <w:rFonts w:ascii="Times New Roman" w:hAnsi="Times New Roman"/>
                <w:sz w:val="18"/>
                <w:szCs w:val="18"/>
                <w:lang w:val="en-GB"/>
              </w:rPr>
              <w:t>-B secreting lymphocytes for at least one drug, sulfasalazine, upon histological examination of inflamed human liver</w:t>
            </w:r>
            <w:r w:rsidR="00E77A34">
              <w:rPr>
                <w:rFonts w:ascii="Times New Roman" w:hAnsi="Times New Roman"/>
                <w:sz w:val="18"/>
                <w:szCs w:val="18"/>
                <w:lang w:val="en-GB"/>
              </w:rPr>
              <w:t xml:space="preserve"> </w:t>
            </w:r>
            <w:sdt>
              <w:sdtPr>
                <w:rPr>
                  <w:rFonts w:ascii="Times New Roman" w:hAnsi="Times New Roman"/>
                  <w:noProof/>
                  <w:sz w:val="18"/>
                  <w:szCs w:val="18"/>
                  <w:lang w:val="en-GB"/>
                </w:rPr>
                <w:id w:val="-750043586"/>
                <w:citation/>
              </w:sdtPr>
              <w:sdtEndPr/>
              <w:sdtContent>
                <w:r w:rsidR="004E1F05">
                  <w:rPr>
                    <w:rFonts w:ascii="Times New Roman" w:hAnsi="Times New Roman"/>
                    <w:noProof/>
                    <w:sz w:val="18"/>
                    <w:szCs w:val="18"/>
                    <w:lang w:val="en-GB"/>
                  </w:rPr>
                  <w:fldChar w:fldCharType="begin"/>
                </w:r>
                <w:r w:rsidR="004E1F05">
                  <w:rPr>
                    <w:rFonts w:ascii="Times New Roman" w:hAnsi="Times New Roman"/>
                    <w:noProof/>
                    <w:sz w:val="18"/>
                    <w:szCs w:val="18"/>
                    <w:lang w:val="en-GB"/>
                  </w:rPr>
                  <w:instrText xml:space="preserve"> CITATION Men09 \l 2057 </w:instrText>
                </w:r>
                <w:r w:rsidR="004E1F05">
                  <w:rPr>
                    <w:rFonts w:ascii="Times New Roman" w:hAnsi="Times New Roman"/>
                    <w:noProof/>
                    <w:sz w:val="18"/>
                    <w:szCs w:val="18"/>
                    <w:lang w:val="en-GB"/>
                  </w:rPr>
                  <w:fldChar w:fldCharType="separate"/>
                </w:r>
                <w:r w:rsidR="002D6947" w:rsidRPr="002D6947">
                  <w:rPr>
                    <w:rFonts w:ascii="Times New Roman" w:hAnsi="Times New Roman"/>
                    <w:noProof/>
                    <w:sz w:val="18"/>
                    <w:szCs w:val="18"/>
                    <w:lang w:val="en-GB"/>
                  </w:rPr>
                  <w:t>[121]</w:t>
                </w:r>
                <w:r w:rsidR="004E1F05">
                  <w:rPr>
                    <w:rFonts w:ascii="Times New Roman" w:hAnsi="Times New Roman"/>
                    <w:noProof/>
                    <w:sz w:val="18"/>
                    <w:szCs w:val="18"/>
                    <w:lang w:val="en-GB"/>
                  </w:rPr>
                  <w:fldChar w:fldCharType="end"/>
                </w:r>
              </w:sdtContent>
            </w:sdt>
          </w:p>
          <w:p w14:paraId="124652AD" w14:textId="77777777" w:rsidR="00081433" w:rsidRPr="002D393B" w:rsidRDefault="00081433" w:rsidP="00081433">
            <w:pPr>
              <w:pStyle w:val="Paragraphedeliste"/>
              <w:numPr>
                <w:ilvl w:val="0"/>
                <w:numId w:val="13"/>
              </w:numPr>
              <w:spacing w:after="0"/>
              <w:rPr>
                <w:rFonts w:ascii="Times New Roman" w:hAnsi="Times New Roman"/>
                <w:b/>
                <w:bCs/>
                <w:iCs/>
                <w:sz w:val="18"/>
                <w:szCs w:val="18"/>
              </w:rPr>
            </w:pPr>
            <w:r w:rsidRPr="002D393B">
              <w:rPr>
                <w:rFonts w:ascii="Times New Roman" w:hAnsi="Times New Roman"/>
                <w:b/>
                <w:sz w:val="18"/>
                <w:szCs w:val="18"/>
              </w:rPr>
              <w:t>Mechanisms</w:t>
            </w:r>
          </w:p>
          <w:p w14:paraId="2EDE6022" w14:textId="77777777" w:rsidR="00783FB8" w:rsidRPr="00081433" w:rsidRDefault="00783FB8" w:rsidP="00783FB8">
            <w:pPr>
              <w:jc w:val="both"/>
              <w:rPr>
                <w:b/>
                <w:bCs/>
                <w:i/>
                <w:iCs/>
                <w:sz w:val="18"/>
                <w:szCs w:val="18"/>
              </w:rPr>
            </w:pPr>
          </w:p>
          <w:p w14:paraId="241AD56A" w14:textId="77777777" w:rsidR="00783FB8" w:rsidRPr="00783FB8" w:rsidRDefault="00783FB8" w:rsidP="00783FB8">
            <w:pPr>
              <w:pStyle w:val="Paragraphedeliste"/>
              <w:numPr>
                <w:ilvl w:val="1"/>
                <w:numId w:val="13"/>
              </w:numPr>
              <w:spacing w:after="0"/>
              <w:jc w:val="both"/>
              <w:rPr>
                <w:rFonts w:ascii="Times New Roman" w:hAnsi="Times New Roman"/>
                <w:b/>
                <w:bCs/>
                <w:i/>
                <w:iCs/>
                <w:sz w:val="18"/>
                <w:szCs w:val="18"/>
              </w:rPr>
            </w:pPr>
            <w:r w:rsidRPr="009034B9">
              <w:rPr>
                <w:rFonts w:ascii="Times New Roman" w:hAnsi="Times New Roman"/>
                <w:bCs/>
                <w:iCs/>
                <w:sz w:val="18"/>
                <w:szCs w:val="18"/>
              </w:rPr>
              <w:t>Bio</w:t>
            </w:r>
            <w:r>
              <w:rPr>
                <w:rFonts w:ascii="Times New Roman" w:hAnsi="Times New Roman"/>
                <w:bCs/>
                <w:iCs/>
                <w:sz w:val="18"/>
                <w:szCs w:val="18"/>
              </w:rPr>
              <w:t>-</w:t>
            </w:r>
            <w:r w:rsidRPr="009034B9">
              <w:rPr>
                <w:rFonts w:ascii="Times New Roman" w:hAnsi="Times New Roman"/>
                <w:bCs/>
                <w:iCs/>
                <w:sz w:val="18"/>
                <w:szCs w:val="18"/>
              </w:rPr>
              <w:t>activation of parent drug that generates protein-reactive metabolites can activate the immune system.</w:t>
            </w:r>
          </w:p>
          <w:p w14:paraId="347A0DEA" w14:textId="77777777" w:rsidR="00783FB8" w:rsidRPr="00783FB8" w:rsidRDefault="00783FB8" w:rsidP="00783FB8">
            <w:pPr>
              <w:pStyle w:val="Paragraphedeliste"/>
              <w:spacing w:after="0"/>
              <w:ind w:left="1080"/>
              <w:jc w:val="both"/>
              <w:rPr>
                <w:rFonts w:ascii="Times New Roman" w:hAnsi="Times New Roman"/>
                <w:b/>
                <w:bCs/>
                <w:i/>
                <w:iCs/>
                <w:sz w:val="18"/>
                <w:szCs w:val="18"/>
              </w:rPr>
            </w:pPr>
          </w:p>
          <w:p w14:paraId="171E1747" w14:textId="25D21CBF" w:rsidR="00783FB8" w:rsidRPr="00313A98" w:rsidRDefault="00E57576" w:rsidP="004E1F05">
            <w:pPr>
              <w:pStyle w:val="Paragraphedeliste"/>
              <w:numPr>
                <w:ilvl w:val="1"/>
                <w:numId w:val="13"/>
              </w:numPr>
              <w:spacing w:after="0"/>
              <w:jc w:val="both"/>
              <w:rPr>
                <w:b/>
                <w:bCs/>
                <w:i/>
                <w:iCs/>
                <w:sz w:val="18"/>
                <w:szCs w:val="18"/>
                <w:lang w:val="en-GB"/>
              </w:rPr>
            </w:pPr>
            <w:r w:rsidRPr="004E1F05">
              <w:rPr>
                <w:rFonts w:ascii="Times New Roman" w:hAnsi="Times New Roman"/>
                <w:sz w:val="18"/>
                <w:szCs w:val="18"/>
                <w:lang w:val="en-GB"/>
              </w:rPr>
              <w:t>The pro-inflammatory cytokines such as IFN-</w:t>
            </w:r>
            <w:r w:rsidRPr="004E1F05">
              <w:rPr>
                <w:rFonts w:ascii="Times New Roman" w:hAnsi="Times New Roman"/>
                <w:sz w:val="18"/>
                <w:szCs w:val="18"/>
              </w:rPr>
              <w:t>γ</w:t>
            </w:r>
            <w:r w:rsidRPr="004E1F05">
              <w:rPr>
                <w:rFonts w:ascii="Times New Roman" w:hAnsi="Times New Roman"/>
                <w:sz w:val="18"/>
                <w:szCs w:val="18"/>
                <w:lang w:val="en-GB"/>
              </w:rPr>
              <w:t>, TNF-α and IL-1β are strongly associated with pathogenesis of DILI. Increased levels of IL-6, IL-8 and monocyte chemoattractant protein (MCP-1) have been observed in patients with elevated ALT (&gt;1000 IU/L) following acetaminophen overdose</w:t>
            </w:r>
            <w:r w:rsidR="00490F93" w:rsidRPr="004E1F05">
              <w:rPr>
                <w:rFonts w:ascii="Times New Roman" w:hAnsi="Times New Roman"/>
                <w:sz w:val="18"/>
                <w:szCs w:val="18"/>
                <w:lang w:val="en-GB"/>
              </w:rPr>
              <w:t xml:space="preserve"> </w:t>
            </w:r>
            <w:sdt>
              <w:sdtPr>
                <w:rPr>
                  <w:sz w:val="18"/>
                  <w:szCs w:val="18"/>
                  <w:lang w:val="en-GB"/>
                </w:rPr>
                <w:id w:val="-1820103329"/>
                <w:citation/>
              </w:sdtPr>
              <w:sdtEndPr/>
              <w:sdtContent>
                <w:r w:rsidR="004E1F05" w:rsidRPr="004E1F05">
                  <w:rPr>
                    <w:sz w:val="18"/>
                    <w:szCs w:val="18"/>
                    <w:lang w:val="en-GB"/>
                  </w:rPr>
                  <w:fldChar w:fldCharType="begin"/>
                </w:r>
                <w:r w:rsidR="004E1F05" w:rsidRPr="004E1F05">
                  <w:rPr>
                    <w:rFonts w:ascii="Times New Roman" w:hAnsi="Times New Roman"/>
                    <w:sz w:val="18"/>
                    <w:szCs w:val="18"/>
                    <w:lang w:val="en-GB"/>
                  </w:rPr>
                  <w:instrText xml:space="preserve"> CITATION Jam05 \l 2057 </w:instrText>
                </w:r>
                <w:r w:rsidR="004E1F05" w:rsidRPr="004E1F05">
                  <w:rPr>
                    <w:sz w:val="18"/>
                    <w:szCs w:val="18"/>
                    <w:lang w:val="en-GB"/>
                  </w:rPr>
                  <w:fldChar w:fldCharType="separate"/>
                </w:r>
                <w:r w:rsidR="002D6947" w:rsidRPr="002D6947">
                  <w:rPr>
                    <w:rFonts w:ascii="Times New Roman" w:hAnsi="Times New Roman"/>
                    <w:noProof/>
                    <w:sz w:val="18"/>
                    <w:szCs w:val="18"/>
                    <w:lang w:val="en-GB"/>
                  </w:rPr>
                  <w:t>[122]</w:t>
                </w:r>
                <w:r w:rsidR="004E1F05" w:rsidRPr="004E1F05">
                  <w:rPr>
                    <w:sz w:val="18"/>
                    <w:szCs w:val="18"/>
                    <w:lang w:val="en-GB"/>
                  </w:rPr>
                  <w:fldChar w:fldCharType="end"/>
                </w:r>
              </w:sdtContent>
            </w:sdt>
            <w:r w:rsidR="001870FB" w:rsidRPr="004E1F05">
              <w:rPr>
                <w:rFonts w:ascii="Times New Roman" w:hAnsi="Times New Roman"/>
                <w:noProof/>
                <w:sz w:val="18"/>
                <w:szCs w:val="18"/>
              </w:rPr>
              <w:t xml:space="preserve"> </w:t>
            </w:r>
            <w:r w:rsidRPr="004E1F05">
              <w:rPr>
                <w:rFonts w:ascii="Times New Roman" w:hAnsi="Times New Roman"/>
                <w:sz w:val="18"/>
                <w:szCs w:val="18"/>
                <w:lang w:val="en-GB"/>
              </w:rPr>
              <w:t>In other studies, increased serum levels of IL-17, IL-21, IL-1β, IL-10, IL-12, IL-13 and TNF-α were associated with the onset and progression of DILI</w:t>
            </w:r>
            <w:r w:rsidR="00313A98" w:rsidRPr="004E1F05">
              <w:rPr>
                <w:rFonts w:ascii="Times New Roman" w:hAnsi="Times New Roman"/>
                <w:sz w:val="18"/>
                <w:szCs w:val="18"/>
                <w:lang w:val="en-GB"/>
              </w:rPr>
              <w:t xml:space="preserve"> </w:t>
            </w:r>
            <w:sdt>
              <w:sdtPr>
                <w:rPr>
                  <w:sz w:val="18"/>
                  <w:szCs w:val="18"/>
                  <w:lang w:val="en-GB"/>
                </w:rPr>
                <w:id w:val="-1138488918"/>
                <w:citation/>
              </w:sdtPr>
              <w:sdtEndPr/>
              <w:sdtContent>
                <w:r w:rsidR="004E1F05" w:rsidRPr="004E1F05">
                  <w:rPr>
                    <w:sz w:val="18"/>
                    <w:szCs w:val="18"/>
                    <w:lang w:val="en-GB"/>
                  </w:rPr>
                  <w:fldChar w:fldCharType="begin"/>
                </w:r>
                <w:r w:rsidR="004E1F05" w:rsidRPr="004E1F05">
                  <w:rPr>
                    <w:rFonts w:ascii="Times New Roman" w:hAnsi="Times New Roman"/>
                    <w:sz w:val="18"/>
                    <w:szCs w:val="18"/>
                    <w:lang w:val="en-GB"/>
                  </w:rPr>
                  <w:instrText xml:space="preserve"> CITATION LiJ10 \l 2057 </w:instrText>
                </w:r>
                <w:r w:rsidR="004E1F05" w:rsidRPr="004E1F05">
                  <w:rPr>
                    <w:sz w:val="18"/>
                    <w:szCs w:val="18"/>
                    <w:lang w:val="en-GB"/>
                  </w:rPr>
                  <w:fldChar w:fldCharType="separate"/>
                </w:r>
                <w:r w:rsidR="002D6947" w:rsidRPr="002D6947">
                  <w:rPr>
                    <w:rFonts w:ascii="Times New Roman" w:hAnsi="Times New Roman"/>
                    <w:noProof/>
                    <w:sz w:val="18"/>
                    <w:szCs w:val="18"/>
                    <w:lang w:val="en-GB"/>
                  </w:rPr>
                  <w:t>[123]</w:t>
                </w:r>
                <w:r w:rsidR="004E1F05" w:rsidRPr="004E1F05">
                  <w:rPr>
                    <w:sz w:val="18"/>
                    <w:szCs w:val="18"/>
                    <w:lang w:val="en-GB"/>
                  </w:rPr>
                  <w:fldChar w:fldCharType="end"/>
                </w:r>
              </w:sdtContent>
            </w:sdt>
            <w:sdt>
              <w:sdtPr>
                <w:rPr>
                  <w:sz w:val="18"/>
                  <w:szCs w:val="18"/>
                  <w:lang w:val="en-GB"/>
                </w:rPr>
                <w:id w:val="237451790"/>
                <w:citation/>
              </w:sdtPr>
              <w:sdtEndPr/>
              <w:sdtContent>
                <w:r w:rsidR="004E1F05" w:rsidRPr="004E1F05">
                  <w:rPr>
                    <w:sz w:val="18"/>
                    <w:szCs w:val="18"/>
                    <w:lang w:val="en-GB"/>
                  </w:rPr>
                  <w:fldChar w:fldCharType="begin"/>
                </w:r>
                <w:r w:rsidR="004E1F05" w:rsidRPr="004E1F05">
                  <w:rPr>
                    <w:rFonts w:ascii="Times New Roman" w:hAnsi="Times New Roman"/>
                    <w:sz w:val="18"/>
                    <w:szCs w:val="18"/>
                    <w:lang w:val="en-GB"/>
                  </w:rPr>
                  <w:instrText xml:space="preserve"> CITATION Kak14 \l 2057 </w:instrText>
                </w:r>
                <w:r w:rsidR="004E1F05" w:rsidRPr="004E1F05">
                  <w:rPr>
                    <w:sz w:val="18"/>
                    <w:szCs w:val="18"/>
                    <w:lang w:val="en-GB"/>
                  </w:rPr>
                  <w:fldChar w:fldCharType="separate"/>
                </w:r>
                <w:r w:rsidR="002D6947">
                  <w:rPr>
                    <w:rFonts w:ascii="Times New Roman" w:hAnsi="Times New Roman"/>
                    <w:noProof/>
                    <w:sz w:val="18"/>
                    <w:szCs w:val="18"/>
                    <w:lang w:val="en-GB"/>
                  </w:rPr>
                  <w:t xml:space="preserve"> </w:t>
                </w:r>
                <w:r w:rsidR="002D6947" w:rsidRPr="002D6947">
                  <w:rPr>
                    <w:rFonts w:ascii="Times New Roman" w:hAnsi="Times New Roman"/>
                    <w:noProof/>
                    <w:sz w:val="18"/>
                    <w:szCs w:val="18"/>
                    <w:lang w:val="en-GB"/>
                  </w:rPr>
                  <w:t>[124]</w:t>
                </w:r>
                <w:r w:rsidR="004E1F05" w:rsidRPr="004E1F05">
                  <w:rPr>
                    <w:sz w:val="18"/>
                    <w:szCs w:val="18"/>
                    <w:lang w:val="en-GB"/>
                  </w:rPr>
                  <w:fldChar w:fldCharType="end"/>
                </w:r>
              </w:sdtContent>
            </w:sdt>
          </w:p>
          <w:p w14:paraId="7407C558" w14:textId="08A59E69" w:rsidR="00783FB8" w:rsidRPr="004E1F05" w:rsidRDefault="00783FB8" w:rsidP="004E1F05">
            <w:pPr>
              <w:pStyle w:val="Paragraphedeliste"/>
              <w:numPr>
                <w:ilvl w:val="1"/>
                <w:numId w:val="13"/>
              </w:numPr>
              <w:spacing w:after="0"/>
              <w:jc w:val="both"/>
              <w:rPr>
                <w:rFonts w:ascii="Times New Roman" w:hAnsi="Times New Roman"/>
                <w:b/>
                <w:bCs/>
                <w:i/>
                <w:iCs/>
                <w:sz w:val="18"/>
                <w:szCs w:val="18"/>
              </w:rPr>
            </w:pPr>
            <w:r w:rsidRPr="004E1F05">
              <w:rPr>
                <w:rFonts w:ascii="Times New Roman" w:hAnsi="Times New Roman"/>
                <w:sz w:val="18"/>
                <w:szCs w:val="18"/>
                <w:lang w:val="en-GB"/>
              </w:rPr>
              <w:t>While IL-6 and TNF-α is linked to DILI progression, the expression of IL-10 is often associated with liver protection and resolution of symptoms. Nevertheless, the upregulation of IL-10 during the early phase of acute liver failure is correlated with poor disease prognosis in patients</w:t>
            </w:r>
            <w:sdt>
              <w:sdtPr>
                <w:rPr>
                  <w:rFonts w:ascii="Times New Roman" w:hAnsi="Times New Roman"/>
                  <w:sz w:val="18"/>
                  <w:szCs w:val="18"/>
                  <w:lang w:val="en-GB"/>
                </w:rPr>
                <w:id w:val="-218666176"/>
                <w:citation/>
              </w:sdtPr>
              <w:sdtEndPr/>
              <w:sdtContent>
                <w:r w:rsidR="004E1F05">
                  <w:rPr>
                    <w:rFonts w:ascii="Times New Roman" w:hAnsi="Times New Roman"/>
                    <w:sz w:val="18"/>
                    <w:szCs w:val="18"/>
                    <w:lang w:val="en-GB"/>
                  </w:rPr>
                  <w:fldChar w:fldCharType="begin"/>
                </w:r>
                <w:r w:rsidR="004E1F05">
                  <w:rPr>
                    <w:rFonts w:ascii="Times New Roman" w:hAnsi="Times New Roman"/>
                    <w:sz w:val="18"/>
                    <w:szCs w:val="18"/>
                    <w:lang w:val="en-GB"/>
                  </w:rPr>
                  <w:instrText xml:space="preserve"> CITATION Ber10 \l 2057 </w:instrText>
                </w:r>
                <w:r w:rsidR="004E1F05">
                  <w:rPr>
                    <w:rFonts w:ascii="Times New Roman" w:hAnsi="Times New Roman"/>
                    <w:sz w:val="18"/>
                    <w:szCs w:val="18"/>
                    <w:lang w:val="en-GB"/>
                  </w:rPr>
                  <w:fldChar w:fldCharType="separate"/>
                </w:r>
                <w:r w:rsidR="002D6947">
                  <w:rPr>
                    <w:rFonts w:ascii="Times New Roman" w:hAnsi="Times New Roman"/>
                    <w:noProof/>
                    <w:sz w:val="18"/>
                    <w:szCs w:val="18"/>
                    <w:lang w:val="en-GB"/>
                  </w:rPr>
                  <w:t xml:space="preserve"> </w:t>
                </w:r>
                <w:r w:rsidR="002D6947" w:rsidRPr="002D6947">
                  <w:rPr>
                    <w:rFonts w:ascii="Times New Roman" w:hAnsi="Times New Roman"/>
                    <w:noProof/>
                    <w:sz w:val="18"/>
                    <w:szCs w:val="18"/>
                    <w:lang w:val="en-GB"/>
                  </w:rPr>
                  <w:t>[125]</w:t>
                </w:r>
                <w:r w:rsidR="004E1F05">
                  <w:rPr>
                    <w:rFonts w:ascii="Times New Roman" w:hAnsi="Times New Roman"/>
                    <w:sz w:val="18"/>
                    <w:szCs w:val="18"/>
                    <w:lang w:val="en-GB"/>
                  </w:rPr>
                  <w:fldChar w:fldCharType="end"/>
                </w:r>
              </w:sdtContent>
            </w:sdt>
          </w:p>
          <w:p w14:paraId="22B0A8E0" w14:textId="77777777" w:rsidR="004E1F05" w:rsidRPr="004E1F05" w:rsidRDefault="004E1F05" w:rsidP="004E1F05">
            <w:pPr>
              <w:pStyle w:val="Paragraphedeliste"/>
              <w:spacing w:after="0"/>
              <w:ind w:left="1080"/>
              <w:jc w:val="both"/>
              <w:rPr>
                <w:rFonts w:ascii="Times New Roman" w:hAnsi="Times New Roman"/>
                <w:b/>
                <w:bCs/>
                <w:i/>
                <w:iCs/>
                <w:sz w:val="18"/>
                <w:szCs w:val="18"/>
              </w:rPr>
            </w:pPr>
          </w:p>
          <w:p w14:paraId="692AA5BF" w14:textId="77777777" w:rsidR="00E57576" w:rsidRPr="009034B9" w:rsidRDefault="00E57576" w:rsidP="00783FB8">
            <w:pPr>
              <w:pStyle w:val="Paragraphedeliste"/>
              <w:numPr>
                <w:ilvl w:val="1"/>
                <w:numId w:val="13"/>
              </w:numPr>
              <w:spacing w:after="0"/>
              <w:jc w:val="both"/>
              <w:rPr>
                <w:rFonts w:ascii="Times New Roman" w:hAnsi="Times New Roman"/>
                <w:b/>
                <w:bCs/>
                <w:i/>
                <w:iCs/>
                <w:sz w:val="18"/>
                <w:szCs w:val="18"/>
              </w:rPr>
            </w:pPr>
            <w:r w:rsidRPr="009034B9">
              <w:rPr>
                <w:rFonts w:ascii="Times New Roman" w:hAnsi="Times New Roman"/>
                <w:sz w:val="18"/>
                <w:szCs w:val="18"/>
                <w:lang w:val="en-GB"/>
              </w:rPr>
              <w:t xml:space="preserve">Associations between susceptibility to </w:t>
            </w:r>
            <w:proofErr w:type="spellStart"/>
            <w:r w:rsidRPr="009034B9">
              <w:rPr>
                <w:rFonts w:ascii="Times New Roman" w:hAnsi="Times New Roman"/>
                <w:sz w:val="18"/>
                <w:szCs w:val="18"/>
                <w:lang w:val="en-GB"/>
              </w:rPr>
              <w:t>iDILI</w:t>
            </w:r>
            <w:proofErr w:type="spellEnd"/>
            <w:r w:rsidRPr="009034B9">
              <w:rPr>
                <w:rFonts w:ascii="Times New Roman" w:hAnsi="Times New Roman"/>
                <w:sz w:val="18"/>
                <w:szCs w:val="18"/>
                <w:lang w:val="en-GB"/>
              </w:rPr>
              <w:t xml:space="preserve"> and the expression o</w:t>
            </w:r>
            <w:r w:rsidR="00D53ACB">
              <w:rPr>
                <w:rFonts w:ascii="Times New Roman" w:hAnsi="Times New Roman"/>
                <w:sz w:val="18"/>
                <w:szCs w:val="18"/>
                <w:lang w:val="en-GB"/>
              </w:rPr>
              <w:t>f</w:t>
            </w:r>
            <w:r w:rsidRPr="009034B9">
              <w:rPr>
                <w:rFonts w:ascii="Times New Roman" w:hAnsi="Times New Roman"/>
                <w:sz w:val="18"/>
                <w:szCs w:val="18"/>
                <w:lang w:val="en-GB"/>
              </w:rPr>
              <w:t xml:space="preserve"> HLA have been established.</w:t>
            </w:r>
          </w:p>
          <w:p w14:paraId="24257611" w14:textId="77777777" w:rsidR="00783FB8" w:rsidRPr="00783FB8" w:rsidRDefault="00783FB8" w:rsidP="00783FB8">
            <w:pPr>
              <w:pStyle w:val="Paragraphedeliste"/>
              <w:spacing w:after="0"/>
              <w:ind w:left="360"/>
              <w:jc w:val="both"/>
              <w:rPr>
                <w:rFonts w:ascii="Times New Roman" w:hAnsi="Times New Roman"/>
                <w:b/>
                <w:bCs/>
                <w:i/>
                <w:iCs/>
                <w:sz w:val="18"/>
                <w:szCs w:val="18"/>
              </w:rPr>
            </w:pPr>
          </w:p>
          <w:p w14:paraId="4C2F304F" w14:textId="77777777" w:rsidR="00E57576" w:rsidRPr="009034B9" w:rsidRDefault="00E57576" w:rsidP="00783FB8">
            <w:pPr>
              <w:pStyle w:val="Paragraphedeliste"/>
              <w:numPr>
                <w:ilvl w:val="1"/>
                <w:numId w:val="13"/>
              </w:numPr>
              <w:spacing w:after="0"/>
              <w:jc w:val="both"/>
              <w:rPr>
                <w:rFonts w:ascii="Times New Roman" w:hAnsi="Times New Roman"/>
                <w:b/>
                <w:bCs/>
                <w:i/>
                <w:iCs/>
                <w:sz w:val="18"/>
                <w:szCs w:val="18"/>
              </w:rPr>
            </w:pPr>
            <w:r w:rsidRPr="009034B9">
              <w:rPr>
                <w:rFonts w:ascii="Times New Roman" w:hAnsi="Times New Roman"/>
                <w:sz w:val="18"/>
                <w:szCs w:val="18"/>
              </w:rPr>
              <w:t xml:space="preserve">Of three immune-mediated mechanisms of </w:t>
            </w:r>
            <w:proofErr w:type="spellStart"/>
            <w:r w:rsidRPr="009034B9">
              <w:rPr>
                <w:rFonts w:ascii="Times New Roman" w:hAnsi="Times New Roman"/>
                <w:sz w:val="18"/>
                <w:szCs w:val="18"/>
              </w:rPr>
              <w:t>iDILI</w:t>
            </w:r>
            <w:proofErr w:type="spellEnd"/>
            <w:r w:rsidRPr="009034B9">
              <w:rPr>
                <w:rFonts w:ascii="Times New Roman" w:hAnsi="Times New Roman"/>
                <w:sz w:val="18"/>
                <w:szCs w:val="18"/>
              </w:rPr>
              <w:t xml:space="preserve">, the </w:t>
            </w:r>
            <w:proofErr w:type="spellStart"/>
            <w:r w:rsidRPr="009034B9">
              <w:rPr>
                <w:rFonts w:ascii="Times New Roman" w:hAnsi="Times New Roman"/>
                <w:sz w:val="18"/>
                <w:szCs w:val="18"/>
              </w:rPr>
              <w:t>hapten</w:t>
            </w:r>
            <w:proofErr w:type="spellEnd"/>
            <w:r w:rsidRPr="009034B9">
              <w:rPr>
                <w:rFonts w:ascii="Times New Roman" w:hAnsi="Times New Roman"/>
                <w:sz w:val="18"/>
                <w:szCs w:val="18"/>
              </w:rPr>
              <w:t xml:space="preserve"> hypothesis has been demonstrated in ADRs targeting the liver</w:t>
            </w:r>
            <w:r w:rsidR="00BB07EC">
              <w:rPr>
                <w:rFonts w:ascii="Times New Roman" w:hAnsi="Times New Roman"/>
                <w:sz w:val="18"/>
                <w:szCs w:val="18"/>
              </w:rPr>
              <w:t xml:space="preserve"> </w:t>
            </w:r>
            <w:r w:rsidR="00BB07EC" w:rsidRPr="00BB07EC">
              <w:rPr>
                <w:rFonts w:ascii="Times New Roman" w:hAnsi="Times New Roman"/>
                <w:noProof/>
                <w:sz w:val="18"/>
                <w:szCs w:val="18"/>
              </w:rPr>
              <w:t xml:space="preserve"> </w:t>
            </w:r>
            <w:sdt>
              <w:sdtPr>
                <w:rPr>
                  <w:rFonts w:ascii="Times New Roman" w:hAnsi="Times New Roman"/>
                  <w:noProof/>
                  <w:sz w:val="18"/>
                  <w:szCs w:val="18"/>
                </w:rPr>
                <w:id w:val="-582068115"/>
                <w:citation/>
              </w:sdtPr>
              <w:sdtEndPr/>
              <w:sdtContent>
                <w:r w:rsidR="00B70C3E">
                  <w:rPr>
                    <w:rFonts w:ascii="Times New Roman" w:hAnsi="Times New Roman"/>
                    <w:noProof/>
                    <w:sz w:val="18"/>
                    <w:szCs w:val="18"/>
                  </w:rPr>
                  <w:fldChar w:fldCharType="begin"/>
                </w:r>
                <w:r w:rsidR="00B70C3E">
                  <w:rPr>
                    <w:rFonts w:ascii="Times New Roman" w:hAnsi="Times New Roman"/>
                    <w:noProof/>
                    <w:sz w:val="18"/>
                    <w:szCs w:val="18"/>
                    <w:lang w:val="en-GB"/>
                  </w:rPr>
                  <w:instrText xml:space="preserve"> CITATION Mon14 \l 2057 </w:instrText>
                </w:r>
                <w:r w:rsidR="00B70C3E">
                  <w:rPr>
                    <w:rFonts w:ascii="Times New Roman" w:hAnsi="Times New Roman"/>
                    <w:noProof/>
                    <w:sz w:val="18"/>
                    <w:szCs w:val="18"/>
                  </w:rPr>
                  <w:fldChar w:fldCharType="separate"/>
                </w:r>
                <w:r w:rsidR="002D6947" w:rsidRPr="002D6947">
                  <w:rPr>
                    <w:rFonts w:ascii="Times New Roman" w:hAnsi="Times New Roman"/>
                    <w:noProof/>
                    <w:sz w:val="18"/>
                    <w:szCs w:val="18"/>
                    <w:lang w:val="en-GB"/>
                  </w:rPr>
                  <w:t>[70]</w:t>
                </w:r>
                <w:r w:rsidR="00B70C3E">
                  <w:rPr>
                    <w:rFonts w:ascii="Times New Roman" w:hAnsi="Times New Roman"/>
                    <w:noProof/>
                    <w:sz w:val="18"/>
                    <w:szCs w:val="18"/>
                  </w:rPr>
                  <w:fldChar w:fldCharType="end"/>
                </w:r>
              </w:sdtContent>
            </w:sdt>
          </w:p>
          <w:p w14:paraId="495D2123" w14:textId="77777777" w:rsidR="00E57576" w:rsidRPr="009034B9" w:rsidRDefault="00E57576" w:rsidP="00483542">
            <w:pPr>
              <w:spacing w:line="276" w:lineRule="auto"/>
              <w:rPr>
                <w:b/>
                <w:bCs/>
                <w:i/>
                <w:iCs/>
                <w:sz w:val="18"/>
                <w:szCs w:val="18"/>
                <w:highlight w:val="yellow"/>
                <w:lang w:val="en-US"/>
              </w:rPr>
            </w:pPr>
          </w:p>
          <w:p w14:paraId="14CD1EC6" w14:textId="77777777" w:rsidR="00E57576" w:rsidRDefault="00E57576" w:rsidP="00483542">
            <w:pPr>
              <w:spacing w:line="276" w:lineRule="auto"/>
              <w:rPr>
                <w:b/>
                <w:bCs/>
                <w:i/>
                <w:iCs/>
                <w:sz w:val="18"/>
                <w:szCs w:val="18"/>
                <w:lang w:val="en-US"/>
              </w:rPr>
            </w:pPr>
            <w:r w:rsidRPr="009034B9">
              <w:rPr>
                <w:b/>
                <w:bCs/>
                <w:i/>
                <w:iCs/>
                <w:sz w:val="18"/>
                <w:szCs w:val="18"/>
                <w:lang w:val="en-US"/>
              </w:rPr>
              <w:t>Gaps in the knowledge and available in vitro tests for safety assessment</w:t>
            </w:r>
          </w:p>
          <w:p w14:paraId="1C224A5A" w14:textId="77777777" w:rsidR="00783FB8" w:rsidRPr="009034B9" w:rsidRDefault="00783FB8" w:rsidP="00483542">
            <w:pPr>
              <w:spacing w:line="276" w:lineRule="auto"/>
              <w:rPr>
                <w:sz w:val="18"/>
                <w:szCs w:val="18"/>
                <w:lang w:val="en-US"/>
              </w:rPr>
            </w:pPr>
          </w:p>
          <w:p w14:paraId="6A8B2FEA" w14:textId="77777777" w:rsidR="00E57576" w:rsidRDefault="00E57576" w:rsidP="00081433">
            <w:pPr>
              <w:pStyle w:val="Paragraphedeliste"/>
              <w:numPr>
                <w:ilvl w:val="0"/>
                <w:numId w:val="13"/>
              </w:numPr>
              <w:spacing w:after="0"/>
              <w:rPr>
                <w:rFonts w:ascii="Times New Roman" w:hAnsi="Times New Roman"/>
                <w:sz w:val="18"/>
                <w:szCs w:val="18"/>
                <w:lang w:val="en-GB"/>
              </w:rPr>
            </w:pPr>
            <w:r w:rsidRPr="009034B9">
              <w:rPr>
                <w:rFonts w:ascii="Times New Roman" w:hAnsi="Times New Roman"/>
                <w:sz w:val="18"/>
                <w:szCs w:val="18"/>
                <w:lang w:val="en-GB"/>
              </w:rPr>
              <w:t xml:space="preserve">It is unknown whether antigen presentation and activation of T cells occurs in the liver or whether </w:t>
            </w:r>
            <w:r w:rsidR="00D53ACB" w:rsidRPr="009034B9">
              <w:rPr>
                <w:rFonts w:ascii="Times New Roman" w:hAnsi="Times New Roman"/>
                <w:sz w:val="18"/>
                <w:szCs w:val="18"/>
                <w:lang w:val="en-GB"/>
              </w:rPr>
              <w:t>dendritic</w:t>
            </w:r>
            <w:r w:rsidRPr="009034B9">
              <w:rPr>
                <w:rFonts w:ascii="Times New Roman" w:hAnsi="Times New Roman"/>
                <w:sz w:val="18"/>
                <w:szCs w:val="18"/>
                <w:lang w:val="en-GB"/>
              </w:rPr>
              <w:t xml:space="preserve"> cells migrate to the lymph nodes where they prime and activate T cells</w:t>
            </w:r>
            <w:r w:rsidR="00EE5362">
              <w:rPr>
                <w:rFonts w:ascii="Times New Roman" w:hAnsi="Times New Roman"/>
                <w:sz w:val="18"/>
                <w:szCs w:val="18"/>
                <w:lang w:val="en-GB"/>
              </w:rPr>
              <w:t>.</w:t>
            </w:r>
          </w:p>
          <w:p w14:paraId="78BA2050" w14:textId="77777777" w:rsidR="00783FB8" w:rsidRPr="009034B9" w:rsidRDefault="00783FB8" w:rsidP="00783FB8">
            <w:pPr>
              <w:pStyle w:val="Paragraphedeliste"/>
              <w:spacing w:after="0"/>
              <w:ind w:left="360"/>
              <w:rPr>
                <w:rFonts w:ascii="Times New Roman" w:hAnsi="Times New Roman"/>
                <w:sz w:val="18"/>
                <w:szCs w:val="18"/>
                <w:lang w:val="en-GB"/>
              </w:rPr>
            </w:pPr>
          </w:p>
          <w:p w14:paraId="38B3571C" w14:textId="54BADF83" w:rsidR="00783FB8" w:rsidRPr="00E77A34" w:rsidRDefault="00E57576" w:rsidP="00E77A34">
            <w:pPr>
              <w:pStyle w:val="Paragraphedeliste"/>
              <w:numPr>
                <w:ilvl w:val="0"/>
                <w:numId w:val="13"/>
              </w:numPr>
              <w:spacing w:after="0"/>
              <w:rPr>
                <w:sz w:val="18"/>
                <w:szCs w:val="18"/>
                <w:lang w:val="en-GB"/>
              </w:rPr>
            </w:pPr>
            <w:r w:rsidRPr="00E77A34">
              <w:rPr>
                <w:rFonts w:ascii="Times New Roman" w:hAnsi="Times New Roman"/>
                <w:sz w:val="18"/>
                <w:szCs w:val="18"/>
                <w:lang w:val="en-GB"/>
              </w:rPr>
              <w:t xml:space="preserve">Whilst the role of cytokines in in vitro studies by use of PHH remains unequivocal, use of the </w:t>
            </w:r>
            <w:proofErr w:type="spellStart"/>
            <w:r w:rsidRPr="00E77A34">
              <w:rPr>
                <w:rFonts w:ascii="Times New Roman" w:hAnsi="Times New Roman"/>
                <w:sz w:val="18"/>
                <w:szCs w:val="18"/>
                <w:lang w:val="en-GB"/>
              </w:rPr>
              <w:t>HepaRG</w:t>
            </w:r>
            <w:proofErr w:type="spellEnd"/>
            <w:r w:rsidRPr="00E77A34">
              <w:rPr>
                <w:rFonts w:ascii="Times New Roman" w:hAnsi="Times New Roman"/>
                <w:sz w:val="18"/>
                <w:szCs w:val="18"/>
                <w:lang w:val="en-GB"/>
              </w:rPr>
              <w:t xml:space="preserve"> cell-line with reproducible biochemical readouts permits measure of the role of IL6 signal</w:t>
            </w:r>
            <w:r w:rsidR="006F66D5" w:rsidRPr="00E77A34">
              <w:rPr>
                <w:rFonts w:ascii="Times New Roman" w:hAnsi="Times New Roman"/>
                <w:sz w:val="18"/>
                <w:szCs w:val="18"/>
                <w:lang w:val="en-GB"/>
              </w:rPr>
              <w:t>l</w:t>
            </w:r>
            <w:r w:rsidRPr="00E77A34">
              <w:rPr>
                <w:rFonts w:ascii="Times New Roman" w:hAnsi="Times New Roman"/>
                <w:sz w:val="18"/>
                <w:szCs w:val="18"/>
                <w:lang w:val="en-GB"/>
              </w:rPr>
              <w:t>ing relative to corresponding controls</w:t>
            </w:r>
            <w:sdt>
              <w:sdtPr>
                <w:rPr>
                  <w:rFonts w:ascii="Times New Roman" w:hAnsi="Times New Roman"/>
                  <w:sz w:val="18"/>
                  <w:szCs w:val="18"/>
                  <w:lang w:val="en-GB"/>
                </w:rPr>
                <w:id w:val="1787855081"/>
                <w:citation/>
              </w:sdtPr>
              <w:sdtEndPr/>
              <w:sdtContent>
                <w:r w:rsidR="00E77A34" w:rsidRPr="00E77A34">
                  <w:rPr>
                    <w:rFonts w:ascii="Times New Roman" w:hAnsi="Times New Roman"/>
                    <w:sz w:val="18"/>
                    <w:szCs w:val="18"/>
                    <w:lang w:val="en-GB"/>
                  </w:rPr>
                  <w:fldChar w:fldCharType="begin"/>
                </w:r>
                <w:r w:rsidR="00E77A34" w:rsidRPr="00E77A34">
                  <w:rPr>
                    <w:rFonts w:ascii="Times New Roman" w:hAnsi="Times New Roman"/>
                    <w:sz w:val="18"/>
                    <w:szCs w:val="18"/>
                    <w:lang w:val="en-GB"/>
                  </w:rPr>
                  <w:instrText xml:space="preserve"> CITATION Dub14 \l 2057 </w:instrText>
                </w:r>
                <w:r w:rsidR="00E77A34" w:rsidRPr="00E77A34">
                  <w:rPr>
                    <w:rFonts w:ascii="Times New Roman" w:hAnsi="Times New Roman"/>
                    <w:sz w:val="18"/>
                    <w:szCs w:val="18"/>
                    <w:lang w:val="en-GB"/>
                  </w:rPr>
                  <w:fldChar w:fldCharType="separate"/>
                </w:r>
                <w:r w:rsidR="002D6947">
                  <w:rPr>
                    <w:rFonts w:ascii="Times New Roman" w:hAnsi="Times New Roman"/>
                    <w:noProof/>
                    <w:sz w:val="18"/>
                    <w:szCs w:val="18"/>
                    <w:lang w:val="en-GB"/>
                  </w:rPr>
                  <w:t xml:space="preserve"> </w:t>
                </w:r>
                <w:r w:rsidR="002D6947" w:rsidRPr="002D6947">
                  <w:rPr>
                    <w:rFonts w:ascii="Times New Roman" w:hAnsi="Times New Roman"/>
                    <w:noProof/>
                    <w:sz w:val="18"/>
                    <w:szCs w:val="18"/>
                    <w:lang w:val="en-GB"/>
                  </w:rPr>
                  <w:t>[126]</w:t>
                </w:r>
                <w:r w:rsidR="00E77A34" w:rsidRPr="00E77A34">
                  <w:rPr>
                    <w:rFonts w:ascii="Times New Roman" w:hAnsi="Times New Roman"/>
                    <w:sz w:val="18"/>
                    <w:szCs w:val="18"/>
                    <w:lang w:val="en-GB"/>
                  </w:rPr>
                  <w:fldChar w:fldCharType="end"/>
                </w:r>
              </w:sdtContent>
            </w:sdt>
            <w:r w:rsidR="00313A98" w:rsidRPr="00E77A34">
              <w:rPr>
                <w:rFonts w:ascii="Times New Roman" w:hAnsi="Times New Roman"/>
                <w:sz w:val="18"/>
                <w:szCs w:val="18"/>
                <w:lang w:val="en-GB"/>
              </w:rPr>
              <w:t xml:space="preserve"> </w:t>
            </w:r>
          </w:p>
          <w:p w14:paraId="738E53C6" w14:textId="77777777" w:rsidR="00E77A34" w:rsidRPr="00E77A34" w:rsidRDefault="00E77A34" w:rsidP="00E77A34">
            <w:pPr>
              <w:rPr>
                <w:sz w:val="18"/>
                <w:szCs w:val="18"/>
                <w:lang w:val="en-GB"/>
              </w:rPr>
            </w:pPr>
          </w:p>
          <w:p w14:paraId="532195DA" w14:textId="0E08B69E" w:rsidR="00783FB8" w:rsidRPr="00B70C3E" w:rsidRDefault="00E57576" w:rsidP="00783FB8">
            <w:pPr>
              <w:pStyle w:val="Paragraphedeliste"/>
              <w:numPr>
                <w:ilvl w:val="0"/>
                <w:numId w:val="13"/>
              </w:numPr>
              <w:spacing w:after="0"/>
              <w:rPr>
                <w:sz w:val="18"/>
                <w:szCs w:val="18"/>
                <w:lang w:val="en-GB"/>
              </w:rPr>
            </w:pPr>
            <w:r w:rsidRPr="007A7FB5">
              <w:rPr>
                <w:rFonts w:ascii="Times New Roman" w:hAnsi="Times New Roman"/>
                <w:sz w:val="18"/>
                <w:szCs w:val="18"/>
                <w:lang w:val="en-GB"/>
              </w:rPr>
              <w:t>Capacity of in vitro covalent binding tests and cell viability is limited by poor sensitivity and prediction</w:t>
            </w:r>
            <w:sdt>
              <w:sdtPr>
                <w:rPr>
                  <w:rFonts w:ascii="Times New Roman" w:hAnsi="Times New Roman"/>
                  <w:noProof/>
                  <w:sz w:val="18"/>
                  <w:szCs w:val="18"/>
                  <w:lang w:val="en-GB"/>
                </w:rPr>
                <w:id w:val="-1949298288"/>
                <w:citation/>
              </w:sdtPr>
              <w:sdtEndPr/>
              <w:sdtContent>
                <w:r w:rsidR="00E77A34">
                  <w:rPr>
                    <w:rFonts w:ascii="Times New Roman" w:hAnsi="Times New Roman"/>
                    <w:noProof/>
                    <w:sz w:val="18"/>
                    <w:szCs w:val="18"/>
                    <w:lang w:val="en-GB"/>
                  </w:rPr>
                  <w:fldChar w:fldCharType="begin"/>
                </w:r>
                <w:r w:rsidR="00E77A34">
                  <w:rPr>
                    <w:rFonts w:ascii="Times New Roman" w:hAnsi="Times New Roman"/>
                    <w:noProof/>
                    <w:sz w:val="18"/>
                    <w:szCs w:val="18"/>
                    <w:lang w:val="en-GB"/>
                  </w:rPr>
                  <w:instrText xml:space="preserve"> CITATION Usu10 \l 2057 </w:instrText>
                </w:r>
                <w:r w:rsidR="00E77A34">
                  <w:rPr>
                    <w:rFonts w:ascii="Times New Roman" w:hAnsi="Times New Roman"/>
                    <w:noProof/>
                    <w:sz w:val="18"/>
                    <w:szCs w:val="18"/>
                    <w:lang w:val="en-GB"/>
                  </w:rPr>
                  <w:fldChar w:fldCharType="separate"/>
                </w:r>
                <w:r w:rsidR="002D6947">
                  <w:rPr>
                    <w:rFonts w:ascii="Times New Roman" w:hAnsi="Times New Roman"/>
                    <w:noProof/>
                    <w:sz w:val="18"/>
                    <w:szCs w:val="18"/>
                    <w:lang w:val="en-GB"/>
                  </w:rPr>
                  <w:t xml:space="preserve"> </w:t>
                </w:r>
                <w:r w:rsidR="002D6947" w:rsidRPr="002D6947">
                  <w:rPr>
                    <w:rFonts w:ascii="Times New Roman" w:hAnsi="Times New Roman"/>
                    <w:noProof/>
                    <w:sz w:val="18"/>
                    <w:szCs w:val="18"/>
                    <w:lang w:val="en-GB"/>
                  </w:rPr>
                  <w:t>[102]</w:t>
                </w:r>
                <w:r w:rsidR="00E77A34">
                  <w:rPr>
                    <w:rFonts w:ascii="Times New Roman" w:hAnsi="Times New Roman"/>
                    <w:noProof/>
                    <w:sz w:val="18"/>
                    <w:szCs w:val="18"/>
                    <w:lang w:val="en-GB"/>
                  </w:rPr>
                  <w:fldChar w:fldCharType="end"/>
                </w:r>
              </w:sdtContent>
            </w:sdt>
          </w:p>
          <w:p w14:paraId="4A7EAD61" w14:textId="77777777" w:rsidR="00B70C3E" w:rsidRPr="00B70C3E" w:rsidRDefault="00B70C3E" w:rsidP="00B70C3E">
            <w:pPr>
              <w:rPr>
                <w:sz w:val="18"/>
                <w:szCs w:val="18"/>
                <w:lang w:val="en-GB"/>
              </w:rPr>
            </w:pPr>
          </w:p>
          <w:p w14:paraId="1885183A" w14:textId="0110BD8D" w:rsidR="00E57576" w:rsidRPr="009034B9" w:rsidRDefault="003F0DD0" w:rsidP="00E77A34">
            <w:pPr>
              <w:pStyle w:val="Paragraphedeliste"/>
              <w:numPr>
                <w:ilvl w:val="0"/>
                <w:numId w:val="13"/>
              </w:numPr>
              <w:spacing w:after="0"/>
              <w:rPr>
                <w:rFonts w:ascii="Times New Roman" w:hAnsi="Times New Roman"/>
                <w:sz w:val="18"/>
                <w:szCs w:val="18"/>
                <w:lang w:val="en-GB"/>
              </w:rPr>
            </w:pPr>
            <w:r w:rsidRPr="000E4F96">
              <w:rPr>
                <w:rFonts w:ascii="Times New Roman" w:hAnsi="Times New Roman"/>
                <w:sz w:val="18"/>
                <w:szCs w:val="18"/>
                <w:lang w:val="en-GB"/>
              </w:rPr>
              <w:t>Recently,</w:t>
            </w:r>
            <w:r w:rsidR="00E57576" w:rsidRPr="000E4F96">
              <w:rPr>
                <w:rFonts w:ascii="Times New Roman" w:hAnsi="Times New Roman"/>
                <w:sz w:val="18"/>
                <w:szCs w:val="18"/>
                <w:lang w:val="en-GB"/>
              </w:rPr>
              <w:t xml:space="preserve"> </w:t>
            </w:r>
            <w:r w:rsidR="00E57576" w:rsidRPr="000E4F96">
              <w:rPr>
                <w:rFonts w:ascii="Times New Roman" w:hAnsi="Times New Roman"/>
                <w:i/>
                <w:sz w:val="18"/>
                <w:szCs w:val="18"/>
                <w:lang w:val="en-GB"/>
              </w:rPr>
              <w:t xml:space="preserve">in vitro </w:t>
            </w:r>
            <w:r w:rsidR="00E57576" w:rsidRPr="000E4F96">
              <w:rPr>
                <w:rFonts w:ascii="Times New Roman" w:hAnsi="Times New Roman"/>
                <w:sz w:val="18"/>
                <w:szCs w:val="18"/>
                <w:lang w:val="en-GB"/>
              </w:rPr>
              <w:t>assay capable of integrating inflammatory and immune gene signatures to predict the potential of a drug to initiate DILI</w:t>
            </w:r>
            <w:r w:rsidR="008719B0">
              <w:rPr>
                <w:rFonts w:ascii="Times New Roman" w:hAnsi="Times New Roman"/>
                <w:sz w:val="18"/>
                <w:szCs w:val="18"/>
                <w:lang w:val="en-GB"/>
              </w:rPr>
              <w:t xml:space="preserve"> have been developed</w:t>
            </w:r>
            <w:r w:rsidR="00E77A34">
              <w:rPr>
                <w:rFonts w:ascii="Times New Roman" w:hAnsi="Times New Roman"/>
                <w:sz w:val="18"/>
                <w:szCs w:val="18"/>
                <w:lang w:val="en-GB"/>
              </w:rPr>
              <w:t xml:space="preserve"> </w:t>
            </w:r>
            <w:sdt>
              <w:sdtPr>
                <w:rPr>
                  <w:rFonts w:ascii="Times New Roman" w:hAnsi="Times New Roman"/>
                  <w:noProof/>
                  <w:sz w:val="18"/>
                  <w:szCs w:val="18"/>
                </w:rPr>
                <w:id w:val="-471517745"/>
                <w:citation/>
              </w:sdtPr>
              <w:sdtEndPr/>
              <w:sdtContent>
                <w:r w:rsidR="00E77A34">
                  <w:rPr>
                    <w:rFonts w:ascii="Times New Roman" w:hAnsi="Times New Roman"/>
                    <w:noProof/>
                    <w:sz w:val="18"/>
                    <w:szCs w:val="18"/>
                  </w:rPr>
                  <w:fldChar w:fldCharType="begin"/>
                </w:r>
                <w:r w:rsidR="00E77A34">
                  <w:rPr>
                    <w:rFonts w:ascii="Times New Roman" w:hAnsi="Times New Roman"/>
                    <w:noProof/>
                    <w:sz w:val="18"/>
                    <w:szCs w:val="18"/>
                    <w:lang w:val="en-GB"/>
                  </w:rPr>
                  <w:instrText xml:space="preserve"> CITATION Oda16 \l 2057 </w:instrText>
                </w:r>
                <w:r w:rsidR="00E77A34">
                  <w:rPr>
                    <w:rFonts w:ascii="Times New Roman" w:hAnsi="Times New Roman"/>
                    <w:noProof/>
                    <w:sz w:val="18"/>
                    <w:szCs w:val="18"/>
                  </w:rPr>
                  <w:fldChar w:fldCharType="separate"/>
                </w:r>
                <w:r w:rsidR="002D6947" w:rsidRPr="002D6947">
                  <w:rPr>
                    <w:rFonts w:ascii="Times New Roman" w:hAnsi="Times New Roman"/>
                    <w:noProof/>
                    <w:sz w:val="18"/>
                    <w:szCs w:val="18"/>
                    <w:lang w:val="en-GB"/>
                  </w:rPr>
                  <w:t>[101]</w:t>
                </w:r>
                <w:r w:rsidR="00E77A34">
                  <w:rPr>
                    <w:rFonts w:ascii="Times New Roman" w:hAnsi="Times New Roman"/>
                    <w:noProof/>
                    <w:sz w:val="18"/>
                    <w:szCs w:val="18"/>
                  </w:rPr>
                  <w:fldChar w:fldCharType="end"/>
                </w:r>
              </w:sdtContent>
            </w:sdt>
            <w:sdt>
              <w:sdtPr>
                <w:rPr>
                  <w:rFonts w:ascii="Times New Roman" w:hAnsi="Times New Roman"/>
                  <w:noProof/>
                  <w:sz w:val="18"/>
                  <w:szCs w:val="18"/>
                </w:rPr>
                <w:id w:val="-2073111250"/>
                <w:citation/>
              </w:sdtPr>
              <w:sdtEndPr/>
              <w:sdtContent>
                <w:r w:rsidR="00E77A34">
                  <w:rPr>
                    <w:rFonts w:ascii="Times New Roman" w:hAnsi="Times New Roman"/>
                    <w:noProof/>
                    <w:sz w:val="18"/>
                    <w:szCs w:val="18"/>
                  </w:rPr>
                  <w:fldChar w:fldCharType="begin"/>
                </w:r>
                <w:r w:rsidR="00E77A34">
                  <w:rPr>
                    <w:rFonts w:ascii="Times New Roman" w:hAnsi="Times New Roman"/>
                    <w:noProof/>
                    <w:sz w:val="18"/>
                    <w:szCs w:val="18"/>
                    <w:lang w:val="en-GB"/>
                  </w:rPr>
                  <w:instrText xml:space="preserve"> CITATION Yan141 \l 2057 </w:instrText>
                </w:r>
                <w:r w:rsidR="00E77A34">
                  <w:rPr>
                    <w:rFonts w:ascii="Times New Roman" w:hAnsi="Times New Roman"/>
                    <w:noProof/>
                    <w:sz w:val="18"/>
                    <w:szCs w:val="18"/>
                  </w:rPr>
                  <w:fldChar w:fldCharType="separate"/>
                </w:r>
                <w:r w:rsidR="002D6947">
                  <w:rPr>
                    <w:rFonts w:ascii="Times New Roman" w:hAnsi="Times New Roman"/>
                    <w:noProof/>
                    <w:sz w:val="18"/>
                    <w:szCs w:val="18"/>
                    <w:lang w:val="en-GB"/>
                  </w:rPr>
                  <w:t xml:space="preserve"> </w:t>
                </w:r>
                <w:r w:rsidR="002D6947" w:rsidRPr="002D6947">
                  <w:rPr>
                    <w:rFonts w:ascii="Times New Roman" w:hAnsi="Times New Roman"/>
                    <w:noProof/>
                    <w:sz w:val="18"/>
                    <w:szCs w:val="18"/>
                    <w:lang w:val="en-GB"/>
                  </w:rPr>
                  <w:t>[127]</w:t>
                </w:r>
                <w:r w:rsidR="00E77A34">
                  <w:rPr>
                    <w:rFonts w:ascii="Times New Roman" w:hAnsi="Times New Roman"/>
                    <w:noProof/>
                    <w:sz w:val="18"/>
                    <w:szCs w:val="18"/>
                  </w:rPr>
                  <w:fldChar w:fldCharType="end"/>
                </w:r>
              </w:sdtContent>
            </w:sdt>
          </w:p>
        </w:tc>
      </w:tr>
    </w:tbl>
    <w:p w14:paraId="0DBCCD15" w14:textId="77777777" w:rsidR="00421EC0" w:rsidRDefault="00421EC0" w:rsidP="001F60D5">
      <w:pPr>
        <w:rPr>
          <w:sz w:val="18"/>
          <w:szCs w:val="18"/>
          <w:lang w:val="en-US"/>
        </w:rPr>
      </w:pPr>
    </w:p>
    <w:p w14:paraId="1F144E10" w14:textId="57AD74AE" w:rsidR="001F60D5" w:rsidRPr="009034B9" w:rsidRDefault="001F60D5" w:rsidP="001F60D5">
      <w:pPr>
        <w:rPr>
          <w:sz w:val="18"/>
          <w:szCs w:val="18"/>
          <w:lang w:val="en-US"/>
        </w:rPr>
      </w:pPr>
    </w:p>
    <w:sectPr w:rsidR="001F60D5" w:rsidRPr="009034B9" w:rsidSect="00D91712">
      <w:pgSz w:w="11907" w:h="16839" w:code="9"/>
      <w:pgMar w:top="1417" w:right="1417" w:bottom="1417" w:left="1417" w:header="720" w:footer="720"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937AF4" w15:done="0"/>
  <w15:commentEx w15:paraId="161C6429" w15:done="0"/>
  <w15:commentEx w15:paraId="5F705BF4" w15:done="0"/>
  <w15:commentEx w15:paraId="05A85BF0" w15:done="0"/>
  <w15:commentEx w15:paraId="69036E76" w15:done="0"/>
  <w15:commentEx w15:paraId="7E60D1DA" w15:done="0"/>
  <w15:commentEx w15:paraId="2DADF4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FAB2A" w14:textId="77777777" w:rsidR="00F77AF8" w:rsidRDefault="00F77AF8" w:rsidP="00D91712">
      <w:r>
        <w:separator/>
      </w:r>
    </w:p>
  </w:endnote>
  <w:endnote w:type="continuationSeparator" w:id="0">
    <w:p w14:paraId="4CB0131A" w14:textId="77777777" w:rsidR="00F77AF8" w:rsidRDefault="00F77AF8" w:rsidP="00D9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99047"/>
      <w:docPartObj>
        <w:docPartGallery w:val="Page Numbers (Bottom of Page)"/>
        <w:docPartUnique/>
      </w:docPartObj>
    </w:sdtPr>
    <w:sdtEndPr>
      <w:rPr>
        <w:noProof/>
      </w:rPr>
    </w:sdtEndPr>
    <w:sdtContent>
      <w:p w14:paraId="634DF776" w14:textId="518D9F8F" w:rsidR="002D6947" w:rsidRDefault="002D6947">
        <w:pPr>
          <w:pStyle w:val="Pieddepage"/>
          <w:jc w:val="center"/>
        </w:pPr>
        <w:r>
          <w:fldChar w:fldCharType="begin"/>
        </w:r>
        <w:r>
          <w:instrText xml:space="preserve"> PAGE   \* MERGEFORMAT </w:instrText>
        </w:r>
        <w:r>
          <w:fldChar w:fldCharType="separate"/>
        </w:r>
        <w:r w:rsidR="004B28DB">
          <w:rPr>
            <w:noProof/>
          </w:rPr>
          <w:t>39</w:t>
        </w:r>
        <w:r>
          <w:rPr>
            <w:noProof/>
          </w:rPr>
          <w:fldChar w:fldCharType="end"/>
        </w:r>
      </w:p>
    </w:sdtContent>
  </w:sdt>
  <w:p w14:paraId="33735D17" w14:textId="77777777" w:rsidR="002D6947" w:rsidRDefault="002D69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5E820" w14:textId="77777777" w:rsidR="00F77AF8" w:rsidRDefault="00F77AF8" w:rsidP="00D91712">
      <w:r>
        <w:separator/>
      </w:r>
    </w:p>
  </w:footnote>
  <w:footnote w:type="continuationSeparator" w:id="0">
    <w:p w14:paraId="46FA0767" w14:textId="77777777" w:rsidR="00F77AF8" w:rsidRDefault="00F77AF8" w:rsidP="00D91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782B2" w14:textId="77777777" w:rsidR="002D6947" w:rsidRPr="003F1BC7" w:rsidRDefault="002D6947" w:rsidP="00D91712">
    <w:pPr>
      <w:rPr>
        <w:sz w:val="22"/>
        <w:lang w:val="en-US"/>
      </w:rPr>
    </w:pPr>
    <w:r>
      <w:rPr>
        <w:sz w:val="22"/>
        <w:lang w:val="en-US"/>
      </w:rPr>
      <w:t>T</w:t>
    </w:r>
    <w:r w:rsidRPr="003F1BC7">
      <w:rPr>
        <w:sz w:val="22"/>
        <w:lang w:val="en-US"/>
      </w:rPr>
      <w:t xml:space="preserve">arget </w:t>
    </w:r>
    <w:r>
      <w:rPr>
        <w:sz w:val="22"/>
        <w:lang w:val="en-US"/>
      </w:rPr>
      <w:t>Journal:</w:t>
    </w:r>
    <w:r w:rsidRPr="003F1BC7">
      <w:rPr>
        <w:sz w:val="22"/>
        <w:lang w:val="en-US"/>
      </w:rPr>
      <w:t xml:space="preserve"> Expert Opinion</w:t>
    </w:r>
    <w:r w:rsidRPr="003F1BC7">
      <w:rPr>
        <w:sz w:val="22"/>
        <w:lang w:val="en-US"/>
      </w:rPr>
      <w:tab/>
    </w:r>
    <w:r>
      <w:rPr>
        <w:sz w:val="22"/>
        <w:lang w:val="en-US"/>
      </w:rPr>
      <w:t xml:space="preserve">in Drug Met </w:t>
    </w:r>
    <w:proofErr w:type="spellStart"/>
    <w:r>
      <w:rPr>
        <w:sz w:val="22"/>
        <w:lang w:val="en-US"/>
      </w:rPr>
      <w:t>Toxicol</w:t>
    </w:r>
    <w:proofErr w:type="spellEnd"/>
    <w:r>
      <w:rPr>
        <w:sz w:val="22"/>
        <w:lang w:val="en-US"/>
      </w:rPr>
      <w:tab/>
    </w:r>
    <w:r>
      <w:rPr>
        <w:sz w:val="22"/>
        <w:lang w:val="en-US"/>
      </w:rPr>
      <w:tab/>
    </w:r>
    <w:r>
      <w:rPr>
        <w:sz w:val="22"/>
        <w:lang w:val="en-US"/>
      </w:rPr>
      <w:tab/>
    </w:r>
    <w:r w:rsidRPr="003F1BC7">
      <w:rPr>
        <w:sz w:val="22"/>
        <w:lang w:val="en-US"/>
      </w:rPr>
      <w:t>EFPIA Industry Perspective</w:t>
    </w:r>
  </w:p>
  <w:p w14:paraId="663DA2D4" w14:textId="77777777" w:rsidR="002D6947" w:rsidRPr="003F1BC7" w:rsidRDefault="002D6947" w:rsidP="00D91712">
    <w:pPr>
      <w:rPr>
        <w:sz w:val="22"/>
        <w:lang w:val="en-US"/>
      </w:rPr>
    </w:pPr>
  </w:p>
  <w:p w14:paraId="659C99BF" w14:textId="77777777" w:rsidR="002D6947" w:rsidRPr="00D91712" w:rsidRDefault="002D6947">
    <w:pPr>
      <w:pStyle w:val="En-tte"/>
      <w:rPr>
        <w:lang w:val="en-US"/>
      </w:rPr>
    </w:pPr>
  </w:p>
  <w:p w14:paraId="43C32275" w14:textId="77777777" w:rsidR="002D6947" w:rsidRPr="00D91712" w:rsidRDefault="002D6947">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A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1164C1"/>
    <w:multiLevelType w:val="hybridMultilevel"/>
    <w:tmpl w:val="11E4B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B2427"/>
    <w:multiLevelType w:val="hybridMultilevel"/>
    <w:tmpl w:val="36D4B50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0818247D"/>
    <w:multiLevelType w:val="hybridMultilevel"/>
    <w:tmpl w:val="F3E05A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D087A11"/>
    <w:multiLevelType w:val="hybridMultilevel"/>
    <w:tmpl w:val="853833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BF65F8"/>
    <w:multiLevelType w:val="hybridMultilevel"/>
    <w:tmpl w:val="5ADAD2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5F42E4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91C3F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724A12"/>
    <w:multiLevelType w:val="hybridMultilevel"/>
    <w:tmpl w:val="8CA2C824"/>
    <w:lvl w:ilvl="0" w:tplc="CB4A7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B3C27"/>
    <w:multiLevelType w:val="hybridMultilevel"/>
    <w:tmpl w:val="B7F24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511E88"/>
    <w:multiLevelType w:val="hybridMultilevel"/>
    <w:tmpl w:val="19FC63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5603269"/>
    <w:multiLevelType w:val="multilevel"/>
    <w:tmpl w:val="1CE6294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459C2977"/>
    <w:multiLevelType w:val="hybridMultilevel"/>
    <w:tmpl w:val="0A4C7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D5755"/>
    <w:multiLevelType w:val="hybridMultilevel"/>
    <w:tmpl w:val="502A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5F74B0"/>
    <w:multiLevelType w:val="hybridMultilevel"/>
    <w:tmpl w:val="8836FB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A544D08"/>
    <w:multiLevelType w:val="hybridMultilevel"/>
    <w:tmpl w:val="D08C13B0"/>
    <w:lvl w:ilvl="0" w:tplc="CD862ABC">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EB497C"/>
    <w:multiLevelType w:val="hybridMultilevel"/>
    <w:tmpl w:val="BA30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86657"/>
    <w:multiLevelType w:val="hybridMultilevel"/>
    <w:tmpl w:val="FDF65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916A16"/>
    <w:multiLevelType w:val="hybridMultilevel"/>
    <w:tmpl w:val="3780B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68876D4"/>
    <w:multiLevelType w:val="multilevel"/>
    <w:tmpl w:val="8F622C82"/>
    <w:lvl w:ilvl="0">
      <w:start w:val="3"/>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589C1E2A"/>
    <w:multiLevelType w:val="multilevel"/>
    <w:tmpl w:val="704458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F5B6FFD"/>
    <w:multiLevelType w:val="hybridMultilevel"/>
    <w:tmpl w:val="0A60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776234"/>
    <w:multiLevelType w:val="hybridMultilevel"/>
    <w:tmpl w:val="50706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C84F50"/>
    <w:multiLevelType w:val="hybridMultilevel"/>
    <w:tmpl w:val="082C04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56743A7"/>
    <w:multiLevelType w:val="hybridMultilevel"/>
    <w:tmpl w:val="1CE27B42"/>
    <w:lvl w:ilvl="0" w:tplc="08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BD8596F"/>
    <w:multiLevelType w:val="hybridMultilevel"/>
    <w:tmpl w:val="D5E67B90"/>
    <w:lvl w:ilvl="0" w:tplc="040C0001">
      <w:start w:val="1"/>
      <w:numFmt w:val="bullet"/>
      <w:lvlText w:val=""/>
      <w:lvlJc w:val="left"/>
      <w:pPr>
        <w:ind w:left="348" w:hanging="360"/>
      </w:pPr>
      <w:rPr>
        <w:rFonts w:ascii="Symbol" w:hAnsi="Symbol" w:hint="default"/>
      </w:rPr>
    </w:lvl>
    <w:lvl w:ilvl="1" w:tplc="040C0003">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num w:numId="1">
    <w:abstractNumId w:val="20"/>
  </w:num>
  <w:num w:numId="2">
    <w:abstractNumId w:val="3"/>
  </w:num>
  <w:num w:numId="3">
    <w:abstractNumId w:val="19"/>
  </w:num>
  <w:num w:numId="4">
    <w:abstractNumId w:val="1"/>
  </w:num>
  <w:num w:numId="5">
    <w:abstractNumId w:val="17"/>
  </w:num>
  <w:num w:numId="6">
    <w:abstractNumId w:val="4"/>
  </w:num>
  <w:num w:numId="7">
    <w:abstractNumId w:val="9"/>
  </w:num>
  <w:num w:numId="8">
    <w:abstractNumId w:val="8"/>
  </w:num>
  <w:num w:numId="9">
    <w:abstractNumId w:val="12"/>
  </w:num>
  <w:num w:numId="10">
    <w:abstractNumId w:val="2"/>
  </w:num>
  <w:num w:numId="11">
    <w:abstractNumId w:val="18"/>
  </w:num>
  <w:num w:numId="12">
    <w:abstractNumId w:val="13"/>
  </w:num>
  <w:num w:numId="13">
    <w:abstractNumId w:val="14"/>
  </w:num>
  <w:num w:numId="14">
    <w:abstractNumId w:val="21"/>
  </w:num>
  <w:num w:numId="15">
    <w:abstractNumId w:val="25"/>
  </w:num>
  <w:num w:numId="16">
    <w:abstractNumId w:val="24"/>
  </w:num>
  <w:num w:numId="17">
    <w:abstractNumId w:val="23"/>
  </w:num>
  <w:num w:numId="18">
    <w:abstractNumId w:val="5"/>
  </w:num>
  <w:num w:numId="19">
    <w:abstractNumId w:val="10"/>
  </w:num>
  <w:num w:numId="20">
    <w:abstractNumId w:val="7"/>
  </w:num>
  <w:num w:numId="21">
    <w:abstractNumId w:val="0"/>
  </w:num>
  <w:num w:numId="22">
    <w:abstractNumId w:val="11"/>
  </w:num>
  <w:num w:numId="23">
    <w:abstractNumId w:val="6"/>
  </w:num>
  <w:num w:numId="24">
    <w:abstractNumId w:val="16"/>
  </w:num>
  <w:num w:numId="25">
    <w:abstractNumId w:val="15"/>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Liguori">
    <w15:presenceInfo w15:providerId="Windows Live" w15:userId="3aeabdbabcdc6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266CE5"/>
    <w:rsid w:val="000016FB"/>
    <w:rsid w:val="00002779"/>
    <w:rsid w:val="00004392"/>
    <w:rsid w:val="00010272"/>
    <w:rsid w:val="00010AE2"/>
    <w:rsid w:val="00013856"/>
    <w:rsid w:val="000156DB"/>
    <w:rsid w:val="00016B42"/>
    <w:rsid w:val="00016D37"/>
    <w:rsid w:val="00017C85"/>
    <w:rsid w:val="00017F58"/>
    <w:rsid w:val="0002092A"/>
    <w:rsid w:val="00021F2B"/>
    <w:rsid w:val="00027A94"/>
    <w:rsid w:val="00031050"/>
    <w:rsid w:val="00031C22"/>
    <w:rsid w:val="00033190"/>
    <w:rsid w:val="00033AED"/>
    <w:rsid w:val="000341AB"/>
    <w:rsid w:val="00034514"/>
    <w:rsid w:val="00036B0A"/>
    <w:rsid w:val="00036B7D"/>
    <w:rsid w:val="000430F4"/>
    <w:rsid w:val="00044A83"/>
    <w:rsid w:val="00045509"/>
    <w:rsid w:val="000502EB"/>
    <w:rsid w:val="00054338"/>
    <w:rsid w:val="00054DCE"/>
    <w:rsid w:val="0005596C"/>
    <w:rsid w:val="000603CE"/>
    <w:rsid w:val="00061670"/>
    <w:rsid w:val="00061BD7"/>
    <w:rsid w:val="00061BD9"/>
    <w:rsid w:val="00061EE6"/>
    <w:rsid w:val="00062AFB"/>
    <w:rsid w:val="000649B4"/>
    <w:rsid w:val="000670D5"/>
    <w:rsid w:val="00071FCB"/>
    <w:rsid w:val="000743A8"/>
    <w:rsid w:val="0007529E"/>
    <w:rsid w:val="000764AE"/>
    <w:rsid w:val="000765D6"/>
    <w:rsid w:val="00080280"/>
    <w:rsid w:val="00080F05"/>
    <w:rsid w:val="00081433"/>
    <w:rsid w:val="00084972"/>
    <w:rsid w:val="00085918"/>
    <w:rsid w:val="00090303"/>
    <w:rsid w:val="0009067B"/>
    <w:rsid w:val="00092282"/>
    <w:rsid w:val="000958F9"/>
    <w:rsid w:val="000959D0"/>
    <w:rsid w:val="00096D17"/>
    <w:rsid w:val="00097AB6"/>
    <w:rsid w:val="000A3456"/>
    <w:rsid w:val="000A78E5"/>
    <w:rsid w:val="000B249B"/>
    <w:rsid w:val="000B46A0"/>
    <w:rsid w:val="000B7C2D"/>
    <w:rsid w:val="000C0948"/>
    <w:rsid w:val="000C1772"/>
    <w:rsid w:val="000C2004"/>
    <w:rsid w:val="000C3130"/>
    <w:rsid w:val="000C3DF9"/>
    <w:rsid w:val="000C5969"/>
    <w:rsid w:val="000C657C"/>
    <w:rsid w:val="000D35BE"/>
    <w:rsid w:val="000E210C"/>
    <w:rsid w:val="000E223B"/>
    <w:rsid w:val="000E24D9"/>
    <w:rsid w:val="000E4F96"/>
    <w:rsid w:val="000E5BC6"/>
    <w:rsid w:val="000E6E1D"/>
    <w:rsid w:val="000F2425"/>
    <w:rsid w:val="000F25CF"/>
    <w:rsid w:val="000F5B9B"/>
    <w:rsid w:val="000F6203"/>
    <w:rsid w:val="000F6811"/>
    <w:rsid w:val="000F76DC"/>
    <w:rsid w:val="001008F5"/>
    <w:rsid w:val="00100B93"/>
    <w:rsid w:val="00100DD9"/>
    <w:rsid w:val="00100FD7"/>
    <w:rsid w:val="0010230A"/>
    <w:rsid w:val="00103ADA"/>
    <w:rsid w:val="00106086"/>
    <w:rsid w:val="001110E8"/>
    <w:rsid w:val="001132D5"/>
    <w:rsid w:val="00115811"/>
    <w:rsid w:val="00116808"/>
    <w:rsid w:val="00116E38"/>
    <w:rsid w:val="0011751A"/>
    <w:rsid w:val="00117AB4"/>
    <w:rsid w:val="00121586"/>
    <w:rsid w:val="0012321F"/>
    <w:rsid w:val="00124885"/>
    <w:rsid w:val="0012646B"/>
    <w:rsid w:val="00127126"/>
    <w:rsid w:val="00127743"/>
    <w:rsid w:val="00130809"/>
    <w:rsid w:val="0013080F"/>
    <w:rsid w:val="00131C67"/>
    <w:rsid w:val="00134275"/>
    <w:rsid w:val="0013599B"/>
    <w:rsid w:val="001363DC"/>
    <w:rsid w:val="00140307"/>
    <w:rsid w:val="00141902"/>
    <w:rsid w:val="00147520"/>
    <w:rsid w:val="001526D9"/>
    <w:rsid w:val="001603AA"/>
    <w:rsid w:val="001625F8"/>
    <w:rsid w:val="00163464"/>
    <w:rsid w:val="001636C8"/>
    <w:rsid w:val="001646BE"/>
    <w:rsid w:val="00164C72"/>
    <w:rsid w:val="00167DF4"/>
    <w:rsid w:val="00170803"/>
    <w:rsid w:val="0017298D"/>
    <w:rsid w:val="00172DEE"/>
    <w:rsid w:val="00173D45"/>
    <w:rsid w:val="00175A04"/>
    <w:rsid w:val="00176F35"/>
    <w:rsid w:val="00180B14"/>
    <w:rsid w:val="00180ED1"/>
    <w:rsid w:val="00181926"/>
    <w:rsid w:val="00181BB1"/>
    <w:rsid w:val="00182AAA"/>
    <w:rsid w:val="001860F9"/>
    <w:rsid w:val="001870FB"/>
    <w:rsid w:val="001871BB"/>
    <w:rsid w:val="00191C7D"/>
    <w:rsid w:val="00191E54"/>
    <w:rsid w:val="00193273"/>
    <w:rsid w:val="0019391B"/>
    <w:rsid w:val="0019485E"/>
    <w:rsid w:val="00195F0F"/>
    <w:rsid w:val="001A5BEE"/>
    <w:rsid w:val="001A768D"/>
    <w:rsid w:val="001B0EE6"/>
    <w:rsid w:val="001B2C3A"/>
    <w:rsid w:val="001B4226"/>
    <w:rsid w:val="001B4C80"/>
    <w:rsid w:val="001B4DAD"/>
    <w:rsid w:val="001B6DB5"/>
    <w:rsid w:val="001C1ECD"/>
    <w:rsid w:val="001C2879"/>
    <w:rsid w:val="001C2C47"/>
    <w:rsid w:val="001C5575"/>
    <w:rsid w:val="001C7105"/>
    <w:rsid w:val="001D0CEF"/>
    <w:rsid w:val="001D1994"/>
    <w:rsid w:val="001D2D4B"/>
    <w:rsid w:val="001D357F"/>
    <w:rsid w:val="001D4700"/>
    <w:rsid w:val="001D471E"/>
    <w:rsid w:val="001E26FD"/>
    <w:rsid w:val="001E36EB"/>
    <w:rsid w:val="001E4219"/>
    <w:rsid w:val="001E53E1"/>
    <w:rsid w:val="001E69F9"/>
    <w:rsid w:val="001E6CBE"/>
    <w:rsid w:val="001F0267"/>
    <w:rsid w:val="001F0680"/>
    <w:rsid w:val="001F1D26"/>
    <w:rsid w:val="001F24B3"/>
    <w:rsid w:val="001F4850"/>
    <w:rsid w:val="001F4E56"/>
    <w:rsid w:val="001F51B9"/>
    <w:rsid w:val="001F60D5"/>
    <w:rsid w:val="0020065A"/>
    <w:rsid w:val="00200EEB"/>
    <w:rsid w:val="002047CF"/>
    <w:rsid w:val="00205633"/>
    <w:rsid w:val="00205ECD"/>
    <w:rsid w:val="00206AA9"/>
    <w:rsid w:val="002072AC"/>
    <w:rsid w:val="00210564"/>
    <w:rsid w:val="00210D5A"/>
    <w:rsid w:val="00213A97"/>
    <w:rsid w:val="00213E4D"/>
    <w:rsid w:val="00214E41"/>
    <w:rsid w:val="002161B9"/>
    <w:rsid w:val="00220B84"/>
    <w:rsid w:val="00222966"/>
    <w:rsid w:val="00232C44"/>
    <w:rsid w:val="00234A42"/>
    <w:rsid w:val="002350D9"/>
    <w:rsid w:val="00235E1D"/>
    <w:rsid w:val="002373E9"/>
    <w:rsid w:val="002406C5"/>
    <w:rsid w:val="002473D4"/>
    <w:rsid w:val="00247527"/>
    <w:rsid w:val="00250C1F"/>
    <w:rsid w:val="00250E01"/>
    <w:rsid w:val="00252D15"/>
    <w:rsid w:val="002545DD"/>
    <w:rsid w:val="0025462B"/>
    <w:rsid w:val="00255494"/>
    <w:rsid w:val="00256134"/>
    <w:rsid w:val="0025739F"/>
    <w:rsid w:val="002605F3"/>
    <w:rsid w:val="00262D11"/>
    <w:rsid w:val="0026344C"/>
    <w:rsid w:val="00266CE5"/>
    <w:rsid w:val="002717BF"/>
    <w:rsid w:val="00272000"/>
    <w:rsid w:val="002733C7"/>
    <w:rsid w:val="00274A22"/>
    <w:rsid w:val="00274DD7"/>
    <w:rsid w:val="00276921"/>
    <w:rsid w:val="00276BEF"/>
    <w:rsid w:val="00277CB6"/>
    <w:rsid w:val="00281A08"/>
    <w:rsid w:val="00281C62"/>
    <w:rsid w:val="00281EF9"/>
    <w:rsid w:val="00282B5B"/>
    <w:rsid w:val="00283C4C"/>
    <w:rsid w:val="00286196"/>
    <w:rsid w:val="0028679D"/>
    <w:rsid w:val="00287008"/>
    <w:rsid w:val="00291392"/>
    <w:rsid w:val="00292964"/>
    <w:rsid w:val="0029399A"/>
    <w:rsid w:val="002943A6"/>
    <w:rsid w:val="002A2EDD"/>
    <w:rsid w:val="002A799D"/>
    <w:rsid w:val="002B2F21"/>
    <w:rsid w:val="002B5265"/>
    <w:rsid w:val="002B698B"/>
    <w:rsid w:val="002C1D7A"/>
    <w:rsid w:val="002D016A"/>
    <w:rsid w:val="002D0DF6"/>
    <w:rsid w:val="002D393B"/>
    <w:rsid w:val="002D3E0D"/>
    <w:rsid w:val="002D515F"/>
    <w:rsid w:val="002D6947"/>
    <w:rsid w:val="002D7661"/>
    <w:rsid w:val="002E0324"/>
    <w:rsid w:val="002E040D"/>
    <w:rsid w:val="002E19CE"/>
    <w:rsid w:val="002E206E"/>
    <w:rsid w:val="002E2404"/>
    <w:rsid w:val="002E28F8"/>
    <w:rsid w:val="002E2BE8"/>
    <w:rsid w:val="002E2C78"/>
    <w:rsid w:val="002E34FA"/>
    <w:rsid w:val="002E5118"/>
    <w:rsid w:val="002E55AF"/>
    <w:rsid w:val="002E6D54"/>
    <w:rsid w:val="002E7DB1"/>
    <w:rsid w:val="002F21F1"/>
    <w:rsid w:val="002F4270"/>
    <w:rsid w:val="003004ED"/>
    <w:rsid w:val="0030095C"/>
    <w:rsid w:val="003013ED"/>
    <w:rsid w:val="00302D39"/>
    <w:rsid w:val="00307AEC"/>
    <w:rsid w:val="00307B04"/>
    <w:rsid w:val="00310E79"/>
    <w:rsid w:val="00313A98"/>
    <w:rsid w:val="00315538"/>
    <w:rsid w:val="00317115"/>
    <w:rsid w:val="00320E83"/>
    <w:rsid w:val="00321A74"/>
    <w:rsid w:val="003228FA"/>
    <w:rsid w:val="00322AA8"/>
    <w:rsid w:val="00324CB9"/>
    <w:rsid w:val="00326E49"/>
    <w:rsid w:val="00332477"/>
    <w:rsid w:val="00332FC9"/>
    <w:rsid w:val="00333175"/>
    <w:rsid w:val="003339A8"/>
    <w:rsid w:val="003371F9"/>
    <w:rsid w:val="003419FE"/>
    <w:rsid w:val="003469FC"/>
    <w:rsid w:val="003500EF"/>
    <w:rsid w:val="00350CCC"/>
    <w:rsid w:val="00350E37"/>
    <w:rsid w:val="0035138D"/>
    <w:rsid w:val="0035392C"/>
    <w:rsid w:val="00353EF1"/>
    <w:rsid w:val="00356345"/>
    <w:rsid w:val="00357769"/>
    <w:rsid w:val="00357FFA"/>
    <w:rsid w:val="0036176A"/>
    <w:rsid w:val="003618B3"/>
    <w:rsid w:val="00365F23"/>
    <w:rsid w:val="0036677D"/>
    <w:rsid w:val="003705F4"/>
    <w:rsid w:val="00370896"/>
    <w:rsid w:val="00372BE3"/>
    <w:rsid w:val="00373676"/>
    <w:rsid w:val="003752DB"/>
    <w:rsid w:val="0037617E"/>
    <w:rsid w:val="0037684D"/>
    <w:rsid w:val="003778B7"/>
    <w:rsid w:val="003779F9"/>
    <w:rsid w:val="00377B7C"/>
    <w:rsid w:val="00381687"/>
    <w:rsid w:val="00382A7B"/>
    <w:rsid w:val="00386A3F"/>
    <w:rsid w:val="00386B42"/>
    <w:rsid w:val="0039156D"/>
    <w:rsid w:val="00393B9E"/>
    <w:rsid w:val="00393CB6"/>
    <w:rsid w:val="0039449D"/>
    <w:rsid w:val="00396A33"/>
    <w:rsid w:val="003A099E"/>
    <w:rsid w:val="003A2116"/>
    <w:rsid w:val="003A2FC5"/>
    <w:rsid w:val="003A6B03"/>
    <w:rsid w:val="003B05BB"/>
    <w:rsid w:val="003B1D71"/>
    <w:rsid w:val="003B34E6"/>
    <w:rsid w:val="003B4117"/>
    <w:rsid w:val="003B4381"/>
    <w:rsid w:val="003B6F88"/>
    <w:rsid w:val="003B70FA"/>
    <w:rsid w:val="003B7D36"/>
    <w:rsid w:val="003C0B5B"/>
    <w:rsid w:val="003C27EB"/>
    <w:rsid w:val="003C2BD8"/>
    <w:rsid w:val="003C6577"/>
    <w:rsid w:val="003C681F"/>
    <w:rsid w:val="003D1FFA"/>
    <w:rsid w:val="003D3396"/>
    <w:rsid w:val="003D3471"/>
    <w:rsid w:val="003E051F"/>
    <w:rsid w:val="003E42D1"/>
    <w:rsid w:val="003E5AC2"/>
    <w:rsid w:val="003E5EE5"/>
    <w:rsid w:val="003E6940"/>
    <w:rsid w:val="003E7296"/>
    <w:rsid w:val="003E731E"/>
    <w:rsid w:val="003F0DD0"/>
    <w:rsid w:val="003F10F2"/>
    <w:rsid w:val="003F1BC7"/>
    <w:rsid w:val="003F1C24"/>
    <w:rsid w:val="003F26B1"/>
    <w:rsid w:val="003F3539"/>
    <w:rsid w:val="003F7B3C"/>
    <w:rsid w:val="00400961"/>
    <w:rsid w:val="004023BE"/>
    <w:rsid w:val="00403502"/>
    <w:rsid w:val="004046E5"/>
    <w:rsid w:val="00407C2A"/>
    <w:rsid w:val="0041342E"/>
    <w:rsid w:val="00413443"/>
    <w:rsid w:val="00417DBF"/>
    <w:rsid w:val="00421560"/>
    <w:rsid w:val="00421EC0"/>
    <w:rsid w:val="00422E09"/>
    <w:rsid w:val="0042343E"/>
    <w:rsid w:val="00424AC0"/>
    <w:rsid w:val="00426F45"/>
    <w:rsid w:val="004275D0"/>
    <w:rsid w:val="004352B9"/>
    <w:rsid w:val="00442736"/>
    <w:rsid w:val="0044295C"/>
    <w:rsid w:val="00443EDA"/>
    <w:rsid w:val="00444D9B"/>
    <w:rsid w:val="00446A1A"/>
    <w:rsid w:val="004507CD"/>
    <w:rsid w:val="00450CF4"/>
    <w:rsid w:val="004514BB"/>
    <w:rsid w:val="004520BF"/>
    <w:rsid w:val="00452A54"/>
    <w:rsid w:val="00456EDF"/>
    <w:rsid w:val="004622F5"/>
    <w:rsid w:val="00464005"/>
    <w:rsid w:val="00464295"/>
    <w:rsid w:val="0046494D"/>
    <w:rsid w:val="004649E5"/>
    <w:rsid w:val="00464B6C"/>
    <w:rsid w:val="00470A8F"/>
    <w:rsid w:val="00471C10"/>
    <w:rsid w:val="00471DC2"/>
    <w:rsid w:val="00473A5F"/>
    <w:rsid w:val="0047566E"/>
    <w:rsid w:val="0047610B"/>
    <w:rsid w:val="0047701E"/>
    <w:rsid w:val="0048193D"/>
    <w:rsid w:val="00483542"/>
    <w:rsid w:val="00484665"/>
    <w:rsid w:val="00484832"/>
    <w:rsid w:val="00485676"/>
    <w:rsid w:val="00485723"/>
    <w:rsid w:val="004860A0"/>
    <w:rsid w:val="00486ECD"/>
    <w:rsid w:val="00487350"/>
    <w:rsid w:val="00490E57"/>
    <w:rsid w:val="00490F93"/>
    <w:rsid w:val="00492FE7"/>
    <w:rsid w:val="00493983"/>
    <w:rsid w:val="004A150E"/>
    <w:rsid w:val="004A21AF"/>
    <w:rsid w:val="004A317E"/>
    <w:rsid w:val="004A4B83"/>
    <w:rsid w:val="004A4D72"/>
    <w:rsid w:val="004A4F7F"/>
    <w:rsid w:val="004B0132"/>
    <w:rsid w:val="004B0EC6"/>
    <w:rsid w:val="004B28DB"/>
    <w:rsid w:val="004B415F"/>
    <w:rsid w:val="004B4CEC"/>
    <w:rsid w:val="004B5DAC"/>
    <w:rsid w:val="004B744D"/>
    <w:rsid w:val="004B7852"/>
    <w:rsid w:val="004C124E"/>
    <w:rsid w:val="004C2DB1"/>
    <w:rsid w:val="004C39B1"/>
    <w:rsid w:val="004C3CA2"/>
    <w:rsid w:val="004C5F09"/>
    <w:rsid w:val="004C7361"/>
    <w:rsid w:val="004C7A87"/>
    <w:rsid w:val="004D004D"/>
    <w:rsid w:val="004D0DC6"/>
    <w:rsid w:val="004D12D0"/>
    <w:rsid w:val="004D2982"/>
    <w:rsid w:val="004D4DC4"/>
    <w:rsid w:val="004D5E61"/>
    <w:rsid w:val="004E09FA"/>
    <w:rsid w:val="004E1F05"/>
    <w:rsid w:val="004E50D5"/>
    <w:rsid w:val="004E56C8"/>
    <w:rsid w:val="004E5D0A"/>
    <w:rsid w:val="004E6A71"/>
    <w:rsid w:val="004E6BD0"/>
    <w:rsid w:val="004E6CCA"/>
    <w:rsid w:val="004E792A"/>
    <w:rsid w:val="004F2D1E"/>
    <w:rsid w:val="004F3F1B"/>
    <w:rsid w:val="004F5BFF"/>
    <w:rsid w:val="00501C14"/>
    <w:rsid w:val="005034AF"/>
    <w:rsid w:val="00503685"/>
    <w:rsid w:val="0050661C"/>
    <w:rsid w:val="00506745"/>
    <w:rsid w:val="0051280F"/>
    <w:rsid w:val="00512DC8"/>
    <w:rsid w:val="005158FE"/>
    <w:rsid w:val="00517584"/>
    <w:rsid w:val="00520063"/>
    <w:rsid w:val="005204DB"/>
    <w:rsid w:val="00520522"/>
    <w:rsid w:val="00520972"/>
    <w:rsid w:val="00522E88"/>
    <w:rsid w:val="00524CEF"/>
    <w:rsid w:val="00525724"/>
    <w:rsid w:val="0052701B"/>
    <w:rsid w:val="00527C50"/>
    <w:rsid w:val="0053239B"/>
    <w:rsid w:val="00532583"/>
    <w:rsid w:val="00533F32"/>
    <w:rsid w:val="00534D5B"/>
    <w:rsid w:val="005366FF"/>
    <w:rsid w:val="00536B95"/>
    <w:rsid w:val="00537EEF"/>
    <w:rsid w:val="00544705"/>
    <w:rsid w:val="0054714F"/>
    <w:rsid w:val="00547BE0"/>
    <w:rsid w:val="00550BAA"/>
    <w:rsid w:val="00551839"/>
    <w:rsid w:val="00551FC4"/>
    <w:rsid w:val="00552597"/>
    <w:rsid w:val="0055277D"/>
    <w:rsid w:val="00554BC8"/>
    <w:rsid w:val="005550BE"/>
    <w:rsid w:val="00557AD7"/>
    <w:rsid w:val="00557BE9"/>
    <w:rsid w:val="00561CA2"/>
    <w:rsid w:val="00562C7F"/>
    <w:rsid w:val="005645FD"/>
    <w:rsid w:val="005657F0"/>
    <w:rsid w:val="00566A4F"/>
    <w:rsid w:val="00566D1D"/>
    <w:rsid w:val="00567EDC"/>
    <w:rsid w:val="00570865"/>
    <w:rsid w:val="00571196"/>
    <w:rsid w:val="00571A1A"/>
    <w:rsid w:val="00574B83"/>
    <w:rsid w:val="005759EB"/>
    <w:rsid w:val="00576B2E"/>
    <w:rsid w:val="00576BD4"/>
    <w:rsid w:val="0058005A"/>
    <w:rsid w:val="0058017C"/>
    <w:rsid w:val="005809A7"/>
    <w:rsid w:val="0058675F"/>
    <w:rsid w:val="0058690E"/>
    <w:rsid w:val="00591EDA"/>
    <w:rsid w:val="0059261B"/>
    <w:rsid w:val="005932EE"/>
    <w:rsid w:val="00593CC7"/>
    <w:rsid w:val="00596062"/>
    <w:rsid w:val="00597FB5"/>
    <w:rsid w:val="005A18F8"/>
    <w:rsid w:val="005A2402"/>
    <w:rsid w:val="005A2C39"/>
    <w:rsid w:val="005A34DC"/>
    <w:rsid w:val="005A3D62"/>
    <w:rsid w:val="005A472B"/>
    <w:rsid w:val="005A6322"/>
    <w:rsid w:val="005B08ED"/>
    <w:rsid w:val="005B0EF6"/>
    <w:rsid w:val="005B2429"/>
    <w:rsid w:val="005B271C"/>
    <w:rsid w:val="005B45CF"/>
    <w:rsid w:val="005B5A08"/>
    <w:rsid w:val="005B5A22"/>
    <w:rsid w:val="005B6699"/>
    <w:rsid w:val="005C05D0"/>
    <w:rsid w:val="005C1CC9"/>
    <w:rsid w:val="005C20DF"/>
    <w:rsid w:val="005C2383"/>
    <w:rsid w:val="005C4F84"/>
    <w:rsid w:val="005D007B"/>
    <w:rsid w:val="005D01F5"/>
    <w:rsid w:val="005D096A"/>
    <w:rsid w:val="005D154D"/>
    <w:rsid w:val="005D52B6"/>
    <w:rsid w:val="005D5883"/>
    <w:rsid w:val="005E0E6C"/>
    <w:rsid w:val="005E1C9F"/>
    <w:rsid w:val="005E2B8B"/>
    <w:rsid w:val="005E3BE2"/>
    <w:rsid w:val="005E405C"/>
    <w:rsid w:val="005E50D2"/>
    <w:rsid w:val="005E6785"/>
    <w:rsid w:val="005F109F"/>
    <w:rsid w:val="005F1335"/>
    <w:rsid w:val="005F1E8B"/>
    <w:rsid w:val="005F2465"/>
    <w:rsid w:val="005F2E2E"/>
    <w:rsid w:val="005F53E4"/>
    <w:rsid w:val="005F5F3E"/>
    <w:rsid w:val="00602AEC"/>
    <w:rsid w:val="00602B4F"/>
    <w:rsid w:val="006036C0"/>
    <w:rsid w:val="00603D58"/>
    <w:rsid w:val="00603EE1"/>
    <w:rsid w:val="006061DB"/>
    <w:rsid w:val="00607B1D"/>
    <w:rsid w:val="00607C33"/>
    <w:rsid w:val="00610733"/>
    <w:rsid w:val="006132FA"/>
    <w:rsid w:val="00613EF7"/>
    <w:rsid w:val="00614F79"/>
    <w:rsid w:val="006166BE"/>
    <w:rsid w:val="0062232A"/>
    <w:rsid w:val="00622357"/>
    <w:rsid w:val="00623016"/>
    <w:rsid w:val="00623BF3"/>
    <w:rsid w:val="00623C49"/>
    <w:rsid w:val="006247B2"/>
    <w:rsid w:val="0062515F"/>
    <w:rsid w:val="00625EAF"/>
    <w:rsid w:val="00630E3F"/>
    <w:rsid w:val="00631F56"/>
    <w:rsid w:val="006340B2"/>
    <w:rsid w:val="00635741"/>
    <w:rsid w:val="00640D04"/>
    <w:rsid w:val="00640DD3"/>
    <w:rsid w:val="00644E00"/>
    <w:rsid w:val="006461DF"/>
    <w:rsid w:val="0064633A"/>
    <w:rsid w:val="006471B2"/>
    <w:rsid w:val="006501C4"/>
    <w:rsid w:val="00650402"/>
    <w:rsid w:val="006508B0"/>
    <w:rsid w:val="006509BE"/>
    <w:rsid w:val="0065204C"/>
    <w:rsid w:val="00652FEC"/>
    <w:rsid w:val="00654DDC"/>
    <w:rsid w:val="00656F9E"/>
    <w:rsid w:val="00657628"/>
    <w:rsid w:val="006604E5"/>
    <w:rsid w:val="00660BD8"/>
    <w:rsid w:val="006627AA"/>
    <w:rsid w:val="00666472"/>
    <w:rsid w:val="00667481"/>
    <w:rsid w:val="006674BC"/>
    <w:rsid w:val="006700AF"/>
    <w:rsid w:val="00671645"/>
    <w:rsid w:val="006723A0"/>
    <w:rsid w:val="006730B6"/>
    <w:rsid w:val="00673B27"/>
    <w:rsid w:val="0067417B"/>
    <w:rsid w:val="00674672"/>
    <w:rsid w:val="006748BE"/>
    <w:rsid w:val="00675D89"/>
    <w:rsid w:val="00675F21"/>
    <w:rsid w:val="0067748F"/>
    <w:rsid w:val="0067792D"/>
    <w:rsid w:val="006801ED"/>
    <w:rsid w:val="0068309A"/>
    <w:rsid w:val="006835DF"/>
    <w:rsid w:val="00683C42"/>
    <w:rsid w:val="00687A6A"/>
    <w:rsid w:val="00690FF4"/>
    <w:rsid w:val="00691864"/>
    <w:rsid w:val="006927F2"/>
    <w:rsid w:val="00696EBD"/>
    <w:rsid w:val="006A35EA"/>
    <w:rsid w:val="006A4ECE"/>
    <w:rsid w:val="006B248A"/>
    <w:rsid w:val="006B268D"/>
    <w:rsid w:val="006B591F"/>
    <w:rsid w:val="006B5C16"/>
    <w:rsid w:val="006C12EB"/>
    <w:rsid w:val="006C1CE8"/>
    <w:rsid w:val="006C2723"/>
    <w:rsid w:val="006C3301"/>
    <w:rsid w:val="006C4647"/>
    <w:rsid w:val="006C6ED5"/>
    <w:rsid w:val="006C72C2"/>
    <w:rsid w:val="006C7494"/>
    <w:rsid w:val="006D279C"/>
    <w:rsid w:val="006D3127"/>
    <w:rsid w:val="006D3AAB"/>
    <w:rsid w:val="006D7A31"/>
    <w:rsid w:val="006E0148"/>
    <w:rsid w:val="006E3C98"/>
    <w:rsid w:val="006E4EC7"/>
    <w:rsid w:val="006E5664"/>
    <w:rsid w:val="006F066F"/>
    <w:rsid w:val="006F0AC0"/>
    <w:rsid w:val="006F2488"/>
    <w:rsid w:val="006F4AE0"/>
    <w:rsid w:val="006F5CCE"/>
    <w:rsid w:val="006F66D5"/>
    <w:rsid w:val="006F6CAA"/>
    <w:rsid w:val="006F79C9"/>
    <w:rsid w:val="00701127"/>
    <w:rsid w:val="00704DBD"/>
    <w:rsid w:val="00706161"/>
    <w:rsid w:val="00710767"/>
    <w:rsid w:val="00711B9A"/>
    <w:rsid w:val="00711E6F"/>
    <w:rsid w:val="00713F3E"/>
    <w:rsid w:val="007150F4"/>
    <w:rsid w:val="0071611A"/>
    <w:rsid w:val="007173F8"/>
    <w:rsid w:val="007205F5"/>
    <w:rsid w:val="00722619"/>
    <w:rsid w:val="007226AB"/>
    <w:rsid w:val="00724382"/>
    <w:rsid w:val="00724F62"/>
    <w:rsid w:val="00726290"/>
    <w:rsid w:val="00726D10"/>
    <w:rsid w:val="00730FF4"/>
    <w:rsid w:val="00736511"/>
    <w:rsid w:val="007417A7"/>
    <w:rsid w:val="007443AA"/>
    <w:rsid w:val="00745916"/>
    <w:rsid w:val="00750205"/>
    <w:rsid w:val="00751B91"/>
    <w:rsid w:val="00751F68"/>
    <w:rsid w:val="007521DF"/>
    <w:rsid w:val="0075272F"/>
    <w:rsid w:val="00753703"/>
    <w:rsid w:val="00753FD5"/>
    <w:rsid w:val="00754080"/>
    <w:rsid w:val="00754995"/>
    <w:rsid w:val="007553A2"/>
    <w:rsid w:val="0075678B"/>
    <w:rsid w:val="00760295"/>
    <w:rsid w:val="007609CD"/>
    <w:rsid w:val="00762D7D"/>
    <w:rsid w:val="00764025"/>
    <w:rsid w:val="00766256"/>
    <w:rsid w:val="00771B81"/>
    <w:rsid w:val="00772CF3"/>
    <w:rsid w:val="0077440F"/>
    <w:rsid w:val="00776C5D"/>
    <w:rsid w:val="00777018"/>
    <w:rsid w:val="0077751B"/>
    <w:rsid w:val="007778D6"/>
    <w:rsid w:val="00783402"/>
    <w:rsid w:val="00783E05"/>
    <w:rsid w:val="00783FB8"/>
    <w:rsid w:val="00785A0C"/>
    <w:rsid w:val="00785E78"/>
    <w:rsid w:val="007865B1"/>
    <w:rsid w:val="00787226"/>
    <w:rsid w:val="00787FB5"/>
    <w:rsid w:val="00790228"/>
    <w:rsid w:val="007906A2"/>
    <w:rsid w:val="007923B1"/>
    <w:rsid w:val="00794DB8"/>
    <w:rsid w:val="00795FE6"/>
    <w:rsid w:val="00796EF2"/>
    <w:rsid w:val="007A38BC"/>
    <w:rsid w:val="007A69DD"/>
    <w:rsid w:val="007A7EB6"/>
    <w:rsid w:val="007A7FB5"/>
    <w:rsid w:val="007B0D9D"/>
    <w:rsid w:val="007B0FDA"/>
    <w:rsid w:val="007B1BE8"/>
    <w:rsid w:val="007B2630"/>
    <w:rsid w:val="007B2D3F"/>
    <w:rsid w:val="007B2E97"/>
    <w:rsid w:val="007B579F"/>
    <w:rsid w:val="007B6447"/>
    <w:rsid w:val="007B661A"/>
    <w:rsid w:val="007B74A7"/>
    <w:rsid w:val="007C3070"/>
    <w:rsid w:val="007C67B5"/>
    <w:rsid w:val="007D59F4"/>
    <w:rsid w:val="007D6884"/>
    <w:rsid w:val="007D7F17"/>
    <w:rsid w:val="007E1E5C"/>
    <w:rsid w:val="007E335C"/>
    <w:rsid w:val="007E393F"/>
    <w:rsid w:val="007E396D"/>
    <w:rsid w:val="007E737B"/>
    <w:rsid w:val="007F27FE"/>
    <w:rsid w:val="007F4B34"/>
    <w:rsid w:val="007F4E1A"/>
    <w:rsid w:val="007F6575"/>
    <w:rsid w:val="0080190E"/>
    <w:rsid w:val="00802B06"/>
    <w:rsid w:val="00805034"/>
    <w:rsid w:val="00805E1E"/>
    <w:rsid w:val="008074A4"/>
    <w:rsid w:val="00807AC3"/>
    <w:rsid w:val="00810F79"/>
    <w:rsid w:val="00813A93"/>
    <w:rsid w:val="00813B00"/>
    <w:rsid w:val="00814E05"/>
    <w:rsid w:val="008152C8"/>
    <w:rsid w:val="008205C7"/>
    <w:rsid w:val="00820A6B"/>
    <w:rsid w:val="00821EB2"/>
    <w:rsid w:val="008233EE"/>
    <w:rsid w:val="00826221"/>
    <w:rsid w:val="0083460F"/>
    <w:rsid w:val="00835655"/>
    <w:rsid w:val="00836B9F"/>
    <w:rsid w:val="00842801"/>
    <w:rsid w:val="00845762"/>
    <w:rsid w:val="00845F52"/>
    <w:rsid w:val="00846512"/>
    <w:rsid w:val="0085130A"/>
    <w:rsid w:val="00852428"/>
    <w:rsid w:val="00855256"/>
    <w:rsid w:val="008554AF"/>
    <w:rsid w:val="00855A1F"/>
    <w:rsid w:val="008564E3"/>
    <w:rsid w:val="008575E8"/>
    <w:rsid w:val="008706C9"/>
    <w:rsid w:val="0087155A"/>
    <w:rsid w:val="008715F3"/>
    <w:rsid w:val="008719B0"/>
    <w:rsid w:val="00873115"/>
    <w:rsid w:val="008743BD"/>
    <w:rsid w:val="008752F8"/>
    <w:rsid w:val="00880BC0"/>
    <w:rsid w:val="008831F0"/>
    <w:rsid w:val="008846A3"/>
    <w:rsid w:val="008849E2"/>
    <w:rsid w:val="00886AA5"/>
    <w:rsid w:val="008924A2"/>
    <w:rsid w:val="00892E5D"/>
    <w:rsid w:val="00895631"/>
    <w:rsid w:val="00897C39"/>
    <w:rsid w:val="00897E08"/>
    <w:rsid w:val="008A0325"/>
    <w:rsid w:val="008A72C7"/>
    <w:rsid w:val="008B1144"/>
    <w:rsid w:val="008B261B"/>
    <w:rsid w:val="008B299D"/>
    <w:rsid w:val="008B390A"/>
    <w:rsid w:val="008B5E69"/>
    <w:rsid w:val="008B6113"/>
    <w:rsid w:val="008C0960"/>
    <w:rsid w:val="008C111A"/>
    <w:rsid w:val="008C248D"/>
    <w:rsid w:val="008C32E8"/>
    <w:rsid w:val="008C3F4F"/>
    <w:rsid w:val="008C616A"/>
    <w:rsid w:val="008C7AA0"/>
    <w:rsid w:val="008C7E9B"/>
    <w:rsid w:val="008D1BCA"/>
    <w:rsid w:val="008D2A3E"/>
    <w:rsid w:val="008D3BA4"/>
    <w:rsid w:val="008E058A"/>
    <w:rsid w:val="008E117E"/>
    <w:rsid w:val="008E263A"/>
    <w:rsid w:val="008E3AFE"/>
    <w:rsid w:val="008E3E78"/>
    <w:rsid w:val="008E5B2B"/>
    <w:rsid w:val="008E62A2"/>
    <w:rsid w:val="008E6998"/>
    <w:rsid w:val="008F0146"/>
    <w:rsid w:val="008F13D6"/>
    <w:rsid w:val="008F2136"/>
    <w:rsid w:val="008F588A"/>
    <w:rsid w:val="008F68AB"/>
    <w:rsid w:val="0090181C"/>
    <w:rsid w:val="009019BD"/>
    <w:rsid w:val="009034B9"/>
    <w:rsid w:val="00904098"/>
    <w:rsid w:val="0091017E"/>
    <w:rsid w:val="0091415F"/>
    <w:rsid w:val="0091469C"/>
    <w:rsid w:val="00914AE3"/>
    <w:rsid w:val="00915F29"/>
    <w:rsid w:val="00916CE2"/>
    <w:rsid w:val="00921AFE"/>
    <w:rsid w:val="00922113"/>
    <w:rsid w:val="00924E7F"/>
    <w:rsid w:val="00927FC7"/>
    <w:rsid w:val="00930A2B"/>
    <w:rsid w:val="00932BAF"/>
    <w:rsid w:val="00933D57"/>
    <w:rsid w:val="00934476"/>
    <w:rsid w:val="009359E8"/>
    <w:rsid w:val="00935BFB"/>
    <w:rsid w:val="00936857"/>
    <w:rsid w:val="00937013"/>
    <w:rsid w:val="009402C7"/>
    <w:rsid w:val="00940A20"/>
    <w:rsid w:val="00943078"/>
    <w:rsid w:val="00946B6F"/>
    <w:rsid w:val="00951F4D"/>
    <w:rsid w:val="0095541A"/>
    <w:rsid w:val="0096482E"/>
    <w:rsid w:val="00964897"/>
    <w:rsid w:val="0096563C"/>
    <w:rsid w:val="00966412"/>
    <w:rsid w:val="00966FA8"/>
    <w:rsid w:val="00972AAC"/>
    <w:rsid w:val="0097359A"/>
    <w:rsid w:val="00974509"/>
    <w:rsid w:val="00974D2C"/>
    <w:rsid w:val="00976C78"/>
    <w:rsid w:val="009777AE"/>
    <w:rsid w:val="00981DEA"/>
    <w:rsid w:val="00984F60"/>
    <w:rsid w:val="0098693E"/>
    <w:rsid w:val="00986F2F"/>
    <w:rsid w:val="009907A4"/>
    <w:rsid w:val="00991130"/>
    <w:rsid w:val="00993F3F"/>
    <w:rsid w:val="00994278"/>
    <w:rsid w:val="0099438C"/>
    <w:rsid w:val="0099568D"/>
    <w:rsid w:val="00995841"/>
    <w:rsid w:val="00995F02"/>
    <w:rsid w:val="00997109"/>
    <w:rsid w:val="009A3A74"/>
    <w:rsid w:val="009A63D1"/>
    <w:rsid w:val="009A65BA"/>
    <w:rsid w:val="009A6CDD"/>
    <w:rsid w:val="009B1C60"/>
    <w:rsid w:val="009B2E09"/>
    <w:rsid w:val="009B3551"/>
    <w:rsid w:val="009B4CD8"/>
    <w:rsid w:val="009B5671"/>
    <w:rsid w:val="009B6209"/>
    <w:rsid w:val="009C0F1F"/>
    <w:rsid w:val="009C3668"/>
    <w:rsid w:val="009C5D62"/>
    <w:rsid w:val="009C680A"/>
    <w:rsid w:val="009C7638"/>
    <w:rsid w:val="009D16E4"/>
    <w:rsid w:val="009D1B45"/>
    <w:rsid w:val="009D2279"/>
    <w:rsid w:val="009D3F17"/>
    <w:rsid w:val="009D4022"/>
    <w:rsid w:val="009D407E"/>
    <w:rsid w:val="009D58B0"/>
    <w:rsid w:val="009D6607"/>
    <w:rsid w:val="009E128E"/>
    <w:rsid w:val="009E260D"/>
    <w:rsid w:val="009E31A8"/>
    <w:rsid w:val="009E4928"/>
    <w:rsid w:val="009F00B1"/>
    <w:rsid w:val="009F1828"/>
    <w:rsid w:val="009F261F"/>
    <w:rsid w:val="009F50D3"/>
    <w:rsid w:val="009F7F58"/>
    <w:rsid w:val="00A01342"/>
    <w:rsid w:val="00A019C5"/>
    <w:rsid w:val="00A0324C"/>
    <w:rsid w:val="00A05F53"/>
    <w:rsid w:val="00A07650"/>
    <w:rsid w:val="00A118C9"/>
    <w:rsid w:val="00A17B68"/>
    <w:rsid w:val="00A23F2C"/>
    <w:rsid w:val="00A2510C"/>
    <w:rsid w:val="00A2607D"/>
    <w:rsid w:val="00A33812"/>
    <w:rsid w:val="00A41B50"/>
    <w:rsid w:val="00A42D07"/>
    <w:rsid w:val="00A44586"/>
    <w:rsid w:val="00A46ADB"/>
    <w:rsid w:val="00A47C60"/>
    <w:rsid w:val="00A51CC5"/>
    <w:rsid w:val="00A51E07"/>
    <w:rsid w:val="00A527B7"/>
    <w:rsid w:val="00A53EED"/>
    <w:rsid w:val="00A55D92"/>
    <w:rsid w:val="00A57498"/>
    <w:rsid w:val="00A60ABC"/>
    <w:rsid w:val="00A60C0A"/>
    <w:rsid w:val="00A60ED3"/>
    <w:rsid w:val="00A62838"/>
    <w:rsid w:val="00A64BBB"/>
    <w:rsid w:val="00A651E0"/>
    <w:rsid w:val="00A6574A"/>
    <w:rsid w:val="00A67A2C"/>
    <w:rsid w:val="00A72687"/>
    <w:rsid w:val="00A72E3E"/>
    <w:rsid w:val="00A736FA"/>
    <w:rsid w:val="00A75948"/>
    <w:rsid w:val="00A77113"/>
    <w:rsid w:val="00A80F56"/>
    <w:rsid w:val="00A81B40"/>
    <w:rsid w:val="00A8529E"/>
    <w:rsid w:val="00A8790B"/>
    <w:rsid w:val="00A879E7"/>
    <w:rsid w:val="00A9004A"/>
    <w:rsid w:val="00A91BA3"/>
    <w:rsid w:val="00A9216A"/>
    <w:rsid w:val="00A92F71"/>
    <w:rsid w:val="00A93371"/>
    <w:rsid w:val="00A97AA0"/>
    <w:rsid w:val="00AA0440"/>
    <w:rsid w:val="00AA0DF1"/>
    <w:rsid w:val="00AA14AF"/>
    <w:rsid w:val="00AA2879"/>
    <w:rsid w:val="00AA4F43"/>
    <w:rsid w:val="00AB20BF"/>
    <w:rsid w:val="00AB4610"/>
    <w:rsid w:val="00AB51FE"/>
    <w:rsid w:val="00AB5242"/>
    <w:rsid w:val="00AC01A2"/>
    <w:rsid w:val="00AC067B"/>
    <w:rsid w:val="00AC07D1"/>
    <w:rsid w:val="00AC2FF8"/>
    <w:rsid w:val="00AC3494"/>
    <w:rsid w:val="00AC5600"/>
    <w:rsid w:val="00AD452B"/>
    <w:rsid w:val="00AD4657"/>
    <w:rsid w:val="00AD55D3"/>
    <w:rsid w:val="00AD7BB2"/>
    <w:rsid w:val="00AE0CDA"/>
    <w:rsid w:val="00AE0DB9"/>
    <w:rsid w:val="00AE2AD0"/>
    <w:rsid w:val="00AE4C41"/>
    <w:rsid w:val="00AE6D03"/>
    <w:rsid w:val="00AF0527"/>
    <w:rsid w:val="00AF1CAD"/>
    <w:rsid w:val="00AF1DA2"/>
    <w:rsid w:val="00AF3A66"/>
    <w:rsid w:val="00AF664A"/>
    <w:rsid w:val="00AF6ACE"/>
    <w:rsid w:val="00B003FC"/>
    <w:rsid w:val="00B008F7"/>
    <w:rsid w:val="00B00C44"/>
    <w:rsid w:val="00B01B95"/>
    <w:rsid w:val="00B02F8E"/>
    <w:rsid w:val="00B030E0"/>
    <w:rsid w:val="00B05270"/>
    <w:rsid w:val="00B13681"/>
    <w:rsid w:val="00B16B32"/>
    <w:rsid w:val="00B17C9E"/>
    <w:rsid w:val="00B208E0"/>
    <w:rsid w:val="00B2206B"/>
    <w:rsid w:val="00B22C41"/>
    <w:rsid w:val="00B25CD3"/>
    <w:rsid w:val="00B2658A"/>
    <w:rsid w:val="00B45124"/>
    <w:rsid w:val="00B456F8"/>
    <w:rsid w:val="00B466C5"/>
    <w:rsid w:val="00B54039"/>
    <w:rsid w:val="00B54D5C"/>
    <w:rsid w:val="00B55D48"/>
    <w:rsid w:val="00B6189B"/>
    <w:rsid w:val="00B61DB7"/>
    <w:rsid w:val="00B62D2B"/>
    <w:rsid w:val="00B63B17"/>
    <w:rsid w:val="00B63F49"/>
    <w:rsid w:val="00B656C7"/>
    <w:rsid w:val="00B66150"/>
    <w:rsid w:val="00B66392"/>
    <w:rsid w:val="00B66DF9"/>
    <w:rsid w:val="00B67705"/>
    <w:rsid w:val="00B67895"/>
    <w:rsid w:val="00B70C3E"/>
    <w:rsid w:val="00B7115B"/>
    <w:rsid w:val="00B72304"/>
    <w:rsid w:val="00B72355"/>
    <w:rsid w:val="00B72890"/>
    <w:rsid w:val="00B73568"/>
    <w:rsid w:val="00B750C7"/>
    <w:rsid w:val="00B75352"/>
    <w:rsid w:val="00B75473"/>
    <w:rsid w:val="00B775D3"/>
    <w:rsid w:val="00B82B18"/>
    <w:rsid w:val="00B83A30"/>
    <w:rsid w:val="00B84985"/>
    <w:rsid w:val="00B850CF"/>
    <w:rsid w:val="00B85D35"/>
    <w:rsid w:val="00B86A0C"/>
    <w:rsid w:val="00B87521"/>
    <w:rsid w:val="00B87D35"/>
    <w:rsid w:val="00B904BB"/>
    <w:rsid w:val="00B91B35"/>
    <w:rsid w:val="00B92044"/>
    <w:rsid w:val="00B920C9"/>
    <w:rsid w:val="00B9510C"/>
    <w:rsid w:val="00B9693B"/>
    <w:rsid w:val="00BA1202"/>
    <w:rsid w:val="00BA3941"/>
    <w:rsid w:val="00BB0415"/>
    <w:rsid w:val="00BB0463"/>
    <w:rsid w:val="00BB0626"/>
    <w:rsid w:val="00BB07EC"/>
    <w:rsid w:val="00BB0CB1"/>
    <w:rsid w:val="00BB1F11"/>
    <w:rsid w:val="00BB2080"/>
    <w:rsid w:val="00BB2756"/>
    <w:rsid w:val="00BB63D7"/>
    <w:rsid w:val="00BC384B"/>
    <w:rsid w:val="00BC3F25"/>
    <w:rsid w:val="00BC42C3"/>
    <w:rsid w:val="00BC4C8E"/>
    <w:rsid w:val="00BD488D"/>
    <w:rsid w:val="00BD49C0"/>
    <w:rsid w:val="00BD4ADF"/>
    <w:rsid w:val="00BD6A12"/>
    <w:rsid w:val="00BD7433"/>
    <w:rsid w:val="00BE224C"/>
    <w:rsid w:val="00BE235F"/>
    <w:rsid w:val="00BE43C0"/>
    <w:rsid w:val="00BE66C3"/>
    <w:rsid w:val="00BE6C9D"/>
    <w:rsid w:val="00BE7472"/>
    <w:rsid w:val="00BF0794"/>
    <w:rsid w:val="00BF2D10"/>
    <w:rsid w:val="00BF329D"/>
    <w:rsid w:val="00BF5472"/>
    <w:rsid w:val="00BF5780"/>
    <w:rsid w:val="00BF5AAF"/>
    <w:rsid w:val="00BF64EB"/>
    <w:rsid w:val="00BF6680"/>
    <w:rsid w:val="00BF7F74"/>
    <w:rsid w:val="00C016D4"/>
    <w:rsid w:val="00C02038"/>
    <w:rsid w:val="00C031AF"/>
    <w:rsid w:val="00C03B49"/>
    <w:rsid w:val="00C06F31"/>
    <w:rsid w:val="00C11434"/>
    <w:rsid w:val="00C1527F"/>
    <w:rsid w:val="00C15A74"/>
    <w:rsid w:val="00C15E83"/>
    <w:rsid w:val="00C169E0"/>
    <w:rsid w:val="00C2053E"/>
    <w:rsid w:val="00C2122F"/>
    <w:rsid w:val="00C2227B"/>
    <w:rsid w:val="00C22300"/>
    <w:rsid w:val="00C225FA"/>
    <w:rsid w:val="00C229A7"/>
    <w:rsid w:val="00C22D70"/>
    <w:rsid w:val="00C23FA5"/>
    <w:rsid w:val="00C25CC2"/>
    <w:rsid w:val="00C34CE3"/>
    <w:rsid w:val="00C356D4"/>
    <w:rsid w:val="00C45051"/>
    <w:rsid w:val="00C45557"/>
    <w:rsid w:val="00C45ED5"/>
    <w:rsid w:val="00C46AE5"/>
    <w:rsid w:val="00C50441"/>
    <w:rsid w:val="00C50B28"/>
    <w:rsid w:val="00C52B6C"/>
    <w:rsid w:val="00C53767"/>
    <w:rsid w:val="00C54D64"/>
    <w:rsid w:val="00C557FF"/>
    <w:rsid w:val="00C60FD2"/>
    <w:rsid w:val="00C61624"/>
    <w:rsid w:val="00C61EA6"/>
    <w:rsid w:val="00C62DA7"/>
    <w:rsid w:val="00C63756"/>
    <w:rsid w:val="00C653D1"/>
    <w:rsid w:val="00C67537"/>
    <w:rsid w:val="00C67AC7"/>
    <w:rsid w:val="00C769A1"/>
    <w:rsid w:val="00C808B9"/>
    <w:rsid w:val="00C80A17"/>
    <w:rsid w:val="00C82E5E"/>
    <w:rsid w:val="00C85E8D"/>
    <w:rsid w:val="00C9426A"/>
    <w:rsid w:val="00C94F6D"/>
    <w:rsid w:val="00C952EF"/>
    <w:rsid w:val="00C97EDC"/>
    <w:rsid w:val="00CA026F"/>
    <w:rsid w:val="00CA0D9F"/>
    <w:rsid w:val="00CA12D1"/>
    <w:rsid w:val="00CA3902"/>
    <w:rsid w:val="00CA599F"/>
    <w:rsid w:val="00CA610C"/>
    <w:rsid w:val="00CB1A9F"/>
    <w:rsid w:val="00CB3832"/>
    <w:rsid w:val="00CB3E94"/>
    <w:rsid w:val="00CB4816"/>
    <w:rsid w:val="00CB77BA"/>
    <w:rsid w:val="00CC0052"/>
    <w:rsid w:val="00CC2431"/>
    <w:rsid w:val="00CC2954"/>
    <w:rsid w:val="00CC2F03"/>
    <w:rsid w:val="00CC32B1"/>
    <w:rsid w:val="00CC37C6"/>
    <w:rsid w:val="00CD1872"/>
    <w:rsid w:val="00CD36B0"/>
    <w:rsid w:val="00CD38AB"/>
    <w:rsid w:val="00CD572A"/>
    <w:rsid w:val="00CE07DA"/>
    <w:rsid w:val="00CE0A0B"/>
    <w:rsid w:val="00CE1F69"/>
    <w:rsid w:val="00CE2F82"/>
    <w:rsid w:val="00CE3F79"/>
    <w:rsid w:val="00CE6C63"/>
    <w:rsid w:val="00CE728E"/>
    <w:rsid w:val="00CE7391"/>
    <w:rsid w:val="00CF0D45"/>
    <w:rsid w:val="00CF3541"/>
    <w:rsid w:val="00CF3FEB"/>
    <w:rsid w:val="00CF572D"/>
    <w:rsid w:val="00D00601"/>
    <w:rsid w:val="00D01279"/>
    <w:rsid w:val="00D0358F"/>
    <w:rsid w:val="00D05BC5"/>
    <w:rsid w:val="00D06CDC"/>
    <w:rsid w:val="00D07811"/>
    <w:rsid w:val="00D07EE3"/>
    <w:rsid w:val="00D104C1"/>
    <w:rsid w:val="00D11D68"/>
    <w:rsid w:val="00D11F03"/>
    <w:rsid w:val="00D12CA7"/>
    <w:rsid w:val="00D12E7E"/>
    <w:rsid w:val="00D13FCB"/>
    <w:rsid w:val="00D15438"/>
    <w:rsid w:val="00D16B79"/>
    <w:rsid w:val="00D16CB7"/>
    <w:rsid w:val="00D16D3E"/>
    <w:rsid w:val="00D17DC3"/>
    <w:rsid w:val="00D20D7A"/>
    <w:rsid w:val="00D243DA"/>
    <w:rsid w:val="00D24825"/>
    <w:rsid w:val="00D25BEE"/>
    <w:rsid w:val="00D26048"/>
    <w:rsid w:val="00D27C32"/>
    <w:rsid w:val="00D30248"/>
    <w:rsid w:val="00D32DC6"/>
    <w:rsid w:val="00D37322"/>
    <w:rsid w:val="00D40C69"/>
    <w:rsid w:val="00D41B29"/>
    <w:rsid w:val="00D4338F"/>
    <w:rsid w:val="00D438A9"/>
    <w:rsid w:val="00D43D77"/>
    <w:rsid w:val="00D45649"/>
    <w:rsid w:val="00D4624E"/>
    <w:rsid w:val="00D4661B"/>
    <w:rsid w:val="00D47DBE"/>
    <w:rsid w:val="00D53ACB"/>
    <w:rsid w:val="00D541F2"/>
    <w:rsid w:val="00D542F0"/>
    <w:rsid w:val="00D61DC3"/>
    <w:rsid w:val="00D63909"/>
    <w:rsid w:val="00D63B8D"/>
    <w:rsid w:val="00D6450E"/>
    <w:rsid w:val="00D64B00"/>
    <w:rsid w:val="00D64ECC"/>
    <w:rsid w:val="00D67981"/>
    <w:rsid w:val="00D74429"/>
    <w:rsid w:val="00D751A8"/>
    <w:rsid w:val="00D75209"/>
    <w:rsid w:val="00D753F2"/>
    <w:rsid w:val="00D80D82"/>
    <w:rsid w:val="00D81376"/>
    <w:rsid w:val="00D821AF"/>
    <w:rsid w:val="00D854E9"/>
    <w:rsid w:val="00D8700F"/>
    <w:rsid w:val="00D874C4"/>
    <w:rsid w:val="00D879C0"/>
    <w:rsid w:val="00D879D0"/>
    <w:rsid w:val="00D914DA"/>
    <w:rsid w:val="00D91712"/>
    <w:rsid w:val="00D9203C"/>
    <w:rsid w:val="00D9284D"/>
    <w:rsid w:val="00D9330C"/>
    <w:rsid w:val="00D94968"/>
    <w:rsid w:val="00D96530"/>
    <w:rsid w:val="00D96787"/>
    <w:rsid w:val="00D9684C"/>
    <w:rsid w:val="00D96F6C"/>
    <w:rsid w:val="00D97543"/>
    <w:rsid w:val="00DA2563"/>
    <w:rsid w:val="00DA544C"/>
    <w:rsid w:val="00DB1463"/>
    <w:rsid w:val="00DB2C3E"/>
    <w:rsid w:val="00DB387E"/>
    <w:rsid w:val="00DB44D5"/>
    <w:rsid w:val="00DB4C23"/>
    <w:rsid w:val="00DB742B"/>
    <w:rsid w:val="00DB780C"/>
    <w:rsid w:val="00DC0637"/>
    <w:rsid w:val="00DC24D0"/>
    <w:rsid w:val="00DC69BA"/>
    <w:rsid w:val="00DC6D7B"/>
    <w:rsid w:val="00DC6DAC"/>
    <w:rsid w:val="00DD4199"/>
    <w:rsid w:val="00DD504B"/>
    <w:rsid w:val="00DE1889"/>
    <w:rsid w:val="00DE3496"/>
    <w:rsid w:val="00DE49A0"/>
    <w:rsid w:val="00DE58A5"/>
    <w:rsid w:val="00DE65CF"/>
    <w:rsid w:val="00DE66F2"/>
    <w:rsid w:val="00DE6E20"/>
    <w:rsid w:val="00DF0413"/>
    <w:rsid w:val="00DF0479"/>
    <w:rsid w:val="00DF0E75"/>
    <w:rsid w:val="00DF18ED"/>
    <w:rsid w:val="00DF1C4A"/>
    <w:rsid w:val="00DF1FE6"/>
    <w:rsid w:val="00DF257C"/>
    <w:rsid w:val="00DF6B9F"/>
    <w:rsid w:val="00E004D9"/>
    <w:rsid w:val="00E00A85"/>
    <w:rsid w:val="00E063CC"/>
    <w:rsid w:val="00E07125"/>
    <w:rsid w:val="00E072D5"/>
    <w:rsid w:val="00E10EC5"/>
    <w:rsid w:val="00E11321"/>
    <w:rsid w:val="00E12E76"/>
    <w:rsid w:val="00E136D4"/>
    <w:rsid w:val="00E154B2"/>
    <w:rsid w:val="00E161D8"/>
    <w:rsid w:val="00E172EB"/>
    <w:rsid w:val="00E23FBA"/>
    <w:rsid w:val="00E24999"/>
    <w:rsid w:val="00E24A74"/>
    <w:rsid w:val="00E250EF"/>
    <w:rsid w:val="00E27439"/>
    <w:rsid w:val="00E33FF5"/>
    <w:rsid w:val="00E36AB4"/>
    <w:rsid w:val="00E40862"/>
    <w:rsid w:val="00E435A1"/>
    <w:rsid w:val="00E43EB7"/>
    <w:rsid w:val="00E46A2C"/>
    <w:rsid w:val="00E5385E"/>
    <w:rsid w:val="00E53D8D"/>
    <w:rsid w:val="00E54B56"/>
    <w:rsid w:val="00E54C3C"/>
    <w:rsid w:val="00E55AC8"/>
    <w:rsid w:val="00E56367"/>
    <w:rsid w:val="00E57576"/>
    <w:rsid w:val="00E608C2"/>
    <w:rsid w:val="00E647A5"/>
    <w:rsid w:val="00E70B7C"/>
    <w:rsid w:val="00E714FD"/>
    <w:rsid w:val="00E7191F"/>
    <w:rsid w:val="00E7275F"/>
    <w:rsid w:val="00E7296E"/>
    <w:rsid w:val="00E749E5"/>
    <w:rsid w:val="00E74D3C"/>
    <w:rsid w:val="00E77A34"/>
    <w:rsid w:val="00E77CB7"/>
    <w:rsid w:val="00E81211"/>
    <w:rsid w:val="00E82CFD"/>
    <w:rsid w:val="00E85BA7"/>
    <w:rsid w:val="00E86393"/>
    <w:rsid w:val="00E865FC"/>
    <w:rsid w:val="00E90A23"/>
    <w:rsid w:val="00E950FD"/>
    <w:rsid w:val="00E96E88"/>
    <w:rsid w:val="00EA1412"/>
    <w:rsid w:val="00EA3A27"/>
    <w:rsid w:val="00EA3C5B"/>
    <w:rsid w:val="00EA6F9D"/>
    <w:rsid w:val="00EA7479"/>
    <w:rsid w:val="00EB0984"/>
    <w:rsid w:val="00EB4255"/>
    <w:rsid w:val="00EB4455"/>
    <w:rsid w:val="00EB46E9"/>
    <w:rsid w:val="00EC535A"/>
    <w:rsid w:val="00EC6F21"/>
    <w:rsid w:val="00EC7EB7"/>
    <w:rsid w:val="00ED1151"/>
    <w:rsid w:val="00ED11E2"/>
    <w:rsid w:val="00ED27A4"/>
    <w:rsid w:val="00ED3A69"/>
    <w:rsid w:val="00ED43FB"/>
    <w:rsid w:val="00ED6756"/>
    <w:rsid w:val="00ED76CC"/>
    <w:rsid w:val="00ED7833"/>
    <w:rsid w:val="00EE06B3"/>
    <w:rsid w:val="00EE1064"/>
    <w:rsid w:val="00EE2AA1"/>
    <w:rsid w:val="00EE323C"/>
    <w:rsid w:val="00EE5362"/>
    <w:rsid w:val="00EE6D08"/>
    <w:rsid w:val="00EF0B9A"/>
    <w:rsid w:val="00EF2E94"/>
    <w:rsid w:val="00EF3F5A"/>
    <w:rsid w:val="00EF6783"/>
    <w:rsid w:val="00EF7C68"/>
    <w:rsid w:val="00F01C05"/>
    <w:rsid w:val="00F02756"/>
    <w:rsid w:val="00F033A4"/>
    <w:rsid w:val="00F06798"/>
    <w:rsid w:val="00F06F1B"/>
    <w:rsid w:val="00F06FEF"/>
    <w:rsid w:val="00F106DE"/>
    <w:rsid w:val="00F10A3A"/>
    <w:rsid w:val="00F1155C"/>
    <w:rsid w:val="00F144F2"/>
    <w:rsid w:val="00F15546"/>
    <w:rsid w:val="00F15EEE"/>
    <w:rsid w:val="00F170BA"/>
    <w:rsid w:val="00F1783D"/>
    <w:rsid w:val="00F20BF7"/>
    <w:rsid w:val="00F2191E"/>
    <w:rsid w:val="00F21C43"/>
    <w:rsid w:val="00F21D4D"/>
    <w:rsid w:val="00F21F57"/>
    <w:rsid w:val="00F22C88"/>
    <w:rsid w:val="00F23966"/>
    <w:rsid w:val="00F24029"/>
    <w:rsid w:val="00F2766D"/>
    <w:rsid w:val="00F2782A"/>
    <w:rsid w:val="00F30E5F"/>
    <w:rsid w:val="00F327FF"/>
    <w:rsid w:val="00F422FB"/>
    <w:rsid w:val="00F42802"/>
    <w:rsid w:val="00F43280"/>
    <w:rsid w:val="00F44596"/>
    <w:rsid w:val="00F44619"/>
    <w:rsid w:val="00F45305"/>
    <w:rsid w:val="00F4661E"/>
    <w:rsid w:val="00F479B4"/>
    <w:rsid w:val="00F526ED"/>
    <w:rsid w:val="00F529FA"/>
    <w:rsid w:val="00F55327"/>
    <w:rsid w:val="00F57D79"/>
    <w:rsid w:val="00F61931"/>
    <w:rsid w:val="00F63130"/>
    <w:rsid w:val="00F64010"/>
    <w:rsid w:val="00F664D3"/>
    <w:rsid w:val="00F71257"/>
    <w:rsid w:val="00F731A9"/>
    <w:rsid w:val="00F73651"/>
    <w:rsid w:val="00F73893"/>
    <w:rsid w:val="00F73A97"/>
    <w:rsid w:val="00F73B68"/>
    <w:rsid w:val="00F760DC"/>
    <w:rsid w:val="00F76E10"/>
    <w:rsid w:val="00F77AF8"/>
    <w:rsid w:val="00F80032"/>
    <w:rsid w:val="00F801F3"/>
    <w:rsid w:val="00F82F05"/>
    <w:rsid w:val="00F831A4"/>
    <w:rsid w:val="00F8506F"/>
    <w:rsid w:val="00F87242"/>
    <w:rsid w:val="00F87D31"/>
    <w:rsid w:val="00F907AF"/>
    <w:rsid w:val="00F9514A"/>
    <w:rsid w:val="00F95E1F"/>
    <w:rsid w:val="00F9790A"/>
    <w:rsid w:val="00FA08B1"/>
    <w:rsid w:val="00FA09C2"/>
    <w:rsid w:val="00FA0A89"/>
    <w:rsid w:val="00FA188B"/>
    <w:rsid w:val="00FA20C9"/>
    <w:rsid w:val="00FA22EE"/>
    <w:rsid w:val="00FA3B3A"/>
    <w:rsid w:val="00FA3C2F"/>
    <w:rsid w:val="00FA4393"/>
    <w:rsid w:val="00FA6169"/>
    <w:rsid w:val="00FA64A7"/>
    <w:rsid w:val="00FA6E0C"/>
    <w:rsid w:val="00FB1ED2"/>
    <w:rsid w:val="00FB4A73"/>
    <w:rsid w:val="00FB538D"/>
    <w:rsid w:val="00FB571A"/>
    <w:rsid w:val="00FB6D5E"/>
    <w:rsid w:val="00FB7CCB"/>
    <w:rsid w:val="00FB7E3D"/>
    <w:rsid w:val="00FC22F5"/>
    <w:rsid w:val="00FC2808"/>
    <w:rsid w:val="00FC2B5E"/>
    <w:rsid w:val="00FC3B5A"/>
    <w:rsid w:val="00FC5104"/>
    <w:rsid w:val="00FC580D"/>
    <w:rsid w:val="00FC671D"/>
    <w:rsid w:val="00FC68D2"/>
    <w:rsid w:val="00FD3930"/>
    <w:rsid w:val="00FD5425"/>
    <w:rsid w:val="00FD643C"/>
    <w:rsid w:val="00FD79D9"/>
    <w:rsid w:val="00FE136E"/>
    <w:rsid w:val="00FE3150"/>
    <w:rsid w:val="00FE3519"/>
    <w:rsid w:val="00FE6EAA"/>
    <w:rsid w:val="00FE704C"/>
    <w:rsid w:val="00FE72E8"/>
    <w:rsid w:val="00FE77DE"/>
    <w:rsid w:val="00FF25E0"/>
    <w:rsid w:val="00FF2CA3"/>
    <w:rsid w:val="00FF398F"/>
    <w:rsid w:val="00FF4227"/>
    <w:rsid w:val="00FF4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F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link w:val="Titre1Car"/>
    <w:uiPriority w:val="9"/>
    <w:qFormat/>
    <w:rsid w:val="0071611A"/>
    <w:pPr>
      <w:keepNext/>
      <w:keepLines/>
      <w:spacing w:before="480" w:line="276" w:lineRule="auto"/>
      <w:outlineLvl w:val="0"/>
    </w:pPr>
    <w:rPr>
      <w:rFonts w:ascii="Cambria" w:hAnsi="Cambria"/>
      <w:b/>
      <w:bCs/>
      <w:color w:val="365F91"/>
      <w:sz w:val="28"/>
      <w:szCs w:val="28"/>
    </w:rPr>
  </w:style>
  <w:style w:type="paragraph" w:styleId="Titre3">
    <w:name w:val="heading 3"/>
    <w:basedOn w:val="Normal"/>
    <w:next w:val="Normal"/>
    <w:link w:val="Titre3Car"/>
    <w:uiPriority w:val="9"/>
    <w:semiHidden/>
    <w:unhideWhenUsed/>
    <w:qFormat/>
    <w:rsid w:val="00D4338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03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91712"/>
    <w:pPr>
      <w:tabs>
        <w:tab w:val="center" w:pos="4536"/>
        <w:tab w:val="right" w:pos="9072"/>
      </w:tabs>
    </w:pPr>
  </w:style>
  <w:style w:type="character" w:customStyle="1" w:styleId="En-tteCar">
    <w:name w:val="En-tête Car"/>
    <w:basedOn w:val="Policepardfaut"/>
    <w:link w:val="En-tte"/>
    <w:uiPriority w:val="99"/>
    <w:rsid w:val="00D91712"/>
  </w:style>
  <w:style w:type="paragraph" w:styleId="Pieddepage">
    <w:name w:val="footer"/>
    <w:basedOn w:val="Normal"/>
    <w:link w:val="PieddepageCar"/>
    <w:uiPriority w:val="99"/>
    <w:unhideWhenUsed/>
    <w:rsid w:val="00D91712"/>
    <w:pPr>
      <w:tabs>
        <w:tab w:val="center" w:pos="4536"/>
        <w:tab w:val="right" w:pos="9072"/>
      </w:tabs>
    </w:pPr>
  </w:style>
  <w:style w:type="character" w:customStyle="1" w:styleId="PieddepageCar">
    <w:name w:val="Pied de page Car"/>
    <w:basedOn w:val="Policepardfaut"/>
    <w:link w:val="Pieddepage"/>
    <w:uiPriority w:val="99"/>
    <w:rsid w:val="00D91712"/>
  </w:style>
  <w:style w:type="paragraph" w:styleId="Textedebulles">
    <w:name w:val="Balloon Text"/>
    <w:basedOn w:val="Normal"/>
    <w:link w:val="TextedebullesCar"/>
    <w:uiPriority w:val="99"/>
    <w:semiHidden/>
    <w:unhideWhenUsed/>
    <w:rsid w:val="00D91712"/>
    <w:rPr>
      <w:rFonts w:ascii="Tahoma" w:hAnsi="Tahoma" w:cs="Tahoma"/>
      <w:sz w:val="16"/>
      <w:szCs w:val="16"/>
    </w:rPr>
  </w:style>
  <w:style w:type="character" w:customStyle="1" w:styleId="TextedebullesCar">
    <w:name w:val="Texte de bulles Car"/>
    <w:link w:val="Textedebulles"/>
    <w:uiPriority w:val="99"/>
    <w:semiHidden/>
    <w:rsid w:val="00D91712"/>
    <w:rPr>
      <w:rFonts w:ascii="Tahoma" w:hAnsi="Tahoma" w:cs="Tahoma"/>
      <w:sz w:val="16"/>
      <w:szCs w:val="16"/>
    </w:rPr>
  </w:style>
  <w:style w:type="character" w:styleId="Marquedecommentaire">
    <w:name w:val="annotation reference"/>
    <w:uiPriority w:val="99"/>
    <w:semiHidden/>
    <w:unhideWhenUsed/>
    <w:rsid w:val="00D61DC3"/>
    <w:rPr>
      <w:sz w:val="16"/>
      <w:szCs w:val="16"/>
    </w:rPr>
  </w:style>
  <w:style w:type="paragraph" w:styleId="Commentaire">
    <w:name w:val="annotation text"/>
    <w:basedOn w:val="Normal"/>
    <w:link w:val="CommentaireCar"/>
    <w:uiPriority w:val="99"/>
    <w:unhideWhenUsed/>
    <w:rsid w:val="00D61DC3"/>
    <w:pPr>
      <w:spacing w:after="200"/>
    </w:pPr>
    <w:rPr>
      <w:rFonts w:ascii="Calibri" w:eastAsia="Calibri" w:hAnsi="Calibri"/>
      <w:lang w:val="en-US" w:eastAsia="en-US"/>
    </w:rPr>
  </w:style>
  <w:style w:type="character" w:customStyle="1" w:styleId="CommentaireCar">
    <w:name w:val="Commentaire Car"/>
    <w:link w:val="Commentaire"/>
    <w:uiPriority w:val="99"/>
    <w:rsid w:val="00D61DC3"/>
    <w:rPr>
      <w:rFonts w:ascii="Calibri" w:eastAsia="Calibri" w:hAnsi="Calibri"/>
      <w:lang w:val="en-US" w:eastAsia="en-US"/>
    </w:rPr>
  </w:style>
  <w:style w:type="character" w:customStyle="1" w:styleId="Titre1Car">
    <w:name w:val="Titre 1 Car"/>
    <w:link w:val="Titre1"/>
    <w:uiPriority w:val="9"/>
    <w:rsid w:val="0071611A"/>
    <w:rPr>
      <w:rFonts w:ascii="Cambria" w:hAnsi="Cambria"/>
      <w:b/>
      <w:bCs/>
      <w:color w:val="365F91"/>
      <w:sz w:val="28"/>
      <w:szCs w:val="28"/>
    </w:rPr>
  </w:style>
  <w:style w:type="paragraph" w:styleId="Bibliographie">
    <w:name w:val="Bibliography"/>
    <w:basedOn w:val="Normal"/>
    <w:next w:val="Normal"/>
    <w:uiPriority w:val="37"/>
    <w:unhideWhenUsed/>
    <w:rsid w:val="0071611A"/>
  </w:style>
  <w:style w:type="paragraph" w:styleId="Paragraphedeliste">
    <w:name w:val="List Paragraph"/>
    <w:basedOn w:val="Normal"/>
    <w:uiPriority w:val="34"/>
    <w:qFormat/>
    <w:rsid w:val="00CC37C6"/>
    <w:pPr>
      <w:spacing w:after="200" w:line="276" w:lineRule="auto"/>
      <w:ind w:left="720"/>
      <w:contextualSpacing/>
    </w:pPr>
    <w:rPr>
      <w:rFonts w:ascii="Calibri" w:eastAsia="Calibri" w:hAnsi="Calibri"/>
      <w:sz w:val="22"/>
      <w:szCs w:val="22"/>
      <w:lang w:val="en-US" w:eastAsia="en-US"/>
    </w:rPr>
  </w:style>
  <w:style w:type="character" w:customStyle="1" w:styleId="apple-converted-space">
    <w:name w:val="apple-converted-space"/>
    <w:rsid w:val="007205F5"/>
  </w:style>
  <w:style w:type="character" w:customStyle="1" w:styleId="st1">
    <w:name w:val="st1"/>
    <w:rsid w:val="001F60D5"/>
  </w:style>
  <w:style w:type="paragraph" w:styleId="Notedebasdepage">
    <w:name w:val="footnote text"/>
    <w:basedOn w:val="Normal"/>
    <w:link w:val="NotedebasdepageCar"/>
    <w:uiPriority w:val="99"/>
    <w:semiHidden/>
    <w:unhideWhenUsed/>
    <w:rsid w:val="00B54039"/>
  </w:style>
  <w:style w:type="character" w:customStyle="1" w:styleId="NotedebasdepageCar">
    <w:name w:val="Note de bas de page Car"/>
    <w:link w:val="Notedebasdepage"/>
    <w:uiPriority w:val="99"/>
    <w:semiHidden/>
    <w:rsid w:val="00B54039"/>
    <w:rPr>
      <w:lang w:val="fr-FR" w:eastAsia="fr-FR"/>
    </w:rPr>
  </w:style>
  <w:style w:type="character" w:styleId="Appelnotedebasdep">
    <w:name w:val="footnote reference"/>
    <w:uiPriority w:val="99"/>
    <w:semiHidden/>
    <w:unhideWhenUsed/>
    <w:rsid w:val="00B54039"/>
    <w:rPr>
      <w:vertAlign w:val="superscript"/>
    </w:rPr>
  </w:style>
  <w:style w:type="table" w:styleId="Ombrageclair">
    <w:name w:val="Light Shading"/>
    <w:basedOn w:val="TableauNormal"/>
    <w:uiPriority w:val="60"/>
    <w:rsid w:val="00BB208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Objetducommentaire">
    <w:name w:val="annotation subject"/>
    <w:basedOn w:val="Commentaire"/>
    <w:next w:val="Commentaire"/>
    <w:link w:val="ObjetducommentaireCar"/>
    <w:uiPriority w:val="99"/>
    <w:semiHidden/>
    <w:unhideWhenUsed/>
    <w:rsid w:val="002E206E"/>
    <w:pPr>
      <w:spacing w:after="0"/>
    </w:pPr>
    <w:rPr>
      <w:rFonts w:ascii="Times New Roman" w:eastAsia="Times New Roman" w:hAnsi="Times New Roman"/>
      <w:b/>
      <w:bCs/>
      <w:lang w:val="fr-FR" w:eastAsia="fr-FR"/>
    </w:rPr>
  </w:style>
  <w:style w:type="character" w:customStyle="1" w:styleId="ObjetducommentaireCar">
    <w:name w:val="Objet du commentaire Car"/>
    <w:link w:val="Objetducommentaire"/>
    <w:uiPriority w:val="99"/>
    <w:semiHidden/>
    <w:rsid w:val="002E206E"/>
    <w:rPr>
      <w:rFonts w:ascii="Calibri" w:eastAsia="Calibri" w:hAnsi="Calibri"/>
      <w:b/>
      <w:bCs/>
      <w:lang w:val="fr-FR" w:eastAsia="fr-FR"/>
    </w:rPr>
  </w:style>
  <w:style w:type="character" w:styleId="Lienhypertexte">
    <w:name w:val="Hyperlink"/>
    <w:uiPriority w:val="99"/>
    <w:unhideWhenUsed/>
    <w:rsid w:val="00A97AA0"/>
    <w:rPr>
      <w:color w:val="0563C1"/>
      <w:u w:val="single"/>
    </w:rPr>
  </w:style>
  <w:style w:type="character" w:customStyle="1" w:styleId="Titre3Car">
    <w:name w:val="Titre 3 Car"/>
    <w:link w:val="Titre3"/>
    <w:uiPriority w:val="9"/>
    <w:semiHidden/>
    <w:rsid w:val="00D4338F"/>
    <w:rPr>
      <w:rFonts w:ascii="Cambria" w:eastAsia="Times New Roman" w:hAnsi="Cambria" w:cs="Times New Roman"/>
      <w:b/>
      <w:bCs/>
      <w:sz w:val="26"/>
      <w:szCs w:val="26"/>
      <w:lang w:val="fr-FR" w:eastAsia="fr-FR"/>
    </w:rPr>
  </w:style>
  <w:style w:type="paragraph" w:customStyle="1" w:styleId="simplepara">
    <w:name w:val="simplepara"/>
    <w:basedOn w:val="Normal"/>
    <w:rsid w:val="00D4338F"/>
    <w:pPr>
      <w:spacing w:before="100" w:beforeAutospacing="1" w:after="100" w:afterAutospacing="1"/>
    </w:pPr>
    <w:rPr>
      <w:sz w:val="24"/>
      <w:szCs w:val="24"/>
      <w:lang w:val="en-GB" w:eastAsia="en-GB"/>
    </w:rPr>
  </w:style>
  <w:style w:type="paragraph" w:customStyle="1" w:styleId="para">
    <w:name w:val="para"/>
    <w:basedOn w:val="Normal"/>
    <w:rsid w:val="00D4338F"/>
    <w:pPr>
      <w:spacing w:before="100" w:beforeAutospacing="1" w:after="100" w:afterAutospacing="1"/>
    </w:pPr>
    <w:rPr>
      <w:sz w:val="24"/>
      <w:szCs w:val="24"/>
      <w:lang w:val="en-GB" w:eastAsia="en-GB"/>
    </w:rPr>
  </w:style>
  <w:style w:type="paragraph" w:styleId="Notedefin">
    <w:name w:val="endnote text"/>
    <w:basedOn w:val="Normal"/>
    <w:link w:val="NotedefinCar"/>
    <w:uiPriority w:val="99"/>
    <w:semiHidden/>
    <w:unhideWhenUsed/>
    <w:rsid w:val="001C7105"/>
  </w:style>
  <w:style w:type="character" w:customStyle="1" w:styleId="NotedefinCar">
    <w:name w:val="Note de fin Car"/>
    <w:basedOn w:val="Policepardfaut"/>
    <w:link w:val="Notedefin"/>
    <w:uiPriority w:val="99"/>
    <w:semiHidden/>
    <w:rsid w:val="001C7105"/>
    <w:rPr>
      <w:lang w:val="fr-FR" w:eastAsia="fr-FR"/>
    </w:rPr>
  </w:style>
  <w:style w:type="character" w:styleId="Appeldenotedefin">
    <w:name w:val="endnote reference"/>
    <w:basedOn w:val="Policepardfaut"/>
    <w:uiPriority w:val="99"/>
    <w:semiHidden/>
    <w:unhideWhenUsed/>
    <w:rsid w:val="001C7105"/>
    <w:rPr>
      <w:vertAlign w:val="superscript"/>
    </w:rPr>
  </w:style>
  <w:style w:type="character" w:styleId="lev">
    <w:name w:val="Strong"/>
    <w:basedOn w:val="Policepardfaut"/>
    <w:uiPriority w:val="22"/>
    <w:qFormat/>
    <w:rsid w:val="00AA14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link w:val="Titre1Car"/>
    <w:uiPriority w:val="9"/>
    <w:qFormat/>
    <w:rsid w:val="0071611A"/>
    <w:pPr>
      <w:keepNext/>
      <w:keepLines/>
      <w:spacing w:before="480" w:line="276" w:lineRule="auto"/>
      <w:outlineLvl w:val="0"/>
    </w:pPr>
    <w:rPr>
      <w:rFonts w:ascii="Cambria" w:hAnsi="Cambria"/>
      <w:b/>
      <w:bCs/>
      <w:color w:val="365F91"/>
      <w:sz w:val="28"/>
      <w:szCs w:val="28"/>
    </w:rPr>
  </w:style>
  <w:style w:type="paragraph" w:styleId="Titre3">
    <w:name w:val="heading 3"/>
    <w:basedOn w:val="Normal"/>
    <w:next w:val="Normal"/>
    <w:link w:val="Titre3Car"/>
    <w:uiPriority w:val="9"/>
    <w:semiHidden/>
    <w:unhideWhenUsed/>
    <w:qFormat/>
    <w:rsid w:val="00D4338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03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91712"/>
    <w:pPr>
      <w:tabs>
        <w:tab w:val="center" w:pos="4536"/>
        <w:tab w:val="right" w:pos="9072"/>
      </w:tabs>
    </w:pPr>
  </w:style>
  <w:style w:type="character" w:customStyle="1" w:styleId="En-tteCar">
    <w:name w:val="En-tête Car"/>
    <w:basedOn w:val="Policepardfaut"/>
    <w:link w:val="En-tte"/>
    <w:uiPriority w:val="99"/>
    <w:rsid w:val="00D91712"/>
  </w:style>
  <w:style w:type="paragraph" w:styleId="Pieddepage">
    <w:name w:val="footer"/>
    <w:basedOn w:val="Normal"/>
    <w:link w:val="PieddepageCar"/>
    <w:uiPriority w:val="99"/>
    <w:unhideWhenUsed/>
    <w:rsid w:val="00D91712"/>
    <w:pPr>
      <w:tabs>
        <w:tab w:val="center" w:pos="4536"/>
        <w:tab w:val="right" w:pos="9072"/>
      </w:tabs>
    </w:pPr>
  </w:style>
  <w:style w:type="character" w:customStyle="1" w:styleId="PieddepageCar">
    <w:name w:val="Pied de page Car"/>
    <w:basedOn w:val="Policepardfaut"/>
    <w:link w:val="Pieddepage"/>
    <w:uiPriority w:val="99"/>
    <w:rsid w:val="00D91712"/>
  </w:style>
  <w:style w:type="paragraph" w:styleId="Textedebulles">
    <w:name w:val="Balloon Text"/>
    <w:basedOn w:val="Normal"/>
    <w:link w:val="TextedebullesCar"/>
    <w:uiPriority w:val="99"/>
    <w:semiHidden/>
    <w:unhideWhenUsed/>
    <w:rsid w:val="00D91712"/>
    <w:rPr>
      <w:rFonts w:ascii="Tahoma" w:hAnsi="Tahoma" w:cs="Tahoma"/>
      <w:sz w:val="16"/>
      <w:szCs w:val="16"/>
    </w:rPr>
  </w:style>
  <w:style w:type="character" w:customStyle="1" w:styleId="TextedebullesCar">
    <w:name w:val="Texte de bulles Car"/>
    <w:link w:val="Textedebulles"/>
    <w:uiPriority w:val="99"/>
    <w:semiHidden/>
    <w:rsid w:val="00D91712"/>
    <w:rPr>
      <w:rFonts w:ascii="Tahoma" w:hAnsi="Tahoma" w:cs="Tahoma"/>
      <w:sz w:val="16"/>
      <w:szCs w:val="16"/>
    </w:rPr>
  </w:style>
  <w:style w:type="character" w:styleId="Marquedecommentaire">
    <w:name w:val="annotation reference"/>
    <w:uiPriority w:val="99"/>
    <w:semiHidden/>
    <w:unhideWhenUsed/>
    <w:rsid w:val="00D61DC3"/>
    <w:rPr>
      <w:sz w:val="16"/>
      <w:szCs w:val="16"/>
    </w:rPr>
  </w:style>
  <w:style w:type="paragraph" w:styleId="Commentaire">
    <w:name w:val="annotation text"/>
    <w:basedOn w:val="Normal"/>
    <w:link w:val="CommentaireCar"/>
    <w:uiPriority w:val="99"/>
    <w:unhideWhenUsed/>
    <w:rsid w:val="00D61DC3"/>
    <w:pPr>
      <w:spacing w:after="200"/>
    </w:pPr>
    <w:rPr>
      <w:rFonts w:ascii="Calibri" w:eastAsia="Calibri" w:hAnsi="Calibri"/>
      <w:lang w:val="en-US" w:eastAsia="en-US"/>
    </w:rPr>
  </w:style>
  <w:style w:type="character" w:customStyle="1" w:styleId="CommentaireCar">
    <w:name w:val="Commentaire Car"/>
    <w:link w:val="Commentaire"/>
    <w:uiPriority w:val="99"/>
    <w:rsid w:val="00D61DC3"/>
    <w:rPr>
      <w:rFonts w:ascii="Calibri" w:eastAsia="Calibri" w:hAnsi="Calibri"/>
      <w:lang w:val="en-US" w:eastAsia="en-US"/>
    </w:rPr>
  </w:style>
  <w:style w:type="character" w:customStyle="1" w:styleId="Titre1Car">
    <w:name w:val="Titre 1 Car"/>
    <w:link w:val="Titre1"/>
    <w:uiPriority w:val="9"/>
    <w:rsid w:val="0071611A"/>
    <w:rPr>
      <w:rFonts w:ascii="Cambria" w:hAnsi="Cambria"/>
      <w:b/>
      <w:bCs/>
      <w:color w:val="365F91"/>
      <w:sz w:val="28"/>
      <w:szCs w:val="28"/>
    </w:rPr>
  </w:style>
  <w:style w:type="paragraph" w:styleId="Bibliographie">
    <w:name w:val="Bibliography"/>
    <w:basedOn w:val="Normal"/>
    <w:next w:val="Normal"/>
    <w:uiPriority w:val="37"/>
    <w:unhideWhenUsed/>
    <w:rsid w:val="0071611A"/>
  </w:style>
  <w:style w:type="paragraph" w:styleId="Paragraphedeliste">
    <w:name w:val="List Paragraph"/>
    <w:basedOn w:val="Normal"/>
    <w:uiPriority w:val="34"/>
    <w:qFormat/>
    <w:rsid w:val="00CC37C6"/>
    <w:pPr>
      <w:spacing w:after="200" w:line="276" w:lineRule="auto"/>
      <w:ind w:left="720"/>
      <w:contextualSpacing/>
    </w:pPr>
    <w:rPr>
      <w:rFonts w:ascii="Calibri" w:eastAsia="Calibri" w:hAnsi="Calibri"/>
      <w:sz w:val="22"/>
      <w:szCs w:val="22"/>
      <w:lang w:val="en-US" w:eastAsia="en-US"/>
    </w:rPr>
  </w:style>
  <w:style w:type="character" w:customStyle="1" w:styleId="apple-converted-space">
    <w:name w:val="apple-converted-space"/>
    <w:rsid w:val="007205F5"/>
  </w:style>
  <w:style w:type="character" w:customStyle="1" w:styleId="st1">
    <w:name w:val="st1"/>
    <w:rsid w:val="001F60D5"/>
  </w:style>
  <w:style w:type="paragraph" w:styleId="Notedebasdepage">
    <w:name w:val="footnote text"/>
    <w:basedOn w:val="Normal"/>
    <w:link w:val="NotedebasdepageCar"/>
    <w:uiPriority w:val="99"/>
    <w:semiHidden/>
    <w:unhideWhenUsed/>
    <w:rsid w:val="00B54039"/>
  </w:style>
  <w:style w:type="character" w:customStyle="1" w:styleId="NotedebasdepageCar">
    <w:name w:val="Note de bas de page Car"/>
    <w:link w:val="Notedebasdepage"/>
    <w:uiPriority w:val="99"/>
    <w:semiHidden/>
    <w:rsid w:val="00B54039"/>
    <w:rPr>
      <w:lang w:val="fr-FR" w:eastAsia="fr-FR"/>
    </w:rPr>
  </w:style>
  <w:style w:type="character" w:styleId="Appelnotedebasdep">
    <w:name w:val="footnote reference"/>
    <w:uiPriority w:val="99"/>
    <w:semiHidden/>
    <w:unhideWhenUsed/>
    <w:rsid w:val="00B54039"/>
    <w:rPr>
      <w:vertAlign w:val="superscript"/>
    </w:rPr>
  </w:style>
  <w:style w:type="table" w:styleId="Ombrageclair">
    <w:name w:val="Light Shading"/>
    <w:basedOn w:val="TableauNormal"/>
    <w:uiPriority w:val="60"/>
    <w:rsid w:val="00BB208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Objetducommentaire">
    <w:name w:val="annotation subject"/>
    <w:basedOn w:val="Commentaire"/>
    <w:next w:val="Commentaire"/>
    <w:link w:val="ObjetducommentaireCar"/>
    <w:uiPriority w:val="99"/>
    <w:semiHidden/>
    <w:unhideWhenUsed/>
    <w:rsid w:val="002E206E"/>
    <w:pPr>
      <w:spacing w:after="0"/>
    </w:pPr>
    <w:rPr>
      <w:rFonts w:ascii="Times New Roman" w:eastAsia="Times New Roman" w:hAnsi="Times New Roman"/>
      <w:b/>
      <w:bCs/>
      <w:lang w:val="fr-FR" w:eastAsia="fr-FR"/>
    </w:rPr>
  </w:style>
  <w:style w:type="character" w:customStyle="1" w:styleId="ObjetducommentaireCar">
    <w:name w:val="Objet du commentaire Car"/>
    <w:link w:val="Objetducommentaire"/>
    <w:uiPriority w:val="99"/>
    <w:semiHidden/>
    <w:rsid w:val="002E206E"/>
    <w:rPr>
      <w:rFonts w:ascii="Calibri" w:eastAsia="Calibri" w:hAnsi="Calibri"/>
      <w:b/>
      <w:bCs/>
      <w:lang w:val="fr-FR" w:eastAsia="fr-FR"/>
    </w:rPr>
  </w:style>
  <w:style w:type="character" w:styleId="Lienhypertexte">
    <w:name w:val="Hyperlink"/>
    <w:uiPriority w:val="99"/>
    <w:unhideWhenUsed/>
    <w:rsid w:val="00A97AA0"/>
    <w:rPr>
      <w:color w:val="0563C1"/>
      <w:u w:val="single"/>
    </w:rPr>
  </w:style>
  <w:style w:type="character" w:customStyle="1" w:styleId="Titre3Car">
    <w:name w:val="Titre 3 Car"/>
    <w:link w:val="Titre3"/>
    <w:uiPriority w:val="9"/>
    <w:semiHidden/>
    <w:rsid w:val="00D4338F"/>
    <w:rPr>
      <w:rFonts w:ascii="Cambria" w:eastAsia="Times New Roman" w:hAnsi="Cambria" w:cs="Times New Roman"/>
      <w:b/>
      <w:bCs/>
      <w:sz w:val="26"/>
      <w:szCs w:val="26"/>
      <w:lang w:val="fr-FR" w:eastAsia="fr-FR"/>
    </w:rPr>
  </w:style>
  <w:style w:type="paragraph" w:customStyle="1" w:styleId="simplepara">
    <w:name w:val="simplepara"/>
    <w:basedOn w:val="Normal"/>
    <w:rsid w:val="00D4338F"/>
    <w:pPr>
      <w:spacing w:before="100" w:beforeAutospacing="1" w:after="100" w:afterAutospacing="1"/>
    </w:pPr>
    <w:rPr>
      <w:sz w:val="24"/>
      <w:szCs w:val="24"/>
      <w:lang w:val="en-GB" w:eastAsia="en-GB"/>
    </w:rPr>
  </w:style>
  <w:style w:type="paragraph" w:customStyle="1" w:styleId="para">
    <w:name w:val="para"/>
    <w:basedOn w:val="Normal"/>
    <w:rsid w:val="00D4338F"/>
    <w:pPr>
      <w:spacing w:before="100" w:beforeAutospacing="1" w:after="100" w:afterAutospacing="1"/>
    </w:pPr>
    <w:rPr>
      <w:sz w:val="24"/>
      <w:szCs w:val="24"/>
      <w:lang w:val="en-GB" w:eastAsia="en-GB"/>
    </w:rPr>
  </w:style>
  <w:style w:type="paragraph" w:styleId="Notedefin">
    <w:name w:val="endnote text"/>
    <w:basedOn w:val="Normal"/>
    <w:link w:val="NotedefinCar"/>
    <w:uiPriority w:val="99"/>
    <w:semiHidden/>
    <w:unhideWhenUsed/>
    <w:rsid w:val="001C7105"/>
  </w:style>
  <w:style w:type="character" w:customStyle="1" w:styleId="NotedefinCar">
    <w:name w:val="Note de fin Car"/>
    <w:basedOn w:val="Policepardfaut"/>
    <w:link w:val="Notedefin"/>
    <w:uiPriority w:val="99"/>
    <w:semiHidden/>
    <w:rsid w:val="001C7105"/>
    <w:rPr>
      <w:lang w:val="fr-FR" w:eastAsia="fr-FR"/>
    </w:rPr>
  </w:style>
  <w:style w:type="character" w:styleId="Appeldenotedefin">
    <w:name w:val="endnote reference"/>
    <w:basedOn w:val="Policepardfaut"/>
    <w:uiPriority w:val="99"/>
    <w:semiHidden/>
    <w:unhideWhenUsed/>
    <w:rsid w:val="001C7105"/>
    <w:rPr>
      <w:vertAlign w:val="superscript"/>
    </w:rPr>
  </w:style>
  <w:style w:type="character" w:styleId="lev">
    <w:name w:val="Strong"/>
    <w:basedOn w:val="Policepardfaut"/>
    <w:uiPriority w:val="22"/>
    <w:qFormat/>
    <w:rsid w:val="00AA1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434">
      <w:bodyDiv w:val="1"/>
      <w:marLeft w:val="0"/>
      <w:marRight w:val="0"/>
      <w:marTop w:val="0"/>
      <w:marBottom w:val="0"/>
      <w:divBdr>
        <w:top w:val="none" w:sz="0" w:space="0" w:color="auto"/>
        <w:left w:val="none" w:sz="0" w:space="0" w:color="auto"/>
        <w:bottom w:val="none" w:sz="0" w:space="0" w:color="auto"/>
        <w:right w:val="none" w:sz="0" w:space="0" w:color="auto"/>
      </w:divBdr>
    </w:div>
    <w:div w:id="294264653">
      <w:bodyDiv w:val="1"/>
      <w:marLeft w:val="0"/>
      <w:marRight w:val="0"/>
      <w:marTop w:val="0"/>
      <w:marBottom w:val="0"/>
      <w:divBdr>
        <w:top w:val="none" w:sz="0" w:space="0" w:color="auto"/>
        <w:left w:val="none" w:sz="0" w:space="0" w:color="auto"/>
        <w:bottom w:val="none" w:sz="0" w:space="0" w:color="auto"/>
        <w:right w:val="none" w:sz="0" w:space="0" w:color="auto"/>
      </w:divBdr>
    </w:div>
    <w:div w:id="387530811">
      <w:bodyDiv w:val="1"/>
      <w:marLeft w:val="0"/>
      <w:marRight w:val="0"/>
      <w:marTop w:val="0"/>
      <w:marBottom w:val="0"/>
      <w:divBdr>
        <w:top w:val="none" w:sz="0" w:space="0" w:color="auto"/>
        <w:left w:val="none" w:sz="0" w:space="0" w:color="auto"/>
        <w:bottom w:val="none" w:sz="0" w:space="0" w:color="auto"/>
        <w:right w:val="none" w:sz="0" w:space="0" w:color="auto"/>
      </w:divBdr>
    </w:div>
    <w:div w:id="447432865">
      <w:bodyDiv w:val="1"/>
      <w:marLeft w:val="0"/>
      <w:marRight w:val="0"/>
      <w:marTop w:val="0"/>
      <w:marBottom w:val="0"/>
      <w:divBdr>
        <w:top w:val="none" w:sz="0" w:space="0" w:color="auto"/>
        <w:left w:val="none" w:sz="0" w:space="0" w:color="auto"/>
        <w:bottom w:val="none" w:sz="0" w:space="0" w:color="auto"/>
        <w:right w:val="none" w:sz="0" w:space="0" w:color="auto"/>
      </w:divBdr>
    </w:div>
    <w:div w:id="474219528">
      <w:bodyDiv w:val="1"/>
      <w:marLeft w:val="0"/>
      <w:marRight w:val="0"/>
      <w:marTop w:val="0"/>
      <w:marBottom w:val="0"/>
      <w:divBdr>
        <w:top w:val="none" w:sz="0" w:space="0" w:color="auto"/>
        <w:left w:val="none" w:sz="0" w:space="0" w:color="auto"/>
        <w:bottom w:val="none" w:sz="0" w:space="0" w:color="auto"/>
        <w:right w:val="none" w:sz="0" w:space="0" w:color="auto"/>
      </w:divBdr>
    </w:div>
    <w:div w:id="780105971">
      <w:bodyDiv w:val="1"/>
      <w:marLeft w:val="0"/>
      <w:marRight w:val="0"/>
      <w:marTop w:val="0"/>
      <w:marBottom w:val="0"/>
      <w:divBdr>
        <w:top w:val="none" w:sz="0" w:space="0" w:color="auto"/>
        <w:left w:val="none" w:sz="0" w:space="0" w:color="auto"/>
        <w:bottom w:val="none" w:sz="0" w:space="0" w:color="auto"/>
        <w:right w:val="none" w:sz="0" w:space="0" w:color="auto"/>
      </w:divBdr>
    </w:div>
    <w:div w:id="903757630">
      <w:bodyDiv w:val="1"/>
      <w:marLeft w:val="0"/>
      <w:marRight w:val="0"/>
      <w:marTop w:val="0"/>
      <w:marBottom w:val="0"/>
      <w:divBdr>
        <w:top w:val="none" w:sz="0" w:space="0" w:color="auto"/>
        <w:left w:val="none" w:sz="0" w:space="0" w:color="auto"/>
        <w:bottom w:val="none" w:sz="0" w:space="0" w:color="auto"/>
        <w:right w:val="none" w:sz="0" w:space="0" w:color="auto"/>
      </w:divBdr>
    </w:div>
    <w:div w:id="911890977">
      <w:bodyDiv w:val="1"/>
      <w:marLeft w:val="0"/>
      <w:marRight w:val="0"/>
      <w:marTop w:val="0"/>
      <w:marBottom w:val="0"/>
      <w:divBdr>
        <w:top w:val="none" w:sz="0" w:space="0" w:color="auto"/>
        <w:left w:val="none" w:sz="0" w:space="0" w:color="auto"/>
        <w:bottom w:val="none" w:sz="0" w:space="0" w:color="auto"/>
        <w:right w:val="none" w:sz="0" w:space="0" w:color="auto"/>
      </w:divBdr>
    </w:div>
    <w:div w:id="919948719">
      <w:bodyDiv w:val="1"/>
      <w:marLeft w:val="0"/>
      <w:marRight w:val="0"/>
      <w:marTop w:val="0"/>
      <w:marBottom w:val="0"/>
      <w:divBdr>
        <w:top w:val="none" w:sz="0" w:space="0" w:color="auto"/>
        <w:left w:val="none" w:sz="0" w:space="0" w:color="auto"/>
        <w:bottom w:val="none" w:sz="0" w:space="0" w:color="auto"/>
        <w:right w:val="none" w:sz="0" w:space="0" w:color="auto"/>
      </w:divBdr>
    </w:div>
    <w:div w:id="1041444234">
      <w:bodyDiv w:val="1"/>
      <w:marLeft w:val="0"/>
      <w:marRight w:val="0"/>
      <w:marTop w:val="0"/>
      <w:marBottom w:val="0"/>
      <w:divBdr>
        <w:top w:val="none" w:sz="0" w:space="0" w:color="auto"/>
        <w:left w:val="none" w:sz="0" w:space="0" w:color="auto"/>
        <w:bottom w:val="none" w:sz="0" w:space="0" w:color="auto"/>
        <w:right w:val="none" w:sz="0" w:space="0" w:color="auto"/>
      </w:divBdr>
    </w:div>
    <w:div w:id="1084641039">
      <w:bodyDiv w:val="1"/>
      <w:marLeft w:val="0"/>
      <w:marRight w:val="0"/>
      <w:marTop w:val="0"/>
      <w:marBottom w:val="0"/>
      <w:divBdr>
        <w:top w:val="none" w:sz="0" w:space="0" w:color="auto"/>
        <w:left w:val="none" w:sz="0" w:space="0" w:color="auto"/>
        <w:bottom w:val="none" w:sz="0" w:space="0" w:color="auto"/>
        <w:right w:val="none" w:sz="0" w:space="0" w:color="auto"/>
      </w:divBdr>
    </w:div>
    <w:div w:id="1186021098">
      <w:bodyDiv w:val="1"/>
      <w:marLeft w:val="0"/>
      <w:marRight w:val="0"/>
      <w:marTop w:val="0"/>
      <w:marBottom w:val="0"/>
      <w:divBdr>
        <w:top w:val="none" w:sz="0" w:space="0" w:color="auto"/>
        <w:left w:val="none" w:sz="0" w:space="0" w:color="auto"/>
        <w:bottom w:val="none" w:sz="0" w:space="0" w:color="auto"/>
        <w:right w:val="none" w:sz="0" w:space="0" w:color="auto"/>
      </w:divBdr>
    </w:div>
    <w:div w:id="1315452446">
      <w:bodyDiv w:val="1"/>
      <w:marLeft w:val="0"/>
      <w:marRight w:val="0"/>
      <w:marTop w:val="0"/>
      <w:marBottom w:val="0"/>
      <w:divBdr>
        <w:top w:val="none" w:sz="0" w:space="0" w:color="auto"/>
        <w:left w:val="none" w:sz="0" w:space="0" w:color="auto"/>
        <w:bottom w:val="none" w:sz="0" w:space="0" w:color="auto"/>
        <w:right w:val="none" w:sz="0" w:space="0" w:color="auto"/>
      </w:divBdr>
    </w:div>
    <w:div w:id="1321275118">
      <w:bodyDiv w:val="1"/>
      <w:marLeft w:val="0"/>
      <w:marRight w:val="0"/>
      <w:marTop w:val="0"/>
      <w:marBottom w:val="0"/>
      <w:divBdr>
        <w:top w:val="none" w:sz="0" w:space="0" w:color="auto"/>
        <w:left w:val="none" w:sz="0" w:space="0" w:color="auto"/>
        <w:bottom w:val="none" w:sz="0" w:space="0" w:color="auto"/>
        <w:right w:val="none" w:sz="0" w:space="0" w:color="auto"/>
      </w:divBdr>
    </w:div>
    <w:div w:id="1464730942">
      <w:bodyDiv w:val="1"/>
      <w:marLeft w:val="0"/>
      <w:marRight w:val="0"/>
      <w:marTop w:val="0"/>
      <w:marBottom w:val="0"/>
      <w:divBdr>
        <w:top w:val="none" w:sz="0" w:space="0" w:color="auto"/>
        <w:left w:val="none" w:sz="0" w:space="0" w:color="auto"/>
        <w:bottom w:val="none" w:sz="0" w:space="0" w:color="auto"/>
        <w:right w:val="none" w:sz="0" w:space="0" w:color="auto"/>
      </w:divBdr>
    </w:div>
    <w:div w:id="1489781248">
      <w:bodyDiv w:val="1"/>
      <w:marLeft w:val="0"/>
      <w:marRight w:val="0"/>
      <w:marTop w:val="0"/>
      <w:marBottom w:val="0"/>
      <w:divBdr>
        <w:top w:val="none" w:sz="0" w:space="0" w:color="auto"/>
        <w:left w:val="none" w:sz="0" w:space="0" w:color="auto"/>
        <w:bottom w:val="none" w:sz="0" w:space="0" w:color="auto"/>
        <w:right w:val="none" w:sz="0" w:space="0" w:color="auto"/>
      </w:divBdr>
    </w:div>
    <w:div w:id="1706565504">
      <w:bodyDiv w:val="1"/>
      <w:marLeft w:val="0"/>
      <w:marRight w:val="0"/>
      <w:marTop w:val="0"/>
      <w:marBottom w:val="0"/>
      <w:divBdr>
        <w:top w:val="none" w:sz="0" w:space="0" w:color="auto"/>
        <w:left w:val="none" w:sz="0" w:space="0" w:color="auto"/>
        <w:bottom w:val="none" w:sz="0" w:space="0" w:color="auto"/>
        <w:right w:val="none" w:sz="0" w:space="0" w:color="auto"/>
      </w:divBdr>
    </w:div>
    <w:div w:id="1741054580">
      <w:bodyDiv w:val="1"/>
      <w:marLeft w:val="0"/>
      <w:marRight w:val="0"/>
      <w:marTop w:val="0"/>
      <w:marBottom w:val="0"/>
      <w:divBdr>
        <w:top w:val="none" w:sz="0" w:space="0" w:color="auto"/>
        <w:left w:val="none" w:sz="0" w:space="0" w:color="auto"/>
        <w:bottom w:val="none" w:sz="0" w:space="0" w:color="auto"/>
        <w:right w:val="none" w:sz="0" w:space="0" w:color="auto"/>
      </w:divBdr>
    </w:div>
    <w:div w:id="1782525509">
      <w:bodyDiv w:val="1"/>
      <w:marLeft w:val="0"/>
      <w:marRight w:val="0"/>
      <w:marTop w:val="0"/>
      <w:marBottom w:val="0"/>
      <w:divBdr>
        <w:top w:val="none" w:sz="0" w:space="0" w:color="auto"/>
        <w:left w:val="none" w:sz="0" w:space="0" w:color="auto"/>
        <w:bottom w:val="none" w:sz="0" w:space="0" w:color="auto"/>
        <w:right w:val="none" w:sz="0" w:space="0" w:color="auto"/>
      </w:divBdr>
    </w:div>
    <w:div w:id="1807777024">
      <w:bodyDiv w:val="1"/>
      <w:marLeft w:val="0"/>
      <w:marRight w:val="0"/>
      <w:marTop w:val="0"/>
      <w:marBottom w:val="0"/>
      <w:divBdr>
        <w:top w:val="none" w:sz="0" w:space="0" w:color="auto"/>
        <w:left w:val="none" w:sz="0" w:space="0" w:color="auto"/>
        <w:bottom w:val="none" w:sz="0" w:space="0" w:color="auto"/>
        <w:right w:val="none" w:sz="0" w:space="0" w:color="auto"/>
      </w:divBdr>
    </w:div>
    <w:div w:id="1944459116">
      <w:bodyDiv w:val="1"/>
      <w:marLeft w:val="0"/>
      <w:marRight w:val="0"/>
      <w:marTop w:val="0"/>
      <w:marBottom w:val="0"/>
      <w:divBdr>
        <w:top w:val="none" w:sz="0" w:space="0" w:color="auto"/>
        <w:left w:val="none" w:sz="0" w:space="0" w:color="auto"/>
        <w:bottom w:val="none" w:sz="0" w:space="0" w:color="auto"/>
        <w:right w:val="none" w:sz="0" w:space="0" w:color="auto"/>
      </w:divBdr>
      <w:divsChild>
        <w:div w:id="820780491">
          <w:marLeft w:val="0"/>
          <w:marRight w:val="0"/>
          <w:marTop w:val="0"/>
          <w:marBottom w:val="0"/>
          <w:divBdr>
            <w:top w:val="none" w:sz="0" w:space="0" w:color="auto"/>
            <w:left w:val="none" w:sz="0" w:space="0" w:color="auto"/>
            <w:bottom w:val="none" w:sz="0" w:space="0" w:color="auto"/>
            <w:right w:val="none" w:sz="0" w:space="0" w:color="auto"/>
          </w:divBdr>
        </w:div>
      </w:divsChild>
    </w:div>
    <w:div w:id="2011638320">
      <w:bodyDiv w:val="1"/>
      <w:marLeft w:val="0"/>
      <w:marRight w:val="0"/>
      <w:marTop w:val="0"/>
      <w:marBottom w:val="0"/>
      <w:divBdr>
        <w:top w:val="none" w:sz="0" w:space="0" w:color="auto"/>
        <w:left w:val="none" w:sz="0" w:space="0" w:color="auto"/>
        <w:bottom w:val="none" w:sz="0" w:space="0" w:color="auto"/>
        <w:right w:val="none" w:sz="0" w:space="0" w:color="auto"/>
      </w:divBdr>
    </w:div>
    <w:div w:id="20445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Lin12</b:Tag>
    <b:SourceType>JournalArticle</b:SourceType>
    <b:Guid>{2E4A3FED-7D90-44CD-821B-8717ABA9DA37}</b:Guid>
    <b:Author>
      <b:Author>
        <b:NameList>
          <b:Person>
            <b:Last>Lin</b:Last>
            <b:First>L</b:First>
          </b:Person>
          <b:Person>
            <b:Last>Will</b:Last>
            <b:First>Y.</b:First>
          </b:Person>
        </b:NameList>
      </b:Author>
    </b:Author>
    <b:Title>Evalaution of drugs with specific organ toxicities in organ-specific cell lines.</b:Title>
    <b:PeriodicalTitle>Toxicological Sciences</b:PeriodicalTitle>
    <b:Year>2012</b:Year>
    <b:Day>126</b:Day>
    <b:JournalName>Toxicologial Sciences</b:JournalName>
    <b:Volume>126</b:Volume>
    <b:Issue>114-127</b:Issue>
    <b:RefOrder>14</b:RefOrder>
  </b:Source>
  <b:Source>
    <b:Tag>Ger09</b:Tag>
    <b:SourceType>JournalArticle</b:SourceType>
    <b:Guid>{FFF85BFC-A87A-4F81-BCD5-29697CC2EF44}</b:Guid>
    <b:Author>
      <b:Author>
        <b:NameList>
          <b:Person>
            <b:Last>Gerets</b:Last>
          </b:Person>
          <b:Person>
            <b:Last>H.H</b:Last>
          </b:Person>
          <b:Person>
            <b:Last>Hanon</b:Last>
            <b:First>E</b:First>
          </b:Person>
          <b:Person>
            <b:Last>Cornet</b:Last>
            <b:First>M</b:First>
          </b:Person>
          <b:Person>
            <b:Last>Dhalluin</b:Last>
            <b:First>S</b:First>
          </b:Person>
          <b:Person>
            <b:Last>Depelchin</b:Last>
            <b:First>O</b:First>
          </b:Person>
          <b:Person>
            <b:Last>Canning</b:Last>
            <b:First>M</b:First>
          </b:Person>
          <b:Person>
            <b:Last>F.A.</b:Last>
            <b:First>Atienzar.</b:First>
          </b:Person>
        </b:NameList>
      </b:Author>
    </b:Author>
    <b:Title>Selection of cytotoxicity markers for the screening of new chemical entities in a pharmaceutical context: A preliminary study using a multiplexing approach. Toxico</b:Title>
    <b:JournalName> Toxicology in vitro</b:JournalName>
    <b:Year>2009</b:Year>
    <b:Pages>319-332</b:Pages>
    <b:Volume>23</b:Volume>
    <b:RefOrder>17</b:RefOrder>
  </b:Source>
  <b:Source>
    <b:Tag>Sch5b</b:Tag>
    <b:SourceType>JournalArticle</b:SourceType>
    <b:Guid>{4A108989-B49C-4F3F-A911-440AC42BF99E}</b:Guid>
    <b:Author>
      <b:Author>
        <b:NameList>
          <b:Person>
            <b:Last>Schoonen</b:Last>
            <b:First>W.G.E.J</b:First>
          </b:Person>
          <b:Person>
            <b:Last>de Roos</b:Last>
            <b:First>J.A.D.M</b:First>
          </b:Person>
          <b:Person>
            <b:Last>Westerink</b:Last>
            <b:First>W.M.A</b:First>
          </b:Person>
          <b:Person>
            <b:Last>Débiton</b:Last>
            <b:First>E</b:First>
          </b:Person>
        </b:NameList>
      </b:Author>
    </b:Author>
    <b:Title>Cytotoxic effects of 100 reference compounds on HepG2 and HeLa cells and of 60 compounds on ECC-1 and CHO cells. I. Mechanistic assays on ROS,glutathione depletion and calcein uptake.</b:Title>
    <b:JournalName>Toxicology in vitro</b:JournalName>
    <b:Year>2005b</b:Year>
    <b:Pages>505-516</b:Pages>
    <b:Volume>19</b:Volume>
    <b:RefOrder>19</b:RefOrder>
  </b:Source>
  <b:Source>
    <b:Tag>Sch</b:Tag>
    <b:SourceType>JournalArticle</b:SourceType>
    <b:Guid>{8288137C-0022-411F-8CC4-F94F7078F187}</b:Guid>
    <b:Author>
      <b:Author>
        <b:NameList>
          <b:Person>
            <b:Last>Schoonen</b:Last>
            <b:First>W.G.E.J</b:First>
          </b:Person>
          <b:Person>
            <b:Last>de Roos</b:Last>
            <b:First>J.A.D.M</b:First>
          </b:Person>
          <b:Person>
            <b:Last>Westerink</b:Last>
            <b:First>W.M.A</b:First>
          </b:Person>
          <b:Person>
            <b:Last>Débiton</b:Last>
            <b:First>E.</b:First>
          </b:Person>
        </b:NameList>
      </b:Author>
    </b:Author>
    <b:Title>Cytotoxic effects of 110 reference compounds on HepG2 cells and for 60 compounds on HeLa, ECC-1 and CHO cells. II Mechanistic assays on NAD(P)H, ATP and DNA contents.</b:Title>
    <b:JournalName>Toxicology In Vitro</b:JournalName>
    <b:Year>2005a</b:Year>
    <b:Pages>491-503</b:Pages>
    <b:Volume>19</b:Volume>
    <b:RefOrder>18</b:RefOrder>
  </b:Source>
  <b:Source>
    <b:Tag>Hew04</b:Tag>
    <b:SourceType>JournalArticle</b:SourceType>
    <b:Guid>{1873C48A-4D66-40C2-A354-2CC8A92A6722}</b:Guid>
    <b:Author>
      <b:Author>
        <b:NameList>
          <b:Person>
            <b:Last>Hewitt</b:Last>
            <b:First>N.J</b:First>
          </b:Person>
          <b:Person>
            <b:Last>Hewitt</b:Last>
            <b:First>P</b:First>
          </b:Person>
        </b:NameList>
      </b:Author>
    </b:Author>
    <b:Title>Phase I and II enzyme characterization of two sources of HepG2 cell lines</b:Title>
    <b:JournalName>Xenobiotica</b:JournalName>
    <b:Year>2004</b:Year>
    <b:Pages>243–56</b:Pages>
    <b:Volume>34</b:Volume>
    <b:RefOrder>21</b:RefOrder>
  </b:Source>
  <b:Source>
    <b:Tag>Pes12</b:Tag>
    <b:SourceType>JournalArticle</b:SourceType>
    <b:Guid>{32CE8F65-DFD3-4D5B-9A7E-0B96C640750E}</b:Guid>
    <b:Author>
      <b:Author>
        <b:NameList>
          <b:Person>
            <b:Last>Pessayre</b:Last>
            <b:First>D</b:First>
          </b:Person>
          <b:Person>
            <b:Last>Fromenty</b:Last>
            <b:First>B</b:First>
          </b:Person>
          <b:Person>
            <b:Last>Berson</b:Last>
            <b:First>A</b:First>
          </b:Person>
          <b:Person>
            <b:Last>Robin</b:Last>
            <b:First>M.A</b:First>
          </b:Person>
          <b:Person>
            <b:Last>Lettéron</b:Last>
            <b:First>P</b:First>
          </b:Person>
          <b:Person>
            <b:Last>Moreau</b:Last>
            <b:First>R</b:First>
          </b:Person>
          <b:Person>
            <b:Last>Mansouri</b:Last>
            <b:First>A.</b:First>
          </b:Person>
        </b:NameList>
      </b:Author>
    </b:Author>
    <b:Title>Central role of mitochondria in drug-induced liver injury</b:Title>
    <b:JournalName>Drug Metab. Rev.</b:JournalName>
    <b:Year>2012</b:Year>
    <b:Pages>34-87</b:Pages>
    <b:Volume>44</b:Volume>
    <b:RefOrder>24</b:RefOrder>
  </b:Source>
  <b:Source>
    <b:Tag>Dyk07</b:Tag>
    <b:SourceType>JournalArticle</b:SourceType>
    <b:Guid>{7B572B3C-09B4-41A7-B630-7263AFE6C966}</b:Guid>
    <b:Author>
      <b:Author>
        <b:NameList>
          <b:Person>
            <b:Last>Dykens</b:Last>
            <b:First>J.A</b:First>
          </b:Person>
          <b:Person>
            <b:Last>Will</b:Last>
            <b:First>Y</b:First>
          </b:Person>
        </b:NameList>
      </b:Author>
    </b:Author>
    <b:Title>The significance of mitochondrial toxicity testing in drug development.</b:Title>
    <b:JournalName>Drug Discovery Today</b:JournalName>
    <b:Year>2007</b:Year>
    <b:Pages>777-785</b:Pages>
    <b:Volume>12</b:Volume>
    <b:RefOrder>23</b:RefOrder>
  </b:Source>
  <b:Source>
    <b:Tag>Nad12</b:Tag>
    <b:SourceType>JournalArticle</b:SourceType>
    <b:Guid>{BC675C7D-491F-4DEF-AD8A-F7068B77CDD3}</b:Guid>
    <b:Author>
      <b:Author>
        <b:NameList>
          <b:Person>
            <b:Last>Nadanaciva</b:Last>
            <b:First>S</b:First>
          </b:Person>
          <b:Person>
            <b:Last>Willis</b:Last>
            <b:First>J.H</b:First>
          </b:Person>
          <b:Person>
            <b:Last>Barker</b:Last>
            <b:First>M.L</b:First>
          </b:Person>
          <b:Person>
            <b:Last>Gharaibeh</b:Last>
            <b:First>D</b:First>
          </b:Person>
          <b:Person>
            <b:Last>Capaldi</b:Last>
            <b:First>R.A</b:First>
          </b:Person>
          <b:Person>
            <b:Last>Marusich</b:Last>
            <b:First>M.F</b:First>
          </b:Person>
          <b:Person>
            <b:Last>Will</b:Last>
            <b:First>Y.</b:First>
          </b:Person>
        </b:NameList>
      </b:Author>
    </b:Author>
    <b:Title>Assessment of drug-induced mitochondrial dysfunction via altered cellular respiration and acidification measured in a 96-well platform</b:Title>
    <b:JournalName>J Bioenerg Biomembr </b:JournalName>
    <b:Year>2012</b:Year>
    <b:Pages>421-437</b:Pages>
    <b:Volume>44</b:Volume>
    <b:Issue>4</b:Issue>
    <b:RefOrder>26</b:RefOrder>
  </b:Source>
  <b:Source>
    <b:Tag>Mar11</b:Tag>
    <b:SourceType>JournalArticle</b:SourceType>
    <b:Guid>{9EB2AC02-DEC1-4177-8B2E-6E3460B38142}</b:Guid>
    <b:Author>
      <b:Author>
        <b:NameList>
          <b:Person>
            <b:Last>Marchandeau</b:Last>
            <b:First>J.P</b:First>
          </b:Person>
          <b:Person>
            <b:Last>Labbe</b:Last>
            <b:First>G.</b:First>
          </b:Person>
        </b:NameList>
      </b:Author>
    </b:Author>
    <b:Title>Evaluation of mitochondrial respiration in cultured rat hepatocytes. </b:Title>
    <b:JournalName>Methods Mol Biol. </b:JournalName>
    <b:Year>2011</b:Year>
    <b:Pages>243-253</b:Pages>
    <b:Volume>691</b:Volume>
    <b:RefOrder>33</b:RefOrder>
  </b:Source>
  <b:Source>
    <b:Tag>Per09</b:Tag>
    <b:SourceType>JournalArticle</b:SourceType>
    <b:Guid>{54B4380B-DF6B-4A6B-B9B1-98891DFB4EDE}</b:Guid>
    <b:Author>
      <b:Author>
        <b:NameList>
          <b:Person>
            <b:Last>Pereira</b:Last>
            <b:First>S.P</b:First>
          </b:Person>
          <b:Person>
            <b:Last>Pereira</b:Last>
            <b:First>G.C</b:First>
          </b:Person>
          <b:Person>
            <b:Last>Moreno</b:Last>
            <b:First>A.J</b:First>
          </b:Person>
          <b:Person>
            <b:Last>Oliveira</b:Last>
            <b:First>P.J.</b:First>
          </b:Person>
        </b:NameList>
      </b:Author>
    </b:Author>
    <b:Title>Can drug safety be predicted and animal experiments reduced by using isolated mitochondrial fractions? </b:Title>
    <b:JournalName>Altern Lab Anim.  </b:JournalName>
    <b:Year>2009</b:Year>
    <b:Pages>355-365</b:Pages>
    <b:Volume>37</b:Volume>
    <b:RefOrder>34</b:RefOrder>
  </b:Source>
  <b:Source>
    <b:Tag>Per11</b:Tag>
    <b:SourceType>JournalArticle</b:SourceType>
    <b:Guid>{BB238F39-2D07-4573-A3F9-8FD118EC12A9}</b:Guid>
    <b:Title>Mitochondrial membrane potential probes and the proton gradient: a practical usage guide</b:Title>
    <b:Year>2011</b:Year>
    <b:PeriodicalTitle>Biotechniques</b:PeriodicalTitle>
    <b:Month>Feb </b:Month>
    <b:Pages>98–115</b:Pages>
    <b:Author>
      <b:Author>
        <b:NameList>
          <b:Person>
            <b:Last>Perry</b:Last>
            <b:First>S.W</b:First>
          </b:Person>
          <b:Person>
            <b:Last>Norman</b:Last>
            <b:First>J.P</b:First>
          </b:Person>
          <b:Person>
            <b:Last>Barbieri</b:Last>
            <b:First>J</b:First>
          </b:Person>
          <b:Person>
            <b:Last>Brown</b:Last>
            <b:First>EB</b:First>
          </b:Person>
          <b:Person>
            <b:Last>Gelbard</b:Last>
            <b:First>H.A.</b:First>
          </b:Person>
        </b:NameList>
      </b:Author>
    </b:Author>
    <b:JournalName>Biotechniques </b:JournalName>
    <b:Volume>50 </b:Volume>
    <b:Issue>2</b:Issue>
    <b:RefOrder>116</b:RefOrder>
  </b:Source>
  <b:Source>
    <b:Tag>Swi11</b:Tag>
    <b:SourceType>JournalArticle</b:SourceType>
    <b:Guid>{27122943-8D5A-4958-8486-7F883E210354}</b:Guid>
    <b:Author>
      <b:Author>
        <b:NameList>
          <b:Person>
            <b:Last>Swiss</b:Last>
            <b:First>R</b:First>
          </b:Person>
          <b:Person>
            <b:Last>Will</b:Last>
            <b:First>Y.</b:First>
          </b:Person>
        </b:NameList>
      </b:Author>
    </b:Author>
    <b:Title>Assessment of mitochondrial toxicity in HepG2 cells cultured in high-glucose- or galactose-containing media</b:Title>
    <b:Year>2011</b:Year>
    <b:JournalName>49:2.20:2.20.1–2.20.14.</b:JournalName>
    <b:Pages>2.20:2.20.1–2.20.14.</b:Pages>
    <b:Volume>49</b:Volume>
    <b:BookTitle> Current Protocols in Toxicology. 49:2.20:2.20.1–2.20.14.</b:BookTitle>
    <b:RefOrder>31</b:RefOrder>
  </b:Source>
  <b:Source>
    <b:Tag>Hyn06</b:Tag>
    <b:SourceType>JournalArticle</b:SourceType>
    <b:Guid>{3408DB4F-1698-44FF-9ED4-503CB6AB31EA}</b:Guid>
    <b:Author>
      <b:Author>
        <b:NameList>
          <b:Person>
            <b:Last>Hynes</b:Last>
            <b:First>J</b:First>
          </b:Person>
          <b:Person>
            <b:Last>Marroquin LD</b:Last>
            <b:First>Ogurtsov,</b:First>
            <b:Middle>V.I</b:Middle>
          </b:Person>
          <b:Person>
            <b:Last>Christiansen</b:Last>
            <b:First>K.N</b:First>
          </b:Person>
          <b:Person>
            <b:Last>Stevens</b:Last>
            <b:First>G.J</b:First>
          </b:Person>
          <b:Person>
            <b:Last>Papkovsky</b:Last>
            <b:First>D.B</b:First>
          </b:Person>
          <b:Person>
            <b:Last>Will</b:Last>
            <b:First>Y.</b:First>
          </b:Person>
        </b:NameList>
      </b:Author>
    </b:Author>
    <b:Title>Investigation of Drug-Induced Mitochondrial Toxicity Using Fluorescence-Based Oxygen-Sensitive Probes</b:Title>
    <b:JournalName>Toxicological Sciences</b:JournalName>
    <b:Year>2006</b:Year>
    <b:Pages>186-200</b:Pages>
    <b:Volume>92</b:Volume>
    <b:RefOrder>112</b:RefOrder>
  </b:Source>
  <b:Source>
    <b:Tag>Eak16</b:Tag>
    <b:SourceType>JournalArticle</b:SourceType>
    <b:Guid>{6908AFC2-84C2-4788-B648-7F052652B5D4}</b:Guid>
    <b:Author>
      <b:Author>
        <b:NameList>
          <b:Person>
            <b:Last>Eakins</b:Last>
            <b:First>J</b:First>
          </b:Person>
          <b:Person>
            <b:Last>Bauch</b:Last>
            <b:First>C</b:First>
          </b:Person>
          <b:Person>
            <b:Last>Woodhouse</b:Last>
            <b:First>H</b:First>
          </b:Person>
          <b:Person>
            <b:Last>Park</b:Last>
            <b:First>B</b:First>
          </b:Person>
          <b:Person>
            <b:Last>Bevan</b:Last>
            <b:First>S</b:First>
          </b:Person>
          <b:Person>
            <b:Last>Dilworth</b:Last>
            <b:First>C</b:First>
          </b:Person>
          <b:Person>
            <b:Last>Walker</b:Last>
            <b:First>P.</b:First>
          </b:Person>
        </b:NameList>
      </b:Author>
    </b:Author>
    <b:Title>A combined in vitro approach to improve the prediction of mitochondrial toxicants</b:Title>
    <b:JournalName>Toxicol In Vitro</b:JournalName>
    <b:Year>2016</b:Year>
    <b:Pages>161-170</b:Pages>
    <b:Volume>Apr 12</b:Volume>
    <b:RefOrder>35</b:RefOrder>
  </b:Source>
  <b:Source>
    <b:Tag>Oju16</b:Tag>
    <b:SourceType>JournalArticle</b:SourceType>
    <b:Guid>{5BE882CE-F4C0-4AC1-AD2E-655C6FFFC4DB}</b:Guid>
    <b:Author>
      <b:Author>
        <b:NameList>
          <b:Person>
            <b:Last>Ojuka</b:Last>
            <b:First>E</b:First>
          </b:Person>
          <b:Person>
            <b:Last>Andrew</b:Last>
            <b:First>B</b:First>
          </b:Person>
          <b:Person>
            <b:Last>Bezuidenhout</b:Last>
            <b:First>N</b:First>
          </b:Person>
          <b:Person>
            <b:Last>George</b:Last>
            <b:First>S</b:First>
          </b:Person>
          <b:Person>
            <b:Last>Maarman</b:Last>
            <b:First>G</b:First>
          </b:Person>
          <b:Person>
            <b:Last>Madlala</b:Last>
            <b:First>H.P</b:First>
          </b:Person>
          <b:Person>
            <b:Last>Mendham</b:Last>
          </b:Person>
          <b:Person>
            <b:Last>Osiki</b:Last>
            <b:First>P.O.</b:First>
          </b:Person>
        </b:NameList>
      </b:Author>
    </b:Author>
    <b:Title>Measurement of β-oxidation capacity of biological samples by respirometry: a review of principles and substrates</b:Title>
    <b:JournalName>Ojuka E, Andrew B, Bezuidenhout N, George S, Maarman G, Madlala HP, Mendham A, Osiki PO. Measurement of β-oxidation capacity of biological samples by respirometry: a review of principles and substrates. American Journal of Physiology - Endocrinology and M</b:JournalName>
    <b:Year>2016</b:Year>
    <b:Pages>715-723</b:Pages>
    <b:Volume>310</b:Volume>
    <b:RefOrder>115</b:RefOrder>
  </b:Source>
  <b:Source>
    <b:Tag>Ong07</b:Tag>
    <b:SourceType>JournalArticle</b:SourceType>
    <b:Guid>{647BC65F-69B0-4A04-ACDA-4DD28A28B81D}</b:Guid>
    <b:Author>
      <b:Author>
        <b:NameList>
          <b:Person>
            <b:Last>Ong</b:Last>
          </b:Person>
          <b:Person>
            <b:Last>M.M.K</b:Last>
          </b:Person>
          <b:Person>
            <b:Last>Latchoumycandane</b:Last>
            <b:First>C</b:First>
          </b:Person>
          <b:Person>
            <b:Last>Boelsterli</b:Last>
            <b:First>U.A.</b:First>
          </b:Person>
        </b:NameList>
      </b:Author>
    </b:Author>
    <b:Title>Troglitazone-induced hepatic necrosis in an animal model of silent genetic mitochondrial abnormalities.</b:Title>
    <b:JournalName>Toxicol. Sci.</b:JournalName>
    <b:Year>2007</b:Year>
    <b:Pages>205-213</b:Pages>
    <b:Volume>97</b:Volume>
    <b:RefOrder>46</b:RefOrder>
  </b:Source>
  <b:Source>
    <b:Tag>Kam15</b:Tag>
    <b:SourceType>JournalArticle</b:SourceType>
    <b:Guid>{7204932B-614C-4102-8B94-57F568D07740}</b:Guid>
    <b:Author>
      <b:Author>
        <b:NameList>
          <b:Person>
            <b:Last>Kamalian</b:Last>
            <b:First>L</b:First>
          </b:Person>
          <b:Person>
            <b:Last>Chadwick</b:Last>
            <b:First>A</b:First>
          </b:Person>
          <b:Person>
            <b:Last>Bayliss</b:Last>
            <b:First>M</b:First>
          </b:Person>
          <b:Person>
            <b:Last>French</b:Last>
            <b:First>N</b:First>
          </b:Person>
          <b:Person>
            <b:Last>Monshouwer</b:Last>
            <b:First>M</b:First>
          </b:Person>
          <b:Person>
            <b:Last>Snoeys</b:Last>
            <b:First>J</b:First>
          </b:Person>
          <b:Person>
            <b:Last>Park</b:Last>
            <b:First>K.</b:First>
          </b:Person>
        </b:NameList>
      </b:Author>
    </b:Author>
    <b:Title>The utility of HepG2 cells to identify direct mitochondrial dysfunction in the absence of cell death. 2015</b:Title>
    <b:JournalName>Toxicology in vitro </b:JournalName>
    <b:Year>2015</b:Year>
    <b:Pages>732-740</b:Pages>
    <b:Volume>29</b:Volume>
    <b:RefOrder>32</b:RefOrder>
  </b:Source>
  <b:Source>
    <b:Tag>Oda16</b:Tag>
    <b:SourceType>JournalArticle</b:SourceType>
    <b:Guid>{9ADA008E-499F-4719-BC0A-E5AFC3484CC5}</b:Guid>
    <b:Author>
      <b:Author>
        <b:NameList>
          <b:Person>
            <b:Last>Oda</b:Last>
            <b:First>S.</b:First>
          </b:Person>
          <b:Person>
            <b:Last>Matsuo</b:Last>
            <b:First>K.</b:First>
          </b:Person>
          <b:Person>
            <b:Last>Nakajima</b:Last>
            <b:First>A.</b:First>
          </b:Person>
          <b:Person>
            <b:Last>Yokoi</b:Last>
            <b:First>T.</b:First>
          </b:Person>
        </b:NameList>
      </b:Author>
    </b:Author>
    <b:Title>A novel cell-based assay for the evaluation of immune- and inflammatory-related gene expression as biomarkers for the risk assessment of drug-induced liver injury.</b:Title>
    <b:JournalName> Toxicology letters</b:JournalName>
    <b:Year>2016</b:Year>
    <b:Pages>60-70</b:Pages>
    <b:Volume>241</b:Volume>
    <b:RefOrder>101</b:RefOrder>
  </b:Source>
  <b:Source>
    <b:Tag>Yan141</b:Tag>
    <b:SourceType>JournalArticle</b:SourceType>
    <b:Guid>{271619BD-8969-4FB7-8764-B53923B1CD71}</b:Guid>
    <b:Author>
      <b:Author>
        <b:NameList>
          <b:Person>
            <b:Last>Yano</b:Last>
            <b:First>A.</b:First>
          </b:Person>
          <b:Person>
            <b:Last>Oda</b:Last>
            <b:First>S.</b:First>
          </b:Person>
          <b:Person>
            <b:Last>Fukami</b:Last>
            <b:First>T.,</b:First>
            <b:Middle>Nakajima, M.</b:Middle>
          </b:Person>
          <b:Person>
            <b:Last>Yokoi</b:Last>
            <b:First>T.</b:First>
          </b:Person>
        </b:NameList>
      </b:Author>
    </b:Author>
    <b:Title>Development of a cell-based assay system considering drug metabolism and immune- and inflammatory-related factors for the risk assessment of drug-induced liver injury.</b:Title>
    <b:JournalName>Toxicology letters</b:JournalName>
    <b:Year>2014</b:Year>
    <b:Pages>228</b:Pages>
    <b:Volume>1</b:Volume>
    <b:RefOrder>127</b:RefOrder>
  </b:Source>
  <b:Source>
    <b:Tag>Jam05</b:Tag>
    <b:SourceType>JournalArticle</b:SourceType>
    <b:Guid>{96CEE641-3106-4E2F-BD58-12330C9E9FBD}</b:Guid>
    <b:Author>
      <b:Author>
        <b:NameList>
          <b:Person>
            <b:Last>James</b:Last>
            <b:First>L.P.</b:First>
          </b:Person>
          <b:Person>
            <b:Last>Simpson</b:Last>
            <b:First>P.M.</b:First>
          </b:Person>
          <b:Person>
            <b:Last>Farrar</b:Last>
            <b:First>H.C.</b:First>
          </b:Person>
          <b:Person>
            <b:Last>Kearns</b:Last>
            <b:First>G.L.</b:First>
          </b:Person>
          <b:Person>
            <b:Last>Wasserman</b:Last>
            <b:First>G.S.</b:First>
          </b:Person>
          <b:Person>
            <b:Last>Blumer</b:Last>
            <b:First>J.L.</b:First>
          </b:Person>
          <b:Person>
            <b:Last>Reed</b:Last>
            <b:First>M.D.</b:First>
          </b:Person>
          <b:Person>
            <b:Last>Sullivan</b:Last>
            <b:First>J.E.</b:First>
          </b:Person>
          <b:Person>
            <b:Last>Hinson</b:Last>
            <b:First>J.A.:</b:First>
          </b:Person>
        </b:NameList>
      </b:Author>
    </b:Author>
    <b:Title>Cytokines and toxicity in acetaminophen overdose. </b:Title>
    <b:JournalName>Journal of clinical pharmacology</b:JournalName>
    <b:Year>2005</b:Year>
    <b:Pages>1165-1171</b:Pages>
    <b:Volume>45</b:Volume>
    <b:RefOrder>122</b:RefOrder>
  </b:Source>
  <b:Source>
    <b:Tag>Kak14</b:Tag>
    <b:SourceType>JournalArticle</b:SourceType>
    <b:Guid>{3B669C92-BC6B-4A46-9FED-4224917C0801}</b:Guid>
    <b:Author>
      <b:Author>
        <b:NameList>
          <b:Person>
            <b:Last>Kakisaka</b:Last>
            <b:First>K.</b:First>
          </b:Person>
          <b:Person>
            <b:Last>Takikawa</b:Last>
            <b:First>Y.:</b:First>
          </b:Person>
        </b:NameList>
      </b:Author>
    </b:Author>
    <b:Title> Elevation of serum cytokines preceding elevation of liver enzymes in a case of drug-induced liver injury. </b:Title>
    <b:JournalName>Hepatology research : the official journal of the Japan Society of Hepatology </b:JournalName>
    <b:Year>2014</b:Year>
    <b:Pages>E284-289</b:Pages>
    <b:Volume>44</b:Volume>
    <b:RefOrder>124</b:RefOrder>
  </b:Source>
  <b:Source>
    <b:Tag>Kap05</b:Tag>
    <b:SourceType>JournalArticle</b:SourceType>
    <b:Guid>{7BBD9371-877B-4355-9D88-10FC8ED7B90B}</b:Guid>
    <b:Author>
      <b:Author>
        <b:NameList>
          <b:Person>
            <b:Last>Kaplowitz</b:Last>
            <b:First>N.</b:First>
          </b:Person>
        </b:NameList>
      </b:Author>
    </b:Author>
    <b:Title>Idiosyncratic drug hepatotoxicity</b:Title>
    <b:JournalName>Nature Reviews Drug discovery</b:JournalName>
    <b:Year>2005</b:Year>
    <b:Pages>489-499</b:Pages>
    <b:Volume>4</b:Volume>
    <b:RefOrder>119</b:RefOrder>
  </b:Source>
  <b:Source>
    <b:Tag>Lav10</b:Tag>
    <b:SourceType>JournalArticle</b:SourceType>
    <b:Guid>{FE1E96A4-E7C3-47CF-8F99-3ED55B5FA59A}</b:Guid>
    <b:Author>
      <b:Author>
        <b:NameList>
          <b:Person>
            <b:Last>Laverty</b:Last>
            <b:First>H.G.</b:First>
          </b:Person>
          <b:Person>
            <b:Last>Antoine</b:Last>
            <b:First>D.J.</b:First>
          </b:Person>
          <b:Person>
            <b:Last>Benson</b:Last>
            <b:First>C.</b:First>
          </b:Person>
          <b:Person>
            <b:Last>Chaponda</b:Last>
            <b:First>M.</b:First>
          </b:Person>
          <b:Person>
            <b:Last>Williams</b:Last>
            <b:First>D.</b:First>
          </b:Person>
          <b:Person>
            <b:Last>Park</b:Last>
            <b:First>B.K.</b:First>
          </b:Person>
        </b:NameList>
      </b:Author>
    </b:Author>
    <b:Title>The potential of cytokines as safety biomarkers for drug-induced liver injury. </b:Title>
    <b:JournalName>Eur J Clin Pharmacol </b:JournalName>
    <b:Year>2010</b:Year>
    <b:Pages>961-975</b:Pages>
    <b:Volume>66</b:Volume>
    <b:RefOrder>120</b:RefOrder>
  </b:Source>
  <b:Source>
    <b:Tag>Men09</b:Tag>
    <b:SourceType>JournalArticle</b:SourceType>
    <b:Guid>{60B16571-8BE5-49E5-93D4-4EAA84705094}</b:Guid>
    <b:Author>
      <b:Author>
        <b:NameList>
          <b:Person>
            <b:Last>Mennicke</b:Last>
            <b:First>M.</b:First>
          </b:Person>
          <b:Person>
            <b:Last>Zawodniak</b:Last>
            <b:First>A.</b:First>
          </b:Person>
          <b:Person>
            <b:Last>Keller</b:Last>
            <b:First>M.</b:First>
          </b:Person>
          <b:Person>
            <b:Last>Wilkens</b:Last>
            <b:First>L.</b:First>
          </b:Person>
          <b:Person>
            <b:Last>Yawalkar</b:Last>
            <b:First>N.</b:First>
          </b:Person>
          <b:Person>
            <b:Last>Stickel</b:Last>
            <b:First>F.</b:First>
          </b:Person>
          <b:Person>
            <b:Last>Keogh</b:Last>
            <b:First>A.</b:First>
          </b:Person>
          <b:Person>
            <b:Last>Inderbitzin</b:Last>
            <b:First>D.</b:First>
          </b:Person>
          <b:Person>
            <b:Last>Candinas</b:Last>
            <b:First>D.</b:First>
          </b:Person>
          <b:Person>
            <b:Last>Pichler</b:Last>
            <b:First>W.</b:First>
            <b:Middle>J.:</b:Middle>
          </b:Person>
        </b:NameList>
      </b:Author>
    </b:Author>
    <b:Title>Fulminant liver failure after vancomycin in a sulfasalazine-induced DRESS syndrome: fatal recurrence after liver transplatation </b:Title>
    <b:JournalName>American Journal of Translpantation </b:JournalName>
    <b:Year>2009</b:Year>
    <b:Pages>2197-2202</b:Pages>
    <b:Volume>9</b:Volume>
    <b:RefOrder>121</b:RefOrder>
  </b:Source>
  <b:Source>
    <b:Tag>Met15</b:Tag>
    <b:SourceType>JournalArticle</b:SourceType>
    <b:Guid>{2B5B22F8-F0E0-4D8D-BE58-13644B06FAE1}</b:Guid>
    <b:Author>
      <b:Author>
        <b:NameList>
          <b:Person>
            <b:Last>Metushi</b:Last>
            <b:First>I.G.</b:First>
          </b:Person>
          <b:Person>
            <b:Last>Hayes</b:Last>
            <b:First>M.A.</b:First>
          </b:Person>
          <b:Person>
            <b:Last>Uetrecht</b:Last>
            <b:First>J.</b:First>
          </b:Person>
        </b:NameList>
      </b:Author>
    </b:Author>
    <b:Title>Treatment of PD-1(-/-) mice with amodiaquine and anti-CTLA4 leads to liver injury similar to idiosyncratic liver injury in patients.</b:Title>
    <b:JournalName>Hepatology</b:JournalName>
    <b:Year>2015</b:Year>
    <b:Pages>1332-1242</b:Pages>
    <b:Volume>61</b:Volume>
    <b:RefOrder>73</b:RefOrder>
  </b:Source>
  <b:Source>
    <b:Tag>Nat15</b:Tag>
    <b:SourceType>JournalArticle</b:SourceType>
    <b:Guid>{A3951145-EB55-4A40-BA62-4EED27D0320D}</b:Guid>
    <b:Author>
      <b:Author>
        <b:NameList>
          <b:Person>
            <b:Last>Nattrass</b:Last>
            <b:First>R.</b:First>
          </b:Person>
          <b:Person>
            <b:Last>Faulkner</b:Last>
            <b:First>L.</b:First>
          </b:Person>
          <b:Person>
            <b:Last>Vocanson</b:Last>
            <b:First>M.</b:First>
          </b:Person>
          <b:Person>
            <b:Last>Antoine</b:Last>
            <b:First>D.J.</b:First>
          </b:Person>
          <b:Person>
            <b:Last>Kipar</b:Last>
            <b:First>A.</b:First>
            <b:Middle>Kenna, G.</b:Middle>
          </b:Person>
          <b:Person>
            <b:Last>Nicolas</b:Last>
            <b:First>J.F.</b:First>
          </b:Person>
          <b:Person>
            <b:Last>Park</b:Last>
            <b:First>B.K.</b:First>
          </b:Person>
          <b:Person>
            <b:Last>Naisbitt</b:Last>
            <b:First>D.J.</b:First>
          </b:Person>
        </b:NameList>
      </b:Author>
    </b:Author>
    <b:Title>Activation of Flucloxacillin-Specific CD8+ T-Cells With the Potential to Promote Hepatocyte Cytotoxicity in a Mouse Model.</b:Title>
    <b:JournalName>Toxicology</b:JournalName>
    <b:Year>2015</b:Year>
    <b:Pages>146-156</b:Pages>
    <b:Volume>146</b:Volume>
    <b:RefOrder>74</b:RefOrder>
  </b:Source>
  <b:Source>
    <b:Tag>Bur16</b:Tag>
    <b:SourceType>JournalArticle</b:SourceType>
    <b:Guid>{AA3D20E2-B19D-4FC1-ACA1-83BFFFFCF444}</b:Guid>
    <b:Author>
      <b:Author>
        <b:NameList>
          <b:Person>
            <b:Last>Burbank</b:Last>
            <b:First>M.G.</b:First>
          </b:Person>
          <b:Person>
            <b:Last>Burben</b:Last>
            <b:First>A.</b:First>
          </b:Person>
          <b:Person>
            <b:Last>Sharanek</b:Last>
            <b:First>A.</b:First>
          </b:Person>
          <b:Person>
            <b:Last>Weaver</b:Last>
            <b:First>R.J.</b:First>
          </b:Person>
          <b:Person>
            <b:Last>Gugen-Guillouzo</b:Last>
            <b:First>C.</b:First>
          </b:Person>
          <b:Person>
            <b:Last>Guillouzo</b:Last>
            <b:First>A.</b:First>
          </b:Person>
        </b:NameList>
      </b:Author>
    </b:Author>
    <b:Title>Early alterations of bile canaliculi dynamics and the Rho kinase/myosyn light chain kinase pathway are characteristics of drug-induced intrahepatic cholestasis.</b:Title>
    <b:JournalName>Drug Met Disposition</b:JournalName>
    <b:Year>2016</b:Year>
    <b:Pages>1-14</b:Pages>
    <b:Volume>44</b:Volume>
    <b:RefOrder>58</b:RefOrder>
  </b:Source>
  <b:Source>
    <b:Tag>LeV13</b:Tag>
    <b:SourceType>JournalArticle</b:SourceType>
    <b:Guid>{A7C787D5-4330-47B0-A388-A4F2649DA0F1}</b:Guid>
    <b:Author>
      <b:Author>
        <b:NameList>
          <b:Person>
            <b:Last>Le Vee</b:Last>
            <b:First>M.</b:First>
          </b:Person>
          <b:Person>
            <b:Last>Noel</b:Last>
            <b:First>G.</b:First>
          </b:Person>
          <b:Person>
            <b:Last>Joudan</b:Last>
            <b:First>E.</b:First>
          </b:Person>
          <b:Person>
            <b:Last>Stiger</b:Last>
            <b:First>B.</b:First>
          </b:Person>
          <b:Person>
            <b:Last>Fardel</b:Last>
            <b:First>O.</b:First>
          </b:Person>
        </b:NameList>
      </b:Author>
    </b:Author>
    <b:Title>Polarized experssion of drug transporters in differentiated human hepatoma HepaRG cells.</b:Title>
    <b:JournalName>Toxicology in vitro</b:JournalName>
    <b:Year>2013</b:Year>
    <b:Pages>1976-1986</b:Pages>
    <b:Volume>6</b:Volume>
    <b:RefOrder>61</b:RefOrder>
  </b:Source>
  <b:Source>
    <b:Tag>Mor10</b:Tag>
    <b:SourceType>JournalArticle</b:SourceType>
    <b:Guid>{D7F3B6C8-0AFC-489D-B9E3-BEB9321230BE}</b:Guid>
    <b:Author>
      <b:Author>
        <b:NameList>
          <b:Person>
            <b:Last>Morgan</b:Last>
            <b:First>R.E.</b:First>
          </b:Person>
          <b:Person>
            <b:Last>Trauner</b:Last>
            <b:First>M.</b:First>
          </b:Person>
          <b:Person>
            <b:Last>C.J.</b:Last>
            <b:First>van</b:First>
            <b:Middle>Staden</b:Middle>
          </b:Person>
          <b:Person>
            <b:Last>Lee</b:Last>
            <b:First>P.H.</b:First>
          </b:Person>
          <b:Person>
            <b:Last>Ramachandran</b:Last>
            <b:First>B.</b:First>
          </b:Person>
          <b:Person>
            <b:Last>Eschenberg</b:Last>
            <b:First>M.</b:First>
          </b:Person>
          <b:Person>
            <b:Last>Afshari</b:Last>
            <b:First>C.A.</b:First>
          </b:Person>
          <b:Person>
            <b:Last>Qualls</b:Last>
            <b:First>C.W.</b:First>
          </b:Person>
          <b:Person>
            <b:Last>Lightfoot-Dunn</b:Last>
            <b:First>R.</b:First>
          </b:Person>
          <b:Person>
            <b:Last>Hamadeh</b:Last>
            <b:First>H.K.</b:First>
          </b:Person>
        </b:NameList>
      </b:Author>
    </b:Author>
    <b:Title>Interference with Bile Salt Export Pump Function Is a Susceptibility Factor for Human Liver Injury in Drug Development</b:Title>
    <b:JournalName>Toxicological Sciences</b:JournalName>
    <b:Year>2010</b:Year>
    <b:Pages>485-500</b:Pages>
    <b:Volume>118</b:Volume>
    <b:RefOrder>128</b:RefOrder>
  </b:Source>
  <b:Source>
    <b:Tag>Fro13</b:Tag>
    <b:SourceType>JournalArticle</b:SourceType>
    <b:Guid>{10FF2BAC-091A-4858-8CE7-4FAAF8156D73}</b:Guid>
    <b:Author>
      <b:Author>
        <b:NameList>
          <b:Person>
            <b:Last>Fromenty</b:Last>
            <b:First>B.</b:First>
          </b:Person>
        </b:NameList>
      </b:Author>
    </b:Author>
    <b:Title>Drug-induced liver injury in obesity</b:Title>
    <b:JournalName>J Hepatol</b:JournalName>
    <b:Year>2013</b:Year>
    <b:Pages>824-826</b:Pages>
    <b:Volume>58</b:Volume>
    <b:RefOrder>25</b:RefOrder>
  </b:Source>
  <b:Source>
    <b:Tag>Tak15</b:Tag>
    <b:SourceType>JournalArticle</b:SourceType>
    <b:Guid>{FBFC0C21-DE97-403C-A4AA-8268E19AB4E4}</b:Guid>
    <b:Author>
      <b:Author>
        <b:NameList>
          <b:Person>
            <b:Last>Takai</b:Last>
            <b:First>S</b:First>
          </b:Person>
          <b:Person>
            <b:Last>Higuchi</b:Last>
            <b:First>S</b:First>
          </b:Person>
          <b:Person>
            <b:Last>Yano</b:Last>
            <b:First>A</b:First>
          </b:Person>
          <b:Person>
            <b:Last>Tsuneyama</b:Last>
            <b:First>K</b:First>
          </b:Person>
          <b:Person>
            <b:Last>Fukami</b:Last>
            <b:First>T</b:First>
          </b:Person>
          <b:Person>
            <b:Last>Nakajima</b:Last>
            <b:First>M</b:First>
          </b:Person>
          <b:Person>
            <b:Last>Yokoi</b:Last>
            <b:First>T.</b:First>
          </b:Person>
        </b:NameList>
      </b:Author>
    </b:Author>
    <b:Title>Involvement of immune- and inflammatory-related factors in flucloxacillin-induced liver injury in mice.</b:Title>
    <b:JournalName>Journal of applied toxicology</b:JournalName>
    <b:Year>2015</b:Year>
    <b:Pages>142-151</b:Pages>
    <b:Volume>35</b:Volume>
    <b:RefOrder>79</b:RefOrder>
  </b:Source>
  <b:Source>
    <b:Tag>Bop08</b:Tag>
    <b:SourceType>JournalArticle</b:SourceType>
    <b:Guid>{CFC34E40-800F-47D1-B480-779FD9D2B198}</b:Guid>
    <b:Author>
      <b:Author>
        <b:NameList>
          <b:Person>
            <b:Last>Bopp</b:Last>
            <b:First>S.K</b:First>
          </b:Person>
          <b:Person>
            <b:Last>Lettieri</b:Last>
            <b:First>T.</b:First>
          </b:Person>
        </b:NameList>
      </b:Author>
    </b:Author>
    <b:Title>Comparison of four differnt colorimetric and fluorometric cytotoxicity assays in a zebrfish liver cell line.</b:Title>
    <b:JournalName>BMC pharmacology</b:JournalName>
    <b:Year>2008</b:Year>
    <b:Pages>8</b:Pages>
    <b:Volume>8</b:Volume>
    <b:Issue>1</b:Issue>
    <b:RefOrder>106</b:RefOrder>
  </b:Source>
  <b:Source>
    <b:Tag>Bor85</b:Tag>
    <b:SourceType>JournalArticle</b:SourceType>
    <b:Guid>{F0D8A385-C7D3-47A7-B8E2-4F35E9112CD9}</b:Guid>
    <b:Author>
      <b:Author>
        <b:NameList>
          <b:Person>
            <b:Last>Borenfreund</b:Last>
            <b:First>E</b:First>
          </b:Person>
          <b:Person>
            <b:Last>Puerner</b:Last>
            <b:First>J.A.</b:First>
          </b:Person>
        </b:NameList>
      </b:Author>
    </b:Author>
    <b:Title>Toxicity determined in vitro by morphological alterations and Neutral Red absorption.</b:Title>
    <b:JournalName>Toxicology Lett</b:JournalName>
    <b:Year>1985</b:Year>
    <b:Pages>119-124</b:Pages>
    <b:Volume>24</b:Volume>
    <b:RefOrder>107</b:RefOrder>
  </b:Source>
  <b:Source>
    <b:Tag>Mos83</b:Tag>
    <b:SourceType>JournalArticle</b:SourceType>
    <b:Guid>{7D92E6A9-E9AC-4B92-A64E-CED9E1848B75}</b:Guid>
    <b:Author>
      <b:Author>
        <b:NameList>
          <b:Person>
            <b:Last>Mosma</b:Last>
            <b:First>T.</b:First>
          </b:Person>
        </b:NameList>
      </b:Author>
    </b:Author>
    <b:Title>Rapid colorimetric assay for cellular growth and survival: Application to proliferation and cytotoxicity assays.</b:Title>
    <b:JournalName>J Immunol. Methods</b:JournalName>
    <b:Year>1983</b:Year>
    <b:Pages>55-63</b:Pages>
    <b:Volume>65</b:Volume>
    <b:RefOrder>129</b:RefOrder>
  </b:Source>
  <b:Source>
    <b:Tag>Ati13</b:Tag>
    <b:SourceType>JournalArticle</b:SourceType>
    <b:Guid>{18711C15-7A43-43C5-87F3-124880F2D25E}</b:Guid>
    <b:Author>
      <b:Author>
        <b:NameList>
          <b:Person>
            <b:Last>Atienzar</b:Last>
            <b:First>F.A</b:First>
          </b:Person>
          <b:Person>
            <b:Last>Gerets</b:Last>
            <b:First>H</b:First>
          </b:Person>
          <b:Person>
            <b:Last>Tilmant</b:Last>
            <b:First>K</b:First>
          </b:Person>
          <b:Person>
            <b:Last>Toussaint</b:Last>
            <b:First>G</b:First>
          </b:Person>
          <b:Person>
            <b:Last>Dhalluin</b:Last>
            <b:First>S</b:First>
          </b:Person>
        </b:NameList>
      </b:Author>
    </b:Author>
    <b:Title>Evaluation of Impedance-Based Label-Free Technology as a Tool for Pharmacology and Toxicology Investigations</b:Title>
    <b:JournalName>Biosensors  </b:JournalName>
    <b:Year>2013</b:Year>
    <b:Pages>132-156</b:Pages>
    <b:Volume>3</b:Volume>
    <b:Issue>1</b:Issue>
    <b:RefOrder>108</b:RefOrder>
  </b:Source>
  <b:Source>
    <b:Tag>JuC12</b:Tag>
    <b:SourceType>JournalArticle</b:SourceType>
    <b:Guid>{840C06A1-CEAA-4A3B-AB53-CA35DABF7BD4}</b:Guid>
    <b:Author>
      <b:Author>
        <b:NameList>
          <b:Person>
            <b:Last>Ju</b:Last>
            <b:First>C</b:First>
          </b:Person>
          <b:Person>
            <b:Last>Reilly</b:Last>
            <b:First>T.</b:First>
          </b:Person>
        </b:NameList>
      </b:Author>
    </b:Author>
    <b:Title>Role of immune reactions in drug-induced liver injury (DILI).</b:Title>
    <b:JournalName>Drug Metab Rev</b:JournalName>
    <b:Year>2012</b:Year>
    <b:Pages>107-115</b:Pages>
    <b:Volume>44</b:Volume>
    <b:Issue>1</b:Issue>
    <b:RefOrder>63</b:RefOrder>
  </b:Source>
  <b:Source>
    <b:Tag>Rac06</b:Tag>
    <b:SourceType>JournalArticle</b:SourceType>
    <b:Guid>{D8A5B747-BE75-4DA6-8F3A-21B2A1202940}</b:Guid>
    <b:Author>
      <b:Author>
        <b:NameList>
          <b:Person>
            <b:Last>Racanelli</b:Last>
            <b:First>V</b:First>
          </b:Person>
          <b:Person>
            <b:Last>Rehermann</b:Last>
            <b:First>B.</b:First>
          </b:Person>
        </b:NameList>
      </b:Author>
    </b:Author>
    <b:Title>The liver as an immunological organ. </b:Title>
    <b:JournalName>Hepatology</b:JournalName>
    <b:Year>2006</b:Year>
    <b:Pages>S54-62</b:Pages>
    <b:Volume>43</b:Volume>
    <b:Issue>2 suppl 1</b:Issue>
    <b:RefOrder>64</b:RefOrder>
  </b:Source>
  <b:Source>
    <b:Tag>Kim15</b:Tag>
    <b:SourceType>JournalArticle</b:SourceType>
    <b:Guid>{8B424FC9-2719-48B0-ABA5-5FC2E77D54E4}</b:Guid>
    <b:Author>
      <b:Author>
        <b:NameList>
          <b:Person>
            <b:Last>Kim</b:Last>
            <b:First>S.H</b:First>
          </b:Person>
          <b:Person>
            <b:Last>Saide</b:Last>
            <b:First>K</b:First>
          </b:Person>
          <b:Person>
            <b:Last>Farrell</b:Last>
            <b:First>J</b:First>
          </b:Person>
          <b:Person>
            <b:Last>Faulkner</b:Last>
            <b:First>L</b:First>
          </b:Person>
          <b:Person>
            <b:Last>Tailor</b:Last>
            <b:First>A</b:First>
          </b:Person>
          <b:Person>
            <b:Last>Ogese</b:Last>
            <b:First>M</b:First>
          </b:Person>
          <b:Person>
            <b:Last>Daly</b:Last>
            <b:First>A.</b:First>
            <b:Middle>K</b:Middle>
          </b:Person>
          <b:Person>
            <b:Last>Pirmohamed</b:Last>
            <b:First>M</b:First>
          </b:Person>
          <b:Person>
            <b:Last>Park</b:Last>
            <b:First>B.K</b:First>
          </b:Person>
          <b:Person>
            <b:Last>Naisbitt</b:Last>
            <b:First>D.J.</b:First>
          </b:Person>
        </b:NameList>
      </b:Author>
    </b:Author>
    <b:Title>Characterization of amoxicillin- and clavulanic acid-specific T cells in patients with amoxicillin-clavulanate-induc</b:Title>
    <b:JournalName>Hepatology</b:JournalName>
    <b:Year>2015</b:Year>
    <b:Pages>887-899</b:Pages>
    <b:Volume>62</b:Volume>
    <b:Issue>3</b:Issue>
    <b:RefOrder>68</b:RefOrder>
  </b:Source>
  <b:Source>
    <b:Tag>Dal</b:Tag>
    <b:SourceType>JournalArticle</b:SourceType>
    <b:Guid>{E50AFF7D-9A72-432E-A11C-256581F28E66}</b:Guid>
    <b:Author>
      <b:Author>
        <b:NameList>
          <b:Person>
            <b:Last>Daly</b:Last>
            <b:First>A.K</b:First>
          </b:Person>
          <b:Person>
            <b:Last>Donaldson</b:Last>
            <b:First>P.T</b:First>
          </b:Person>
          <b:Person>
            <b:Last>Bhatnagar</b:Last>
            <b:First>P</b:First>
          </b:Person>
          <b:Person>
            <b:Last>Shen</b:Last>
            <b:First>Y</b:First>
          </b:Person>
          <b:Person>
            <b:Last>Pe'er</b:Last>
            <b:First>I</b:First>
          </b:Person>
          <b:Person>
            <b:Last>Floratos</b:Last>
            <b:First>A</b:First>
          </b:Person>
          <b:Person>
            <b:Last>Daly</b:Last>
            <b:First>M.</b:First>
          </b:Person>
          <b:Person>
            <b:Last>Goldstein</b:Last>
            <b:First>D.</b:First>
            <b:Middle>B</b:Middle>
          </b:Person>
          <b:Person>
            <b:Last>John</b:Last>
            <b:First>S</b:First>
          </b:Person>
          <b:Person>
            <b:Last>Nelson</b:Last>
            <b:First>M.R</b:First>
          </b:Person>
          <b:Person>
            <b:Last>Graham</b:Last>
            <b:First>J</b:First>
          </b:Person>
          <b:Person>
            <b:Last>Park</b:Last>
            <b:First>B.K</b:First>
          </b:Person>
          <b:Person>
            <b:Last>Dillon</b:Last>
            <b:First>J.F</b:First>
          </b:Person>
          <b:Person>
            <b:Last>Bernal</b:Last>
            <b:First>W</b:First>
          </b:Person>
          <b:Person>
            <b:Last>Cordell</b:Last>
            <b:First>H.J</b:First>
          </b:Person>
          <b:Person>
            <b:Last>Pirmohamed</b:Last>
            <b:First>M</b:First>
          </b:Person>
          <b:Person>
            <b:Last>Aithal</b:Last>
            <b:First>G.P</b:First>
          </b:Person>
          <b:Person>
            <b:Last>Day</b:Last>
            <b:First>C.P.</b:First>
          </b:Person>
        </b:NameList>
      </b:Author>
    </b:Author>
    <b:Title>HLA-B*5701 genotype is a major determinant of drug-induced liver injury due to flucloxacillin</b:Title>
    <b:JournalName>Nat Genetics</b:JournalName>
    <b:Year>2009</b:Year>
    <b:Pages>816-819</b:Pages>
    <b:Volume>41</b:Volume>
    <b:Issue>7</b:Issue>
    <b:RefOrder>69</b:RefOrder>
  </b:Source>
  <b:Source>
    <b:Tag>Mon14</b:Tag>
    <b:SourceType>JournalArticle</b:SourceType>
    <b:Guid>{571FE1D2-9032-4192-9853-8305FCE8DE88}</b:Guid>
    <b:Author>
      <b:Author>
        <b:NameList>
          <b:Person>
            <b:Last>Monshi</b:Last>
            <b:First>M.M</b:First>
          </b:Person>
          <b:Person>
            <b:Last>Faulkner</b:Last>
            <b:First>L</b:First>
          </b:Person>
          <b:Person>
            <b:Last>Gibson</b:Last>
            <b:First>A</b:First>
          </b:Person>
          <b:Person>
            <b:Last>Jenkins</b:Last>
            <b:First>R.E</b:First>
          </b:Person>
          <b:Person>
            <b:Last>Farrell</b:Last>
            <b:First>J</b:First>
          </b:Person>
          <b:Person>
            <b:Last>Earnshaw</b:Last>
            <b:First>C.J</b:First>
          </b:Person>
          <b:Person>
            <b:Last>Alfirevic</b:Last>
            <b:First>A</b:First>
          </b:Person>
          <b:Person>
            <b:Last>Cederbrant</b:Last>
            <b:First>K</b:First>
          </b:Person>
          <b:Person>
            <b:Last>Daly</b:Last>
            <b:First>A.K</b:First>
          </b:Person>
          <b:Person>
            <b:Last>French</b:Last>
            <b:First>N</b:First>
          </b:Person>
          <b:Person>
            <b:Last>Pirmohamed</b:Last>
            <b:First>M</b:First>
          </b:Person>
          <b:Person>
            <b:Last>Park</b:Last>
            <b:First>B.K</b:First>
          </b:Person>
          <b:Person>
            <b:Last>Naisbitt</b:Last>
            <b:First>D.J.</b:First>
          </b:Person>
        </b:NameList>
      </b:Author>
    </b:Author>
    <b:Title>Human leukocyte antigen (HLA)-B*57:01-restricted activation</b:Title>
    <b:JournalName>Hepatology</b:JournalName>
    <b:Year>2013</b:Year>
    <b:Pages>727-739</b:Pages>
    <b:Volume>57</b:Volume>
    <b:Issue>2</b:Issue>
    <b:RefOrder>70</b:RefOrder>
  </b:Source>
  <b:Source>
    <b:Tag>Kei10</b:Tag>
    <b:SourceType>JournalArticle</b:SourceType>
    <b:Guid>{3480CA65-31A2-4511-8EFB-4B8ECC8744F5}</b:Guid>
    <b:Author>
      <b:Author>
        <b:NameList>
          <b:Person>
            <b:Last>Keisu</b:Last>
            <b:First>M</b:First>
          </b:Person>
          <b:Person>
            <b:Last>Andersson</b:Last>
            <b:First>T.B.</b:First>
          </b:Person>
        </b:NameList>
      </b:Author>
    </b:Author>
    <b:Title> Drug-induced liver injury in humans: the case of ximelagatran.</b:Title>
    <b:JournalName>Handb Exp Pharmacol 407-18</b:JournalName>
    <b:Year>2010</b:Year>
    <b:Pages>407-418</b:Pages>
    <b:Volume>169</b:Volume>
    <b:RefOrder>72</b:RefOrder>
  </b:Source>
  <b:Source>
    <b:Tag>Dru13</b:Tag>
    <b:SourceType>Book</b:SourceType>
    <b:Guid>{EA725064-CD07-4DA4-9B88-A648EF346D3E}</b:Guid>
    <b:Title>Drug-Induced Liver Disease</b:Title>
    <b:Year>2013</b:Year>
    <b:Author>
      <b:Author>
        <b:NameList>
          <b:Person>
            <b:Last>Kaplowitz</b:Last>
            <b:First>N</b:First>
          </b:Person>
          <b:Person>
            <b:Last>DeLeve</b:Last>
            <b:First>L.D.</b:First>
          </b:Person>
        </b:NameList>
      </b:Author>
    </b:Author>
    <b:City>los Angeles</b:City>
    <b:Publisher>Academic Press</b:Publisher>
    <b:Edition>3rd Edition</b:Edition>
    <b:RefOrder>1</b:RefOrder>
  </b:Source>
  <b:Source>
    <b:Tag>Mar071</b:Tag>
    <b:SourceType>JournalArticle</b:SourceType>
    <b:Guid>{8D305159-4BAC-4B30-97BB-482F1FB3EF47}</b:Guid>
    <b:Author>
      <b:Author>
        <b:NameList>
          <b:Person>
            <b:Last>Marroquin</b:Last>
            <b:First>L.D</b:First>
          </b:Person>
          <b:Person>
            <b:Last>Hynes</b:Last>
            <b:First>J</b:First>
          </b:Person>
          <b:Person>
            <b:Last>Dykens</b:Last>
            <b:First>J.A</b:First>
          </b:Person>
          <b:Person>
            <b:Last>Jamieson</b:Last>
            <b:First>J.D</b:First>
          </b:Person>
          <b:Person>
            <b:Last>Will</b:Last>
            <b:First>Y.</b:First>
          </b:Person>
        </b:NameList>
      </b:Author>
    </b:Author>
    <b:Title>Circumventing the Crabtree effect: replacing media glucose with galactose increases susceptibility of HepG2 cells to mitochondrial toxicants</b:Title>
    <b:JournalName>Toxicol Sci.</b:JournalName>
    <b:Year>2007</b:Year>
    <b:Pages>539-547</b:Pages>
    <b:Volume>97</b:Volume>
    <b:Issue>2</b:Issue>
    <b:RefOrder>30</b:RefOrder>
  </b:Source>
  <b:Source>
    <b:Tag>Bal16</b:Tag>
    <b:SourceType>JournalArticle</b:SourceType>
    <b:Guid>{82FCCBF2-0FAB-4F14-A7E3-8D3D8EAADE51}</b:Guid>
    <b:Author>
      <b:Author>
        <b:NameList>
          <b:Person>
            <b:Last>Ball</b:Last>
            <b:First>A.L</b:First>
          </b:Person>
          <b:Person>
            <b:Last>Kamalian</b:Last>
            <b:First>L</b:First>
          </b:Person>
          <b:Person>
            <b:Last>Alfirevic</b:Last>
            <b:First>A</b:First>
          </b:Person>
          <b:Person>
            <b:Last>Lyon</b:Last>
            <b:First>J.J</b:First>
          </b:Person>
          <b:Person>
            <b:Last>Chadwick</b:Last>
            <b:First>A.E.</b:First>
          </b:Person>
        </b:NameList>
      </b:Author>
    </b:Author>
    <b:Title>Identification of the Additional Mitochondrial Liabilities of 2-Hydroxyflutamide When Compared With its Parent Compound, Flutamide in HepG2 Cells </b:Title>
    <b:JournalName>Toxicol. Sci.</b:JournalName>
    <b:Year>2016</b:Year>
    <b:Pages>341-351</b:Pages>
    <b:Volume>153</b:Volume>
    <b:Issue>2</b:Issue>
    <b:RefOrder>113</b:RefOrder>
  </b:Source>
  <b:Source>
    <b:Tag>Per14</b:Tag>
    <b:SourceType>JournalArticle</b:SourceType>
    <b:Guid>{8B13E170-D287-4062-BB8A-31B0800E5A8B}</b:Guid>
    <b:Author>
      <b:Author>
        <b:NameList>
          <b:Person>
            <b:Last>Persson</b:Last>
            <b:First>M</b:First>
          </b:Person>
          <b:Person>
            <b:Last>Løye</b:Last>
          </b:Person>
          <b:Person>
            <b:Last>.A.F</b:Last>
          </b:Person>
          <b:Person>
            <b:Last>Mow</b:Last>
            <b:First>T</b:First>
          </b:Person>
          <b:Person>
            <b:Last>Hornberg</b:Last>
            <b:First>J.J.</b:First>
          </b:Person>
        </b:NameList>
      </b:Author>
    </b:Author>
    <b:Title>Persson M, et al 2014. A high content screening assay to predict human drug-induced liver injury during drug discovery</b:Title>
    <b:JournalName> J Pharmacol Toxicol Methods</b:JournalName>
    <b:Year>2014</b:Year>
    <b:Pages>302-313</b:Pages>
    <b:Volume>68</b:Volume>
    <b:Issue>3</b:Issue>
    <b:RefOrder>12</b:RefOrder>
  </b:Source>
  <b:Source>
    <b:Tag>XuJ08</b:Tag>
    <b:SourceType>JournalArticle</b:SourceType>
    <b:Guid>{D64ABDFA-7143-470C-8B57-EFE03AE9ADFE}</b:Guid>
    <b:Author>
      <b:Author>
        <b:NameList>
          <b:Person>
            <b:Last>Xu</b:Last>
            <b:First>J.J</b:First>
          </b:Person>
          <b:Person>
            <b:Last>Henstock</b:Last>
            <b:First>P.V</b:First>
          </b:Person>
          <b:Person>
            <b:Last>Dunn</b:Last>
            <b:First>M.C</b:First>
          </b:Person>
          <b:Person>
            <b:Last>Smith</b:Last>
            <b:First>A.R</b:First>
          </b:Person>
          <b:Person>
            <b:Last>Chabot</b:Last>
            <b:First>J.R</b:First>
          </b:Person>
          <b:Person>
            <b:Last>de Graaf</b:Last>
            <b:First>D.</b:First>
          </b:Person>
        </b:NameList>
      </b:Author>
    </b:Author>
    <b:Title>Cellular imaging predictions of clinical drug-induced liver injury</b:Title>
    <b:JournalName>Toxicol Sci.</b:JournalName>
    <b:Year>2008</b:Year>
    <b:Pages>97-105</b:Pages>
    <b:Volume>105</b:Volume>
    <b:Issue>1</b:Issue>
    <b:RefOrder>111</b:RefOrder>
  </b:Source>
  <b:Source>
    <b:Tag>Cha14</b:Tag>
    <b:SourceType>JournalArticle</b:SourceType>
    <b:Guid>{0E817498-1027-4BA3-9D59-14B6F3086681}</b:Guid>
    <b:Author>
      <b:Author>
        <b:NameList>
          <b:Person>
            <b:Last>Chatterjee</b:Last>
            <b:First>S</b:First>
          </b:Person>
          <b:Person>
            <b:Last>Richert</b:Last>
            <b:First>L</b:First>
          </b:Person>
          <b:Person>
            <b:Last>Augustijns</b:Last>
            <b:First>P</b:First>
          </b:Person>
          <b:Person>
            <b:Last>Annaert</b:Last>
            <b:First>P.</b:First>
          </b:Person>
        </b:NameList>
      </b:Author>
    </b:Author>
    <b:Title>Hepatocyte-based in vitro model for assessment of drug-induced cholestasis</b:Title>
    <b:JournalName>Toxicol Appl Pharmacol</b:JournalName>
    <b:Year>2014</b:Year>
    <b:Pages>124-36</b:Pages>
    <b:Volume>274</b:Volume>
    <b:Issue>1</b:Issue>
    <b:RefOrder>130</b:RefOrder>
  </b:Source>
  <b:Source>
    <b:Tag>Rot11</b:Tag>
    <b:SourceType>JournalArticle</b:SourceType>
    <b:Guid>{2732E0DB-2122-4AA7-A360-89D4FE4A8C76}</b:Guid>
    <b:Author>
      <b:Author>
        <b:NameList>
          <b:Person>
            <b:Last>Roth</b:Last>
            <b:First>R.A</b:First>
          </b:Person>
          <b:Person>
            <b:Last>Ganey</b:Last>
            <b:First>P.E.</b:First>
          </b:Person>
        </b:NameList>
      </b:Author>
    </b:Author>
    <b:Title>Animal models of idiosyncratic drug-induced liver injury—Current status</b:Title>
    <b:JournalName>Critical reviews in Toxicology</b:JournalName>
    <b:Year>2011</b:Year>
    <b:Pages>723-739</b:Pages>
    <b:Volume>41</b:Volume>
    <b:Issue>9</b:Issue>
    <b:RefOrder>7</b:RefOrder>
  </b:Source>
  <b:Source>
    <b:Tag>Pet05</b:Tag>
    <b:SourceType>JournalArticle</b:SourceType>
    <b:Guid>{D9C5B8D6-1089-41ED-A8E3-B6DC319E5A14}</b:Guid>
    <b:Author>
      <b:Author>
        <b:NameList>
          <b:Person>
            <b:Last>Peters</b:Last>
            <b:First>T.S.</b:First>
          </b:Person>
        </b:NameList>
      </b:Author>
    </b:Author>
    <b:Title>Do Preclinical Testing Strategies Help Predict Human Hepatotoxic Potentials?</b:Title>
    <b:JournalName>Toxicologic Pathology</b:JournalName>
    <b:Year>2005</b:Year>
    <b:Pages>146-154</b:Pages>
    <b:Volume>33</b:Volume>
    <b:Issue>1</b:Issue>
    <b:RefOrder>8</b:RefOrder>
  </b:Source>
  <b:Source>
    <b:Tag>Sta16</b:Tag>
    <b:SourceType>ArticleInAPeriodical</b:SourceType>
    <b:Guid>{145BFBD3-41AF-4CF7-9BC5-F642E44CA3A6}</b:Guid>
    <b:Title>Maintenance of drug metabolism and transport functions in human precision-cut liver slices during prolonged incubation for 5 days</b:Title>
    <b:JournalName>Arch Toxicol.</b:JournalName>
    <b:Year>2016</b:Year>
    <b:Month>October</b:Month>
    <b:Day>7</b:Day>
    <b:Author>
      <b:Author>
        <b:NameList>
          <b:Person>
            <b:Last>Starokozhk</b:Last>
            <b:First>V</b:First>
          </b:Person>
          <b:Person>
            <b:Last>Vatakuti</b:Last>
            <b:First>S</b:First>
          </b:Person>
          <b:Person>
            <b:Last>Schievink</b:Last>
            <b:First>B.H</b:First>
          </b:Person>
          <b:Person>
            <b:Last>Merema</b:Last>
            <b:First>M.T</b:First>
          </b:Person>
          <b:Person>
            <b:Last>Asplund</b:Last>
            <b:First>A</b:First>
          </b:Person>
          <b:Person>
            <b:Last>Synnergren</b:Last>
            <b:First>J</b:First>
          </b:Person>
          <b:Person>
            <b:Last>Aspegren</b:Last>
            <b:First>A</b:First>
          </b:Person>
          <b:Person>
            <b:Last>Groothuis</b:Last>
            <b:First>G.M.M.</b:First>
          </b:Person>
        </b:NameList>
      </b:Author>
    </b:Author>
    <b:PeriodicalTitle>Arch Toxicol</b:PeriodicalTitle>
    <b:RefOrder>59</b:RefOrder>
  </b:Source>
  <b:Source>
    <b:Tag>Ull06</b:Tag>
    <b:SourceType>JournalArticle</b:SourceType>
    <b:Guid>{2D147C18-E3D3-479D-B188-2AFEE8437493}</b:Guid>
    <b:Author>
      <b:Author>
        <b:NameList>
          <b:Person>
            <b:Last>Ullrich</b:Last>
            <b:First>A</b:First>
          </b:Person>
          <b:Person>
            <b:Last>Berg</b:Last>
            <b:First>C</b:First>
          </b:Person>
          <b:Person>
            <b:Last>Hengstler</b:Last>
            <b:First>I.G</b:First>
          </b:Person>
          <b:Person>
            <b:Last>Runge</b:Last>
            <b:First>D.</b:First>
          </b:Person>
        </b:NameList>
      </b:Author>
    </b:Author>
    <b:Title>Use of a Standardised and Validated Long-term Human Hepatocyte Culture System for Repetitive Analyses of Drugs: Repeated Administrations of Acetaminophen reduces Albumin and Urea Secretion.</b:Title>
    <b:JournalName>Altex</b:JournalName>
    <b:Year>2006</b:Year>
    <b:Pages>35-40</b:Pages>
    <b:Volume>24</b:Volume>
    <b:RefOrder>131</b:RefOrder>
  </b:Source>
  <b:Source>
    <b:Tag>Mas12</b:Tag>
    <b:SourceType>JournalArticle</b:SourceType>
    <b:Guid>{A2E13BEC-3F5C-475D-B1AB-532F5365FA6F}</b:Guid>
    <b:Author>
      <b:Author>
        <b:NameList>
          <b:Person>
            <b:Last>Massart</b:Last>
            <b:First>J</b:First>
          </b:Person>
          <b:Person>
            <b:Last>Robin</b:Last>
            <b:First>M.A</b:First>
          </b:Person>
          <b:Person>
            <b:Last>Noury</b:Last>
            <b:First>F</b:First>
          </b:Person>
          <b:Person>
            <b:Last>Fautrel</b:Last>
            <b:First>A</b:First>
          </b:Person>
          <b:Person>
            <b:Last>Lettéron</b:Last>
            <b:First>P</b:First>
          </b:Person>
          <b:Person>
            <b:Last>Bado</b:Last>
            <b:First>A</b:First>
          </b:Person>
          <b:Person>
            <b:Last>Eliat</b:Last>
            <b:First>P.A</b:First>
          </b:Person>
          <b:Person>
            <b:Last>Fromenty</b:Last>
            <b:First>F.</b:First>
          </b:Person>
        </b:NameList>
      </b:Author>
    </b:Author>
    <b:Title>Pentoxifylline aggravates fatty liver in obese and diabetic ob/ob mice by increasing intestinal glucose absorption and activating hepatic lipogenesis.</b:Title>
    <b:JournalName>Br J Pharmacol</b:JournalName>
    <b:Year>2012</b:Year>
    <b:Pages>1361-1374</b:Pages>
    <b:Volume>165</b:Volume>
    <b:RefOrder>36</b:RefOrder>
  </b:Source>
  <b:Source>
    <b:Tag>Aub12</b:Tag>
    <b:SourceType>JournalArticle</b:SourceType>
    <b:Guid>{2454FBD4-40F8-4940-919A-BA30C8996B0B}</b:Guid>
    <b:Author>
      <b:Author>
        <b:NameList>
          <b:Person>
            <b:Last>Aubert</b:Last>
            <b:First>J</b:First>
          </b:Person>
          <b:Person>
            <b:Last>Begriche</b:Last>
            <b:First>K</b:First>
          </b:Person>
          <b:Person>
            <b:Last>Delannoy</b:Last>
            <b:First>M</b:First>
          </b:Person>
          <b:Person>
            <b:Last>Morel</b:Last>
            <b:First>I</b:First>
          </b:Person>
          <b:Person>
            <b:Last>Pajaud</b:Last>
            <b:First>J</b:First>
          </b:Person>
          <b:Person>
            <b:Last>Ribault</b:Last>
            <b:First>C</b:First>
          </b:Person>
          <b:Person>
            <b:Last>Lepage</b:Last>
            <b:First>S</b:First>
          </b:Person>
          <b:Person>
            <b:Last>M.R</b:Last>
            <b:First>McGill</b:First>
          </b:Person>
          <b:Person>
            <b:Last>Lucas-Clerc</b:Last>
            <b:First>C</b:First>
          </b:Person>
          <b:Person>
            <b:Last>Turlin</b:Last>
            <b:First>B</b:First>
          </b:Person>
          <b:Person>
            <b:Last>Robin</b:Last>
            <b:First>M.A</b:First>
          </b:Person>
          <b:Person>
            <b:Last>Jaeschke</b:Last>
            <b:First>H</b:First>
          </b:Person>
          <b:Person>
            <b:Last>Fromenty</b:Last>
            <b:First>B.</b:First>
          </b:Person>
        </b:NameList>
      </b:Author>
    </b:Author>
    <b:Title>Differences in early acetaminophen hepatotoxicity between obese ob/ob and db/db mice.</b:Title>
    <b:JournalName>J Pharmacol Exp Ther</b:JournalName>
    <b:Year>2012</b:Year>
    <b:Pages>676-687</b:Pages>
    <b:Volume>342</b:Volume>
    <b:RefOrder>37</b:RefOrder>
  </b:Source>
  <b:Source>
    <b:Tag>Ben10</b:Tag>
    <b:SourceType>ArticleInAPeriodical</b:SourceType>
    <b:Guid>{EBF3EDA3-4B84-44FE-B7BD-D0BF9B00BD69}</b:Guid>
    <b:Title>Predicting safety toleration of pharmaceutical chemical leads: Cytotoxicity correlations to exploratory toxicity studies.</b:Title>
    <b:Year>2010</b:Year>
    <b:Author>
      <b:Author>
        <b:NameList>
          <b:Person>
            <b:Last>Benbow</b:Last>
            <b:First>J.W</b:First>
          </b:Person>
          <b:Person>
            <b:Last>Aubrecht</b:Last>
            <b:First>J</b:First>
          </b:Person>
          <b:Person>
            <b:Last>Banker</b:Last>
            <b:First>M.J</b:First>
          </b:Person>
          <b:Person>
            <b:Last>Nettleton</b:Last>
            <b:First>D</b:First>
          </b:Person>
          <b:Person>
            <b:Last>Aleo</b:Last>
            <b:First>M.D.</b:First>
          </b:Person>
        </b:NameList>
      </b:Author>
    </b:Author>
    <b:PeriodicalTitle>Toxicology Letters</b:PeriodicalTitle>
    <b:Pages>175-182</b:Pages>
    <b:LCID>en-GB</b:LCID>
    <b:RefOrder>9</b:RefOrder>
  </b:Source>
  <b:Source>
    <b:Tag>Ong06</b:Tag>
    <b:SourceType>JournalArticle</b:SourceType>
    <b:Guid>{ECF29CA0-5A95-456A-A972-A4A1D5706FA5}</b:Guid>
    <b:Author>
      <b:Author>
        <b:NameList>
          <b:Person>
            <b:Last>Ong</b:Last>
            <b:First>M.M</b:First>
          </b:Person>
          <b:Person>
            <b:Last>Wang</b:Last>
            <b:First>A.S</b:First>
          </b:Person>
          <b:Person>
            <b:Last>Leow</b:Last>
            <b:First>K.Y</b:First>
          </b:Person>
          <b:Person>
            <b:Last>Khoo</b:Last>
            <b:First>Y.M</b:First>
          </b:Person>
          <b:Person>
            <b:Last>Boelsterli</b:Last>
            <b:First>U.A.</b:First>
          </b:Person>
        </b:NameList>
      </b:Author>
    </b:Author>
    <b:Title>Nimesulide-induced hepatic mitochondrial injury in heterologous SOD2(+/-) mice.</b:Title>
    <b:JournalName>Free Radical Biol Med</b:JournalName>
    <b:Year>2006</b:Year>
    <b:Pages>420-429</b:Pages>
    <b:Volume>40</b:Volume>
    <b:RefOrder>45</b:RefOrder>
  </b:Source>
  <b:Source>
    <b:Tag>Lia13</b:Tag>
    <b:SourceType>JournalArticle</b:SourceType>
    <b:Guid>{20819F19-2242-44FA-AD59-50E8DFB8171C}</b:Guid>
    <b:Author>
      <b:Author>
        <b:NameList>
          <b:Person>
            <b:Last>Lianga</b:Last>
            <b:First>C</b:First>
          </b:Person>
          <b:Person>
            <b:Last>Ahmada</b:Last>
            <b:First>K</b:First>
          </b:Person>
          <b:Person>
            <b:Last>Suea</b:Last>
            <b:First>C.M.</b:First>
          </b:Person>
        </b:NameList>
      </b:Author>
    </b:Author>
    <b:Title>The broadening spectrum of mitochondrial disease: Shifts in the diagnostic paradigm </b:Title>
    <b:JournalName>Biochimica et Biophysica Acta (BBA) - General Subjects</b:JournalName>
    <b:Year>2013</b:Year>
    <b:Pages>1360–1367</b:Pages>
    <b:Volume>1840</b:Volume>
    <b:Issue>4</b:Issue>
    <b:RefOrder>39</b:RefOrder>
  </b:Source>
  <b:Source>
    <b:Tag>Ris16</b:Tag>
    <b:SourceType>BookSection</b:SourceType>
    <b:Guid>{B11FBF39-03B7-41E3-A3D4-DD07F37B8744}</b:Guid>
    <b:Author>
      <b:Author>
        <b:NameList>
          <b:Person>
            <b:Last>Riss</b:Last>
            <b:First>T.L</b:First>
          </b:Person>
          <b:Person>
            <b:Last>Moravec</b:Last>
            <b:First>R.A</b:First>
          </b:Person>
          <b:Person>
            <b:Last>Niles</b:Last>
            <b:First>A.L</b:First>
          </b:Person>
          <b:Person>
            <b:Last>Duellman</b:Last>
            <b:First>S</b:First>
          </b:Person>
          <b:Person>
            <b:Last>Benink</b:Last>
            <b:First>H.A</b:First>
          </b:Person>
          <b:Person>
            <b:Last>Worzella</b:Last>
            <b:First>T.J.</b:First>
          </b:Person>
        </b:NameList>
      </b:Author>
      <b:Editor>
        <b:NameList>
          <b:Person>
            <b:Last>Sittampalam</b:Last>
            <b:First>G.S</b:First>
          </b:Person>
          <b:Person>
            <b:Last>Coussens</b:Last>
            <b:First>N.P</b:First>
          </b:Person>
          <b:Person>
            <b:Last>Nelson</b:Last>
            <b:First>H</b:First>
          </b:Person>
          <b:Person>
            <b:Last>al</b:Last>
            <b:First>et</b:First>
          </b:Person>
        </b:NameList>
      </b:Editor>
    </b:Author>
    <b:Title>Cell Viability Assays</b:Title>
    <b:BookTitle>Assay Guidance Manual</b:BookTitle>
    <b:Year>2016</b:Year>
    <b:City>MD</b:City>
    <b:Publisher>Bethesda</b:Publisher>
    <b:RefOrder>105</b:RefOrder>
  </b:Source>
  <b:Source>
    <b:Tag>Dub14</b:Tag>
    <b:SourceType>JournalArticle</b:SourceType>
    <b:Guid>{20144E7E-ABFE-4AF6-91ED-AE3C3B9FF9D9}</b:Guid>
    <b:Title>Inflammatory cytokines promote the retrodifferentiation of tumor-derived hepatocyte-like cells to progenitor cells</b:Title>
    <b:Year>2014</b:Year>
    <b:Pages>2077-2090</b:Pages>
    <b:Author>
      <b:Author>
        <b:NameList>
          <b:Person>
            <b:Last>Dubois-Pot-Schneider</b:Last>
            <b:First>H</b:First>
          </b:Person>
          <b:Person>
            <b:Last>Fekir</b:Last>
            <b:First>K</b:First>
          </b:Person>
          <b:Person>
            <b:Last>Coulouarn</b:Last>
            <b:First>C</b:First>
          </b:Person>
          <b:Person>
            <b:Last>Glaise</b:Last>
            <b:First>D</b:First>
          </b:Person>
          <b:Person>
            <b:Last>Aninat</b:Last>
            <b:First>C</b:First>
          </b:Person>
          <b:Person>
            <b:Last>Jarnouen</b:Last>
            <b:First>K</b:First>
          </b:Person>
          <b:Person>
            <b:Last>Le Guével</b:Last>
            <b:First>R</b:First>
          </b:Person>
          <b:Person>
            <b:Last>Kubo</b:Last>
            <b:First>T</b:First>
          </b:Person>
          <b:Person>
            <b:Last>Ishida</b:Last>
            <b:First>S</b:First>
          </b:Person>
          <b:Person>
            <b:Last>Morel</b:Last>
            <b:First>F</b:First>
          </b:Person>
          <b:Person>
            <b:Last>Corlu</b:Last>
            <b:First>A.</b:First>
          </b:Person>
        </b:NameList>
      </b:Author>
    </b:Author>
    <b:JournalName>Hepatology</b:JournalName>
    <b:Volume>60</b:Volume>
    <b:Issue>6</b:Issue>
    <b:RefOrder>126</b:RefOrder>
  </b:Source>
  <b:Source>
    <b:Tag>Sis15</b:Tag>
    <b:SourceType>JournalArticle</b:SourceType>
    <b:Guid>{8DD634BE-7FDC-4E84-B662-E439B40EE474}</b:Guid>
    <b:Author>
      <b:Author>
        <b:NameList>
          <b:Person>
            <b:Last>Sison-Young</b:Last>
            <b:First>R.L</b:First>
          </b:Person>
          <b:Person>
            <b:Last>Mitsa</b:Last>
            <b:First>D</b:First>
          </b:Person>
          <b:Person>
            <b:Last>Jenkins</b:Last>
            <b:First>R.</b:First>
            <b:Middle>E</b:Middle>
          </b:Person>
          <b:Person>
            <b:Last>Mottram</b:Last>
            <b:First>D</b:First>
          </b:Person>
          <b:Person>
            <b:Last>Alexandre</b:Last>
            <b:First>E</b:First>
          </b:Person>
          <b:Person>
            <b:Last>Richert</b:Last>
            <b:First>L</b:First>
          </b:Person>
          <b:Person>
            <b:Last>Aerts</b:Last>
            <b:First>H</b:First>
          </b:Person>
          <b:Person>
            <b:Last>Weaver</b:Last>
            <b:First>R.J</b:First>
          </b:Person>
          <b:Person>
            <b:Last>Jones</b:Last>
            <b:First>R.P</b:First>
          </b:Person>
          <b:Person>
            <b:Last>Johann</b:Last>
            <b:First>E</b:First>
          </b:Person>
          <b:Person>
            <b:Last>Hewitt</b:Last>
            <b:First>P.G</b:First>
          </b:Person>
          <b:Person>
            <b:Last>Ingelman-Sundberg</b:Last>
            <b:First>M</b:First>
          </b:Person>
          <b:Person>
            <b:Last>Goldring</b:Last>
            <b:First>C.E</b:First>
          </b:Person>
          <b:Person>
            <b:Last>Kitteringham</b:Last>
            <b:First>N.R</b:First>
          </b:Person>
          <b:Person>
            <b:Last>Park</b:Last>
            <b:First>B.K.</b:First>
          </b:Person>
        </b:NameList>
      </b:Author>
    </b:Author>
    <b:Title>Comparative Proteomic Characterization of 4 Human Liver-Derived Single Cell Culture Models Reveals Significant Variation in the Capacity for Drug Disposition, Bioactivation, and Detoxication.</b:Title>
    <b:JournalName>Toxicol Sci. 2015 Oct;147(2):412-24</b:JournalName>
    <b:Year>2015</b:Year>
    <b:Pages>412-424</b:Pages>
    <b:Volume>147</b:Volume>
    <b:Issue>2</b:Issue>
    <b:RefOrder>16</b:RefOrder>
  </b:Source>
  <b:Source>
    <b:Tag>Per16</b:Tag>
    <b:SourceType>ArticleInAPeriodical</b:SourceType>
    <b:Guid>{7B70D21A-350C-49A5-ABE2-AC6B2BD4A172}</b:Guid>
    <b:Title>Advances in Predictive Toxicology for Discovery Safety through High Content Screening.</b:Title>
    <b:JournalName>Chem Res Toxicol. 2016 Oct 21</b:JournalName>
    <b:Year>2016</b:Year>
    <b:Issue>Oct 21</b:Issue>
    <b:Author>
      <b:Author>
        <b:NameList>
          <b:Person>
            <b:Last>Persson</b:Last>
            <b:First>M</b:First>
          </b:Person>
          <b:Person>
            <b:Last>Hornberg</b:Last>
            <b:First>J.J.</b:First>
          </b:Person>
        </b:NameList>
      </b:Author>
    </b:Author>
    <b:PeriodicalTitle>Chem Res Toxicol.  </b:PeriodicalTitle>
    <b:Month>Oct</b:Month>
    <b:Day>21</b:Day>
    <b:RefOrder>13</b:RefOrder>
  </b:Source>
  <b:Source>
    <b:Tag>God13</b:Tag>
    <b:SourceType>JournalArticle</b:SourceType>
    <b:Guid>{E47A62A4-7334-4E21-B3C2-E6B5E1578C76}</b:Guid>
    <b:Title>Recent advances in 2D and 3D in vitro systems using primary hepatocytes, alternative hepatocyte sources and non-parenchymal liver cells and their use in investigating mechanisms of hepatotoxicity, cell signaling and ADME.</b:Title>
    <b:PeriodicalTitle>Recent</b:PeriodicalTitle>
    <b:Year>2013</b:Year>
    <b:Pages>1315-530</b:Pages>
    <b:Author>
      <b:Author>
        <b:NameList>
          <b:Person>
            <b:Last>Godoy</b:Last>
            <b:First>P</b:First>
          </b:Person>
          <b:Person>
            <b:Last>Hewitt</b:Last>
            <b:First>N.J</b:First>
          </b:Person>
          <b:Person>
            <b:Last>Albrecht</b:Last>
            <b:First>U</b:First>
          </b:Person>
          <b:Person>
            <b:Last>Andersen</b:Last>
            <b:First>M.E</b:First>
          </b:Person>
          <b:Person>
            <b:Last>Ansari</b:Last>
            <b:First>N</b:First>
          </b:Person>
          <b:Person>
            <b:Last>Bhattacharya</b:Last>
            <b:First>S</b:First>
          </b:Person>
          <b:Person>
            <b:Last>al.</b:Last>
            <b:First>Et</b:First>
          </b:Person>
        </b:NameList>
      </b:Author>
    </b:Author>
    <b:JournalName>Arch Toxicol. </b:JournalName>
    <b:Volume>87</b:Volume>
    <b:Issue>8</b:Issue>
    <b:RefOrder>3</b:RefOrder>
  </b:Source>
  <b:Source>
    <b:Tag>Lin15</b:Tag>
    <b:SourceType>JournalArticle</b:SourceType>
    <b:Guid>{DD5972FD-6295-4DB8-8818-600A1A6A4EF4}</b:Guid>
    <b:Author>
      <b:Author>
        <b:NameList>
          <b:Person>
            <b:Last>Lin</b:Last>
            <b:First>C</b:First>
          </b:Person>
          <b:Person>
            <b:Last>Ballinger</b:Last>
            <b:First>K.R</b:First>
          </b:Person>
          <b:Person>
            <b:Last>Khetani</b:Last>
            <b:First>S.R.</b:First>
          </b:Person>
        </b:NameList>
      </b:Author>
    </b:Author>
    <b:Title>The application of engineered liver tissues for novel drug discovery.</b:Title>
    <b:JournalName>Expert Opin Drug Discov. </b:JournalName>
    <b:Year>2015  </b:Year>
    <b:Pages>519-40</b:Pages>
    <b:Volume>10 </b:Volume>
    <b:Issue>5</b:Issue>
    <b:RefOrder>5</b:RefOrder>
  </b:Source>
  <b:Source>
    <b:Tag>Pap09</b:Tag>
    <b:SourceType>JournalArticle</b:SourceType>
    <b:Guid>{2359DCE7-D2F0-4A7E-B99E-37F7DD27B34B}</b:Guid>
    <b:Author>
      <b:Author>
        <b:NameList>
          <b:Person>
            <b:Last>Papay</b:Last>
            <b:First>J.I</b:First>
          </b:Person>
          <b:Person>
            <b:Last>Clines</b:Last>
            <b:First>D</b:First>
          </b:Person>
          <b:Person>
            <b:Last>Rafi</b:Last>
            <b:First>R</b:First>
          </b:Person>
          <b:Person>
            <b:Last>Yuen</b:Last>
            <b:First>N</b:First>
          </b:Person>
          <b:Person>
            <b:Last>Britt</b:Last>
            <b:First>S.D</b:First>
          </b:Person>
          <b:Person>
            <b:Last>Walsh</b:Last>
            <b:First>J.S</b:First>
          </b:Person>
          <b:Person>
            <b:Last>Hunt</b:Last>
            <b:First>C.M.</b:First>
          </b:Person>
        </b:NameList>
      </b:Author>
    </b:Author>
    <b:Title>Drug-induced liver injury following positive drug rechallenge</b:Title>
    <b:JournalName>Regulatory Toxicology and Pharmacology</b:JournalName>
    <b:Year>2009</b:Year>
    <b:Pages>84-90</b:Pages>
    <b:Volume>54</b:Volume>
    <b:RefOrder>65</b:RefOrder>
  </b:Source>
  <b:Source>
    <b:Tag>Met14</b:Tag>
    <b:SourceType>JournalArticle</b:SourceType>
    <b:Guid>{B4970F63-EF6C-447E-93C8-A9BAB25CD1C2}</b:Guid>
    <b:Title>Detection of anti-isoniazid and anti-cytochrome P450 antibodies in patients with isoniazid-induced liver failure</b:Title>
    <b:Year>2014</b:Year>
    <b:Pages>1084-1093</b:Pages>
    <b:Author>
      <b:Author>
        <b:NameList>
          <b:Person>
            <b:Last>Metushi</b:Last>
            <b:First>I.G</b:First>
          </b:Person>
          <b:Person>
            <b:Last>Sanders</b:Last>
            <b:First>C</b:First>
          </b:Person>
          <b:Person>
            <b:Last>Lee</b:Last>
            <b:First>W.M</b:First>
          </b:Person>
          <b:Person>
            <b:Last>Uetrecht</b:Last>
            <b:First>J.</b:First>
          </b:Person>
        </b:NameList>
      </b:Author>
    </b:Author>
    <b:JournalName>Hepatology</b:JournalName>
    <b:Volume>59</b:Volume>
    <b:RefOrder>67</b:RefOrder>
  </b:Source>
  <b:Source>
    <b:Tag>Rob16</b:Tag>
    <b:SourceType>JournalArticle</b:SourceType>
    <b:Guid>{5A1C6ED0-B141-40BA-A327-C9EE93964905}</b:Guid>
    <b:Author>
      <b:Author>
        <b:NameList>
          <b:Person>
            <b:Last>Robinson</b:Last>
            <b:First>M.W</b:First>
          </b:Person>
          <b:Person>
            <b:Last>Harmon</b:Last>
            <b:First>C</b:First>
          </b:Person>
          <b:Person>
            <b:Last>O'Farrelly</b:Last>
            <b:First>C.</b:First>
          </b:Person>
        </b:NameList>
      </b:Author>
    </b:Author>
    <b:Title>Liver immunology and its role in inflammation and homeostasis</b:Title>
    <b:PeriodicalTitle>Cellular &amp; olecular Immunology</b:PeriodicalTitle>
    <b:Year>2016</b:Year>
    <b:Pages>267-276</b:Pages>
    <b:JournalName>Cellular &amp; olecular Immunology</b:JournalName>
    <b:Volume>13</b:Volume>
    <b:RefOrder>118</b:RefOrder>
  </b:Source>
  <b:Source>
    <b:Tag>Usu10</b:Tag>
    <b:SourceType>JournalArticle</b:SourceType>
    <b:Guid>{9BC3986C-7F76-42D1-AEA0-42594EF31DF6}</b:Guid>
    <b:Author>
      <b:Author>
        <b:NameList>
          <b:Person>
            <b:Last>Usui</b:Last>
            <b:First>T</b:First>
          </b:Person>
          <b:Person>
            <b:Last>Mise</b:Last>
            <b:First>M</b:First>
          </b:Person>
          <b:Person>
            <b:Last>Hashizume</b:Last>
            <b:First>T</b:First>
          </b:Person>
          <b:Person>
            <b:Last>Yabuki</b:Last>
            <b:First>M</b:First>
          </b:Person>
          <b:Person>
            <b:Last>Komuro</b:Last>
            <b:First>S.</b:First>
          </b:Person>
        </b:NameList>
      </b:Author>
    </b:Author>
    <b:Title>Evaluation of the potential for drug-induced liver injury based on in vitro covalent binding to human liver proteins</b:Title>
    <b:JournalName>Drug Metab Dispos</b:JournalName>
    <b:Year>2009</b:Year>
    <b:Pages>2383-92</b:Pages>
    <b:Volume>37</b:Volume>
    <b:Issue>12</b:Issue>
    <b:RefOrder>102</b:RefOrder>
  </b:Source>
  <b:Source>
    <b:Tag>Ols00</b:Tag>
    <b:SourceType>JournalArticle</b:SourceType>
    <b:Guid>{E500B1FB-7445-4633-AA94-324425B560BA}</b:Guid>
    <b:Author>
      <b:Author>
        <b:NameList>
          <b:Person>
            <b:Last>Olson</b:Last>
            <b:First>H</b:First>
          </b:Person>
          <b:Person>
            <b:Last>Betton</b:Last>
            <b:First>G</b:First>
          </b:Person>
          <b:Person>
            <b:Last>Robinson</b:Last>
            <b:First>D</b:First>
          </b:Person>
          <b:Person>
            <b:Last>Thomas</b:Last>
            <b:First>K</b:First>
          </b:Person>
          <b:Person>
            <b:Last>Monro</b:Last>
            <b:First>A</b:First>
          </b:Person>
          <b:Person>
            <b:Last>Kolaja</b:Last>
            <b:First>G</b:First>
          </b:Person>
          <b:Person>
            <b:Last>Lilly</b:Last>
            <b:First>P</b:First>
          </b:Person>
          <b:Person>
            <b:Last>Sanders</b:Last>
            <b:First>J</b:First>
          </b:Person>
          <b:Person>
            <b:Last>Sipes</b:Last>
            <b:First>G</b:First>
          </b:Person>
          <b:Person>
            <b:Last>Bracken</b:Last>
            <b:First>W</b:First>
          </b:Person>
          <b:Person>
            <b:Last>Dorato</b:Last>
            <b:First>M</b:First>
          </b:Person>
          <b:Person>
            <b:Last>Van Deun</b:Last>
            <b:First>K</b:First>
          </b:Person>
          <b:Person>
            <b:Last>Smith</b:Last>
            <b:First>P</b:First>
          </b:Person>
          <b:Person>
            <b:Last>Berger</b:Last>
            <b:First>B</b:First>
          </b:Person>
          <b:Person>
            <b:Last>Heller</b:Last>
            <b:First>A.</b:First>
          </b:Person>
        </b:NameList>
      </b:Author>
    </b:Author>
    <b:Title>Concordance of the toxicity of pharmaceuticals in humans and in animals.</b:Title>
    <b:JournalName>Regul Toxicol Pharmacol </b:JournalName>
    <b:Year>2000 </b:Year>
    <b:Pages>56-67</b:Pages>
    <b:Volume>32</b:Volume>
    <b:Issue>1</b:Issue>
    <b:RefOrder>2</b:RefOrder>
  </b:Source>
  <b:Source>
    <b:Tag>Hai14</b:Tag>
    <b:SourceType>JournalArticle</b:SourceType>
    <b:Guid>{661A4497-89D9-4982-98E8-B727646E0561}</b:Guid>
    <b:Author>
      <b:Author>
        <b:NameList>
          <b:Person>
            <b:Last>Hailey</b:Last>
            <b:First>J.R</b:First>
          </b:Person>
          <b:Person>
            <b:Last>Nold</b:Last>
            <b:First>J.B</b:First>
          </b:Person>
          <b:Person>
            <b:Last>Brown</b:Last>
            <b:First>R.H</b:First>
          </b:Person>
          <b:Person>
            <b:Last>Cullen</b:Last>
            <b:First>J.M</b:First>
          </b:Person>
          <b:Person>
            <b:Last>Holder</b:Last>
            <b:First>J.C</b:First>
          </b:Person>
          <b:Person>
            <b:Last>Jordan</b:Last>
            <b:First>H.L</b:First>
          </b:Person>
          <b:Person>
            <b:Last>Ennulat</b:Last>
            <b:First>D</b:First>
          </b:Person>
          <b:Person>
            <b:Last>Miller</b:Last>
            <b:First>R.T.</b:First>
          </b:Person>
        </b:NameList>
      </b:Author>
    </b:Author>
    <b:Title>Biliary proliferative lesions in the Sprague-Dawley rat: adverse/non-adverse.</b:Title>
    <b:JournalName>Toxicol Pathol.</b:JournalName>
    <b:Year>2014</b:Year>
    <b:Pages>844-54</b:Pages>
    <b:Volume>42</b:Volume>
    <b:Issue>5</b:Issue>
    <b:RefOrder>52</b:RefOrder>
  </b:Source>
  <b:Source>
    <b:Tag>Mor13</b:Tag>
    <b:SourceType>ArticleInAPeriodical</b:SourceType>
    <b:Guid>{CC3D269E-4C69-4211-9DA3-40E0AEDBCA8F}</b:Guid>
    <b:Title>A Multifactorial Approach to Hepatobiliary Transporter Assessment Enables Improved Therapeutic Compound Development</b:Title>
    <b:Year>2013</b:Year>
    <b:Author>
      <b:Author>
        <b:NameList>
          <b:Person>
            <b:Last>Morgan</b:Last>
            <b:First>R.</b:First>
            <b:Middle>E</b:Middle>
          </b:Person>
          <b:Person>
            <b:Last>van Staden</b:Last>
            <b:First>C.J</b:First>
          </b:Person>
          <b:Person>
            <b:Last>Chen</b:Last>
            <b:First>Y</b:First>
          </b:Person>
          <b:Person>
            <b:Last>Kalyanaraman</b:Last>
            <b:First>N</b:First>
          </b:Person>
          <b:Person>
            <b:Last>Kalanzi</b:Last>
            <b:First>J</b:First>
          </b:Person>
          <b:Person>
            <b:Last>Dunn</b:Last>
            <b:First>R.T</b:First>
          </b:Person>
          <b:Person>
            <b:Last>Afshari</b:Last>
            <b:First>C.A</b:First>
          </b:Person>
          <b:Person>
            <b:Last>Hamadeh</b:Last>
            <b:First>H.K.</b:First>
          </b:Person>
        </b:NameList>
      </b:Author>
    </b:Author>
    <b:PeriodicalTitle>Tox Sciences</b:PeriodicalTitle>
    <b:Month>August</b:Month>
    <b:Day>16</b:Day>
    <b:RefOrder>54</b:RefOrder>
  </b:Source>
  <b:Source>
    <b:Tag>Hor14</b:Tag>
    <b:SourceType>JournalArticle</b:SourceType>
    <b:Guid>{CF038D9B-C5E6-42F2-BCE4-AD396F600B27}</b:Guid>
    <b:Author>
      <b:Author>
        <b:NameList>
          <b:Person>
            <b:Last>Hornby</b:Last>
            <b:First>R.J</b:First>
          </b:Person>
          <b:Person>
            <b:Last>Starkey Lewis</b:Last>
            <b:First>P</b:First>
          </b:Person>
          <b:Person>
            <b:Last>Dear</b:Last>
            <b:First>J</b:First>
          </b:Person>
          <b:Person>
            <b:Last>Goldring</b:Last>
            <b:First>C</b:First>
          </b:Person>
          <b:Person>
            <b:Last>Park</b:Last>
            <b:First>B.K.</b:First>
          </b:Person>
        </b:NameList>
      </b:Author>
    </b:Author>
    <b:Title>MicroRNAs as potential circulating biomarkers of drug-induced liver injury: key current and future issues for translation to humans. </b:Title>
    <b:JournalName> Expert Rev Clin Pharmacol </b:JournalName>
    <b:Year>2014</b:Year>
    <b:Pages>349-62</b:Pages>
    <b:Volume>7</b:Volume>
    <b:RefOrder>81</b:RefOrder>
  </b:Source>
  <b:Source>
    <b:Tag>Zha12</b:Tag>
    <b:SourceType>JournalArticle</b:SourceType>
    <b:Guid>{561C243D-3C3B-404E-BF2E-5C91220B7B22}</b:Guid>
    <b:Author>
      <b:Author>
        <b:NameList>
          <b:Person>
            <b:Last>Zhang</b:Last>
            <b:First>M</b:First>
          </b:Person>
          <b:Person>
            <b:Last>Chen</b:Last>
            <b:First>M</b:First>
          </b:Person>
          <b:Person>
            <b:Last>Tong</b:Last>
            <b:First>W.</b:First>
          </b:Person>
        </b:NameList>
      </b:Author>
    </b:Author>
    <b:Title>Is toxicogenomics a more reliable and sensitive biomarker than conventional indicators from rats to predict drug-induced liver injury in humans? </b:Title>
    <b:JournalName>Chem Res Toxicol  </b:JournalName>
    <b:Year>2012</b:Year>
    <b:Pages>122-9 </b:Pages>
    <b:Volume>25 </b:Volume>
    <b:RefOrder>82</b:RefOrder>
  </b:Source>
  <b:Source>
    <b:Tag>Smi16</b:Tag>
    <b:SourceType>ArticleInAPeriodical</b:SourceType>
    <b:Guid>{1810B88D-8C56-4609-8283-5DE8F5887DE8}</b:Guid>
    <b:Author>
      <b:Author>
        <b:NameList>
          <b:Person>
            <b:Last>Smith</b:Last>
            <b:First>A</b:First>
          </b:Person>
          <b:Person>
            <b:Last>Calley</b:Last>
            <b:First>J</b:First>
          </b:Person>
          <b:Person>
            <b:Last>Mathur</b:Last>
            <b:First>S</b:First>
          </b:Person>
          <b:Person>
            <b:Last>Qian</b:Last>
            <b:First>H.R</b:First>
          </b:Person>
          <b:Person>
            <b:Last>Wu</b:Last>
            <b:First>H</b:First>
          </b:Person>
          <b:Person>
            <b:Last>Farmen</b:Last>
            <b:First>M</b:First>
          </b:Person>
          <b:Person>
            <b:Last>Caiment F4</b:Last>
            <b:First>Bushel</b:First>
            <b:Middle>PR</b:Middle>
          </b:Person>
          <b:Person>
            <b:Last>Li</b:Last>
            <b:First>J</b:First>
          </b:Person>
          <b:Person>
            <b:Last>Fisher</b:Last>
            <b:First>C</b:First>
          </b:Person>
          <b:Person>
            <b:Last>Kirby</b:Last>
            <b:First>P</b:First>
          </b:Person>
          <b:Person>
            <b:Last>Koenig</b:Last>
            <b:First>E</b:First>
          </b:Person>
          <b:Person>
            <b:Last>Hall</b:Last>
            <b:First>D.G</b:First>
          </b:Person>
          <b:Person>
            <b:Last>Watson</b:Last>
            <b:First>D.E.</b:First>
          </b:Person>
        </b:NameList>
      </b:Author>
    </b:Author>
    <b:Title>The Rat microRNA body atlas; Evaluation of the microRNA content of rat organs through deep sequencing and characterization of pancreas enriched miRNAs as biomarkers of pancreatic toxicity in the rat and dog.</b:Title>
    <b:JournalName>BMC Genomics </b:JournalName>
    <b:Year>2016</b:Year>
    <b:Pages>694</b:Pages>
    <b:Volume>17</b:Volume>
    <b:PeriodicalTitle>BMC Genomics</b:PeriodicalTitle>
    <b:Month>Aug</b:Month>
    <b:Day>30</b:Day>
    <b:RefOrder>83</b:RefOrder>
  </b:Source>
  <b:Source>
    <b:Tag>Fis16</b:Tag>
    <b:SourceType>ArticleInAPeriodical</b:SourceType>
    <b:Guid>{D7E32E2B-9E82-4F9F-B313-5A7657D761A8}</b:Guid>
    <b:Author>
      <b:Author>
        <b:NameList>
          <b:Person>
            <b:Last>Fisher</b:Last>
            <b:First>C</b:First>
          </b:Person>
          <b:Person>
            <b:Last>Bernard</b:Last>
            <b:First>H</b:First>
          </b:Person>
          <b:Person>
            <b:Last>Wolenski</b:Last>
            <b:First>F.S</b:First>
          </b:Person>
          <b:Person>
            <b:Last>Gerrein</b:Last>
            <b:First>J</b:First>
          </b:Person>
          <b:Person>
            <b:Last>Carsillo</b:Last>
            <b:First>M</b:First>
          </b:Person>
          <b:Person>
            <b:Last>Gallacher</b:Last>
            <b:First>M</b:First>
          </b:Person>
          <b:Person>
            <b:Last>Tse</b:Last>
            <b:First>A</b:First>
          </b:Person>
          <b:Person>
            <b:Last>Peters</b:Last>
            <b:First>R</b:First>
          </b:Person>
          <b:Person>
            <b:Last>Smith</b:Last>
            <b:First>A</b:First>
          </b:Person>
          <b:Person>
            <b:Last>Meehan</b:Last>
            <b:First>A</b:First>
          </b:Person>
          <b:Person>
            <b:Last>Tirrell</b:Last>
            <b:First>S</b:First>
          </b:Person>
          <b:Person>
            <b:Last>Kirby</b:Last>
            <b:First>P.</b:First>
          </b:Person>
        </b:NameList>
      </b:Author>
    </b:Author>
    <b:Title>The beagle dog MicroRNA tissue atlas: identifying translatable biomarkers of organ toxicity. </b:Title>
    <b:PeriodicalTitle>BMC Gemomics</b:PeriodicalTitle>
    <b:Year>2016</b:Year>
    <b:Month>Nov</b:Month>
    <b:Day>6</b:Day>
    <b:RefOrder>84</b:RefOrder>
  </b:Source>
  <b:Source>
    <b:Tag>Cal12</b:Tag>
    <b:SourceType>JournalArticle</b:SourceType>
    <b:Guid>{9ACCB634-0664-42D3-85C4-CDC1D6129A44}</b:Guid>
    <b:Author>
      <b:Author>
        <b:NameList>
          <b:Person>
            <b:Last>Califano</b:Last>
            <b:First>A</b:First>
          </b:Person>
          <b:Person>
            <b:Last>Butte</b:Last>
            <b:First>A.J</b:First>
          </b:Person>
          <b:Person>
            <b:Last>Friend</b:Last>
            <b:First>S</b:First>
          </b:Person>
          <b:Person>
            <b:Last>Ideker</b:Last>
            <b:First>T</b:First>
          </b:Person>
          <b:Person>
            <b:Last>Schadt</b:Last>
            <b:First>E.</b:First>
          </b:Person>
        </b:NameList>
      </b:Author>
    </b:Author>
    <b:Title>Leveraging models of cell regulation and GWAS data in integrative network-based association studies.</b:Title>
    <b:PeriodicalTitle>Nat Genet 44, 841-7 (2012</b:PeriodicalTitle>
    <b:Year>2012</b:Year>
    <b:Pages>841-847</b:Pages>
    <b:JournalName>Nat Genet  </b:JournalName>
    <b:Volume>44</b:Volume>
    <b:RefOrder>85</b:RefOrder>
  </b:Source>
  <b:Source>
    <b:Tag>Jia15</b:Tag>
    <b:SourceType>JournalArticle</b:SourceType>
    <b:Guid>{65326517-C530-47DD-9080-EAC6457E0BED}</b:Guid>
    <b:Author>
      <b:Author>
        <b:NameList>
          <b:Person>
            <b:Last>Jiang</b:Last>
            <b:First>J</b:First>
          </b:Person>
          <b:Person>
            <b:Last>Wolters</b:Last>
            <b:First>J.E</b:First>
          </b:Person>
          <b:Person>
            <b:Last>van Breda</b:Last>
            <b:First>S.G</b:First>
          </b:Person>
          <b:Person>
            <b:Last>Kleinjans</b:Last>
            <b:First>J.C</b:First>
          </b:Person>
          <b:Person>
            <b:Last>de Kok</b:Last>
            <b:First>T.M.</b:First>
          </b:Person>
        </b:NameList>
      </b:Author>
    </b:Author>
    <b:Title>Development of novel tools for the in vitro investigation of drug-induced liver injury.</b:Title>
    <b:JournalName>Expert Opin Drug Metab Toxicol </b:JournalName>
    <b:Year>2015</b:Year>
    <b:Pages>1523-1523</b:Pages>
    <b:Volume>11</b:Volume>
    <b:RefOrder>87</b:RefOrder>
  </b:Source>
  <b:Source>
    <b:Tag>Sut16</b:Tag>
    <b:SourceType>JournalArticle</b:SourceType>
    <b:Guid>{1BADD26C-2991-4CF8-9814-570F9A6FD53B}</b:Guid>
    <b:Author>
      <b:Author>
        <b:NameList>
          <b:Person>
            <b:Last>Sutherland</b:Last>
            <b:First>J.J</b:First>
          </b:Person>
          <b:Person>
            <b:Last>Jolly</b:Last>
            <b:First>R.A</b:First>
          </b:Person>
          <b:Person>
            <b:Last>Goldstein</b:Last>
            <b:First>K.M</b:First>
          </b:Person>
          <b:Person>
            <b:Last>Stevens</b:Last>
            <b:First>J.L.</b:First>
          </b:Person>
        </b:NameList>
      </b:Author>
    </b:Author>
    <b:Title>Sutherland, J.J., Jolly, R.A., Goldstein, K.M. &amp; Stevens, J.L. Assessing Concordance of Drug-Induced Transcriptional Response in Rodent Liver and Cultured Hepatocytes.</b:Title>
    <b:JournalName>PLoS Comput Biol </b:JournalName>
    <b:Year>2016</b:Year>
    <b:Pages>e1004847</b:Pages>
    <b:Volume>12</b:Volume>
    <b:RefOrder>86</b:RefOrder>
  </b:Source>
  <b:Source>
    <b:Tag>Bro16</b:Tag>
    <b:SourceType>JournalArticle</b:SourceType>
    <b:Guid>{27D95BE3-17F9-4B5C-BFE6-9B50FA7E64A5}</b:Guid>
    <b:Author>
      <b:Author>
        <b:NameList>
          <b:Person>
            <b:Last>Broom</b:Last>
            <b:First>A.J</b:First>
          </b:Person>
          <b:Person>
            <b:Last>Ambroso</b:Last>
            <b:First>J</b:First>
          </b:Person>
          <b:Person>
            <b:Last>Brunori</b:Last>
            <b:First>G</b:First>
          </b:Person>
          <b:Person>
            <b:Last>Burns</b:Last>
            <b:First>A.K</b:First>
          </b:Person>
          <b:Person>
            <b:Last>Armitage</b:Last>
            <b:First>J.R</b:First>
          </b:Person>
          <b:Person>
            <b:Last>Francis</b:Last>
            <b:First>I</b:First>
          </b:Person>
          <b:Person>
            <b:Last>Gandhi</b:Last>
            <b:First>M</b:First>
          </b:Person>
          <b:Person>
            <b:Last>Peterson</b:Last>
            <b:First>R.A</b:First>
          </b:Person>
          <b:Person>
            <b:Last>Gant</b:Last>
            <b:First>T.W</b:First>
          </b:Person>
          <b:Person>
            <b:Last>Boobis</b:Last>
            <b:First>A.R</b:First>
          </b:Person>
          <b:Person>
            <b:Last>Lyon</b:Last>
            <b:First>J.J.</b:First>
          </b:Person>
        </b:NameList>
      </b:Author>
    </b:Author>
    <b:Title>Effects of mid-respiratory chain inhibition on mitochondrial function in vitro and in vivo</b:Title>
    <b:JournalName>Toxicol. Res.</b:JournalName>
    <b:Year>2016</b:Year>
    <b:Pages>136-150</b:Pages>
    <b:Volume>5</b:Volume>
    <b:RefOrder>43</b:RefOrder>
  </b:Source>
  <b:Source>
    <b:Tag>Che14</b:Tag>
    <b:SourceType>JournalArticle</b:SourceType>
    <b:Guid>{A0ED8638-D288-4DAD-9900-D252DE6704F5}</b:Guid>
    <b:Author>
      <b:Author>
        <b:NameList>
          <b:Person>
            <b:Last>Chen</b:Last>
            <b:First>M</b:First>
          </b:Person>
          <b:Person>
            <b:Last>Bisgin</b:Last>
            <b:First>H</b:First>
          </b:Person>
          <b:Person>
            <b:Last>Tong</b:Last>
            <b:First>L</b:First>
          </b:Person>
          <b:Person>
            <b:Last>Hong</b:Last>
            <b:First>H</b:First>
          </b:Person>
          <b:Person>
            <b:Last>Fang</b:Last>
            <b:First>H</b:First>
          </b:Person>
          <b:Person>
            <b:Last>Borlak</b:Last>
            <b:First>J</b:First>
          </b:Person>
          <b:Person>
            <b:Last>Tong</b:Last>
            <b:First>W.</b:First>
          </b:Person>
        </b:NameList>
      </b:Author>
    </b:Author>
    <b:Title>Toward predictive models for drug-induced liver injury in humans: are we there yet?</b:Title>
    <b:JournalName>Biomarkers Med.</b:JournalName>
    <b:Year>2014</b:Year>
    <b:Pages>201-213</b:Pages>
    <b:Volume>8</b:Volume>
    <b:RefOrder>100</b:RefOrder>
  </b:Source>
  <b:Source>
    <b:Tag>Mar16</b:Tag>
    <b:SourceType>JournalArticle</b:SourceType>
    <b:Guid>{F6A52742-CE3A-4E79-B90D-C6650B2E660D}</b:Guid>
    <b:Author>
      <b:Author>
        <b:NameList>
          <b:Person>
            <b:Last>Marx</b:Last>
            <b:First>U</b:First>
          </b:Person>
          <b:Person>
            <b:Last>Andersson</b:Last>
            <b:First>T.B</b:First>
          </b:Person>
          <b:Person>
            <b:Last>Bahinski</b:Last>
            <b:First>A</b:First>
          </b:Person>
          <b:Person>
            <b:Last>Beilmann</b:Last>
            <b:First>M</b:First>
          </b:Person>
          <b:Person>
            <b:Last>Beken</b:Last>
            <b:First>S</b:First>
          </b:Person>
          <b:Person>
            <b:Last>Cassee</b:Last>
            <b:First>F.R</b:First>
          </b:Person>
          <b:Person>
            <b:Last>Cirit</b:Last>
            <b:First>M</b:First>
          </b:Person>
          <b:Person>
            <b:Last>Daneshian</b:Last>
            <b:First>M</b:First>
          </b:Person>
          <b:Person>
            <b:Last>Fitzpatrick</b:Last>
            <b:First>S</b:First>
          </b:Person>
          <b:Person>
            <b:Last>Frey</b:Last>
            <b:First>O</b:First>
          </b:Person>
          <b:Person>
            <b:Last>Gaertner</b:Last>
            <b:First>C</b:First>
          </b:Person>
          <b:Person>
            <b:Last>Giese</b:Last>
            <b:First>C</b:First>
          </b:Person>
          <b:Person>
            <b:Last>Griffith</b:Last>
            <b:First>L</b:First>
          </b:Person>
          <b:Person>
            <b:Last>Hartung</b:Last>
            <b:First>T</b:First>
          </b:Person>
          <b:Person>
            <b:Last>Heringa</b:Last>
            <b:First>M.B</b:First>
          </b:Person>
          <b:Person>
            <b:Last>Hoeng</b:Last>
            <b:First>J</b:First>
          </b:Person>
          <b:Person>
            <b:Last>de Jong</b:Last>
            <b:First>W.H</b:First>
          </b:Person>
          <b:Person>
            <b:Last>Kojima</b:Last>
            <b:First>H</b:First>
          </b:Person>
          <b:Person>
            <b:Last>Kuehnl</b:Last>
            <b:First>J</b:First>
          </b:Person>
          <b:Person>
            <b:Last>Leist</b:Last>
            <b:First>M</b:First>
          </b:Person>
          <b:Person>
            <b:Last>A</b:Last>
            <b:First>Luch</b:First>
          </b:Person>
          <b:Person>
            <b:Last>al.</b:Last>
            <b:First>et</b:First>
          </b:Person>
        </b:NameList>
      </b:Author>
    </b:Author>
    <b:Title>Biology-inspired microphysiological system approaches to solve the prediction dilemma of substance testing.</b:Title>
    <b:JournalName>ALTEX</b:JournalName>
    <b:Year>2016</b:Year>
    <b:Pages>272-321</b:Pages>
    <b:Volume>33</b:Volume>
    <b:Issue>3</b:Issue>
    <b:RefOrder>15</b:RefOrder>
  </b:Source>
  <b:Source>
    <b:Tag>Per141</b:Tag>
    <b:SourceType>JournalArticle</b:SourceType>
    <b:Guid>{128FF457-A22C-4244-B41D-497A7EDAE736}</b:Guid>
    <b:Author>
      <b:Author>
        <b:NameList>
          <b:Person>
            <b:Last>Persson</b:Last>
            <b:First>M</b:First>
          </b:Person>
          <b:Person>
            <b:Last>Løye</b:Last>
            <b:First>A.F</b:First>
          </b:Person>
          <b:Person>
            <b:Last>Jacquet</b:Last>
            <b:First>M</b:First>
          </b:Person>
          <b:Person>
            <b:Last>Mow</b:Last>
            <b:First>N.S</b:First>
          </b:Person>
          <b:Person>
            <b:Last>Thougaard</b:Last>
            <b:First>A.V</b:First>
          </b:Person>
          <b:Person>
            <b:Last>Mow</b:Last>
            <b:First>T</b:First>
          </b:Person>
          <b:Person>
            <b:Last>Hornberg</b:Last>
            <b:First>J.J.</b:First>
          </b:Person>
        </b:NameList>
      </b:Author>
    </b:Author>
    <b:Title>High-Content Analysis/Screening for Predictive Toxicology: Application to Hepatotoxicity and Genotoxicity</b:Title>
    <b:JournalName>Basic clinical pharmacology &amp; Toxicology</b:JournalName>
    <b:Year>2014</b:Year>
    <b:Pages>18-23</b:Pages>
    <b:Volume>115</b:Volume>
    <b:Issue>1</b:Issue>
    <b:RefOrder>117</b:RefOrder>
  </b:Source>
  <b:Source>
    <b:Tag>OBr06a</b:Tag>
    <b:SourceType>JournalArticle</b:SourceType>
    <b:Guid>{D119369E-B07B-4133-B653-648041B2E632}</b:Guid>
    <b:Author>
      <b:Author>
        <b:NameList>
          <b:Person>
            <b:Last>O'Brien</b:Last>
            <b:First>P.J</b:First>
          </b:Person>
          <b:Person>
            <b:Last>Irwin</b:Last>
            <b:First>W</b:First>
          </b:Person>
          <b:Person>
            <b:Last>Diaz</b:Last>
            <b:First>D</b:First>
          </b:Person>
          <b:Person>
            <b:Last>Howard-Cofield</b:Last>
            <b:First>E</b:First>
          </b:Person>
          <b:Person>
            <b:Last>Krejsa</b:Last>
            <b:First>C.M</b:First>
          </b:Person>
          <b:Person>
            <b:Last>Slaughter</b:Last>
            <b:First>M.R</b:First>
          </b:Person>
          <b:Person>
            <b:Last>Gao</b:Last>
            <b:First>B</b:First>
          </b:Person>
          <b:Person>
            <b:Last>Kaludercic</b:Last>
            <b:First>N</b:First>
          </b:Person>
          <b:Person>
            <b:Last>Angeline</b:Last>
            <b:First>A</b:First>
          </b:Person>
          <b:Person>
            <b:Last>Bernardi</b:Last>
            <b:First>P</b:First>
          </b:Person>
          <b:Person>
            <b:Last>Brain</b:Last>
            <b:First>P</b:First>
          </b:Person>
          <b:Person>
            <b:Last>Hougham</b:Last>
            <b:First>C.</b:First>
          </b:Person>
        </b:NameList>
      </b:Author>
    </b:Author>
    <b:Title>High concordance of drug-induced human hepatotoxicity with in vitro cytotoxicity measured in a novel cell-based model using high content screening</b:Title>
    <b:JournalName>Arch Toxicol.  </b:JournalName>
    <b:Year>2006</b:Year>
    <b:Pages>580-604</b:Pages>
    <b:Volume>80</b:Volume>
    <b:Issue>9</b:Issue>
    <b:RefOrder>20</b:RefOrder>
  </b:Source>
  <b:Source>
    <b:Tag>Goh15</b:Tag>
    <b:SourceType>JournalArticle</b:SourceType>
    <b:Guid>{7490DF36-8CCB-42F9-A54F-A230465A19E3}</b:Guid>
    <b:Author>
      <b:Author>
        <b:NameList>
          <b:Person>
            <b:Last>Goh</b:Last>
            <b:First>J-Y</b:First>
          </b:Person>
          <b:Person>
            <b:Last>Weaver</b:Last>
            <b:First>R.J</b:First>
          </b:Person>
          <b:Person>
            <b:Last>Dixon</b:Last>
            <b:First>L</b:First>
          </b:Person>
          <b:Person>
            <b:Last>Platt</b:Last>
            <b:First>N.J</b:First>
          </b:Person>
          <b:Person>
            <b:Last>Roberts</b:Last>
            <b:First>R.A.</b:First>
          </b:Person>
        </b:NameList>
      </b:Author>
    </b:Author>
    <b:Title>Development and use of in vitro alternatives to animal testing by the pharmaceutical industry</b:Title>
    <b:JournalName>Toxicology Research</b:JournalName>
    <b:Year>2015</b:Year>
    <b:Pages>1297-1307</b:Pages>
    <b:Volume>4</b:Volume>
    <b:RefOrder>104</b:RefOrder>
  </b:Source>
  <b:Source>
    <b:Tag>Gol15</b:Tag>
    <b:SourceType>JournalArticle</b:SourceType>
    <b:Guid>{918F2A1D-3AE1-4835-9EC5-543391E89736}</b:Guid>
    <b:Author>
      <b:Author>
        <b:NameList>
          <b:Person>
            <b:Last>Goldring</b:Last>
            <b:First>G</b:First>
          </b:Person>
          <b:Person>
            <b:Last>Norris</b:Last>
            <b:First>A</b:First>
          </b:Person>
          <b:Person>
            <b:Last>Kitteringham</b:Last>
            <b:First>N</b:First>
          </b:Person>
          <b:Person>
            <b:Last>Aleo</b:Last>
            <b:First>M.D</b:First>
          </b:Person>
          <b:Person>
            <b:Last>Antoine</b:Last>
            <b:First>D.J</b:First>
          </b:Person>
          <b:Person>
            <b:Last>Heslop</b:Last>
            <b:First>J</b:First>
          </b:Person>
          <b:Person>
            <b:Last>Howell</b:Last>
            <b:First>Brett</b:First>
            <b:Middle>A.</b:Middle>
          </b:Person>
          <b:Person>
            <b:Last>Ingelman-Sundberg</b:Last>
            <b:First>M</b:First>
          </b:Person>
          <b:Person>
            <b:Last>Kia</b:Last>
            <b:First>R</b:First>
          </b:Person>
          <b:Person>
            <b:Last>Kamalian</b:Last>
            <b:First>L</b:First>
          </b:Person>
          <b:Person>
            <b:Last>Koerbe</b:Last>
            <b:First>S</b:First>
          </b:Person>
          <b:Person>
            <b:Last>al.</b:Last>
            <b:First>et</b:First>
          </b:Person>
        </b:NameList>
      </b:Author>
    </b:Author>
    <b:Title>Mechanism-Based Markers of Drug-Induced Liver Injury to Improve the Physiological Relevance and Predictivity of In Vitro Models</b:Title>
    <b:JournalName>Applied in vitro toxicology</b:JournalName>
    <b:Year>2015</b:Year>
    <b:Pages>175-187</b:Pages>
    <b:Volume>1</b:Volume>
    <b:Issue>3</b:Issue>
    <b:RefOrder>99</b:RefOrder>
  </b:Source>
  <b:Source>
    <b:Tag>Tow15</b:Tag>
    <b:SourceType>JournalArticle</b:SourceType>
    <b:Guid>{7CB226F6-0429-4EAE-93FF-66439C091E1A}</b:Guid>
    <b:Title>Towards depersonalized abacavir therapy: chemical modification eliminates HLA-B*57 : 01-restricted CD8+ T-cell activation</b:Title>
    <b:JournalName>AIDS</b:JournalName>
    <b:Year>2015</b:Year>
    <b:Pages>2385-95</b:Pages>
    <b:Volume>29</b:Volume>
    <b:Issue>18</b:Issue>
    <b:Author>
      <b:Author>
        <b:NameList>
          <b:Person>
            <b:Last>Naisbitt</b:Last>
            <b:First>D.J</b:First>
          </b:Person>
          <b:Person>
            <b:Last>Yang</b:Last>
            <b:First>E.L</b:First>
          </b:Person>
          <b:Person>
            <b:Last>Alhaidari</b:Last>
            <b:First>M</b:First>
          </b:Person>
          <b:Person>
            <b:Last>Berry</b:Last>
            <b:First>N.G</b:First>
          </b:Person>
          <b:Person>
            <b:Last>Lawrenson</b:Last>
            <b:First>A.S</b:First>
          </b:Person>
          <b:Person>
            <b:Last>Farrell</b:Last>
            <b:First>J,</b:First>
          </b:Person>
          <b:Person>
            <b:Last>Martin</b:Last>
            <b:First>P</b:First>
          </b:Person>
          <b:Person>
            <b:Last>Strebel</b:Last>
            <b:First>K</b:First>
          </b:Person>
          <b:Person>
            <b:Last>Owen</b:Last>
            <b:First>A</b:First>
          </b:Person>
          <b:Person>
            <b:Last>Pye</b:Last>
            <b:First>M</b:First>
          </b:Person>
          <b:Person>
            <b:Last>French</b:Last>
            <b:First>N.S</b:First>
          </b:Person>
          <b:Person>
            <b:Last>Clarke</b:Last>
            <b:First>S.E</b:First>
          </b:Person>
          <b:Person>
            <b:Last>O'Neill</b:Last>
            <b:First>P.M</b:First>
          </b:Person>
          <b:Person>
            <b:Last>Park</b:Last>
            <b:First>B.K.</b:First>
          </b:Person>
        </b:NameList>
      </b:Author>
    </b:Author>
    <b:RefOrder>103</b:RefOrder>
  </b:Source>
  <b:Source>
    <b:Tag>Dra16</b:Tag>
    <b:SourceType>JournalArticle</b:SourceType>
    <b:Guid>{E03FFBE6-037C-44E6-95C6-51B23E06F3EB}</b:Guid>
    <b:Author>
      <b:Author>
        <b:NameList>
          <b:Person>
            <b:Last>Dragovic</b:Last>
            <b:First>S</b:First>
          </b:Person>
          <b:Person>
            <b:Last>Vermeulen</b:Last>
            <b:First>N.P.E</b:First>
          </b:Person>
          <b:Person>
            <b:Last>Gerets</b:Last>
            <b:First>H.H</b:First>
          </b:Person>
          <b:Person>
            <b:Last>Hewitt</b:Last>
            <b:First>P.G</b:First>
          </b:Person>
          <b:Person>
            <b:Last>Ingelman‐Sundberg</b:Last>
            <b:First>M</b:First>
          </b:Person>
          <b:Person>
            <b:Last>Park</b:Last>
            <b:First>K</b:First>
          </b:Person>
          <b:Person>
            <b:Last>Juhila</b:Last>
            <b:First>S</b:First>
          </b:Person>
          <b:Person>
            <b:Last>Snoeys</b:Last>
            <b:First>J</b:First>
          </b:Person>
          <b:Person>
            <b:Last>Weaver</b:Last>
            <b:First>R.J.</b:First>
          </b:Person>
        </b:NameList>
      </b:Author>
    </b:Author>
    <b:Title>Evidence‑based selection of training compounds for use in the mechanism‑based integrated prediction of drug‑induced liver injury in man</b:Title>
    <b:JournalName>Arch Toxicol</b:JournalName>
    <b:Year>2016</b:Year>
    <b:Pages>1-25</b:Pages>
    <b:RefOrder>6</b:RefOrder>
  </b:Source>
  <b:Source>
    <b:Tag>LiJ10</b:Tag>
    <b:SourceType>JournalArticle</b:SourceType>
    <b:Guid>{C924B64F-7E62-462A-AE0E-82A2C010C202}</b:Guid>
    <b:Author>
      <b:Author>
        <b:NameList>
          <b:Person>
            <b:Last>Li</b:Last>
            <b:First>J</b:First>
          </b:Person>
          <b:Person>
            <b:Last>Zhu</b:Last>
            <b:First>X</b:First>
          </b:Person>
          <b:Person>
            <b:Last>Liu</b:Last>
            <b:First>F</b:First>
          </b:Person>
          <b:Person>
            <b:Last>Cai</b:Last>
            <b:First>P</b:First>
          </b:Person>
          <b:Person>
            <b:Last>Sanders</b:Last>
            <b:First>C</b:First>
          </b:Person>
          <b:Person>
            <b:Last>Lee</b:Last>
            <b:First>W.M</b:First>
          </b:Person>
          <b:Person>
            <b:Last>Uetrecht</b:Last>
            <b:First>J.</b:First>
          </b:Person>
        </b:NameList>
      </b:Author>
    </b:Author>
    <b:Title>Cytokine and autoantibody patterns in acute liver failure</b:Title>
    <b:JournalName>Journal of immunotoxicology</b:JournalName>
    <b:Year>2010</b:Year>
    <b:Pages>157-164</b:Pages>
    <b:Volume>7</b:Volume>
    <b:RefOrder>123</b:RefOrder>
  </b:Source>
  <b:Source>
    <b:Tag>Tom15</b:Tag>
    <b:SourceType>JournalArticle</b:SourceType>
    <b:Guid>{675E2198-0561-44C8-90FB-D6902F1D3C47}</b:Guid>
    <b:Author>
      <b:Author>
        <b:NameList>
          <b:Person>
            <b:Last>Tomida</b:Last>
            <b:First>T</b:First>
          </b:Person>
          <b:Person>
            <b:Last>Okamura</b:Last>
            <b:First>H</b:First>
          </b:Person>
          <b:Person>
            <b:Last>Satsukawa</b:Last>
            <b:First>M</b:First>
          </b:Person>
          <b:Person>
            <b:Last>Yoko</b:Last>
            <b:First>T</b:First>
          </b:Person>
          <b:Person>
            <b:Last>Konno</b:Last>
            <b:First>Y.</b:First>
          </b:Person>
        </b:NameList>
      </b:Author>
    </b:Author>
    <b:Title>The utility of HepaRG cells as an in vitro cell-based assay system for assessing drug-induced liver injury</b:Title>
    <b:JournalName>Toxicology Letters</b:JournalName>
    <b:Year>2015</b:Year>
    <b:Pages>16-24</b:Pages>
    <b:Volume>236</b:Volume>
    <b:RefOrder>132</b:RefOrder>
  </b:Source>
  <b:Source>
    <b:Tag>Mit07</b:Tag>
    <b:SourceType>JournalArticle</b:SourceType>
    <b:Guid>{6013B06B-BAEC-4A67-871C-A5E7F7FBBA09}</b:Guid>
    <b:Author>
      <b:Author>
        <b:NameList>
          <b:Person>
            <b:Last>Boelsterli</b:Last>
            <b:First>U.A</b:First>
          </b:Person>
          <b:Person>
            <b:Last>Lim</b:Last>
            <b:First>P.L.</b:First>
          </b:Person>
        </b:NameList>
      </b:Author>
    </b:Author>
    <b:Title>Mitochondrial abnormalities a link to idiosyncratic drug hepatoxicity</b:Title>
    <b:JournalName>Toxicol Appl Pharmacol</b:JournalName>
    <b:Year>2007</b:Year>
    <b:Pages>92-107</b:Pages>
    <b:Volume>220</b:Volume>
    <b:Issue>1</b:Issue>
    <b:RefOrder>133</b:RefOrder>
  </b:Source>
  <b:Source>
    <b:Tag>Weg07</b:Tag>
    <b:SourceType>JournalArticle</b:SourceType>
    <b:Guid>{C30D0427-4CAE-40CC-A067-8F80C6688D63}</b:Guid>
    <b:Author>
      <b:Author>
        <b:NameList>
          <b:Person>
            <b:Last>Weglewska-Jurkiewicz</b:Last>
            <b:First>A</b:First>
          </b:Person>
          <b:Person>
            <b:Last>Jakóbkiewicz-Banecka</b:Last>
            <b:First>J</b:First>
          </b:Person>
          <b:Person>
            <b:Last>Pronicka</b:Last>
            <b:First>E</b:First>
          </b:Person>
          <b:Person>
            <b:Last>Wegrzyn</b:Last>
            <b:First>G.</b:First>
          </b:Person>
        </b:NameList>
      </b:Author>
    </b:Author>
    <b:Title>False positive results of mitochondrial DNA depletion/deletion due to single nucleotide substitutions causing appearance of additional PvuII restriction sites.</b:Title>
    <b:JournalName>Diagn Mol Pathol</b:JournalName>
    <b:Year>2007</b:Year>
    <b:Pages>116-120</b:Pages>
    <b:Volume>16</b:Volume>
    <b:Issue>2</b:Issue>
    <b:RefOrder>38</b:RefOrder>
  </b:Source>
  <b:Source>
    <b:Tag>Spr11</b:Tag>
    <b:SourceType>JournalArticle</b:SourceType>
    <b:Guid>{89E4A78F-5921-4A6C-AAFD-DAF5131EE1C5}</b:Guid>
    <b:Author>
      <b:Author>
        <b:NameList>
          <b:Person>
            <b:Last>Spraggs</b:Last>
            <b:First>C.</b:First>
            <b:Middle>F</b:Middle>
          </b:Person>
          <b:Person>
            <b:Last>Budde</b:Last>
            <b:First>L.R</b:First>
          </b:Person>
          <b:Person>
            <b:Last>Briley</b:Last>
            <b:First>L.P</b:First>
          </b:Person>
          <b:Person>
            <b:Last>Bing</b:Last>
            <b:First>N</b:First>
          </b:Person>
          <b:Person>
            <b:Last>Cox</b:Last>
            <b:First>C.J</b:First>
          </b:Person>
          <b:Person>
            <b:Last>King</b:Last>
            <b:First>K.S</b:First>
          </b:Person>
          <b:Person>
            <b:Last>Whittaker</b:Last>
            <b:First>J.C</b:First>
          </b:Person>
          <b:Person>
            <b:Last>Mooser</b:Last>
            <b:First>V.E</b:First>
          </b:Person>
          <b:Person>
            <b:Last>Preston</b:Last>
            <b:First>A.J</b:First>
          </b:Person>
          <b:Person>
            <b:Last>Stein</b:Last>
            <b:First>S.H</b:First>
          </b:Person>
          <b:Person>
            <b:Last>Cardon</b:Last>
            <b:First>L.R.</b:First>
          </b:Person>
        </b:NameList>
      </b:Author>
    </b:Author>
    <b:Title>HLA-DQA1*02:01 is a major risk factor for lapatinib-induced hepatotoxicity in women with advanced breat cancer</b:Title>
    <b:JournalName>J. Clin. Oncol.</b:JournalName>
    <b:Year>2011</b:Year>
    <b:Pages>667-673</b:Pages>
    <b:Volume>29</b:Volume>
    <b:Issue>6</b:Issue>
    <b:RefOrder>71</b:RefOrder>
  </b:Source>
  <b:Source>
    <b:Tag>XuD14</b:Tag>
    <b:SourceType>JournalArticle</b:SourceType>
    <b:Guid>{3A895AA5-0D87-4A80-AEAA-9599C0BE0AEE}</b:Guid>
    <b:Author>
      <b:Author>
        <b:NameList>
          <b:Person>
            <b:Last>Xu</b:Last>
            <b:First>D</b:First>
          </b:Person>
          <b:Person>
            <b:Last>Nishimura</b:Last>
            <b:First>T</b:First>
          </b:Person>
          <b:Person>
            <b:Last>Nishimura</b:Last>
            <b:First>S</b:First>
          </b:Person>
          <b:Person>
            <b:Last>Zhang</b:Last>
            <b:First>H</b:First>
          </b:Person>
          <b:Person>
            <b:Last>Zeng</b:Last>
            <b:First>M</b:First>
          </b:Person>
          <b:Person>
            <b:Last>Guo</b:Last>
            <b:First>Y.Y</b:First>
          </b:Person>
          <b:Person>
            <b:Last>Masek</b:Last>
            <b:First>M</b:First>
          </b:Person>
          <b:Person>
            <b:Last>Michie</b:Last>
            <b:First>M.A</b:First>
          </b:Person>
          <b:Person>
            <b:Last>Glenn</b:Last>
            <b:First>J</b:First>
          </b:Person>
          <b:Person>
            <b:Last>Peltz</b:Last>
            <b:First>P.</b:First>
          </b:Person>
        </b:NameList>
      </b:Author>
    </b:Author>
    <b:Title>Fialuridine Induces Acute Liver Failure in Chimeric TK-NOG Mice: A Model for Detecting Hepatic Drug Toxicity Prior to Human Testing</b:Title>
    <b:JournalName>PLOS Medicine</b:JournalName>
    <b:Year>2014</b:Year>
    <b:Pages>1001628</b:Pages>
    <b:Volume>11</b:Volume>
    <b:Issue>4</b:Issue>
    <b:RefOrder>47</b:RefOrder>
  </b:Source>
  <b:Source>
    <b:Tag>Rob161</b:Tag>
    <b:SourceType>JournalArticle</b:SourceType>
    <b:Guid>{14AA76E2-ACB4-4127-8246-D3CA7EAB67B7}</b:Guid>
    <b:Author>
      <b:Author>
        <b:NameList>
          <b:Person>
            <b:Last>Robles-Diaz</b:Last>
            <b:First>M</b:First>
          </b:Person>
          <b:Person>
            <b:Last>Medina-Caliz</b:Last>
            <b:First>I</b:First>
          </b:Person>
          <b:Person>
            <b:Last>Stephens</b:Last>
            <b:First>C</b:First>
          </b:Person>
          <b:Person>
            <b:Last>Andrade</b:Last>
            <b:First>R.J</b:First>
          </b:Person>
          <b:Person>
            <b:Last>Lucena</b:Last>
            <b:First>M.I.</b:First>
          </b:Person>
        </b:NameList>
      </b:Author>
    </b:Author>
    <b:Title>Biomarkers in DILI One More Step Forward</b:Title>
    <b:PeriodicalTitle>Front Pharmacol 7, 267 (2016).</b:PeriodicalTitle>
    <b:Year>2016</b:Year>
    <b:Pages>267</b:Pages>
    <b:JournalName>Front Pharmacol</b:JournalName>
    <b:Volume>7</b:Volume>
    <b:RefOrder>80</b:RefOrder>
  </b:Source>
  <b:Source>
    <b:Tag>McB06</b:Tag>
    <b:SourceType>JournalArticle</b:SourceType>
    <b:Guid>{EBE82D76-71E1-4ACE-B936-77D31531E60A}</b:Guid>
    <b:Author>
      <b:Author>
        <b:NameList>
          <b:Person>
            <b:Last>McBride</b:Last>
            <b:First>H</b:First>
          </b:Person>
          <b:Person>
            <b:Last>Neuspiel</b:Last>
            <b:First>M</b:First>
          </b:Person>
          <b:Person>
            <b:Last>Wasiak</b:Last>
            <b:First>S.</b:First>
          </b:Person>
        </b:NameList>
      </b:Author>
    </b:Author>
    <b:Title>Mitochondria More Than Just a Powerhouse</b:Title>
    <b:JournalName>Curr Biol</b:JournalName>
    <b:Year>2006</b:Year>
    <b:Pages>551-560</b:Pages>
    <b:Volume>16</b:Volume>
    <b:Issue>14</b:Issue>
    <b:RefOrder>22</b:RefOrder>
  </b:Source>
  <b:Source>
    <b:Tag>Góm14</b:Tag>
    <b:SourceType>JournalArticle</b:SourceType>
    <b:Guid>{9E09A20A-D98A-4780-B1A0-97CEDEB29D81}</b:Guid>
    <b:Author>
      <b:Author>
        <b:NameList>
          <b:Person>
            <b:Last>Gómez-Lechón</b:Last>
            <b:First>M.J</b:First>
          </b:Person>
          <b:Person>
            <b:Last>Tolosa</b:Last>
            <b:First>L</b:First>
          </b:Person>
          <b:Person>
            <b:Last>Conde</b:Last>
            <b:First>I</b:First>
          </b:Person>
          <b:Person>
            <b:Last>Donato</b:Last>
            <b:First>M.T.</b:First>
          </b:Person>
        </b:NameList>
      </b:Author>
    </b:Author>
    <b:Title>Competency of different cell models to predict human hepatotoxic drugs</b:Title>
    <b:JournalName>Expert Opinion Drug Metab Toxicol.</b:JournalName>
    <b:Year>2014</b:Year>
    <b:Pages>1553-68</b:Pages>
    <b:Volume>10</b:Volume>
    <b:Issue>11</b:Issue>
    <b:RefOrder>4</b:RefOrder>
  </b:Source>
  <b:Source>
    <b:Tag>Oge16</b:Tag>
    <b:SourceType>JournalArticle</b:SourceType>
    <b:Guid>{47AD7697-8DCF-4ACE-9AE2-368388595E15}</b:Guid>
    <b:Author>
      <b:Author>
        <b:NameList>
          <b:Person>
            <b:Last>Ogese</b:Last>
            <b:First>M.O</b:First>
          </b:Person>
          <b:Person>
            <b:Last>Ahmed</b:Last>
            <b:First>S</b:First>
          </b:Person>
          <b:Person>
            <b:Last>Alferivic</b:Last>
            <b:First>A</b:First>
          </b:Person>
          <b:Person>
            <b:Last>Betts</b:Last>
            <b:First>C.J</b:First>
          </b:Person>
          <b:Person>
            <b:Last>Dickinson</b:Last>
            <b:First>A</b:First>
          </b:Person>
          <b:Person>
            <b:Last>Faulkner</b:Last>
            <b:First>L</b:First>
          </b:Person>
          <b:Person>
            <b:Last>French</b:Last>
            <b:First>N</b:First>
          </b:Person>
          <b:Person>
            <b:Last>Gibson</b:Last>
            <b:First>A</b:First>
          </b:Person>
          <b:Person>
            <b:Last>Hirschfield</b:Last>
            <b:First>G.</b:First>
            <b:Middle>M</b:Middle>
          </b:Person>
          <b:Person>
            <b:Last>Kammüller</b:Last>
            <b:First>M</b:First>
          </b:Person>
          <b:Person>
            <b:Last>Meng</b:Last>
            <b:First>X</b:First>
          </b:Person>
          <b:Person>
            <b:Last>Martin</b:Last>
            <b:First>S.F</b:First>
          </b:Person>
          <b:Person>
            <b:Last>Musette</b:Last>
            <b:First>P</b:First>
          </b:Person>
          <b:Person>
            <b:Last>Norris</b:Last>
          </b:Person>
          <b:Person>
            <b:Last>al.</b:Last>
            <b:First>et</b:First>
          </b:Person>
        </b:NameList>
      </b:Author>
    </b:Author>
    <b:Title>New Approaches to Investigate Drug-Induced Hypersensitivity</b:Title>
    <b:JournalName>Chemical Research in toxicology</b:JournalName>
    <b:Year>2017</b:Year>
    <b:PeriodicalTitle>Chem. Res. Toxicology</b:PeriodicalTitle>
    <b:Month>November</b:Month>
    <b:Day>2</b:Day>
    <b:Pages>239–259</b:Pages>
    <b:Volume>30</b:Volume>
    <b:Issue>1</b:Issue>
    <b:RefOrder>66</b:RefOrder>
  </b:Source>
  <b:Source>
    <b:Tag>Sha07</b:Tag>
    <b:SourceType>JournalArticle</b:SourceType>
    <b:Guid>{AB04D4E7-A909-4FD8-A824-AE7C9FBFAED3}</b:Guid>
    <b:Author>
      <b:Author>
        <b:NameList>
          <b:Person>
            <b:Last>Shaw</b:Last>
            <b:First>P.J</b:First>
          </b:Person>
          <b:Person>
            <b:Last>Hopfensperger</b:Last>
            <b:First>M.J</b:First>
          </b:Person>
          <b:Person>
            <b:Last>Ganey</b:Last>
            <b:First>P.E</b:First>
          </b:Person>
          <b:Person>
            <b:Last>Roth</b:Last>
            <b:First>R.A.</b:First>
          </b:Person>
        </b:NameList>
      </b:Author>
    </b:Author>
    <b:Title>Lipopolysaccharide and trovafloxacin coexposure in mice causes idiosyncrasy-like liver injury dependent on tumor necrosis factor-alpha.</b:Title>
    <b:JournalName>Toxicol. Sci.</b:JournalName>
    <b:Year>2007</b:Year>
    <b:Pages>259–266</b:Pages>
    <b:Volume>100</b:Volume>
    <b:Issue>1</b:Issue>
    <b:RefOrder>75</b:RefOrder>
  </b:Source>
  <b:Source>
    <b:Tag>Cha15</b:Tag>
    <b:SourceType>JournalArticle</b:SourceType>
    <b:Guid>{714B3A34-7423-42C6-AF8B-38BC1649CDA7}</b:Guid>
    <b:Author>
      <b:Author>
        <b:NameList>
          <b:Person>
            <b:Last>Chakraborty</b:Last>
            <b:First>M</b:First>
          </b:Person>
          <b:Person>
            <b:Last>Fullerton</b:Last>
            <b:First>A.</b:First>
            <b:Middle>M</b:Middle>
          </b:Person>
          <b:Person>
            <b:Last>Semple</b:Last>
            <b:First>K</b:First>
          </b:Person>
          <b:Person>
            <b:Last>Chea</b:Last>
            <b:First>L.</b:First>
            <b:Middle>S</b:Middle>
          </b:Person>
          <b:Person>
            <b:Last>Proctor</b:Last>
            <b:First>W.</b:First>
            <b:Middle>R</b:Middle>
          </b:Person>
          <b:Person>
            <b:Last>Bourdi</b:Last>
            <b:First>M</b:First>
          </b:Person>
          <b:Person>
            <b:Last>Kleiner</b:Last>
            <b:First>D.</b:First>
            <b:Middle>E</b:Middle>
          </b:Person>
          <b:Person>
            <b:Last>Zeng</b:Last>
            <b:First>X</b:First>
          </b:Person>
          <b:Person>
            <b:Last>Ryan</b:Last>
            <b:First>P.</b:First>
            <b:Middle>M</b:Middle>
          </b:Person>
          <b:Person>
            <b:Last>Dagur</b:Last>
            <b:First>P.</b:First>
            <b:Middle>K</b:Middle>
          </b:Person>
          <b:Person>
            <b:Last>Berkson</b:Last>
            <b:First>J.</b:First>
            <b:Middle>D</b:Middle>
          </b:Person>
          <b:Person>
            <b:Last>Reilly</b:Last>
            <b:First>T.</b:First>
            <b:Middle>P</b:Middle>
          </b:Person>
          <b:Person>
            <b:Last>Pohl</b:Last>
            <b:First>L.</b:First>
            <b:Middle>R.</b:Middle>
          </b:Person>
        </b:NameList>
      </b:Author>
    </b:Author>
    <b:Title>Drug-induced allergic hepatitis develops in mice when myeloid-derived suppressor cells are depleted prior to halothane treatment.</b:Title>
    <b:JournalName>Hepatology</b:JournalName>
    <b:Year>2015</b:Year>
    <b:Pages>546-557</b:Pages>
    <b:Volume>62</b:Volume>
    <b:Issue>2</b:Issue>
    <b:RefOrder>78</b:RefOrder>
  </b:Source>
  <b:Source>
    <b:Tag>War06</b:Tag>
    <b:SourceType>JournalArticle</b:SourceType>
    <b:Guid>{79FB585A-0947-4A55-9D17-4CF9D46EA7F4}</b:Guid>
    <b:Author>
      <b:Author>
        <b:NameList>
          <b:Person>
            <b:Last>Waring</b:Last>
            <b:First>J.F</b:First>
          </b:Person>
          <b:Person>
            <b:Last>Liguori</b:Last>
            <b:First>M.J</b:First>
          </b:Person>
          <b:Person>
            <b:Last>Luyendyk</b:Last>
            <b:First>J.P</b:First>
          </b:Person>
          <b:Person>
            <b:Last>Maddox</b:Last>
            <b:First>J.F</b:First>
          </b:Person>
          <b:Person>
            <b:Last>Ganey</b:Last>
            <b:First>P.E</b:First>
          </b:Person>
          <b:Person>
            <b:Last>Stachlewitz</b:Last>
            <b:First>R.F</b:First>
          </b:Person>
          <b:Person>
            <b:Last>North</b:Last>
            <b:First>C</b:First>
          </b:Person>
          <b:Person>
            <b:Last>Blomme</b:Last>
            <b:First>E.A</b:First>
          </b:Person>
          <b:Person>
            <b:Last>Roth</b:Last>
            <b:First>R.A.</b:First>
          </b:Person>
        </b:NameList>
      </b:Author>
    </b:Author>
    <b:Title>Microarray analysis of liopolysaccaride potentiation of trovafloxacin-induced liver proinflammatory chemokines and neutrophils.</b:Title>
    <b:JournalName>J Pharmacol Exp Ther.</b:JournalName>
    <b:Year>2006</b:Year>
    <b:Pages>1080-1087</b:Pages>
    <b:Volume>316</b:Volume>
    <b:Issue>3</b:Issue>
    <b:RefOrder>76</b:RefOrder>
  </b:Source>
  <b:Source>
    <b:Tag>Ale14</b:Tag>
    <b:SourceType>JournalArticle</b:SourceType>
    <b:Guid>{DFE90461-AB34-4254-8CEE-27E8EE3FAA4E}</b:Guid>
    <b:Author>
      <b:Author>
        <b:NameList>
          <b:Person>
            <b:Last>Aleo</b:Last>
            <b:First>M.</b:First>
            <b:Middle>D</b:Middle>
          </b:Person>
          <b:Person>
            <b:Last>Luo</b:Last>
            <b:First>Y</b:First>
          </b:Person>
          <b:Person>
            <b:Last>Swiss</b:Last>
            <b:First>R</b:First>
          </b:Person>
          <b:Person>
            <b:Last>Bonin</b:Last>
            <b:First>P.</b:First>
            <b:Middle>D</b:Middle>
          </b:Person>
          <b:Person>
            <b:Last>Potter</b:Last>
            <b:First>D.</b:First>
            <b:Middle>M</b:Middle>
          </b:Person>
          <b:Person>
            <b:Last>Will</b:Last>
            <b:First>Y.</b:First>
          </b:Person>
        </b:NameList>
      </b:Author>
    </b:Author>
    <b:Title>Human drug-induced liver injury severity is highly associated with dual inhibition of liver mitochondrial function and bile salt export pump</b:Title>
    <b:JournalName>Hepatology</b:JournalName>
    <b:Year>2014</b:Year>
    <b:Pages>1015-1022</b:Pages>
    <b:Volume>60</b:Volume>
    <b:Issue>3</b:Issue>
    <b:RefOrder>41</b:RefOrder>
  </b:Source>
  <b:Source>
    <b:Tag>Beg11</b:Tag>
    <b:SourceType>JournalArticle</b:SourceType>
    <b:Guid>{9C02BF88-15D5-4750-9EA9-39A7C3144829}</b:Guid>
    <b:Author>
      <b:Author>
        <b:NameList>
          <b:Person>
            <b:Last>Begriche</b:Last>
            <b:First>K</b:First>
          </b:Person>
          <b:Person>
            <b:Last>Massart</b:Last>
            <b:First>J</b:First>
          </b:Person>
          <b:Person>
            <b:Last>Robin</b:Last>
            <b:First>M.A</b:First>
          </b:Person>
          <b:Person>
            <b:Last>Borgne-Sanchez</b:Last>
            <b:First>A</b:First>
          </b:Person>
          <b:Person>
            <b:Last>Fromenty</b:Last>
            <b:First>B.</b:First>
          </b:Person>
        </b:NameList>
      </b:Author>
    </b:Author>
    <b:Title>Drug-induced toxicity on mitochondria and lipid metabolism: mechanistic diversity and deleterious consequences for the liver.</b:Title>
    <b:JournalName>J Hepatol.</b:JournalName>
    <b:Year>2011</b:Year>
    <b:Pages>773-794</b:Pages>
    <b:Volume>54</b:Volume>
    <b:Issue>4</b:Issue>
    <b:RefOrder>27</b:RefOrder>
  </b:Source>
  <b:Source>
    <b:Tag>Abr08</b:Tag>
    <b:SourceType>JournalArticle</b:SourceType>
    <b:Guid>{C2EF2B3F-D73F-4C39-885E-DEE8FD5A1F6E}</b:Guid>
    <b:Author>
      <b:Author>
        <b:NameList>
          <b:Person>
            <b:Last>Abraham</b:Last>
            <b:First>V.C</b:First>
          </b:Person>
          <b:Person>
            <b:Last>Towne</b:Last>
            <b:First>D.L</b:First>
          </b:Person>
          <b:Person>
            <b:Last>Waring</b:Last>
            <b:First>J.</b:First>
            <b:Middle>F</b:Middle>
          </b:Person>
          <b:Person>
            <b:Last>Warrior</b:Last>
            <b:First>U</b:First>
          </b:Person>
          <b:Person>
            <b:Last>Burns</b:Last>
            <b:First>D.J.</b:First>
          </b:Person>
        </b:NameList>
      </b:Author>
    </b:Author>
    <b:Title>Application of a high-content multiparameter cytotoxicity assay to prioritize compounds based on toxicity potential in humans.</b:Title>
    <b:JournalName>J biomed Screen</b:JournalName>
    <b:Year>2008</b:Year>
    <b:Pages>527-537</b:Pages>
    <b:Volume>13</b:Volume>
    <b:Issue>6</b:Issue>
    <b:RefOrder>10</b:RefOrder>
  </b:Source>
  <b:Source>
    <b:Tag>Per13</b:Tag>
    <b:SourceType>JournalArticle</b:SourceType>
    <b:Guid>{930447B9-80BC-4108-97B0-724AFFB81C63}</b:Guid>
    <b:Author>
      <b:Author>
        <b:NameList>
          <b:Person>
            <b:Last>Persson</b:Last>
            <b:First>M</b:First>
          </b:Person>
          <b:Person>
            <b:Last>Loye</b:Last>
            <b:First>A.F</b:First>
          </b:Person>
          <b:Person>
            <b:Last>Mow</b:Last>
            <b:First>T</b:First>
          </b:Person>
          <b:Person>
            <b:Last>Hornberg</b:Last>
            <b:First>J.J.</b:First>
          </b:Person>
        </b:NameList>
      </b:Author>
    </b:Author>
    <b:Title>A high content screening assay to predict human drug-induced liver injury during drug discovery</b:Title>
    <b:JournalName>J.Pharmacol.Toxicol.Methods</b:JournalName>
    <b:Year>2013</b:Year>
    <b:Pages>302-313</b:Pages>
    <b:Volume>68</b:Volume>
    <b:Issue>3</b:Issue>
    <b:RefOrder>11</b:RefOrder>
  </b:Source>
  <b:Source>
    <b:Tag>Haa08</b:Tag>
    <b:SourceType>JournalArticle</b:SourceType>
    <b:Guid>{1809039A-CCC7-4FBD-829E-843A0D58F56B}</b:Guid>
    <b:Author>
      <b:Author>
        <b:NameList>
          <b:Person>
            <b:Last>Haas</b:Last>
            <b:First>R.H</b:First>
          </b:Person>
          <b:Person>
            <b:Last>Parikh</b:Last>
            <b:First>S</b:First>
          </b:Person>
          <b:Person>
            <b:Last>Falk</b:Last>
            <b:First>M.J</b:First>
          </b:Person>
          <b:Person>
            <b:Last>Saneto</b:Last>
            <b:First>R.P</b:First>
          </b:Person>
          <b:Person>
            <b:Last>Wolf</b:Last>
            <b:First>N.I</b:First>
          </b:Person>
          <b:Person>
            <b:Last>Darin</b:Last>
            <b:First>N</b:First>
          </b:Person>
          <b:Person>
            <b:Last>Wong</b:Last>
            <b:First>L.J</b:First>
          </b:Person>
          <b:Person>
            <b:Last>Cohen</b:Last>
            <b:First>B.H</b:First>
          </b:Person>
          <b:Person>
            <b:Last>Naviaux</b:Last>
            <b:First>R.K.</b:First>
          </b:Person>
        </b:NameList>
      </b:Author>
    </b:Author>
    <b:Title>The in-depth evaluation of suspected mitochondrial disease.</b:Title>
    <b:JournalName>Mol Genet Metab</b:JournalName>
    <b:Year>2008</b:Year>
    <b:Pages>16-37</b:Pages>
    <b:Volume>94</b:Volume>
    <b:Issue>1</b:Issue>
    <b:RefOrder>40</b:RefOrder>
  </b:Source>
  <b:Source>
    <b:Tag>Vat16</b:Tag>
    <b:SourceType>ArticleInAPeriodical</b:SourceType>
    <b:Guid>{6892E9A0-7236-4109-A720-CBC4C138B3D6}</b:Guid>
    <b:Author>
      <b:Author>
        <b:NameList>
          <b:Person>
            <b:Last>Vatakuti</b:Last>
            <b:First>S</b:First>
          </b:Person>
          <b:Person>
            <b:Last>Pennings</b:Last>
            <b:First>J.L</b:First>
          </b:Person>
          <b:Person>
            <b:Last>Gore</b:Last>
            <b:First>E</b:First>
          </b:Person>
          <b:Person>
            <b:Last>Olinga</b:Last>
            <b:First>P</b:First>
          </b:Person>
          <b:Person>
            <b:Last>Groothuis</b:Last>
            <b:First>G.M.</b:First>
          </b:Person>
        </b:NameList>
      </b:Author>
    </b:Author>
    <b:Title>Classification of Cholestatic and Necrotic Hepatotoxicants Using Transcriptomics on Human Precision-Cut Liver Slices.</b:Title>
    <b:JournalName>Chem Res Toxicol;</b:JournalName>
    <b:Year>2016</b:Year>
    <b:Pages>342-351</b:Pages>
    <b:PeriodicalTitle>Chem REs Toxicol</b:PeriodicalTitle>
    <b:Month>March</b:Month>
    <b:Day>9</b:Day>
    <b:RefOrder>60</b:RefOrder>
  </b:Source>
  <b:Source>
    <b:Tag>Par</b:Tag>
    <b:SourceType>JournalArticle</b:SourceType>
    <b:Guid>{82AC219D-E007-4D76-8DBC-0DE8D24B7263}</b:Guid>
    <b:Author>
      <b:Author>
        <b:NameList>
          <b:Person>
            <b:Last>Park</b:Last>
            <b:First>B.K</b:First>
          </b:Person>
          <b:Person>
            <b:Last>Boobis</b:Last>
            <b:First>A</b:First>
          </b:Person>
          <b:Person>
            <b:Last>Clarke</b:Last>
            <b:First>S</b:First>
          </b:Person>
          <b:Person>
            <b:Last>Goldring</b:Last>
            <b:First>C.E</b:First>
          </b:Person>
          <b:Person>
            <b:Last>Jones</b:Last>
            <b:First>D</b:First>
          </b:Person>
          <b:Person>
            <b:Last>Kenna</b:Last>
            <b:First>J.G</b:First>
          </b:Person>
          <b:Person>
            <b:Last>Lambert</b:Last>
            <b:First>C</b:First>
          </b:Person>
          <b:Person>
            <b:Last>Laverty</b:Last>
            <b:First>H.G</b:First>
          </b:Person>
          <b:Person>
            <b:Last>Naisbitt</b:Last>
            <b:First>D.J</b:First>
          </b:Person>
          <b:Person>
            <b:Last>Nelson</b:Last>
            <b:First>S</b:First>
          </b:Person>
          <b:Person>
            <b:Last>Nicoll-Griffith</b:Last>
            <b:First>D.A</b:First>
          </b:Person>
          <b:Person>
            <b:Last>Obach</b:Last>
            <b:First>R.S</b:First>
          </b:Person>
          <b:Person>
            <b:Last>Routledge</b:Last>
            <b:First>P</b:First>
          </b:Person>
          <b:Person>
            <b:Last>Smith</b:Last>
            <b:First>D.A</b:First>
          </b:Person>
          <b:Person>
            <b:Last>Tweedie</b:Last>
            <b:First>D.J</b:First>
          </b:Person>
          <b:Person>
            <b:Last>Vermeulen</b:Last>
            <b:First>N</b:First>
          </b:Person>
          <b:Person>
            <b:Last>Williams</b:Last>
            <b:First>D.P</b:First>
          </b:Person>
          <b:Person>
            <b:Last>Wilson</b:Last>
            <b:First>I.D</b:First>
          </b:Person>
          <b:Person>
            <b:Last>Baillie</b:Last>
            <b:First>T.A.</b:First>
          </b:Person>
        </b:NameList>
      </b:Author>
    </b:Author>
    <b:Title>Managing the challenge of chemically reactive metabolites in drug development.</b:Title>
    <b:PeriodicalTitle>Nat Rev Drug Discovery</b:PeriodicalTitle>
    <b:Year>2011</b:Year>
    <b:Pages>292-306</b:Pages>
    <b:JournalName>Nat Rev Drug Discovery</b:JournalName>
    <b:Volume>10</b:Volume>
    <b:Issue>4</b:Issue>
    <b:RefOrder>88</b:RefOrder>
  </b:Source>
  <b:Source>
    <b:Tag>Tho12</b:Tag>
    <b:SourceType>JournalArticle</b:SourceType>
    <b:Guid>{977B5DFB-1ADC-4D15-BEF9-B93FDE514D9A}</b:Guid>
    <b:Author>
      <b:Author>
        <b:NameList>
          <b:Person>
            <b:Last>Thompson</b:Last>
            <b:First>R.A</b:First>
          </b:Person>
          <b:Person>
            <b:Last>Isin</b:Last>
            <b:First>E</b:First>
          </b:Person>
          <b:Person>
            <b:Last>M</b:Last>
          </b:Person>
          <b:Person>
            <b:Last>Li</b:Last>
            <b:First>Y</b:First>
          </b:Person>
          <b:Person>
            <b:Last>Weidolf</b:Last>
            <b:First>L</b:First>
          </b:Person>
          <b:Person>
            <b:Last>Page</b:Last>
            <b:First>K</b:First>
          </b:Person>
          <b:Person>
            <b:Last>Wilson</b:Last>
            <b:First>I</b:First>
          </b:Person>
          <b:Person>
            <b:Last>Swallow</b:Last>
            <b:First>S</b:First>
          </b:Person>
          <b:Person>
            <b:Last>Middleton</b:Last>
            <b:First>B</b:First>
          </b:Person>
          <b:Person>
            <b:Last>Stahl</b:Last>
            <b:First>S</b:First>
          </b:Person>
          <b:Person>
            <b:Last>Foster</b:Last>
            <b:First>A.J</b:First>
          </b:Person>
          <b:Person>
            <b:Last>Dolgos</b:Last>
            <b:First>H</b:First>
          </b:Person>
          <b:Person>
            <b:Last>Weaver</b:Last>
            <b:First>R</b:First>
          </b:Person>
          <b:Person>
            <b:Last>Kenna</b:Last>
            <b:First>J.G.</b:First>
          </b:Person>
        </b:NameList>
      </b:Author>
    </b:Author>
    <b:Title>in vitro appraoched to assess the potential for risk of idiosynratic adverse reactions caused by candidate drugs.</b:Title>
    <b:JournalName>Chem Res Toxicol</b:JournalName>
    <b:Year>2012</b:Year>
    <b:Pages>1616-1632</b:Pages>
    <b:Volume>25</b:Volume>
    <b:Issue>8</b:Issue>
    <b:RefOrder>89</b:RefOrder>
  </b:Source>
  <b:Source>
    <b:Tag>Sak12</b:Tag>
    <b:SourceType>JournalArticle</b:SourceType>
    <b:Guid>{F150FB14-A24C-40A3-99EF-2D28AD61723E}</b:Guid>
    <b:Author>
      <b:Author>
        <b:NameList>
          <b:Person>
            <b:Last>Sakatis</b:Last>
            <b:First>M.Z</b:First>
          </b:Person>
          <b:Person>
            <b:Last>Reese</b:Last>
            <b:First>M.J</b:First>
          </b:Person>
          <b:Person>
            <b:Last>Harrell</b:Last>
            <b:First>A.W</b:First>
          </b:Person>
          <b:Person>
            <b:Last>Taylor</b:Last>
            <b:First>M.A</b:First>
          </b:Person>
          <b:Person>
            <b:Last>Baines</b:Last>
            <b:First>I.A</b:First>
          </b:Person>
          <b:Person>
            <b:Last>Chen</b:Last>
            <b:First>L</b:First>
          </b:Person>
          <b:Person>
            <b:Last>Bloomer</b:Last>
            <b:First>J.C</b:First>
          </b:Person>
          <b:Person>
            <b:Last>Yang</b:Last>
            <b:First>E.Y</b:First>
          </b:Person>
          <b:Person>
            <b:Last>Ellens</b:Last>
            <b:First>H.M</b:First>
          </b:Person>
          <b:Person>
            <b:Last>Ambroso</b:Last>
            <b:First>J.L</b:First>
          </b:Person>
          <b:Person>
            <b:Last>Lovatt</b:Last>
            <b:First>C.A</b:First>
          </b:Person>
          <b:Person>
            <b:Last>Ayrton</b:Last>
            <b:First>A.D</b:First>
          </b:Person>
          <b:Person>
            <b:Last>Clarke</b:Last>
            <b:First>S.E.</b:First>
          </b:Person>
        </b:NameList>
      </b:Author>
    </b:Author>
    <b:Title>preclinical stratergy to reduce clinical hepatotoxicity using in vitro bioactivation data for 200 compounds.</b:Title>
    <b:JournalName>Chem REs Toxicol</b:JournalName>
    <b:Year>2012</b:Year>
    <b:Pages>2067-2082</b:Pages>
    <b:Volume>25</b:Volume>
    <b:Issue>10</b:Issue>
    <b:RefOrder>92</b:RefOrder>
  </b:Source>
  <b:Source>
    <b:Tag>Nak09</b:Tag>
    <b:SourceType>JournalArticle</b:SourceType>
    <b:Guid>{F0E2AA79-BAAB-4B29-98C1-03873DEE3E6C}</b:Guid>
    <b:Author>
      <b:Author>
        <b:NameList>
          <b:Person>
            <b:Last>Nakayama</b:Last>
            <b:First>S</b:First>
          </b:Person>
          <b:Person>
            <b:Last>Atsumi</b:Last>
            <b:First>R</b:First>
          </b:Person>
          <b:Person>
            <b:Last>Takakusa</b:Last>
            <b:First>H</b:First>
          </b:Person>
          <b:Person>
            <b:Last>Kobayashi</b:Last>
            <b:First>Y</b:First>
          </b:Person>
          <b:Person>
            <b:Last>Kurihara</b:Last>
            <b:First>A</b:First>
          </b:Person>
          <b:Person>
            <b:Last>Nagai</b:Last>
            <b:First>Y</b:First>
          </b:Person>
          <b:Person>
            <b:Last>Nakai</b:Last>
            <b:First>D</b:First>
          </b:Person>
          <b:Person>
            <b:Last>Okazaki</b:Last>
            <b:First>O.</b:First>
          </b:Person>
        </b:NameList>
      </b:Author>
    </b:Author>
    <b:Title>A zone classification system for risk assessment of idiosyncratic drug toxicity using daily dose and covalent binding.</b:Title>
    <b:JournalName>Drug Met Dispos.</b:JournalName>
    <b:Year>2009</b:Year>
    <b:Pages>1970-1977</b:Pages>
    <b:Volume>37</b:Volume>
    <b:RefOrder>90</b:RefOrder>
  </b:Source>
  <b:Source>
    <b:Tag>Oba08</b:Tag>
    <b:SourceType>JournalArticle</b:SourceType>
    <b:Guid>{8C753691-41E8-4A85-9170-E90C70A67ADC}</b:Guid>
    <b:Author>
      <b:Author>
        <b:NameList>
          <b:Person>
            <b:Last>Obach</b:Last>
            <b:First>R.S</b:First>
          </b:Person>
          <b:Person>
            <b:Last>Kalgutkar</b:Last>
            <b:First>A.S</b:First>
          </b:Person>
          <b:Person>
            <b:Last>Soglia</b:Last>
            <b:First>J.R</b:First>
          </b:Person>
          <b:Person>
            <b:Last>Zhao</b:Last>
            <b:First>S.X.</b:First>
          </b:Person>
        </b:NameList>
      </b:Author>
    </b:Author>
    <b:Title>Can in vitro metabolism-dependent covalent binding data in liver microsomes distinguish hepatotoxic from non-hepatotoxic drugs? An analysis of 18 drugs with consideration of intrinsic clearnace and daily dose.</b:Title>
    <b:JournalName>Chem Res Toxicol</b:JournalName>
    <b:Year>2008</b:Year>
    <b:Pages>1814-1822</b:Pages>
    <b:Volume>21</b:Volume>
    <b:RefOrder>91</b:RefOrder>
  </b:Source>
  <b:Source>
    <b:Tag>Sis</b:Tag>
    <b:SourceType>JournalArticle</b:SourceType>
    <b:Guid>{7C0CE924-03C6-49F3-A054-4ADCEEB72B0C}</b:Guid>
    <b:Author>
      <b:Author>
        <b:NameList>
          <b:Person>
            <b:Last>Sison-Young</b:Last>
            <b:First>R.L</b:First>
          </b:Person>
          <b:Person>
            <b:Last>Lauschke</b:Last>
            <b:First>V.M</b:First>
          </b:Person>
          <b:Person>
            <b:Last>Johann</b:Last>
            <b:First>E</b:First>
          </b:Person>
          <b:Person>
            <b:Last>Alexandre</b:Last>
            <b:First>E</b:First>
          </b:Person>
          <b:Person>
            <b:Last>Antherieu</b:Last>
            <b:First>S</b:First>
          </b:Person>
          <b:Person>
            <b:Last>Aerts</b:Last>
            <b:First>H</b:First>
          </b:Person>
          <b:Person>
            <b:Last>Gerets</b:Last>
            <b:First>H.H.J</b:First>
          </b:Person>
          <b:Person>
            <b:Last>Labbe</b:Last>
            <b:First>G</b:First>
          </b:Person>
          <b:Person>
            <b:Last>Hoët</b:Last>
            <b:First>D</b:First>
          </b:Person>
          <b:Person>
            <b:Last>Dorau</b:Last>
            <b:First>M</b:First>
          </b:Person>
          <b:Person>
            <b:Last>Schofield</b:Last>
            <b:First>C.A</b:First>
          </b:Person>
          <b:Person>
            <b:Last>Lovatt</b:Last>
            <b:First>C.A</b:First>
          </b:Person>
          <b:Person>
            <b:Last>Holder</b:Last>
            <b:First>J.C</b:First>
          </b:Person>
          <b:Person>
            <b:Last>Stahl</b:Last>
            <b:First>S.H</b:First>
          </b:Person>
          <b:Person>
            <b:Last>Richert</b:Last>
            <b:First>L</b:First>
          </b:Person>
          <b:Person>
            <b:Last>Kitteringham</b:Last>
            <b:First>N.R</b:First>
          </b:Person>
          <b:Person>
            <b:Last>Jones</b:Last>
            <b:First>R.P</b:First>
          </b:Person>
          <b:Person>
            <b:Last>al.</b:Last>
            <b:First>et</b:First>
          </b:Person>
        </b:NameList>
      </b:Author>
    </b:Author>
    <b:Title>A multicenter assessment of single-cell models aligned to standard measures of cell health for prediction of acute hepatotoxicity</b:Title>
    <b:JournalName>Arch Toxicol</b:JournalName>
    <b:Year>2017</b:Year>
    <b:Pages>1385–1400</b:Pages>
    <b:Volume>91</b:Volume>
    <b:Issue>3</b:Issue>
    <b:RefOrder>95</b:RefOrder>
  </b:Source>
  <b:Source>
    <b:Tag>Hen16</b:Tag>
    <b:SourceType>JournalArticle</b:SourceType>
    <b:Guid>{8C7B075A-BF49-4E67-88CD-79619C96CE51}</b:Guid>
    <b:Author>
      <b:Author>
        <b:NameList>
          <b:Person>
            <b:Last>Hendriks</b:Last>
            <b:First>D.F.G</b:First>
          </b:Person>
          <b:Person>
            <b:Last>Hendriks</b:Last>
            <b:First>Fredriksson</b:First>
            <b:Middle>Puigvert, L</b:Middle>
          </b:Person>
          <b:Person>
            <b:Last>Messner</b:Last>
            <b:First>S</b:First>
          </b:Person>
          <b:Person>
            <b:Last>Mortiz</b:Last>
            <b:First>W</b:First>
          </b:Person>
          <b:Person>
            <b:Last>Ingelman-Sundberg</b:Last>
            <b:First>M.</b:First>
          </b:Person>
        </b:NameList>
      </b:Author>
    </b:Author>
    <b:Title>Hepatic 3D spheroid models for the detection and study of compounds with cholestatic liability</b:Title>
    <b:JournalName>Scientific Reports</b:JournalName>
    <b:Year>2016</b:Year>
    <b:Pages>Article number: 35434 </b:Pages>
    <b:Volume>6</b:Volume>
    <b:RefOrder>98</b:RefOrder>
  </b:Source>
  <b:Source>
    <b:Tag>Wal05</b:Tag>
    <b:SourceType>JournalArticle</b:SourceType>
    <b:Guid>{2AA3EB7A-95D0-4936-A675-4F69555D523B}</b:Guid>
    <b:Title>Role of Metabolism in Drug-Induced Idiosyncratic Hepatotoxicit</b:Title>
    <b:Year>2005</b:Year>
    <b:Author>
      <b:Author>
        <b:NameList>
          <b:Person>
            <b:Last>Walgren</b:Last>
            <b:First>J.L</b:First>
          </b:Person>
          <b:Person>
            <b:Last>Mitchell</b:Last>
            <b:First>M.D</b:First>
          </b:Person>
          <b:Person>
            <b:Last>Thompson</b:Last>
            <b:First>D.C.</b:First>
          </b:Person>
        </b:NameList>
      </b:Author>
    </b:Author>
    <b:JournalName>Critical REview in Toxicology</b:JournalName>
    <b:Pages>325-361</b:Pages>
    <b:Volume>35</b:Volume>
    <b:Issue>4</b:Issue>
    <b:RefOrder>94</b:RefOrder>
  </b:Source>
  <b:Source>
    <b:Tag>Uet</b:Tag>
    <b:SourceType>JournalArticle</b:SourceType>
    <b:Guid>{00A7B7A4-A8D5-44A3-9778-31080FEA42C5}</b:Guid>
    <b:Author>
      <b:Author>
        <b:NameList>
          <b:Person>
            <b:Last>Uetrecht</b:Last>
            <b:First>J.</b:First>
          </b:Person>
        </b:NameList>
      </b:Author>
    </b:Author>
    <b:Title> New concepts in immunology relevant to idiosyncratic drug reactions: the “danger hypothesis” and innate immune system.</b:Title>
    <b:JournalName> Chemical Research in Toxicology </b:JournalName>
    <b:Year>1999</b:Year>
    <b:Pages>387-395</b:Pages>
    <b:Volume>12</b:Volume>
    <b:RefOrder>93</b:RefOrder>
  </b:Source>
  <b:Source>
    <b:Tag>Her16</b:Tag>
    <b:SourceType>JournalArticle</b:SourceType>
    <b:Guid>{BE524D39-4937-466A-A55E-9396103F9BDC}</b:Guid>
    <b:Author>
      <b:Author>
        <b:NameList>
          <b:Person>
            <b:Last>Herzog</b:Last>
            <b:First>N</b:First>
          </b:Person>
          <b:Person>
            <b:Last>Hansen</b:Last>
            <b:First>M</b:First>
          </b:Person>
          <b:Person>
            <b:Last>Miethbauer</b:Last>
            <b:First>S</b:First>
          </b:Person>
          <b:Person>
            <b:Last>Schmidtke</b:Last>
            <b:First>K.U</b:First>
          </b:Person>
          <b:Person>
            <b:Last>Anderer</b:Last>
            <b:First>U</b:First>
          </b:Person>
          <b:Person>
            <b:Last>Lupp</b:Last>
            <b:First>A</b:First>
          </b:Person>
          <b:Person>
            <b:Last>Sperling</b:Last>
            <b:First>S</b:First>
          </b:Person>
          <b:Person>
            <b:Last>Seehofer</b:Last>
            <b:First>D</b:First>
          </b:Person>
          <b:Person>
            <b:Last>Damm</b:Last>
            <b:First>G</b:First>
          </b:Person>
          <b:Person>
            <b:Last>Scheibner</b:Last>
            <b:First>K</b:First>
          </b:Person>
          <b:Person>
            <b:Last>Küpper</b:Last>
            <b:First>J.H.</b:First>
          </b:Person>
        </b:NameList>
      </b:Author>
    </b:Author>
    <b:Title>Primary-like human hepatocytes genetically engineered to obtain proliferation competence display hepatic differentiation characteristics in monolayer and organotypical spheroid cultures</b:Title>
    <b:JournalName>Cell Biol Int. *</b:JournalName>
    <b:Year>2016 </b:Year>
    <b:Pages>341-53</b:Pages>
    <b:Volume>40</b:Volume>
    <b:Issue>3</b:Issue>
    <b:RefOrder>96</b:RefOrder>
  </b:Source>
  <b:Source>
    <b:Tag>Tar</b:Tag>
    <b:SourceType>JournalArticle</b:SourceType>
    <b:Guid>{C8E976B1-C169-4DAB-A62C-41D8C30CF500}</b:Guid>
    <b:Title>Target identification of drug induced mitochondrial toxicity using immunocapture based OXPHOS activity assays</b:Title>
    <b:JournalName>Toxicoloy in vitro</b:JournalName>
    <b:Author>
      <b:Author>
        <b:NameList>
          <b:Person>
            <b:Last>Nadanaciva</b:Last>
            <b:First>S</b:First>
          </b:Person>
          <b:Person>
            <b:Last>Bernal</b:Last>
            <b:First>A</b:First>
          </b:Person>
          <b:Person>
            <b:Last>Aggeler</b:Last>
            <b:First>R</b:First>
          </b:Person>
          <b:Person>
            <b:Last>Capaldi</b:Last>
            <b:First>R</b:First>
          </b:Person>
          <b:Person>
            <b:Last>Will</b:Last>
            <b:First>Y.</b:First>
          </b:Person>
        </b:NameList>
      </b:Author>
    </b:Author>
    <b:Year>2007</b:Year>
    <b:Pages>902-911</b:Pages>
    <b:Volume>21</b:Volume>
    <b:Issue>5</b:Issue>
    <b:RefOrder>114</b:RefOrder>
  </b:Source>
  <b:Source>
    <b:Tag>Gol17</b:Tag>
    <b:SourceType>BookSection</b:SourceType>
    <b:Guid>{58AFA26B-1EA9-4F5B-8C22-68FCF9BC962F}</b:Guid>
    <b:Title>Drug-Induced Liver Injury: Mechanism-Informed Prediction in Drug</b:Title>
    <b:Year>2017</b:Year>
    <b:Pages>1-18</b:Pages>
    <b:BookTitle>Comprehensive Medicinal Chemistry, 3rd Ed</b:BookTitle>
    <b:City>Oxford</b:City>
    <b:Publisher>Elsevier</b:Publisher>
    <b:Author>
      <b:Author>
        <b:NameList>
          <b:Person>
            <b:Last>Goldring</b:Last>
            <b:First>C</b:First>
          </b:Person>
          <b:Person>
            <b:Last>Weaver</b:Last>
            <b:First>R</b:First>
          </b:Person>
          <b:Person>
            <b:Last>Kramer</b:Last>
            <b:First>B</b:First>
          </b:Person>
          <b:Person>
            <b:Last>Klingmueller</b:Last>
            <b:First>Oppelt,</b:First>
            <b:Middle>A</b:Middle>
          </b:Person>
          <b:Person>
            <b:Last>Van der Water</b:Last>
            <b:First>Commandeur,</b:First>
            <b:Middle>J</b:Middle>
          </b:Person>
          <b:Person>
            <b:Last>Guillouzo</b:Last>
            <b:First>A</b:First>
          </b:Person>
          <b:Person>
            <b:Last>Naisbitt</b:Last>
            <b:First>D</b:First>
          </b:Person>
          <b:Person>
            <b:Last>French</b:Last>
            <b:First>N</b:First>
          </b:Person>
          <b:Person>
            <b:Last>Kitteringham</b:Last>
            <b:First>N</b:First>
          </b:Person>
          <b:Person>
            <b:Last>Pridgeon</b:Last>
            <b:First>C</b:First>
          </b:Person>
          <b:Person>
            <b:Last>Knolle</b:Last>
            <b:First>P</b:First>
          </b:Person>
          <b:Person>
            <b:Last>Sidaway</b:Last>
            <b:First>J</b:First>
          </b:Person>
          <b:Person>
            <b:Last>Sison-Young</b:Last>
            <b:First>R</b:First>
          </b:Person>
          <b:Person>
            <b:Last>Kamalian</b:Last>
            <b:First>L</b:First>
          </b:Person>
          <b:Person>
            <b:Last>Mercer</b:Last>
            <b:First>A</b:First>
          </b:Person>
          <b:Person>
            <b:Last>Faulkner</b:Last>
            <b:First>L</b:First>
          </b:Person>
          <b:Person>
            <b:Last>Pieters</b:Last>
            <b:First>R</b:First>
          </b:Person>
          <b:Person>
            <b:Last>al.</b:Last>
            <b:First>et</b:First>
          </b:Person>
        </b:NameList>
      </b:Author>
    </b:Author>
    <b:RefOrder>110</b:RefOrder>
  </b:Source>
  <b:Source>
    <b:Tag>Par12</b:Tag>
    <b:SourceType>JournalArticle</b:SourceType>
    <b:Guid>{0327C7F6-B486-466E-BB28-2988D23CD4FD}</b:Guid>
    <b:Author>
      <b:Author>
        <b:NameList>
          <b:Person>
            <b:Last>Park</b:Last>
            <b:First>S</b:First>
          </b:Person>
          <b:Person>
            <b:Last>Choi</b:Last>
            <b:First>Y.J</b:First>
          </b:Person>
          <b:Person>
            <b:Last>Lee</b:Last>
            <b:First>B.H.</b:First>
          </b:Person>
        </b:NameList>
      </b:Author>
    </b:Author>
    <b:Title>in vitro validation of drug-induced phospholipidosis</b:Title>
    <b:Year>2012</b:Year>
    <b:Pages>261-267</b:Pages>
    <b:JournalName>J. Toxicol Sci.</b:JournalName>
    <b:Volume>37</b:Volume>
    <b:Issue>2</b:Issue>
    <b:RefOrder>109</b:RefOrder>
  </b:Source>
  <b:Source>
    <b:Tag>Gol16</b:Tag>
    <b:SourceType>JournalArticle</b:SourceType>
    <b:Guid>{A956EE6B-066E-47BA-A3D7-9911FB3A22B4}</b:Guid>
    <b:Author>
      <b:Author>
        <b:NameList>
          <b:Person>
            <b:Last>Goldring</b:Last>
            <b:First>C</b:First>
          </b:Person>
          <b:Person>
            <b:Last>Antoine</b:Last>
            <b:First>D</b:First>
          </b:Person>
          <b:Person>
            <b:Last>Bonner</b:Last>
            <b:First>F</b:First>
          </b:Person>
          <b:Person>
            <b:Last>Crozier</b:Last>
            <b:First>J</b:First>
          </b:Person>
          <b:Person>
            <b:Last>Denning</b:Last>
            <b:First>C</b:First>
          </b:Person>
          <b:Person>
            <b:Last>Fontana</b:Last>
            <b:First>R.J</b:First>
          </b:Person>
          <b:Person>
            <b:Last>Hanley</b:Last>
            <b:First>N.A</b:First>
          </b:Person>
          <b:Person>
            <b:Last>Hay</b:Last>
            <b:First>D.C</b:First>
          </b:Person>
          <b:Person>
            <b:Last>Ingelman-Sundberg</b:Last>
            <b:First>M</b:First>
          </b:Person>
          <b:Person>
            <b:Last>Juhila</b:Last>
            <b:First>S</b:First>
          </b:Person>
          <b:Person>
            <b:Last>Kitteringham</b:Last>
            <b:First>N</b:First>
          </b:Person>
          <b:Person>
            <b:Last>Lima</b:Last>
            <b:First>B</b:First>
          </b:Person>
          <b:Person>
            <b:Last>Norris</b:Last>
            <b:First>A</b:First>
          </b:Person>
          <b:Person>
            <b:Last>Pridgeon</b:Last>
            <b:First>A</b:First>
          </b:Person>
          <b:Person>
            <b:Last>Ross</b:Last>
            <b:First>J.A</b:First>
          </b:Person>
          <b:Person>
            <b:Last>Sison Young</b:Last>
            <b:First>R</b:First>
          </b:Person>
          <b:Person>
            <b:Last>D</b:Last>
            <b:First>Tagle</b:First>
          </b:Person>
          <b:Person>
            <b:Last>Tornesi</b:Last>
            <b:First>B</b:First>
          </b:Person>
          <b:Person>
            <b:Last>van der Water</b:Last>
            <b:First>B</b:First>
          </b:Person>
          <b:Person>
            <b:Last>Weaver</b:Last>
            <b:First>R.J</b:First>
          </b:Person>
          <b:Person>
            <b:Last>et</b:Last>
          </b:Person>
        </b:NameList>
      </b:Author>
    </b:Author>
    <b:Title>Stem cell-derived models to improve mechanistic understanding and prediction of human drug induced liver injury</b:Title>
    <b:JournalName>Hepatology</b:JournalName>
    <b:Year>2016</b:Year>
    <b:Pages>710-721</b:Pages>
    <b:Volume>65</b:Volume>
    <b:Issue>2</b:Issue>
    <b:RefOrder>97</b:RefOrder>
  </b:Source>
  <b:Source>
    <b:Tag>Köc14</b:Tag>
    <b:SourceType>JournalArticle</b:SourceType>
    <b:Guid>{4D191DB7-A0E5-4A8D-8411-90B3E283F27C}</b:Guid>
    <b:Author>
      <b:Author>
        <b:NameList>
          <b:Person>
            <b:Last>Köck</b:Last>
            <b:First>K</b:First>
          </b:Person>
          <b:Person>
            <b:Last>Ferslew</b:Last>
            <b:First>B.C</b:First>
          </b:Person>
          <b:Person>
            <b:Last>Netterberg</b:Last>
            <b:First>I</b:First>
          </b:Person>
          <b:Person>
            <b:Last>Yang</b:Last>
            <b:First>K</b:First>
          </b:Person>
          <b:Person>
            <b:Last>Urban</b:Last>
            <b:First>T.J</b:First>
          </b:Person>
          <b:Person>
            <b:Last>Swann</b:Last>
            <b:First>P.W</b:First>
          </b:Person>
          <b:Person>
            <b:Last>Stewart</b:Last>
            <b:First>P.W</b:First>
          </b:Person>
          <b:Person>
            <b:Last>Brouwer</b:Last>
            <b:First>L.R.</b:First>
          </b:Person>
        </b:NameList>
      </b:Author>
    </b:Author>
    <b:Title>Risk factors for development of cholestatic drug-induced liver injury: Inhibition of hepatic basolateral bile acid transporters multidrug resistance-associated proteins 3 and 4.</b:Title>
    <b:JournalName>Drug Met Dispos.</b:JournalName>
    <b:Year>2014</b:Year>
    <b:Pages>665-674</b:Pages>
    <b:Volume>42</b:Volume>
    <b:RefOrder>53</b:RefOrder>
  </b:Source>
  <b:Source>
    <b:Tag>Blo16</b:Tag>
    <b:SourceType>JournalArticle</b:SourceType>
    <b:Guid>{BAA00BEA-3B50-4F87-B1C9-010AE40B8271}</b:Guid>
    <b:Author>
      <b:Author>
        <b:NameList>
          <b:Person>
            <b:Last>Blomme</b:Last>
            <b:First>E.A</b:First>
          </b:Person>
          <b:Person>
            <b:Last>Will</b:Last>
            <b:First>Y.</b:First>
          </b:Person>
        </b:NameList>
      </b:Author>
    </b:Author>
    <b:Title>Toxicology strategies for drug discovery: Present and Future.</b:Title>
    <b:JournalName>Chem Res Toxicol.</b:JournalName>
    <b:Year>2016</b:Year>
    <b:Pages>473-504</b:Pages>
    <b:Volume>29</b:Volume>
    <b:Issue>4</b:Issue>
    <b:RefOrder>55</b:RefOrder>
  </b:Source>
  <b:Source>
    <b:Tag>LiT14</b:Tag>
    <b:SourceType>JournalArticle</b:SourceType>
    <b:Guid>{FFCFD027-0FC7-4A6A-929D-D5FD062B4501}</b:Guid>
    <b:Author>
      <b:Author>
        <b:NameList>
          <b:Person>
            <b:Last>Li</b:Last>
          </b:Person>
          <b:Person>
            <b:Last>T Chiang</b:Last>
            <b:First>Y.L.</b:First>
          </b:Person>
        </b:NameList>
      </b:Author>
    </b:Author>
    <b:Title>Bile acid signalling in metabolic disease and drug therapy.</b:Title>
    <b:JournalName>Pharm Rev.</b:JournalName>
    <b:Year>2014</b:Year>
    <b:Pages>948-983</b:Pages>
    <b:Volume>66</b:Volume>
    <b:RefOrder>56</b:RefOrder>
  </b:Source>
  <b:Source>
    <b:Tag>Rog14</b:Tag>
    <b:SourceType>JournalArticle</b:SourceType>
    <b:Guid>{0890B89D-6D5E-4035-A2FC-4D7B2ECE35AD}</b:Guid>
    <b:Author>
      <b:Author>
        <b:NameList>
          <b:Person>
            <b:Last>Rogue</b:Last>
            <b:First>A</b:First>
          </b:Person>
          <b:Person>
            <b:Last>Anthérieu</b:Last>
            <b:First>S</b:First>
          </b:Person>
          <b:Person>
            <b:Last>Vluggens A: Umbdenstock</b:Last>
            <b:First>T</b:First>
          </b:Person>
          <b:Person>
            <b:Last>Claude</b:Last>
            <b:First>N</b:First>
          </b:Person>
          <b:Person>
            <b:Last>de la Moureyue</b:Last>
            <b:First>C</b:First>
          </b:Person>
          <b:Person>
            <b:Last>Weaver</b:Last>
            <b:First>R.J</b:First>
          </b:Person>
          <b:Person>
            <b:Last>Guillouzo</b:Last>
            <b:First>A.</b:First>
          </b:Person>
        </b:NameList>
      </b:Author>
    </b:Author>
    <b:Title>PPAR agonists reduce steatosis in oleic acid-overloaded HepaRG cells</b:Title>
    <b:JournalName>Tox and Appl Pharm</b:JournalName>
    <b:Year>2014</b:Year>
    <b:Pages>73-81</b:Pages>
    <b:Volume>276</b:Volume>
    <b:RefOrder>57</b:RefOrder>
  </b:Source>
  <b:Source>
    <b:Tag>Ber10</b:Tag>
    <b:SourceType>JournalArticle</b:SourceType>
    <b:Guid>{E6F3DB18-A093-470A-80B5-F3C7F82A63EC}</b:Guid>
    <b:Author>
      <b:Author>
        <b:NameList>
          <b:Person>
            <b:Last>Berry</b:Last>
            <b:First>P.A</b:First>
          </b:Person>
          <b:Person>
            <b:Last>Antoniades</b:Last>
            <b:First>C.G</b:First>
          </b:Person>
          <b:Person>
            <b:Last>Hussain</b:Last>
            <b:First>M.J</b:First>
          </b:Person>
          <b:Person>
            <b:Last>McPhail</b:Last>
            <b:First>M.J.W</b:First>
          </b:Person>
          <b:Person>
            <b:Last>Bernal</b:Last>
            <b:First>W</b:First>
          </b:Person>
          <b:Person>
            <b:Last>Vergani</b:Last>
            <b:First>D</b:First>
          </b:Person>
          <b:Person>
            <b:Last>Wendon</b:Last>
            <b:First>J.A.</b:First>
          </b:Person>
        </b:NameList>
      </b:Author>
    </b:Author>
    <b:Title>Admission levels and early changes in serum interleukin-10 are predictive of poor outcome in acute liver failure and decompensated cirrhosis.</b:Title>
    <b:JournalName>Liver Int</b:JournalName>
    <b:Year>2010</b:Year>
    <b:Pages>733-740</b:Pages>
    <b:Volume>30</b:Volume>
    <b:RefOrder>125</b:RefOrder>
  </b:Source>
  <b:Source>
    <b:Tag>Ste14</b:Tag>
    <b:SourceType>JournalArticle</b:SourceType>
    <b:Guid>{16F2D642-6CBD-48F3-B1DC-2AB6B972E57D}</b:Guid>
    <b:Author>
      <b:Author>
        <b:NameList>
          <b:Person>
            <b:Last>Stephens</b:Last>
            <b:First>C</b:First>
          </b:Person>
          <b:Person>
            <b:Last>Andrade</b:Last>
            <b:First>R.J</b:First>
          </b:Person>
          <b:Person>
            <b:Last>Lucena</b:Last>
            <b:First>M.I.</b:First>
          </b:Person>
        </b:NameList>
      </b:Author>
    </b:Author>
    <b:Title> Mechanisms of drug-induced liver injury.</b:Title>
    <b:JournalName>Curr Opin Allergy Clin Immunol</b:JournalName>
    <b:Year>2014</b:Year>
    <b:Pages>286-92</b:Pages>
    <b:Volume>14</b:Volume>
    <b:Issue>4</b:Issue>
    <b:RefOrder>62</b:RefOrder>
  </b:Source>
  <b:Source>
    <b:Tag>Mon04</b:Tag>
    <b:SourceType>JournalArticle</b:SourceType>
    <b:Guid>{13CF3260-B3BC-4BFC-B4CE-00FE4FD97FF3}</b:Guid>
    <b:Author>
      <b:Author>
        <b:NameList>
          <b:Person>
            <b:Last>Montaner</b:Last>
            <b:First>J.S</b:First>
          </b:Person>
          <b:Person>
            <b:Last>Coté</b:Last>
            <b:First>H.C</b:First>
          </b:Person>
          <b:Person>
            <b:Last>Harris</b:Last>
            <b:First>R.S</b:First>
          </b:Person>
          <b:Person>
            <b:Last>Yip</b:Last>
            <b:First>B</b:First>
          </b:Person>
          <b:Person>
            <b:Last>Harrigan</b:Last>
            <b:First>P.R</b:First>
          </b:Person>
          <b:Person>
            <b:Last>O'shaughnessy</b:Last>
            <b:First>M.V.</b:First>
          </b:Person>
        </b:NameList>
      </b:Author>
    </b:Author>
    <b:Title>Nucleoside-related mitochondrial toxicity among HIV-infected patients receiving antiretroviral therapy; Insights from the evaluation of venous lactic acid and periperal blood mitochondrial DNA. </b:Title>
    <b:JournalName>Clin. Infect; Dis.</b:JournalName>
    <b:Year>2004</b:Year>
    <b:Pages>S73-79</b:Pages>
    <b:Volume>38</b:Volume>
    <b:Issue>2</b:Issue>
    <b:RefOrder>51</b:RefOrder>
  </b:Source>
  <b:Source>
    <b:Tag>Dyk08</b:Tag>
    <b:SourceType>JournalArticle</b:SourceType>
    <b:Guid>{C80D8DF5-BFF2-4D86-B400-D07A59EFF917}</b:Guid>
    <b:Author>
      <b:Author>
        <b:NameList>
          <b:Person>
            <b:Last>Dykens</b:Last>
            <b:First>J.A</b:First>
          </b:Person>
          <b:Person>
            <b:Last>Marroquin</b:Last>
            <b:First>L.D</b:First>
          </b:Person>
          <b:Person>
            <b:Last>Will</b:Last>
            <b:First>Y.</b:First>
          </b:Person>
        </b:NameList>
      </b:Author>
    </b:Author>
    <b:Title>Strategies to reduce late-stage drug attrition due to mitochondrial toxicity. Dykens JA(1), Marroquin LD, Will Y</b:Title>
    <b:PeriodicalTitle>Expert Rev Mol Diagn. 2007 Mar;7(2):161-75.</b:PeriodicalTitle>
    <b:Year>2007</b:Year>
    <b:Month>Mar</b:Month>
    <b:Pages>161-175</b:Pages>
    <b:Volume>7</b:Volume>
    <b:Issue>2</b:Issue>
    <b:JournalName>Expert Rev Mol Diagn</b:JournalName>
    <b:RefOrder>42</b:RefOrder>
  </b:Source>
  <b:Source>
    <b:Tag>Wil14</b:Tag>
    <b:SourceType>JournalArticle</b:SourceType>
    <b:Guid>{359C40A3-296B-4451-9DF6-F6DDFEBD0E8B}</b:Guid>
    <b:Author>
      <b:Author>
        <b:NameList>
          <b:Person>
            <b:Last>Will</b:Last>
            <b:First>Y</b:First>
          </b:Person>
          <b:Person>
            <b:Last>Dykens</b:Last>
            <b:First>J.</b:First>
          </b:Person>
        </b:NameList>
      </b:Author>
    </b:Author>
    <b:Title>Mitochondrial toxicity assessment in industry – a decade of technology development and insight</b:Title>
    <b:JournalName>Expert Opinion on Drug Metabolism and Toxicology</b:JournalName>
    <b:Year>2014</b:Year>
    <b:Pages>1061-1067</b:Pages>
    <b:Volume>10</b:Volume>
    <b:Issue>8</b:Issue>
    <b:RefOrder>44</b:RefOrder>
  </b:Source>
  <b:Source>
    <b:Tag>McK06</b:Tag>
    <b:SourceType>JournalArticle</b:SourceType>
    <b:Guid>{69914E0C-F779-4335-9501-9E6848754552}</b:Guid>
    <b:Author>
      <b:Author>
        <b:NameList>
          <b:Person>
            <b:Last>McKee</b:Last>
            <b:First>E.E</b:First>
          </b:Person>
          <b:Person>
            <b:Last>Ferguson</b:Last>
            <b:First>M</b:First>
          </b:Person>
          <b:Person>
            <b:Last>Bentley</b:Last>
            <b:First>A.T</b:First>
          </b:Person>
          <b:Person>
            <b:Last>Marks</b:Last>
            <b:First>T.A.</b:First>
          </b:Person>
        </b:NameList>
      </b:Author>
    </b:Author>
    <b:Title>Inhibition of mammalian mitocondrial protein synthesis by oxazolidinones</b:Title>
    <b:JournalName>Antimicrobial Agents Chemother.</b:JournalName>
    <b:Year>2006</b:Year>
    <b:Pages>2042-2049</b:Pages>
    <b:Volume>50</b:Volume>
    <b:Issue>6</b:Issue>
    <b:RefOrder>28</b:RefOrder>
  </b:Source>
  <b:Source>
    <b:Tag>Fuj09</b:Tag>
    <b:SourceType>JournalArticle</b:SourceType>
    <b:Guid>{85F1BFAB-65F5-4612-BA37-D0105B47D40E}</b:Guid>
    <b:Author>
      <b:Author>
        <b:NameList>
          <b:Person>
            <b:Last>Fujimoto</b:Last>
            <b:First>K</b:First>
          </b:Person>
          <b:Person>
            <b:Last>Kumagai</b:Last>
            <b:First>K</b:First>
          </b:Person>
          <b:Person>
            <b:Last>Ito</b:Last>
            <b:First>K</b:First>
          </b:Person>
          <b:Person>
            <b:Last>Arakawa</b:Last>
            <b:First>S</b:First>
          </b:Person>
          <b:Person>
            <b:Last>Ando</b:Last>
            <b:First>Y</b:First>
          </b:Person>
          <b:Person>
            <b:Last>Oda</b:Last>
            <b:First>S-i</b:First>
          </b:Person>
          <b:Person>
            <b:Last>Yamoto</b:Last>
            <b:First>T</b:First>
          </b:Person>
          <b:Person>
            <b:Last>Manabe</b:Last>
            <b:First>S.</b:First>
          </b:Person>
        </b:NameList>
      </b:Author>
    </b:Author>
    <b:Title>Sensitivity of Liver Injury in Heterozygous Sod2 Knockout Mice Treated with Troglitazone or Acetaminophen</b:Title>
    <b:JournalName>Toxicologic Pathology</b:JournalName>
    <b:Year>2009</b:Year>
    <b:Pages>193-200</b:Pages>
    <b:Volume>37</b:Volume>
    <b:RefOrder>49</b:RefOrder>
  </b:Source>
  <b:Source>
    <b:Tag>Kas09</b:Tag>
    <b:SourceType>JournalArticle</b:SourceType>
    <b:Guid>{C834D088-2BFA-4C17-BCF0-12BBBF76C4F3}</b:Guid>
    <b:Author>
      <b:Author>
        <b:NameList>
          <b:Person>
            <b:Last>Kashimshetty</b:Last>
            <b:First>R</b:First>
          </b:Person>
          <b:Person>
            <b:Last>Desai</b:Last>
            <b:First>V.G</b:First>
          </b:Person>
          <b:Person>
            <b:Last>Kale</b:Last>
            <b:First>V.M</b:First>
          </b:Person>
          <b:Person>
            <b:Last>Lee</b:Last>
            <b:First>T</b:First>
          </b:Person>
          <b:Person>
            <b:Last>Moland</b:Last>
            <b:First>C.L</b:First>
          </b:Person>
          <b:Person>
            <b:Last>Branham</b:Last>
            <b:First>W.S</b:First>
          </b:Person>
          <b:Person>
            <b:Last>New</b:Last>
            <b:First>L.S</b:First>
          </b:Person>
          <b:Person>
            <b:Last>Chan</b:Last>
            <b:First>E.C</b:First>
          </b:Person>
          <b:Person>
            <b:Last>Younis</b:Last>
            <b:First>H</b:First>
          </b:Person>
          <b:Person>
            <b:Last>Boelsterli</b:Last>
            <b:First>U.A.</b:First>
          </b:Person>
        </b:NameList>
      </b:Author>
    </b:Author>
    <b:Title>Underlying mitochondrial dysfunction triggers flutamide-induced oxidative liver injury in a mouse model of idiosyncratic drug toxicity.</b:Title>
    <b:JournalName>Toxicol Appl Pharmacol.</b:JournalName>
    <b:Year>2009</b:Year>
    <b:Pages>150-159</b:Pages>
    <b:Volume>238</b:Volume>
    <b:Issue>2</b:Issue>
    <b:RefOrder>48</b:RefOrder>
  </b:Source>
  <b:Source>
    <b:Tag>Iso</b:Tag>
    <b:SourceType>JournalArticle</b:SourceType>
    <b:Guid>{3C9190B4-5E59-4DE1-BEC3-1E6C3EDEFA41}</b:Guid>
    <b:Title>Isoniazid-induced liver injury and immune response in mice</b:Title>
    <b:RefOrder>134</b:RefOrder>
  </b:Source>
  <b:Source>
    <b:Tag>Met141</b:Tag>
    <b:SourceType>JournalArticle</b:SourceType>
    <b:Guid>{3A3F87EA-1B57-4B22-9977-DD472BD0A49F}</b:Guid>
    <b:Author>
      <b:Author>
        <b:NameList>
          <b:Person>
            <b:Last>Metushi</b:Last>
            <b:First>I.G</b:First>
          </b:Person>
          <b:Person>
            <b:Last>Uetrecht</b:Last>
            <b:First>J.</b:First>
          </b:Person>
        </b:NameList>
      </b:Author>
    </b:Author>
    <b:Title>Isoniazid-induced liver injury and immune response in mice.</b:Title>
    <b:JournalName>J Immunotoxicol.</b:JournalName>
    <b:Year>2014</b:Year>
    <b:Pages>383-392</b:Pages>
    <b:Volume>11</b:Volume>
    <b:Issue>4</b:Issue>
    <b:RefOrder>77</b:RefOrder>
  </b:Source>
  <b:Source>
    <b:Tag>DeB10</b:Tag>
    <b:SourceType>JournalArticle</b:SourceType>
    <b:Guid>{8DF3AC2D-AFF1-4A03-97EA-98997D878727}</b:Guid>
    <b:Author>
      <b:Author>
        <b:NameList>
          <b:Person>
            <b:Last>De Bus</b:Last>
            <b:First>L</b:First>
          </b:Person>
          <b:Person>
            <b:Last>Depuydt</b:Last>
            <b:First>P</b:First>
          </b:Person>
          <b:Person>
            <b:Last>Libbrecht</b:Last>
            <b:First>L</b:First>
          </b:Person>
          <b:Person>
            <b:Last>Vandekerckhove</b:Last>
            <b:First>L</b:First>
          </b:Person>
          <b:Person>
            <b:Last>Nollet</b:Last>
            <b:First>J</b:First>
          </b:Person>
          <b:Person>
            <b:Last>Benoit</b:Last>
            <b:First>D</b:First>
          </b:Person>
          <b:Person>
            <b:Last>Vogelaers</b:Last>
            <b:First>D</b:First>
          </b:Person>
          <b:Person>
            <b:Last>Van Vlierberghe</b:Last>
            <b:First>H.</b:First>
          </b:Person>
        </b:NameList>
      </b:Author>
    </b:Author>
    <b:Title>Servere Drug-induced liver injury associated with prolonged use of linezolid.</b:Title>
    <b:JournalName>J. Med. Toxicol.</b:JournalName>
    <b:Year>2010</b:Year>
    <b:Pages>322-326</b:Pages>
    <b:Volume>6</b:Volume>
    <b:RefOrder>29</b:RefOrder>
  </b:Source>
  <b:Source>
    <b:Tag>Fes10</b:Tag>
    <b:SourceType>JournalArticle</b:SourceType>
    <b:Guid>{E2B313AD-4A4E-45F1-B195-9F9ED90336C7}</b:Guid>
    <b:Author>
      <b:Author>
        <b:NameList>
          <b:Person>
            <b:Last>Festing</b:Last>
            <b:First>M.F.</b:First>
          </b:Person>
        </b:NameList>
      </b:Author>
    </b:Author>
    <b:Title>Improving toxicity screening and drug development by using genetically defined strains.</b:Title>
    <b:JournalName>Methods Mol Biol.</b:JournalName>
    <b:Year>2010</b:Year>
    <b:Pages>1-21</b:Pages>
    <b:Volume>602</b:Volume>
    <b:RefOrder>50</b:RefOrder>
  </b:Source>
</b:Sources>
</file>

<file path=customXml/itemProps1.xml><?xml version="1.0" encoding="utf-8"?>
<ds:datastoreItem xmlns:ds="http://schemas.openxmlformats.org/officeDocument/2006/customXml" ds:itemID="{756B0191-D438-469C-BF95-FF320A34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D02A2D13</Template>
  <TotalTime>0</TotalTime>
  <Pages>1</Pages>
  <Words>17223</Words>
  <Characters>94728</Characters>
  <Application>Microsoft Office Word</Application>
  <DocSecurity>0</DocSecurity>
  <Lines>789</Lines>
  <Paragraphs>223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Servier</Company>
  <LinksUpToDate>false</LinksUpToDate>
  <CharactersWithSpaces>111728</CharactersWithSpaces>
  <SharedDoc>false</SharedDoc>
  <HLinks>
    <vt:vector size="222" baseType="variant">
      <vt:variant>
        <vt:i4>7274572</vt:i4>
      </vt:variant>
      <vt:variant>
        <vt:i4>108</vt:i4>
      </vt:variant>
      <vt:variant>
        <vt:i4>0</vt:i4>
      </vt:variant>
      <vt:variant>
        <vt:i4>5</vt:i4>
      </vt:variant>
      <vt:variant>
        <vt:lpwstr>mailto:tracy.m.walker@gsk.com</vt:lpwstr>
      </vt:variant>
      <vt:variant>
        <vt:lpwstr/>
      </vt:variant>
      <vt:variant>
        <vt:i4>2031724</vt:i4>
      </vt:variant>
      <vt:variant>
        <vt:i4>105</vt:i4>
      </vt:variant>
      <vt:variant>
        <vt:i4>0</vt:i4>
      </vt:variant>
      <vt:variant>
        <vt:i4>5</vt:i4>
      </vt:variant>
      <vt:variant>
        <vt:lpwstr>mailto:umesh.hanumegowda@bms.com</vt:lpwstr>
      </vt:variant>
      <vt:variant>
        <vt:lpwstr/>
      </vt:variant>
      <vt:variant>
        <vt:i4>8192067</vt:i4>
      </vt:variant>
      <vt:variant>
        <vt:i4>102</vt:i4>
      </vt:variant>
      <vt:variant>
        <vt:i4>0</vt:i4>
      </vt:variant>
      <vt:variant>
        <vt:i4>5</vt:i4>
      </vt:variant>
      <vt:variant>
        <vt:lpwstr>mailto:cerys.a.lovatt@gsk.com</vt:lpwstr>
      </vt:variant>
      <vt:variant>
        <vt:lpwstr/>
      </vt:variant>
      <vt:variant>
        <vt:i4>3473423</vt:i4>
      </vt:variant>
      <vt:variant>
        <vt:i4>99</vt:i4>
      </vt:variant>
      <vt:variant>
        <vt:i4>0</vt:i4>
      </vt:variant>
      <vt:variant>
        <vt:i4>5</vt:i4>
      </vt:variant>
      <vt:variant>
        <vt:lpwstr>mailto:Alison.Foster2@astrazeneca.com</vt:lpwstr>
      </vt:variant>
      <vt:variant>
        <vt:lpwstr/>
      </vt:variant>
      <vt:variant>
        <vt:i4>917610</vt:i4>
      </vt:variant>
      <vt:variant>
        <vt:i4>96</vt:i4>
      </vt:variant>
      <vt:variant>
        <vt:i4>0</vt:i4>
      </vt:variant>
      <vt:variant>
        <vt:i4>5</vt:i4>
      </vt:variant>
      <vt:variant>
        <vt:lpwstr>mailto:dominic.williams@astrazeneca.com</vt:lpwstr>
      </vt:variant>
      <vt:variant>
        <vt:lpwstr/>
      </vt:variant>
      <vt:variant>
        <vt:i4>983149</vt:i4>
      </vt:variant>
      <vt:variant>
        <vt:i4>93</vt:i4>
      </vt:variant>
      <vt:variant>
        <vt:i4>0</vt:i4>
      </vt:variant>
      <vt:variant>
        <vt:i4>5</vt:i4>
      </vt:variant>
      <vt:variant>
        <vt:lpwstr>mailto:Mikko.Karjalainen@orionpharma.com</vt:lpwstr>
      </vt:variant>
      <vt:variant>
        <vt:lpwstr/>
      </vt:variant>
      <vt:variant>
        <vt:i4>6553626</vt:i4>
      </vt:variant>
      <vt:variant>
        <vt:i4>90</vt:i4>
      </vt:variant>
      <vt:variant>
        <vt:i4>0</vt:i4>
      </vt:variant>
      <vt:variant>
        <vt:i4>5</vt:i4>
      </vt:variant>
      <vt:variant>
        <vt:lpwstr>mailto:JSNOEYS@its.jnj.com</vt:lpwstr>
      </vt:variant>
      <vt:variant>
        <vt:lpwstr/>
      </vt:variant>
      <vt:variant>
        <vt:i4>983145</vt:i4>
      </vt:variant>
      <vt:variant>
        <vt:i4>87</vt:i4>
      </vt:variant>
      <vt:variant>
        <vt:i4>0</vt:i4>
      </vt:variant>
      <vt:variant>
        <vt:i4>5</vt:i4>
      </vt:variant>
      <vt:variant>
        <vt:lpwstr>mailto:eric.blomme@abbvie.com</vt:lpwstr>
      </vt:variant>
      <vt:variant>
        <vt:lpwstr/>
      </vt:variant>
      <vt:variant>
        <vt:i4>7733256</vt:i4>
      </vt:variant>
      <vt:variant>
        <vt:i4>84</vt:i4>
      </vt:variant>
      <vt:variant>
        <vt:i4>0</vt:i4>
      </vt:variant>
      <vt:variant>
        <vt:i4>5</vt:i4>
      </vt:variant>
      <vt:variant>
        <vt:lpwstr>mailto:Philip.Hewitt@merckgroup.com</vt:lpwstr>
      </vt:variant>
      <vt:variant>
        <vt:lpwstr/>
      </vt:variant>
      <vt:variant>
        <vt:i4>852006</vt:i4>
      </vt:variant>
      <vt:variant>
        <vt:i4>81</vt:i4>
      </vt:variant>
      <vt:variant>
        <vt:i4>0</vt:i4>
      </vt:variant>
      <vt:variant>
        <vt:i4>5</vt:i4>
      </vt:variant>
      <vt:variant>
        <vt:lpwstr>mailto:stevens_james_l@lilly.com</vt:lpwstr>
      </vt:variant>
      <vt:variant>
        <vt:lpwstr/>
      </vt:variant>
      <vt:variant>
        <vt:i4>2162759</vt:i4>
      </vt:variant>
      <vt:variant>
        <vt:i4>78</vt:i4>
      </vt:variant>
      <vt:variant>
        <vt:i4>0</vt:i4>
      </vt:variant>
      <vt:variant>
        <vt:i4>5</vt:i4>
      </vt:variant>
      <vt:variant>
        <vt:lpwstr>mailto:Mikael.Persson@astrazeneca.com</vt:lpwstr>
      </vt:variant>
      <vt:variant>
        <vt:lpwstr/>
      </vt:variant>
      <vt:variant>
        <vt:i4>524397</vt:i4>
      </vt:variant>
      <vt:variant>
        <vt:i4>75</vt:i4>
      </vt:variant>
      <vt:variant>
        <vt:i4>0</vt:i4>
      </vt:variant>
      <vt:variant>
        <vt:i4>5</vt:i4>
      </vt:variant>
      <vt:variant>
        <vt:lpwstr>mailto:Gilles.Labbe@sanofi.com</vt:lpwstr>
      </vt:variant>
      <vt:variant>
        <vt:lpwstr/>
      </vt:variant>
      <vt:variant>
        <vt:i4>4653116</vt:i4>
      </vt:variant>
      <vt:variant>
        <vt:i4>72</vt:i4>
      </vt:variant>
      <vt:variant>
        <vt:i4>0</vt:i4>
      </vt:variant>
      <vt:variant>
        <vt:i4>5</vt:i4>
      </vt:variant>
      <vt:variant>
        <vt:lpwstr>mailto:Michael.Liguori@abbvie.com</vt:lpwstr>
      </vt:variant>
      <vt:variant>
        <vt:lpwstr/>
      </vt:variant>
      <vt:variant>
        <vt:i4>262241</vt:i4>
      </vt:variant>
      <vt:variant>
        <vt:i4>69</vt:i4>
      </vt:variant>
      <vt:variant>
        <vt:i4>0</vt:i4>
      </vt:variant>
      <vt:variant>
        <vt:i4>5</vt:i4>
      </vt:variant>
      <vt:variant>
        <vt:lpwstr>mailto:helga.gerets@ucb.com</vt:lpwstr>
      </vt:variant>
      <vt:variant>
        <vt:lpwstr/>
      </vt:variant>
      <vt:variant>
        <vt:i4>7012367</vt:i4>
      </vt:variant>
      <vt:variant>
        <vt:i4>66</vt:i4>
      </vt:variant>
      <vt:variant>
        <vt:i4>0</vt:i4>
      </vt:variant>
      <vt:variant>
        <vt:i4>5</vt:i4>
      </vt:variant>
      <vt:variant>
        <vt:lpwstr>mailto:NMESENS@its.jnj.com</vt:lpwstr>
      </vt:variant>
      <vt:variant>
        <vt:lpwstr/>
      </vt:variant>
      <vt:variant>
        <vt:i4>2818128</vt:i4>
      </vt:variant>
      <vt:variant>
        <vt:i4>63</vt:i4>
      </vt:variant>
      <vt:variant>
        <vt:i4>0</vt:i4>
      </vt:variant>
      <vt:variant>
        <vt:i4>5</vt:i4>
      </vt:variant>
      <vt:variant>
        <vt:lpwstr>mailto:Satu.Juhila@orionpharma.com</vt:lpwstr>
      </vt:variant>
      <vt:variant>
        <vt:lpwstr/>
      </vt:variant>
      <vt:variant>
        <vt:i4>7471119</vt:i4>
      </vt:variant>
      <vt:variant>
        <vt:i4>60</vt:i4>
      </vt:variant>
      <vt:variant>
        <vt:i4>0</vt:i4>
      </vt:variant>
      <vt:variant>
        <vt:i4>5</vt:i4>
      </vt:variant>
      <vt:variant>
        <vt:lpwstr>mailto:richard.weaver@servier.com</vt:lpwstr>
      </vt:variant>
      <vt:variant>
        <vt:lpwstr/>
      </vt:variant>
      <vt:variant>
        <vt:i4>2162705</vt:i4>
      </vt:variant>
      <vt:variant>
        <vt:i4>57</vt:i4>
      </vt:variant>
      <vt:variant>
        <vt:i4>0</vt:i4>
      </vt:variant>
      <vt:variant>
        <vt:i4>5</vt:i4>
      </vt:variant>
      <vt:variant>
        <vt:lpwstr>mailto:kgj@lundbeck.com</vt:lpwstr>
      </vt:variant>
      <vt:variant>
        <vt:lpwstr/>
      </vt:variant>
      <vt:variant>
        <vt:i4>4194358</vt:i4>
      </vt:variant>
      <vt:variant>
        <vt:i4>54</vt:i4>
      </vt:variant>
      <vt:variant>
        <vt:i4>0</vt:i4>
      </vt:variant>
      <vt:variant>
        <vt:i4>5</vt:i4>
      </vt:variant>
      <vt:variant>
        <vt:lpwstr>mailto:helene.aerts@servier.com</vt:lpwstr>
      </vt:variant>
      <vt:variant>
        <vt:lpwstr/>
      </vt:variant>
      <vt:variant>
        <vt:i4>6422551</vt:i4>
      </vt:variant>
      <vt:variant>
        <vt:i4>51</vt:i4>
      </vt:variant>
      <vt:variant>
        <vt:i4>0</vt:i4>
      </vt:variant>
      <vt:variant>
        <vt:i4>5</vt:i4>
      </vt:variant>
      <vt:variant>
        <vt:lpwstr>mailto:catherine.betts@astrazeneca.com</vt:lpwstr>
      </vt:variant>
      <vt:variant>
        <vt:lpwstr/>
      </vt:variant>
      <vt:variant>
        <vt:i4>7733267</vt:i4>
      </vt:variant>
      <vt:variant>
        <vt:i4>48</vt:i4>
      </vt:variant>
      <vt:variant>
        <vt:i4>0</vt:i4>
      </vt:variant>
      <vt:variant>
        <vt:i4>5</vt:i4>
      </vt:variant>
      <vt:variant>
        <vt:lpwstr>mailto:monday%20Ogese@astrazeneca.com</vt:lpwstr>
      </vt:variant>
      <vt:variant>
        <vt:lpwstr/>
      </vt:variant>
      <vt:variant>
        <vt:i4>7274572</vt:i4>
      </vt:variant>
      <vt:variant>
        <vt:i4>45</vt:i4>
      </vt:variant>
      <vt:variant>
        <vt:i4>0</vt:i4>
      </vt:variant>
      <vt:variant>
        <vt:i4>5</vt:i4>
      </vt:variant>
      <vt:variant>
        <vt:lpwstr>mailto:tracy.m.walker@gsk.com</vt:lpwstr>
      </vt:variant>
      <vt:variant>
        <vt:lpwstr/>
      </vt:variant>
      <vt:variant>
        <vt:i4>2031724</vt:i4>
      </vt:variant>
      <vt:variant>
        <vt:i4>42</vt:i4>
      </vt:variant>
      <vt:variant>
        <vt:i4>0</vt:i4>
      </vt:variant>
      <vt:variant>
        <vt:i4>5</vt:i4>
      </vt:variant>
      <vt:variant>
        <vt:lpwstr>mailto:umesh.hanumegowda@bms.com</vt:lpwstr>
      </vt:variant>
      <vt:variant>
        <vt:lpwstr/>
      </vt:variant>
      <vt:variant>
        <vt:i4>8192067</vt:i4>
      </vt:variant>
      <vt:variant>
        <vt:i4>39</vt:i4>
      </vt:variant>
      <vt:variant>
        <vt:i4>0</vt:i4>
      </vt:variant>
      <vt:variant>
        <vt:i4>5</vt:i4>
      </vt:variant>
      <vt:variant>
        <vt:lpwstr>mailto:cerys.a.lovatt@gsk.com</vt:lpwstr>
      </vt:variant>
      <vt:variant>
        <vt:lpwstr/>
      </vt:variant>
      <vt:variant>
        <vt:i4>3473423</vt:i4>
      </vt:variant>
      <vt:variant>
        <vt:i4>36</vt:i4>
      </vt:variant>
      <vt:variant>
        <vt:i4>0</vt:i4>
      </vt:variant>
      <vt:variant>
        <vt:i4>5</vt:i4>
      </vt:variant>
      <vt:variant>
        <vt:lpwstr>mailto:Alison.Foster2@astrazeneca.com</vt:lpwstr>
      </vt:variant>
      <vt:variant>
        <vt:lpwstr/>
      </vt:variant>
      <vt:variant>
        <vt:i4>917610</vt:i4>
      </vt:variant>
      <vt:variant>
        <vt:i4>33</vt:i4>
      </vt:variant>
      <vt:variant>
        <vt:i4>0</vt:i4>
      </vt:variant>
      <vt:variant>
        <vt:i4>5</vt:i4>
      </vt:variant>
      <vt:variant>
        <vt:lpwstr>mailto:dominic.williams@astrazeneca.com</vt:lpwstr>
      </vt:variant>
      <vt:variant>
        <vt:lpwstr/>
      </vt:variant>
      <vt:variant>
        <vt:i4>983149</vt:i4>
      </vt:variant>
      <vt:variant>
        <vt:i4>30</vt:i4>
      </vt:variant>
      <vt:variant>
        <vt:i4>0</vt:i4>
      </vt:variant>
      <vt:variant>
        <vt:i4>5</vt:i4>
      </vt:variant>
      <vt:variant>
        <vt:lpwstr>mailto:Mikko.Karjalainen@orionpharma.com</vt:lpwstr>
      </vt:variant>
      <vt:variant>
        <vt:lpwstr/>
      </vt:variant>
      <vt:variant>
        <vt:i4>6553626</vt:i4>
      </vt:variant>
      <vt:variant>
        <vt:i4>27</vt:i4>
      </vt:variant>
      <vt:variant>
        <vt:i4>0</vt:i4>
      </vt:variant>
      <vt:variant>
        <vt:i4>5</vt:i4>
      </vt:variant>
      <vt:variant>
        <vt:lpwstr>mailto:JSNOEYS@its.jnj.com</vt:lpwstr>
      </vt:variant>
      <vt:variant>
        <vt:lpwstr/>
      </vt:variant>
      <vt:variant>
        <vt:i4>983145</vt:i4>
      </vt:variant>
      <vt:variant>
        <vt:i4>24</vt:i4>
      </vt:variant>
      <vt:variant>
        <vt:i4>0</vt:i4>
      </vt:variant>
      <vt:variant>
        <vt:i4>5</vt:i4>
      </vt:variant>
      <vt:variant>
        <vt:lpwstr>mailto:eric.blomme@abbvie.com</vt:lpwstr>
      </vt:variant>
      <vt:variant>
        <vt:lpwstr/>
      </vt:variant>
      <vt:variant>
        <vt:i4>7733256</vt:i4>
      </vt:variant>
      <vt:variant>
        <vt:i4>21</vt:i4>
      </vt:variant>
      <vt:variant>
        <vt:i4>0</vt:i4>
      </vt:variant>
      <vt:variant>
        <vt:i4>5</vt:i4>
      </vt:variant>
      <vt:variant>
        <vt:lpwstr>mailto:Philip.Hewitt@merckgroup.com</vt:lpwstr>
      </vt:variant>
      <vt:variant>
        <vt:lpwstr/>
      </vt:variant>
      <vt:variant>
        <vt:i4>852006</vt:i4>
      </vt:variant>
      <vt:variant>
        <vt:i4>18</vt:i4>
      </vt:variant>
      <vt:variant>
        <vt:i4>0</vt:i4>
      </vt:variant>
      <vt:variant>
        <vt:i4>5</vt:i4>
      </vt:variant>
      <vt:variant>
        <vt:lpwstr>mailto:stevens_james_l@lilly.com</vt:lpwstr>
      </vt:variant>
      <vt:variant>
        <vt:lpwstr/>
      </vt:variant>
      <vt:variant>
        <vt:i4>2162759</vt:i4>
      </vt:variant>
      <vt:variant>
        <vt:i4>15</vt:i4>
      </vt:variant>
      <vt:variant>
        <vt:i4>0</vt:i4>
      </vt:variant>
      <vt:variant>
        <vt:i4>5</vt:i4>
      </vt:variant>
      <vt:variant>
        <vt:lpwstr>mailto:Mikael.Persson@astrazeneca.com</vt:lpwstr>
      </vt:variant>
      <vt:variant>
        <vt:lpwstr/>
      </vt:variant>
      <vt:variant>
        <vt:i4>524397</vt:i4>
      </vt:variant>
      <vt:variant>
        <vt:i4>12</vt:i4>
      </vt:variant>
      <vt:variant>
        <vt:i4>0</vt:i4>
      </vt:variant>
      <vt:variant>
        <vt:i4>5</vt:i4>
      </vt:variant>
      <vt:variant>
        <vt:lpwstr>mailto:Gilles.Labbe@sanofi.com</vt:lpwstr>
      </vt:variant>
      <vt:variant>
        <vt:lpwstr/>
      </vt:variant>
      <vt:variant>
        <vt:i4>4653116</vt:i4>
      </vt:variant>
      <vt:variant>
        <vt:i4>9</vt:i4>
      </vt:variant>
      <vt:variant>
        <vt:i4>0</vt:i4>
      </vt:variant>
      <vt:variant>
        <vt:i4>5</vt:i4>
      </vt:variant>
      <vt:variant>
        <vt:lpwstr>mailto:Michael.Liguori@abbvie.com</vt:lpwstr>
      </vt:variant>
      <vt:variant>
        <vt:lpwstr/>
      </vt:variant>
      <vt:variant>
        <vt:i4>262241</vt:i4>
      </vt:variant>
      <vt:variant>
        <vt:i4>6</vt:i4>
      </vt:variant>
      <vt:variant>
        <vt:i4>0</vt:i4>
      </vt:variant>
      <vt:variant>
        <vt:i4>5</vt:i4>
      </vt:variant>
      <vt:variant>
        <vt:lpwstr>mailto:helga.gerets@ucb.com</vt:lpwstr>
      </vt:variant>
      <vt:variant>
        <vt:lpwstr/>
      </vt:variant>
      <vt:variant>
        <vt:i4>7012367</vt:i4>
      </vt:variant>
      <vt:variant>
        <vt:i4>3</vt:i4>
      </vt:variant>
      <vt:variant>
        <vt:i4>0</vt:i4>
      </vt:variant>
      <vt:variant>
        <vt:i4>5</vt:i4>
      </vt:variant>
      <vt:variant>
        <vt:lpwstr>mailto:NMESENS@its.jnj.com</vt:lpwstr>
      </vt:variant>
      <vt:variant>
        <vt:lpwstr/>
      </vt:variant>
      <vt:variant>
        <vt:i4>2818128</vt:i4>
      </vt:variant>
      <vt:variant>
        <vt:i4>0</vt:i4>
      </vt:variant>
      <vt:variant>
        <vt:i4>0</vt:i4>
      </vt:variant>
      <vt:variant>
        <vt:i4>5</vt:i4>
      </vt:variant>
      <vt:variant>
        <vt:lpwstr>mailto:Satu.Juhila@orionpharma.com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rwr_cb</dc:creator>
  <cp:lastModifiedBy>rwr_cb</cp:lastModifiedBy>
  <cp:revision>4</cp:revision>
  <cp:lastPrinted>2017-03-23T07:55:00Z</cp:lastPrinted>
  <dcterms:created xsi:type="dcterms:W3CDTF">2017-06-03T10:46:00Z</dcterms:created>
  <dcterms:modified xsi:type="dcterms:W3CDTF">2017-06-08T18:10:00Z</dcterms:modified>
</cp:coreProperties>
</file>