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309C" w14:textId="3CD3E51A" w:rsidR="003C0527" w:rsidRPr="00B07C5C" w:rsidRDefault="003C0527" w:rsidP="003C052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C5C">
        <w:rPr>
          <w:rFonts w:ascii="Times New Roman" w:hAnsi="Times New Roman"/>
          <w:b/>
          <w:sz w:val="28"/>
          <w:szCs w:val="28"/>
        </w:rPr>
        <w:t xml:space="preserve">17q21 </w:t>
      </w:r>
      <w:r w:rsidR="00371F94">
        <w:rPr>
          <w:rFonts w:ascii="Times New Roman" w:hAnsi="Times New Roman"/>
          <w:b/>
          <w:sz w:val="28"/>
          <w:szCs w:val="28"/>
        </w:rPr>
        <w:t>gene variance</w:t>
      </w:r>
      <w:r w:rsidR="00371F94" w:rsidRPr="00B07C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and the</w:t>
      </w:r>
      <w:r w:rsidRPr="00B07C5C">
        <w:rPr>
          <w:rFonts w:ascii="Times New Roman" w:hAnsi="Times New Roman"/>
          <w:b/>
          <w:sz w:val="28"/>
          <w:szCs w:val="28"/>
        </w:rPr>
        <w:t xml:space="preserve"> risk of exacerbations in</w:t>
      </w:r>
      <w:r>
        <w:rPr>
          <w:rFonts w:ascii="Times New Roman" w:hAnsi="Times New Roman"/>
          <w:b/>
          <w:sz w:val="28"/>
          <w:szCs w:val="28"/>
        </w:rPr>
        <w:t xml:space="preserve"> asthmatic</w:t>
      </w:r>
      <w:r w:rsidRPr="00B07C5C">
        <w:rPr>
          <w:rFonts w:ascii="Times New Roman" w:hAnsi="Times New Roman"/>
          <w:b/>
          <w:sz w:val="28"/>
          <w:szCs w:val="28"/>
        </w:rPr>
        <w:t xml:space="preserve"> children treated with inhaled corticosteroids: a meta-analysis</w:t>
      </w:r>
      <w:r>
        <w:rPr>
          <w:rFonts w:ascii="Times New Roman" w:hAnsi="Times New Roman"/>
          <w:b/>
          <w:sz w:val="28"/>
          <w:szCs w:val="28"/>
        </w:rPr>
        <w:t xml:space="preserve"> in</w:t>
      </w:r>
      <w:r w:rsidR="00467E00">
        <w:rPr>
          <w:rFonts w:ascii="Times New Roman" w:hAnsi="Times New Roman"/>
          <w:b/>
          <w:sz w:val="28"/>
          <w:szCs w:val="28"/>
        </w:rPr>
        <w:t xml:space="preserve"> the</w:t>
      </w:r>
      <w:r>
        <w:rPr>
          <w:rFonts w:ascii="Times New Roman" w:hAnsi="Times New Roman"/>
          <w:b/>
          <w:sz w:val="28"/>
          <w:szCs w:val="28"/>
        </w:rPr>
        <w:t xml:space="preserve"> PiCA</w:t>
      </w:r>
      <w:r w:rsidR="00467E00">
        <w:rPr>
          <w:rFonts w:ascii="Times New Roman" w:hAnsi="Times New Roman"/>
          <w:b/>
          <w:sz w:val="28"/>
          <w:szCs w:val="28"/>
        </w:rPr>
        <w:t xml:space="preserve"> consortium</w:t>
      </w:r>
    </w:p>
    <w:p w14:paraId="7A5BC256" w14:textId="77777777" w:rsidR="003C0527" w:rsidRDefault="003C05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F1C229" w14:textId="46A8103D" w:rsidR="007E40C4" w:rsidRPr="00656C5F" w:rsidRDefault="007E40C4" w:rsidP="007E40C4">
      <w:pPr>
        <w:spacing w:line="360" w:lineRule="auto"/>
        <w:jc w:val="both"/>
        <w:rPr>
          <w:rFonts w:asciiTheme="majorHAnsi" w:hAnsiTheme="majorHAnsi" w:cs="Times New Roman"/>
          <w:color w:val="000000" w:themeColor="text1"/>
        </w:rPr>
      </w:pPr>
      <w:r w:rsidRPr="00656C5F">
        <w:rPr>
          <w:rFonts w:asciiTheme="majorHAnsi" w:hAnsiTheme="majorHAnsi" w:cs="Times New Roman"/>
          <w:u w:val="single"/>
        </w:rPr>
        <w:t>Farzan N</w:t>
      </w:r>
      <w:r w:rsidRPr="00656C5F">
        <w:rPr>
          <w:rFonts w:asciiTheme="majorHAnsi" w:hAnsiTheme="majorHAnsi" w:cs="Times New Roman"/>
          <w:u w:val="single"/>
          <w:vertAlign w:val="superscript"/>
        </w:rPr>
        <w:t xml:space="preserve"> 1</w:t>
      </w:r>
      <w:r w:rsidR="00774F3B">
        <w:rPr>
          <w:rFonts w:asciiTheme="majorHAnsi" w:hAnsiTheme="majorHAnsi" w:cs="Times New Roman"/>
          <w:u w:val="single"/>
          <w:vertAlign w:val="superscript"/>
        </w:rPr>
        <w:t>,2</w:t>
      </w:r>
      <w:r w:rsidRPr="00656C5F">
        <w:rPr>
          <w:rFonts w:asciiTheme="majorHAnsi" w:hAnsiTheme="majorHAnsi" w:cs="Times New Roman"/>
          <w:color w:val="000000" w:themeColor="text1"/>
        </w:rPr>
        <w:t>, Vijverberg SJ</w:t>
      </w:r>
      <w:r w:rsidRPr="00656C5F">
        <w:rPr>
          <w:rFonts w:asciiTheme="majorHAnsi" w:hAnsiTheme="majorHAnsi" w:cs="Times New Roman"/>
          <w:color w:val="000000" w:themeColor="text1"/>
          <w:vertAlign w:val="superscript"/>
        </w:rPr>
        <w:t>1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,2</w:t>
      </w:r>
      <w:r w:rsidRPr="00656C5F">
        <w:rPr>
          <w:rFonts w:asciiTheme="majorHAnsi" w:hAnsiTheme="majorHAnsi" w:cs="Times New Roman"/>
          <w:color w:val="000000" w:themeColor="text1"/>
        </w:rPr>
        <w:t xml:space="preserve">, </w:t>
      </w:r>
      <w:r>
        <w:rPr>
          <w:rFonts w:asciiTheme="majorHAnsi" w:hAnsiTheme="majorHAnsi"/>
        </w:rPr>
        <w:t>Burchard EG</w:t>
      </w:r>
      <w:r w:rsidR="00774F3B"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, </w:t>
      </w:r>
      <w:r w:rsidRPr="00656C5F">
        <w:rPr>
          <w:rFonts w:asciiTheme="majorHAnsi" w:hAnsiTheme="majorHAnsi"/>
        </w:rPr>
        <w:t>Canino G</w:t>
      </w:r>
      <w:r w:rsidR="00774F3B">
        <w:rPr>
          <w:rFonts w:asciiTheme="majorHAnsi" w:hAnsiTheme="majorHAnsi"/>
          <w:vertAlign w:val="superscript"/>
        </w:rPr>
        <w:t>4</w:t>
      </w:r>
      <w:r w:rsidRPr="00656C5F">
        <w:rPr>
          <w:rFonts w:asciiTheme="majorHAnsi" w:hAnsiTheme="majorHAnsi" w:cs="Times New Roman"/>
          <w:color w:val="000000" w:themeColor="text1"/>
        </w:rPr>
        <w:t>, Celedón JC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5</w:t>
      </w:r>
      <w:r w:rsidRPr="00656C5F">
        <w:rPr>
          <w:rFonts w:asciiTheme="majorHAnsi" w:hAnsiTheme="majorHAnsi" w:cs="Times New Roman"/>
          <w:color w:val="000000" w:themeColor="text1"/>
        </w:rPr>
        <w:t>, Cloutier MM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6</w:t>
      </w:r>
      <w:r w:rsidRPr="00656C5F">
        <w:rPr>
          <w:rFonts w:asciiTheme="majorHAnsi" w:hAnsiTheme="majorHAnsi" w:cs="Times New Roman"/>
          <w:color w:val="000000" w:themeColor="text1"/>
        </w:rPr>
        <w:t>, Forno E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5</w:t>
      </w:r>
      <w:r w:rsidRPr="00656C5F">
        <w:rPr>
          <w:rFonts w:asciiTheme="majorHAnsi" w:hAnsiTheme="majorHAnsi" w:cs="Times New Roman"/>
          <w:color w:val="000000" w:themeColor="text1"/>
        </w:rPr>
        <w:t>, Hawcutt DB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7,8</w:t>
      </w:r>
      <w:r w:rsidRPr="00656C5F">
        <w:rPr>
          <w:rFonts w:asciiTheme="majorHAnsi" w:hAnsiTheme="majorHAnsi" w:cs="Times New Roman"/>
          <w:color w:val="000000" w:themeColor="text1"/>
        </w:rPr>
        <w:t>, Kabesch M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9,10</w:t>
      </w:r>
      <w:r w:rsidRPr="00656C5F">
        <w:rPr>
          <w:rFonts w:asciiTheme="majorHAnsi" w:hAnsiTheme="majorHAnsi" w:cs="Times New Roman"/>
          <w:color w:val="000000" w:themeColor="text1"/>
        </w:rPr>
        <w:t xml:space="preserve">, </w:t>
      </w:r>
      <w:r w:rsidR="00556528">
        <w:rPr>
          <w:rFonts w:asciiTheme="majorHAnsi" w:hAnsiTheme="majorHAnsi" w:cs="Times New Roman"/>
          <w:color w:val="000000" w:themeColor="text1"/>
        </w:rPr>
        <w:t>Karimi L</w:t>
      </w:r>
      <w:bookmarkStart w:id="0" w:name="_GoBack"/>
      <w:bookmarkEnd w:id="0"/>
      <w:r w:rsidR="00556528" w:rsidRPr="00556528">
        <w:rPr>
          <w:rFonts w:asciiTheme="majorHAnsi" w:hAnsiTheme="majorHAnsi" w:cs="Times New Roman"/>
          <w:color w:val="000000" w:themeColor="text1"/>
          <w:vertAlign w:val="superscript"/>
        </w:rPr>
        <w:t>11</w:t>
      </w:r>
      <w:r w:rsidR="00556528">
        <w:rPr>
          <w:rFonts w:asciiTheme="majorHAnsi" w:hAnsiTheme="majorHAnsi" w:cs="Times New Roman"/>
          <w:color w:val="000000" w:themeColor="text1"/>
        </w:rPr>
        <w:t xml:space="preserve">, </w:t>
      </w:r>
      <w:r w:rsidRPr="00656C5F">
        <w:rPr>
          <w:rFonts w:asciiTheme="majorHAnsi" w:hAnsiTheme="majorHAnsi" w:cs="Times New Roman"/>
          <w:color w:val="000000" w:themeColor="text1"/>
        </w:rPr>
        <w:t>Melén E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1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2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,1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3</w:t>
      </w:r>
      <w:r w:rsidRPr="00656C5F">
        <w:rPr>
          <w:rFonts w:asciiTheme="majorHAnsi" w:hAnsiTheme="majorHAnsi" w:cs="Times New Roman"/>
          <w:color w:val="000000" w:themeColor="text1"/>
        </w:rPr>
        <w:t>, Mukhopadhyay S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1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4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,1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5</w:t>
      </w:r>
      <w:r w:rsidRPr="00656C5F">
        <w:rPr>
          <w:rFonts w:asciiTheme="majorHAnsi" w:hAnsiTheme="majorHAnsi" w:cs="Times New Roman"/>
          <w:color w:val="000000" w:themeColor="text1"/>
        </w:rPr>
        <w:t>, Nilsson S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1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2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,1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3</w:t>
      </w:r>
      <w:r w:rsidRPr="00656C5F">
        <w:rPr>
          <w:rFonts w:asciiTheme="majorHAnsi" w:hAnsiTheme="majorHAnsi" w:cs="Times New Roman"/>
          <w:color w:val="000000" w:themeColor="text1"/>
        </w:rPr>
        <w:t>, Palmer CN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1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5</w:t>
      </w:r>
      <w:r w:rsidRPr="00656C5F">
        <w:rPr>
          <w:rFonts w:asciiTheme="majorHAnsi" w:hAnsiTheme="majorHAnsi" w:cs="Times New Roman"/>
          <w:color w:val="000000" w:themeColor="text1"/>
        </w:rPr>
        <w:t>, Pino-Yanes M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1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6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,1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7</w:t>
      </w:r>
      <w:r w:rsidRPr="00656C5F">
        <w:rPr>
          <w:rFonts w:asciiTheme="majorHAnsi" w:hAnsiTheme="majorHAnsi" w:cs="Times New Roman"/>
          <w:color w:val="000000" w:themeColor="text1"/>
        </w:rPr>
        <w:t>,</w:t>
      </w:r>
      <w:r w:rsidRPr="00656C5F">
        <w:rPr>
          <w:rFonts w:asciiTheme="majorHAnsi" w:hAnsiTheme="majorHAnsi"/>
        </w:rPr>
        <w:t xml:space="preserve"> Pirmohamed M</w:t>
      </w:r>
      <w:r w:rsidR="00774F3B">
        <w:rPr>
          <w:rFonts w:asciiTheme="majorHAnsi" w:hAnsiTheme="majorHAnsi"/>
          <w:vertAlign w:val="superscript"/>
        </w:rPr>
        <w:t>1</w:t>
      </w:r>
      <w:r w:rsidR="00556528">
        <w:rPr>
          <w:rFonts w:asciiTheme="majorHAnsi" w:hAnsiTheme="majorHAnsi"/>
          <w:vertAlign w:val="superscript"/>
        </w:rPr>
        <w:t>8</w:t>
      </w:r>
      <w:r w:rsidRPr="00656C5F">
        <w:rPr>
          <w:rFonts w:asciiTheme="majorHAnsi" w:hAnsiTheme="majorHAnsi"/>
        </w:rPr>
        <w:t xml:space="preserve">, </w:t>
      </w:r>
      <w:r w:rsidRPr="00656C5F">
        <w:rPr>
          <w:rFonts w:asciiTheme="majorHAnsi" w:hAnsiTheme="majorHAnsi" w:cs="Times New Roman"/>
          <w:color w:val="000000" w:themeColor="text1"/>
        </w:rPr>
        <w:t>Potočnik U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1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9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,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20</w:t>
      </w:r>
      <w:r w:rsidRPr="00656C5F">
        <w:rPr>
          <w:rFonts w:asciiTheme="majorHAnsi" w:hAnsiTheme="majorHAnsi" w:cs="Times New Roman"/>
          <w:color w:val="000000" w:themeColor="text1"/>
        </w:rPr>
        <w:t>, Raaijmakers JA</w:t>
      </w:r>
      <w:r w:rsidRPr="00656C5F">
        <w:rPr>
          <w:rFonts w:asciiTheme="majorHAnsi" w:hAnsiTheme="majorHAnsi" w:cs="Times New Roman"/>
          <w:color w:val="000000" w:themeColor="text1"/>
          <w:vertAlign w:val="superscript"/>
        </w:rPr>
        <w:t>1</w:t>
      </w:r>
      <w:r w:rsidRPr="00656C5F">
        <w:rPr>
          <w:rFonts w:asciiTheme="majorHAnsi" w:hAnsiTheme="majorHAnsi" w:cs="Times New Roman"/>
          <w:color w:val="000000" w:themeColor="text1"/>
        </w:rPr>
        <w:t>, Repnik</w:t>
      </w:r>
      <w:r w:rsidRPr="00656C5F">
        <w:rPr>
          <w:rFonts w:asciiTheme="majorHAnsi" w:hAnsiTheme="majorHAnsi"/>
        </w:rPr>
        <w:t xml:space="preserve"> </w:t>
      </w:r>
      <w:r w:rsidRPr="00656C5F">
        <w:rPr>
          <w:rFonts w:asciiTheme="majorHAnsi" w:hAnsiTheme="majorHAnsi" w:cs="Times New Roman"/>
          <w:color w:val="000000" w:themeColor="text1"/>
        </w:rPr>
        <w:t>K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1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9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,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20</w:t>
      </w:r>
      <w:r w:rsidR="00BF5E4B">
        <w:rPr>
          <w:rFonts w:asciiTheme="majorHAnsi" w:hAnsiTheme="majorHAnsi" w:cs="Times New Roman"/>
          <w:color w:val="000000" w:themeColor="text1"/>
        </w:rPr>
        <w:t>,</w:t>
      </w:r>
      <w:r w:rsidRPr="00656C5F">
        <w:rPr>
          <w:rFonts w:asciiTheme="majorHAnsi" w:hAnsiTheme="majorHAnsi"/>
        </w:rPr>
        <w:t xml:space="preserve"> Schieck M</w:t>
      </w:r>
      <w:r w:rsidR="00774F3B">
        <w:rPr>
          <w:rFonts w:asciiTheme="majorHAnsi" w:hAnsiTheme="majorHAnsi"/>
          <w:vertAlign w:val="superscript"/>
        </w:rPr>
        <w:t>9,10</w:t>
      </w:r>
      <w:r w:rsidRPr="00656C5F">
        <w:rPr>
          <w:rFonts w:asciiTheme="majorHAnsi" w:hAnsiTheme="majorHAnsi"/>
        </w:rPr>
        <w:t>, Smyth RL</w:t>
      </w:r>
      <w:r w:rsidR="00774F3B">
        <w:rPr>
          <w:rFonts w:asciiTheme="majorHAnsi" w:hAnsiTheme="majorHAnsi"/>
          <w:vertAlign w:val="superscript"/>
        </w:rPr>
        <w:t>2</w:t>
      </w:r>
      <w:r w:rsidR="00556528">
        <w:rPr>
          <w:rFonts w:asciiTheme="majorHAnsi" w:hAnsiTheme="majorHAnsi"/>
          <w:vertAlign w:val="superscript"/>
        </w:rPr>
        <w:t>1</w:t>
      </w:r>
      <w:r w:rsidRPr="00656C5F">
        <w:rPr>
          <w:rFonts w:asciiTheme="majorHAnsi" w:hAnsiTheme="majorHAnsi"/>
        </w:rPr>
        <w:t>, Soares P</w:t>
      </w:r>
      <w:r w:rsidR="00774F3B">
        <w:rPr>
          <w:rFonts w:asciiTheme="majorHAnsi" w:hAnsiTheme="majorHAnsi"/>
          <w:vertAlign w:val="superscript"/>
        </w:rPr>
        <w:t>1</w:t>
      </w:r>
      <w:r w:rsidR="00556528">
        <w:rPr>
          <w:rFonts w:asciiTheme="majorHAnsi" w:hAnsiTheme="majorHAnsi"/>
          <w:vertAlign w:val="superscript"/>
        </w:rPr>
        <w:t>4</w:t>
      </w:r>
      <w:r w:rsidRPr="00656C5F">
        <w:rPr>
          <w:rFonts w:asciiTheme="majorHAnsi" w:hAnsiTheme="majorHAnsi"/>
        </w:rPr>
        <w:t xml:space="preserve">, </w:t>
      </w:r>
      <w:r w:rsidRPr="00656C5F">
        <w:rPr>
          <w:rFonts w:asciiTheme="majorHAnsi" w:hAnsiTheme="majorHAnsi" w:cs="Times New Roman"/>
          <w:color w:val="000000" w:themeColor="text1"/>
        </w:rPr>
        <w:t>Tantisira KG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2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2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,2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3</w:t>
      </w:r>
      <w:r w:rsidRPr="00656C5F">
        <w:rPr>
          <w:rFonts w:asciiTheme="majorHAnsi" w:hAnsiTheme="majorHAnsi" w:cs="Times New Roman"/>
          <w:color w:val="000000" w:themeColor="text1"/>
        </w:rPr>
        <w:t>, Turner S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2</w:t>
      </w:r>
      <w:r w:rsidR="00556528">
        <w:rPr>
          <w:rFonts w:asciiTheme="majorHAnsi" w:hAnsiTheme="majorHAnsi" w:cs="Times New Roman"/>
          <w:color w:val="000000" w:themeColor="text1"/>
          <w:vertAlign w:val="superscript"/>
        </w:rPr>
        <w:t>4</w:t>
      </w:r>
      <w:r w:rsidR="00BF5E4B">
        <w:rPr>
          <w:rFonts w:asciiTheme="majorHAnsi" w:hAnsiTheme="majorHAnsi" w:cs="Times New Roman"/>
          <w:color w:val="000000" w:themeColor="text1"/>
        </w:rPr>
        <w:t>,</w:t>
      </w:r>
      <w:r w:rsidR="00556528">
        <w:rPr>
          <w:rFonts w:asciiTheme="majorHAnsi" w:hAnsiTheme="majorHAnsi" w:cs="Times New Roman"/>
          <w:color w:val="000000" w:themeColor="text1"/>
        </w:rPr>
        <w:t xml:space="preserve"> </w:t>
      </w:r>
      <w:r w:rsidR="00556528" w:rsidRPr="00556528">
        <w:rPr>
          <w:rFonts w:asciiTheme="majorHAnsi" w:hAnsiTheme="majorHAnsi" w:cs="Times New Roman"/>
          <w:color w:val="000000" w:themeColor="text1"/>
        </w:rPr>
        <w:t>Verhamme KM</w:t>
      </w:r>
      <w:r w:rsidR="00556528" w:rsidRPr="00556528">
        <w:rPr>
          <w:rFonts w:asciiTheme="majorHAnsi" w:hAnsiTheme="majorHAnsi" w:cs="Times New Roman"/>
          <w:color w:val="000000" w:themeColor="text1"/>
          <w:vertAlign w:val="superscript"/>
        </w:rPr>
        <w:t>11</w:t>
      </w:r>
      <w:r w:rsidR="00556528">
        <w:rPr>
          <w:rFonts w:asciiTheme="majorHAnsi" w:hAnsiTheme="majorHAnsi" w:cs="Times New Roman"/>
          <w:color w:val="000000" w:themeColor="text1"/>
        </w:rPr>
        <w:t>,</w:t>
      </w:r>
      <w:r w:rsidRPr="00656C5F">
        <w:rPr>
          <w:rFonts w:asciiTheme="majorHAnsi" w:hAnsiTheme="majorHAnsi" w:cs="Times New Roman"/>
          <w:color w:val="000000" w:themeColor="text1"/>
        </w:rPr>
        <w:t xml:space="preserve"> Maitland-van der Zee AH</w:t>
      </w:r>
      <w:r w:rsidRPr="00656C5F">
        <w:rPr>
          <w:rFonts w:asciiTheme="majorHAnsi" w:hAnsiTheme="majorHAnsi" w:cs="Times New Roman"/>
          <w:color w:val="000000" w:themeColor="text1"/>
          <w:vertAlign w:val="superscript"/>
        </w:rPr>
        <w:t>1</w:t>
      </w:r>
      <w:r w:rsidR="00774F3B">
        <w:rPr>
          <w:rFonts w:asciiTheme="majorHAnsi" w:hAnsiTheme="majorHAnsi" w:cs="Times New Roman"/>
          <w:color w:val="000000" w:themeColor="text1"/>
          <w:vertAlign w:val="superscript"/>
        </w:rPr>
        <w:t>,2</w:t>
      </w:r>
    </w:p>
    <w:p w14:paraId="2D3B4C36" w14:textId="02163854" w:rsidR="003C0527" w:rsidRDefault="007E40C4" w:rsidP="007E40C4">
      <w:pPr>
        <w:rPr>
          <w:rFonts w:cstheme="minorHAnsi"/>
          <w:i/>
          <w:sz w:val="18"/>
          <w:szCs w:val="18"/>
        </w:rPr>
      </w:pPr>
      <w:r w:rsidRPr="00774F3B">
        <w:rPr>
          <w:rFonts w:cstheme="minorHAnsi"/>
          <w:i/>
          <w:sz w:val="18"/>
          <w:szCs w:val="18"/>
          <w:vertAlign w:val="superscript"/>
        </w:rPr>
        <w:t>1</w:t>
      </w:r>
      <w:r w:rsidRPr="00774F3B">
        <w:rPr>
          <w:rFonts w:cstheme="minorHAnsi"/>
          <w:i/>
          <w:sz w:val="18"/>
          <w:szCs w:val="18"/>
        </w:rPr>
        <w:t xml:space="preserve">Division of Pharmacoepidemiology and Clinical Pharmacology, Faculty of Science, Utrecht University, Utrecht, Netherlands, </w:t>
      </w:r>
      <w:r w:rsidR="00774F3B" w:rsidRPr="00774F3B">
        <w:rPr>
          <w:rFonts w:cstheme="minorHAnsi"/>
          <w:i/>
          <w:sz w:val="18"/>
          <w:szCs w:val="18"/>
          <w:vertAlign w:val="superscript"/>
        </w:rPr>
        <w:t>2</w:t>
      </w:r>
      <w:r w:rsidR="00774F3B" w:rsidRPr="00774F3B">
        <w:rPr>
          <w:vertAlign w:val="superscript"/>
        </w:rPr>
        <w:t xml:space="preserve"> </w:t>
      </w:r>
      <w:r w:rsidR="00774F3B" w:rsidRPr="00774F3B">
        <w:rPr>
          <w:rFonts w:cstheme="minorHAnsi"/>
          <w:i/>
          <w:sz w:val="18"/>
          <w:szCs w:val="18"/>
        </w:rPr>
        <w:t>Department of Respiratory Medicine, Academic Medical Center (AMC). University of Amsterdam, Amsterdam, the</w:t>
      </w:r>
      <w:r w:rsidR="00774F3B" w:rsidRPr="00774F3B">
        <w:rPr>
          <w:rFonts w:cstheme="minorHAnsi"/>
          <w:i/>
          <w:sz w:val="18"/>
          <w:szCs w:val="18"/>
          <w:vertAlign w:val="superscript"/>
        </w:rPr>
        <w:t xml:space="preserve"> </w:t>
      </w:r>
      <w:r w:rsidR="00774F3B" w:rsidRPr="00774F3B">
        <w:rPr>
          <w:rFonts w:cstheme="minorHAnsi"/>
          <w:i/>
          <w:sz w:val="18"/>
          <w:szCs w:val="18"/>
        </w:rPr>
        <w:t>Netherlands</w:t>
      </w:r>
      <w:r w:rsidR="00774F3B">
        <w:rPr>
          <w:rFonts w:cstheme="minorHAnsi"/>
          <w:i/>
          <w:sz w:val="18"/>
          <w:szCs w:val="18"/>
        </w:rPr>
        <w:t xml:space="preserve">,  </w:t>
      </w:r>
      <w:r w:rsidR="00774F3B" w:rsidRPr="00774F3B">
        <w:rPr>
          <w:rFonts w:cstheme="minorHAnsi"/>
          <w:i/>
          <w:sz w:val="18"/>
          <w:szCs w:val="18"/>
          <w:vertAlign w:val="superscript"/>
        </w:rPr>
        <w:t>3</w:t>
      </w:r>
      <w:r w:rsidRPr="00D51D3B">
        <w:rPr>
          <w:rFonts w:cstheme="minorHAnsi"/>
          <w:i/>
          <w:sz w:val="18"/>
          <w:szCs w:val="18"/>
        </w:rPr>
        <w:t>Departments of Medicine, Bioengineering and Therapeutic Sciences</w:t>
      </w:r>
      <w:r>
        <w:rPr>
          <w:rFonts w:cstheme="minorHAnsi"/>
          <w:i/>
          <w:sz w:val="18"/>
          <w:szCs w:val="18"/>
        </w:rPr>
        <w:t xml:space="preserve"> University of California, San Francisco, USA, </w:t>
      </w:r>
      <w:r w:rsidR="00774F3B">
        <w:rPr>
          <w:rFonts w:cstheme="minorHAnsi"/>
          <w:i/>
          <w:sz w:val="18"/>
          <w:szCs w:val="18"/>
          <w:vertAlign w:val="superscript"/>
        </w:rPr>
        <w:t>4</w:t>
      </w:r>
      <w:r>
        <w:rPr>
          <w:rFonts w:cstheme="minorHAnsi"/>
          <w:i/>
          <w:sz w:val="18"/>
          <w:szCs w:val="18"/>
        </w:rPr>
        <w:t xml:space="preserve">Behavioral Sciences institute, University of Puerto Rico, Medical Sciences Campus, San Juan, Puerto Rico, </w:t>
      </w:r>
      <w:r w:rsidR="00774F3B">
        <w:rPr>
          <w:rFonts w:cstheme="minorHAnsi"/>
          <w:i/>
          <w:sz w:val="18"/>
          <w:szCs w:val="18"/>
          <w:vertAlign w:val="superscript"/>
        </w:rPr>
        <w:t>5</w:t>
      </w:r>
      <w:r w:rsidRPr="00EE07B7">
        <w:rPr>
          <w:rFonts w:cstheme="minorHAnsi"/>
          <w:i/>
          <w:sz w:val="18"/>
          <w:szCs w:val="18"/>
        </w:rPr>
        <w:t xml:space="preserve">Division of Pulmonary Medicine, Allergy, and Immunology, Children’s </w:t>
      </w:r>
      <w:r w:rsidRPr="00250221">
        <w:rPr>
          <w:i/>
          <w:color w:val="000000" w:themeColor="text1"/>
          <w:sz w:val="18"/>
        </w:rPr>
        <w:t xml:space="preserve">Hospital of Pittsburgh of the University of Pittsburgh Medical Center, University of Pittsburgh, Pittsburgh, Pennsylvania, </w:t>
      </w:r>
      <w:r w:rsidR="00774F3B">
        <w:rPr>
          <w:i/>
          <w:color w:val="000000" w:themeColor="text1"/>
          <w:sz w:val="18"/>
          <w:vertAlign w:val="superscript"/>
        </w:rPr>
        <w:t>6</w:t>
      </w:r>
      <w:r w:rsidRPr="00250221">
        <w:rPr>
          <w:i/>
          <w:color w:val="000000" w:themeColor="text1"/>
          <w:sz w:val="18"/>
        </w:rPr>
        <w:t xml:space="preserve">University </w:t>
      </w:r>
      <w:r w:rsidRPr="00EE07B7">
        <w:rPr>
          <w:rFonts w:cstheme="minorHAnsi"/>
          <w:i/>
          <w:sz w:val="18"/>
          <w:szCs w:val="18"/>
        </w:rPr>
        <w:t>of Connecticut Health Center, Asthma Center, Connecticut Children's Medical Center, Connecticut, United States of America,</w:t>
      </w:r>
      <w:r w:rsidRPr="00EE07B7">
        <w:rPr>
          <w:rFonts w:cstheme="minorHAnsi"/>
        </w:rPr>
        <w:t xml:space="preserve"> </w:t>
      </w:r>
      <w:r w:rsidR="00774F3B">
        <w:rPr>
          <w:rFonts w:cstheme="minorHAnsi"/>
          <w:i/>
          <w:sz w:val="18"/>
          <w:szCs w:val="18"/>
          <w:vertAlign w:val="superscript"/>
        </w:rPr>
        <w:t>7</w:t>
      </w:r>
      <w:r w:rsidRPr="00EE07B7">
        <w:rPr>
          <w:rFonts w:cstheme="minorHAnsi"/>
          <w:i/>
          <w:sz w:val="18"/>
          <w:szCs w:val="18"/>
        </w:rPr>
        <w:t xml:space="preserve">Department of Women's and Children's Health, University of Liverpool, Liverpool, UK, </w:t>
      </w:r>
      <w:r w:rsidR="00774F3B">
        <w:rPr>
          <w:rFonts w:cstheme="minorHAnsi"/>
          <w:i/>
          <w:sz w:val="18"/>
          <w:szCs w:val="18"/>
          <w:vertAlign w:val="superscript"/>
        </w:rPr>
        <w:t>8</w:t>
      </w:r>
      <w:r w:rsidRPr="00EE07B7">
        <w:rPr>
          <w:rFonts w:cstheme="minorHAnsi"/>
          <w:i/>
          <w:sz w:val="18"/>
          <w:szCs w:val="18"/>
        </w:rPr>
        <w:t xml:space="preserve">Alder Hey Children's Hospital, Liverpool, UK, </w:t>
      </w:r>
      <w:r w:rsidR="00774F3B">
        <w:rPr>
          <w:rFonts w:cstheme="minorHAnsi"/>
          <w:i/>
          <w:sz w:val="18"/>
          <w:szCs w:val="18"/>
          <w:vertAlign w:val="superscript"/>
        </w:rPr>
        <w:t>9</w:t>
      </w:r>
      <w:r w:rsidRPr="00EE07B7">
        <w:rPr>
          <w:rFonts w:cstheme="minorHAnsi"/>
          <w:i/>
          <w:sz w:val="18"/>
          <w:szCs w:val="18"/>
        </w:rPr>
        <w:t xml:space="preserve">Dept. of Pediatric Pneumology and Allergy, University Children's Hospital Regensburg (KUNO), Regensburg, Germany, </w:t>
      </w:r>
      <w:r w:rsidR="00774F3B">
        <w:rPr>
          <w:rFonts w:cstheme="minorHAnsi"/>
          <w:i/>
          <w:sz w:val="18"/>
          <w:szCs w:val="18"/>
          <w:vertAlign w:val="superscript"/>
        </w:rPr>
        <w:t>10</w:t>
      </w:r>
      <w:r w:rsidRPr="00EE07B7">
        <w:rPr>
          <w:rFonts w:cstheme="minorHAnsi"/>
          <w:i/>
          <w:sz w:val="18"/>
          <w:szCs w:val="18"/>
        </w:rPr>
        <w:t>Dept. of Pediatric Pneumology, Allergy and Neonatology, Hannover Medical School, Hannover, Germany.</w:t>
      </w:r>
      <w:r w:rsidRPr="00EE07B7">
        <w:rPr>
          <w:rFonts w:cstheme="minorHAnsi"/>
          <w:sz w:val="18"/>
          <w:szCs w:val="18"/>
        </w:rPr>
        <w:t xml:space="preserve"> </w:t>
      </w:r>
      <w:r w:rsidRPr="00EE07B7">
        <w:rPr>
          <w:rFonts w:cstheme="minorHAnsi"/>
          <w:i/>
          <w:sz w:val="18"/>
          <w:szCs w:val="18"/>
        </w:rPr>
        <w:t>Member of the German Lung Research Center (DZL)</w:t>
      </w:r>
      <w:r>
        <w:rPr>
          <w:rFonts w:cstheme="minorHAnsi"/>
          <w:i/>
          <w:sz w:val="18"/>
          <w:szCs w:val="18"/>
        </w:rPr>
        <w:t>,</w:t>
      </w:r>
      <w:r w:rsidR="00556528" w:rsidRPr="00556528">
        <w:rPr>
          <w:rFonts w:cstheme="minorHAnsi"/>
          <w:i/>
          <w:sz w:val="18"/>
          <w:szCs w:val="18"/>
          <w:vertAlign w:val="superscript"/>
        </w:rPr>
        <w:t>11</w:t>
      </w:r>
      <w:r w:rsidR="00556528" w:rsidRPr="00556528">
        <w:rPr>
          <w:rFonts w:cstheme="minorHAnsi"/>
          <w:i/>
          <w:sz w:val="18"/>
          <w:szCs w:val="18"/>
        </w:rPr>
        <w:t>Dept. of Medical Informatics, Erasmus University Medical Center, Rotterdam, the Netherlands.</w:t>
      </w:r>
      <w:r>
        <w:rPr>
          <w:rFonts w:cstheme="minorHAnsi"/>
          <w:i/>
          <w:sz w:val="18"/>
          <w:szCs w:val="18"/>
        </w:rPr>
        <w:t xml:space="preserve"> </w:t>
      </w:r>
      <w:r w:rsidR="00774F3B">
        <w:rPr>
          <w:rFonts w:cstheme="minorHAnsi"/>
          <w:i/>
          <w:sz w:val="18"/>
          <w:szCs w:val="18"/>
          <w:vertAlign w:val="superscript"/>
        </w:rPr>
        <w:t>1</w:t>
      </w:r>
      <w:r w:rsidR="00556528">
        <w:rPr>
          <w:rFonts w:cstheme="minorHAnsi"/>
          <w:i/>
          <w:sz w:val="18"/>
          <w:szCs w:val="18"/>
          <w:vertAlign w:val="superscript"/>
        </w:rPr>
        <w:t>2</w:t>
      </w:r>
      <w:r w:rsidRPr="00EE07B7">
        <w:rPr>
          <w:rFonts w:cstheme="minorHAnsi"/>
          <w:i/>
          <w:sz w:val="18"/>
          <w:szCs w:val="18"/>
        </w:rPr>
        <w:t xml:space="preserve">Institute of Environmental Medicine, Karolinska Institutet, Stockholm, Sweden, </w:t>
      </w:r>
      <w:r w:rsidR="00774F3B">
        <w:rPr>
          <w:rFonts w:cstheme="minorHAnsi"/>
          <w:i/>
          <w:sz w:val="18"/>
          <w:szCs w:val="18"/>
          <w:vertAlign w:val="superscript"/>
        </w:rPr>
        <w:t>1</w:t>
      </w:r>
      <w:r w:rsidR="00556528">
        <w:rPr>
          <w:rFonts w:cstheme="minorHAnsi"/>
          <w:i/>
          <w:sz w:val="18"/>
          <w:szCs w:val="18"/>
          <w:vertAlign w:val="superscript"/>
        </w:rPr>
        <w:t>3</w:t>
      </w:r>
      <w:r w:rsidRPr="00216449">
        <w:rPr>
          <w:rFonts w:cstheme="minorHAnsi"/>
          <w:i/>
          <w:sz w:val="18"/>
          <w:szCs w:val="18"/>
        </w:rPr>
        <w:t>Centre of Occupational and Environmental Medicine, Stockholm County Council</w:t>
      </w:r>
      <w:r>
        <w:rPr>
          <w:rFonts w:cstheme="minorHAnsi"/>
          <w:i/>
          <w:sz w:val="18"/>
          <w:szCs w:val="18"/>
        </w:rPr>
        <w:t>, Stockholm, Sweden,</w:t>
      </w:r>
      <w:r w:rsidRPr="00EE07B7">
        <w:rPr>
          <w:rFonts w:cstheme="minorHAnsi"/>
          <w:i/>
          <w:sz w:val="18"/>
          <w:szCs w:val="18"/>
        </w:rPr>
        <w:t xml:space="preserve"> </w:t>
      </w:r>
      <w:r w:rsidR="00774F3B">
        <w:rPr>
          <w:rFonts w:cstheme="minorHAnsi"/>
          <w:i/>
          <w:sz w:val="18"/>
          <w:szCs w:val="18"/>
          <w:vertAlign w:val="superscript"/>
        </w:rPr>
        <w:t>1</w:t>
      </w:r>
      <w:r w:rsidR="00556528">
        <w:rPr>
          <w:rFonts w:cstheme="minorHAnsi"/>
          <w:i/>
          <w:sz w:val="18"/>
          <w:szCs w:val="18"/>
          <w:vertAlign w:val="superscript"/>
        </w:rPr>
        <w:t>4</w:t>
      </w:r>
      <w:r w:rsidRPr="00247016">
        <w:rPr>
          <w:rFonts w:cstheme="minorHAnsi"/>
          <w:i/>
          <w:sz w:val="18"/>
          <w:szCs w:val="18"/>
        </w:rPr>
        <w:t>Academic Department of Paediatrics, Brighton and Sussex Medical School, Royal Alexandra Children's Hospital,  Brighton, United Kingdom</w:t>
      </w:r>
      <w:r>
        <w:rPr>
          <w:rFonts w:cstheme="minorHAnsi"/>
          <w:i/>
          <w:sz w:val="18"/>
          <w:szCs w:val="18"/>
        </w:rPr>
        <w:t xml:space="preserve">, </w:t>
      </w:r>
      <w:r w:rsidR="00774F3B">
        <w:rPr>
          <w:rFonts w:cstheme="minorHAnsi"/>
          <w:i/>
          <w:sz w:val="18"/>
          <w:szCs w:val="18"/>
          <w:vertAlign w:val="superscript"/>
        </w:rPr>
        <w:t>1</w:t>
      </w:r>
      <w:r w:rsidR="00556528">
        <w:rPr>
          <w:rFonts w:cstheme="minorHAnsi"/>
          <w:i/>
          <w:sz w:val="18"/>
          <w:szCs w:val="18"/>
          <w:vertAlign w:val="superscript"/>
        </w:rPr>
        <w:t>5</w:t>
      </w:r>
      <w:r w:rsidRPr="00247016">
        <w:rPr>
          <w:rFonts w:cstheme="minorHAnsi"/>
          <w:i/>
          <w:sz w:val="18"/>
          <w:szCs w:val="18"/>
        </w:rPr>
        <w:t xml:space="preserve">Population </w:t>
      </w:r>
      <w:r w:rsidRPr="00EE07B7">
        <w:rPr>
          <w:rFonts w:cstheme="minorHAnsi"/>
          <w:i/>
          <w:sz w:val="18"/>
          <w:szCs w:val="18"/>
        </w:rPr>
        <w:t>Pharmacogenetics Group, Biomedical Research Institute, Ninewells Hospital and Medical School, University of Dundee, Dundee, United Kingdom</w:t>
      </w:r>
      <w:r w:rsidR="00FE6038">
        <w:rPr>
          <w:rFonts w:cstheme="minorHAnsi"/>
          <w:i/>
          <w:sz w:val="18"/>
          <w:szCs w:val="18"/>
        </w:rPr>
        <w:t xml:space="preserve">, </w:t>
      </w:r>
      <w:r w:rsidR="00774F3B">
        <w:rPr>
          <w:rFonts w:cstheme="minorHAnsi"/>
          <w:i/>
          <w:sz w:val="18"/>
          <w:szCs w:val="18"/>
          <w:vertAlign w:val="superscript"/>
        </w:rPr>
        <w:t>1</w:t>
      </w:r>
      <w:r w:rsidR="00556528">
        <w:rPr>
          <w:rFonts w:cstheme="minorHAnsi"/>
          <w:i/>
          <w:sz w:val="18"/>
          <w:szCs w:val="18"/>
          <w:vertAlign w:val="superscript"/>
        </w:rPr>
        <w:t>6</w:t>
      </w:r>
      <w:r w:rsidR="00FE6038" w:rsidRPr="00EE07B7">
        <w:rPr>
          <w:rFonts w:cstheme="minorHAnsi"/>
          <w:i/>
          <w:sz w:val="18"/>
          <w:szCs w:val="18"/>
        </w:rPr>
        <w:t>CIBER de Enfermedades Respiratorias, Instituto de S</w:t>
      </w:r>
      <w:r w:rsidR="00FE6038">
        <w:rPr>
          <w:rFonts w:cstheme="minorHAnsi"/>
          <w:i/>
          <w:sz w:val="18"/>
          <w:szCs w:val="18"/>
        </w:rPr>
        <w:t xml:space="preserve">alud Carlos III, Madrid, Spain, </w:t>
      </w:r>
      <w:r w:rsidR="00774F3B">
        <w:rPr>
          <w:rFonts w:cstheme="minorHAnsi"/>
          <w:i/>
          <w:sz w:val="18"/>
          <w:szCs w:val="18"/>
          <w:vertAlign w:val="superscript"/>
        </w:rPr>
        <w:t>1</w:t>
      </w:r>
      <w:r w:rsidR="00556528">
        <w:rPr>
          <w:rFonts w:cstheme="minorHAnsi"/>
          <w:i/>
          <w:sz w:val="18"/>
          <w:szCs w:val="18"/>
          <w:vertAlign w:val="superscript"/>
        </w:rPr>
        <w:t>7</w:t>
      </w:r>
      <w:r w:rsidR="00FE6038" w:rsidRPr="00EE07B7">
        <w:rPr>
          <w:rFonts w:cstheme="minorHAnsi"/>
          <w:i/>
          <w:sz w:val="18"/>
          <w:szCs w:val="18"/>
        </w:rPr>
        <w:t>Research Unit, Hospital Universitario N.S. de Candelaria, Santa Cruz de Tenerife, Spain</w:t>
      </w:r>
      <w:r w:rsidR="00FE6038">
        <w:rPr>
          <w:rFonts w:cstheme="minorHAnsi"/>
        </w:rPr>
        <w:t xml:space="preserve">, </w:t>
      </w:r>
      <w:r w:rsidR="00774F3B">
        <w:rPr>
          <w:rFonts w:cstheme="minorHAnsi"/>
          <w:i/>
          <w:sz w:val="18"/>
          <w:vertAlign w:val="superscript"/>
        </w:rPr>
        <w:t>1</w:t>
      </w:r>
      <w:r w:rsidR="00556528">
        <w:rPr>
          <w:rFonts w:cstheme="minorHAnsi"/>
          <w:i/>
          <w:sz w:val="18"/>
          <w:vertAlign w:val="superscript"/>
        </w:rPr>
        <w:t>8</w:t>
      </w:r>
      <w:r w:rsidRPr="00EE07B7">
        <w:rPr>
          <w:rFonts w:cstheme="minorHAnsi"/>
          <w:i/>
          <w:sz w:val="18"/>
          <w:szCs w:val="18"/>
        </w:rPr>
        <w:t xml:space="preserve">Department of Molecular and Clinical Pharmacology, Institute of Translational Medicine, University of Liverpool, Liverpool, United Kingdom, </w:t>
      </w:r>
      <w:r w:rsidR="00774F3B">
        <w:rPr>
          <w:rFonts w:cstheme="minorHAnsi"/>
          <w:i/>
          <w:sz w:val="18"/>
          <w:szCs w:val="18"/>
          <w:vertAlign w:val="superscript"/>
        </w:rPr>
        <w:t>1</w:t>
      </w:r>
      <w:r w:rsidR="00556528">
        <w:rPr>
          <w:rFonts w:cstheme="minorHAnsi"/>
          <w:i/>
          <w:sz w:val="18"/>
          <w:szCs w:val="18"/>
          <w:vertAlign w:val="superscript"/>
        </w:rPr>
        <w:t>9</w:t>
      </w:r>
      <w:r w:rsidRPr="00EE07B7">
        <w:rPr>
          <w:rFonts w:cstheme="minorHAnsi"/>
          <w:i/>
          <w:sz w:val="18"/>
          <w:szCs w:val="18"/>
        </w:rPr>
        <w:t xml:space="preserve">Centre for Human Molecular Genetics and Pharmacogenomics, Faculty of Medicine, University of Maribor, Maribor, Slovenia, </w:t>
      </w:r>
      <w:r w:rsidR="00556528">
        <w:rPr>
          <w:rFonts w:cstheme="minorHAnsi"/>
          <w:i/>
          <w:sz w:val="18"/>
          <w:szCs w:val="18"/>
          <w:vertAlign w:val="superscript"/>
        </w:rPr>
        <w:t>20</w:t>
      </w:r>
      <w:r w:rsidRPr="00EE07B7">
        <w:rPr>
          <w:rFonts w:cstheme="minorHAnsi"/>
          <w:i/>
          <w:sz w:val="18"/>
          <w:szCs w:val="18"/>
        </w:rPr>
        <w:t xml:space="preserve">Faculty for Chemistry and Chemical Engineering, University of Maribor, Maribor, Slovenia, </w:t>
      </w:r>
      <w:r w:rsidR="00556528">
        <w:rPr>
          <w:rFonts w:cstheme="minorHAnsi"/>
          <w:i/>
          <w:sz w:val="18"/>
          <w:szCs w:val="18"/>
          <w:vertAlign w:val="superscript"/>
        </w:rPr>
        <w:t>21</w:t>
      </w:r>
      <w:r w:rsidRPr="00EE07B7">
        <w:rPr>
          <w:rFonts w:cstheme="minorHAnsi"/>
          <w:i/>
          <w:sz w:val="18"/>
          <w:szCs w:val="18"/>
        </w:rPr>
        <w:t>Institute of Child Health, University College London, London, United Kingdom,</w:t>
      </w:r>
      <w:r>
        <w:rPr>
          <w:rFonts w:cstheme="minorHAnsi"/>
          <w:i/>
          <w:sz w:val="18"/>
          <w:szCs w:val="18"/>
        </w:rPr>
        <w:t xml:space="preserve"> </w:t>
      </w:r>
      <w:r w:rsidRPr="00EE07B7">
        <w:rPr>
          <w:rFonts w:cstheme="minorHAnsi"/>
          <w:i/>
          <w:sz w:val="18"/>
          <w:szCs w:val="18"/>
        </w:rPr>
        <w:t xml:space="preserve"> </w:t>
      </w:r>
      <w:r w:rsidR="00556528">
        <w:rPr>
          <w:rFonts w:cstheme="minorHAnsi"/>
          <w:i/>
          <w:sz w:val="18"/>
          <w:szCs w:val="18"/>
          <w:vertAlign w:val="superscript"/>
        </w:rPr>
        <w:t>22</w:t>
      </w:r>
      <w:r w:rsidR="00185D90">
        <w:rPr>
          <w:rFonts w:cstheme="minorHAnsi"/>
          <w:i/>
          <w:sz w:val="18"/>
          <w:szCs w:val="18"/>
        </w:rPr>
        <w:t>T</w:t>
      </w:r>
      <w:r w:rsidRPr="00EE07B7">
        <w:rPr>
          <w:rFonts w:cstheme="minorHAnsi"/>
          <w:i/>
          <w:sz w:val="18"/>
          <w:szCs w:val="18"/>
        </w:rPr>
        <w:t xml:space="preserve">he Channing Division of Network Medicine, Dept. of Medicine, Brigham and Women’s hospital and Harvard Medical School, Boston, United States of America, </w:t>
      </w:r>
      <w:r w:rsidR="00185D90">
        <w:rPr>
          <w:rFonts w:cstheme="minorHAnsi"/>
          <w:i/>
          <w:sz w:val="18"/>
          <w:szCs w:val="18"/>
          <w:vertAlign w:val="superscript"/>
        </w:rPr>
        <w:t>2</w:t>
      </w:r>
      <w:r w:rsidR="00556528">
        <w:rPr>
          <w:rFonts w:cstheme="minorHAnsi"/>
          <w:i/>
          <w:sz w:val="18"/>
          <w:szCs w:val="18"/>
          <w:vertAlign w:val="superscript"/>
        </w:rPr>
        <w:t>3</w:t>
      </w:r>
      <w:r w:rsidRPr="00EE07B7">
        <w:rPr>
          <w:rFonts w:cstheme="minorHAnsi"/>
          <w:i/>
          <w:sz w:val="18"/>
          <w:szCs w:val="18"/>
        </w:rPr>
        <w:t xml:space="preserve">Division of Pulmonary and Critical Care Medicine, Brigham and Women's Hospital and Harvard Medical School, Boston, MA, United States of America, </w:t>
      </w:r>
      <w:r w:rsidR="00774F3B">
        <w:rPr>
          <w:rFonts w:cstheme="minorHAnsi"/>
          <w:i/>
          <w:sz w:val="18"/>
          <w:szCs w:val="18"/>
          <w:vertAlign w:val="superscript"/>
        </w:rPr>
        <w:t>2</w:t>
      </w:r>
      <w:r w:rsidR="00556528">
        <w:rPr>
          <w:rFonts w:cstheme="minorHAnsi"/>
          <w:i/>
          <w:sz w:val="18"/>
          <w:szCs w:val="18"/>
          <w:vertAlign w:val="superscript"/>
        </w:rPr>
        <w:t>4</w:t>
      </w:r>
      <w:r w:rsidRPr="00EE07B7">
        <w:rPr>
          <w:rFonts w:cstheme="minorHAnsi"/>
          <w:i/>
          <w:sz w:val="18"/>
          <w:szCs w:val="18"/>
        </w:rPr>
        <w:t>Child Health, University of Aberdeen, Aberdeen, United Kingdom</w:t>
      </w:r>
      <w:r w:rsidR="00BF5E4B">
        <w:rPr>
          <w:rFonts w:cstheme="minorHAnsi"/>
          <w:i/>
          <w:sz w:val="18"/>
          <w:szCs w:val="18"/>
        </w:rPr>
        <w:t xml:space="preserve">. </w:t>
      </w:r>
    </w:p>
    <w:p w14:paraId="126DEAA3" w14:textId="1DCF37F9" w:rsidR="008F3DFC" w:rsidRDefault="008F3DFC" w:rsidP="007E40C4">
      <w:pPr>
        <w:rPr>
          <w:rFonts w:cstheme="minorHAnsi"/>
          <w:i/>
          <w:sz w:val="18"/>
          <w:szCs w:val="18"/>
        </w:rPr>
      </w:pPr>
    </w:p>
    <w:p w14:paraId="31A30D3F" w14:textId="573FEFCB" w:rsidR="008F3DFC" w:rsidRDefault="008F3DFC" w:rsidP="007E40C4">
      <w:pPr>
        <w:rPr>
          <w:rFonts w:cstheme="minorHAnsi"/>
          <w:i/>
          <w:sz w:val="18"/>
          <w:szCs w:val="18"/>
        </w:rPr>
      </w:pPr>
    </w:p>
    <w:p w14:paraId="4ADF2AA4" w14:textId="6E73C4FE" w:rsidR="008F3DFC" w:rsidRDefault="008F3DFC" w:rsidP="007E40C4">
      <w:pPr>
        <w:rPr>
          <w:rFonts w:cstheme="minorHAnsi"/>
          <w:i/>
          <w:sz w:val="18"/>
          <w:szCs w:val="18"/>
        </w:rPr>
      </w:pPr>
    </w:p>
    <w:p w14:paraId="6A59484B" w14:textId="7E37678B" w:rsidR="008F3DFC" w:rsidRDefault="008F3DFC" w:rsidP="007E40C4">
      <w:pPr>
        <w:rPr>
          <w:rFonts w:cstheme="minorHAnsi"/>
          <w:i/>
          <w:sz w:val="18"/>
          <w:szCs w:val="18"/>
        </w:rPr>
      </w:pPr>
    </w:p>
    <w:p w14:paraId="2E8C3AD4" w14:textId="54B9B041" w:rsidR="008F3DFC" w:rsidRDefault="008F3DFC" w:rsidP="007E40C4">
      <w:pPr>
        <w:rPr>
          <w:rFonts w:cstheme="minorHAnsi"/>
          <w:i/>
          <w:sz w:val="18"/>
          <w:szCs w:val="18"/>
        </w:rPr>
      </w:pPr>
    </w:p>
    <w:p w14:paraId="72AB9443" w14:textId="3B63C8B3" w:rsidR="008F3DFC" w:rsidRDefault="008F3DFC" w:rsidP="007E40C4">
      <w:pPr>
        <w:rPr>
          <w:rFonts w:cstheme="minorHAnsi"/>
          <w:i/>
          <w:sz w:val="18"/>
          <w:szCs w:val="18"/>
        </w:rPr>
      </w:pPr>
    </w:p>
    <w:p w14:paraId="7E174654" w14:textId="5DF1F368" w:rsidR="008F3DFC" w:rsidRDefault="008F3DFC" w:rsidP="007E40C4">
      <w:pPr>
        <w:rPr>
          <w:rFonts w:cstheme="minorHAnsi"/>
          <w:i/>
          <w:sz w:val="18"/>
          <w:szCs w:val="18"/>
        </w:rPr>
      </w:pPr>
    </w:p>
    <w:p w14:paraId="2613D664" w14:textId="62148C99" w:rsidR="008F3DFC" w:rsidRDefault="008F3DFC" w:rsidP="007E40C4">
      <w:pPr>
        <w:rPr>
          <w:rFonts w:cstheme="minorHAnsi"/>
          <w:i/>
          <w:sz w:val="18"/>
          <w:szCs w:val="18"/>
        </w:rPr>
      </w:pPr>
    </w:p>
    <w:p w14:paraId="4962B45B" w14:textId="77777777" w:rsidR="008F3DFC" w:rsidRPr="003154CF" w:rsidRDefault="008F3DFC" w:rsidP="007E40C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E78DE8" w14:textId="77777777" w:rsidR="00467E00" w:rsidRDefault="00467E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3BD267" w14:textId="77777777" w:rsidR="003C0527" w:rsidRDefault="003C05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</w:p>
    <w:p w14:paraId="6E037A14" w14:textId="2CC3FF84" w:rsidR="002654A1" w:rsidRPr="003154CF" w:rsidRDefault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Background:</w:t>
      </w:r>
      <w:r w:rsidR="00371F94" w:rsidRPr="00371F94">
        <w:rPr>
          <w:rFonts w:ascii="Times New Roman" w:hAnsi="Times New Roman" w:cs="Times New Roman"/>
          <w:color w:val="000000" w:themeColor="text1"/>
          <w:sz w:val="24"/>
          <w:szCs w:val="24"/>
        </w:rPr>
        <w:t>17q21 gene variants are the strongest known genetic determinants for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early onset</w:t>
      </w:r>
      <w:r w:rsidR="00371F94" w:rsidRPr="0037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childhood asthma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have also 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been 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associated with uncontrolled asthma despite asthma treatment.</w:t>
      </w:r>
    </w:p>
    <w:p w14:paraId="166F481B" w14:textId="05B11A31" w:rsidR="00F410DC" w:rsidRPr="003154CF" w:rsidRDefault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Aim: To assess the association between </w:t>
      </w:r>
      <w:r w:rsidR="008D218E">
        <w:rPr>
          <w:rFonts w:ascii="Times New Roman" w:hAnsi="Times New Roman" w:cs="Times New Roman"/>
          <w:color w:val="000000" w:themeColor="text1"/>
          <w:sz w:val="24"/>
          <w:szCs w:val="24"/>
        </w:rPr>
        <w:t>a variant</w:t>
      </w:r>
      <w:r w:rsidR="008D218E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>the 17q21 locus (</w:t>
      </w:r>
      <w:r w:rsidR="00467E00" w:rsidRPr="003B2EF8">
        <w:rPr>
          <w:rFonts w:ascii="Times New Roman" w:hAnsi="Times New Roman" w:cs="Times New Roman"/>
          <w:color w:val="000000" w:themeColor="text1"/>
          <w:sz w:val="24"/>
          <w:szCs w:val="24"/>
        </w:rPr>
        <w:t>rs7216389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asthma exacerbations 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despite </w:t>
      </w:r>
      <w:r w:rsidR="008D2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use of 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>inhaled corticosteroids (ICS) in asthmatic children and young adults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2DEA95" w14:textId="44CA2242" w:rsidR="00671AB9" w:rsidRDefault="00F410D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Methods: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</w:t>
      </w:r>
      <w:r w:rsidR="00C25576">
        <w:rPr>
          <w:rFonts w:ascii="Times New Roman" w:hAnsi="Times New Roman" w:cs="Times New Roman"/>
          <w:color w:val="000000" w:themeColor="text1"/>
          <w:sz w:val="24"/>
          <w:szCs w:val="24"/>
        </w:rPr>
        <w:t>meta-</w:t>
      </w:r>
      <w:r w:rsidR="004401A7">
        <w:rPr>
          <w:rFonts w:ascii="Times New Roman" w:hAnsi="Times New Roman" w:cs="Times New Roman"/>
          <w:color w:val="000000" w:themeColor="text1"/>
          <w:sz w:val="24"/>
          <w:szCs w:val="24"/>
        </w:rPr>
        <w:t>analyzed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association between </w:t>
      </w:r>
      <w:r w:rsidR="00EC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>17q21 locus (</w:t>
      </w:r>
      <w:r w:rsidR="007D6B47" w:rsidRPr="003B2EF8">
        <w:rPr>
          <w:rFonts w:ascii="Times New Roman" w:hAnsi="Times New Roman" w:cs="Times New Roman"/>
          <w:color w:val="000000" w:themeColor="text1"/>
          <w:sz w:val="24"/>
          <w:szCs w:val="24"/>
        </w:rPr>
        <w:t>rs7216389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exacerbation</w:t>
      </w:r>
      <w:r w:rsidR="0097485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863DF2">
        <w:rPr>
          <w:rFonts w:ascii="Times New Roman" w:hAnsi="Times New Roman" w:cs="Times New Roman"/>
          <w:color w:val="000000" w:themeColor="text1"/>
          <w:sz w:val="24"/>
          <w:szCs w:val="24"/>
        </w:rPr>
        <w:t>4,156</w:t>
      </w:r>
      <w:r w:rsidR="00C25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children and young adults with reported ICS use in </w:t>
      </w:r>
      <w:r w:rsidR="008F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twelve 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>studies participating in the global Pharmacogenomics of Childhood Asthma (PiCA) consortium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following studies were included: 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BAMSE 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(n=122, Sweden),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BREATHE</w:t>
      </w:r>
      <w:r w:rsidR="0070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n=806,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Scotland, 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UK),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CAMP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(n=172, USA)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eSTATE </w:t>
      </w:r>
      <w:r w:rsidR="00350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(n=102, the Netherlands), 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GALA II (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>n=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>745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), HPR (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>n=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>123, USA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35012D">
        <w:rPr>
          <w:rFonts w:ascii="Times New Roman" w:hAnsi="Times New Roman" w:cs="Times New Roman"/>
          <w:color w:val="000000" w:themeColor="text1"/>
          <w:sz w:val="24"/>
          <w:szCs w:val="24"/>
        </w:rPr>
        <w:t>MAGICS (n=155, Germany)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PACMAN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n= 530,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the Netherlands),</w:t>
      </w:r>
      <w:r w:rsidR="00E31721" w:rsidRPr="00E3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PAGES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n=354,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Scotland, 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>UK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PASS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=390, 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>UK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50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1721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SAGE II (</w:t>
      </w:r>
      <w:r w:rsidR="00E31721">
        <w:rPr>
          <w:rFonts w:ascii="Times New Roman" w:hAnsi="Times New Roman" w:cs="Times New Roman"/>
          <w:color w:val="000000" w:themeColor="text1"/>
          <w:sz w:val="24"/>
          <w:szCs w:val="24"/>
        </w:rPr>
        <w:t>n=468, USA)</w:t>
      </w:r>
      <w:r w:rsidR="00350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SLOVENIA (n=199, Slovenia)</w:t>
      </w:r>
      <w:r w:rsidR="0046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outcome measures were </w:t>
      </w:r>
      <w:r w:rsidR="00671AB9">
        <w:rPr>
          <w:rFonts w:ascii="Times New Roman" w:hAnsi="Times New Roman" w:cs="Times New Roman"/>
          <w:color w:val="000000" w:themeColor="text1"/>
          <w:sz w:val="24"/>
          <w:szCs w:val="24"/>
        </w:rPr>
        <w:t>studied</w:t>
      </w:r>
      <w:r w:rsidR="0086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5012D">
        <w:rPr>
          <w:rFonts w:ascii="Times New Roman" w:hAnsi="Times New Roman" w:cs="Times New Roman"/>
          <w:color w:val="000000" w:themeColor="text1"/>
          <w:sz w:val="24"/>
          <w:szCs w:val="24"/>
        </w:rPr>
        <w:t>hospitalization/emergency room (ER) visits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(available in </w:t>
      </w:r>
      <w:r w:rsidR="00863DF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n= </w:t>
      </w:r>
      <w:r w:rsidR="00863DF2">
        <w:rPr>
          <w:rFonts w:ascii="Times New Roman" w:hAnsi="Times New Roman" w:cs="Times New Roman"/>
          <w:color w:val="000000" w:themeColor="text1"/>
          <w:sz w:val="24"/>
          <w:szCs w:val="24"/>
        </w:rPr>
        <w:t>4,156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patients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and oral corticosteroid (OCS) use</w:t>
      </w:r>
      <w:r w:rsidR="00350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(available in </w:t>
      </w:r>
      <w:r w:rsidR="00863DF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>, n=</w:t>
      </w:r>
      <w:r w:rsidR="00863DF2">
        <w:rPr>
          <w:rFonts w:ascii="Times New Roman" w:hAnsi="Times New Roman" w:cs="Times New Roman"/>
          <w:color w:val="000000" w:themeColor="text1"/>
          <w:sz w:val="24"/>
          <w:szCs w:val="24"/>
        </w:rPr>
        <w:t>3,512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patients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5012D">
        <w:rPr>
          <w:rFonts w:ascii="Times New Roman" w:hAnsi="Times New Roman" w:cs="Times New Roman"/>
          <w:color w:val="000000" w:themeColor="text1"/>
          <w:sz w:val="24"/>
          <w:szCs w:val="24"/>
        </w:rPr>
        <w:t>in the last 6</w:t>
      </w:r>
      <w:r w:rsidR="0070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35012D">
        <w:rPr>
          <w:rFonts w:ascii="Times New Roman" w:hAnsi="Times New Roman" w:cs="Times New Roman"/>
          <w:color w:val="000000" w:themeColor="text1"/>
          <w:sz w:val="24"/>
          <w:szCs w:val="24"/>
        </w:rPr>
        <w:t>12 months of the study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first year of the trial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>Meta-analyse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>s with rand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>om effects were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performed using a</w:t>
      </w:r>
      <w:r w:rsidR="00772CE3">
        <w:rPr>
          <w:rFonts w:ascii="Times New Roman" w:hAnsi="Times New Roman" w:cs="Times New Roman"/>
          <w:color w:val="000000" w:themeColor="text1"/>
          <w:sz w:val="24"/>
          <w:szCs w:val="24"/>
        </w:rPr>
        <w:t>n additive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genetic</w:t>
      </w:r>
      <w:r w:rsidR="0077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="0086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adjusted for age, gender and British Thoracic Society (BTS)</w:t>
      </w:r>
      <w:r w:rsidR="00863DF2" w:rsidRPr="0086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DF2">
        <w:rPr>
          <w:rFonts w:ascii="Times New Roman" w:hAnsi="Times New Roman" w:cs="Times New Roman"/>
          <w:color w:val="000000" w:themeColor="text1"/>
          <w:sz w:val="24"/>
          <w:szCs w:val="24"/>
        </w:rPr>
        <w:t>treatment steps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313D61" w14:textId="00122292" w:rsidR="00F410DC" w:rsidRPr="003154CF" w:rsidRDefault="00F410D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Results: </w:t>
      </w:r>
      <w:r w:rsidR="008D218E">
        <w:rPr>
          <w:rFonts w:ascii="Times New Roman" w:hAnsi="Times New Roman" w:cs="Times New Roman"/>
          <w:color w:val="000000" w:themeColor="text1"/>
          <w:sz w:val="24"/>
          <w:szCs w:val="24"/>
        </w:rPr>
        <w:t>The variant in the</w:t>
      </w:r>
      <w:r w:rsidR="00C25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17q21 locus 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70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statistically </w:t>
      </w:r>
      <w:r w:rsidR="0022415A">
        <w:rPr>
          <w:rFonts w:ascii="Times New Roman" w:hAnsi="Times New Roman" w:cs="Times New Roman"/>
          <w:color w:val="000000" w:themeColor="text1"/>
          <w:sz w:val="24"/>
          <w:szCs w:val="24"/>
        </w:rPr>
        <w:t>significantly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associated with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increased risk of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OCS use (OR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increase in variant allele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= 1.</w:t>
      </w:r>
      <w:r w:rsidR="0022415A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7712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95%</w:t>
      </w:r>
      <w:r w:rsidR="008F3DFC">
        <w:rPr>
          <w:rFonts w:ascii="Times New Roman" w:hAnsi="Times New Roman" w:cs="Times New Roman"/>
          <w:color w:val="000000" w:themeColor="text1"/>
          <w:sz w:val="24"/>
          <w:szCs w:val="24"/>
        </w:rPr>
        <w:t>CI: 1.02-1.39, p=0.03) (fig 1).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</w:t>
      </w:r>
      <w:r w:rsidR="008F3DFC">
        <w:rPr>
          <w:rFonts w:ascii="Times New Roman" w:hAnsi="Times New Roman" w:cs="Times New Roman"/>
          <w:color w:val="000000" w:themeColor="text1"/>
          <w:sz w:val="24"/>
          <w:szCs w:val="24"/>
        </w:rPr>
        <w:t>e SNP was not</w:t>
      </w:r>
      <w:r w:rsidR="00350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statistically</w:t>
      </w:r>
      <w:r w:rsidR="008F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significantly associated 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hospitalization / ER visits, </w:t>
      </w:r>
      <w:r w:rsidR="0070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 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>though the summary effect estimate pointed in the same direction</w:t>
      </w:r>
      <w:r w:rsidR="008F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66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>OR per increase in variant allele=</w:t>
      </w:r>
      <w:r w:rsidR="0086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1.17</w:t>
      </w:r>
      <w:r w:rsidR="00774F3B">
        <w:rPr>
          <w:rFonts w:ascii="Times New Roman" w:hAnsi="Times New Roman" w:cs="Times New Roman"/>
          <w:color w:val="000000" w:themeColor="text1"/>
          <w:sz w:val="24"/>
          <w:szCs w:val="24"/>
        </w:rPr>
        <w:t>, 95%CI: 0.96- 1.42</w:t>
      </w:r>
      <w:r w:rsidR="0037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39E62F79" w14:textId="6783752F" w:rsidR="00F410DC" w:rsidRPr="0035012D" w:rsidRDefault="00F410DC" w:rsidP="00F410DC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Conclusion: </w:t>
      </w:r>
      <w:r w:rsidR="0035012D" w:rsidRPr="0035012D">
        <w:rPr>
          <w:rFonts w:ascii="Times New Roman" w:eastAsia="Calibri" w:hAnsi="Times New Roman" w:cs="Times New Roman"/>
          <w:sz w:val="24"/>
        </w:rPr>
        <w:t>The findings suggest that variation in the 17q21 locus contri</w:t>
      </w:r>
      <w:r w:rsidR="0019666B">
        <w:rPr>
          <w:rFonts w:ascii="Times New Roman" w:eastAsia="Calibri" w:hAnsi="Times New Roman" w:cs="Times New Roman"/>
          <w:sz w:val="24"/>
        </w:rPr>
        <w:t>bute</w:t>
      </w:r>
      <w:r w:rsidR="00704B6C">
        <w:rPr>
          <w:rFonts w:ascii="Times New Roman" w:eastAsia="Calibri" w:hAnsi="Times New Roman" w:cs="Times New Roman"/>
          <w:sz w:val="24"/>
        </w:rPr>
        <w:t>s</w:t>
      </w:r>
      <w:r w:rsidR="0035012D" w:rsidRPr="0035012D">
        <w:rPr>
          <w:rFonts w:ascii="Times New Roman" w:eastAsia="Calibri" w:hAnsi="Times New Roman" w:cs="Times New Roman"/>
          <w:sz w:val="24"/>
        </w:rPr>
        <w:t xml:space="preserve"> to </w:t>
      </w:r>
      <w:r w:rsidR="008D218E">
        <w:rPr>
          <w:rFonts w:ascii="Times New Roman" w:eastAsia="Calibri" w:hAnsi="Times New Roman" w:cs="Times New Roman"/>
          <w:sz w:val="24"/>
        </w:rPr>
        <w:t>a higher risk of exacerbations despite the use of</w:t>
      </w:r>
      <w:r w:rsidR="0019666B">
        <w:rPr>
          <w:rFonts w:ascii="Times New Roman" w:eastAsia="Calibri" w:hAnsi="Times New Roman" w:cs="Times New Roman"/>
          <w:sz w:val="24"/>
        </w:rPr>
        <w:t xml:space="preserve"> ICS in children and young adults. </w:t>
      </w:r>
    </w:p>
    <w:p w14:paraId="36616B33" w14:textId="4D3B724E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9D0242" w14:textId="2E6C9BB5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E40CE" w14:textId="77777777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99715" w14:textId="63D5EAE0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08318" w14:textId="48D202E4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5B022" w14:textId="77777777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A19A8" w14:textId="10973A4B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A41741" w14:textId="761CE171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19B2B" w14:textId="51AAA8D8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C59B6" w14:textId="29AA5C88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C96D7" w14:textId="032369E3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1CA4A" w14:textId="59DA1B6D" w:rsid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B0B52" w14:textId="77777777" w:rsidR="008F3DFC" w:rsidRPr="008F3DFC" w:rsidRDefault="008F3DFC" w:rsidP="00F410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7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8F3DFC" w14:paraId="674F7261" w14:textId="77777777" w:rsidTr="008F3DFC">
        <w:trPr>
          <w:trHeight w:val="4037"/>
        </w:trPr>
        <w:tc>
          <w:tcPr>
            <w:tcW w:w="9350" w:type="dxa"/>
          </w:tcPr>
          <w:p w14:paraId="1A270DF7" w14:textId="002F068D" w:rsidR="008F3DFC" w:rsidRDefault="00556528" w:rsidP="008F3DFC"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1019E22" wp14:editId="2F238195">
                  <wp:extent cx="5939790" cy="2977515"/>
                  <wp:effectExtent l="0" t="0" r="3810" b="0"/>
                  <wp:docPr id="1" name="Picture 1" descr="final_OCS_analy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OCS_analy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297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DFC" w14:paraId="41B7EAAA" w14:textId="77777777" w:rsidTr="008F3DFC">
        <w:trPr>
          <w:trHeight w:val="620"/>
        </w:trPr>
        <w:tc>
          <w:tcPr>
            <w:tcW w:w="9350" w:type="dxa"/>
          </w:tcPr>
          <w:p w14:paraId="6DE3CF2C" w14:textId="100C2429" w:rsidR="008F3DFC" w:rsidRPr="00002E9F" w:rsidRDefault="008F3DFC" w:rsidP="008F3DFC">
            <w:pPr>
              <w:spacing w:line="48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Figure 1. Forest Plot</w:t>
            </w:r>
            <w:r w:rsidRPr="00002E9F">
              <w:rPr>
                <w:rFonts w:ascii="Times New Roman" w:hAnsi="Times New Roman"/>
                <w:sz w:val="20"/>
              </w:rPr>
              <w:t xml:space="preserve"> of rs7216389 for </w:t>
            </w:r>
            <w:r>
              <w:rPr>
                <w:rFonts w:ascii="Times New Roman" w:hAnsi="Times New Roman"/>
                <w:sz w:val="20"/>
              </w:rPr>
              <w:t>OCS use</w:t>
            </w:r>
            <w:r w:rsidRPr="00002E9F">
              <w:rPr>
                <w:rFonts w:ascii="Times New Roman" w:hAnsi="Times New Roman"/>
                <w:sz w:val="20"/>
              </w:rPr>
              <w:t xml:space="preserve"> in all studies. Odds Ratios (OR) and corresponding 95% Confidence Intervals (95% CI) for individuals with rs7216389, controlling for age, sex and BTS treatment step.  </w:t>
            </w:r>
            <w:r w:rsidRPr="00002E9F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  <w:p w14:paraId="578FC651" w14:textId="77777777" w:rsidR="008F3DFC" w:rsidRDefault="008F3DFC" w:rsidP="008F3DFC">
            <w:pPr>
              <w:rPr>
                <w:noProof/>
              </w:rPr>
            </w:pPr>
          </w:p>
        </w:tc>
      </w:tr>
    </w:tbl>
    <w:p w14:paraId="1A024318" w14:textId="57713C3D" w:rsidR="00772CE3" w:rsidRPr="003154CF" w:rsidRDefault="00772CE3" w:rsidP="00F410DC">
      <w:pPr>
        <w:rPr>
          <w:rFonts w:ascii="Times New Roman" w:hAnsi="Times New Roman" w:cs="Times New Roman"/>
          <w:sz w:val="24"/>
          <w:szCs w:val="24"/>
        </w:rPr>
      </w:pPr>
    </w:p>
    <w:sectPr w:rsidR="00772CE3" w:rsidRPr="0031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DC"/>
    <w:rsid w:val="00100A6B"/>
    <w:rsid w:val="00141D47"/>
    <w:rsid w:val="00185D90"/>
    <w:rsid w:val="0019666B"/>
    <w:rsid w:val="0022415A"/>
    <w:rsid w:val="002654A1"/>
    <w:rsid w:val="003154CF"/>
    <w:rsid w:val="0035012D"/>
    <w:rsid w:val="00371F94"/>
    <w:rsid w:val="003C0527"/>
    <w:rsid w:val="004401A7"/>
    <w:rsid w:val="00467E00"/>
    <w:rsid w:val="00534218"/>
    <w:rsid w:val="00556528"/>
    <w:rsid w:val="005C7712"/>
    <w:rsid w:val="005D36AF"/>
    <w:rsid w:val="00671AB9"/>
    <w:rsid w:val="00704B6C"/>
    <w:rsid w:val="00771AB1"/>
    <w:rsid w:val="00772CE3"/>
    <w:rsid w:val="00774F3B"/>
    <w:rsid w:val="007D6B47"/>
    <w:rsid w:val="007E40C4"/>
    <w:rsid w:val="00863DF2"/>
    <w:rsid w:val="008D218E"/>
    <w:rsid w:val="008F3DFC"/>
    <w:rsid w:val="00942426"/>
    <w:rsid w:val="00974853"/>
    <w:rsid w:val="009C61ED"/>
    <w:rsid w:val="00B47A01"/>
    <w:rsid w:val="00BD3B23"/>
    <w:rsid w:val="00BF5E4B"/>
    <w:rsid w:val="00BF659F"/>
    <w:rsid w:val="00C25576"/>
    <w:rsid w:val="00D30DD9"/>
    <w:rsid w:val="00DD5F75"/>
    <w:rsid w:val="00E31721"/>
    <w:rsid w:val="00EC1414"/>
    <w:rsid w:val="00EC1B9B"/>
    <w:rsid w:val="00F410DC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5F11C"/>
  <w15:docId w15:val="{20FD9BEE-CF93-42BF-93CA-AC10FF9A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7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Farzan, N.</dc:creator>
  <cp:keywords/>
  <dc:description/>
  <cp:lastModifiedBy>User</cp:lastModifiedBy>
  <cp:revision>2</cp:revision>
  <dcterms:created xsi:type="dcterms:W3CDTF">2016-10-30T20:36:00Z</dcterms:created>
  <dcterms:modified xsi:type="dcterms:W3CDTF">2016-10-30T20:36:00Z</dcterms:modified>
</cp:coreProperties>
</file>