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1F" w:rsidRDefault="0006201F" w:rsidP="0006201F">
      <w:pPr>
        <w:rPr>
          <w:b/>
          <w:sz w:val="28"/>
          <w:szCs w:val="28"/>
        </w:rPr>
      </w:pPr>
      <w:bookmarkStart w:id="0" w:name="_GoBack"/>
      <w:bookmarkEnd w:id="0"/>
      <w:r w:rsidRPr="00B353BF">
        <w:rPr>
          <w:b/>
          <w:sz w:val="28"/>
          <w:szCs w:val="28"/>
        </w:rPr>
        <w:t>The issue of ‘long-term’ fit notes for depression</w:t>
      </w:r>
      <w:r>
        <w:rPr>
          <w:b/>
          <w:sz w:val="28"/>
          <w:szCs w:val="28"/>
        </w:rPr>
        <w:t xml:space="preserve"> in the UK</w:t>
      </w:r>
      <w:r w:rsidRPr="00B353BF">
        <w:rPr>
          <w:b/>
          <w:sz w:val="28"/>
          <w:szCs w:val="28"/>
        </w:rPr>
        <w:t>: Patient, GP and general practice variation</w:t>
      </w:r>
    </w:p>
    <w:p w:rsidR="0006201F" w:rsidRDefault="0006201F" w:rsidP="0006201F">
      <w:pPr>
        <w:rPr>
          <w:b/>
          <w:sz w:val="28"/>
          <w:szCs w:val="28"/>
        </w:rPr>
      </w:pPr>
    </w:p>
    <w:p w:rsidR="0006201F" w:rsidRPr="00422D91" w:rsidRDefault="0006201F" w:rsidP="0006201F">
      <w:pPr>
        <w:pStyle w:val="Heading3"/>
        <w:rPr>
          <w:rFonts w:asciiTheme="minorHAnsi" w:hAnsiTheme="minorHAnsi"/>
          <w:color w:val="auto"/>
        </w:rPr>
      </w:pPr>
      <w:r w:rsidRPr="00B9693C">
        <w:rPr>
          <w:rFonts w:asciiTheme="minorHAnsi" w:hAnsiTheme="minorHAnsi"/>
          <w:color w:val="auto"/>
        </w:rPr>
        <w:t>Mark Gabbay</w:t>
      </w:r>
      <w:r w:rsidRPr="00B9693C">
        <w:rPr>
          <w:rFonts w:asciiTheme="minorHAnsi" w:hAnsiTheme="minorHAnsi"/>
          <w:color w:val="auto"/>
          <w:vertAlign w:val="superscript"/>
        </w:rPr>
        <w:t>1</w:t>
      </w:r>
      <w:r w:rsidRPr="003F17A9">
        <w:rPr>
          <w:rFonts w:asciiTheme="minorHAnsi" w:hAnsiTheme="minorHAnsi"/>
          <w:color w:val="auto"/>
        </w:rPr>
        <w:t xml:space="preserve"> </w:t>
      </w:r>
    </w:p>
    <w:p w:rsidR="0006201F" w:rsidRPr="003F17A9" w:rsidRDefault="0006201F" w:rsidP="0006201F">
      <w:pPr>
        <w:spacing w:after="0"/>
      </w:pPr>
      <w:r w:rsidRPr="00551B2B">
        <w:rPr>
          <w:b/>
        </w:rPr>
        <w:t>Chris Shiels</w:t>
      </w:r>
      <w:r w:rsidRPr="003F17A9">
        <w:rPr>
          <w:b/>
          <w:vertAlign w:val="superscript"/>
        </w:rPr>
        <w:t>1</w:t>
      </w:r>
      <w:r>
        <w:rPr>
          <w:b/>
        </w:rPr>
        <w:t xml:space="preserve"> </w:t>
      </w:r>
    </w:p>
    <w:p w:rsidR="0006201F" w:rsidRPr="00B9693C" w:rsidRDefault="0006201F" w:rsidP="0006201F">
      <w:pPr>
        <w:spacing w:after="0"/>
      </w:pPr>
      <w:r w:rsidRPr="00551B2B">
        <w:rPr>
          <w:b/>
        </w:rPr>
        <w:t>Jim Hillage</w:t>
      </w:r>
      <w:r w:rsidRPr="003F17A9">
        <w:rPr>
          <w:b/>
          <w:vertAlign w:val="superscript"/>
        </w:rPr>
        <w:t>2</w:t>
      </w:r>
      <w:r>
        <w:t xml:space="preserve"> </w:t>
      </w:r>
    </w:p>
    <w:p w:rsidR="0006201F" w:rsidRDefault="0006201F" w:rsidP="0006201F">
      <w:pPr>
        <w:spacing w:after="0"/>
        <w:rPr>
          <w:sz w:val="24"/>
          <w:szCs w:val="24"/>
        </w:rPr>
      </w:pPr>
    </w:p>
    <w:p w:rsidR="0006201F" w:rsidRPr="00B9693C" w:rsidRDefault="0006201F" w:rsidP="0006201F">
      <w:pPr>
        <w:spacing w:after="0"/>
      </w:pPr>
      <w:r w:rsidRPr="00B9693C">
        <w:t>1. D</w:t>
      </w:r>
      <w:r w:rsidR="00D36156">
        <w:t>epartment</w:t>
      </w:r>
      <w:r w:rsidRPr="00B9693C">
        <w:t xml:space="preserve"> of Health Services Research, University of Liverpool, United Kingdom</w:t>
      </w:r>
    </w:p>
    <w:p w:rsidR="0006201F" w:rsidRPr="003F17A9" w:rsidRDefault="0006201F" w:rsidP="0006201F">
      <w:pPr>
        <w:spacing w:after="0"/>
        <w:rPr>
          <w:sz w:val="24"/>
          <w:szCs w:val="24"/>
        </w:rPr>
      </w:pPr>
      <w:r w:rsidRPr="00B9693C">
        <w:t>2. Institute for Employment Studies, Brighton, United Kingdom</w:t>
      </w:r>
    </w:p>
    <w:p w:rsidR="0006201F" w:rsidRDefault="0006201F" w:rsidP="0006201F">
      <w:pPr>
        <w:spacing w:after="0"/>
        <w:rPr>
          <w:sz w:val="24"/>
          <w:szCs w:val="24"/>
        </w:rPr>
      </w:pPr>
    </w:p>
    <w:p w:rsidR="0006201F" w:rsidRDefault="0006201F" w:rsidP="0006201F">
      <w:pPr>
        <w:spacing w:after="0"/>
        <w:rPr>
          <w:sz w:val="24"/>
          <w:szCs w:val="24"/>
        </w:rPr>
      </w:pPr>
    </w:p>
    <w:p w:rsidR="0006201F" w:rsidRDefault="0006201F" w:rsidP="0006201F">
      <w:pPr>
        <w:spacing w:after="0"/>
        <w:rPr>
          <w:sz w:val="24"/>
          <w:szCs w:val="24"/>
        </w:rPr>
      </w:pPr>
    </w:p>
    <w:p w:rsidR="0006201F" w:rsidRDefault="0006201F" w:rsidP="0006201F">
      <w:pPr>
        <w:spacing w:after="0"/>
        <w:rPr>
          <w:sz w:val="24"/>
          <w:szCs w:val="24"/>
        </w:rPr>
      </w:pPr>
    </w:p>
    <w:p w:rsidR="0006201F" w:rsidRPr="003F17A9" w:rsidRDefault="0006201F" w:rsidP="0006201F">
      <w:pPr>
        <w:spacing w:after="0"/>
      </w:pPr>
      <w:r>
        <w:rPr>
          <w:b/>
        </w:rPr>
        <w:t xml:space="preserve">Address for </w:t>
      </w:r>
      <w:r w:rsidRPr="003F17A9">
        <w:rPr>
          <w:b/>
        </w:rPr>
        <w:t>Correspondence</w:t>
      </w:r>
      <w:r w:rsidRPr="003F17A9">
        <w:t>:</w:t>
      </w:r>
    </w:p>
    <w:p w:rsidR="0006201F" w:rsidRPr="003F17A9" w:rsidRDefault="0006201F" w:rsidP="0006201F">
      <w:pPr>
        <w:spacing w:after="0"/>
      </w:pPr>
      <w:r w:rsidRPr="003F17A9">
        <w:t xml:space="preserve">Professor Mark Gabbay, </w:t>
      </w:r>
    </w:p>
    <w:p w:rsidR="0006201F" w:rsidRPr="003F17A9" w:rsidRDefault="0006201F" w:rsidP="0006201F">
      <w:pPr>
        <w:spacing w:after="0"/>
      </w:pPr>
      <w:r w:rsidRPr="003F17A9">
        <w:t xml:space="preserve">Division of Health Services Research, </w:t>
      </w:r>
    </w:p>
    <w:p w:rsidR="0006201F" w:rsidRPr="003F17A9" w:rsidRDefault="0006201F" w:rsidP="0006201F">
      <w:pPr>
        <w:spacing w:after="0"/>
      </w:pPr>
      <w:r w:rsidRPr="003F17A9">
        <w:t xml:space="preserve">University of Liverpool, </w:t>
      </w:r>
    </w:p>
    <w:p w:rsidR="0006201F" w:rsidRPr="003F17A9" w:rsidRDefault="0006201F" w:rsidP="0006201F">
      <w:pPr>
        <w:spacing w:after="0"/>
      </w:pPr>
      <w:r w:rsidRPr="003F17A9">
        <w:t>1</w:t>
      </w:r>
      <w:r w:rsidRPr="003F17A9">
        <w:rPr>
          <w:vertAlign w:val="superscript"/>
        </w:rPr>
        <w:t>st</w:t>
      </w:r>
      <w:r w:rsidRPr="003F17A9">
        <w:t xml:space="preserve"> Floor Block B, </w:t>
      </w:r>
    </w:p>
    <w:p w:rsidR="0006201F" w:rsidRPr="003F17A9" w:rsidRDefault="0006201F" w:rsidP="0006201F">
      <w:pPr>
        <w:spacing w:after="0"/>
      </w:pPr>
      <w:r w:rsidRPr="003F17A9">
        <w:t xml:space="preserve">Waterhouse Building, </w:t>
      </w:r>
    </w:p>
    <w:p w:rsidR="0006201F" w:rsidRPr="003F17A9" w:rsidRDefault="0006201F" w:rsidP="0006201F">
      <w:pPr>
        <w:spacing w:after="0"/>
      </w:pPr>
      <w:r>
        <w:t xml:space="preserve">Liverpool </w:t>
      </w:r>
      <w:r w:rsidRPr="003F17A9">
        <w:t xml:space="preserve">L69 3GE, </w:t>
      </w:r>
    </w:p>
    <w:p w:rsidR="0006201F" w:rsidRPr="003F17A9" w:rsidRDefault="0006201F" w:rsidP="0006201F">
      <w:pPr>
        <w:spacing w:after="0"/>
      </w:pPr>
      <w:r w:rsidRPr="003F17A9">
        <w:t xml:space="preserve">United Kingdom. </w:t>
      </w:r>
    </w:p>
    <w:p w:rsidR="0006201F" w:rsidRPr="003F17A9" w:rsidRDefault="0006201F" w:rsidP="0006201F">
      <w:pPr>
        <w:spacing w:after="0"/>
      </w:pPr>
      <w:r w:rsidRPr="003F17A9">
        <w:t xml:space="preserve">Email: </w:t>
      </w:r>
      <w:hyperlink r:id="rId7" w:history="1">
        <w:r w:rsidRPr="003F17A9">
          <w:rPr>
            <w:rStyle w:val="Hyperlink"/>
          </w:rPr>
          <w:t>mbg@liv.ac.uk</w:t>
        </w:r>
      </w:hyperlink>
    </w:p>
    <w:p w:rsidR="0006201F" w:rsidRDefault="0006201F" w:rsidP="0006201F">
      <w:r w:rsidRPr="008809C6">
        <w:t>Tel:</w:t>
      </w:r>
      <w:r>
        <w:t xml:space="preserve"> +44 (0) 151 7945610</w:t>
      </w:r>
    </w:p>
    <w:p w:rsidR="0006201F" w:rsidRDefault="0006201F" w:rsidP="0006201F"/>
    <w:p w:rsidR="0006201F" w:rsidRDefault="0006201F" w:rsidP="0006201F">
      <w:r>
        <w:t xml:space="preserve">Declaration of interest: </w:t>
      </w:r>
    </w:p>
    <w:p w:rsidR="0006201F" w:rsidRPr="006E31AE" w:rsidRDefault="0006201F" w:rsidP="0006201F">
      <w:pPr>
        <w:spacing w:after="0"/>
        <w:rPr>
          <w:sz w:val="24"/>
          <w:szCs w:val="24"/>
        </w:rPr>
      </w:pPr>
      <w:r w:rsidRPr="00BC125D">
        <w:rPr>
          <w:sz w:val="24"/>
          <w:szCs w:val="24"/>
        </w:rPr>
        <w:t>The authors report no conflicts of interest. The authors alone are responsible for the content and writing of the paper.</w:t>
      </w:r>
      <w:r>
        <w:rPr>
          <w:sz w:val="24"/>
          <w:szCs w:val="24"/>
        </w:rPr>
        <w:t xml:space="preserve"> </w:t>
      </w:r>
      <w:r w:rsidRPr="006E31AE">
        <w:rPr>
          <w:sz w:val="24"/>
          <w:szCs w:val="24"/>
        </w:rPr>
        <w:t>This work was supported by the UK Department for Work and Pensions</w:t>
      </w:r>
      <w:r>
        <w:rPr>
          <w:sz w:val="24"/>
          <w:szCs w:val="24"/>
        </w:rPr>
        <w:t xml:space="preserve"> (DWP)</w:t>
      </w:r>
      <w:r w:rsidRPr="006E31AE">
        <w:rPr>
          <w:sz w:val="24"/>
          <w:szCs w:val="24"/>
        </w:rPr>
        <w:t>, who funded the two evaluations providing data for the study. Professor Gabbay is part funded by (NIHR-National Institute fo</w:t>
      </w:r>
      <w:r>
        <w:rPr>
          <w:sz w:val="24"/>
          <w:szCs w:val="24"/>
        </w:rPr>
        <w:t>r Health Research) CLAHRC-NWC. However, t</w:t>
      </w:r>
      <w:r w:rsidRPr="006E31AE">
        <w:rPr>
          <w:sz w:val="24"/>
          <w:szCs w:val="24"/>
        </w:rPr>
        <w:t>he views expressed are those of the authors and not necessarily those of the DWP, NHS, NIHR or the Department of Health.</w:t>
      </w:r>
    </w:p>
    <w:p w:rsidR="0006201F" w:rsidRPr="00BC125D" w:rsidRDefault="0006201F" w:rsidP="0006201F">
      <w:pPr>
        <w:spacing w:after="0" w:line="360" w:lineRule="auto"/>
        <w:rPr>
          <w:sz w:val="24"/>
          <w:szCs w:val="24"/>
        </w:rPr>
      </w:pPr>
      <w:r w:rsidRPr="00BC125D">
        <w:rPr>
          <w:sz w:val="24"/>
          <w:szCs w:val="24"/>
        </w:rPr>
        <w:t xml:space="preserve"> </w:t>
      </w:r>
    </w:p>
    <w:p w:rsidR="0006201F" w:rsidRDefault="0006201F" w:rsidP="0006201F"/>
    <w:p w:rsidR="001E07B4" w:rsidRPr="003F17A9" w:rsidRDefault="001E07B4">
      <w:pPr>
        <w:rPr>
          <w:b/>
        </w:rPr>
      </w:pPr>
    </w:p>
    <w:p w:rsidR="0006201F" w:rsidRDefault="0006201F">
      <w:pPr>
        <w:rPr>
          <w:b/>
          <w:sz w:val="28"/>
          <w:szCs w:val="28"/>
        </w:rPr>
      </w:pPr>
    </w:p>
    <w:p w:rsidR="0006201F" w:rsidRDefault="0006201F">
      <w:pPr>
        <w:rPr>
          <w:b/>
          <w:sz w:val="28"/>
          <w:szCs w:val="28"/>
        </w:rPr>
      </w:pPr>
    </w:p>
    <w:p w:rsidR="0006201F" w:rsidRDefault="0006201F">
      <w:pPr>
        <w:rPr>
          <w:b/>
          <w:sz w:val="28"/>
          <w:szCs w:val="28"/>
        </w:rPr>
      </w:pPr>
    </w:p>
    <w:p w:rsidR="00137877" w:rsidRPr="00F816FC" w:rsidRDefault="001E07B4">
      <w:pPr>
        <w:rPr>
          <w:b/>
          <w:sz w:val="28"/>
          <w:szCs w:val="28"/>
        </w:rPr>
      </w:pPr>
      <w:r w:rsidRPr="00F816FC">
        <w:rPr>
          <w:b/>
          <w:sz w:val="28"/>
          <w:szCs w:val="28"/>
        </w:rPr>
        <w:lastRenderedPageBreak/>
        <w:t>Abstract</w:t>
      </w:r>
    </w:p>
    <w:p w:rsidR="00BF6113" w:rsidRPr="00F816FC" w:rsidRDefault="00BF6113">
      <w:r w:rsidRPr="00F816FC">
        <w:rPr>
          <w:b/>
        </w:rPr>
        <w:t>Background</w:t>
      </w:r>
      <w:r w:rsidR="008809C6" w:rsidRPr="00F816FC">
        <w:rPr>
          <w:b/>
        </w:rPr>
        <w:t xml:space="preserve"> </w:t>
      </w:r>
      <w:r w:rsidR="00137877" w:rsidRPr="00F816FC">
        <w:rPr>
          <w:b/>
        </w:rPr>
        <w:t xml:space="preserve"> </w:t>
      </w:r>
      <w:r w:rsidR="008809C6" w:rsidRPr="00F816FC">
        <w:rPr>
          <w:b/>
        </w:rPr>
        <w:t xml:space="preserve"> </w:t>
      </w:r>
      <w:r w:rsidR="00137877" w:rsidRPr="00F816FC">
        <w:t>Depression is an important cause of certified sickness absence in the UK.</w:t>
      </w:r>
      <w:r w:rsidR="008809C6" w:rsidRPr="00F816FC">
        <w:t xml:space="preserve"> </w:t>
      </w:r>
      <w:r w:rsidR="00244D87" w:rsidRPr="00F816FC">
        <w:t>It is not known what factors are associated with variation in length of sickness certificates issued by the GP to the depressed patient.</w:t>
      </w:r>
    </w:p>
    <w:p w:rsidR="00137877" w:rsidRPr="00F816FC" w:rsidRDefault="00BF6113">
      <w:pPr>
        <w:rPr>
          <w:b/>
        </w:rPr>
      </w:pPr>
      <w:r w:rsidRPr="00F816FC">
        <w:rPr>
          <w:b/>
        </w:rPr>
        <w:t xml:space="preserve">Aims </w:t>
      </w:r>
      <w:r w:rsidR="008809C6" w:rsidRPr="00F816FC">
        <w:t>The purpose of the study was</w:t>
      </w:r>
      <w:r w:rsidR="008809C6" w:rsidRPr="00F816FC">
        <w:rPr>
          <w:b/>
        </w:rPr>
        <w:t xml:space="preserve"> </w:t>
      </w:r>
      <w:r w:rsidR="008809C6" w:rsidRPr="00F816FC">
        <w:t>t</w:t>
      </w:r>
      <w:r w:rsidR="00137877" w:rsidRPr="00F816FC">
        <w:t>o identify patient, GP and practice factors associated with the issue of a long-term (&gt; 4 week) fit note for depression.</w:t>
      </w:r>
    </w:p>
    <w:p w:rsidR="00A21B6C" w:rsidRPr="00F816FC" w:rsidRDefault="00137877">
      <w:r w:rsidRPr="00F816FC">
        <w:rPr>
          <w:b/>
        </w:rPr>
        <w:t xml:space="preserve">Methods </w:t>
      </w:r>
      <w:r w:rsidRPr="00F816FC">
        <w:t>Sixty-eight UK general practices collected sickness certification data for 12 months.</w:t>
      </w:r>
      <w:r w:rsidR="008809C6" w:rsidRPr="00F816FC">
        <w:t xml:space="preserve"> </w:t>
      </w:r>
    </w:p>
    <w:p w:rsidR="00137877" w:rsidRPr="00F816FC" w:rsidRDefault="00137877">
      <w:r w:rsidRPr="00F816FC">
        <w:rPr>
          <w:b/>
        </w:rPr>
        <w:t xml:space="preserve">Results </w:t>
      </w:r>
      <w:r w:rsidR="00A50FA3" w:rsidRPr="00F816FC">
        <w:t xml:space="preserve">Over 35% of 8,127 fit notes issued to 3,361 patients for depression were classed as long-term (over four weeks in duration). </w:t>
      </w:r>
      <w:r w:rsidRPr="00F816FC">
        <w:t>Having previous fit notes for depression, not having ‘may be fit’ advice on the fit note, older patient age, the patient livi</w:t>
      </w:r>
      <w:r w:rsidR="00244D87" w:rsidRPr="00F816FC">
        <w:t xml:space="preserve">ng in a deprived neighbourhood </w:t>
      </w:r>
      <w:r w:rsidRPr="00F816FC">
        <w:t>and a higher practice deprivation status were all significant predictors of a long-term fit note. Depression fit notes issued by female GPs to female patients were less likely to be long-term. Other GP factors were not significant predictors of a long-term depression note.</w:t>
      </w:r>
    </w:p>
    <w:p w:rsidR="00137877" w:rsidRPr="00F816FC" w:rsidRDefault="00D8121D">
      <w:r w:rsidRPr="00F816FC">
        <w:rPr>
          <w:b/>
        </w:rPr>
        <w:t xml:space="preserve">Conclusion </w:t>
      </w:r>
      <w:r w:rsidR="001E07B4" w:rsidRPr="00F816FC">
        <w:t>Reducing the number of long-term sickness certificates issued to people with depression should be considered part of return-to work and job retention strategies.</w:t>
      </w:r>
    </w:p>
    <w:p w:rsidR="00137877" w:rsidRPr="00F816FC" w:rsidRDefault="00137877">
      <w:pPr>
        <w:rPr>
          <w:b/>
        </w:rPr>
      </w:pPr>
    </w:p>
    <w:p w:rsidR="00244D87" w:rsidRPr="00F816FC" w:rsidRDefault="00244D87" w:rsidP="00244D87">
      <w:pPr>
        <w:spacing w:after="0" w:line="360" w:lineRule="auto"/>
        <w:rPr>
          <w:b/>
          <w:sz w:val="24"/>
          <w:szCs w:val="24"/>
        </w:rPr>
      </w:pPr>
    </w:p>
    <w:p w:rsidR="00814E0B" w:rsidRPr="00F816FC" w:rsidRDefault="00814E0B">
      <w:r w:rsidRPr="00F816FC">
        <w:br w:type="page"/>
      </w:r>
    </w:p>
    <w:p w:rsidR="005273EE" w:rsidRPr="00F816FC" w:rsidRDefault="005273EE"/>
    <w:p w:rsidR="005273EE" w:rsidRPr="00F816FC" w:rsidRDefault="00B353BF">
      <w:pPr>
        <w:rPr>
          <w:b/>
          <w:sz w:val="28"/>
          <w:szCs w:val="28"/>
        </w:rPr>
      </w:pPr>
      <w:r w:rsidRPr="00F816FC">
        <w:rPr>
          <w:b/>
          <w:sz w:val="28"/>
          <w:szCs w:val="28"/>
        </w:rPr>
        <w:t>Introduction</w:t>
      </w:r>
    </w:p>
    <w:p w:rsidR="00AD538E" w:rsidRPr="00F816FC" w:rsidRDefault="006F4C7E" w:rsidP="00892925">
      <w:pPr>
        <w:spacing w:line="360" w:lineRule="auto"/>
      </w:pPr>
      <w:r w:rsidRPr="00F816FC">
        <w:t xml:space="preserve">Depression is a major public health problem, with a worldwide prevalence estimated to </w:t>
      </w:r>
      <w:r w:rsidR="006F6FDF" w:rsidRPr="00F816FC">
        <w:t>be approximately four per cent</w:t>
      </w:r>
      <w:r w:rsidR="001848A4" w:rsidRPr="00F816FC">
        <w:t xml:space="preserve"> </w:t>
      </w:r>
      <w:r w:rsidR="009E368E" w:rsidRPr="00F816FC">
        <w:rPr>
          <w:color w:val="365F91" w:themeColor="accent1" w:themeShade="BF"/>
        </w:rPr>
        <w:t xml:space="preserve">(Ferrari </w:t>
      </w:r>
      <w:r w:rsidR="009E368E" w:rsidRPr="00F816FC">
        <w:rPr>
          <w:i/>
          <w:color w:val="365F91" w:themeColor="accent1" w:themeShade="BF"/>
        </w:rPr>
        <w:t>et a</w:t>
      </w:r>
      <w:r w:rsidR="009E368E" w:rsidRPr="00F816FC">
        <w:rPr>
          <w:color w:val="365F91" w:themeColor="accent1" w:themeShade="BF"/>
        </w:rPr>
        <w:t>l., 2013)</w:t>
      </w:r>
      <w:r w:rsidR="003640FB" w:rsidRPr="00F816FC">
        <w:t xml:space="preserve">. </w:t>
      </w:r>
      <w:r w:rsidR="00A56B98" w:rsidRPr="00F816FC">
        <w:t>In addition to the distress experienced by the individual patient suffering from depression there is a wider impact in terms of social functioning and ability to work</w:t>
      </w:r>
      <w:r w:rsidR="001848A4" w:rsidRPr="00F816FC">
        <w:t xml:space="preserve"> </w:t>
      </w:r>
      <w:r w:rsidR="009E368E" w:rsidRPr="00F816FC">
        <w:rPr>
          <w:color w:val="365F91" w:themeColor="accent1" w:themeShade="BF"/>
        </w:rPr>
        <w:t>(Lerner &amp; Henke, 2008)</w:t>
      </w:r>
      <w:r w:rsidR="008F51F6" w:rsidRPr="00F816FC">
        <w:t>.</w:t>
      </w:r>
      <w:r w:rsidR="006159C1" w:rsidRPr="00F816FC">
        <w:t xml:space="preserve"> </w:t>
      </w:r>
      <w:r w:rsidR="008F51F6" w:rsidRPr="00F816FC">
        <w:t>The core symptoms of depression affect the employee’s emotional, cognitive and social functioning, which directly impacts on their ability</w:t>
      </w:r>
      <w:r w:rsidR="006F6FDF" w:rsidRPr="00F816FC">
        <w:t xml:space="preserve"> to perform normal work duties</w:t>
      </w:r>
      <w:r w:rsidR="001848A4" w:rsidRPr="00F816FC">
        <w:t xml:space="preserve"> </w:t>
      </w:r>
      <w:r w:rsidR="009E368E" w:rsidRPr="00F816FC">
        <w:rPr>
          <w:color w:val="365F91" w:themeColor="accent1" w:themeShade="BF"/>
        </w:rPr>
        <w:t xml:space="preserve">(Harvey </w:t>
      </w:r>
      <w:r w:rsidR="009E368E" w:rsidRPr="00F816FC">
        <w:rPr>
          <w:i/>
          <w:color w:val="365F91" w:themeColor="accent1" w:themeShade="BF"/>
        </w:rPr>
        <w:t>et al</w:t>
      </w:r>
      <w:r w:rsidR="009E368E" w:rsidRPr="00F816FC">
        <w:rPr>
          <w:color w:val="365F91" w:themeColor="accent1" w:themeShade="BF"/>
        </w:rPr>
        <w:t>., 2011)</w:t>
      </w:r>
      <w:r w:rsidR="006F6FDF" w:rsidRPr="00F816FC">
        <w:t>.</w:t>
      </w:r>
      <w:r w:rsidR="001C61C3" w:rsidRPr="00F816FC">
        <w:t xml:space="preserve"> While depressive disorders are directly linked to long-term si</w:t>
      </w:r>
      <w:r w:rsidR="006F6FDF" w:rsidRPr="00F816FC">
        <w:t>ckness absence and recurrence</w:t>
      </w:r>
      <w:r w:rsidR="001848A4" w:rsidRPr="00F816FC">
        <w:t xml:space="preserve"> </w:t>
      </w:r>
      <w:r w:rsidR="009E368E" w:rsidRPr="00F816FC">
        <w:rPr>
          <w:color w:val="365F91" w:themeColor="accent1" w:themeShade="BF"/>
        </w:rPr>
        <w:t xml:space="preserve">(Cornelius </w:t>
      </w:r>
      <w:r w:rsidR="009E368E" w:rsidRPr="00F816FC">
        <w:rPr>
          <w:i/>
          <w:color w:val="365F91" w:themeColor="accent1" w:themeShade="BF"/>
        </w:rPr>
        <w:t>et al</w:t>
      </w:r>
      <w:r w:rsidR="009E368E" w:rsidRPr="00F816FC">
        <w:rPr>
          <w:color w:val="365F91" w:themeColor="accent1" w:themeShade="BF"/>
        </w:rPr>
        <w:t xml:space="preserve">., 2011; Hensing </w:t>
      </w:r>
      <w:r w:rsidR="009E368E" w:rsidRPr="00F816FC">
        <w:rPr>
          <w:i/>
          <w:color w:val="365F91" w:themeColor="accent1" w:themeShade="BF"/>
        </w:rPr>
        <w:t>et al</w:t>
      </w:r>
      <w:r w:rsidR="009E368E" w:rsidRPr="00F816FC">
        <w:rPr>
          <w:color w:val="365F91" w:themeColor="accent1" w:themeShade="BF"/>
        </w:rPr>
        <w:t xml:space="preserve">., 2006; Koopmans </w:t>
      </w:r>
      <w:r w:rsidR="009E368E" w:rsidRPr="00F816FC">
        <w:rPr>
          <w:i/>
          <w:color w:val="365F91" w:themeColor="accent1" w:themeShade="BF"/>
        </w:rPr>
        <w:t>et al</w:t>
      </w:r>
      <w:r w:rsidR="009E368E" w:rsidRPr="00F816FC">
        <w:rPr>
          <w:color w:val="365F91" w:themeColor="accent1" w:themeShade="BF"/>
        </w:rPr>
        <w:t xml:space="preserve">., 2008; Koopmans </w:t>
      </w:r>
      <w:r w:rsidR="009E368E" w:rsidRPr="00F816FC">
        <w:rPr>
          <w:i/>
          <w:color w:val="365F91" w:themeColor="accent1" w:themeShade="BF"/>
        </w:rPr>
        <w:t>et al</w:t>
      </w:r>
      <w:r w:rsidR="009E368E" w:rsidRPr="00F816FC">
        <w:rPr>
          <w:color w:val="365F91" w:themeColor="accent1" w:themeShade="BF"/>
        </w:rPr>
        <w:t xml:space="preserve">., 2011; Nielsen </w:t>
      </w:r>
      <w:r w:rsidR="009E368E" w:rsidRPr="00F816FC">
        <w:rPr>
          <w:i/>
          <w:color w:val="365F91" w:themeColor="accent1" w:themeShade="BF"/>
        </w:rPr>
        <w:t>et al</w:t>
      </w:r>
      <w:r w:rsidR="009E368E" w:rsidRPr="00F816FC">
        <w:rPr>
          <w:color w:val="365F91" w:themeColor="accent1" w:themeShade="BF"/>
        </w:rPr>
        <w:t>., 2012; Nie</w:t>
      </w:r>
      <w:r w:rsidR="009A0B51" w:rsidRPr="00F816FC">
        <w:rPr>
          <w:color w:val="365F91" w:themeColor="accent1" w:themeShade="BF"/>
        </w:rPr>
        <w:t>u</w:t>
      </w:r>
      <w:r w:rsidR="009E368E" w:rsidRPr="00F816FC">
        <w:rPr>
          <w:color w:val="365F91" w:themeColor="accent1" w:themeShade="BF"/>
        </w:rPr>
        <w:t xml:space="preserve">wenhuijsen </w:t>
      </w:r>
      <w:r w:rsidR="009E368E" w:rsidRPr="00F816FC">
        <w:rPr>
          <w:i/>
          <w:color w:val="365F91" w:themeColor="accent1" w:themeShade="BF"/>
        </w:rPr>
        <w:t>et al</w:t>
      </w:r>
      <w:r w:rsidR="009E368E" w:rsidRPr="00F816FC">
        <w:rPr>
          <w:color w:val="365F91" w:themeColor="accent1" w:themeShade="BF"/>
        </w:rPr>
        <w:t xml:space="preserve">., 2006; Roelen </w:t>
      </w:r>
      <w:r w:rsidR="009E368E" w:rsidRPr="00F816FC">
        <w:rPr>
          <w:i/>
          <w:color w:val="365F91" w:themeColor="accent1" w:themeShade="BF"/>
        </w:rPr>
        <w:t>et al</w:t>
      </w:r>
      <w:r w:rsidR="009E368E" w:rsidRPr="00F816FC">
        <w:rPr>
          <w:color w:val="365F91" w:themeColor="accent1" w:themeShade="BF"/>
        </w:rPr>
        <w:t>., 2012)</w:t>
      </w:r>
      <w:r w:rsidR="001C61C3" w:rsidRPr="00F816FC">
        <w:t>,</w:t>
      </w:r>
      <w:r w:rsidR="00890081" w:rsidRPr="00F816FC">
        <w:t xml:space="preserve"> </w:t>
      </w:r>
      <w:r w:rsidR="001C61C3" w:rsidRPr="00F816FC">
        <w:t>they can also lengthen the sick leave due to co-morbid physical health problems such as low back</w:t>
      </w:r>
      <w:r w:rsidR="006F6FDF" w:rsidRPr="00F816FC">
        <w:t xml:space="preserve"> pain and heart disease</w:t>
      </w:r>
      <w:r w:rsidR="001848A4" w:rsidRPr="00F816FC">
        <w:t xml:space="preserve"> </w:t>
      </w:r>
      <w:r w:rsidR="009E368E" w:rsidRPr="00F816FC">
        <w:rPr>
          <w:color w:val="365F91" w:themeColor="accent1" w:themeShade="BF"/>
        </w:rPr>
        <w:t>(</w:t>
      </w:r>
      <w:r w:rsidR="00890081" w:rsidRPr="00F816FC">
        <w:rPr>
          <w:color w:val="365F91" w:themeColor="accent1" w:themeShade="BF"/>
        </w:rPr>
        <w:t>Han</w:t>
      </w:r>
      <w:r w:rsidR="00621BC5" w:rsidRPr="00F816FC">
        <w:rPr>
          <w:color w:val="365F91" w:themeColor="accent1" w:themeShade="BF"/>
        </w:rPr>
        <w:t>s</w:t>
      </w:r>
      <w:r w:rsidR="00890081" w:rsidRPr="00F816FC">
        <w:rPr>
          <w:color w:val="365F91" w:themeColor="accent1" w:themeShade="BF"/>
        </w:rPr>
        <w:t xml:space="preserve">son </w:t>
      </w:r>
      <w:r w:rsidR="00890081" w:rsidRPr="00F816FC">
        <w:rPr>
          <w:i/>
          <w:color w:val="365F91" w:themeColor="accent1" w:themeShade="BF"/>
        </w:rPr>
        <w:t>et al</w:t>
      </w:r>
      <w:r w:rsidR="00890081" w:rsidRPr="00F816FC">
        <w:rPr>
          <w:color w:val="365F91" w:themeColor="accent1" w:themeShade="BF"/>
        </w:rPr>
        <w:t xml:space="preserve">., 2006; O’Neil </w:t>
      </w:r>
      <w:r w:rsidR="00890081" w:rsidRPr="00F816FC">
        <w:rPr>
          <w:i/>
          <w:color w:val="365F91" w:themeColor="accent1" w:themeShade="BF"/>
        </w:rPr>
        <w:t>et al</w:t>
      </w:r>
      <w:r w:rsidR="00890081" w:rsidRPr="00F816FC">
        <w:rPr>
          <w:color w:val="365F91" w:themeColor="accent1" w:themeShade="BF"/>
        </w:rPr>
        <w:t>., 2010</w:t>
      </w:r>
      <w:r w:rsidR="009E368E" w:rsidRPr="00F816FC">
        <w:rPr>
          <w:color w:val="365F91" w:themeColor="accent1" w:themeShade="BF"/>
        </w:rPr>
        <w:t>)</w:t>
      </w:r>
      <w:r w:rsidR="001C61C3" w:rsidRPr="00F816FC">
        <w:t>.</w:t>
      </w:r>
      <w:r w:rsidR="006159C1" w:rsidRPr="00F816FC">
        <w:t xml:space="preserve"> </w:t>
      </w:r>
      <w:r w:rsidR="002A2F87" w:rsidRPr="00F816FC">
        <w:t>The association between mental health and work is far reaching, and extends beyond the direct economic consequences (for the individual patient/employee, productivity and state spending on benefits)</w:t>
      </w:r>
      <w:r w:rsidR="00A43FB4" w:rsidRPr="00F816FC">
        <w:t>. Being in work is central to self-identity and is associated with greater mental well</w:t>
      </w:r>
      <w:r w:rsidR="00515C1E" w:rsidRPr="00F816FC">
        <w:t>-</w:t>
      </w:r>
      <w:r w:rsidR="00D21DF5" w:rsidRPr="00F816FC">
        <w:t>being</w:t>
      </w:r>
      <w:r w:rsidR="001848A4" w:rsidRPr="00F816FC">
        <w:t xml:space="preserve"> </w:t>
      </w:r>
      <w:r w:rsidR="009E368E" w:rsidRPr="00F816FC">
        <w:rPr>
          <w:color w:val="365F91" w:themeColor="accent1" w:themeShade="BF"/>
        </w:rPr>
        <w:t>(</w:t>
      </w:r>
      <w:r w:rsidR="00890081" w:rsidRPr="00F816FC">
        <w:rPr>
          <w:color w:val="365F91" w:themeColor="accent1" w:themeShade="BF"/>
        </w:rPr>
        <w:t xml:space="preserve">Joyce </w:t>
      </w:r>
      <w:r w:rsidR="00890081" w:rsidRPr="00F816FC">
        <w:rPr>
          <w:i/>
          <w:color w:val="365F91" w:themeColor="accent1" w:themeShade="BF"/>
        </w:rPr>
        <w:t>et al</w:t>
      </w:r>
      <w:r w:rsidR="00890081" w:rsidRPr="00F816FC">
        <w:rPr>
          <w:color w:val="365F91" w:themeColor="accent1" w:themeShade="BF"/>
        </w:rPr>
        <w:t>., 2015; Waddel &amp; Burton, 2015</w:t>
      </w:r>
      <w:r w:rsidR="009E368E" w:rsidRPr="00F816FC">
        <w:rPr>
          <w:color w:val="365F91" w:themeColor="accent1" w:themeShade="BF"/>
        </w:rPr>
        <w:t>)</w:t>
      </w:r>
      <w:r w:rsidR="00A43FB4" w:rsidRPr="00F816FC">
        <w:t>.</w:t>
      </w:r>
      <w:r w:rsidR="006159C1" w:rsidRPr="00F816FC">
        <w:t xml:space="preserve"> </w:t>
      </w:r>
      <w:r w:rsidR="00A43FB4" w:rsidRPr="00F816FC">
        <w:t>The mental and physical benefits of working are seen to outweigh the potential negative consequences of r</w:t>
      </w:r>
      <w:r w:rsidR="00AD538E" w:rsidRPr="00F816FC">
        <w:t>emaining in paid employment. The</w:t>
      </w:r>
      <w:r w:rsidR="00A43FB4" w:rsidRPr="00F816FC">
        <w:t xml:space="preserve"> economic </w:t>
      </w:r>
      <w:r w:rsidR="00AD538E" w:rsidRPr="00F816FC">
        <w:t>impact of being unable to work is also likely to extend beyond the individ</w:t>
      </w:r>
      <w:r w:rsidR="006F6FDF" w:rsidRPr="00F816FC">
        <w:t>ual to members of their family</w:t>
      </w:r>
      <w:r w:rsidR="001848A4" w:rsidRPr="00F816FC">
        <w:t xml:space="preserve"> </w:t>
      </w:r>
      <w:r w:rsidR="009E368E" w:rsidRPr="00F816FC">
        <w:rPr>
          <w:color w:val="365F91" w:themeColor="accent1" w:themeShade="BF"/>
        </w:rPr>
        <w:t>(</w:t>
      </w:r>
      <w:r w:rsidR="00890081" w:rsidRPr="00F816FC">
        <w:rPr>
          <w:color w:val="365F91" w:themeColor="accent1" w:themeShade="BF"/>
        </w:rPr>
        <w:t>Reinhardt-Pederson &amp; Madsen, 2012</w:t>
      </w:r>
      <w:r w:rsidR="009E368E" w:rsidRPr="00F816FC">
        <w:rPr>
          <w:color w:val="365F91" w:themeColor="accent1" w:themeShade="BF"/>
        </w:rPr>
        <w:t>)</w:t>
      </w:r>
      <w:r w:rsidR="00AD538E" w:rsidRPr="00F816FC">
        <w:t>.</w:t>
      </w:r>
      <w:r w:rsidR="006159C1" w:rsidRPr="00F816FC">
        <w:t xml:space="preserve"> </w:t>
      </w:r>
      <w:r w:rsidR="00AD538E" w:rsidRPr="00F816FC">
        <w:t xml:space="preserve">Common mental disorders, such as depression, have replaced musculoskeletal problems as the main cause of long-term sickness absence in most </w:t>
      </w:r>
      <w:r w:rsidR="006F6FDF" w:rsidRPr="00F816FC">
        <w:t>developed countries</w:t>
      </w:r>
      <w:r w:rsidR="001848A4" w:rsidRPr="00F816FC">
        <w:t xml:space="preserve"> </w:t>
      </w:r>
      <w:r w:rsidR="009E368E" w:rsidRPr="00F816FC">
        <w:rPr>
          <w:color w:val="365F91" w:themeColor="accent1" w:themeShade="BF"/>
        </w:rPr>
        <w:t>(</w:t>
      </w:r>
      <w:r w:rsidR="00890081" w:rsidRPr="00F816FC">
        <w:rPr>
          <w:color w:val="365F91" w:themeColor="accent1" w:themeShade="BF"/>
        </w:rPr>
        <w:t xml:space="preserve">Black, 2008; Brown </w:t>
      </w:r>
      <w:r w:rsidR="00890081" w:rsidRPr="00F816FC">
        <w:rPr>
          <w:i/>
          <w:color w:val="365F91" w:themeColor="accent1" w:themeShade="BF"/>
        </w:rPr>
        <w:t>et al</w:t>
      </w:r>
      <w:r w:rsidR="00890081" w:rsidRPr="00F816FC">
        <w:rPr>
          <w:color w:val="365F91" w:themeColor="accent1" w:themeShade="BF"/>
        </w:rPr>
        <w:t xml:space="preserve">., 2009; Cattrell </w:t>
      </w:r>
      <w:r w:rsidR="00890081" w:rsidRPr="00F816FC">
        <w:rPr>
          <w:i/>
          <w:color w:val="365F91" w:themeColor="accent1" w:themeShade="BF"/>
        </w:rPr>
        <w:t>et al</w:t>
      </w:r>
      <w:r w:rsidR="00890081" w:rsidRPr="00F816FC">
        <w:rPr>
          <w:color w:val="365F91" w:themeColor="accent1" w:themeShade="BF"/>
        </w:rPr>
        <w:t>., 2011;</w:t>
      </w:r>
      <w:r w:rsidR="00621BC5" w:rsidRPr="00F816FC">
        <w:rPr>
          <w:color w:val="365F91" w:themeColor="accent1" w:themeShade="BF"/>
        </w:rPr>
        <w:t xml:space="preserve"> </w:t>
      </w:r>
      <w:r w:rsidR="00890081" w:rsidRPr="00F816FC">
        <w:rPr>
          <w:color w:val="365F91" w:themeColor="accent1" w:themeShade="BF"/>
        </w:rPr>
        <w:t>Hensing &amp;</w:t>
      </w:r>
      <w:r w:rsidR="00890081" w:rsidRPr="00F816FC">
        <w:rPr>
          <w:rFonts w:cs="MinionPro-Capt"/>
        </w:rPr>
        <w:t xml:space="preserve"> </w:t>
      </w:r>
      <w:r w:rsidR="00890081" w:rsidRPr="00F816FC">
        <w:rPr>
          <w:rFonts w:cs="MinionPro-Capt"/>
          <w:color w:val="365F91" w:themeColor="accent1" w:themeShade="BF"/>
        </w:rPr>
        <w:t xml:space="preserve">Wahlström, 2007; Shiels </w:t>
      </w:r>
      <w:r w:rsidR="00890081" w:rsidRPr="00F816FC">
        <w:rPr>
          <w:i/>
          <w:color w:val="365F91" w:themeColor="accent1" w:themeShade="BF"/>
        </w:rPr>
        <w:t>et al</w:t>
      </w:r>
      <w:r w:rsidR="00890081" w:rsidRPr="00F816FC">
        <w:rPr>
          <w:color w:val="365F91" w:themeColor="accent1" w:themeShade="BF"/>
        </w:rPr>
        <w:t xml:space="preserve">., </w:t>
      </w:r>
      <w:r w:rsidR="00621BC5" w:rsidRPr="00F816FC">
        <w:rPr>
          <w:color w:val="365F91" w:themeColor="accent1" w:themeShade="BF"/>
        </w:rPr>
        <w:t>2004</w:t>
      </w:r>
      <w:r w:rsidR="009E368E" w:rsidRPr="00F816FC">
        <w:rPr>
          <w:color w:val="365F91" w:themeColor="accent1" w:themeShade="BF"/>
        </w:rPr>
        <w:t>)</w:t>
      </w:r>
      <w:r w:rsidR="00AD538E" w:rsidRPr="00F816FC">
        <w:t>.</w:t>
      </w:r>
      <w:r w:rsidR="00176FEF" w:rsidRPr="00F816FC">
        <w:t xml:space="preserve"> In the UK, there is evidence that, while the contribution to total certified sickness made by musculoskeletal problems has remained fairly stable, the proportion of mental-health related sickness certification has increased significantly </w:t>
      </w:r>
      <w:r w:rsidR="00C137D1" w:rsidRPr="00F816FC">
        <w:t>in recent decades</w:t>
      </w:r>
      <w:r w:rsidR="001848A4" w:rsidRPr="00F816FC">
        <w:rPr>
          <w:color w:val="FF0000"/>
          <w:vertAlign w:val="superscript"/>
        </w:rPr>
        <w:t xml:space="preserve"> </w:t>
      </w:r>
      <w:r w:rsidR="00176FEF" w:rsidRPr="00F816FC">
        <w:rPr>
          <w:color w:val="365F91" w:themeColor="accent1" w:themeShade="BF"/>
        </w:rPr>
        <w:t>(</w:t>
      </w:r>
      <w:r w:rsidR="00176FEF" w:rsidRPr="00F816FC">
        <w:rPr>
          <w:rFonts w:cs="MinionPro-Capt"/>
          <w:color w:val="365F91" w:themeColor="accent1" w:themeShade="BF"/>
        </w:rPr>
        <w:t xml:space="preserve">Shiels </w:t>
      </w:r>
      <w:r w:rsidR="00176FEF" w:rsidRPr="00F816FC">
        <w:rPr>
          <w:i/>
          <w:color w:val="365F91" w:themeColor="accent1" w:themeShade="BF"/>
        </w:rPr>
        <w:t>et al</w:t>
      </w:r>
      <w:r w:rsidR="00176FEF" w:rsidRPr="00F816FC">
        <w:rPr>
          <w:color w:val="365F91" w:themeColor="accent1" w:themeShade="BF"/>
        </w:rPr>
        <w:t>., 2013).</w:t>
      </w:r>
      <w:r w:rsidR="00C137D1" w:rsidRPr="00F816FC">
        <w:t>It has also been reported</w:t>
      </w:r>
      <w:r w:rsidR="006A0983" w:rsidRPr="00F816FC">
        <w:t xml:space="preserve"> that some common mental disorders are likely to be under-detected in primary care, particularly when co</w:t>
      </w:r>
      <w:r w:rsidR="006159C1" w:rsidRPr="00F816FC">
        <w:t>-</w:t>
      </w:r>
      <w:r w:rsidR="006A0983" w:rsidRPr="00F816FC">
        <w:t>morbid with somatic conditions</w:t>
      </w:r>
      <w:r w:rsidR="00367E73" w:rsidRPr="00F816FC">
        <w:t>, leading to a possible underestimate of mental health-related sickness c</w:t>
      </w:r>
      <w:r w:rsidR="006F6FDF" w:rsidRPr="00F816FC">
        <w:t>ertification</w:t>
      </w:r>
      <w:r w:rsidR="001848A4" w:rsidRPr="00F816FC">
        <w:t xml:space="preserve"> </w:t>
      </w:r>
      <w:r w:rsidR="009E368E" w:rsidRPr="00F816FC">
        <w:rPr>
          <w:color w:val="365F91" w:themeColor="accent1" w:themeShade="BF"/>
        </w:rPr>
        <w:t>(</w:t>
      </w:r>
      <w:r w:rsidR="00621BC5" w:rsidRPr="00F816FC">
        <w:rPr>
          <w:color w:val="365F91" w:themeColor="accent1" w:themeShade="BF"/>
        </w:rPr>
        <w:t xml:space="preserve">Bair </w:t>
      </w:r>
      <w:r w:rsidR="00621BC5" w:rsidRPr="00F816FC">
        <w:rPr>
          <w:i/>
          <w:color w:val="365F91" w:themeColor="accent1" w:themeShade="BF"/>
        </w:rPr>
        <w:t>et al</w:t>
      </w:r>
      <w:r w:rsidR="00621BC5" w:rsidRPr="00F816FC">
        <w:rPr>
          <w:color w:val="365F91" w:themeColor="accent1" w:themeShade="BF"/>
        </w:rPr>
        <w:t>., 2003</w:t>
      </w:r>
      <w:r w:rsidR="00A232FD" w:rsidRPr="00F816FC">
        <w:rPr>
          <w:color w:val="365F91" w:themeColor="accent1" w:themeShade="BF"/>
        </w:rPr>
        <w:t>;</w:t>
      </w:r>
      <w:r w:rsidR="005B21E9" w:rsidRPr="00F816FC">
        <w:rPr>
          <w:color w:val="365F91" w:themeColor="accent1" w:themeShade="BF"/>
        </w:rPr>
        <w:t xml:space="preserve"> Soegaard, 2012</w:t>
      </w:r>
      <w:r w:rsidR="009E368E" w:rsidRPr="00F816FC">
        <w:rPr>
          <w:color w:val="365F91" w:themeColor="accent1" w:themeShade="BF"/>
        </w:rPr>
        <w:t>)</w:t>
      </w:r>
      <w:r w:rsidR="00367E73" w:rsidRPr="00F816FC">
        <w:t>.</w:t>
      </w:r>
      <w:r w:rsidR="006159C1" w:rsidRPr="00F816FC">
        <w:t xml:space="preserve"> </w:t>
      </w:r>
      <w:r w:rsidR="00367E73" w:rsidRPr="00F816FC">
        <w:t>It has also been reported that for every 10 general practice consultations relating to reported depression only three result in a certifi</w:t>
      </w:r>
      <w:r w:rsidR="006F6FDF" w:rsidRPr="00F816FC">
        <w:t>cation outcome</w:t>
      </w:r>
      <w:r w:rsidR="001848A4" w:rsidRPr="00F816FC">
        <w:t xml:space="preserve"> </w:t>
      </w:r>
      <w:r w:rsidR="009E368E" w:rsidRPr="00F816FC">
        <w:rPr>
          <w:color w:val="365F91" w:themeColor="accent1" w:themeShade="BF"/>
        </w:rPr>
        <w:t>(</w:t>
      </w:r>
      <w:r w:rsidR="00621BC5" w:rsidRPr="00F816FC">
        <w:rPr>
          <w:color w:val="365F91" w:themeColor="accent1" w:themeShade="BF"/>
        </w:rPr>
        <w:t xml:space="preserve">Mallen </w:t>
      </w:r>
      <w:r w:rsidR="00621BC5" w:rsidRPr="00F816FC">
        <w:rPr>
          <w:i/>
          <w:color w:val="365F91" w:themeColor="accent1" w:themeShade="BF"/>
        </w:rPr>
        <w:t>et al</w:t>
      </w:r>
      <w:r w:rsidR="00621BC5" w:rsidRPr="00F816FC">
        <w:rPr>
          <w:color w:val="365F91" w:themeColor="accent1" w:themeShade="BF"/>
        </w:rPr>
        <w:t>., 2011</w:t>
      </w:r>
      <w:r w:rsidR="009E368E" w:rsidRPr="00F816FC">
        <w:rPr>
          <w:color w:val="365F91" w:themeColor="accent1" w:themeShade="BF"/>
        </w:rPr>
        <w:t>)</w:t>
      </w:r>
      <w:r w:rsidR="00367E73" w:rsidRPr="00F816FC">
        <w:t>.</w:t>
      </w:r>
    </w:p>
    <w:p w:rsidR="00367E73" w:rsidRPr="00F816FC" w:rsidRDefault="00997F42" w:rsidP="00892925">
      <w:pPr>
        <w:spacing w:line="360" w:lineRule="auto"/>
      </w:pPr>
      <w:r w:rsidRPr="00F816FC">
        <w:t xml:space="preserve">While previous studies </w:t>
      </w:r>
      <w:r w:rsidR="00D03B2D" w:rsidRPr="00F816FC">
        <w:t xml:space="preserve">have considered the contribution of patient, GP and general practice (or primary </w:t>
      </w:r>
      <w:r w:rsidR="00227D29" w:rsidRPr="00F816FC">
        <w:t xml:space="preserve">health </w:t>
      </w:r>
      <w:r w:rsidR="00D03B2D" w:rsidRPr="00F816FC">
        <w:t xml:space="preserve">care centre) factors </w:t>
      </w:r>
      <w:r w:rsidR="00255ADA" w:rsidRPr="00F816FC">
        <w:t>in the issue of a sickness certificate</w:t>
      </w:r>
      <w:r w:rsidR="00ED31F1" w:rsidRPr="00F816FC">
        <w:t xml:space="preserve"> </w:t>
      </w:r>
      <w:r w:rsidR="009E368E" w:rsidRPr="00F816FC">
        <w:rPr>
          <w:color w:val="365F91" w:themeColor="accent1" w:themeShade="BF"/>
        </w:rPr>
        <w:t>(</w:t>
      </w:r>
      <w:r w:rsidR="00621BC5" w:rsidRPr="00F816FC">
        <w:rPr>
          <w:color w:val="365F91" w:themeColor="accent1" w:themeShade="BF"/>
        </w:rPr>
        <w:t xml:space="preserve">Starzmann </w:t>
      </w:r>
      <w:r w:rsidR="00621BC5" w:rsidRPr="00F816FC">
        <w:rPr>
          <w:i/>
          <w:color w:val="365F91" w:themeColor="accent1" w:themeShade="BF"/>
        </w:rPr>
        <w:t>et al</w:t>
      </w:r>
      <w:r w:rsidR="00621BC5" w:rsidRPr="00F816FC">
        <w:rPr>
          <w:color w:val="365F91" w:themeColor="accent1" w:themeShade="BF"/>
        </w:rPr>
        <w:t>., 2015</w:t>
      </w:r>
      <w:r w:rsidR="009E368E" w:rsidRPr="00F816FC">
        <w:rPr>
          <w:color w:val="365F91" w:themeColor="accent1" w:themeShade="BF"/>
        </w:rPr>
        <w:t>)</w:t>
      </w:r>
      <w:r w:rsidR="00ED31F1" w:rsidRPr="00F816FC">
        <w:t xml:space="preserve"> </w:t>
      </w:r>
      <w:r w:rsidR="00255ADA" w:rsidRPr="00F816FC">
        <w:t xml:space="preserve">or </w:t>
      </w:r>
      <w:r w:rsidRPr="00F816FC">
        <w:t xml:space="preserve">duration </w:t>
      </w:r>
      <w:r w:rsidR="00255ADA" w:rsidRPr="00F816FC">
        <w:t xml:space="preserve">of </w:t>
      </w:r>
      <w:r w:rsidR="00515C1E" w:rsidRPr="00F816FC">
        <w:t>total</w:t>
      </w:r>
      <w:r w:rsidRPr="00F816FC">
        <w:t xml:space="preserve"> ce</w:t>
      </w:r>
      <w:r w:rsidR="00515C1E" w:rsidRPr="00F816FC">
        <w:t>rtified sickness absence</w:t>
      </w:r>
      <w:r w:rsidR="00ED31F1" w:rsidRPr="00F816FC">
        <w:t xml:space="preserve"> </w:t>
      </w:r>
      <w:r w:rsidR="009E368E" w:rsidRPr="00F816FC">
        <w:rPr>
          <w:color w:val="365F91" w:themeColor="accent1" w:themeShade="BF"/>
        </w:rPr>
        <w:t>(</w:t>
      </w:r>
      <w:r w:rsidR="00621BC5" w:rsidRPr="00F816FC">
        <w:rPr>
          <w:color w:val="365F91" w:themeColor="accent1" w:themeShade="BF"/>
        </w:rPr>
        <w:t xml:space="preserve">Aakvik </w:t>
      </w:r>
      <w:r w:rsidR="00621BC5" w:rsidRPr="00F816FC">
        <w:rPr>
          <w:i/>
          <w:color w:val="365F91" w:themeColor="accent1" w:themeShade="BF"/>
        </w:rPr>
        <w:t>et al</w:t>
      </w:r>
      <w:r w:rsidR="00621BC5" w:rsidRPr="00F816FC">
        <w:rPr>
          <w:color w:val="365F91" w:themeColor="accent1" w:themeShade="BF"/>
        </w:rPr>
        <w:t>., 2010</w:t>
      </w:r>
      <w:r w:rsidR="009E368E" w:rsidRPr="00F816FC">
        <w:rPr>
          <w:color w:val="365F91" w:themeColor="accent1" w:themeShade="BF"/>
        </w:rPr>
        <w:t>)</w:t>
      </w:r>
      <w:r w:rsidR="00BF379F" w:rsidRPr="00F816FC">
        <w:t xml:space="preserve">, relatively little attention has been paid to </w:t>
      </w:r>
      <w:r w:rsidR="00255ADA" w:rsidRPr="00F816FC">
        <w:t xml:space="preserve">their role in the </w:t>
      </w:r>
      <w:r w:rsidR="00BF379F" w:rsidRPr="00F816FC">
        <w:t xml:space="preserve">variation in the length of the individual sickness certificate itself, particularly when issued for the same mental health diagnosis. This paper reports a study </w:t>
      </w:r>
      <w:r w:rsidR="008A41A7" w:rsidRPr="00F816FC">
        <w:t xml:space="preserve">that aims to estimate </w:t>
      </w:r>
      <w:r w:rsidR="008A41A7" w:rsidRPr="00F816FC">
        <w:lastRenderedPageBreak/>
        <w:t>the relative effect of patient, GP and general practice factors on the issue of a ‘long-term’ fit note for depression.</w:t>
      </w:r>
    </w:p>
    <w:p w:rsidR="00367E73" w:rsidRPr="00F816FC" w:rsidRDefault="00367E73" w:rsidP="00892925">
      <w:pPr>
        <w:spacing w:line="360" w:lineRule="auto"/>
      </w:pPr>
    </w:p>
    <w:p w:rsidR="00473A92" w:rsidRPr="00F816FC" w:rsidRDefault="008034F2" w:rsidP="00892925">
      <w:pPr>
        <w:spacing w:line="360" w:lineRule="auto"/>
        <w:rPr>
          <w:b/>
          <w:sz w:val="28"/>
          <w:szCs w:val="28"/>
        </w:rPr>
      </w:pPr>
      <w:r w:rsidRPr="00F816FC">
        <w:rPr>
          <w:b/>
          <w:sz w:val="28"/>
          <w:szCs w:val="28"/>
        </w:rPr>
        <w:t>Methods</w:t>
      </w:r>
    </w:p>
    <w:p w:rsidR="00D66AF3" w:rsidRPr="00F816FC" w:rsidRDefault="00D66AF3" w:rsidP="00892925">
      <w:pPr>
        <w:spacing w:line="360" w:lineRule="auto"/>
        <w:rPr>
          <w:i/>
        </w:rPr>
      </w:pPr>
      <w:r w:rsidRPr="00F816FC">
        <w:rPr>
          <w:i/>
        </w:rPr>
        <w:t>Data collection</w:t>
      </w:r>
    </w:p>
    <w:p w:rsidR="00E23C6F" w:rsidRPr="00F816FC" w:rsidRDefault="00EB3900" w:rsidP="00892925">
      <w:pPr>
        <w:spacing w:line="360" w:lineRule="auto"/>
      </w:pPr>
      <w:r w:rsidRPr="00F816FC">
        <w:t xml:space="preserve">Sickness certification (‘fit note’) data for the study were generated from two projects commissioned and funded by the UK Department for Work and Pensions (DWP): the national evaluation of the fit note (2011-2013) and the evaluation of Fit for Work Service (FFWS) pilots (2011-2012). The former recruited 49 general practices from five geographical areas of the UK (Scotland, Wales, Derbyshire, North West and South East England). The latter involved 19 practices sited in three FFWS pilot sites (Greater Manchester, Leicestershire and North Staffordshire). </w:t>
      </w:r>
    </w:p>
    <w:p w:rsidR="00EB3900" w:rsidRPr="00F816FC" w:rsidRDefault="00E23C6F" w:rsidP="00892925">
      <w:pPr>
        <w:spacing w:line="360" w:lineRule="auto"/>
      </w:pPr>
      <w:r w:rsidRPr="00F816FC">
        <w:t xml:space="preserve">Details of all fit notes issued in a 12-month period were recorded. A practice staff member anonymised and recorded details of each note on a dedicated spreadsheet. In addition to the details on the note (date of issue, diagnosis, period to abstain from work, whether the patient ‘may be fit’ to do some work, whether the patient needed to be re-assessed at the expiry of the note and the certifying GP) a number of additional items were collected from the patient practice record. These included gender, year of birth and post code. The latter was transformed by practice staff into a neighbourhood deprivation score for the patient. Deprivation scores were based on lower-level Super Output Area and Data Zone scores in the most recent Indices of Multiple Deprivation (IMD) for England, Wales and Scotland.  Fit note data were transferred monthly by the practices to a project coordinator. </w:t>
      </w:r>
      <w:r w:rsidR="00EB3900" w:rsidRPr="00F816FC">
        <w:t>At the end of data collection</w:t>
      </w:r>
      <w:r w:rsidR="006823F4" w:rsidRPr="00F816FC">
        <w:t>,</w:t>
      </w:r>
      <w:r w:rsidR="00EB3900" w:rsidRPr="00F816FC">
        <w:t xml:space="preserve"> the respective practice managers provided information about certifying GPs (gender, age, whether a partner or salaried, part-time or full-time) and their general practices (size, location and deprivation status</w:t>
      </w:r>
      <w:r w:rsidR="00457430" w:rsidRPr="00F816FC">
        <w:t xml:space="preserve"> of patient population). </w:t>
      </w:r>
      <w:r w:rsidR="00EB3900" w:rsidRPr="00F816FC">
        <w:t>Ethical approval for data collection was obtained from the (UK) National Research Ethics Service in June 2011.</w:t>
      </w:r>
    </w:p>
    <w:p w:rsidR="00457430" w:rsidRPr="00F816FC" w:rsidRDefault="00457430" w:rsidP="00892925">
      <w:pPr>
        <w:spacing w:line="360" w:lineRule="auto"/>
        <w:rPr>
          <w:i/>
        </w:rPr>
      </w:pPr>
      <w:r w:rsidRPr="00F816FC">
        <w:rPr>
          <w:i/>
        </w:rPr>
        <w:t>Diagnostic classification of fit notes</w:t>
      </w:r>
    </w:p>
    <w:p w:rsidR="00457430" w:rsidRPr="00F816FC" w:rsidRDefault="00457430" w:rsidP="00892925">
      <w:pPr>
        <w:spacing w:line="360" w:lineRule="auto"/>
      </w:pPr>
      <w:r w:rsidRPr="00F816FC">
        <w:t xml:space="preserve">In classifying the health (or related) problem recorded as the reason for the patient being issued a fit note, revised ICD-10 categories were used. A ‘Mild-Moderate Mental Disorder’ </w:t>
      </w:r>
      <w:r w:rsidR="004E5CE0" w:rsidRPr="00F816FC">
        <w:t xml:space="preserve">(M-MMD) </w:t>
      </w:r>
      <w:r w:rsidRPr="00F816FC">
        <w:t xml:space="preserve">category was used to group sickness certificates issued for depression, anxiety, mixed anxiety and depression, stress, bereavement, substance </w:t>
      </w:r>
      <w:r w:rsidR="00E66687" w:rsidRPr="00F816FC">
        <w:t xml:space="preserve">misuse and various other </w:t>
      </w:r>
      <w:r w:rsidRPr="00F816FC">
        <w:t>mental health problems.</w:t>
      </w:r>
    </w:p>
    <w:p w:rsidR="00E76C22" w:rsidRPr="00F816FC" w:rsidRDefault="00E76C22" w:rsidP="00892925">
      <w:pPr>
        <w:spacing w:line="360" w:lineRule="auto"/>
        <w:rPr>
          <w:i/>
        </w:rPr>
      </w:pPr>
    </w:p>
    <w:p w:rsidR="00E76C22" w:rsidRPr="00F816FC" w:rsidRDefault="00E76C22" w:rsidP="00892925">
      <w:pPr>
        <w:spacing w:line="360" w:lineRule="auto"/>
        <w:rPr>
          <w:i/>
        </w:rPr>
      </w:pPr>
    </w:p>
    <w:p w:rsidR="00B22C8F" w:rsidRPr="00F816FC" w:rsidRDefault="00B22C8F" w:rsidP="00892925">
      <w:pPr>
        <w:spacing w:line="360" w:lineRule="auto"/>
        <w:rPr>
          <w:i/>
        </w:rPr>
      </w:pPr>
      <w:r w:rsidRPr="00F816FC">
        <w:rPr>
          <w:i/>
        </w:rPr>
        <w:lastRenderedPageBreak/>
        <w:t>Outcome measure</w:t>
      </w:r>
    </w:p>
    <w:p w:rsidR="005B21E9" w:rsidRPr="00F816FC" w:rsidRDefault="00716F71" w:rsidP="00892925">
      <w:pPr>
        <w:spacing w:line="360" w:lineRule="auto"/>
      </w:pPr>
      <w:r w:rsidRPr="00F816FC">
        <w:t>The first national</w:t>
      </w:r>
      <w:r w:rsidR="005B21E9" w:rsidRPr="00F816FC">
        <w:t xml:space="preserve"> assessment of the fit note reported that 73% of notes issued by GPs were for 4 weeks or less</w:t>
      </w:r>
      <w:r w:rsidR="001076AE" w:rsidRPr="00F816FC">
        <w:t xml:space="preserve"> (</w:t>
      </w:r>
      <w:r w:rsidRPr="00F816FC">
        <w:t xml:space="preserve">only </w:t>
      </w:r>
      <w:r w:rsidR="001076AE" w:rsidRPr="00F816FC">
        <w:t>32</w:t>
      </w:r>
      <w:r w:rsidR="005B21E9" w:rsidRPr="00F816FC">
        <w:t>% of those issued for a common mental disorder</w:t>
      </w:r>
      <w:r w:rsidR="001076AE" w:rsidRPr="00F816FC">
        <w:t xml:space="preserve"> were longer than a median of 4 weeks</w:t>
      </w:r>
      <w:r w:rsidR="005B21E9" w:rsidRPr="00F816FC">
        <w:t>)</w:t>
      </w:r>
      <w:r w:rsidR="001076AE" w:rsidRPr="00F816FC">
        <w:rPr>
          <w:rFonts w:cs="MinionPro-Capt"/>
          <w:color w:val="365F91" w:themeColor="accent1" w:themeShade="BF"/>
        </w:rPr>
        <w:t xml:space="preserve"> (Shiels </w:t>
      </w:r>
      <w:r w:rsidR="001076AE" w:rsidRPr="00F816FC">
        <w:rPr>
          <w:i/>
          <w:color w:val="365F91" w:themeColor="accent1" w:themeShade="BF"/>
        </w:rPr>
        <w:t>et al</w:t>
      </w:r>
      <w:r w:rsidR="001076AE" w:rsidRPr="00F816FC">
        <w:rPr>
          <w:color w:val="365F91" w:themeColor="accent1" w:themeShade="BF"/>
        </w:rPr>
        <w:t>., 2013)</w:t>
      </w:r>
      <w:r w:rsidR="005B21E9" w:rsidRPr="00F816FC">
        <w:t>.</w:t>
      </w:r>
      <w:r w:rsidR="001076AE" w:rsidRPr="00F816FC">
        <w:t xml:space="preserve"> For this study we used the 4 week threshold to create a dichotomous outcome measure, with a fit note &gt; 4 weeks defined as ‘long-term’.</w:t>
      </w:r>
    </w:p>
    <w:p w:rsidR="00EB3900" w:rsidRPr="00F816FC" w:rsidRDefault="00B353BF" w:rsidP="00892925">
      <w:pPr>
        <w:spacing w:line="360" w:lineRule="auto"/>
        <w:rPr>
          <w:i/>
        </w:rPr>
      </w:pPr>
      <w:r w:rsidRPr="00F816FC">
        <w:rPr>
          <w:i/>
        </w:rPr>
        <w:t>Statistical Analysis</w:t>
      </w:r>
    </w:p>
    <w:p w:rsidR="00B22C8F" w:rsidRPr="00F816FC" w:rsidRDefault="00B22C8F" w:rsidP="00892925">
      <w:pPr>
        <w:spacing w:line="360" w:lineRule="auto"/>
      </w:pPr>
      <w:r w:rsidRPr="00F816FC">
        <w:t>In order to simplify analysis, and to more accurately estimate relative effects on outcome</w:t>
      </w:r>
      <w:r w:rsidR="002C7E2E" w:rsidRPr="00F816FC">
        <w:t>, only fit notes with a single diagnosis, “depression”, were included in analysis. Hence, multiple-diagnosis fit notes, citing depression (along with other mental or physical diagnoses) as the reason the patient should abstain from work, were excluded.</w:t>
      </w:r>
    </w:p>
    <w:p w:rsidR="006069A5" w:rsidRPr="00F816FC" w:rsidRDefault="006069A5" w:rsidP="00892925">
      <w:pPr>
        <w:spacing w:line="360" w:lineRule="auto"/>
      </w:pPr>
      <w:r w:rsidRPr="00F816FC">
        <w:t>Univariate analysis was conducted in order to test for association between outcome and characteristics of the fit note, the patient, the certifying GP and</w:t>
      </w:r>
      <w:r w:rsidR="00B22C8F" w:rsidRPr="00F816FC">
        <w:t xml:space="preserve"> the general practice. The chi-square test, with a continuity correction for 2x2 tables, was used.</w:t>
      </w:r>
    </w:p>
    <w:p w:rsidR="00B22C8F" w:rsidRPr="00F816FC" w:rsidRDefault="00B22C8F" w:rsidP="00892925">
      <w:pPr>
        <w:spacing w:line="360" w:lineRule="auto"/>
      </w:pPr>
      <w:r w:rsidRPr="00F816FC">
        <w:t xml:space="preserve">A random-intercept (multilevel) logistic regression model was run in order to estimate the independent effect of fit note, </w:t>
      </w:r>
      <w:r w:rsidR="002C7E2E" w:rsidRPr="00F816FC">
        <w:t>patient, GP and practice factors on risk of issuing or receiving a long-term fit note for depression. In order to account for the hierarchical nature of the data, the model included random intercepts</w:t>
      </w:r>
      <w:r w:rsidR="009710BF" w:rsidRPr="00F816FC">
        <w:t xml:space="preserve"> for patient, GP and general practice</w:t>
      </w:r>
      <w:r w:rsidR="005F7DD1" w:rsidRPr="00F816FC">
        <w:t>. For reporting fixed ef</w:t>
      </w:r>
      <w:r w:rsidR="00DA226C" w:rsidRPr="00F816FC">
        <w:t>f</w:t>
      </w:r>
      <w:r w:rsidR="005F7DD1" w:rsidRPr="00F816FC">
        <w:t>ects</w:t>
      </w:r>
      <w:r w:rsidR="009710BF" w:rsidRPr="00F816FC">
        <w:t xml:space="preserve">, the Odds Ratio (OR), 95% Confidence Intervals (CIs) and associated P-value </w:t>
      </w:r>
      <w:r w:rsidR="005F7DD1" w:rsidRPr="00F816FC">
        <w:t xml:space="preserve">of each independent covariate </w:t>
      </w:r>
      <w:r w:rsidR="009710BF" w:rsidRPr="00F816FC">
        <w:t>are reported.</w:t>
      </w:r>
      <w:r w:rsidR="005F7DD1" w:rsidRPr="00F816FC">
        <w:t xml:space="preserve"> Before entering covariates</w:t>
      </w:r>
      <w:r w:rsidR="006823F4" w:rsidRPr="00F816FC">
        <w:t>,</w:t>
      </w:r>
      <w:r w:rsidR="005F7DD1" w:rsidRPr="00F816FC">
        <w:t xml:space="preserve"> a null (empty) model was run in order to calculate the degree of variance in outcome at the levels of patient, GP and the general pra</w:t>
      </w:r>
      <w:r w:rsidR="00D86267" w:rsidRPr="00F816FC">
        <w:t>ctice. The proportion of total variance attributed to each level was calculated as the individual level variance divided by (π</w:t>
      </w:r>
      <w:r w:rsidR="00D86267" w:rsidRPr="00F816FC">
        <w:rPr>
          <w:vertAlign w:val="superscript"/>
        </w:rPr>
        <w:t>2</w:t>
      </w:r>
      <w:r w:rsidR="00D86267" w:rsidRPr="00F816FC">
        <w:t xml:space="preserve">/3 + </w:t>
      </w:r>
      <w:r w:rsidR="00DA226C" w:rsidRPr="00F816FC">
        <w:t>V</w:t>
      </w:r>
      <w:r w:rsidR="00DA226C" w:rsidRPr="00F816FC">
        <w:rPr>
          <w:vertAlign w:val="subscript"/>
        </w:rPr>
        <w:t>patient</w:t>
      </w:r>
      <w:r w:rsidR="00DA226C" w:rsidRPr="00F816FC">
        <w:t xml:space="preserve"> + V</w:t>
      </w:r>
      <w:r w:rsidR="00DA226C" w:rsidRPr="00F816FC">
        <w:rPr>
          <w:vertAlign w:val="subscript"/>
        </w:rPr>
        <w:t>gp</w:t>
      </w:r>
      <w:r w:rsidR="00DA226C" w:rsidRPr="00F816FC">
        <w:t xml:space="preserve"> + V</w:t>
      </w:r>
      <w:r w:rsidR="00DA226C" w:rsidRPr="00F816FC">
        <w:rPr>
          <w:vertAlign w:val="subscript"/>
        </w:rPr>
        <w:t>practice</w:t>
      </w:r>
      <w:r w:rsidR="00DA226C" w:rsidRPr="00F816FC">
        <w:t>).</w:t>
      </w:r>
    </w:p>
    <w:p w:rsidR="009710BF" w:rsidRPr="00F816FC" w:rsidRDefault="009710BF" w:rsidP="00892925">
      <w:pPr>
        <w:spacing w:line="360" w:lineRule="auto"/>
      </w:pPr>
      <w:r w:rsidRPr="00F816FC">
        <w:t>For univariate and multivariate analyses</w:t>
      </w:r>
      <w:r w:rsidR="006823F4" w:rsidRPr="00F816FC">
        <w:t>,</w:t>
      </w:r>
      <w:r w:rsidRPr="00F816FC">
        <w:t xml:space="preserve"> a conventional criterion of statistical significance (P&lt;0.05) was used.</w:t>
      </w:r>
    </w:p>
    <w:p w:rsidR="009710BF" w:rsidRPr="00F816FC" w:rsidRDefault="009710BF" w:rsidP="00892925">
      <w:pPr>
        <w:spacing w:line="360" w:lineRule="auto"/>
      </w:pPr>
      <w:r w:rsidRPr="00F816FC">
        <w:t>All data were analysed using SPSS for Windows 22.0 and Stata IC 10.</w:t>
      </w:r>
    </w:p>
    <w:p w:rsidR="00473A92" w:rsidRPr="00F816FC" w:rsidRDefault="008034F2" w:rsidP="00892925">
      <w:pPr>
        <w:spacing w:line="360" w:lineRule="auto"/>
        <w:rPr>
          <w:b/>
          <w:sz w:val="28"/>
          <w:szCs w:val="28"/>
        </w:rPr>
      </w:pPr>
      <w:r w:rsidRPr="00F816FC">
        <w:rPr>
          <w:b/>
          <w:sz w:val="28"/>
          <w:szCs w:val="28"/>
        </w:rPr>
        <w:t>Results</w:t>
      </w:r>
    </w:p>
    <w:p w:rsidR="00D66AF3" w:rsidRPr="00F816FC" w:rsidRDefault="00D66AF3" w:rsidP="00892925">
      <w:pPr>
        <w:spacing w:line="360" w:lineRule="auto"/>
        <w:rPr>
          <w:i/>
        </w:rPr>
      </w:pPr>
      <w:r w:rsidRPr="00F816FC">
        <w:rPr>
          <w:i/>
        </w:rPr>
        <w:t>Diagnoses on fit notes</w:t>
      </w:r>
    </w:p>
    <w:p w:rsidR="00A73AE7" w:rsidRPr="00F816FC" w:rsidRDefault="004E5CE0" w:rsidP="00892925">
      <w:pPr>
        <w:spacing w:line="360" w:lineRule="auto"/>
      </w:pPr>
      <w:r w:rsidRPr="00F816FC">
        <w:t>Details of 79, 815 fit notes i</w:t>
      </w:r>
      <w:r w:rsidR="006823F4" w:rsidRPr="00F816FC">
        <w:t>ssued over a 12-</w:t>
      </w:r>
      <w:r w:rsidRPr="00F816FC">
        <w:t>month period were collected from t</w:t>
      </w:r>
      <w:r w:rsidR="006823F4" w:rsidRPr="00F816FC">
        <w:t>he 68 general practices. Thirty-</w:t>
      </w:r>
      <w:r w:rsidRPr="00F816FC">
        <w:t xml:space="preserve">five percent (n=27,792) of the fit notes were issued to patients for a M-MMD. Over half (n=14,176) of the M-MMD fit notes had a diagnosis of depression included as a reason for the </w:t>
      </w:r>
      <w:r w:rsidRPr="00F816FC">
        <w:lastRenderedPageBreak/>
        <w:t>patient to a</w:t>
      </w:r>
      <w:r w:rsidR="00E05B6E" w:rsidRPr="00F816FC">
        <w:t xml:space="preserve">bstain from work. However, 6,049 (43%) of these notes included other diagnoses (psychological and physical) along with </w:t>
      </w:r>
      <w:r w:rsidRPr="00F816FC">
        <w:t xml:space="preserve">depression </w:t>
      </w:r>
      <w:r w:rsidR="00E05B6E" w:rsidRPr="00F816FC">
        <w:t>(3,424 fit notes cited mixed anxiety and depression diagnoses). Hence,</w:t>
      </w:r>
      <w:r w:rsidRPr="00F816FC">
        <w:t xml:space="preserve"> </w:t>
      </w:r>
      <w:r w:rsidR="00E05B6E" w:rsidRPr="00F816FC">
        <w:t>8127 fit notes were issued for depression only.</w:t>
      </w:r>
    </w:p>
    <w:p w:rsidR="00D66AF3" w:rsidRPr="00F816FC" w:rsidRDefault="00D66AF3" w:rsidP="00892925">
      <w:pPr>
        <w:spacing w:line="360" w:lineRule="auto"/>
        <w:rPr>
          <w:i/>
        </w:rPr>
      </w:pPr>
      <w:r w:rsidRPr="00F816FC">
        <w:rPr>
          <w:i/>
        </w:rPr>
        <w:t>Length of fit notes issued for depression</w:t>
      </w:r>
    </w:p>
    <w:p w:rsidR="00E05B6E" w:rsidRPr="00F816FC" w:rsidRDefault="00E05B6E" w:rsidP="00892925">
      <w:pPr>
        <w:spacing w:line="360" w:lineRule="auto"/>
      </w:pPr>
      <w:r w:rsidRPr="00F816FC">
        <w:t>The most common entry in the duration section of the depression fit notes was for the patient to abstain from work for “four weeks” or “28 days”.</w:t>
      </w:r>
      <w:r w:rsidR="00EE039D" w:rsidRPr="00F816FC">
        <w:t xml:space="preserve"> Over 30% (2,467/8,127) of the depression notes included this advice from the GP. Nearly 29% (n=2,341) of the fit notes were for two weeks or less, and 35% (n=2,800) advised that the patient was unable to work for a period exceeding four weeks.</w:t>
      </w:r>
    </w:p>
    <w:p w:rsidR="00D66AF3" w:rsidRPr="00F816FC" w:rsidRDefault="00D66AF3" w:rsidP="00892925">
      <w:pPr>
        <w:spacing w:line="360" w:lineRule="auto"/>
        <w:rPr>
          <w:i/>
        </w:rPr>
      </w:pPr>
      <w:r w:rsidRPr="00F816FC">
        <w:rPr>
          <w:i/>
        </w:rPr>
        <w:t>Patients receiving a fit note for depression</w:t>
      </w:r>
    </w:p>
    <w:p w:rsidR="00EE039D" w:rsidRPr="00F816FC" w:rsidRDefault="00A93DAD" w:rsidP="00892925">
      <w:pPr>
        <w:spacing w:line="360" w:lineRule="auto"/>
      </w:pPr>
      <w:r w:rsidRPr="00F816FC">
        <w:t>The 8,127 depression fit notes were iss</w:t>
      </w:r>
      <w:r w:rsidR="006823F4" w:rsidRPr="00F816FC">
        <w:t>ued to 3,631 patients in the 12-</w:t>
      </w:r>
      <w:r w:rsidRPr="00F816FC">
        <w:t xml:space="preserve">month data collection period. Over half of the patients (n=1,839) were issued more than one sickness certificate for depression. </w:t>
      </w:r>
      <w:r w:rsidR="00FC318D" w:rsidRPr="00F816FC">
        <w:t>Over 29% (n=1,066) of depression patients had received a previous fit note for another M-MMD (either alone, or along with depression), and nearly 20% (n=713) had been issued a previous fit note for a physical health problem.</w:t>
      </w:r>
    </w:p>
    <w:p w:rsidR="00FC318D" w:rsidRPr="00F816FC" w:rsidRDefault="00FC318D" w:rsidP="00892925">
      <w:pPr>
        <w:spacing w:line="360" w:lineRule="auto"/>
      </w:pPr>
      <w:r w:rsidRPr="00F816FC">
        <w:t>Over 57% (n=4,630) of all depression fit notes had been issued to females, 23% (n=1,870) to patients aged under 30, 20% (n=1,654) to over-50s and 34% (n=2,723) to patients living in one of the 20% most deprived neighbourhoods in the country.</w:t>
      </w:r>
      <w:r w:rsidR="002D6AC6" w:rsidRPr="00F816FC">
        <w:t xml:space="preserve"> </w:t>
      </w:r>
    </w:p>
    <w:p w:rsidR="00D66AF3" w:rsidRPr="00F816FC" w:rsidRDefault="00D66AF3" w:rsidP="00892925">
      <w:pPr>
        <w:spacing w:line="360" w:lineRule="auto"/>
        <w:rPr>
          <w:i/>
        </w:rPr>
      </w:pPr>
      <w:r w:rsidRPr="00F816FC">
        <w:rPr>
          <w:i/>
        </w:rPr>
        <w:t>GP</w:t>
      </w:r>
      <w:r w:rsidR="002D6AC6" w:rsidRPr="00F816FC">
        <w:rPr>
          <w:i/>
        </w:rPr>
        <w:t>s</w:t>
      </w:r>
      <w:r w:rsidRPr="00F816FC">
        <w:rPr>
          <w:i/>
        </w:rPr>
        <w:t xml:space="preserve"> issuing fit notes for depression</w:t>
      </w:r>
    </w:p>
    <w:p w:rsidR="002D6AC6" w:rsidRPr="00F816FC" w:rsidRDefault="002D6AC6" w:rsidP="00892925">
      <w:pPr>
        <w:spacing w:line="360" w:lineRule="auto"/>
      </w:pPr>
      <w:r w:rsidRPr="00F816FC">
        <w:t>A total of 631 different GPs issued the 8,127 depression fit notes. Over half (n=322) were female, 28% (n=177) were aged under 35, 27% (n=170) were over 50 years of age, 59% (n=372) were practice partners (and not salaried) and 53% (n=334) worked full-time.</w:t>
      </w:r>
    </w:p>
    <w:p w:rsidR="00D66AF3" w:rsidRPr="00F816FC" w:rsidRDefault="00D66AF3" w:rsidP="00892925">
      <w:pPr>
        <w:spacing w:line="360" w:lineRule="auto"/>
        <w:rPr>
          <w:i/>
        </w:rPr>
      </w:pPr>
      <w:r w:rsidRPr="00F816FC">
        <w:rPr>
          <w:i/>
        </w:rPr>
        <w:t>General practices in the study</w:t>
      </w:r>
    </w:p>
    <w:p w:rsidR="002D6AC6" w:rsidRPr="00F816FC" w:rsidRDefault="006823F4" w:rsidP="00892925">
      <w:pPr>
        <w:spacing w:line="360" w:lineRule="auto"/>
      </w:pPr>
      <w:r w:rsidRPr="00F816FC">
        <w:t>Twenty-</w:t>
      </w:r>
      <w:r w:rsidR="00DB5B57" w:rsidRPr="00F816FC">
        <w:t xml:space="preserve">two general practices had small patient list sizes (&lt;5000 registered patients). Seventeen had more than 10,000 patients on their register. </w:t>
      </w:r>
      <w:r w:rsidRPr="00F816FC">
        <w:t>Forty-</w:t>
      </w:r>
      <w:r w:rsidR="00FD3118" w:rsidRPr="00F816FC">
        <w:t>five</w:t>
      </w:r>
      <w:r w:rsidR="003D5D7F" w:rsidRPr="00F816FC">
        <w:t xml:space="preserve"> practices were located in an urban or suburban setting, and 23 served a l</w:t>
      </w:r>
      <w:r w:rsidRPr="00F816FC">
        <w:t>argely rural population. Twenty-</w:t>
      </w:r>
      <w:r w:rsidR="003D5D7F" w:rsidRPr="00F816FC">
        <w:t>six practices were classed as having ‘highly deprived’ patient populations (over 70% of their patients living in the 20% most deprived neighbourhoods in the country) and 24 were estimated to be ‘low deprivation’ practices (less than 20% of patients in the most deprived areas).</w:t>
      </w:r>
    </w:p>
    <w:p w:rsidR="00D66AF3" w:rsidRPr="00F816FC" w:rsidRDefault="00177643" w:rsidP="00892925">
      <w:pPr>
        <w:spacing w:line="360" w:lineRule="auto"/>
        <w:rPr>
          <w:i/>
        </w:rPr>
      </w:pPr>
      <w:r w:rsidRPr="00F816FC">
        <w:rPr>
          <w:i/>
        </w:rPr>
        <w:t>L</w:t>
      </w:r>
      <w:r w:rsidR="00413649" w:rsidRPr="00F816FC">
        <w:rPr>
          <w:i/>
        </w:rPr>
        <w:t xml:space="preserve">ong-term </w:t>
      </w:r>
      <w:r w:rsidR="00D66AF3" w:rsidRPr="00F816FC">
        <w:rPr>
          <w:i/>
        </w:rPr>
        <w:t>fit notes</w:t>
      </w:r>
      <w:r w:rsidRPr="00F816FC">
        <w:rPr>
          <w:i/>
        </w:rPr>
        <w:t xml:space="preserve"> issued to patients</w:t>
      </w:r>
      <w:r w:rsidR="00413649" w:rsidRPr="00F816FC">
        <w:rPr>
          <w:i/>
        </w:rPr>
        <w:t xml:space="preserve"> for depression</w:t>
      </w:r>
    </w:p>
    <w:p w:rsidR="00177643" w:rsidRPr="00F816FC" w:rsidRDefault="00CD23B2" w:rsidP="00892925">
      <w:pPr>
        <w:spacing w:line="360" w:lineRule="auto"/>
      </w:pPr>
      <w:r w:rsidRPr="00F816FC">
        <w:lastRenderedPageBreak/>
        <w:t xml:space="preserve">A total of 2,800 fit notes issued for depression were classed as ‘long-term’ (over four weeks in duration). </w:t>
      </w:r>
      <w:r w:rsidR="00807DAC" w:rsidRPr="00F816FC">
        <w:t>Fit notes were more likely to be long-term when the patient had received previous fit notes for depression in the stu</w:t>
      </w:r>
      <w:r w:rsidR="00FD3118" w:rsidRPr="00F816FC">
        <w:t xml:space="preserve">dy period (Table 1) (34% of </w:t>
      </w:r>
      <w:r w:rsidR="00807DAC" w:rsidRPr="00F816FC">
        <w:t xml:space="preserve">first fit notes issued to a patient compared to 38% of the fit notes where there had been three or more </w:t>
      </w:r>
      <w:r w:rsidR="009C6134" w:rsidRPr="00F816FC">
        <w:t xml:space="preserve">prior </w:t>
      </w:r>
      <w:r w:rsidR="00807DAC" w:rsidRPr="00F816FC">
        <w:t xml:space="preserve">depression notes, </w:t>
      </w:r>
      <w:r w:rsidR="006E0F62" w:rsidRPr="00F816FC">
        <w:t>χ</w:t>
      </w:r>
      <w:r w:rsidR="006246DD" w:rsidRPr="00F816FC">
        <w:rPr>
          <w:vertAlign w:val="superscript"/>
        </w:rPr>
        <w:t>2</w:t>
      </w:r>
      <w:r w:rsidR="006246DD" w:rsidRPr="00F816FC">
        <w:t>=13.9 df=3</w:t>
      </w:r>
      <w:r w:rsidR="006E0F62" w:rsidRPr="00F816FC">
        <w:t xml:space="preserve"> </w:t>
      </w:r>
      <w:r w:rsidR="00807DAC" w:rsidRPr="00F816FC">
        <w:t>P=0.003).</w:t>
      </w:r>
      <w:r w:rsidR="009C6134" w:rsidRPr="00F816FC">
        <w:t xml:space="preserve"> However, a significantly lower proportion of</w:t>
      </w:r>
      <w:r w:rsidR="00FD3118" w:rsidRPr="00F816FC">
        <w:t xml:space="preserve"> depression</w:t>
      </w:r>
      <w:r w:rsidR="009C6134" w:rsidRPr="00F816FC">
        <w:t xml:space="preserve"> fit notes where the patient had received a p</w:t>
      </w:r>
      <w:r w:rsidR="006823F4" w:rsidRPr="00F816FC">
        <w:t xml:space="preserve">revious note for another M-MMD </w:t>
      </w:r>
      <w:r w:rsidR="009C6134" w:rsidRPr="00F816FC">
        <w:t xml:space="preserve">(32% v 35%, </w:t>
      </w:r>
      <w:r w:rsidR="006246DD" w:rsidRPr="00F816FC">
        <w:t>χ</w:t>
      </w:r>
      <w:r w:rsidR="006246DD" w:rsidRPr="00F816FC">
        <w:rPr>
          <w:vertAlign w:val="superscript"/>
        </w:rPr>
        <w:t>2</w:t>
      </w:r>
      <w:r w:rsidR="006246DD" w:rsidRPr="00F816FC">
        <w:t xml:space="preserve">=7.5 df=1 </w:t>
      </w:r>
      <w:r w:rsidR="009C6134" w:rsidRPr="00F816FC">
        <w:t xml:space="preserve">P=0.006) or a physical health problem (28% v 36%, </w:t>
      </w:r>
      <w:r w:rsidR="006246DD" w:rsidRPr="00F816FC">
        <w:t>χ</w:t>
      </w:r>
      <w:r w:rsidR="006246DD" w:rsidRPr="00F816FC">
        <w:rPr>
          <w:vertAlign w:val="superscript"/>
        </w:rPr>
        <w:t>2</w:t>
      </w:r>
      <w:r w:rsidR="006246DD" w:rsidRPr="00F816FC">
        <w:t xml:space="preserve">=31.3 df=1 </w:t>
      </w:r>
      <w:r w:rsidR="009C6134" w:rsidRPr="00F816FC">
        <w:t>P&lt;0.001) were long-term.</w:t>
      </w:r>
      <w:r w:rsidR="00C90D6C" w:rsidRPr="00F816FC">
        <w:t xml:space="preserve"> </w:t>
      </w:r>
    </w:p>
    <w:p w:rsidR="00C90D6C" w:rsidRPr="00F816FC" w:rsidRDefault="00C90D6C" w:rsidP="00892925">
      <w:pPr>
        <w:spacing w:line="360" w:lineRule="auto"/>
      </w:pPr>
      <w:r w:rsidRPr="00F816FC">
        <w:t>Less than 4% of all depression fit notes included ‘may be fit’ advice from the GP, advising that the patient might be fit to return</w:t>
      </w:r>
      <w:r w:rsidR="002E05A6" w:rsidRPr="00F816FC">
        <w:t xml:space="preserve"> to work with an appropriate level of support. While relatively few in number, these ‘may be fit’ notes tended to be shorter than those fit notes including no such advice. Only 17% of ‘may be fit’ notes were over four weeks in duration compared to</w:t>
      </w:r>
      <w:r w:rsidRPr="00F816FC">
        <w:t xml:space="preserve"> </w:t>
      </w:r>
      <w:r w:rsidR="002E05A6" w:rsidRPr="00F816FC">
        <w:t>35% of other fit notes (</w:t>
      </w:r>
      <w:r w:rsidR="006246DD" w:rsidRPr="00F816FC">
        <w:t>χ</w:t>
      </w:r>
      <w:r w:rsidR="006246DD" w:rsidRPr="00F816FC">
        <w:rPr>
          <w:vertAlign w:val="superscript"/>
        </w:rPr>
        <w:t>2</w:t>
      </w:r>
      <w:r w:rsidR="006246DD" w:rsidRPr="00F816FC">
        <w:t xml:space="preserve">=40.9 df=1 </w:t>
      </w:r>
      <w:r w:rsidR="002E05A6" w:rsidRPr="00F816FC">
        <w:t>P&lt;0.001).</w:t>
      </w:r>
    </w:p>
    <w:p w:rsidR="009C6134" w:rsidRPr="00F816FC" w:rsidRDefault="009C6134" w:rsidP="00892925">
      <w:pPr>
        <w:spacing w:line="360" w:lineRule="auto"/>
      </w:pPr>
      <w:r w:rsidRPr="00F816FC">
        <w:t>There was no significant difference in proportions of long-term fit notes issued to male and female patients (</w:t>
      </w:r>
      <w:r w:rsidR="00BD36E1" w:rsidRPr="00F816FC">
        <w:t>χ</w:t>
      </w:r>
      <w:r w:rsidR="00BD36E1" w:rsidRPr="00F816FC">
        <w:rPr>
          <w:vertAlign w:val="superscript"/>
        </w:rPr>
        <w:t>2</w:t>
      </w:r>
      <w:r w:rsidR="00BD36E1" w:rsidRPr="00F816FC">
        <w:t xml:space="preserve">=1.5 df=1 </w:t>
      </w:r>
      <w:r w:rsidRPr="00F816FC">
        <w:t xml:space="preserve">P=0.22). A higher proportion of depression fit notes issued to </w:t>
      </w:r>
      <w:r w:rsidR="002E05A6" w:rsidRPr="00F816FC">
        <w:t>older patients were over four</w:t>
      </w:r>
      <w:r w:rsidR="00C90D6C" w:rsidRPr="00F816FC">
        <w:t xml:space="preserve"> weeks in duration (37% of notes issued to over-50s, 31% of those issued to under-30s,</w:t>
      </w:r>
      <w:r w:rsidR="00BD36E1" w:rsidRPr="00F816FC">
        <w:t xml:space="preserve"> χ</w:t>
      </w:r>
      <w:r w:rsidR="00BD36E1" w:rsidRPr="00F816FC">
        <w:rPr>
          <w:vertAlign w:val="superscript"/>
        </w:rPr>
        <w:t>2</w:t>
      </w:r>
      <w:r w:rsidR="00BD36E1" w:rsidRPr="00F816FC">
        <w:t xml:space="preserve">=13.4 df=2 </w:t>
      </w:r>
      <w:r w:rsidR="00C90D6C" w:rsidRPr="00F816FC">
        <w:t xml:space="preserve"> P=0.001). There was a highly significant increase in the proportion of long-term fit notes issued to patients living in the most socially deprived areas (43% compared to 30% of notes issued to less deprived patients</w:t>
      </w:r>
      <w:r w:rsidR="00BD36E1" w:rsidRPr="00F816FC">
        <w:t>, χ</w:t>
      </w:r>
      <w:r w:rsidR="00BD36E1" w:rsidRPr="00F816FC">
        <w:rPr>
          <w:vertAlign w:val="superscript"/>
        </w:rPr>
        <w:t>2</w:t>
      </w:r>
      <w:r w:rsidR="00BD36E1" w:rsidRPr="00F816FC">
        <w:t>=138.7 df=1 P&lt;0.001</w:t>
      </w:r>
      <w:r w:rsidR="00C90D6C" w:rsidRPr="00F816FC">
        <w:t>).</w:t>
      </w:r>
    </w:p>
    <w:p w:rsidR="00B9693C" w:rsidRDefault="00B9693C" w:rsidP="00892925">
      <w:pPr>
        <w:spacing w:line="360" w:lineRule="auto"/>
        <w:rPr>
          <w:color w:val="FF0000"/>
        </w:rPr>
      </w:pPr>
      <w:r w:rsidRPr="00F816FC">
        <w:rPr>
          <w:color w:val="FF0000"/>
        </w:rPr>
        <w:t>Table 1</w:t>
      </w:r>
    </w:p>
    <w:p w:rsidR="00D36156" w:rsidRDefault="00D36156">
      <w:pPr>
        <w:rPr>
          <w:b/>
        </w:rPr>
      </w:pPr>
      <w:r>
        <w:rPr>
          <w:b/>
        </w:rPr>
        <w:br w:type="page"/>
      </w:r>
    </w:p>
    <w:p w:rsidR="00D36156" w:rsidRPr="00F816FC" w:rsidRDefault="00D36156" w:rsidP="00D36156">
      <w:pPr>
        <w:autoSpaceDE w:val="0"/>
        <w:autoSpaceDN w:val="0"/>
        <w:adjustRightInd w:val="0"/>
        <w:spacing w:after="0"/>
        <w:rPr>
          <w:b/>
          <w:color w:val="000000"/>
          <w:shd w:val="clear" w:color="auto" w:fill="FFFFFF"/>
        </w:rPr>
      </w:pPr>
      <w:r w:rsidRPr="00F816FC">
        <w:rPr>
          <w:b/>
        </w:rPr>
        <w:lastRenderedPageBreak/>
        <w:t>Table 1: Fit note and patient characteristics, and proportion of long-term (&gt; 4 week) depression fit notes issued.</w:t>
      </w:r>
    </w:p>
    <w:p w:rsidR="00D36156" w:rsidRPr="00F816FC" w:rsidRDefault="00D36156" w:rsidP="00D36156"/>
    <w:tbl>
      <w:tblPr>
        <w:tblStyle w:val="TableGrid"/>
        <w:tblW w:w="10314" w:type="dxa"/>
        <w:tblLook w:val="04A0" w:firstRow="1" w:lastRow="0" w:firstColumn="1" w:lastColumn="0" w:noHBand="0" w:noVBand="1"/>
      </w:tblPr>
      <w:tblGrid>
        <w:gridCol w:w="3794"/>
        <w:gridCol w:w="1984"/>
        <w:gridCol w:w="1843"/>
        <w:gridCol w:w="1559"/>
        <w:gridCol w:w="1134"/>
      </w:tblGrid>
      <w:tr w:rsidR="00D36156" w:rsidRPr="00F816FC" w:rsidTr="00C05E1F">
        <w:tc>
          <w:tcPr>
            <w:tcW w:w="3794" w:type="dxa"/>
            <w:tcBorders>
              <w:left w:val="nil"/>
              <w:bottom w:val="single" w:sz="4" w:space="0" w:color="auto"/>
              <w:right w:val="nil"/>
            </w:tcBorders>
          </w:tcPr>
          <w:p w:rsidR="00D36156" w:rsidRPr="00F816FC" w:rsidRDefault="00D36156" w:rsidP="00C05E1F"/>
        </w:tc>
        <w:tc>
          <w:tcPr>
            <w:tcW w:w="1984" w:type="dxa"/>
            <w:tcBorders>
              <w:left w:val="nil"/>
              <w:bottom w:val="single" w:sz="4" w:space="0" w:color="auto"/>
              <w:right w:val="nil"/>
            </w:tcBorders>
            <w:vAlign w:val="bottom"/>
          </w:tcPr>
          <w:p w:rsidR="00D36156" w:rsidRPr="00F816FC" w:rsidRDefault="00D36156" w:rsidP="00C05E1F">
            <w:pPr>
              <w:jc w:val="center"/>
              <w:rPr>
                <w:b/>
              </w:rPr>
            </w:pPr>
            <w:r w:rsidRPr="00F816FC">
              <w:rPr>
                <w:b/>
              </w:rPr>
              <w:t>No of fit notes issued for depression</w:t>
            </w:r>
          </w:p>
        </w:tc>
        <w:tc>
          <w:tcPr>
            <w:tcW w:w="1843" w:type="dxa"/>
            <w:tcBorders>
              <w:left w:val="nil"/>
              <w:bottom w:val="single" w:sz="4" w:space="0" w:color="auto"/>
              <w:right w:val="nil"/>
            </w:tcBorders>
            <w:vAlign w:val="bottom"/>
          </w:tcPr>
          <w:p w:rsidR="00D36156" w:rsidRPr="00F816FC" w:rsidRDefault="00D36156" w:rsidP="00C05E1F">
            <w:pPr>
              <w:jc w:val="center"/>
              <w:rPr>
                <w:b/>
              </w:rPr>
            </w:pPr>
            <w:r w:rsidRPr="00F816FC">
              <w:rPr>
                <w:b/>
              </w:rPr>
              <w:t xml:space="preserve">No of long-term (&gt; 4 week) fit notes </w:t>
            </w:r>
          </w:p>
        </w:tc>
        <w:tc>
          <w:tcPr>
            <w:tcW w:w="1559" w:type="dxa"/>
            <w:tcBorders>
              <w:left w:val="nil"/>
              <w:bottom w:val="single" w:sz="4" w:space="0" w:color="auto"/>
              <w:right w:val="nil"/>
            </w:tcBorders>
            <w:vAlign w:val="bottom"/>
          </w:tcPr>
          <w:p w:rsidR="00D36156" w:rsidRPr="00F816FC" w:rsidRDefault="00D36156" w:rsidP="00C05E1F">
            <w:pPr>
              <w:jc w:val="center"/>
              <w:rPr>
                <w:b/>
              </w:rPr>
            </w:pPr>
            <w:r w:rsidRPr="00F816FC">
              <w:rPr>
                <w:b/>
              </w:rPr>
              <w:t>Row Percent</w:t>
            </w:r>
          </w:p>
        </w:tc>
        <w:tc>
          <w:tcPr>
            <w:tcW w:w="1134" w:type="dxa"/>
            <w:tcBorders>
              <w:left w:val="nil"/>
              <w:bottom w:val="single" w:sz="4" w:space="0" w:color="auto"/>
              <w:right w:val="nil"/>
            </w:tcBorders>
            <w:vAlign w:val="bottom"/>
          </w:tcPr>
          <w:p w:rsidR="00D36156" w:rsidRPr="00F816FC" w:rsidRDefault="00D36156" w:rsidP="00C05E1F">
            <w:pPr>
              <w:jc w:val="center"/>
              <w:rPr>
                <w:b/>
              </w:rPr>
            </w:pPr>
            <w:r w:rsidRPr="00F816FC">
              <w:rPr>
                <w:b/>
              </w:rPr>
              <w:t>P</w:t>
            </w:r>
          </w:p>
        </w:tc>
      </w:tr>
      <w:tr w:rsidR="00D36156" w:rsidRPr="00F816FC" w:rsidTr="00C05E1F">
        <w:tc>
          <w:tcPr>
            <w:tcW w:w="3794" w:type="dxa"/>
            <w:tcBorders>
              <w:left w:val="nil"/>
              <w:bottom w:val="nil"/>
              <w:right w:val="nil"/>
            </w:tcBorders>
          </w:tcPr>
          <w:p w:rsidR="00D36156" w:rsidRPr="00F816FC" w:rsidRDefault="00D36156" w:rsidP="00C05E1F">
            <w:pPr>
              <w:rPr>
                <w:b/>
              </w:rPr>
            </w:pPr>
            <w:r w:rsidRPr="00F816FC">
              <w:rPr>
                <w:b/>
              </w:rPr>
              <w:t>The depression fit note</w:t>
            </w:r>
          </w:p>
        </w:tc>
        <w:tc>
          <w:tcPr>
            <w:tcW w:w="1984" w:type="dxa"/>
            <w:tcBorders>
              <w:left w:val="nil"/>
              <w:bottom w:val="nil"/>
              <w:right w:val="nil"/>
            </w:tcBorders>
            <w:vAlign w:val="bottom"/>
          </w:tcPr>
          <w:p w:rsidR="00D36156" w:rsidRPr="00F816FC" w:rsidRDefault="00D36156" w:rsidP="00C05E1F">
            <w:pPr>
              <w:jc w:val="center"/>
            </w:pPr>
          </w:p>
        </w:tc>
        <w:tc>
          <w:tcPr>
            <w:tcW w:w="1843" w:type="dxa"/>
            <w:tcBorders>
              <w:left w:val="nil"/>
              <w:bottom w:val="nil"/>
              <w:right w:val="nil"/>
            </w:tcBorders>
            <w:vAlign w:val="bottom"/>
          </w:tcPr>
          <w:p w:rsidR="00D36156" w:rsidRPr="00F816FC" w:rsidRDefault="00D36156" w:rsidP="00C05E1F">
            <w:pPr>
              <w:jc w:val="center"/>
            </w:pPr>
          </w:p>
        </w:tc>
        <w:tc>
          <w:tcPr>
            <w:tcW w:w="1559" w:type="dxa"/>
            <w:tcBorders>
              <w:left w:val="nil"/>
              <w:bottom w:val="nil"/>
              <w:right w:val="nil"/>
            </w:tcBorders>
            <w:vAlign w:val="bottom"/>
          </w:tcPr>
          <w:p w:rsidR="00D36156" w:rsidRPr="00F816FC" w:rsidRDefault="00D36156" w:rsidP="00C05E1F">
            <w:pPr>
              <w:jc w:val="center"/>
            </w:pPr>
          </w:p>
        </w:tc>
        <w:tc>
          <w:tcPr>
            <w:tcW w:w="1134" w:type="dxa"/>
            <w:tcBorders>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r w:rsidRPr="00F816FC">
              <w:t>Number of previous fit notes issued for depression:</w:t>
            </w:r>
          </w:p>
        </w:tc>
        <w:tc>
          <w:tcPr>
            <w:tcW w:w="1984" w:type="dxa"/>
            <w:tcBorders>
              <w:top w:val="nil"/>
              <w:left w:val="nil"/>
              <w:bottom w:val="nil"/>
              <w:right w:val="nil"/>
            </w:tcBorders>
            <w:vAlign w:val="bottom"/>
          </w:tcPr>
          <w:p w:rsidR="00D36156" w:rsidRPr="00F816FC" w:rsidRDefault="00D36156" w:rsidP="00C05E1F">
            <w:pPr>
              <w:jc w:val="center"/>
            </w:pPr>
          </w:p>
        </w:tc>
        <w:tc>
          <w:tcPr>
            <w:tcW w:w="1843" w:type="dxa"/>
            <w:tcBorders>
              <w:top w:val="nil"/>
              <w:left w:val="nil"/>
              <w:bottom w:val="nil"/>
              <w:right w:val="nil"/>
            </w:tcBorders>
            <w:vAlign w:val="bottom"/>
          </w:tcPr>
          <w:p w:rsidR="00D36156" w:rsidRPr="00F816FC" w:rsidRDefault="00D36156" w:rsidP="00C05E1F">
            <w:pPr>
              <w:jc w:val="center"/>
            </w:pPr>
          </w:p>
        </w:tc>
        <w:tc>
          <w:tcPr>
            <w:tcW w:w="1559" w:type="dxa"/>
            <w:tcBorders>
              <w:top w:val="nil"/>
              <w:left w:val="nil"/>
              <w:bottom w:val="nil"/>
              <w:right w:val="nil"/>
            </w:tcBorders>
            <w:vAlign w:val="bottom"/>
          </w:tcPr>
          <w:p w:rsidR="00D36156" w:rsidRPr="00F816FC" w:rsidRDefault="00D36156" w:rsidP="00C05E1F">
            <w:pPr>
              <w:jc w:val="center"/>
            </w:pPr>
          </w:p>
        </w:tc>
        <w:tc>
          <w:tcPr>
            <w:tcW w:w="1134"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None (first issued to patient)</w:t>
            </w:r>
          </w:p>
        </w:tc>
        <w:tc>
          <w:tcPr>
            <w:tcW w:w="1984" w:type="dxa"/>
            <w:tcBorders>
              <w:top w:val="nil"/>
              <w:left w:val="nil"/>
              <w:bottom w:val="nil"/>
              <w:right w:val="nil"/>
            </w:tcBorders>
            <w:vAlign w:val="bottom"/>
          </w:tcPr>
          <w:p w:rsidR="00D36156" w:rsidRPr="00F816FC" w:rsidRDefault="00D36156" w:rsidP="00C05E1F">
            <w:pPr>
              <w:jc w:val="center"/>
            </w:pPr>
            <w:r w:rsidRPr="00F816FC">
              <w:t>3,631</w:t>
            </w:r>
          </w:p>
        </w:tc>
        <w:tc>
          <w:tcPr>
            <w:tcW w:w="1843" w:type="dxa"/>
            <w:tcBorders>
              <w:top w:val="nil"/>
              <w:left w:val="nil"/>
              <w:bottom w:val="nil"/>
              <w:right w:val="nil"/>
            </w:tcBorders>
            <w:vAlign w:val="bottom"/>
          </w:tcPr>
          <w:p w:rsidR="00D36156" w:rsidRPr="00F816FC" w:rsidRDefault="00D36156" w:rsidP="00C05E1F">
            <w:pPr>
              <w:jc w:val="center"/>
            </w:pPr>
            <w:r w:rsidRPr="00F816FC">
              <w:t>1,215</w:t>
            </w:r>
          </w:p>
        </w:tc>
        <w:tc>
          <w:tcPr>
            <w:tcW w:w="1559" w:type="dxa"/>
            <w:tcBorders>
              <w:top w:val="nil"/>
              <w:left w:val="nil"/>
              <w:bottom w:val="nil"/>
              <w:right w:val="nil"/>
            </w:tcBorders>
            <w:vAlign w:val="bottom"/>
          </w:tcPr>
          <w:p w:rsidR="00D36156" w:rsidRPr="00F816FC" w:rsidRDefault="00D36156" w:rsidP="00C05E1F">
            <w:pPr>
              <w:jc w:val="center"/>
            </w:pPr>
            <w:r w:rsidRPr="00F816FC">
              <w:t>33.5</w:t>
            </w:r>
          </w:p>
        </w:tc>
        <w:tc>
          <w:tcPr>
            <w:tcW w:w="1134" w:type="dxa"/>
            <w:vMerge w:val="restart"/>
            <w:tcBorders>
              <w:top w:val="nil"/>
              <w:left w:val="nil"/>
              <w:bottom w:val="nil"/>
              <w:right w:val="nil"/>
            </w:tcBorders>
            <w:vAlign w:val="center"/>
          </w:tcPr>
          <w:p w:rsidR="00D36156" w:rsidRPr="00F816FC" w:rsidRDefault="00D36156" w:rsidP="00C05E1F">
            <w:pPr>
              <w:jc w:val="center"/>
            </w:pPr>
            <w:r w:rsidRPr="00F816FC">
              <w:t>0.003</w:t>
            </w: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One</w:t>
            </w:r>
          </w:p>
        </w:tc>
        <w:tc>
          <w:tcPr>
            <w:tcW w:w="1984" w:type="dxa"/>
            <w:tcBorders>
              <w:top w:val="nil"/>
              <w:left w:val="nil"/>
              <w:bottom w:val="nil"/>
              <w:right w:val="nil"/>
            </w:tcBorders>
            <w:vAlign w:val="bottom"/>
          </w:tcPr>
          <w:p w:rsidR="00D36156" w:rsidRPr="00F816FC" w:rsidRDefault="00D36156" w:rsidP="00C05E1F">
            <w:pPr>
              <w:jc w:val="center"/>
            </w:pPr>
            <w:r w:rsidRPr="00F816FC">
              <w:t>1,839</w:t>
            </w:r>
          </w:p>
        </w:tc>
        <w:tc>
          <w:tcPr>
            <w:tcW w:w="1843" w:type="dxa"/>
            <w:tcBorders>
              <w:top w:val="nil"/>
              <w:left w:val="nil"/>
              <w:bottom w:val="nil"/>
              <w:right w:val="nil"/>
            </w:tcBorders>
            <w:vAlign w:val="bottom"/>
          </w:tcPr>
          <w:p w:rsidR="00D36156" w:rsidRPr="00F816FC" w:rsidRDefault="00D36156" w:rsidP="00C05E1F">
            <w:pPr>
              <w:jc w:val="center"/>
            </w:pPr>
            <w:r w:rsidRPr="00F816FC">
              <w:t>609</w:t>
            </w:r>
          </w:p>
        </w:tc>
        <w:tc>
          <w:tcPr>
            <w:tcW w:w="1559" w:type="dxa"/>
            <w:tcBorders>
              <w:top w:val="nil"/>
              <w:left w:val="nil"/>
              <w:bottom w:val="nil"/>
              <w:right w:val="nil"/>
            </w:tcBorders>
            <w:vAlign w:val="bottom"/>
          </w:tcPr>
          <w:p w:rsidR="00D36156" w:rsidRPr="00F816FC" w:rsidRDefault="00D36156" w:rsidP="00C05E1F">
            <w:pPr>
              <w:jc w:val="center"/>
            </w:pPr>
            <w:r w:rsidRPr="00F816FC">
              <w:t>33.1</w:t>
            </w:r>
          </w:p>
        </w:tc>
        <w:tc>
          <w:tcPr>
            <w:tcW w:w="1134" w:type="dxa"/>
            <w:vMerge/>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Two</w:t>
            </w:r>
          </w:p>
        </w:tc>
        <w:tc>
          <w:tcPr>
            <w:tcW w:w="1984" w:type="dxa"/>
            <w:tcBorders>
              <w:top w:val="nil"/>
              <w:left w:val="nil"/>
              <w:bottom w:val="nil"/>
              <w:right w:val="nil"/>
            </w:tcBorders>
            <w:vAlign w:val="bottom"/>
          </w:tcPr>
          <w:p w:rsidR="00D36156" w:rsidRPr="00F816FC" w:rsidRDefault="00D36156" w:rsidP="00C05E1F">
            <w:pPr>
              <w:jc w:val="center"/>
            </w:pPr>
            <w:r w:rsidRPr="00F816FC">
              <w:t>1,084</w:t>
            </w:r>
          </w:p>
        </w:tc>
        <w:tc>
          <w:tcPr>
            <w:tcW w:w="1843" w:type="dxa"/>
            <w:tcBorders>
              <w:top w:val="nil"/>
              <w:left w:val="nil"/>
              <w:bottom w:val="nil"/>
              <w:right w:val="nil"/>
            </w:tcBorders>
            <w:vAlign w:val="bottom"/>
          </w:tcPr>
          <w:p w:rsidR="00D36156" w:rsidRPr="00F816FC" w:rsidRDefault="00D36156" w:rsidP="00C05E1F">
            <w:pPr>
              <w:jc w:val="center"/>
            </w:pPr>
            <w:r w:rsidRPr="00F816FC">
              <w:t>370</w:t>
            </w:r>
          </w:p>
        </w:tc>
        <w:tc>
          <w:tcPr>
            <w:tcW w:w="1559" w:type="dxa"/>
            <w:tcBorders>
              <w:top w:val="nil"/>
              <w:left w:val="nil"/>
              <w:bottom w:val="nil"/>
              <w:right w:val="nil"/>
            </w:tcBorders>
            <w:vAlign w:val="bottom"/>
          </w:tcPr>
          <w:p w:rsidR="00D36156" w:rsidRPr="00F816FC" w:rsidRDefault="00D36156" w:rsidP="00C05E1F">
            <w:pPr>
              <w:jc w:val="center"/>
            </w:pPr>
            <w:r w:rsidRPr="00F816FC">
              <w:t>34.1</w:t>
            </w:r>
          </w:p>
        </w:tc>
        <w:tc>
          <w:tcPr>
            <w:tcW w:w="1134" w:type="dxa"/>
            <w:vMerge/>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More than two</w:t>
            </w:r>
          </w:p>
        </w:tc>
        <w:tc>
          <w:tcPr>
            <w:tcW w:w="1984" w:type="dxa"/>
            <w:tcBorders>
              <w:top w:val="nil"/>
              <w:left w:val="nil"/>
              <w:bottom w:val="nil"/>
              <w:right w:val="nil"/>
            </w:tcBorders>
            <w:vAlign w:val="bottom"/>
          </w:tcPr>
          <w:p w:rsidR="00D36156" w:rsidRPr="00F816FC" w:rsidRDefault="00D36156" w:rsidP="00C05E1F">
            <w:pPr>
              <w:jc w:val="center"/>
            </w:pPr>
            <w:r w:rsidRPr="00F816FC">
              <w:t>1,573</w:t>
            </w:r>
          </w:p>
        </w:tc>
        <w:tc>
          <w:tcPr>
            <w:tcW w:w="1843" w:type="dxa"/>
            <w:tcBorders>
              <w:top w:val="nil"/>
              <w:left w:val="nil"/>
              <w:bottom w:val="nil"/>
              <w:right w:val="nil"/>
            </w:tcBorders>
            <w:vAlign w:val="bottom"/>
          </w:tcPr>
          <w:p w:rsidR="00D36156" w:rsidRPr="00F816FC" w:rsidRDefault="00D36156" w:rsidP="00C05E1F">
            <w:pPr>
              <w:jc w:val="center"/>
            </w:pPr>
            <w:r w:rsidRPr="00F816FC">
              <w:t>606</w:t>
            </w:r>
          </w:p>
        </w:tc>
        <w:tc>
          <w:tcPr>
            <w:tcW w:w="1559" w:type="dxa"/>
            <w:tcBorders>
              <w:top w:val="nil"/>
              <w:left w:val="nil"/>
              <w:bottom w:val="nil"/>
              <w:right w:val="nil"/>
            </w:tcBorders>
            <w:vAlign w:val="bottom"/>
          </w:tcPr>
          <w:p w:rsidR="00D36156" w:rsidRPr="00F816FC" w:rsidRDefault="00D36156" w:rsidP="00C05E1F">
            <w:pPr>
              <w:jc w:val="center"/>
            </w:pPr>
            <w:r w:rsidRPr="00F816FC">
              <w:t>38.4</w:t>
            </w:r>
          </w:p>
        </w:tc>
        <w:tc>
          <w:tcPr>
            <w:tcW w:w="1134" w:type="dxa"/>
            <w:vMerge/>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r w:rsidRPr="00F816FC">
              <w:t>Preceded by a fit note issued for another mental disorder:</w:t>
            </w:r>
          </w:p>
        </w:tc>
        <w:tc>
          <w:tcPr>
            <w:tcW w:w="1984" w:type="dxa"/>
            <w:tcBorders>
              <w:top w:val="nil"/>
              <w:left w:val="nil"/>
              <w:bottom w:val="nil"/>
              <w:right w:val="nil"/>
            </w:tcBorders>
            <w:vAlign w:val="bottom"/>
          </w:tcPr>
          <w:p w:rsidR="00D36156" w:rsidRPr="00F816FC" w:rsidRDefault="00D36156" w:rsidP="00C05E1F">
            <w:pPr>
              <w:jc w:val="center"/>
            </w:pPr>
          </w:p>
        </w:tc>
        <w:tc>
          <w:tcPr>
            <w:tcW w:w="1843" w:type="dxa"/>
            <w:tcBorders>
              <w:top w:val="nil"/>
              <w:left w:val="nil"/>
              <w:bottom w:val="nil"/>
              <w:right w:val="nil"/>
            </w:tcBorders>
            <w:vAlign w:val="bottom"/>
          </w:tcPr>
          <w:p w:rsidR="00D36156" w:rsidRPr="00F816FC" w:rsidRDefault="00D36156" w:rsidP="00C05E1F">
            <w:pPr>
              <w:jc w:val="center"/>
            </w:pPr>
          </w:p>
        </w:tc>
        <w:tc>
          <w:tcPr>
            <w:tcW w:w="1559" w:type="dxa"/>
            <w:tcBorders>
              <w:top w:val="nil"/>
              <w:left w:val="nil"/>
              <w:bottom w:val="nil"/>
              <w:right w:val="nil"/>
            </w:tcBorders>
            <w:vAlign w:val="bottom"/>
          </w:tcPr>
          <w:p w:rsidR="00D36156" w:rsidRPr="00F816FC" w:rsidRDefault="00D36156" w:rsidP="00C05E1F">
            <w:pPr>
              <w:jc w:val="center"/>
            </w:pPr>
          </w:p>
        </w:tc>
        <w:tc>
          <w:tcPr>
            <w:tcW w:w="1134"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No</w:t>
            </w:r>
          </w:p>
        </w:tc>
        <w:tc>
          <w:tcPr>
            <w:tcW w:w="1984" w:type="dxa"/>
            <w:tcBorders>
              <w:top w:val="nil"/>
              <w:left w:val="nil"/>
              <w:bottom w:val="nil"/>
              <w:right w:val="nil"/>
            </w:tcBorders>
            <w:vAlign w:val="bottom"/>
          </w:tcPr>
          <w:p w:rsidR="00D36156" w:rsidRPr="00F816FC" w:rsidRDefault="00D36156" w:rsidP="00C05E1F">
            <w:pPr>
              <w:jc w:val="center"/>
            </w:pPr>
            <w:r w:rsidRPr="00F816FC">
              <w:t>5,867</w:t>
            </w:r>
          </w:p>
        </w:tc>
        <w:tc>
          <w:tcPr>
            <w:tcW w:w="1843" w:type="dxa"/>
            <w:tcBorders>
              <w:top w:val="nil"/>
              <w:left w:val="nil"/>
              <w:bottom w:val="nil"/>
              <w:right w:val="nil"/>
            </w:tcBorders>
            <w:vAlign w:val="bottom"/>
          </w:tcPr>
          <w:p w:rsidR="00D36156" w:rsidRPr="00F816FC" w:rsidRDefault="00D36156" w:rsidP="00C05E1F">
            <w:pPr>
              <w:jc w:val="center"/>
            </w:pPr>
            <w:r w:rsidRPr="00F816FC">
              <w:t>2,074</w:t>
            </w:r>
          </w:p>
        </w:tc>
        <w:tc>
          <w:tcPr>
            <w:tcW w:w="1559" w:type="dxa"/>
            <w:tcBorders>
              <w:top w:val="nil"/>
              <w:left w:val="nil"/>
              <w:bottom w:val="nil"/>
              <w:right w:val="nil"/>
            </w:tcBorders>
            <w:vAlign w:val="bottom"/>
          </w:tcPr>
          <w:p w:rsidR="00D36156" w:rsidRPr="00F816FC" w:rsidRDefault="00D36156" w:rsidP="00C05E1F">
            <w:pPr>
              <w:jc w:val="center"/>
            </w:pPr>
            <w:r w:rsidRPr="00F816FC">
              <w:t>35.4</w:t>
            </w:r>
          </w:p>
        </w:tc>
        <w:tc>
          <w:tcPr>
            <w:tcW w:w="1134" w:type="dxa"/>
            <w:vMerge w:val="restart"/>
            <w:tcBorders>
              <w:top w:val="nil"/>
              <w:left w:val="nil"/>
              <w:bottom w:val="nil"/>
              <w:right w:val="nil"/>
            </w:tcBorders>
            <w:vAlign w:val="center"/>
          </w:tcPr>
          <w:p w:rsidR="00D36156" w:rsidRPr="00F816FC" w:rsidRDefault="00D36156" w:rsidP="00C05E1F">
            <w:pPr>
              <w:jc w:val="center"/>
            </w:pPr>
            <w:r w:rsidRPr="00F816FC">
              <w:t>0.006</w:t>
            </w: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Yes</w:t>
            </w:r>
          </w:p>
        </w:tc>
        <w:tc>
          <w:tcPr>
            <w:tcW w:w="1984" w:type="dxa"/>
            <w:tcBorders>
              <w:top w:val="nil"/>
              <w:left w:val="nil"/>
              <w:bottom w:val="nil"/>
              <w:right w:val="nil"/>
            </w:tcBorders>
            <w:vAlign w:val="bottom"/>
          </w:tcPr>
          <w:p w:rsidR="00D36156" w:rsidRPr="00F816FC" w:rsidRDefault="00D36156" w:rsidP="00C05E1F">
            <w:pPr>
              <w:jc w:val="center"/>
            </w:pPr>
            <w:r w:rsidRPr="00F816FC">
              <w:t>2,260</w:t>
            </w:r>
          </w:p>
        </w:tc>
        <w:tc>
          <w:tcPr>
            <w:tcW w:w="1843" w:type="dxa"/>
            <w:tcBorders>
              <w:top w:val="nil"/>
              <w:left w:val="nil"/>
              <w:bottom w:val="nil"/>
              <w:right w:val="nil"/>
            </w:tcBorders>
            <w:vAlign w:val="bottom"/>
          </w:tcPr>
          <w:p w:rsidR="00D36156" w:rsidRPr="00F816FC" w:rsidRDefault="00D36156" w:rsidP="00C05E1F">
            <w:pPr>
              <w:jc w:val="center"/>
            </w:pPr>
            <w:r w:rsidRPr="00F816FC">
              <w:t>726</w:t>
            </w:r>
          </w:p>
        </w:tc>
        <w:tc>
          <w:tcPr>
            <w:tcW w:w="1559" w:type="dxa"/>
            <w:tcBorders>
              <w:top w:val="nil"/>
              <w:left w:val="nil"/>
              <w:bottom w:val="nil"/>
              <w:right w:val="nil"/>
            </w:tcBorders>
            <w:vAlign w:val="bottom"/>
          </w:tcPr>
          <w:p w:rsidR="00D36156" w:rsidRPr="00F816FC" w:rsidRDefault="00D36156" w:rsidP="00C05E1F">
            <w:pPr>
              <w:jc w:val="center"/>
            </w:pPr>
            <w:r w:rsidRPr="00F816FC">
              <w:t>32.1</w:t>
            </w:r>
          </w:p>
        </w:tc>
        <w:tc>
          <w:tcPr>
            <w:tcW w:w="1134" w:type="dxa"/>
            <w:vMerge/>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r w:rsidRPr="00F816FC">
              <w:t>Preceded by a fit note issued for a physical health problem:</w:t>
            </w:r>
          </w:p>
        </w:tc>
        <w:tc>
          <w:tcPr>
            <w:tcW w:w="1984" w:type="dxa"/>
            <w:tcBorders>
              <w:top w:val="nil"/>
              <w:left w:val="nil"/>
              <w:bottom w:val="nil"/>
              <w:right w:val="nil"/>
            </w:tcBorders>
            <w:vAlign w:val="bottom"/>
          </w:tcPr>
          <w:p w:rsidR="00D36156" w:rsidRPr="00F816FC" w:rsidRDefault="00D36156" w:rsidP="00C05E1F">
            <w:pPr>
              <w:jc w:val="center"/>
            </w:pPr>
          </w:p>
        </w:tc>
        <w:tc>
          <w:tcPr>
            <w:tcW w:w="1843" w:type="dxa"/>
            <w:tcBorders>
              <w:top w:val="nil"/>
              <w:left w:val="nil"/>
              <w:bottom w:val="nil"/>
              <w:right w:val="nil"/>
            </w:tcBorders>
            <w:vAlign w:val="bottom"/>
          </w:tcPr>
          <w:p w:rsidR="00D36156" w:rsidRPr="00F816FC" w:rsidRDefault="00D36156" w:rsidP="00C05E1F">
            <w:pPr>
              <w:jc w:val="center"/>
            </w:pPr>
          </w:p>
        </w:tc>
        <w:tc>
          <w:tcPr>
            <w:tcW w:w="1559" w:type="dxa"/>
            <w:tcBorders>
              <w:top w:val="nil"/>
              <w:left w:val="nil"/>
              <w:bottom w:val="nil"/>
              <w:right w:val="nil"/>
            </w:tcBorders>
            <w:vAlign w:val="bottom"/>
          </w:tcPr>
          <w:p w:rsidR="00D36156" w:rsidRPr="00F816FC" w:rsidRDefault="00D36156" w:rsidP="00C05E1F">
            <w:pPr>
              <w:jc w:val="center"/>
            </w:pPr>
          </w:p>
        </w:tc>
        <w:tc>
          <w:tcPr>
            <w:tcW w:w="1134"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No</w:t>
            </w:r>
          </w:p>
        </w:tc>
        <w:tc>
          <w:tcPr>
            <w:tcW w:w="1984" w:type="dxa"/>
            <w:tcBorders>
              <w:top w:val="nil"/>
              <w:left w:val="nil"/>
              <w:bottom w:val="nil"/>
              <w:right w:val="nil"/>
            </w:tcBorders>
            <w:vAlign w:val="bottom"/>
          </w:tcPr>
          <w:p w:rsidR="00D36156" w:rsidRPr="00F816FC" w:rsidRDefault="00D36156" w:rsidP="00C05E1F">
            <w:pPr>
              <w:jc w:val="center"/>
            </w:pPr>
            <w:r w:rsidRPr="00F816FC">
              <w:t>6,648</w:t>
            </w:r>
          </w:p>
        </w:tc>
        <w:tc>
          <w:tcPr>
            <w:tcW w:w="1843" w:type="dxa"/>
            <w:tcBorders>
              <w:top w:val="nil"/>
              <w:left w:val="nil"/>
              <w:bottom w:val="nil"/>
              <w:right w:val="nil"/>
            </w:tcBorders>
            <w:vAlign w:val="bottom"/>
          </w:tcPr>
          <w:p w:rsidR="00D36156" w:rsidRPr="00F816FC" w:rsidRDefault="00D36156" w:rsidP="00C05E1F">
            <w:pPr>
              <w:jc w:val="center"/>
            </w:pPr>
            <w:r w:rsidRPr="00F816FC">
              <w:t>2,383</w:t>
            </w:r>
          </w:p>
        </w:tc>
        <w:tc>
          <w:tcPr>
            <w:tcW w:w="1559" w:type="dxa"/>
            <w:tcBorders>
              <w:top w:val="nil"/>
              <w:left w:val="nil"/>
              <w:bottom w:val="nil"/>
              <w:right w:val="nil"/>
            </w:tcBorders>
            <w:vAlign w:val="bottom"/>
          </w:tcPr>
          <w:p w:rsidR="00D36156" w:rsidRPr="00F816FC" w:rsidRDefault="00D36156" w:rsidP="00C05E1F">
            <w:pPr>
              <w:jc w:val="center"/>
            </w:pPr>
            <w:r w:rsidRPr="00F816FC">
              <w:t>35.8</w:t>
            </w:r>
          </w:p>
        </w:tc>
        <w:tc>
          <w:tcPr>
            <w:tcW w:w="1134" w:type="dxa"/>
            <w:vMerge w:val="restart"/>
            <w:tcBorders>
              <w:top w:val="nil"/>
              <w:left w:val="nil"/>
              <w:bottom w:val="nil"/>
              <w:right w:val="nil"/>
            </w:tcBorders>
            <w:vAlign w:val="center"/>
          </w:tcPr>
          <w:p w:rsidR="00D36156" w:rsidRPr="00F816FC" w:rsidRDefault="00D36156" w:rsidP="00C05E1F">
            <w:pPr>
              <w:jc w:val="center"/>
            </w:pPr>
            <w:r w:rsidRPr="00F816FC">
              <w:t>&lt;0.001</w:t>
            </w: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Yes</w:t>
            </w:r>
          </w:p>
        </w:tc>
        <w:tc>
          <w:tcPr>
            <w:tcW w:w="1984" w:type="dxa"/>
            <w:tcBorders>
              <w:top w:val="nil"/>
              <w:left w:val="nil"/>
              <w:bottom w:val="nil"/>
              <w:right w:val="nil"/>
            </w:tcBorders>
            <w:vAlign w:val="bottom"/>
          </w:tcPr>
          <w:p w:rsidR="00D36156" w:rsidRPr="00F816FC" w:rsidRDefault="00D36156" w:rsidP="00C05E1F">
            <w:pPr>
              <w:jc w:val="center"/>
            </w:pPr>
            <w:r w:rsidRPr="00F816FC">
              <w:t>1,479</w:t>
            </w:r>
          </w:p>
        </w:tc>
        <w:tc>
          <w:tcPr>
            <w:tcW w:w="1843" w:type="dxa"/>
            <w:tcBorders>
              <w:top w:val="nil"/>
              <w:left w:val="nil"/>
              <w:bottom w:val="nil"/>
              <w:right w:val="nil"/>
            </w:tcBorders>
            <w:vAlign w:val="bottom"/>
          </w:tcPr>
          <w:p w:rsidR="00D36156" w:rsidRPr="00F816FC" w:rsidRDefault="00D36156" w:rsidP="00C05E1F">
            <w:pPr>
              <w:jc w:val="center"/>
            </w:pPr>
            <w:r w:rsidRPr="00F816FC">
              <w:t>417</w:t>
            </w:r>
          </w:p>
        </w:tc>
        <w:tc>
          <w:tcPr>
            <w:tcW w:w="1559" w:type="dxa"/>
            <w:tcBorders>
              <w:top w:val="nil"/>
              <w:left w:val="nil"/>
              <w:bottom w:val="nil"/>
              <w:right w:val="nil"/>
            </w:tcBorders>
            <w:vAlign w:val="bottom"/>
          </w:tcPr>
          <w:p w:rsidR="00D36156" w:rsidRPr="00F816FC" w:rsidRDefault="00D36156" w:rsidP="00C05E1F">
            <w:pPr>
              <w:jc w:val="center"/>
            </w:pPr>
            <w:r w:rsidRPr="00F816FC">
              <w:t>28.2</w:t>
            </w:r>
          </w:p>
        </w:tc>
        <w:tc>
          <w:tcPr>
            <w:tcW w:w="1134" w:type="dxa"/>
            <w:vMerge/>
            <w:tcBorders>
              <w:top w:val="nil"/>
              <w:left w:val="nil"/>
              <w:bottom w:val="nil"/>
              <w:right w:val="nil"/>
            </w:tcBorders>
            <w:vAlign w:val="center"/>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r w:rsidRPr="00F816FC">
              <w:t>Fit note includes ‘may be fit’ advice:</w:t>
            </w:r>
          </w:p>
        </w:tc>
        <w:tc>
          <w:tcPr>
            <w:tcW w:w="1984" w:type="dxa"/>
            <w:tcBorders>
              <w:top w:val="nil"/>
              <w:left w:val="nil"/>
              <w:bottom w:val="nil"/>
              <w:right w:val="nil"/>
            </w:tcBorders>
            <w:vAlign w:val="bottom"/>
          </w:tcPr>
          <w:p w:rsidR="00D36156" w:rsidRPr="00F816FC" w:rsidRDefault="00D36156" w:rsidP="00C05E1F">
            <w:pPr>
              <w:jc w:val="center"/>
            </w:pPr>
          </w:p>
        </w:tc>
        <w:tc>
          <w:tcPr>
            <w:tcW w:w="1843" w:type="dxa"/>
            <w:tcBorders>
              <w:top w:val="nil"/>
              <w:left w:val="nil"/>
              <w:bottom w:val="nil"/>
              <w:right w:val="nil"/>
            </w:tcBorders>
            <w:vAlign w:val="bottom"/>
          </w:tcPr>
          <w:p w:rsidR="00D36156" w:rsidRPr="00F816FC" w:rsidRDefault="00D36156" w:rsidP="00C05E1F">
            <w:pPr>
              <w:jc w:val="center"/>
            </w:pPr>
          </w:p>
        </w:tc>
        <w:tc>
          <w:tcPr>
            <w:tcW w:w="1559" w:type="dxa"/>
            <w:tcBorders>
              <w:top w:val="nil"/>
              <w:left w:val="nil"/>
              <w:bottom w:val="nil"/>
              <w:right w:val="nil"/>
            </w:tcBorders>
            <w:vAlign w:val="bottom"/>
          </w:tcPr>
          <w:p w:rsidR="00D36156" w:rsidRPr="00F816FC" w:rsidRDefault="00D36156" w:rsidP="00C05E1F">
            <w:pPr>
              <w:jc w:val="center"/>
            </w:pPr>
          </w:p>
        </w:tc>
        <w:tc>
          <w:tcPr>
            <w:tcW w:w="1134"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No</w:t>
            </w:r>
          </w:p>
        </w:tc>
        <w:tc>
          <w:tcPr>
            <w:tcW w:w="1984" w:type="dxa"/>
            <w:tcBorders>
              <w:top w:val="nil"/>
              <w:left w:val="nil"/>
              <w:bottom w:val="nil"/>
              <w:right w:val="nil"/>
            </w:tcBorders>
            <w:vAlign w:val="bottom"/>
          </w:tcPr>
          <w:p w:rsidR="00D36156" w:rsidRPr="00F816FC" w:rsidRDefault="00D36156" w:rsidP="00C05E1F">
            <w:pPr>
              <w:jc w:val="center"/>
            </w:pPr>
            <w:r w:rsidRPr="00F816FC">
              <w:t>7,841</w:t>
            </w:r>
          </w:p>
        </w:tc>
        <w:tc>
          <w:tcPr>
            <w:tcW w:w="1843" w:type="dxa"/>
            <w:tcBorders>
              <w:top w:val="nil"/>
              <w:left w:val="nil"/>
              <w:bottom w:val="nil"/>
              <w:right w:val="nil"/>
            </w:tcBorders>
            <w:vAlign w:val="bottom"/>
          </w:tcPr>
          <w:p w:rsidR="00D36156" w:rsidRPr="00F816FC" w:rsidRDefault="00D36156" w:rsidP="00C05E1F">
            <w:pPr>
              <w:jc w:val="center"/>
            </w:pPr>
            <w:r w:rsidRPr="00F816FC">
              <w:t>2,752</w:t>
            </w:r>
          </w:p>
        </w:tc>
        <w:tc>
          <w:tcPr>
            <w:tcW w:w="1559" w:type="dxa"/>
            <w:tcBorders>
              <w:top w:val="nil"/>
              <w:left w:val="nil"/>
              <w:bottom w:val="nil"/>
              <w:right w:val="nil"/>
            </w:tcBorders>
            <w:vAlign w:val="bottom"/>
          </w:tcPr>
          <w:p w:rsidR="00D36156" w:rsidRPr="00F816FC" w:rsidRDefault="00D36156" w:rsidP="00C05E1F">
            <w:pPr>
              <w:jc w:val="center"/>
            </w:pPr>
            <w:r w:rsidRPr="00F816FC">
              <w:t>35.1</w:t>
            </w:r>
          </w:p>
        </w:tc>
        <w:tc>
          <w:tcPr>
            <w:tcW w:w="1134" w:type="dxa"/>
            <w:vMerge w:val="restart"/>
            <w:tcBorders>
              <w:top w:val="nil"/>
              <w:left w:val="nil"/>
              <w:bottom w:val="nil"/>
              <w:right w:val="nil"/>
            </w:tcBorders>
            <w:vAlign w:val="center"/>
          </w:tcPr>
          <w:p w:rsidR="00D36156" w:rsidRPr="00F816FC" w:rsidRDefault="00D36156" w:rsidP="00C05E1F">
            <w:pPr>
              <w:jc w:val="center"/>
            </w:pPr>
            <w:r w:rsidRPr="00F816FC">
              <w:t>&lt;0.001</w:t>
            </w: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Yes</w:t>
            </w:r>
          </w:p>
        </w:tc>
        <w:tc>
          <w:tcPr>
            <w:tcW w:w="1984" w:type="dxa"/>
            <w:tcBorders>
              <w:top w:val="nil"/>
              <w:left w:val="nil"/>
              <w:bottom w:val="nil"/>
              <w:right w:val="nil"/>
            </w:tcBorders>
            <w:vAlign w:val="bottom"/>
          </w:tcPr>
          <w:p w:rsidR="00D36156" w:rsidRPr="00F816FC" w:rsidRDefault="00D36156" w:rsidP="00C05E1F">
            <w:pPr>
              <w:jc w:val="center"/>
            </w:pPr>
            <w:r w:rsidRPr="00F816FC">
              <w:t>286</w:t>
            </w:r>
          </w:p>
        </w:tc>
        <w:tc>
          <w:tcPr>
            <w:tcW w:w="1843" w:type="dxa"/>
            <w:tcBorders>
              <w:top w:val="nil"/>
              <w:left w:val="nil"/>
              <w:bottom w:val="nil"/>
              <w:right w:val="nil"/>
            </w:tcBorders>
            <w:vAlign w:val="bottom"/>
          </w:tcPr>
          <w:p w:rsidR="00D36156" w:rsidRPr="00F816FC" w:rsidRDefault="00D36156" w:rsidP="00C05E1F">
            <w:pPr>
              <w:jc w:val="center"/>
            </w:pPr>
            <w:r w:rsidRPr="00F816FC">
              <w:t>48</w:t>
            </w:r>
          </w:p>
        </w:tc>
        <w:tc>
          <w:tcPr>
            <w:tcW w:w="1559" w:type="dxa"/>
            <w:tcBorders>
              <w:top w:val="nil"/>
              <w:left w:val="nil"/>
              <w:bottom w:val="nil"/>
              <w:right w:val="nil"/>
            </w:tcBorders>
            <w:vAlign w:val="bottom"/>
          </w:tcPr>
          <w:p w:rsidR="00D36156" w:rsidRPr="00F816FC" w:rsidRDefault="00D36156" w:rsidP="00C05E1F">
            <w:pPr>
              <w:jc w:val="center"/>
            </w:pPr>
            <w:r w:rsidRPr="00F816FC">
              <w:t>16.8</w:t>
            </w:r>
          </w:p>
        </w:tc>
        <w:tc>
          <w:tcPr>
            <w:tcW w:w="1134" w:type="dxa"/>
            <w:vMerge/>
            <w:tcBorders>
              <w:top w:val="nil"/>
              <w:left w:val="nil"/>
              <w:bottom w:val="nil"/>
              <w:right w:val="nil"/>
            </w:tcBorders>
            <w:vAlign w:val="center"/>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tc>
        <w:tc>
          <w:tcPr>
            <w:tcW w:w="1984" w:type="dxa"/>
            <w:tcBorders>
              <w:top w:val="nil"/>
              <w:left w:val="nil"/>
              <w:bottom w:val="nil"/>
              <w:right w:val="nil"/>
            </w:tcBorders>
            <w:vAlign w:val="bottom"/>
          </w:tcPr>
          <w:p w:rsidR="00D36156" w:rsidRPr="00F816FC" w:rsidRDefault="00D36156" w:rsidP="00C05E1F">
            <w:pPr>
              <w:jc w:val="center"/>
            </w:pPr>
          </w:p>
        </w:tc>
        <w:tc>
          <w:tcPr>
            <w:tcW w:w="1843" w:type="dxa"/>
            <w:tcBorders>
              <w:top w:val="nil"/>
              <w:left w:val="nil"/>
              <w:bottom w:val="nil"/>
              <w:right w:val="nil"/>
            </w:tcBorders>
            <w:vAlign w:val="bottom"/>
          </w:tcPr>
          <w:p w:rsidR="00D36156" w:rsidRPr="00F816FC" w:rsidRDefault="00D36156" w:rsidP="00C05E1F">
            <w:pPr>
              <w:jc w:val="center"/>
            </w:pPr>
          </w:p>
        </w:tc>
        <w:tc>
          <w:tcPr>
            <w:tcW w:w="1559" w:type="dxa"/>
            <w:tcBorders>
              <w:top w:val="nil"/>
              <w:left w:val="nil"/>
              <w:bottom w:val="nil"/>
              <w:right w:val="nil"/>
            </w:tcBorders>
            <w:vAlign w:val="bottom"/>
          </w:tcPr>
          <w:p w:rsidR="00D36156" w:rsidRPr="00F816FC" w:rsidRDefault="00D36156" w:rsidP="00C05E1F">
            <w:pPr>
              <w:jc w:val="center"/>
            </w:pPr>
          </w:p>
        </w:tc>
        <w:tc>
          <w:tcPr>
            <w:tcW w:w="1134"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b/>
              </w:rPr>
            </w:pPr>
            <w:r w:rsidRPr="00F816FC">
              <w:rPr>
                <w:b/>
              </w:rPr>
              <w:t>The patient</w:t>
            </w:r>
          </w:p>
        </w:tc>
        <w:tc>
          <w:tcPr>
            <w:tcW w:w="1984" w:type="dxa"/>
            <w:tcBorders>
              <w:top w:val="nil"/>
              <w:left w:val="nil"/>
              <w:bottom w:val="nil"/>
              <w:right w:val="nil"/>
            </w:tcBorders>
            <w:vAlign w:val="bottom"/>
          </w:tcPr>
          <w:p w:rsidR="00D36156" w:rsidRPr="00F816FC" w:rsidRDefault="00D36156" w:rsidP="00C05E1F">
            <w:pPr>
              <w:jc w:val="center"/>
            </w:pPr>
          </w:p>
        </w:tc>
        <w:tc>
          <w:tcPr>
            <w:tcW w:w="1843" w:type="dxa"/>
            <w:tcBorders>
              <w:top w:val="nil"/>
              <w:left w:val="nil"/>
              <w:bottom w:val="nil"/>
              <w:right w:val="nil"/>
            </w:tcBorders>
            <w:vAlign w:val="bottom"/>
          </w:tcPr>
          <w:p w:rsidR="00D36156" w:rsidRPr="00F816FC" w:rsidRDefault="00D36156" w:rsidP="00C05E1F">
            <w:pPr>
              <w:jc w:val="center"/>
            </w:pPr>
          </w:p>
        </w:tc>
        <w:tc>
          <w:tcPr>
            <w:tcW w:w="1559" w:type="dxa"/>
            <w:tcBorders>
              <w:top w:val="nil"/>
              <w:left w:val="nil"/>
              <w:bottom w:val="nil"/>
              <w:right w:val="nil"/>
            </w:tcBorders>
            <w:vAlign w:val="bottom"/>
          </w:tcPr>
          <w:p w:rsidR="00D36156" w:rsidRPr="00F816FC" w:rsidRDefault="00D36156" w:rsidP="00C05E1F">
            <w:pPr>
              <w:jc w:val="center"/>
            </w:pPr>
          </w:p>
        </w:tc>
        <w:tc>
          <w:tcPr>
            <w:tcW w:w="1134"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r w:rsidRPr="00F816FC">
              <w:t>Gender</w:t>
            </w:r>
          </w:p>
        </w:tc>
        <w:tc>
          <w:tcPr>
            <w:tcW w:w="1984" w:type="dxa"/>
            <w:tcBorders>
              <w:top w:val="nil"/>
              <w:left w:val="nil"/>
              <w:bottom w:val="nil"/>
              <w:right w:val="nil"/>
            </w:tcBorders>
            <w:vAlign w:val="bottom"/>
          </w:tcPr>
          <w:p w:rsidR="00D36156" w:rsidRPr="00F816FC" w:rsidRDefault="00D36156" w:rsidP="00C05E1F">
            <w:pPr>
              <w:jc w:val="center"/>
            </w:pPr>
          </w:p>
        </w:tc>
        <w:tc>
          <w:tcPr>
            <w:tcW w:w="1843" w:type="dxa"/>
            <w:tcBorders>
              <w:top w:val="nil"/>
              <w:left w:val="nil"/>
              <w:bottom w:val="nil"/>
              <w:right w:val="nil"/>
            </w:tcBorders>
            <w:vAlign w:val="bottom"/>
          </w:tcPr>
          <w:p w:rsidR="00D36156" w:rsidRPr="00F816FC" w:rsidRDefault="00D36156" w:rsidP="00C05E1F">
            <w:pPr>
              <w:jc w:val="center"/>
            </w:pPr>
          </w:p>
        </w:tc>
        <w:tc>
          <w:tcPr>
            <w:tcW w:w="1559" w:type="dxa"/>
            <w:tcBorders>
              <w:top w:val="nil"/>
              <w:left w:val="nil"/>
              <w:bottom w:val="nil"/>
              <w:right w:val="nil"/>
            </w:tcBorders>
            <w:vAlign w:val="bottom"/>
          </w:tcPr>
          <w:p w:rsidR="00D36156" w:rsidRPr="00F816FC" w:rsidRDefault="00D36156" w:rsidP="00C05E1F">
            <w:pPr>
              <w:jc w:val="center"/>
            </w:pPr>
          </w:p>
        </w:tc>
        <w:tc>
          <w:tcPr>
            <w:tcW w:w="1134"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Male</w:t>
            </w:r>
          </w:p>
        </w:tc>
        <w:tc>
          <w:tcPr>
            <w:tcW w:w="1984" w:type="dxa"/>
            <w:tcBorders>
              <w:top w:val="nil"/>
              <w:left w:val="nil"/>
              <w:bottom w:val="nil"/>
              <w:right w:val="nil"/>
            </w:tcBorders>
            <w:vAlign w:val="bottom"/>
          </w:tcPr>
          <w:p w:rsidR="00D36156" w:rsidRPr="00F816FC" w:rsidRDefault="00D36156" w:rsidP="00C05E1F">
            <w:pPr>
              <w:jc w:val="center"/>
            </w:pPr>
            <w:r w:rsidRPr="00F816FC">
              <w:t>4,630</w:t>
            </w:r>
          </w:p>
        </w:tc>
        <w:tc>
          <w:tcPr>
            <w:tcW w:w="1843" w:type="dxa"/>
            <w:tcBorders>
              <w:top w:val="nil"/>
              <w:left w:val="nil"/>
              <w:bottom w:val="nil"/>
              <w:right w:val="nil"/>
            </w:tcBorders>
            <w:vAlign w:val="bottom"/>
          </w:tcPr>
          <w:p w:rsidR="00D36156" w:rsidRPr="00F816FC" w:rsidRDefault="00D36156" w:rsidP="00C05E1F">
            <w:pPr>
              <w:jc w:val="center"/>
            </w:pPr>
            <w:r w:rsidRPr="00F816FC">
              <w:t>1,569</w:t>
            </w:r>
          </w:p>
        </w:tc>
        <w:tc>
          <w:tcPr>
            <w:tcW w:w="1559" w:type="dxa"/>
            <w:tcBorders>
              <w:top w:val="nil"/>
              <w:left w:val="nil"/>
              <w:bottom w:val="nil"/>
              <w:right w:val="nil"/>
            </w:tcBorders>
            <w:vAlign w:val="bottom"/>
          </w:tcPr>
          <w:p w:rsidR="00D36156" w:rsidRPr="00F816FC" w:rsidRDefault="00D36156" w:rsidP="00C05E1F">
            <w:pPr>
              <w:jc w:val="center"/>
            </w:pPr>
            <w:r w:rsidRPr="00F816FC">
              <w:t>33.9</w:t>
            </w:r>
          </w:p>
        </w:tc>
        <w:tc>
          <w:tcPr>
            <w:tcW w:w="1134" w:type="dxa"/>
            <w:vMerge w:val="restart"/>
            <w:tcBorders>
              <w:top w:val="nil"/>
              <w:left w:val="nil"/>
              <w:bottom w:val="nil"/>
              <w:right w:val="nil"/>
            </w:tcBorders>
            <w:vAlign w:val="center"/>
          </w:tcPr>
          <w:p w:rsidR="00D36156" w:rsidRPr="00F816FC" w:rsidRDefault="00D36156" w:rsidP="00C05E1F">
            <w:pPr>
              <w:jc w:val="center"/>
            </w:pPr>
            <w:r w:rsidRPr="00F816FC">
              <w:t>0.22</w:t>
            </w: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Female</w:t>
            </w:r>
          </w:p>
        </w:tc>
        <w:tc>
          <w:tcPr>
            <w:tcW w:w="1984" w:type="dxa"/>
            <w:tcBorders>
              <w:top w:val="nil"/>
              <w:left w:val="nil"/>
              <w:bottom w:val="nil"/>
              <w:right w:val="nil"/>
            </w:tcBorders>
            <w:vAlign w:val="bottom"/>
          </w:tcPr>
          <w:p w:rsidR="00D36156" w:rsidRPr="00F816FC" w:rsidRDefault="00D36156" w:rsidP="00C05E1F">
            <w:pPr>
              <w:jc w:val="center"/>
            </w:pPr>
            <w:r w:rsidRPr="00F816FC">
              <w:t>3,495</w:t>
            </w:r>
          </w:p>
        </w:tc>
        <w:tc>
          <w:tcPr>
            <w:tcW w:w="1843" w:type="dxa"/>
            <w:tcBorders>
              <w:top w:val="nil"/>
              <w:left w:val="nil"/>
              <w:bottom w:val="nil"/>
              <w:right w:val="nil"/>
            </w:tcBorders>
            <w:vAlign w:val="bottom"/>
          </w:tcPr>
          <w:p w:rsidR="00D36156" w:rsidRPr="00F816FC" w:rsidRDefault="00D36156" w:rsidP="00C05E1F">
            <w:pPr>
              <w:jc w:val="center"/>
            </w:pPr>
            <w:r w:rsidRPr="00F816FC">
              <w:t>1,230</w:t>
            </w:r>
          </w:p>
        </w:tc>
        <w:tc>
          <w:tcPr>
            <w:tcW w:w="1559" w:type="dxa"/>
            <w:tcBorders>
              <w:top w:val="nil"/>
              <w:left w:val="nil"/>
              <w:bottom w:val="nil"/>
              <w:right w:val="nil"/>
            </w:tcBorders>
            <w:vAlign w:val="bottom"/>
          </w:tcPr>
          <w:p w:rsidR="00D36156" w:rsidRPr="00F816FC" w:rsidRDefault="00D36156" w:rsidP="00C05E1F">
            <w:pPr>
              <w:jc w:val="center"/>
            </w:pPr>
            <w:r w:rsidRPr="00F816FC">
              <w:t>35.2</w:t>
            </w:r>
          </w:p>
        </w:tc>
        <w:tc>
          <w:tcPr>
            <w:tcW w:w="1134" w:type="dxa"/>
            <w:vMerge/>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r w:rsidRPr="00F816FC">
              <w:t>Age-group</w:t>
            </w:r>
          </w:p>
        </w:tc>
        <w:tc>
          <w:tcPr>
            <w:tcW w:w="1984" w:type="dxa"/>
            <w:tcBorders>
              <w:top w:val="nil"/>
              <w:left w:val="nil"/>
              <w:bottom w:val="nil"/>
              <w:right w:val="nil"/>
            </w:tcBorders>
            <w:vAlign w:val="bottom"/>
          </w:tcPr>
          <w:p w:rsidR="00D36156" w:rsidRPr="00F816FC" w:rsidRDefault="00D36156" w:rsidP="00C05E1F">
            <w:pPr>
              <w:jc w:val="center"/>
            </w:pPr>
          </w:p>
        </w:tc>
        <w:tc>
          <w:tcPr>
            <w:tcW w:w="1843" w:type="dxa"/>
            <w:tcBorders>
              <w:top w:val="nil"/>
              <w:left w:val="nil"/>
              <w:bottom w:val="nil"/>
              <w:right w:val="nil"/>
            </w:tcBorders>
            <w:vAlign w:val="bottom"/>
          </w:tcPr>
          <w:p w:rsidR="00D36156" w:rsidRPr="00F816FC" w:rsidRDefault="00D36156" w:rsidP="00C05E1F">
            <w:pPr>
              <w:jc w:val="center"/>
            </w:pPr>
          </w:p>
        </w:tc>
        <w:tc>
          <w:tcPr>
            <w:tcW w:w="1559" w:type="dxa"/>
            <w:tcBorders>
              <w:top w:val="nil"/>
              <w:left w:val="nil"/>
              <w:bottom w:val="nil"/>
              <w:right w:val="nil"/>
            </w:tcBorders>
            <w:vAlign w:val="bottom"/>
          </w:tcPr>
          <w:p w:rsidR="00D36156" w:rsidRPr="00F816FC" w:rsidRDefault="00D36156" w:rsidP="00C05E1F">
            <w:pPr>
              <w:jc w:val="center"/>
            </w:pPr>
          </w:p>
        </w:tc>
        <w:tc>
          <w:tcPr>
            <w:tcW w:w="1134"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Under 30</w:t>
            </w:r>
          </w:p>
        </w:tc>
        <w:tc>
          <w:tcPr>
            <w:tcW w:w="1984" w:type="dxa"/>
            <w:tcBorders>
              <w:top w:val="nil"/>
              <w:left w:val="nil"/>
              <w:bottom w:val="nil"/>
              <w:right w:val="nil"/>
            </w:tcBorders>
            <w:vAlign w:val="bottom"/>
          </w:tcPr>
          <w:p w:rsidR="00D36156" w:rsidRPr="00F816FC" w:rsidRDefault="00D36156" w:rsidP="00C05E1F">
            <w:pPr>
              <w:jc w:val="center"/>
            </w:pPr>
            <w:r w:rsidRPr="00F816FC">
              <w:t>1,870</w:t>
            </w:r>
          </w:p>
        </w:tc>
        <w:tc>
          <w:tcPr>
            <w:tcW w:w="1843" w:type="dxa"/>
            <w:tcBorders>
              <w:top w:val="nil"/>
              <w:left w:val="nil"/>
              <w:bottom w:val="nil"/>
              <w:right w:val="nil"/>
            </w:tcBorders>
            <w:vAlign w:val="bottom"/>
          </w:tcPr>
          <w:p w:rsidR="00D36156" w:rsidRPr="00F816FC" w:rsidRDefault="00D36156" w:rsidP="00C05E1F">
            <w:pPr>
              <w:jc w:val="center"/>
            </w:pPr>
            <w:r w:rsidRPr="00F816FC">
              <w:t>586</w:t>
            </w:r>
          </w:p>
        </w:tc>
        <w:tc>
          <w:tcPr>
            <w:tcW w:w="1559" w:type="dxa"/>
            <w:tcBorders>
              <w:top w:val="nil"/>
              <w:left w:val="nil"/>
              <w:bottom w:val="nil"/>
              <w:right w:val="nil"/>
            </w:tcBorders>
            <w:vAlign w:val="bottom"/>
          </w:tcPr>
          <w:p w:rsidR="00D36156" w:rsidRPr="00F816FC" w:rsidRDefault="00D36156" w:rsidP="00C05E1F">
            <w:pPr>
              <w:jc w:val="center"/>
            </w:pPr>
            <w:r w:rsidRPr="00F816FC">
              <w:t>31.3</w:t>
            </w:r>
          </w:p>
        </w:tc>
        <w:tc>
          <w:tcPr>
            <w:tcW w:w="1134" w:type="dxa"/>
            <w:vMerge w:val="restart"/>
            <w:tcBorders>
              <w:top w:val="nil"/>
              <w:left w:val="nil"/>
              <w:bottom w:val="nil"/>
              <w:right w:val="nil"/>
            </w:tcBorders>
            <w:vAlign w:val="center"/>
          </w:tcPr>
          <w:p w:rsidR="00D36156" w:rsidRPr="00F816FC" w:rsidRDefault="00D36156" w:rsidP="00C05E1F">
            <w:pPr>
              <w:jc w:val="center"/>
            </w:pPr>
            <w:r w:rsidRPr="00F816FC">
              <w:t>0.001</w:t>
            </w: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30-50</w:t>
            </w:r>
          </w:p>
        </w:tc>
        <w:tc>
          <w:tcPr>
            <w:tcW w:w="1984" w:type="dxa"/>
            <w:tcBorders>
              <w:top w:val="nil"/>
              <w:left w:val="nil"/>
              <w:bottom w:val="nil"/>
              <w:right w:val="nil"/>
            </w:tcBorders>
            <w:vAlign w:val="bottom"/>
          </w:tcPr>
          <w:p w:rsidR="00D36156" w:rsidRPr="00F816FC" w:rsidRDefault="00D36156" w:rsidP="00C05E1F">
            <w:pPr>
              <w:jc w:val="center"/>
            </w:pPr>
            <w:r w:rsidRPr="00F816FC">
              <w:t>4,600</w:t>
            </w:r>
          </w:p>
        </w:tc>
        <w:tc>
          <w:tcPr>
            <w:tcW w:w="1843" w:type="dxa"/>
            <w:tcBorders>
              <w:top w:val="nil"/>
              <w:left w:val="nil"/>
              <w:bottom w:val="nil"/>
              <w:right w:val="nil"/>
            </w:tcBorders>
            <w:vAlign w:val="bottom"/>
          </w:tcPr>
          <w:p w:rsidR="00D36156" w:rsidRPr="00F816FC" w:rsidRDefault="00D36156" w:rsidP="00C05E1F">
            <w:pPr>
              <w:jc w:val="center"/>
            </w:pPr>
            <w:r w:rsidRPr="00F816FC">
              <w:t>1,598</w:t>
            </w:r>
          </w:p>
        </w:tc>
        <w:tc>
          <w:tcPr>
            <w:tcW w:w="1559" w:type="dxa"/>
            <w:tcBorders>
              <w:top w:val="nil"/>
              <w:left w:val="nil"/>
              <w:bottom w:val="nil"/>
              <w:right w:val="nil"/>
            </w:tcBorders>
            <w:vAlign w:val="bottom"/>
          </w:tcPr>
          <w:p w:rsidR="00D36156" w:rsidRPr="00F816FC" w:rsidRDefault="00D36156" w:rsidP="00C05E1F">
            <w:pPr>
              <w:jc w:val="center"/>
            </w:pPr>
            <w:r w:rsidRPr="00F816FC">
              <w:t>34.7</w:t>
            </w:r>
          </w:p>
        </w:tc>
        <w:tc>
          <w:tcPr>
            <w:tcW w:w="1134" w:type="dxa"/>
            <w:vMerge/>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Over 50</w:t>
            </w:r>
          </w:p>
        </w:tc>
        <w:tc>
          <w:tcPr>
            <w:tcW w:w="1984" w:type="dxa"/>
            <w:tcBorders>
              <w:top w:val="nil"/>
              <w:left w:val="nil"/>
              <w:bottom w:val="nil"/>
              <w:right w:val="nil"/>
            </w:tcBorders>
            <w:vAlign w:val="bottom"/>
          </w:tcPr>
          <w:p w:rsidR="00D36156" w:rsidRPr="00F816FC" w:rsidRDefault="00D36156" w:rsidP="00C05E1F">
            <w:pPr>
              <w:jc w:val="center"/>
            </w:pPr>
            <w:r w:rsidRPr="00F816FC">
              <w:t>1,654</w:t>
            </w:r>
          </w:p>
        </w:tc>
        <w:tc>
          <w:tcPr>
            <w:tcW w:w="1843" w:type="dxa"/>
            <w:tcBorders>
              <w:top w:val="nil"/>
              <w:left w:val="nil"/>
              <w:bottom w:val="nil"/>
              <w:right w:val="nil"/>
            </w:tcBorders>
            <w:vAlign w:val="bottom"/>
          </w:tcPr>
          <w:p w:rsidR="00D36156" w:rsidRPr="00F816FC" w:rsidRDefault="00D36156" w:rsidP="00C05E1F">
            <w:pPr>
              <w:jc w:val="center"/>
            </w:pPr>
            <w:r w:rsidRPr="00F816FC">
              <w:t>614</w:t>
            </w:r>
          </w:p>
        </w:tc>
        <w:tc>
          <w:tcPr>
            <w:tcW w:w="1559" w:type="dxa"/>
            <w:tcBorders>
              <w:top w:val="nil"/>
              <w:left w:val="nil"/>
              <w:bottom w:val="nil"/>
              <w:right w:val="nil"/>
            </w:tcBorders>
            <w:vAlign w:val="bottom"/>
          </w:tcPr>
          <w:p w:rsidR="00D36156" w:rsidRPr="00F816FC" w:rsidRDefault="00D36156" w:rsidP="00C05E1F">
            <w:pPr>
              <w:jc w:val="center"/>
            </w:pPr>
            <w:r w:rsidRPr="00F816FC">
              <w:t>37.1</w:t>
            </w:r>
          </w:p>
        </w:tc>
        <w:tc>
          <w:tcPr>
            <w:tcW w:w="1134"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r w:rsidRPr="00F816FC">
              <w:t>Living in one of most deprived 20% of neighbourhoods in country:</w:t>
            </w:r>
          </w:p>
        </w:tc>
        <w:tc>
          <w:tcPr>
            <w:tcW w:w="1984" w:type="dxa"/>
            <w:tcBorders>
              <w:top w:val="nil"/>
              <w:left w:val="nil"/>
              <w:bottom w:val="nil"/>
              <w:right w:val="nil"/>
            </w:tcBorders>
            <w:vAlign w:val="bottom"/>
          </w:tcPr>
          <w:p w:rsidR="00D36156" w:rsidRPr="00F816FC" w:rsidRDefault="00D36156" w:rsidP="00C05E1F">
            <w:pPr>
              <w:jc w:val="center"/>
            </w:pPr>
          </w:p>
        </w:tc>
        <w:tc>
          <w:tcPr>
            <w:tcW w:w="1843" w:type="dxa"/>
            <w:tcBorders>
              <w:top w:val="nil"/>
              <w:left w:val="nil"/>
              <w:bottom w:val="nil"/>
              <w:right w:val="nil"/>
            </w:tcBorders>
            <w:vAlign w:val="bottom"/>
          </w:tcPr>
          <w:p w:rsidR="00D36156" w:rsidRPr="00F816FC" w:rsidRDefault="00D36156" w:rsidP="00C05E1F">
            <w:pPr>
              <w:jc w:val="center"/>
            </w:pPr>
          </w:p>
        </w:tc>
        <w:tc>
          <w:tcPr>
            <w:tcW w:w="1559" w:type="dxa"/>
            <w:tcBorders>
              <w:top w:val="nil"/>
              <w:left w:val="nil"/>
              <w:bottom w:val="nil"/>
              <w:right w:val="nil"/>
            </w:tcBorders>
            <w:vAlign w:val="bottom"/>
          </w:tcPr>
          <w:p w:rsidR="00D36156" w:rsidRPr="00F816FC" w:rsidRDefault="00D36156" w:rsidP="00C05E1F">
            <w:pPr>
              <w:jc w:val="center"/>
            </w:pPr>
          </w:p>
        </w:tc>
        <w:tc>
          <w:tcPr>
            <w:tcW w:w="1134"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No</w:t>
            </w:r>
          </w:p>
        </w:tc>
        <w:tc>
          <w:tcPr>
            <w:tcW w:w="1984" w:type="dxa"/>
            <w:tcBorders>
              <w:top w:val="nil"/>
              <w:left w:val="nil"/>
              <w:bottom w:val="nil"/>
              <w:right w:val="nil"/>
            </w:tcBorders>
            <w:vAlign w:val="bottom"/>
          </w:tcPr>
          <w:p w:rsidR="00D36156" w:rsidRPr="00F816FC" w:rsidRDefault="00D36156" w:rsidP="00C05E1F">
            <w:pPr>
              <w:jc w:val="center"/>
            </w:pPr>
            <w:r w:rsidRPr="00F816FC">
              <w:t>5,300</w:t>
            </w:r>
          </w:p>
        </w:tc>
        <w:tc>
          <w:tcPr>
            <w:tcW w:w="1843" w:type="dxa"/>
            <w:tcBorders>
              <w:top w:val="nil"/>
              <w:left w:val="nil"/>
              <w:bottom w:val="nil"/>
              <w:right w:val="nil"/>
            </w:tcBorders>
            <w:vAlign w:val="bottom"/>
          </w:tcPr>
          <w:p w:rsidR="00D36156" w:rsidRPr="00F816FC" w:rsidRDefault="00D36156" w:rsidP="00C05E1F">
            <w:pPr>
              <w:jc w:val="center"/>
            </w:pPr>
            <w:r w:rsidRPr="00F816FC">
              <w:t>1,593</w:t>
            </w:r>
          </w:p>
        </w:tc>
        <w:tc>
          <w:tcPr>
            <w:tcW w:w="1559" w:type="dxa"/>
            <w:tcBorders>
              <w:top w:val="nil"/>
              <w:left w:val="nil"/>
              <w:bottom w:val="nil"/>
              <w:right w:val="nil"/>
            </w:tcBorders>
            <w:vAlign w:val="bottom"/>
          </w:tcPr>
          <w:p w:rsidR="00D36156" w:rsidRPr="00F816FC" w:rsidRDefault="00D36156" w:rsidP="00C05E1F">
            <w:pPr>
              <w:jc w:val="center"/>
            </w:pPr>
            <w:r w:rsidRPr="00F816FC">
              <w:t>30.1</w:t>
            </w:r>
          </w:p>
        </w:tc>
        <w:tc>
          <w:tcPr>
            <w:tcW w:w="1134" w:type="dxa"/>
            <w:vMerge w:val="restart"/>
            <w:tcBorders>
              <w:top w:val="nil"/>
              <w:left w:val="nil"/>
              <w:bottom w:val="nil"/>
              <w:right w:val="nil"/>
            </w:tcBorders>
            <w:vAlign w:val="center"/>
          </w:tcPr>
          <w:p w:rsidR="00D36156" w:rsidRPr="00F816FC" w:rsidRDefault="00D36156" w:rsidP="00C05E1F">
            <w:pPr>
              <w:jc w:val="center"/>
            </w:pPr>
            <w:r w:rsidRPr="00F816FC">
              <w:t>&lt;0.001</w:t>
            </w: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Yes</w:t>
            </w:r>
          </w:p>
        </w:tc>
        <w:tc>
          <w:tcPr>
            <w:tcW w:w="1984" w:type="dxa"/>
            <w:tcBorders>
              <w:top w:val="nil"/>
              <w:left w:val="nil"/>
              <w:bottom w:val="nil"/>
              <w:right w:val="nil"/>
            </w:tcBorders>
            <w:vAlign w:val="bottom"/>
          </w:tcPr>
          <w:p w:rsidR="00D36156" w:rsidRPr="00F816FC" w:rsidRDefault="00D36156" w:rsidP="00C05E1F">
            <w:pPr>
              <w:jc w:val="center"/>
            </w:pPr>
            <w:r w:rsidRPr="00F816FC">
              <w:t>2,723</w:t>
            </w:r>
          </w:p>
        </w:tc>
        <w:tc>
          <w:tcPr>
            <w:tcW w:w="1843" w:type="dxa"/>
            <w:tcBorders>
              <w:top w:val="nil"/>
              <w:left w:val="nil"/>
              <w:bottom w:val="nil"/>
              <w:right w:val="nil"/>
            </w:tcBorders>
            <w:vAlign w:val="bottom"/>
          </w:tcPr>
          <w:p w:rsidR="00D36156" w:rsidRPr="00F816FC" w:rsidRDefault="00D36156" w:rsidP="00C05E1F">
            <w:pPr>
              <w:jc w:val="center"/>
            </w:pPr>
            <w:r w:rsidRPr="00F816FC">
              <w:t>1,178</w:t>
            </w:r>
          </w:p>
        </w:tc>
        <w:tc>
          <w:tcPr>
            <w:tcW w:w="1559" w:type="dxa"/>
            <w:tcBorders>
              <w:top w:val="nil"/>
              <w:left w:val="nil"/>
              <w:bottom w:val="nil"/>
              <w:right w:val="nil"/>
            </w:tcBorders>
            <w:vAlign w:val="bottom"/>
          </w:tcPr>
          <w:p w:rsidR="00D36156" w:rsidRPr="00F816FC" w:rsidRDefault="00D36156" w:rsidP="00C05E1F">
            <w:pPr>
              <w:jc w:val="center"/>
            </w:pPr>
            <w:r w:rsidRPr="00F816FC">
              <w:t>43.3</w:t>
            </w:r>
          </w:p>
        </w:tc>
        <w:tc>
          <w:tcPr>
            <w:tcW w:w="1134" w:type="dxa"/>
            <w:vMerge/>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right w:val="nil"/>
            </w:tcBorders>
          </w:tcPr>
          <w:p w:rsidR="00D36156" w:rsidRPr="00F816FC" w:rsidRDefault="00D36156" w:rsidP="00C05E1F">
            <w:pPr>
              <w:rPr>
                <w:b/>
              </w:rPr>
            </w:pPr>
          </w:p>
        </w:tc>
        <w:tc>
          <w:tcPr>
            <w:tcW w:w="1984" w:type="dxa"/>
            <w:tcBorders>
              <w:top w:val="nil"/>
              <w:left w:val="nil"/>
              <w:right w:val="nil"/>
            </w:tcBorders>
            <w:vAlign w:val="bottom"/>
          </w:tcPr>
          <w:p w:rsidR="00D36156" w:rsidRPr="00F816FC" w:rsidRDefault="00D36156" w:rsidP="00C05E1F">
            <w:pPr>
              <w:jc w:val="center"/>
            </w:pPr>
          </w:p>
        </w:tc>
        <w:tc>
          <w:tcPr>
            <w:tcW w:w="1843" w:type="dxa"/>
            <w:tcBorders>
              <w:top w:val="nil"/>
              <w:left w:val="nil"/>
              <w:right w:val="nil"/>
            </w:tcBorders>
            <w:vAlign w:val="bottom"/>
          </w:tcPr>
          <w:p w:rsidR="00D36156" w:rsidRPr="00F816FC" w:rsidRDefault="00D36156" w:rsidP="00C05E1F">
            <w:pPr>
              <w:jc w:val="center"/>
            </w:pPr>
          </w:p>
        </w:tc>
        <w:tc>
          <w:tcPr>
            <w:tcW w:w="1559" w:type="dxa"/>
            <w:tcBorders>
              <w:top w:val="nil"/>
              <w:left w:val="nil"/>
              <w:right w:val="nil"/>
            </w:tcBorders>
            <w:vAlign w:val="bottom"/>
          </w:tcPr>
          <w:p w:rsidR="00D36156" w:rsidRPr="00F816FC" w:rsidRDefault="00D36156" w:rsidP="00C05E1F">
            <w:pPr>
              <w:jc w:val="center"/>
            </w:pPr>
          </w:p>
        </w:tc>
        <w:tc>
          <w:tcPr>
            <w:tcW w:w="1134" w:type="dxa"/>
            <w:tcBorders>
              <w:top w:val="nil"/>
              <w:left w:val="nil"/>
              <w:right w:val="nil"/>
            </w:tcBorders>
            <w:vAlign w:val="bottom"/>
          </w:tcPr>
          <w:p w:rsidR="00D36156" w:rsidRPr="00F816FC" w:rsidRDefault="00D36156" w:rsidP="00C05E1F">
            <w:pPr>
              <w:jc w:val="center"/>
            </w:pPr>
          </w:p>
        </w:tc>
      </w:tr>
    </w:tbl>
    <w:p w:rsidR="00D36156" w:rsidRPr="00F816FC" w:rsidRDefault="00D36156" w:rsidP="00892925">
      <w:pPr>
        <w:spacing w:line="360" w:lineRule="auto"/>
        <w:rPr>
          <w:color w:val="FF0000"/>
        </w:rPr>
      </w:pPr>
    </w:p>
    <w:p w:rsidR="00D66AF3" w:rsidRPr="00F816FC" w:rsidRDefault="00413649" w:rsidP="00892925">
      <w:pPr>
        <w:spacing w:line="360" w:lineRule="auto"/>
        <w:rPr>
          <w:i/>
        </w:rPr>
      </w:pPr>
      <w:r w:rsidRPr="00F816FC">
        <w:rPr>
          <w:i/>
        </w:rPr>
        <w:t xml:space="preserve">Practice variation in issue of long-term </w:t>
      </w:r>
      <w:r w:rsidR="00D66AF3" w:rsidRPr="00F816FC">
        <w:rPr>
          <w:i/>
        </w:rPr>
        <w:t>fit notes</w:t>
      </w:r>
    </w:p>
    <w:p w:rsidR="00436205" w:rsidRPr="00F816FC" w:rsidRDefault="00436205" w:rsidP="00892925">
      <w:pPr>
        <w:spacing w:line="360" w:lineRule="auto"/>
      </w:pPr>
      <w:r w:rsidRPr="00F816FC">
        <w:t xml:space="preserve">Larger practices, a location in an urban environment and having a large majority of social deprived patients were significantly associated with issuing a higher proportion of long-term depression fit notes (Table 2). </w:t>
      </w:r>
      <w:r w:rsidR="006D7D71" w:rsidRPr="00F816FC">
        <w:t>Practices with over 10,000 registered patients issued a higher proportion of long-term notes for depression (39%) than did smaller practices (32%) (</w:t>
      </w:r>
      <w:r w:rsidR="00DA0AF5" w:rsidRPr="00F816FC">
        <w:t>χ</w:t>
      </w:r>
      <w:r w:rsidR="00DA0AF5" w:rsidRPr="00F816FC">
        <w:rPr>
          <w:vertAlign w:val="superscript"/>
        </w:rPr>
        <w:t>2</w:t>
      </w:r>
      <w:r w:rsidR="00DA0AF5" w:rsidRPr="00F816FC">
        <w:t xml:space="preserve">=43.7 df=1 </w:t>
      </w:r>
      <w:r w:rsidR="006D7D71" w:rsidRPr="00F816FC">
        <w:t>P&lt;0.001). Nearly 37</w:t>
      </w:r>
      <w:r w:rsidR="00413649" w:rsidRPr="00F816FC">
        <w:t xml:space="preserve">% of </w:t>
      </w:r>
      <w:r w:rsidR="00253A74" w:rsidRPr="00F816FC">
        <w:t>sickness certificate</w:t>
      </w:r>
      <w:r w:rsidR="00413649" w:rsidRPr="00F816FC">
        <w:t>s issued to patients</w:t>
      </w:r>
      <w:r w:rsidR="00253A74" w:rsidRPr="00F816FC">
        <w:t xml:space="preserve"> for depression at practices in urban or suburban settings </w:t>
      </w:r>
      <w:r w:rsidR="00413649" w:rsidRPr="00F816FC">
        <w:t xml:space="preserve">were long-term </w:t>
      </w:r>
      <w:r w:rsidR="00253A74" w:rsidRPr="00F816FC">
        <w:t xml:space="preserve">compared to only 29% of those </w:t>
      </w:r>
      <w:r w:rsidR="00413649" w:rsidRPr="00F816FC">
        <w:t>issued by</w:t>
      </w:r>
      <w:r w:rsidR="00253A74" w:rsidRPr="00F816FC">
        <w:t xml:space="preserve"> rural practices (</w:t>
      </w:r>
      <w:r w:rsidR="00DA0AF5" w:rsidRPr="00F816FC">
        <w:t>χ</w:t>
      </w:r>
      <w:r w:rsidR="00DA0AF5" w:rsidRPr="00F816FC">
        <w:rPr>
          <w:vertAlign w:val="superscript"/>
        </w:rPr>
        <w:t>2</w:t>
      </w:r>
      <w:r w:rsidR="00DA0AF5" w:rsidRPr="00F816FC">
        <w:t xml:space="preserve">=50.1 df=1 </w:t>
      </w:r>
      <w:r w:rsidR="00253A74" w:rsidRPr="00F816FC">
        <w:t xml:space="preserve">P&lt;0.001). </w:t>
      </w:r>
      <w:r w:rsidR="00253A74" w:rsidRPr="00F816FC">
        <w:lastRenderedPageBreak/>
        <w:t>Practices categorised as having a ‘high deprivation’ status issued more long-term fit notes for patients with</w:t>
      </w:r>
      <w:r w:rsidR="001679A9" w:rsidRPr="00F816FC">
        <w:t xml:space="preserve"> depression (39%, compared to 30</w:t>
      </w:r>
      <w:r w:rsidR="00253A74" w:rsidRPr="00F816FC">
        <w:t>% of fit no</w:t>
      </w:r>
      <w:r w:rsidR="001679A9" w:rsidRPr="00F816FC">
        <w:t xml:space="preserve">tes issued by </w:t>
      </w:r>
      <w:r w:rsidR="00253A74" w:rsidRPr="00F816FC">
        <w:t>practices</w:t>
      </w:r>
      <w:r w:rsidR="001679A9" w:rsidRPr="00F816FC">
        <w:t xml:space="preserve"> with less deprived patient populations, χ</w:t>
      </w:r>
      <w:r w:rsidR="001679A9" w:rsidRPr="00F816FC">
        <w:rPr>
          <w:vertAlign w:val="superscript"/>
        </w:rPr>
        <w:t>2</w:t>
      </w:r>
      <w:r w:rsidR="001679A9" w:rsidRPr="00F816FC">
        <w:t>=66.5 df=1 P&lt;0.001</w:t>
      </w:r>
      <w:r w:rsidR="00253A74" w:rsidRPr="00F816FC">
        <w:t>)</w:t>
      </w:r>
      <w:r w:rsidR="00B9693C" w:rsidRPr="00F816FC">
        <w:t>.</w:t>
      </w:r>
    </w:p>
    <w:p w:rsidR="00B9693C" w:rsidRDefault="00B9693C" w:rsidP="00892925">
      <w:pPr>
        <w:spacing w:line="360" w:lineRule="auto"/>
        <w:rPr>
          <w:color w:val="FF0000"/>
        </w:rPr>
      </w:pPr>
      <w:r w:rsidRPr="00F816FC">
        <w:rPr>
          <w:color w:val="FF0000"/>
        </w:rPr>
        <w:t>Table 2</w:t>
      </w:r>
    </w:p>
    <w:p w:rsidR="00D36156" w:rsidRPr="00F816FC" w:rsidRDefault="00D36156" w:rsidP="00D36156">
      <w:pPr>
        <w:rPr>
          <w:b/>
        </w:rPr>
      </w:pPr>
      <w:r w:rsidRPr="00F816FC">
        <w:rPr>
          <w:b/>
        </w:rPr>
        <w:t>Table 2: General practice and certifying GP characteristics, and proportion of long-term (&gt; 4 week) depression fit notes issued.</w:t>
      </w:r>
    </w:p>
    <w:p w:rsidR="00D36156" w:rsidRPr="00F816FC" w:rsidRDefault="00D36156" w:rsidP="00D36156"/>
    <w:p w:rsidR="00D36156" w:rsidRPr="00F816FC" w:rsidRDefault="00D36156" w:rsidP="00D36156"/>
    <w:tbl>
      <w:tblPr>
        <w:tblStyle w:val="TableGrid"/>
        <w:tblW w:w="10314" w:type="dxa"/>
        <w:tblLook w:val="04A0" w:firstRow="1" w:lastRow="0" w:firstColumn="1" w:lastColumn="0" w:noHBand="0" w:noVBand="1"/>
      </w:tblPr>
      <w:tblGrid>
        <w:gridCol w:w="3794"/>
        <w:gridCol w:w="1984"/>
        <w:gridCol w:w="1843"/>
        <w:gridCol w:w="1559"/>
        <w:gridCol w:w="1134"/>
      </w:tblGrid>
      <w:tr w:rsidR="00D36156" w:rsidRPr="00F816FC" w:rsidTr="00C05E1F">
        <w:tc>
          <w:tcPr>
            <w:tcW w:w="3794" w:type="dxa"/>
            <w:tcBorders>
              <w:left w:val="nil"/>
              <w:bottom w:val="single" w:sz="4" w:space="0" w:color="auto"/>
              <w:right w:val="nil"/>
            </w:tcBorders>
          </w:tcPr>
          <w:p w:rsidR="00D36156" w:rsidRPr="00F816FC" w:rsidRDefault="00D36156" w:rsidP="00C05E1F"/>
        </w:tc>
        <w:tc>
          <w:tcPr>
            <w:tcW w:w="1984" w:type="dxa"/>
            <w:tcBorders>
              <w:left w:val="nil"/>
              <w:bottom w:val="single" w:sz="4" w:space="0" w:color="auto"/>
              <w:right w:val="nil"/>
            </w:tcBorders>
            <w:vAlign w:val="bottom"/>
          </w:tcPr>
          <w:p w:rsidR="00D36156" w:rsidRPr="00F816FC" w:rsidRDefault="00D36156" w:rsidP="00C05E1F">
            <w:pPr>
              <w:jc w:val="center"/>
              <w:rPr>
                <w:b/>
              </w:rPr>
            </w:pPr>
            <w:r w:rsidRPr="00F816FC">
              <w:rPr>
                <w:b/>
              </w:rPr>
              <w:t>No of fit notes issued for depression</w:t>
            </w:r>
          </w:p>
        </w:tc>
        <w:tc>
          <w:tcPr>
            <w:tcW w:w="1843" w:type="dxa"/>
            <w:tcBorders>
              <w:left w:val="nil"/>
              <w:bottom w:val="single" w:sz="4" w:space="0" w:color="auto"/>
              <w:right w:val="nil"/>
            </w:tcBorders>
            <w:vAlign w:val="bottom"/>
          </w:tcPr>
          <w:p w:rsidR="00D36156" w:rsidRPr="00F816FC" w:rsidRDefault="00D36156" w:rsidP="00C05E1F">
            <w:pPr>
              <w:jc w:val="center"/>
              <w:rPr>
                <w:b/>
              </w:rPr>
            </w:pPr>
            <w:r w:rsidRPr="00F816FC">
              <w:rPr>
                <w:b/>
              </w:rPr>
              <w:t xml:space="preserve">No of long-term (&gt; 4 week) fit notes </w:t>
            </w:r>
          </w:p>
        </w:tc>
        <w:tc>
          <w:tcPr>
            <w:tcW w:w="1559" w:type="dxa"/>
            <w:tcBorders>
              <w:left w:val="nil"/>
              <w:bottom w:val="single" w:sz="4" w:space="0" w:color="auto"/>
              <w:right w:val="nil"/>
            </w:tcBorders>
            <w:vAlign w:val="bottom"/>
          </w:tcPr>
          <w:p w:rsidR="00D36156" w:rsidRPr="00F816FC" w:rsidRDefault="00D36156" w:rsidP="00C05E1F">
            <w:pPr>
              <w:jc w:val="center"/>
              <w:rPr>
                <w:b/>
              </w:rPr>
            </w:pPr>
            <w:r w:rsidRPr="00F816FC">
              <w:rPr>
                <w:b/>
              </w:rPr>
              <w:t>Row Percent</w:t>
            </w:r>
          </w:p>
        </w:tc>
        <w:tc>
          <w:tcPr>
            <w:tcW w:w="1134" w:type="dxa"/>
            <w:tcBorders>
              <w:left w:val="nil"/>
              <w:bottom w:val="single" w:sz="4" w:space="0" w:color="auto"/>
              <w:right w:val="nil"/>
            </w:tcBorders>
            <w:vAlign w:val="bottom"/>
          </w:tcPr>
          <w:p w:rsidR="00D36156" w:rsidRPr="00F816FC" w:rsidRDefault="00D36156" w:rsidP="00C05E1F">
            <w:pPr>
              <w:jc w:val="center"/>
              <w:rPr>
                <w:b/>
              </w:rPr>
            </w:pPr>
            <w:r w:rsidRPr="00F816FC">
              <w:rPr>
                <w:b/>
              </w:rPr>
              <w:t>P</w:t>
            </w:r>
          </w:p>
        </w:tc>
      </w:tr>
      <w:tr w:rsidR="00D36156" w:rsidRPr="00F816FC" w:rsidTr="00C05E1F">
        <w:tc>
          <w:tcPr>
            <w:tcW w:w="3794" w:type="dxa"/>
            <w:tcBorders>
              <w:left w:val="nil"/>
              <w:bottom w:val="nil"/>
              <w:right w:val="nil"/>
            </w:tcBorders>
          </w:tcPr>
          <w:p w:rsidR="00D36156" w:rsidRPr="00F816FC" w:rsidRDefault="00D36156" w:rsidP="00C05E1F">
            <w:pPr>
              <w:rPr>
                <w:b/>
              </w:rPr>
            </w:pPr>
            <w:r w:rsidRPr="00F816FC">
              <w:rPr>
                <w:b/>
              </w:rPr>
              <w:t>The general practice</w:t>
            </w:r>
          </w:p>
        </w:tc>
        <w:tc>
          <w:tcPr>
            <w:tcW w:w="1984" w:type="dxa"/>
            <w:tcBorders>
              <w:left w:val="nil"/>
              <w:bottom w:val="nil"/>
              <w:right w:val="nil"/>
            </w:tcBorders>
            <w:vAlign w:val="bottom"/>
          </w:tcPr>
          <w:p w:rsidR="00D36156" w:rsidRPr="00F816FC" w:rsidRDefault="00D36156" w:rsidP="00C05E1F">
            <w:pPr>
              <w:jc w:val="center"/>
            </w:pPr>
          </w:p>
        </w:tc>
        <w:tc>
          <w:tcPr>
            <w:tcW w:w="1843" w:type="dxa"/>
            <w:tcBorders>
              <w:left w:val="nil"/>
              <w:bottom w:val="nil"/>
              <w:right w:val="nil"/>
            </w:tcBorders>
            <w:vAlign w:val="bottom"/>
          </w:tcPr>
          <w:p w:rsidR="00D36156" w:rsidRPr="00F816FC" w:rsidRDefault="00D36156" w:rsidP="00C05E1F">
            <w:pPr>
              <w:jc w:val="center"/>
            </w:pPr>
          </w:p>
        </w:tc>
        <w:tc>
          <w:tcPr>
            <w:tcW w:w="1559" w:type="dxa"/>
            <w:tcBorders>
              <w:left w:val="nil"/>
              <w:bottom w:val="nil"/>
              <w:right w:val="nil"/>
            </w:tcBorders>
            <w:vAlign w:val="bottom"/>
          </w:tcPr>
          <w:p w:rsidR="00D36156" w:rsidRPr="00F816FC" w:rsidRDefault="00D36156" w:rsidP="00C05E1F">
            <w:pPr>
              <w:jc w:val="center"/>
            </w:pPr>
          </w:p>
        </w:tc>
        <w:tc>
          <w:tcPr>
            <w:tcW w:w="1134" w:type="dxa"/>
            <w:tcBorders>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r w:rsidRPr="00F816FC">
              <w:t>Patient list size</w:t>
            </w:r>
          </w:p>
        </w:tc>
        <w:tc>
          <w:tcPr>
            <w:tcW w:w="1984" w:type="dxa"/>
            <w:tcBorders>
              <w:top w:val="nil"/>
              <w:left w:val="nil"/>
              <w:bottom w:val="nil"/>
              <w:right w:val="nil"/>
            </w:tcBorders>
            <w:vAlign w:val="bottom"/>
          </w:tcPr>
          <w:p w:rsidR="00D36156" w:rsidRPr="00F816FC" w:rsidRDefault="00D36156" w:rsidP="00C05E1F">
            <w:pPr>
              <w:jc w:val="center"/>
            </w:pPr>
          </w:p>
        </w:tc>
        <w:tc>
          <w:tcPr>
            <w:tcW w:w="1843" w:type="dxa"/>
            <w:tcBorders>
              <w:top w:val="nil"/>
              <w:left w:val="nil"/>
              <w:bottom w:val="nil"/>
              <w:right w:val="nil"/>
            </w:tcBorders>
            <w:vAlign w:val="bottom"/>
          </w:tcPr>
          <w:p w:rsidR="00D36156" w:rsidRPr="00F816FC" w:rsidRDefault="00D36156" w:rsidP="00C05E1F">
            <w:pPr>
              <w:jc w:val="center"/>
            </w:pPr>
          </w:p>
        </w:tc>
        <w:tc>
          <w:tcPr>
            <w:tcW w:w="1559" w:type="dxa"/>
            <w:tcBorders>
              <w:top w:val="nil"/>
              <w:left w:val="nil"/>
              <w:bottom w:val="nil"/>
              <w:right w:val="nil"/>
            </w:tcBorders>
            <w:vAlign w:val="bottom"/>
          </w:tcPr>
          <w:p w:rsidR="00D36156" w:rsidRPr="00F816FC" w:rsidRDefault="00D36156" w:rsidP="00C05E1F">
            <w:pPr>
              <w:jc w:val="center"/>
            </w:pPr>
          </w:p>
        </w:tc>
        <w:tc>
          <w:tcPr>
            <w:tcW w:w="1134"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&lt;5000 patients</w:t>
            </w:r>
          </w:p>
        </w:tc>
        <w:tc>
          <w:tcPr>
            <w:tcW w:w="1984" w:type="dxa"/>
            <w:tcBorders>
              <w:top w:val="nil"/>
              <w:left w:val="nil"/>
              <w:bottom w:val="nil"/>
              <w:right w:val="nil"/>
            </w:tcBorders>
            <w:vAlign w:val="bottom"/>
          </w:tcPr>
          <w:p w:rsidR="00D36156" w:rsidRPr="00F816FC" w:rsidRDefault="00D36156" w:rsidP="00C05E1F">
            <w:pPr>
              <w:jc w:val="center"/>
            </w:pPr>
            <w:r w:rsidRPr="00F816FC">
              <w:t>1,252</w:t>
            </w:r>
          </w:p>
        </w:tc>
        <w:tc>
          <w:tcPr>
            <w:tcW w:w="1843" w:type="dxa"/>
            <w:tcBorders>
              <w:top w:val="nil"/>
              <w:left w:val="nil"/>
              <w:bottom w:val="nil"/>
              <w:right w:val="nil"/>
            </w:tcBorders>
            <w:vAlign w:val="bottom"/>
          </w:tcPr>
          <w:p w:rsidR="00D36156" w:rsidRPr="00F816FC" w:rsidRDefault="00D36156" w:rsidP="00C05E1F">
            <w:pPr>
              <w:jc w:val="center"/>
            </w:pPr>
            <w:r w:rsidRPr="00F816FC">
              <w:t>415</w:t>
            </w:r>
          </w:p>
        </w:tc>
        <w:tc>
          <w:tcPr>
            <w:tcW w:w="1559" w:type="dxa"/>
            <w:tcBorders>
              <w:top w:val="nil"/>
              <w:left w:val="nil"/>
              <w:bottom w:val="nil"/>
              <w:right w:val="nil"/>
            </w:tcBorders>
            <w:vAlign w:val="bottom"/>
          </w:tcPr>
          <w:p w:rsidR="00D36156" w:rsidRPr="00F816FC" w:rsidRDefault="00D36156" w:rsidP="00C05E1F">
            <w:pPr>
              <w:jc w:val="center"/>
            </w:pPr>
            <w:r w:rsidRPr="00F816FC">
              <w:t>33.1</w:t>
            </w:r>
          </w:p>
        </w:tc>
        <w:tc>
          <w:tcPr>
            <w:tcW w:w="1134" w:type="dxa"/>
            <w:vMerge w:val="restart"/>
            <w:tcBorders>
              <w:top w:val="nil"/>
              <w:left w:val="nil"/>
              <w:bottom w:val="nil"/>
              <w:right w:val="nil"/>
            </w:tcBorders>
            <w:vAlign w:val="center"/>
          </w:tcPr>
          <w:p w:rsidR="00D36156" w:rsidRPr="00F816FC" w:rsidRDefault="00D36156" w:rsidP="00C05E1F">
            <w:pPr>
              <w:jc w:val="center"/>
            </w:pPr>
            <w:r w:rsidRPr="00F816FC">
              <w:t>&lt;0.001</w:t>
            </w: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5-10,000 patients</w:t>
            </w:r>
          </w:p>
        </w:tc>
        <w:tc>
          <w:tcPr>
            <w:tcW w:w="1984" w:type="dxa"/>
            <w:tcBorders>
              <w:top w:val="nil"/>
              <w:left w:val="nil"/>
              <w:bottom w:val="nil"/>
              <w:right w:val="nil"/>
            </w:tcBorders>
            <w:vAlign w:val="bottom"/>
          </w:tcPr>
          <w:p w:rsidR="00D36156" w:rsidRPr="00F816FC" w:rsidRDefault="00D36156" w:rsidP="00C05E1F">
            <w:pPr>
              <w:jc w:val="center"/>
            </w:pPr>
            <w:r w:rsidRPr="00F816FC">
              <w:t>3,575</w:t>
            </w:r>
          </w:p>
        </w:tc>
        <w:tc>
          <w:tcPr>
            <w:tcW w:w="1843" w:type="dxa"/>
            <w:tcBorders>
              <w:top w:val="nil"/>
              <w:left w:val="nil"/>
              <w:bottom w:val="nil"/>
              <w:right w:val="nil"/>
            </w:tcBorders>
            <w:vAlign w:val="bottom"/>
          </w:tcPr>
          <w:p w:rsidR="00D36156" w:rsidRPr="00F816FC" w:rsidRDefault="00D36156" w:rsidP="00C05E1F">
            <w:pPr>
              <w:jc w:val="center"/>
            </w:pPr>
            <w:r w:rsidRPr="00F816FC">
              <w:t>1,109</w:t>
            </w:r>
          </w:p>
        </w:tc>
        <w:tc>
          <w:tcPr>
            <w:tcW w:w="1559" w:type="dxa"/>
            <w:tcBorders>
              <w:top w:val="nil"/>
              <w:left w:val="nil"/>
              <w:bottom w:val="nil"/>
              <w:right w:val="nil"/>
            </w:tcBorders>
            <w:vAlign w:val="bottom"/>
          </w:tcPr>
          <w:p w:rsidR="00D36156" w:rsidRPr="00F816FC" w:rsidRDefault="00D36156" w:rsidP="00C05E1F">
            <w:pPr>
              <w:jc w:val="center"/>
            </w:pPr>
            <w:r w:rsidRPr="00F816FC">
              <w:t>31.0</w:t>
            </w:r>
          </w:p>
        </w:tc>
        <w:tc>
          <w:tcPr>
            <w:tcW w:w="1134" w:type="dxa"/>
            <w:vMerge/>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Over 10,000 patients</w:t>
            </w:r>
          </w:p>
        </w:tc>
        <w:tc>
          <w:tcPr>
            <w:tcW w:w="1984" w:type="dxa"/>
            <w:tcBorders>
              <w:top w:val="nil"/>
              <w:left w:val="nil"/>
              <w:bottom w:val="nil"/>
              <w:right w:val="nil"/>
            </w:tcBorders>
            <w:vAlign w:val="bottom"/>
          </w:tcPr>
          <w:p w:rsidR="00D36156" w:rsidRPr="00F816FC" w:rsidRDefault="00D36156" w:rsidP="00C05E1F">
            <w:pPr>
              <w:jc w:val="center"/>
            </w:pPr>
            <w:r w:rsidRPr="00F816FC">
              <w:t>3,300</w:t>
            </w:r>
          </w:p>
        </w:tc>
        <w:tc>
          <w:tcPr>
            <w:tcW w:w="1843" w:type="dxa"/>
            <w:tcBorders>
              <w:top w:val="nil"/>
              <w:left w:val="nil"/>
              <w:bottom w:val="nil"/>
              <w:right w:val="nil"/>
            </w:tcBorders>
            <w:vAlign w:val="bottom"/>
          </w:tcPr>
          <w:p w:rsidR="00D36156" w:rsidRPr="00F816FC" w:rsidRDefault="00D36156" w:rsidP="00C05E1F">
            <w:pPr>
              <w:jc w:val="center"/>
            </w:pPr>
            <w:r w:rsidRPr="00F816FC">
              <w:t>1,276</w:t>
            </w:r>
          </w:p>
        </w:tc>
        <w:tc>
          <w:tcPr>
            <w:tcW w:w="1559" w:type="dxa"/>
            <w:tcBorders>
              <w:top w:val="nil"/>
              <w:left w:val="nil"/>
              <w:bottom w:val="nil"/>
              <w:right w:val="nil"/>
            </w:tcBorders>
            <w:vAlign w:val="bottom"/>
          </w:tcPr>
          <w:p w:rsidR="00D36156" w:rsidRPr="00F816FC" w:rsidRDefault="00D36156" w:rsidP="00C05E1F">
            <w:pPr>
              <w:jc w:val="center"/>
            </w:pPr>
            <w:r w:rsidRPr="00F816FC">
              <w:t>38.7</w:t>
            </w:r>
          </w:p>
        </w:tc>
        <w:tc>
          <w:tcPr>
            <w:tcW w:w="1134" w:type="dxa"/>
            <w:vMerge/>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r w:rsidRPr="00F816FC">
              <w:t>Location of practice</w:t>
            </w:r>
          </w:p>
        </w:tc>
        <w:tc>
          <w:tcPr>
            <w:tcW w:w="1984" w:type="dxa"/>
            <w:tcBorders>
              <w:top w:val="nil"/>
              <w:left w:val="nil"/>
              <w:bottom w:val="nil"/>
              <w:right w:val="nil"/>
            </w:tcBorders>
            <w:vAlign w:val="bottom"/>
          </w:tcPr>
          <w:p w:rsidR="00D36156" w:rsidRPr="00F816FC" w:rsidRDefault="00D36156" w:rsidP="00C05E1F">
            <w:pPr>
              <w:jc w:val="center"/>
            </w:pPr>
          </w:p>
        </w:tc>
        <w:tc>
          <w:tcPr>
            <w:tcW w:w="1843" w:type="dxa"/>
            <w:tcBorders>
              <w:top w:val="nil"/>
              <w:left w:val="nil"/>
              <w:bottom w:val="nil"/>
              <w:right w:val="nil"/>
            </w:tcBorders>
            <w:vAlign w:val="bottom"/>
          </w:tcPr>
          <w:p w:rsidR="00D36156" w:rsidRPr="00F816FC" w:rsidRDefault="00D36156" w:rsidP="00C05E1F">
            <w:pPr>
              <w:jc w:val="center"/>
            </w:pPr>
          </w:p>
        </w:tc>
        <w:tc>
          <w:tcPr>
            <w:tcW w:w="1559" w:type="dxa"/>
            <w:tcBorders>
              <w:top w:val="nil"/>
              <w:left w:val="nil"/>
              <w:bottom w:val="nil"/>
              <w:right w:val="nil"/>
            </w:tcBorders>
            <w:vAlign w:val="bottom"/>
          </w:tcPr>
          <w:p w:rsidR="00D36156" w:rsidRPr="00F816FC" w:rsidRDefault="00D36156" w:rsidP="00C05E1F">
            <w:pPr>
              <w:jc w:val="center"/>
            </w:pPr>
          </w:p>
        </w:tc>
        <w:tc>
          <w:tcPr>
            <w:tcW w:w="1134" w:type="dxa"/>
            <w:tcBorders>
              <w:top w:val="nil"/>
              <w:left w:val="nil"/>
              <w:bottom w:val="nil"/>
              <w:right w:val="nil"/>
            </w:tcBorders>
            <w:vAlign w:val="center"/>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Rural</w:t>
            </w:r>
          </w:p>
        </w:tc>
        <w:tc>
          <w:tcPr>
            <w:tcW w:w="1984" w:type="dxa"/>
            <w:tcBorders>
              <w:top w:val="nil"/>
              <w:left w:val="nil"/>
              <w:bottom w:val="nil"/>
              <w:right w:val="nil"/>
            </w:tcBorders>
            <w:vAlign w:val="bottom"/>
          </w:tcPr>
          <w:p w:rsidR="00D36156" w:rsidRPr="00F816FC" w:rsidRDefault="00D36156" w:rsidP="00C05E1F">
            <w:pPr>
              <w:jc w:val="center"/>
            </w:pPr>
            <w:r w:rsidRPr="00F816FC">
              <w:t>2,273</w:t>
            </w:r>
          </w:p>
        </w:tc>
        <w:tc>
          <w:tcPr>
            <w:tcW w:w="1843" w:type="dxa"/>
            <w:tcBorders>
              <w:top w:val="nil"/>
              <w:left w:val="nil"/>
              <w:bottom w:val="nil"/>
              <w:right w:val="nil"/>
            </w:tcBorders>
            <w:vAlign w:val="bottom"/>
          </w:tcPr>
          <w:p w:rsidR="00D36156" w:rsidRPr="00F816FC" w:rsidRDefault="00D36156" w:rsidP="00C05E1F">
            <w:pPr>
              <w:jc w:val="center"/>
            </w:pPr>
            <w:r w:rsidRPr="00F816FC">
              <w:t>647</w:t>
            </w:r>
          </w:p>
        </w:tc>
        <w:tc>
          <w:tcPr>
            <w:tcW w:w="1559" w:type="dxa"/>
            <w:tcBorders>
              <w:top w:val="nil"/>
              <w:left w:val="nil"/>
              <w:bottom w:val="nil"/>
              <w:right w:val="nil"/>
            </w:tcBorders>
            <w:vAlign w:val="bottom"/>
          </w:tcPr>
          <w:p w:rsidR="00D36156" w:rsidRPr="00F816FC" w:rsidRDefault="00D36156" w:rsidP="00C05E1F">
            <w:pPr>
              <w:jc w:val="center"/>
            </w:pPr>
            <w:r w:rsidRPr="00F816FC">
              <w:t>28.5</w:t>
            </w:r>
          </w:p>
        </w:tc>
        <w:tc>
          <w:tcPr>
            <w:tcW w:w="1134" w:type="dxa"/>
            <w:vMerge w:val="restart"/>
            <w:tcBorders>
              <w:top w:val="nil"/>
              <w:left w:val="nil"/>
              <w:bottom w:val="nil"/>
              <w:right w:val="nil"/>
            </w:tcBorders>
            <w:vAlign w:val="center"/>
          </w:tcPr>
          <w:p w:rsidR="00D36156" w:rsidRPr="00F816FC" w:rsidRDefault="00D36156" w:rsidP="00C05E1F">
            <w:pPr>
              <w:jc w:val="center"/>
            </w:pPr>
            <w:r w:rsidRPr="00F816FC">
              <w:t>&lt;0.001</w:t>
            </w: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Urban</w:t>
            </w:r>
          </w:p>
        </w:tc>
        <w:tc>
          <w:tcPr>
            <w:tcW w:w="1984" w:type="dxa"/>
            <w:tcBorders>
              <w:top w:val="nil"/>
              <w:left w:val="nil"/>
              <w:bottom w:val="nil"/>
              <w:right w:val="nil"/>
            </w:tcBorders>
            <w:vAlign w:val="bottom"/>
          </w:tcPr>
          <w:p w:rsidR="00D36156" w:rsidRPr="00F816FC" w:rsidRDefault="00D36156" w:rsidP="00C05E1F">
            <w:pPr>
              <w:jc w:val="center"/>
            </w:pPr>
            <w:r w:rsidRPr="00F816FC">
              <w:t>5,854</w:t>
            </w:r>
          </w:p>
        </w:tc>
        <w:tc>
          <w:tcPr>
            <w:tcW w:w="1843" w:type="dxa"/>
            <w:tcBorders>
              <w:top w:val="nil"/>
              <w:left w:val="nil"/>
              <w:bottom w:val="nil"/>
              <w:right w:val="nil"/>
            </w:tcBorders>
            <w:vAlign w:val="bottom"/>
          </w:tcPr>
          <w:p w:rsidR="00D36156" w:rsidRPr="00F816FC" w:rsidRDefault="00D36156" w:rsidP="00C05E1F">
            <w:pPr>
              <w:jc w:val="center"/>
            </w:pPr>
            <w:r w:rsidRPr="00F816FC">
              <w:t>2,153</w:t>
            </w:r>
          </w:p>
        </w:tc>
        <w:tc>
          <w:tcPr>
            <w:tcW w:w="1559" w:type="dxa"/>
            <w:tcBorders>
              <w:top w:val="nil"/>
              <w:left w:val="nil"/>
              <w:bottom w:val="nil"/>
              <w:right w:val="nil"/>
            </w:tcBorders>
            <w:vAlign w:val="bottom"/>
          </w:tcPr>
          <w:p w:rsidR="00D36156" w:rsidRPr="00F816FC" w:rsidRDefault="00D36156" w:rsidP="00C05E1F">
            <w:pPr>
              <w:jc w:val="center"/>
            </w:pPr>
            <w:r w:rsidRPr="00F816FC">
              <w:t>36.8</w:t>
            </w:r>
          </w:p>
        </w:tc>
        <w:tc>
          <w:tcPr>
            <w:tcW w:w="1134" w:type="dxa"/>
            <w:vMerge/>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r w:rsidRPr="00F816FC">
              <w:t>Deprivation of patient population</w:t>
            </w:r>
          </w:p>
        </w:tc>
        <w:tc>
          <w:tcPr>
            <w:tcW w:w="1984" w:type="dxa"/>
            <w:tcBorders>
              <w:top w:val="nil"/>
              <w:left w:val="nil"/>
              <w:bottom w:val="nil"/>
              <w:right w:val="nil"/>
            </w:tcBorders>
            <w:vAlign w:val="bottom"/>
          </w:tcPr>
          <w:p w:rsidR="00D36156" w:rsidRPr="00F816FC" w:rsidRDefault="00D36156" w:rsidP="00C05E1F">
            <w:pPr>
              <w:jc w:val="center"/>
            </w:pPr>
          </w:p>
        </w:tc>
        <w:tc>
          <w:tcPr>
            <w:tcW w:w="1843" w:type="dxa"/>
            <w:tcBorders>
              <w:top w:val="nil"/>
              <w:left w:val="nil"/>
              <w:bottom w:val="nil"/>
              <w:right w:val="nil"/>
            </w:tcBorders>
            <w:vAlign w:val="bottom"/>
          </w:tcPr>
          <w:p w:rsidR="00D36156" w:rsidRPr="00F816FC" w:rsidRDefault="00D36156" w:rsidP="00C05E1F">
            <w:pPr>
              <w:jc w:val="center"/>
            </w:pPr>
          </w:p>
        </w:tc>
        <w:tc>
          <w:tcPr>
            <w:tcW w:w="1559" w:type="dxa"/>
            <w:tcBorders>
              <w:top w:val="nil"/>
              <w:left w:val="nil"/>
              <w:bottom w:val="nil"/>
              <w:right w:val="nil"/>
            </w:tcBorders>
            <w:vAlign w:val="bottom"/>
          </w:tcPr>
          <w:p w:rsidR="00D36156" w:rsidRPr="00F816FC" w:rsidRDefault="00D36156" w:rsidP="00C05E1F">
            <w:pPr>
              <w:jc w:val="center"/>
            </w:pPr>
          </w:p>
        </w:tc>
        <w:tc>
          <w:tcPr>
            <w:tcW w:w="1134"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Low</w:t>
            </w:r>
          </w:p>
        </w:tc>
        <w:tc>
          <w:tcPr>
            <w:tcW w:w="1984" w:type="dxa"/>
            <w:tcBorders>
              <w:top w:val="nil"/>
              <w:left w:val="nil"/>
              <w:bottom w:val="nil"/>
              <w:right w:val="nil"/>
            </w:tcBorders>
            <w:vAlign w:val="bottom"/>
          </w:tcPr>
          <w:p w:rsidR="00D36156" w:rsidRPr="00F816FC" w:rsidRDefault="00D36156" w:rsidP="00C05E1F">
            <w:pPr>
              <w:jc w:val="center"/>
            </w:pPr>
            <w:r w:rsidRPr="00F816FC">
              <w:t>1,721</w:t>
            </w:r>
          </w:p>
        </w:tc>
        <w:tc>
          <w:tcPr>
            <w:tcW w:w="1843" w:type="dxa"/>
            <w:tcBorders>
              <w:top w:val="nil"/>
              <w:left w:val="nil"/>
              <w:bottom w:val="nil"/>
              <w:right w:val="nil"/>
            </w:tcBorders>
            <w:vAlign w:val="bottom"/>
          </w:tcPr>
          <w:p w:rsidR="00D36156" w:rsidRPr="00F816FC" w:rsidRDefault="00D36156" w:rsidP="00C05E1F">
            <w:pPr>
              <w:jc w:val="center"/>
            </w:pPr>
            <w:r w:rsidRPr="00F816FC">
              <w:t>463</w:t>
            </w:r>
          </w:p>
        </w:tc>
        <w:tc>
          <w:tcPr>
            <w:tcW w:w="1559" w:type="dxa"/>
            <w:tcBorders>
              <w:top w:val="nil"/>
              <w:left w:val="nil"/>
              <w:bottom w:val="nil"/>
              <w:right w:val="nil"/>
            </w:tcBorders>
            <w:vAlign w:val="bottom"/>
          </w:tcPr>
          <w:p w:rsidR="00D36156" w:rsidRPr="00F816FC" w:rsidRDefault="00D36156" w:rsidP="00C05E1F">
            <w:pPr>
              <w:jc w:val="center"/>
            </w:pPr>
            <w:r w:rsidRPr="00F816FC">
              <w:t>26.9</w:t>
            </w:r>
          </w:p>
        </w:tc>
        <w:tc>
          <w:tcPr>
            <w:tcW w:w="1134" w:type="dxa"/>
            <w:vMerge w:val="restart"/>
            <w:tcBorders>
              <w:top w:val="nil"/>
              <w:left w:val="nil"/>
              <w:bottom w:val="nil"/>
              <w:right w:val="nil"/>
            </w:tcBorders>
            <w:vAlign w:val="center"/>
          </w:tcPr>
          <w:p w:rsidR="00D36156" w:rsidRPr="00F816FC" w:rsidRDefault="00D36156" w:rsidP="00C05E1F">
            <w:pPr>
              <w:jc w:val="center"/>
            </w:pPr>
            <w:r w:rsidRPr="00F816FC">
              <w:t>&lt;0.001</w:t>
            </w: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Moderate</w:t>
            </w:r>
          </w:p>
        </w:tc>
        <w:tc>
          <w:tcPr>
            <w:tcW w:w="1984" w:type="dxa"/>
            <w:tcBorders>
              <w:top w:val="nil"/>
              <w:left w:val="nil"/>
              <w:bottom w:val="nil"/>
              <w:right w:val="nil"/>
            </w:tcBorders>
            <w:vAlign w:val="bottom"/>
          </w:tcPr>
          <w:p w:rsidR="00D36156" w:rsidRPr="00F816FC" w:rsidRDefault="00D36156" w:rsidP="00C05E1F">
            <w:pPr>
              <w:jc w:val="center"/>
            </w:pPr>
            <w:r w:rsidRPr="00F816FC">
              <w:t>2,576</w:t>
            </w:r>
          </w:p>
        </w:tc>
        <w:tc>
          <w:tcPr>
            <w:tcW w:w="1843" w:type="dxa"/>
            <w:tcBorders>
              <w:top w:val="nil"/>
              <w:left w:val="nil"/>
              <w:bottom w:val="nil"/>
              <w:right w:val="nil"/>
            </w:tcBorders>
            <w:vAlign w:val="bottom"/>
          </w:tcPr>
          <w:p w:rsidR="00D36156" w:rsidRPr="00F816FC" w:rsidRDefault="00D36156" w:rsidP="00C05E1F">
            <w:pPr>
              <w:jc w:val="center"/>
            </w:pPr>
            <w:r w:rsidRPr="00F816FC">
              <w:t>843</w:t>
            </w:r>
          </w:p>
        </w:tc>
        <w:tc>
          <w:tcPr>
            <w:tcW w:w="1559" w:type="dxa"/>
            <w:tcBorders>
              <w:top w:val="nil"/>
              <w:left w:val="nil"/>
              <w:bottom w:val="nil"/>
              <w:right w:val="nil"/>
            </w:tcBorders>
            <w:vAlign w:val="bottom"/>
          </w:tcPr>
          <w:p w:rsidR="00D36156" w:rsidRPr="00F816FC" w:rsidRDefault="00D36156" w:rsidP="00C05E1F">
            <w:pPr>
              <w:jc w:val="center"/>
            </w:pPr>
            <w:r w:rsidRPr="00F816FC">
              <w:t>32.7</w:t>
            </w:r>
          </w:p>
        </w:tc>
        <w:tc>
          <w:tcPr>
            <w:tcW w:w="1134" w:type="dxa"/>
            <w:vMerge/>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High</w:t>
            </w:r>
          </w:p>
        </w:tc>
        <w:tc>
          <w:tcPr>
            <w:tcW w:w="1984" w:type="dxa"/>
            <w:tcBorders>
              <w:top w:val="nil"/>
              <w:left w:val="nil"/>
              <w:bottom w:val="nil"/>
              <w:right w:val="nil"/>
            </w:tcBorders>
            <w:vAlign w:val="bottom"/>
          </w:tcPr>
          <w:p w:rsidR="00D36156" w:rsidRPr="00F816FC" w:rsidRDefault="00D36156" w:rsidP="00C05E1F">
            <w:pPr>
              <w:jc w:val="center"/>
            </w:pPr>
            <w:r w:rsidRPr="00F816FC">
              <w:t>3,830</w:t>
            </w:r>
          </w:p>
        </w:tc>
        <w:tc>
          <w:tcPr>
            <w:tcW w:w="1843" w:type="dxa"/>
            <w:tcBorders>
              <w:top w:val="nil"/>
              <w:left w:val="nil"/>
              <w:bottom w:val="nil"/>
              <w:right w:val="nil"/>
            </w:tcBorders>
            <w:vAlign w:val="bottom"/>
          </w:tcPr>
          <w:p w:rsidR="00D36156" w:rsidRPr="00F816FC" w:rsidRDefault="00D36156" w:rsidP="00C05E1F">
            <w:pPr>
              <w:jc w:val="center"/>
            </w:pPr>
            <w:r w:rsidRPr="00F816FC">
              <w:t>1,494</w:t>
            </w:r>
          </w:p>
        </w:tc>
        <w:tc>
          <w:tcPr>
            <w:tcW w:w="1559" w:type="dxa"/>
            <w:tcBorders>
              <w:top w:val="nil"/>
              <w:left w:val="nil"/>
              <w:bottom w:val="nil"/>
              <w:right w:val="nil"/>
            </w:tcBorders>
            <w:vAlign w:val="bottom"/>
          </w:tcPr>
          <w:p w:rsidR="00D36156" w:rsidRPr="00F816FC" w:rsidRDefault="00D36156" w:rsidP="00C05E1F">
            <w:pPr>
              <w:jc w:val="center"/>
            </w:pPr>
            <w:r w:rsidRPr="00F816FC">
              <w:t>39.0</w:t>
            </w:r>
          </w:p>
        </w:tc>
        <w:tc>
          <w:tcPr>
            <w:tcW w:w="1134" w:type="dxa"/>
            <w:vMerge/>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tc>
        <w:tc>
          <w:tcPr>
            <w:tcW w:w="1984" w:type="dxa"/>
            <w:tcBorders>
              <w:top w:val="nil"/>
              <w:left w:val="nil"/>
              <w:bottom w:val="nil"/>
              <w:right w:val="nil"/>
            </w:tcBorders>
            <w:vAlign w:val="bottom"/>
          </w:tcPr>
          <w:p w:rsidR="00D36156" w:rsidRPr="00F816FC" w:rsidRDefault="00D36156" w:rsidP="00C05E1F">
            <w:pPr>
              <w:jc w:val="center"/>
            </w:pPr>
          </w:p>
        </w:tc>
        <w:tc>
          <w:tcPr>
            <w:tcW w:w="1843" w:type="dxa"/>
            <w:tcBorders>
              <w:top w:val="nil"/>
              <w:left w:val="nil"/>
              <w:bottom w:val="nil"/>
              <w:right w:val="nil"/>
            </w:tcBorders>
            <w:vAlign w:val="bottom"/>
          </w:tcPr>
          <w:p w:rsidR="00D36156" w:rsidRPr="00F816FC" w:rsidRDefault="00D36156" w:rsidP="00C05E1F">
            <w:pPr>
              <w:jc w:val="center"/>
            </w:pPr>
          </w:p>
        </w:tc>
        <w:tc>
          <w:tcPr>
            <w:tcW w:w="1559" w:type="dxa"/>
            <w:tcBorders>
              <w:top w:val="nil"/>
              <w:left w:val="nil"/>
              <w:bottom w:val="nil"/>
              <w:right w:val="nil"/>
            </w:tcBorders>
            <w:vAlign w:val="bottom"/>
          </w:tcPr>
          <w:p w:rsidR="00D36156" w:rsidRPr="00F816FC" w:rsidRDefault="00D36156" w:rsidP="00C05E1F">
            <w:pPr>
              <w:jc w:val="center"/>
            </w:pPr>
          </w:p>
        </w:tc>
        <w:tc>
          <w:tcPr>
            <w:tcW w:w="1134"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b/>
              </w:rPr>
            </w:pPr>
            <w:r w:rsidRPr="00F816FC">
              <w:rPr>
                <w:b/>
              </w:rPr>
              <w:t>The certifying GP</w:t>
            </w:r>
          </w:p>
        </w:tc>
        <w:tc>
          <w:tcPr>
            <w:tcW w:w="1984" w:type="dxa"/>
            <w:tcBorders>
              <w:top w:val="nil"/>
              <w:left w:val="nil"/>
              <w:bottom w:val="nil"/>
              <w:right w:val="nil"/>
            </w:tcBorders>
            <w:vAlign w:val="bottom"/>
          </w:tcPr>
          <w:p w:rsidR="00D36156" w:rsidRPr="00F816FC" w:rsidRDefault="00D36156" w:rsidP="00C05E1F">
            <w:pPr>
              <w:jc w:val="center"/>
            </w:pPr>
          </w:p>
        </w:tc>
        <w:tc>
          <w:tcPr>
            <w:tcW w:w="1843" w:type="dxa"/>
            <w:tcBorders>
              <w:top w:val="nil"/>
              <w:left w:val="nil"/>
              <w:bottom w:val="nil"/>
              <w:right w:val="nil"/>
            </w:tcBorders>
            <w:vAlign w:val="bottom"/>
          </w:tcPr>
          <w:p w:rsidR="00D36156" w:rsidRPr="00F816FC" w:rsidRDefault="00D36156" w:rsidP="00C05E1F">
            <w:pPr>
              <w:jc w:val="center"/>
            </w:pPr>
          </w:p>
        </w:tc>
        <w:tc>
          <w:tcPr>
            <w:tcW w:w="1559" w:type="dxa"/>
            <w:tcBorders>
              <w:top w:val="nil"/>
              <w:left w:val="nil"/>
              <w:bottom w:val="nil"/>
              <w:right w:val="nil"/>
            </w:tcBorders>
            <w:vAlign w:val="bottom"/>
          </w:tcPr>
          <w:p w:rsidR="00D36156" w:rsidRPr="00F816FC" w:rsidRDefault="00D36156" w:rsidP="00C05E1F">
            <w:pPr>
              <w:jc w:val="center"/>
            </w:pPr>
          </w:p>
        </w:tc>
        <w:tc>
          <w:tcPr>
            <w:tcW w:w="1134" w:type="dxa"/>
            <w:vMerge w:val="restart"/>
            <w:tcBorders>
              <w:top w:val="nil"/>
              <w:left w:val="nil"/>
              <w:bottom w:val="nil"/>
              <w:right w:val="nil"/>
            </w:tcBorders>
            <w:vAlign w:val="center"/>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r w:rsidRPr="00F816FC">
              <w:t>Gender</w:t>
            </w:r>
          </w:p>
        </w:tc>
        <w:tc>
          <w:tcPr>
            <w:tcW w:w="1984" w:type="dxa"/>
            <w:tcBorders>
              <w:top w:val="nil"/>
              <w:left w:val="nil"/>
              <w:bottom w:val="nil"/>
              <w:right w:val="nil"/>
            </w:tcBorders>
            <w:vAlign w:val="bottom"/>
          </w:tcPr>
          <w:p w:rsidR="00D36156" w:rsidRPr="00F816FC" w:rsidRDefault="00D36156" w:rsidP="00C05E1F">
            <w:pPr>
              <w:jc w:val="center"/>
            </w:pPr>
          </w:p>
        </w:tc>
        <w:tc>
          <w:tcPr>
            <w:tcW w:w="1843" w:type="dxa"/>
            <w:tcBorders>
              <w:top w:val="nil"/>
              <w:left w:val="nil"/>
              <w:bottom w:val="nil"/>
              <w:right w:val="nil"/>
            </w:tcBorders>
            <w:vAlign w:val="bottom"/>
          </w:tcPr>
          <w:p w:rsidR="00D36156" w:rsidRPr="00F816FC" w:rsidRDefault="00D36156" w:rsidP="00C05E1F">
            <w:pPr>
              <w:jc w:val="center"/>
            </w:pPr>
          </w:p>
        </w:tc>
        <w:tc>
          <w:tcPr>
            <w:tcW w:w="1559" w:type="dxa"/>
            <w:tcBorders>
              <w:top w:val="nil"/>
              <w:left w:val="nil"/>
              <w:bottom w:val="nil"/>
              <w:right w:val="nil"/>
            </w:tcBorders>
            <w:vAlign w:val="bottom"/>
          </w:tcPr>
          <w:p w:rsidR="00D36156" w:rsidRPr="00F816FC" w:rsidRDefault="00D36156" w:rsidP="00C05E1F">
            <w:pPr>
              <w:jc w:val="center"/>
            </w:pPr>
          </w:p>
        </w:tc>
        <w:tc>
          <w:tcPr>
            <w:tcW w:w="1134" w:type="dxa"/>
            <w:vMerge/>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Male</w:t>
            </w:r>
          </w:p>
        </w:tc>
        <w:tc>
          <w:tcPr>
            <w:tcW w:w="1984" w:type="dxa"/>
            <w:tcBorders>
              <w:top w:val="nil"/>
              <w:left w:val="nil"/>
              <w:bottom w:val="nil"/>
              <w:right w:val="nil"/>
            </w:tcBorders>
            <w:vAlign w:val="bottom"/>
          </w:tcPr>
          <w:p w:rsidR="00D36156" w:rsidRPr="00F816FC" w:rsidRDefault="00D36156" w:rsidP="00C05E1F">
            <w:pPr>
              <w:jc w:val="center"/>
            </w:pPr>
            <w:r w:rsidRPr="00F816FC">
              <w:t>4,273</w:t>
            </w:r>
          </w:p>
        </w:tc>
        <w:tc>
          <w:tcPr>
            <w:tcW w:w="1843" w:type="dxa"/>
            <w:tcBorders>
              <w:top w:val="nil"/>
              <w:left w:val="nil"/>
              <w:bottom w:val="nil"/>
              <w:right w:val="nil"/>
            </w:tcBorders>
            <w:vAlign w:val="bottom"/>
          </w:tcPr>
          <w:p w:rsidR="00D36156" w:rsidRPr="00F816FC" w:rsidRDefault="00D36156" w:rsidP="00C05E1F">
            <w:pPr>
              <w:jc w:val="center"/>
            </w:pPr>
            <w:r w:rsidRPr="00F816FC">
              <w:t>1,676</w:t>
            </w:r>
          </w:p>
        </w:tc>
        <w:tc>
          <w:tcPr>
            <w:tcW w:w="1559" w:type="dxa"/>
            <w:tcBorders>
              <w:top w:val="nil"/>
              <w:left w:val="nil"/>
              <w:bottom w:val="nil"/>
              <w:right w:val="nil"/>
            </w:tcBorders>
            <w:vAlign w:val="bottom"/>
          </w:tcPr>
          <w:p w:rsidR="00D36156" w:rsidRPr="00F816FC" w:rsidRDefault="00D36156" w:rsidP="00C05E1F">
            <w:pPr>
              <w:jc w:val="center"/>
            </w:pPr>
            <w:r w:rsidRPr="00F816FC">
              <w:t>39.2</w:t>
            </w:r>
          </w:p>
        </w:tc>
        <w:tc>
          <w:tcPr>
            <w:tcW w:w="1134" w:type="dxa"/>
            <w:vMerge w:val="restart"/>
            <w:tcBorders>
              <w:top w:val="nil"/>
              <w:left w:val="nil"/>
              <w:bottom w:val="nil"/>
              <w:right w:val="nil"/>
            </w:tcBorders>
            <w:vAlign w:val="center"/>
          </w:tcPr>
          <w:p w:rsidR="00D36156" w:rsidRPr="00F816FC" w:rsidRDefault="00D36156" w:rsidP="00C05E1F">
            <w:pPr>
              <w:jc w:val="center"/>
            </w:pPr>
            <w:r w:rsidRPr="00F816FC">
              <w:t>&lt;0.001</w:t>
            </w: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Female</w:t>
            </w:r>
          </w:p>
        </w:tc>
        <w:tc>
          <w:tcPr>
            <w:tcW w:w="1984" w:type="dxa"/>
            <w:tcBorders>
              <w:top w:val="nil"/>
              <w:left w:val="nil"/>
              <w:bottom w:val="nil"/>
              <w:right w:val="nil"/>
            </w:tcBorders>
            <w:vAlign w:val="bottom"/>
          </w:tcPr>
          <w:p w:rsidR="00D36156" w:rsidRPr="00F816FC" w:rsidRDefault="00D36156" w:rsidP="00C05E1F">
            <w:pPr>
              <w:jc w:val="center"/>
            </w:pPr>
            <w:r w:rsidRPr="00F816FC">
              <w:t>3,829</w:t>
            </w:r>
          </w:p>
        </w:tc>
        <w:tc>
          <w:tcPr>
            <w:tcW w:w="1843" w:type="dxa"/>
            <w:tcBorders>
              <w:top w:val="nil"/>
              <w:left w:val="nil"/>
              <w:bottom w:val="nil"/>
              <w:right w:val="nil"/>
            </w:tcBorders>
            <w:vAlign w:val="bottom"/>
          </w:tcPr>
          <w:p w:rsidR="00D36156" w:rsidRPr="00F816FC" w:rsidRDefault="00D36156" w:rsidP="00C05E1F">
            <w:pPr>
              <w:jc w:val="center"/>
            </w:pPr>
            <w:r w:rsidRPr="00F816FC">
              <w:t>1,222</w:t>
            </w:r>
          </w:p>
        </w:tc>
        <w:tc>
          <w:tcPr>
            <w:tcW w:w="1559" w:type="dxa"/>
            <w:tcBorders>
              <w:top w:val="nil"/>
              <w:left w:val="nil"/>
              <w:bottom w:val="nil"/>
              <w:right w:val="nil"/>
            </w:tcBorders>
            <w:vAlign w:val="bottom"/>
          </w:tcPr>
          <w:p w:rsidR="00D36156" w:rsidRPr="00F816FC" w:rsidRDefault="00D36156" w:rsidP="00C05E1F">
            <w:pPr>
              <w:jc w:val="center"/>
            </w:pPr>
            <w:r w:rsidRPr="00F816FC">
              <w:t>31.9</w:t>
            </w:r>
          </w:p>
        </w:tc>
        <w:tc>
          <w:tcPr>
            <w:tcW w:w="1134" w:type="dxa"/>
            <w:vMerge/>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r w:rsidRPr="00F816FC">
              <w:t>Age-group</w:t>
            </w:r>
          </w:p>
        </w:tc>
        <w:tc>
          <w:tcPr>
            <w:tcW w:w="1984" w:type="dxa"/>
            <w:tcBorders>
              <w:top w:val="nil"/>
              <w:left w:val="nil"/>
              <w:bottom w:val="nil"/>
              <w:right w:val="nil"/>
            </w:tcBorders>
            <w:vAlign w:val="bottom"/>
          </w:tcPr>
          <w:p w:rsidR="00D36156" w:rsidRPr="00F816FC" w:rsidRDefault="00D36156" w:rsidP="00C05E1F">
            <w:pPr>
              <w:jc w:val="center"/>
            </w:pPr>
          </w:p>
        </w:tc>
        <w:tc>
          <w:tcPr>
            <w:tcW w:w="1843" w:type="dxa"/>
            <w:tcBorders>
              <w:top w:val="nil"/>
              <w:left w:val="nil"/>
              <w:bottom w:val="nil"/>
              <w:right w:val="nil"/>
            </w:tcBorders>
            <w:vAlign w:val="bottom"/>
          </w:tcPr>
          <w:p w:rsidR="00D36156" w:rsidRPr="00F816FC" w:rsidRDefault="00D36156" w:rsidP="00C05E1F">
            <w:pPr>
              <w:jc w:val="center"/>
            </w:pPr>
          </w:p>
        </w:tc>
        <w:tc>
          <w:tcPr>
            <w:tcW w:w="1559" w:type="dxa"/>
            <w:tcBorders>
              <w:top w:val="nil"/>
              <w:left w:val="nil"/>
              <w:bottom w:val="nil"/>
              <w:right w:val="nil"/>
            </w:tcBorders>
            <w:vAlign w:val="bottom"/>
          </w:tcPr>
          <w:p w:rsidR="00D36156" w:rsidRPr="00F816FC" w:rsidRDefault="00D36156" w:rsidP="00C05E1F">
            <w:pPr>
              <w:jc w:val="center"/>
            </w:pPr>
          </w:p>
        </w:tc>
        <w:tc>
          <w:tcPr>
            <w:tcW w:w="1134"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Under 35</w:t>
            </w:r>
          </w:p>
        </w:tc>
        <w:tc>
          <w:tcPr>
            <w:tcW w:w="1984" w:type="dxa"/>
            <w:tcBorders>
              <w:top w:val="nil"/>
              <w:left w:val="nil"/>
              <w:bottom w:val="nil"/>
              <w:right w:val="nil"/>
            </w:tcBorders>
            <w:vAlign w:val="bottom"/>
          </w:tcPr>
          <w:p w:rsidR="00D36156" w:rsidRPr="00F816FC" w:rsidRDefault="00D36156" w:rsidP="00C05E1F">
            <w:pPr>
              <w:jc w:val="center"/>
            </w:pPr>
            <w:r w:rsidRPr="00F816FC">
              <w:t>1,772</w:t>
            </w:r>
          </w:p>
        </w:tc>
        <w:tc>
          <w:tcPr>
            <w:tcW w:w="1843" w:type="dxa"/>
            <w:tcBorders>
              <w:top w:val="nil"/>
              <w:left w:val="nil"/>
              <w:bottom w:val="nil"/>
              <w:right w:val="nil"/>
            </w:tcBorders>
            <w:vAlign w:val="bottom"/>
          </w:tcPr>
          <w:p w:rsidR="00D36156" w:rsidRPr="00F816FC" w:rsidRDefault="00D36156" w:rsidP="00C05E1F">
            <w:pPr>
              <w:jc w:val="center"/>
            </w:pPr>
            <w:r w:rsidRPr="00F816FC">
              <w:t>597</w:t>
            </w:r>
          </w:p>
        </w:tc>
        <w:tc>
          <w:tcPr>
            <w:tcW w:w="1559" w:type="dxa"/>
            <w:tcBorders>
              <w:top w:val="nil"/>
              <w:left w:val="nil"/>
              <w:bottom w:val="nil"/>
              <w:right w:val="nil"/>
            </w:tcBorders>
            <w:vAlign w:val="bottom"/>
          </w:tcPr>
          <w:p w:rsidR="00D36156" w:rsidRPr="00F816FC" w:rsidRDefault="00D36156" w:rsidP="00C05E1F">
            <w:pPr>
              <w:jc w:val="center"/>
            </w:pPr>
            <w:r w:rsidRPr="00F816FC">
              <w:t>33.7</w:t>
            </w:r>
          </w:p>
        </w:tc>
        <w:tc>
          <w:tcPr>
            <w:tcW w:w="1134" w:type="dxa"/>
            <w:vMerge w:val="restart"/>
            <w:tcBorders>
              <w:top w:val="nil"/>
              <w:left w:val="nil"/>
              <w:bottom w:val="nil"/>
              <w:right w:val="nil"/>
            </w:tcBorders>
            <w:vAlign w:val="center"/>
          </w:tcPr>
          <w:p w:rsidR="00D36156" w:rsidRPr="00F816FC" w:rsidRDefault="00D36156" w:rsidP="00C05E1F">
            <w:pPr>
              <w:jc w:val="center"/>
            </w:pPr>
            <w:r w:rsidRPr="00F816FC">
              <w:t>&lt;0.001</w:t>
            </w: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35-50</w:t>
            </w:r>
          </w:p>
        </w:tc>
        <w:tc>
          <w:tcPr>
            <w:tcW w:w="1984" w:type="dxa"/>
            <w:tcBorders>
              <w:top w:val="nil"/>
              <w:left w:val="nil"/>
              <w:bottom w:val="nil"/>
              <w:right w:val="nil"/>
            </w:tcBorders>
            <w:vAlign w:val="bottom"/>
          </w:tcPr>
          <w:p w:rsidR="00D36156" w:rsidRPr="00F816FC" w:rsidRDefault="00D36156" w:rsidP="00C05E1F">
            <w:pPr>
              <w:jc w:val="center"/>
            </w:pPr>
            <w:r w:rsidRPr="00F816FC">
              <w:t>4,080</w:t>
            </w:r>
          </w:p>
        </w:tc>
        <w:tc>
          <w:tcPr>
            <w:tcW w:w="1843" w:type="dxa"/>
            <w:tcBorders>
              <w:top w:val="nil"/>
              <w:left w:val="nil"/>
              <w:bottom w:val="nil"/>
              <w:right w:val="nil"/>
            </w:tcBorders>
            <w:vAlign w:val="bottom"/>
          </w:tcPr>
          <w:p w:rsidR="00D36156" w:rsidRPr="00F816FC" w:rsidRDefault="00D36156" w:rsidP="00C05E1F">
            <w:pPr>
              <w:jc w:val="center"/>
            </w:pPr>
            <w:r w:rsidRPr="00F816FC">
              <w:t>1,658</w:t>
            </w:r>
          </w:p>
        </w:tc>
        <w:tc>
          <w:tcPr>
            <w:tcW w:w="1559" w:type="dxa"/>
            <w:tcBorders>
              <w:top w:val="nil"/>
              <w:left w:val="nil"/>
              <w:bottom w:val="nil"/>
              <w:right w:val="nil"/>
            </w:tcBorders>
            <w:vAlign w:val="bottom"/>
          </w:tcPr>
          <w:p w:rsidR="00D36156" w:rsidRPr="00F816FC" w:rsidRDefault="00D36156" w:rsidP="00C05E1F">
            <w:pPr>
              <w:jc w:val="center"/>
            </w:pPr>
            <w:r w:rsidRPr="00F816FC">
              <w:t>40.6</w:t>
            </w:r>
          </w:p>
        </w:tc>
        <w:tc>
          <w:tcPr>
            <w:tcW w:w="1134" w:type="dxa"/>
            <w:vMerge/>
            <w:tcBorders>
              <w:top w:val="nil"/>
              <w:left w:val="nil"/>
              <w:bottom w:val="nil"/>
              <w:right w:val="nil"/>
            </w:tcBorders>
            <w:vAlign w:val="center"/>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Over 50</w:t>
            </w:r>
          </w:p>
        </w:tc>
        <w:tc>
          <w:tcPr>
            <w:tcW w:w="1984" w:type="dxa"/>
            <w:tcBorders>
              <w:top w:val="nil"/>
              <w:left w:val="nil"/>
              <w:bottom w:val="nil"/>
              <w:right w:val="nil"/>
            </w:tcBorders>
            <w:vAlign w:val="bottom"/>
          </w:tcPr>
          <w:p w:rsidR="00D36156" w:rsidRPr="00F816FC" w:rsidRDefault="00D36156" w:rsidP="00C05E1F">
            <w:pPr>
              <w:jc w:val="center"/>
            </w:pPr>
            <w:r w:rsidRPr="00F816FC">
              <w:t>2,275</w:t>
            </w:r>
          </w:p>
        </w:tc>
        <w:tc>
          <w:tcPr>
            <w:tcW w:w="1843" w:type="dxa"/>
            <w:tcBorders>
              <w:top w:val="nil"/>
              <w:left w:val="nil"/>
              <w:bottom w:val="nil"/>
              <w:right w:val="nil"/>
            </w:tcBorders>
            <w:vAlign w:val="bottom"/>
          </w:tcPr>
          <w:p w:rsidR="00D36156" w:rsidRPr="00F816FC" w:rsidRDefault="00D36156" w:rsidP="00C05E1F">
            <w:pPr>
              <w:jc w:val="center"/>
            </w:pPr>
            <w:r w:rsidRPr="00F816FC">
              <w:t>787</w:t>
            </w:r>
          </w:p>
        </w:tc>
        <w:tc>
          <w:tcPr>
            <w:tcW w:w="1559" w:type="dxa"/>
            <w:tcBorders>
              <w:top w:val="nil"/>
              <w:left w:val="nil"/>
              <w:bottom w:val="nil"/>
              <w:right w:val="nil"/>
            </w:tcBorders>
            <w:vAlign w:val="bottom"/>
          </w:tcPr>
          <w:p w:rsidR="00D36156" w:rsidRPr="00F816FC" w:rsidRDefault="00D36156" w:rsidP="00C05E1F">
            <w:pPr>
              <w:jc w:val="center"/>
            </w:pPr>
            <w:r w:rsidRPr="00F816FC">
              <w:t>34.6</w:t>
            </w:r>
          </w:p>
        </w:tc>
        <w:tc>
          <w:tcPr>
            <w:tcW w:w="1134" w:type="dxa"/>
            <w:vMerge/>
            <w:tcBorders>
              <w:top w:val="nil"/>
              <w:left w:val="nil"/>
              <w:bottom w:val="nil"/>
              <w:right w:val="nil"/>
            </w:tcBorders>
            <w:vAlign w:val="center"/>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r w:rsidRPr="00F816FC">
              <w:t>Partner in practice</w:t>
            </w:r>
          </w:p>
        </w:tc>
        <w:tc>
          <w:tcPr>
            <w:tcW w:w="1984" w:type="dxa"/>
            <w:tcBorders>
              <w:top w:val="nil"/>
              <w:left w:val="nil"/>
              <w:bottom w:val="nil"/>
              <w:right w:val="nil"/>
            </w:tcBorders>
            <w:vAlign w:val="bottom"/>
          </w:tcPr>
          <w:p w:rsidR="00D36156" w:rsidRPr="00F816FC" w:rsidRDefault="00D36156" w:rsidP="00C05E1F">
            <w:pPr>
              <w:jc w:val="center"/>
            </w:pPr>
          </w:p>
        </w:tc>
        <w:tc>
          <w:tcPr>
            <w:tcW w:w="1843" w:type="dxa"/>
            <w:tcBorders>
              <w:top w:val="nil"/>
              <w:left w:val="nil"/>
              <w:bottom w:val="nil"/>
              <w:right w:val="nil"/>
            </w:tcBorders>
            <w:vAlign w:val="bottom"/>
          </w:tcPr>
          <w:p w:rsidR="00D36156" w:rsidRPr="00F816FC" w:rsidRDefault="00D36156" w:rsidP="00C05E1F">
            <w:pPr>
              <w:jc w:val="center"/>
            </w:pPr>
          </w:p>
        </w:tc>
        <w:tc>
          <w:tcPr>
            <w:tcW w:w="1559" w:type="dxa"/>
            <w:tcBorders>
              <w:top w:val="nil"/>
              <w:left w:val="nil"/>
              <w:bottom w:val="nil"/>
              <w:right w:val="nil"/>
            </w:tcBorders>
            <w:vAlign w:val="bottom"/>
          </w:tcPr>
          <w:p w:rsidR="00D36156" w:rsidRPr="00F816FC" w:rsidRDefault="00D36156" w:rsidP="00C05E1F">
            <w:pPr>
              <w:jc w:val="center"/>
            </w:pPr>
          </w:p>
        </w:tc>
        <w:tc>
          <w:tcPr>
            <w:tcW w:w="1134"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No</w:t>
            </w:r>
          </w:p>
        </w:tc>
        <w:tc>
          <w:tcPr>
            <w:tcW w:w="1984" w:type="dxa"/>
            <w:tcBorders>
              <w:top w:val="nil"/>
              <w:left w:val="nil"/>
              <w:bottom w:val="nil"/>
              <w:right w:val="nil"/>
            </w:tcBorders>
            <w:vAlign w:val="bottom"/>
          </w:tcPr>
          <w:p w:rsidR="00D36156" w:rsidRPr="00F816FC" w:rsidRDefault="00D36156" w:rsidP="00C05E1F">
            <w:pPr>
              <w:jc w:val="center"/>
            </w:pPr>
            <w:r w:rsidRPr="00F816FC">
              <w:t>2,368</w:t>
            </w:r>
          </w:p>
        </w:tc>
        <w:tc>
          <w:tcPr>
            <w:tcW w:w="1843" w:type="dxa"/>
            <w:tcBorders>
              <w:top w:val="nil"/>
              <w:left w:val="nil"/>
              <w:bottom w:val="nil"/>
              <w:right w:val="nil"/>
            </w:tcBorders>
            <w:vAlign w:val="bottom"/>
          </w:tcPr>
          <w:p w:rsidR="00D36156" w:rsidRPr="00F816FC" w:rsidRDefault="00D36156" w:rsidP="00C05E1F">
            <w:pPr>
              <w:jc w:val="center"/>
            </w:pPr>
            <w:r w:rsidRPr="00F816FC">
              <w:t>853</w:t>
            </w:r>
          </w:p>
        </w:tc>
        <w:tc>
          <w:tcPr>
            <w:tcW w:w="1559" w:type="dxa"/>
            <w:tcBorders>
              <w:top w:val="nil"/>
              <w:left w:val="nil"/>
              <w:bottom w:val="nil"/>
              <w:right w:val="nil"/>
            </w:tcBorders>
            <w:vAlign w:val="bottom"/>
          </w:tcPr>
          <w:p w:rsidR="00D36156" w:rsidRPr="00F816FC" w:rsidRDefault="00D36156" w:rsidP="00C05E1F">
            <w:pPr>
              <w:jc w:val="center"/>
            </w:pPr>
            <w:r w:rsidRPr="00F816FC">
              <w:t>36.0</w:t>
            </w:r>
          </w:p>
        </w:tc>
        <w:tc>
          <w:tcPr>
            <w:tcW w:w="1134" w:type="dxa"/>
            <w:vMerge w:val="restart"/>
            <w:tcBorders>
              <w:top w:val="nil"/>
              <w:left w:val="nil"/>
              <w:bottom w:val="nil"/>
              <w:right w:val="nil"/>
            </w:tcBorders>
            <w:vAlign w:val="center"/>
          </w:tcPr>
          <w:p w:rsidR="00D36156" w:rsidRPr="00F816FC" w:rsidRDefault="00D36156" w:rsidP="00C05E1F">
            <w:pPr>
              <w:jc w:val="center"/>
            </w:pPr>
            <w:r w:rsidRPr="00F816FC">
              <w:t>0.18</w:t>
            </w: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Yes</w:t>
            </w:r>
          </w:p>
        </w:tc>
        <w:tc>
          <w:tcPr>
            <w:tcW w:w="1984" w:type="dxa"/>
            <w:tcBorders>
              <w:top w:val="nil"/>
              <w:left w:val="nil"/>
              <w:bottom w:val="nil"/>
              <w:right w:val="nil"/>
            </w:tcBorders>
            <w:vAlign w:val="bottom"/>
          </w:tcPr>
          <w:p w:rsidR="00D36156" w:rsidRPr="00F816FC" w:rsidRDefault="00D36156" w:rsidP="00C05E1F">
            <w:pPr>
              <w:jc w:val="center"/>
            </w:pPr>
            <w:r w:rsidRPr="00F816FC">
              <w:t>5,759</w:t>
            </w:r>
          </w:p>
        </w:tc>
        <w:tc>
          <w:tcPr>
            <w:tcW w:w="1843" w:type="dxa"/>
            <w:tcBorders>
              <w:top w:val="nil"/>
              <w:left w:val="nil"/>
              <w:bottom w:val="nil"/>
              <w:right w:val="nil"/>
            </w:tcBorders>
            <w:vAlign w:val="bottom"/>
          </w:tcPr>
          <w:p w:rsidR="00D36156" w:rsidRPr="00F816FC" w:rsidRDefault="00D36156" w:rsidP="00C05E1F">
            <w:pPr>
              <w:jc w:val="center"/>
            </w:pPr>
            <w:r w:rsidRPr="00F816FC">
              <w:t>2,189</w:t>
            </w:r>
          </w:p>
        </w:tc>
        <w:tc>
          <w:tcPr>
            <w:tcW w:w="1559" w:type="dxa"/>
            <w:tcBorders>
              <w:top w:val="nil"/>
              <w:left w:val="nil"/>
              <w:bottom w:val="nil"/>
              <w:right w:val="nil"/>
            </w:tcBorders>
            <w:vAlign w:val="bottom"/>
          </w:tcPr>
          <w:p w:rsidR="00D36156" w:rsidRPr="00F816FC" w:rsidRDefault="00D36156" w:rsidP="00C05E1F">
            <w:pPr>
              <w:jc w:val="center"/>
            </w:pPr>
            <w:r w:rsidRPr="00F816FC">
              <w:t>38.0</w:t>
            </w:r>
          </w:p>
        </w:tc>
        <w:tc>
          <w:tcPr>
            <w:tcW w:w="1134" w:type="dxa"/>
            <w:vMerge/>
            <w:tcBorders>
              <w:top w:val="nil"/>
              <w:left w:val="nil"/>
              <w:bottom w:val="nil"/>
              <w:right w:val="nil"/>
            </w:tcBorders>
            <w:vAlign w:val="center"/>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r w:rsidRPr="00F816FC">
              <w:t>Works full-time</w:t>
            </w:r>
          </w:p>
        </w:tc>
        <w:tc>
          <w:tcPr>
            <w:tcW w:w="1984" w:type="dxa"/>
            <w:tcBorders>
              <w:top w:val="nil"/>
              <w:left w:val="nil"/>
              <w:bottom w:val="nil"/>
              <w:right w:val="nil"/>
            </w:tcBorders>
            <w:vAlign w:val="bottom"/>
          </w:tcPr>
          <w:p w:rsidR="00D36156" w:rsidRPr="00F816FC" w:rsidRDefault="00D36156" w:rsidP="00C05E1F">
            <w:pPr>
              <w:jc w:val="center"/>
            </w:pPr>
          </w:p>
        </w:tc>
        <w:tc>
          <w:tcPr>
            <w:tcW w:w="1843" w:type="dxa"/>
            <w:tcBorders>
              <w:top w:val="nil"/>
              <w:left w:val="nil"/>
              <w:bottom w:val="nil"/>
              <w:right w:val="nil"/>
            </w:tcBorders>
            <w:vAlign w:val="bottom"/>
          </w:tcPr>
          <w:p w:rsidR="00D36156" w:rsidRPr="00F816FC" w:rsidRDefault="00D36156" w:rsidP="00C05E1F">
            <w:pPr>
              <w:jc w:val="center"/>
            </w:pPr>
          </w:p>
        </w:tc>
        <w:tc>
          <w:tcPr>
            <w:tcW w:w="1559" w:type="dxa"/>
            <w:tcBorders>
              <w:top w:val="nil"/>
              <w:left w:val="nil"/>
              <w:bottom w:val="nil"/>
              <w:right w:val="nil"/>
            </w:tcBorders>
            <w:vAlign w:val="bottom"/>
          </w:tcPr>
          <w:p w:rsidR="00D36156" w:rsidRPr="00F816FC" w:rsidRDefault="00D36156" w:rsidP="00C05E1F">
            <w:pPr>
              <w:jc w:val="center"/>
            </w:pPr>
          </w:p>
        </w:tc>
        <w:tc>
          <w:tcPr>
            <w:tcW w:w="1134"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794" w:type="dxa"/>
            <w:tcBorders>
              <w:top w:val="nil"/>
              <w:left w:val="nil"/>
              <w:bottom w:val="nil"/>
              <w:right w:val="nil"/>
            </w:tcBorders>
          </w:tcPr>
          <w:p w:rsidR="00D36156" w:rsidRPr="00F816FC" w:rsidRDefault="00D36156" w:rsidP="00C05E1F">
            <w:pPr>
              <w:rPr>
                <w:i/>
              </w:rPr>
            </w:pPr>
            <w:r w:rsidRPr="00F816FC">
              <w:rPr>
                <w:i/>
              </w:rPr>
              <w:t>No</w:t>
            </w:r>
          </w:p>
        </w:tc>
        <w:tc>
          <w:tcPr>
            <w:tcW w:w="1984" w:type="dxa"/>
            <w:tcBorders>
              <w:top w:val="nil"/>
              <w:left w:val="nil"/>
              <w:bottom w:val="nil"/>
              <w:right w:val="nil"/>
            </w:tcBorders>
            <w:vAlign w:val="bottom"/>
          </w:tcPr>
          <w:p w:rsidR="00D36156" w:rsidRPr="00F816FC" w:rsidRDefault="00D36156" w:rsidP="00C05E1F">
            <w:pPr>
              <w:jc w:val="center"/>
            </w:pPr>
            <w:r w:rsidRPr="00F816FC">
              <w:t>3,065</w:t>
            </w:r>
          </w:p>
        </w:tc>
        <w:tc>
          <w:tcPr>
            <w:tcW w:w="1843" w:type="dxa"/>
            <w:tcBorders>
              <w:top w:val="nil"/>
              <w:left w:val="nil"/>
              <w:bottom w:val="nil"/>
              <w:right w:val="nil"/>
            </w:tcBorders>
            <w:vAlign w:val="bottom"/>
          </w:tcPr>
          <w:p w:rsidR="00D36156" w:rsidRPr="00F816FC" w:rsidRDefault="00D36156" w:rsidP="00C05E1F">
            <w:pPr>
              <w:jc w:val="center"/>
            </w:pPr>
            <w:r w:rsidRPr="00F816FC">
              <w:t>1,002</w:t>
            </w:r>
          </w:p>
        </w:tc>
        <w:tc>
          <w:tcPr>
            <w:tcW w:w="1559" w:type="dxa"/>
            <w:tcBorders>
              <w:top w:val="nil"/>
              <w:left w:val="nil"/>
              <w:bottom w:val="nil"/>
              <w:right w:val="nil"/>
            </w:tcBorders>
            <w:vAlign w:val="bottom"/>
          </w:tcPr>
          <w:p w:rsidR="00D36156" w:rsidRPr="00F816FC" w:rsidRDefault="00D36156" w:rsidP="00C05E1F">
            <w:pPr>
              <w:jc w:val="center"/>
            </w:pPr>
            <w:r w:rsidRPr="00F816FC">
              <w:t>32.7</w:t>
            </w:r>
          </w:p>
        </w:tc>
        <w:tc>
          <w:tcPr>
            <w:tcW w:w="1134" w:type="dxa"/>
            <w:vMerge w:val="restart"/>
            <w:tcBorders>
              <w:top w:val="nil"/>
              <w:left w:val="nil"/>
              <w:bottom w:val="nil"/>
              <w:right w:val="nil"/>
            </w:tcBorders>
            <w:vAlign w:val="center"/>
          </w:tcPr>
          <w:p w:rsidR="00D36156" w:rsidRPr="00F816FC" w:rsidRDefault="00D36156" w:rsidP="00C05E1F">
            <w:pPr>
              <w:jc w:val="center"/>
            </w:pPr>
            <w:r w:rsidRPr="00F816FC">
              <w:t>&lt;0.001</w:t>
            </w:r>
          </w:p>
        </w:tc>
      </w:tr>
      <w:tr w:rsidR="00D36156" w:rsidRPr="00F816FC" w:rsidTr="00C05E1F">
        <w:tc>
          <w:tcPr>
            <w:tcW w:w="3794" w:type="dxa"/>
            <w:tcBorders>
              <w:top w:val="nil"/>
              <w:left w:val="nil"/>
              <w:right w:val="nil"/>
            </w:tcBorders>
          </w:tcPr>
          <w:p w:rsidR="00D36156" w:rsidRPr="00F816FC" w:rsidRDefault="00D36156" w:rsidP="00C05E1F">
            <w:pPr>
              <w:rPr>
                <w:i/>
              </w:rPr>
            </w:pPr>
            <w:r w:rsidRPr="00F816FC">
              <w:rPr>
                <w:i/>
              </w:rPr>
              <w:t>Yes</w:t>
            </w:r>
          </w:p>
        </w:tc>
        <w:tc>
          <w:tcPr>
            <w:tcW w:w="1984" w:type="dxa"/>
            <w:tcBorders>
              <w:top w:val="nil"/>
              <w:left w:val="nil"/>
              <w:right w:val="nil"/>
            </w:tcBorders>
            <w:vAlign w:val="bottom"/>
          </w:tcPr>
          <w:p w:rsidR="00D36156" w:rsidRPr="00F816FC" w:rsidRDefault="00D36156" w:rsidP="00C05E1F">
            <w:pPr>
              <w:jc w:val="center"/>
            </w:pPr>
            <w:r w:rsidRPr="00F816FC">
              <w:t>5,058</w:t>
            </w:r>
          </w:p>
        </w:tc>
        <w:tc>
          <w:tcPr>
            <w:tcW w:w="1843" w:type="dxa"/>
            <w:tcBorders>
              <w:top w:val="nil"/>
              <w:left w:val="nil"/>
              <w:right w:val="nil"/>
            </w:tcBorders>
            <w:vAlign w:val="bottom"/>
          </w:tcPr>
          <w:p w:rsidR="00D36156" w:rsidRPr="00F816FC" w:rsidRDefault="00D36156" w:rsidP="00C05E1F">
            <w:pPr>
              <w:jc w:val="center"/>
            </w:pPr>
            <w:r w:rsidRPr="00F816FC">
              <w:t>2,040</w:t>
            </w:r>
          </w:p>
        </w:tc>
        <w:tc>
          <w:tcPr>
            <w:tcW w:w="1559" w:type="dxa"/>
            <w:tcBorders>
              <w:top w:val="nil"/>
              <w:left w:val="nil"/>
              <w:right w:val="nil"/>
            </w:tcBorders>
            <w:vAlign w:val="bottom"/>
          </w:tcPr>
          <w:p w:rsidR="00D36156" w:rsidRPr="00F816FC" w:rsidRDefault="00D36156" w:rsidP="00C05E1F">
            <w:pPr>
              <w:jc w:val="center"/>
            </w:pPr>
            <w:r w:rsidRPr="00F816FC">
              <w:t>40.3</w:t>
            </w:r>
          </w:p>
        </w:tc>
        <w:tc>
          <w:tcPr>
            <w:tcW w:w="1134" w:type="dxa"/>
            <w:vMerge/>
            <w:tcBorders>
              <w:top w:val="nil"/>
              <w:left w:val="nil"/>
              <w:right w:val="nil"/>
            </w:tcBorders>
            <w:vAlign w:val="bottom"/>
          </w:tcPr>
          <w:p w:rsidR="00D36156" w:rsidRPr="00F816FC" w:rsidRDefault="00D36156" w:rsidP="00C05E1F">
            <w:pPr>
              <w:jc w:val="center"/>
            </w:pPr>
          </w:p>
        </w:tc>
      </w:tr>
    </w:tbl>
    <w:p w:rsidR="00D36156" w:rsidRPr="00F816FC" w:rsidRDefault="00D36156" w:rsidP="00D36156"/>
    <w:p w:rsidR="00D36156" w:rsidRPr="00F816FC" w:rsidRDefault="00D36156" w:rsidP="00892925">
      <w:pPr>
        <w:spacing w:line="360" w:lineRule="auto"/>
        <w:rPr>
          <w:color w:val="FF0000"/>
        </w:rPr>
      </w:pPr>
    </w:p>
    <w:p w:rsidR="00D66AF3" w:rsidRPr="00F816FC" w:rsidRDefault="00D66AF3" w:rsidP="00892925">
      <w:pPr>
        <w:spacing w:line="360" w:lineRule="auto"/>
        <w:rPr>
          <w:i/>
        </w:rPr>
      </w:pPr>
      <w:r w:rsidRPr="00F816FC">
        <w:rPr>
          <w:i/>
        </w:rPr>
        <w:t xml:space="preserve">GPs </w:t>
      </w:r>
      <w:r w:rsidR="00413649" w:rsidRPr="00F816FC">
        <w:rPr>
          <w:i/>
        </w:rPr>
        <w:t xml:space="preserve">issuing long-term </w:t>
      </w:r>
      <w:r w:rsidRPr="00F816FC">
        <w:rPr>
          <w:i/>
        </w:rPr>
        <w:t>fit notes</w:t>
      </w:r>
    </w:p>
    <w:p w:rsidR="00253A74" w:rsidRPr="00F816FC" w:rsidRDefault="00FD3118" w:rsidP="00892925">
      <w:pPr>
        <w:spacing w:line="360" w:lineRule="auto"/>
      </w:pPr>
      <w:r w:rsidRPr="00F816FC">
        <w:t>The gender, age</w:t>
      </w:r>
      <w:r w:rsidR="00413649" w:rsidRPr="00F816FC">
        <w:t xml:space="preserve"> and full-time status of the certifying GP were significantly associated with issuing more long-term fit notes. However, there were no significant differences between GPs who were </w:t>
      </w:r>
      <w:r w:rsidR="00413649" w:rsidRPr="00F816FC">
        <w:lastRenderedPageBreak/>
        <w:t xml:space="preserve">partners in their practice and GPs with another contractual status (Table 2). Male GPs issued a higher proportion of long-term fit notes for depression (39% v 32% of those issued by female GPs, </w:t>
      </w:r>
      <w:r w:rsidR="001679A9" w:rsidRPr="00F816FC">
        <w:t>χ</w:t>
      </w:r>
      <w:r w:rsidR="001679A9" w:rsidRPr="00F816FC">
        <w:rPr>
          <w:vertAlign w:val="superscript"/>
        </w:rPr>
        <w:t>2</w:t>
      </w:r>
      <w:r w:rsidR="001679A9" w:rsidRPr="00F816FC">
        <w:t xml:space="preserve">=38.4 df=1 </w:t>
      </w:r>
      <w:r w:rsidR="00413649" w:rsidRPr="00F816FC">
        <w:t xml:space="preserve">P&lt;0.001). A higher proportion of fit notes issued </w:t>
      </w:r>
      <w:r w:rsidR="0013768E" w:rsidRPr="00F816FC">
        <w:t xml:space="preserve">by </w:t>
      </w:r>
      <w:r w:rsidR="00FB5626" w:rsidRPr="00F816FC">
        <w:t>GPs in the 35-50</w:t>
      </w:r>
      <w:r w:rsidR="00413649" w:rsidRPr="00F816FC">
        <w:t xml:space="preserve"> age category </w:t>
      </w:r>
      <w:r w:rsidR="0013768E" w:rsidRPr="00F816FC">
        <w:t>were long-term (</w:t>
      </w:r>
      <w:r w:rsidR="001679A9" w:rsidRPr="00F816FC">
        <w:t>χ</w:t>
      </w:r>
      <w:r w:rsidR="001679A9" w:rsidRPr="00F816FC">
        <w:rPr>
          <w:vertAlign w:val="superscript"/>
        </w:rPr>
        <w:t>2</w:t>
      </w:r>
      <w:r w:rsidR="001679A9" w:rsidRPr="00F816FC">
        <w:t xml:space="preserve">=21.9 df=2 </w:t>
      </w:r>
      <w:r w:rsidR="0013768E" w:rsidRPr="00F816FC">
        <w:t>41%, compared to 34% of the notes issued by younger and older GPs). A higher proportion of long-term notes was associated with GPs working full-time (40%) rather than part-time (33%) (</w:t>
      </w:r>
      <w:r w:rsidR="00343488" w:rsidRPr="00F816FC">
        <w:t>χ</w:t>
      </w:r>
      <w:r w:rsidR="00343488" w:rsidRPr="00F816FC">
        <w:rPr>
          <w:vertAlign w:val="superscript"/>
        </w:rPr>
        <w:t>2</w:t>
      </w:r>
      <w:r w:rsidR="00343488" w:rsidRPr="00F816FC">
        <w:t xml:space="preserve">=28.8 df=1 </w:t>
      </w:r>
      <w:r w:rsidR="001679A9" w:rsidRPr="00F816FC">
        <w:t>χ</w:t>
      </w:r>
      <w:r w:rsidR="001679A9" w:rsidRPr="00F816FC">
        <w:rPr>
          <w:vertAlign w:val="superscript"/>
        </w:rPr>
        <w:t>2</w:t>
      </w:r>
      <w:r w:rsidR="001679A9" w:rsidRPr="00F816FC">
        <w:t xml:space="preserve">= </w:t>
      </w:r>
      <w:r w:rsidR="0013768E" w:rsidRPr="00F816FC">
        <w:t>P&lt;0.001)</w:t>
      </w:r>
    </w:p>
    <w:p w:rsidR="00D66AF3" w:rsidRPr="00F816FC" w:rsidRDefault="003A7514" w:rsidP="00892925">
      <w:pPr>
        <w:spacing w:line="360" w:lineRule="auto"/>
        <w:rPr>
          <w:i/>
        </w:rPr>
      </w:pPr>
      <w:r w:rsidRPr="00F816FC">
        <w:rPr>
          <w:i/>
        </w:rPr>
        <w:t>Risk of issuing/receiving a long-term fit note for depression</w:t>
      </w:r>
    </w:p>
    <w:p w:rsidR="0013768E" w:rsidRPr="00F816FC" w:rsidRDefault="0013768E" w:rsidP="00892925">
      <w:pPr>
        <w:spacing w:line="360" w:lineRule="auto"/>
      </w:pPr>
      <w:r w:rsidRPr="00F816FC">
        <w:t>All measured fit-note, patient, GP and practice variab</w:t>
      </w:r>
      <w:r w:rsidR="00FB5626" w:rsidRPr="00F816FC">
        <w:t xml:space="preserve">les were entered as </w:t>
      </w:r>
      <w:r w:rsidRPr="00F816FC">
        <w:t>covariates in a multilevel logistic regression model in order to estimate independent effects on risk of a long-term depression fit note. The model included random intercepts for the patient, certifying GP and the general practice. The independent covariates included a term to estimate the effect of GP-patient gender interaction.</w:t>
      </w:r>
    </w:p>
    <w:p w:rsidR="00DA226C" w:rsidRPr="00F816FC" w:rsidRDefault="00DA226C" w:rsidP="00892925">
      <w:pPr>
        <w:spacing w:line="360" w:lineRule="auto"/>
      </w:pPr>
      <w:r w:rsidRPr="00F816FC">
        <w:rPr>
          <w:i/>
        </w:rPr>
        <w:t xml:space="preserve">Random effects: </w:t>
      </w:r>
      <w:r w:rsidR="00BA292B" w:rsidRPr="00F816FC">
        <w:t>Before running the full model</w:t>
      </w:r>
      <w:r w:rsidR="00BA292B" w:rsidRPr="00F816FC">
        <w:rPr>
          <w:i/>
        </w:rPr>
        <w:t xml:space="preserve">, </w:t>
      </w:r>
      <w:r w:rsidR="00BA292B" w:rsidRPr="00F816FC">
        <w:t>a</w:t>
      </w:r>
      <w:r w:rsidRPr="00F816FC">
        <w:t xml:space="preserve"> null (empty) model was run with three random intercepts. </w:t>
      </w:r>
      <w:r w:rsidR="00B865C0" w:rsidRPr="00F816FC">
        <w:t>Over 48% (5.21/10.8) of the total variance in the long-term fit note outcome was at patient level, 11% (1.18/10.8) at the GP level and 10% (1.08/10.8) at the general practice level.</w:t>
      </w:r>
    </w:p>
    <w:p w:rsidR="0013768E" w:rsidRPr="00F816FC" w:rsidRDefault="00B865C0" w:rsidP="00892925">
      <w:pPr>
        <w:spacing w:line="360" w:lineRule="auto"/>
      </w:pPr>
      <w:r w:rsidRPr="00F816FC">
        <w:rPr>
          <w:i/>
        </w:rPr>
        <w:t>Fixed effects</w:t>
      </w:r>
      <w:r w:rsidRPr="00F816FC">
        <w:t xml:space="preserve">: When the independent covariates were entered in the model, six </w:t>
      </w:r>
      <w:r w:rsidR="00790B93" w:rsidRPr="00F816FC">
        <w:t xml:space="preserve">were significantly and independently associated with the issue of a long-term note for depression (Table 3). </w:t>
      </w:r>
    </w:p>
    <w:p w:rsidR="00790B93" w:rsidRPr="00F816FC" w:rsidRDefault="005273EE" w:rsidP="00892925">
      <w:pPr>
        <w:spacing w:line="360" w:lineRule="auto"/>
      </w:pPr>
      <w:r w:rsidRPr="00F816FC">
        <w:t>After a patient had been issued a third depression fit note there was significantly more likelihood of a long-term note being issued. Compared to a first note issued for depression, the odds of receiving a long-term note were increased by 2.85 (95% CI 2.06-3.93). The inclusion of ‘may be fit’ advice on a fit note significantly decreased the probability of it being over four weeks in duration (OR= 0.28, 95% CI 0.14-0.56). Older patient recipients (aged over 50) of a depression fit note were more likely to receive a long-term note (compared to un</w:t>
      </w:r>
      <w:r w:rsidR="0008219B" w:rsidRPr="00F816FC">
        <w:t>der-</w:t>
      </w:r>
      <w:r w:rsidRPr="00F816FC">
        <w:t>30s</w:t>
      </w:r>
      <w:r w:rsidR="0008219B" w:rsidRPr="00F816FC">
        <w:t xml:space="preserve">, OR= 1.75, 95% CI 1.17-2.62). </w:t>
      </w:r>
    </w:p>
    <w:p w:rsidR="0008219B" w:rsidRPr="00F816FC" w:rsidRDefault="0008219B" w:rsidP="00892925">
      <w:pPr>
        <w:spacing w:line="360" w:lineRule="auto"/>
      </w:pPr>
      <w:r w:rsidRPr="00F816FC">
        <w:t>The social deprivation of the patient’s area of residence and the composite measure of deprivation at the practice level were both significantly associated with a higher risk of a long-term fit note. Depression fit notes issued to patients living in one of the most socially deprived neighbourhoods in the country were more likely to be over four weeks in length (compared to those issued to less deprived patients, OR= 1.91, 95% CI 1.30-2.80)</w:t>
      </w:r>
      <w:r w:rsidR="00FB5626" w:rsidRPr="00F816FC">
        <w:t xml:space="preserve">. A fit note issued by a </w:t>
      </w:r>
      <w:r w:rsidR="008034F2" w:rsidRPr="00F816FC">
        <w:t>‘high deprivation’ practice was significantly more likely to be long-term than one issued by a ‘low deprivation’ practice (OR= 3.17, 95% CI 1.53-6.59).</w:t>
      </w:r>
    </w:p>
    <w:p w:rsidR="008034F2" w:rsidRPr="00F816FC" w:rsidRDefault="008034F2" w:rsidP="00892925">
      <w:pPr>
        <w:spacing w:line="360" w:lineRule="auto"/>
      </w:pPr>
      <w:r w:rsidRPr="00F816FC">
        <w:lastRenderedPageBreak/>
        <w:t>In terms of the gender of the patient receiving, and that of the GP issuing a depression fit note, notes issued by female GPs to female patients were significantly less likely to be long-term (compared to the reference male-male category, OR= 0.52, 95% CI 0.31-0.86).</w:t>
      </w:r>
    </w:p>
    <w:p w:rsidR="008034F2" w:rsidRDefault="00B9693C" w:rsidP="00892925">
      <w:pPr>
        <w:spacing w:line="360" w:lineRule="auto"/>
        <w:rPr>
          <w:color w:val="FF0000"/>
        </w:rPr>
      </w:pPr>
      <w:r w:rsidRPr="00F816FC">
        <w:rPr>
          <w:color w:val="FF0000"/>
        </w:rPr>
        <w:t>Table 3</w:t>
      </w:r>
    </w:p>
    <w:p w:rsidR="00D36156" w:rsidRPr="00F816FC" w:rsidRDefault="00D36156" w:rsidP="00D36156">
      <w:pPr>
        <w:rPr>
          <w:b/>
        </w:rPr>
      </w:pPr>
      <w:r w:rsidRPr="00F816FC">
        <w:rPr>
          <w:b/>
        </w:rPr>
        <w:t>Table 3: Fit note, patient, GP and general practice factors independently associated with risk of the issue of a long-term (&gt; 4 week) fit note for depression.</w:t>
      </w:r>
    </w:p>
    <w:p w:rsidR="00D36156" w:rsidRPr="00F816FC" w:rsidRDefault="00D36156" w:rsidP="00D36156"/>
    <w:tbl>
      <w:tblPr>
        <w:tblStyle w:val="TableGrid"/>
        <w:tblW w:w="9747" w:type="dxa"/>
        <w:tblLook w:val="04A0" w:firstRow="1" w:lastRow="0" w:firstColumn="1" w:lastColumn="0" w:noHBand="0" w:noVBand="1"/>
      </w:tblPr>
      <w:tblGrid>
        <w:gridCol w:w="3407"/>
        <w:gridCol w:w="2371"/>
        <w:gridCol w:w="2552"/>
        <w:gridCol w:w="1417"/>
      </w:tblGrid>
      <w:tr w:rsidR="00D36156" w:rsidRPr="00F816FC" w:rsidTr="00C05E1F">
        <w:trPr>
          <w:tblHeader/>
        </w:trPr>
        <w:tc>
          <w:tcPr>
            <w:tcW w:w="3407" w:type="dxa"/>
            <w:tcBorders>
              <w:left w:val="nil"/>
              <w:bottom w:val="single" w:sz="4" w:space="0" w:color="auto"/>
              <w:right w:val="nil"/>
            </w:tcBorders>
          </w:tcPr>
          <w:p w:rsidR="00D36156" w:rsidRPr="00F816FC" w:rsidRDefault="00D36156" w:rsidP="00C05E1F"/>
        </w:tc>
        <w:tc>
          <w:tcPr>
            <w:tcW w:w="2371" w:type="dxa"/>
            <w:tcBorders>
              <w:left w:val="nil"/>
              <w:bottom w:val="single" w:sz="4" w:space="0" w:color="auto"/>
              <w:right w:val="nil"/>
            </w:tcBorders>
            <w:vAlign w:val="bottom"/>
          </w:tcPr>
          <w:p w:rsidR="00D36156" w:rsidRPr="00F816FC" w:rsidRDefault="00D36156" w:rsidP="00C05E1F">
            <w:pPr>
              <w:jc w:val="center"/>
              <w:rPr>
                <w:b/>
              </w:rPr>
            </w:pPr>
            <w:r w:rsidRPr="00F816FC">
              <w:rPr>
                <w:b/>
              </w:rPr>
              <w:t>Odds Ratio</w:t>
            </w:r>
          </w:p>
        </w:tc>
        <w:tc>
          <w:tcPr>
            <w:tcW w:w="2552" w:type="dxa"/>
            <w:tcBorders>
              <w:left w:val="nil"/>
              <w:bottom w:val="single" w:sz="4" w:space="0" w:color="auto"/>
              <w:right w:val="nil"/>
            </w:tcBorders>
            <w:vAlign w:val="bottom"/>
          </w:tcPr>
          <w:p w:rsidR="00D36156" w:rsidRPr="00F816FC" w:rsidRDefault="00D36156" w:rsidP="00C05E1F">
            <w:pPr>
              <w:jc w:val="center"/>
              <w:rPr>
                <w:b/>
              </w:rPr>
            </w:pPr>
            <w:r w:rsidRPr="00F816FC">
              <w:rPr>
                <w:b/>
              </w:rPr>
              <w:t>95% CI</w:t>
            </w:r>
          </w:p>
        </w:tc>
        <w:tc>
          <w:tcPr>
            <w:tcW w:w="1417" w:type="dxa"/>
            <w:tcBorders>
              <w:left w:val="nil"/>
              <w:bottom w:val="single" w:sz="4" w:space="0" w:color="auto"/>
              <w:right w:val="nil"/>
            </w:tcBorders>
            <w:vAlign w:val="bottom"/>
          </w:tcPr>
          <w:p w:rsidR="00D36156" w:rsidRPr="00F816FC" w:rsidRDefault="00D36156" w:rsidP="00C05E1F">
            <w:pPr>
              <w:jc w:val="center"/>
              <w:rPr>
                <w:b/>
              </w:rPr>
            </w:pPr>
            <w:r w:rsidRPr="00F816FC">
              <w:rPr>
                <w:b/>
              </w:rPr>
              <w:t>P</w:t>
            </w:r>
          </w:p>
        </w:tc>
      </w:tr>
      <w:tr w:rsidR="00D36156" w:rsidRPr="00F816FC" w:rsidTr="00C05E1F">
        <w:tc>
          <w:tcPr>
            <w:tcW w:w="3407" w:type="dxa"/>
            <w:tcBorders>
              <w:left w:val="nil"/>
              <w:bottom w:val="nil"/>
              <w:right w:val="nil"/>
            </w:tcBorders>
          </w:tcPr>
          <w:p w:rsidR="00D36156" w:rsidRPr="00F816FC" w:rsidRDefault="00D36156" w:rsidP="00C05E1F">
            <w:pPr>
              <w:rPr>
                <w:b/>
              </w:rPr>
            </w:pPr>
            <w:r w:rsidRPr="00F816FC">
              <w:rPr>
                <w:b/>
              </w:rPr>
              <w:t>The depression fit note</w:t>
            </w:r>
          </w:p>
        </w:tc>
        <w:tc>
          <w:tcPr>
            <w:tcW w:w="2371" w:type="dxa"/>
            <w:tcBorders>
              <w:left w:val="nil"/>
              <w:bottom w:val="nil"/>
              <w:right w:val="nil"/>
            </w:tcBorders>
            <w:vAlign w:val="bottom"/>
          </w:tcPr>
          <w:p w:rsidR="00D36156" w:rsidRPr="00F816FC" w:rsidRDefault="00D36156" w:rsidP="00C05E1F">
            <w:pPr>
              <w:jc w:val="center"/>
            </w:pPr>
          </w:p>
        </w:tc>
        <w:tc>
          <w:tcPr>
            <w:tcW w:w="2552" w:type="dxa"/>
            <w:tcBorders>
              <w:left w:val="nil"/>
              <w:bottom w:val="nil"/>
              <w:right w:val="nil"/>
            </w:tcBorders>
            <w:vAlign w:val="bottom"/>
          </w:tcPr>
          <w:p w:rsidR="00D36156" w:rsidRPr="00F816FC" w:rsidRDefault="00D36156" w:rsidP="00C05E1F">
            <w:pPr>
              <w:jc w:val="center"/>
            </w:pPr>
          </w:p>
        </w:tc>
        <w:tc>
          <w:tcPr>
            <w:tcW w:w="1417" w:type="dxa"/>
            <w:tcBorders>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r w:rsidRPr="00F816FC">
              <w:t>Number of previous fit notes issued for depression:</w:t>
            </w:r>
          </w:p>
        </w:tc>
        <w:tc>
          <w:tcPr>
            <w:tcW w:w="2371" w:type="dxa"/>
            <w:tcBorders>
              <w:top w:val="nil"/>
              <w:left w:val="nil"/>
              <w:bottom w:val="nil"/>
              <w:right w:val="nil"/>
            </w:tcBorders>
            <w:vAlign w:val="bottom"/>
          </w:tcPr>
          <w:p w:rsidR="00D36156" w:rsidRPr="00F816FC" w:rsidRDefault="00D36156" w:rsidP="00C05E1F">
            <w:pPr>
              <w:jc w:val="center"/>
            </w:pP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None (first issued to patient)</w:t>
            </w:r>
          </w:p>
        </w:tc>
        <w:tc>
          <w:tcPr>
            <w:tcW w:w="2371" w:type="dxa"/>
            <w:tcBorders>
              <w:top w:val="nil"/>
              <w:left w:val="nil"/>
              <w:bottom w:val="nil"/>
              <w:right w:val="nil"/>
            </w:tcBorders>
            <w:vAlign w:val="bottom"/>
          </w:tcPr>
          <w:p w:rsidR="00D36156" w:rsidRPr="00F816FC" w:rsidRDefault="00D36156" w:rsidP="00C05E1F">
            <w:pPr>
              <w:jc w:val="center"/>
            </w:pPr>
            <w:r w:rsidRPr="00F816FC">
              <w:t>1.00</w:t>
            </w: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One</w:t>
            </w:r>
          </w:p>
        </w:tc>
        <w:tc>
          <w:tcPr>
            <w:tcW w:w="2371" w:type="dxa"/>
            <w:tcBorders>
              <w:top w:val="nil"/>
              <w:left w:val="nil"/>
              <w:bottom w:val="nil"/>
              <w:right w:val="nil"/>
            </w:tcBorders>
            <w:vAlign w:val="bottom"/>
          </w:tcPr>
          <w:p w:rsidR="00D36156" w:rsidRPr="00F816FC" w:rsidRDefault="00D36156" w:rsidP="00C05E1F">
            <w:pPr>
              <w:jc w:val="center"/>
            </w:pPr>
            <w:r w:rsidRPr="00F816FC">
              <w:t>1.21</w:t>
            </w:r>
          </w:p>
        </w:tc>
        <w:tc>
          <w:tcPr>
            <w:tcW w:w="2552" w:type="dxa"/>
            <w:tcBorders>
              <w:top w:val="nil"/>
              <w:left w:val="nil"/>
              <w:bottom w:val="nil"/>
              <w:right w:val="nil"/>
            </w:tcBorders>
            <w:vAlign w:val="bottom"/>
          </w:tcPr>
          <w:p w:rsidR="00D36156" w:rsidRPr="00F816FC" w:rsidRDefault="00D36156" w:rsidP="00C05E1F">
            <w:pPr>
              <w:jc w:val="center"/>
            </w:pPr>
            <w:r w:rsidRPr="00F816FC">
              <w:t>0.94-1.56</w:t>
            </w:r>
          </w:p>
        </w:tc>
        <w:tc>
          <w:tcPr>
            <w:tcW w:w="1417" w:type="dxa"/>
            <w:tcBorders>
              <w:top w:val="nil"/>
              <w:left w:val="nil"/>
              <w:bottom w:val="nil"/>
              <w:right w:val="nil"/>
            </w:tcBorders>
            <w:vAlign w:val="bottom"/>
          </w:tcPr>
          <w:p w:rsidR="00D36156" w:rsidRPr="00F816FC" w:rsidRDefault="00D36156" w:rsidP="00C05E1F">
            <w:pPr>
              <w:jc w:val="center"/>
            </w:pPr>
            <w:r w:rsidRPr="00F816FC">
              <w:t>0.15</w:t>
            </w: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Two</w:t>
            </w:r>
          </w:p>
        </w:tc>
        <w:tc>
          <w:tcPr>
            <w:tcW w:w="2371" w:type="dxa"/>
            <w:tcBorders>
              <w:top w:val="nil"/>
              <w:left w:val="nil"/>
              <w:bottom w:val="nil"/>
              <w:right w:val="nil"/>
            </w:tcBorders>
            <w:vAlign w:val="bottom"/>
          </w:tcPr>
          <w:p w:rsidR="00D36156" w:rsidRPr="00F816FC" w:rsidRDefault="00D36156" w:rsidP="00C05E1F">
            <w:pPr>
              <w:jc w:val="center"/>
            </w:pPr>
            <w:r w:rsidRPr="00F816FC">
              <w:t>1.41</w:t>
            </w:r>
          </w:p>
        </w:tc>
        <w:tc>
          <w:tcPr>
            <w:tcW w:w="2552" w:type="dxa"/>
            <w:tcBorders>
              <w:top w:val="nil"/>
              <w:left w:val="nil"/>
              <w:bottom w:val="nil"/>
              <w:right w:val="nil"/>
            </w:tcBorders>
            <w:vAlign w:val="bottom"/>
          </w:tcPr>
          <w:p w:rsidR="00D36156" w:rsidRPr="00F816FC" w:rsidRDefault="00D36156" w:rsidP="00C05E1F">
            <w:pPr>
              <w:jc w:val="center"/>
            </w:pPr>
            <w:r w:rsidRPr="00F816FC">
              <w:t>1.03-1.92</w:t>
            </w:r>
          </w:p>
        </w:tc>
        <w:tc>
          <w:tcPr>
            <w:tcW w:w="1417" w:type="dxa"/>
            <w:tcBorders>
              <w:top w:val="nil"/>
              <w:left w:val="nil"/>
              <w:bottom w:val="nil"/>
              <w:right w:val="nil"/>
            </w:tcBorders>
            <w:vAlign w:val="bottom"/>
          </w:tcPr>
          <w:p w:rsidR="00D36156" w:rsidRPr="00F816FC" w:rsidRDefault="00D36156" w:rsidP="00C05E1F">
            <w:pPr>
              <w:jc w:val="center"/>
            </w:pPr>
            <w:r w:rsidRPr="00F816FC">
              <w:t>0.03</w:t>
            </w: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More than two</w:t>
            </w:r>
          </w:p>
        </w:tc>
        <w:tc>
          <w:tcPr>
            <w:tcW w:w="2371" w:type="dxa"/>
            <w:tcBorders>
              <w:top w:val="nil"/>
              <w:left w:val="nil"/>
              <w:bottom w:val="nil"/>
              <w:right w:val="nil"/>
            </w:tcBorders>
            <w:vAlign w:val="bottom"/>
          </w:tcPr>
          <w:p w:rsidR="00D36156" w:rsidRPr="00F816FC" w:rsidRDefault="00D36156" w:rsidP="00C05E1F">
            <w:pPr>
              <w:jc w:val="center"/>
            </w:pPr>
            <w:r w:rsidRPr="00F816FC">
              <w:t>2.85</w:t>
            </w:r>
          </w:p>
        </w:tc>
        <w:tc>
          <w:tcPr>
            <w:tcW w:w="2552" w:type="dxa"/>
            <w:tcBorders>
              <w:top w:val="nil"/>
              <w:left w:val="nil"/>
              <w:bottom w:val="nil"/>
              <w:right w:val="nil"/>
            </w:tcBorders>
            <w:vAlign w:val="bottom"/>
          </w:tcPr>
          <w:p w:rsidR="00D36156" w:rsidRPr="00F816FC" w:rsidRDefault="00D36156" w:rsidP="00C05E1F">
            <w:pPr>
              <w:jc w:val="center"/>
            </w:pPr>
            <w:r w:rsidRPr="00F816FC">
              <w:t>2.06-3.93</w:t>
            </w:r>
          </w:p>
        </w:tc>
        <w:tc>
          <w:tcPr>
            <w:tcW w:w="1417" w:type="dxa"/>
            <w:tcBorders>
              <w:top w:val="nil"/>
              <w:left w:val="nil"/>
              <w:bottom w:val="nil"/>
              <w:right w:val="nil"/>
            </w:tcBorders>
            <w:vAlign w:val="bottom"/>
          </w:tcPr>
          <w:p w:rsidR="00D36156" w:rsidRPr="00F816FC" w:rsidRDefault="00D36156" w:rsidP="00C05E1F">
            <w:pPr>
              <w:jc w:val="center"/>
            </w:pPr>
            <w:r w:rsidRPr="00F816FC">
              <w:t>&lt;0.001</w:t>
            </w:r>
          </w:p>
        </w:tc>
      </w:tr>
      <w:tr w:rsidR="00D36156" w:rsidRPr="00F816FC" w:rsidTr="00C05E1F">
        <w:tc>
          <w:tcPr>
            <w:tcW w:w="3407" w:type="dxa"/>
            <w:tcBorders>
              <w:top w:val="nil"/>
              <w:left w:val="nil"/>
              <w:bottom w:val="nil"/>
              <w:right w:val="nil"/>
            </w:tcBorders>
          </w:tcPr>
          <w:p w:rsidR="00D36156" w:rsidRPr="00F816FC" w:rsidRDefault="00D36156" w:rsidP="00C05E1F">
            <w:r w:rsidRPr="00F816FC">
              <w:t>Preceded by a fit note issued for another mental disorder:</w:t>
            </w:r>
          </w:p>
        </w:tc>
        <w:tc>
          <w:tcPr>
            <w:tcW w:w="2371" w:type="dxa"/>
            <w:tcBorders>
              <w:top w:val="nil"/>
              <w:left w:val="nil"/>
              <w:bottom w:val="nil"/>
              <w:right w:val="nil"/>
            </w:tcBorders>
            <w:vAlign w:val="bottom"/>
          </w:tcPr>
          <w:p w:rsidR="00D36156" w:rsidRPr="00F816FC" w:rsidRDefault="00D36156" w:rsidP="00C05E1F">
            <w:pPr>
              <w:jc w:val="center"/>
            </w:pP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No</w:t>
            </w:r>
          </w:p>
        </w:tc>
        <w:tc>
          <w:tcPr>
            <w:tcW w:w="2371" w:type="dxa"/>
            <w:tcBorders>
              <w:top w:val="nil"/>
              <w:left w:val="nil"/>
              <w:bottom w:val="nil"/>
              <w:right w:val="nil"/>
            </w:tcBorders>
            <w:vAlign w:val="bottom"/>
          </w:tcPr>
          <w:p w:rsidR="00D36156" w:rsidRPr="00F816FC" w:rsidRDefault="00D36156" w:rsidP="00C05E1F">
            <w:pPr>
              <w:jc w:val="center"/>
            </w:pPr>
            <w:r w:rsidRPr="00F816FC">
              <w:t>1.00</w:t>
            </w: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Yes</w:t>
            </w:r>
          </w:p>
        </w:tc>
        <w:tc>
          <w:tcPr>
            <w:tcW w:w="2371" w:type="dxa"/>
            <w:tcBorders>
              <w:top w:val="nil"/>
              <w:left w:val="nil"/>
              <w:bottom w:val="nil"/>
              <w:right w:val="nil"/>
            </w:tcBorders>
            <w:vAlign w:val="bottom"/>
          </w:tcPr>
          <w:p w:rsidR="00D36156" w:rsidRPr="00F816FC" w:rsidRDefault="00D36156" w:rsidP="00C05E1F">
            <w:pPr>
              <w:jc w:val="center"/>
            </w:pPr>
            <w:r w:rsidRPr="00F816FC">
              <w:t>0.87</w:t>
            </w:r>
          </w:p>
        </w:tc>
        <w:tc>
          <w:tcPr>
            <w:tcW w:w="2552" w:type="dxa"/>
            <w:tcBorders>
              <w:top w:val="nil"/>
              <w:left w:val="nil"/>
              <w:bottom w:val="nil"/>
              <w:right w:val="nil"/>
            </w:tcBorders>
            <w:vAlign w:val="bottom"/>
          </w:tcPr>
          <w:p w:rsidR="00D36156" w:rsidRPr="00F816FC" w:rsidRDefault="00D36156" w:rsidP="00C05E1F">
            <w:pPr>
              <w:jc w:val="center"/>
            </w:pPr>
            <w:r w:rsidRPr="00F816FC">
              <w:t>0.64-1.17</w:t>
            </w:r>
          </w:p>
        </w:tc>
        <w:tc>
          <w:tcPr>
            <w:tcW w:w="1417" w:type="dxa"/>
            <w:tcBorders>
              <w:top w:val="nil"/>
              <w:left w:val="nil"/>
              <w:bottom w:val="nil"/>
              <w:right w:val="nil"/>
            </w:tcBorders>
            <w:vAlign w:val="bottom"/>
          </w:tcPr>
          <w:p w:rsidR="00D36156" w:rsidRPr="00F816FC" w:rsidRDefault="00D36156" w:rsidP="00C05E1F">
            <w:pPr>
              <w:jc w:val="center"/>
            </w:pPr>
            <w:r w:rsidRPr="00F816FC">
              <w:t>0.36</w:t>
            </w:r>
          </w:p>
        </w:tc>
      </w:tr>
      <w:tr w:rsidR="00D36156" w:rsidRPr="00F816FC" w:rsidTr="00C05E1F">
        <w:tc>
          <w:tcPr>
            <w:tcW w:w="3407" w:type="dxa"/>
            <w:tcBorders>
              <w:top w:val="nil"/>
              <w:left w:val="nil"/>
              <w:bottom w:val="nil"/>
              <w:right w:val="nil"/>
            </w:tcBorders>
          </w:tcPr>
          <w:p w:rsidR="00D36156" w:rsidRPr="00F816FC" w:rsidRDefault="00D36156" w:rsidP="00C05E1F">
            <w:r w:rsidRPr="00F816FC">
              <w:t>Preceded by a fit note issued for a physical health problem:</w:t>
            </w:r>
          </w:p>
        </w:tc>
        <w:tc>
          <w:tcPr>
            <w:tcW w:w="2371" w:type="dxa"/>
            <w:tcBorders>
              <w:top w:val="nil"/>
              <w:left w:val="nil"/>
              <w:bottom w:val="nil"/>
              <w:right w:val="nil"/>
            </w:tcBorders>
            <w:vAlign w:val="bottom"/>
          </w:tcPr>
          <w:p w:rsidR="00D36156" w:rsidRPr="00F816FC" w:rsidRDefault="00D36156" w:rsidP="00C05E1F">
            <w:pPr>
              <w:jc w:val="center"/>
            </w:pP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No</w:t>
            </w:r>
          </w:p>
        </w:tc>
        <w:tc>
          <w:tcPr>
            <w:tcW w:w="2371" w:type="dxa"/>
            <w:tcBorders>
              <w:top w:val="nil"/>
              <w:left w:val="nil"/>
              <w:bottom w:val="nil"/>
              <w:right w:val="nil"/>
            </w:tcBorders>
            <w:vAlign w:val="bottom"/>
          </w:tcPr>
          <w:p w:rsidR="00D36156" w:rsidRPr="00F816FC" w:rsidRDefault="00D36156" w:rsidP="00C05E1F">
            <w:pPr>
              <w:jc w:val="center"/>
            </w:pPr>
            <w:r w:rsidRPr="00F816FC">
              <w:t>1.00</w:t>
            </w: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Yes</w:t>
            </w:r>
          </w:p>
        </w:tc>
        <w:tc>
          <w:tcPr>
            <w:tcW w:w="2371" w:type="dxa"/>
            <w:tcBorders>
              <w:top w:val="nil"/>
              <w:left w:val="nil"/>
              <w:bottom w:val="nil"/>
              <w:right w:val="nil"/>
            </w:tcBorders>
            <w:vAlign w:val="bottom"/>
          </w:tcPr>
          <w:p w:rsidR="00D36156" w:rsidRPr="00F816FC" w:rsidRDefault="00D36156" w:rsidP="00C05E1F">
            <w:pPr>
              <w:jc w:val="center"/>
            </w:pPr>
            <w:r w:rsidRPr="00F816FC">
              <w:t>0.77</w:t>
            </w:r>
          </w:p>
        </w:tc>
        <w:tc>
          <w:tcPr>
            <w:tcW w:w="2552" w:type="dxa"/>
            <w:tcBorders>
              <w:top w:val="nil"/>
              <w:left w:val="nil"/>
              <w:bottom w:val="nil"/>
              <w:right w:val="nil"/>
            </w:tcBorders>
            <w:vAlign w:val="bottom"/>
          </w:tcPr>
          <w:p w:rsidR="00D36156" w:rsidRPr="00F816FC" w:rsidRDefault="00D36156" w:rsidP="00C05E1F">
            <w:pPr>
              <w:jc w:val="center"/>
            </w:pPr>
            <w:r w:rsidRPr="00F816FC">
              <w:t>0.54-1.09</w:t>
            </w:r>
          </w:p>
        </w:tc>
        <w:tc>
          <w:tcPr>
            <w:tcW w:w="1417" w:type="dxa"/>
            <w:tcBorders>
              <w:top w:val="nil"/>
              <w:left w:val="nil"/>
              <w:bottom w:val="nil"/>
              <w:right w:val="nil"/>
            </w:tcBorders>
            <w:vAlign w:val="bottom"/>
          </w:tcPr>
          <w:p w:rsidR="00D36156" w:rsidRPr="00F816FC" w:rsidRDefault="00D36156" w:rsidP="00C05E1F">
            <w:pPr>
              <w:jc w:val="center"/>
            </w:pPr>
            <w:r w:rsidRPr="00F816FC">
              <w:t>0.14</w:t>
            </w:r>
          </w:p>
        </w:tc>
      </w:tr>
      <w:tr w:rsidR="00D36156" w:rsidRPr="00F816FC" w:rsidTr="00C05E1F">
        <w:tc>
          <w:tcPr>
            <w:tcW w:w="3407" w:type="dxa"/>
            <w:tcBorders>
              <w:top w:val="nil"/>
              <w:left w:val="nil"/>
              <w:bottom w:val="nil"/>
              <w:right w:val="nil"/>
            </w:tcBorders>
          </w:tcPr>
          <w:p w:rsidR="00D36156" w:rsidRPr="00F816FC" w:rsidRDefault="00D36156" w:rsidP="00C05E1F">
            <w:r w:rsidRPr="00F816FC">
              <w:t>Fit note includes ‘may be fit’ advice:</w:t>
            </w:r>
          </w:p>
        </w:tc>
        <w:tc>
          <w:tcPr>
            <w:tcW w:w="2371" w:type="dxa"/>
            <w:tcBorders>
              <w:top w:val="nil"/>
              <w:left w:val="nil"/>
              <w:bottom w:val="nil"/>
              <w:right w:val="nil"/>
            </w:tcBorders>
            <w:vAlign w:val="bottom"/>
          </w:tcPr>
          <w:p w:rsidR="00D36156" w:rsidRPr="00F816FC" w:rsidRDefault="00D36156" w:rsidP="00C05E1F">
            <w:pPr>
              <w:jc w:val="center"/>
            </w:pP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No</w:t>
            </w:r>
          </w:p>
        </w:tc>
        <w:tc>
          <w:tcPr>
            <w:tcW w:w="2371" w:type="dxa"/>
            <w:tcBorders>
              <w:top w:val="nil"/>
              <w:left w:val="nil"/>
              <w:bottom w:val="nil"/>
              <w:right w:val="nil"/>
            </w:tcBorders>
            <w:vAlign w:val="bottom"/>
          </w:tcPr>
          <w:p w:rsidR="00D36156" w:rsidRPr="00F816FC" w:rsidRDefault="00D36156" w:rsidP="00C05E1F">
            <w:pPr>
              <w:jc w:val="center"/>
            </w:pPr>
            <w:r w:rsidRPr="00F816FC">
              <w:t>1.00</w:t>
            </w: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Yes</w:t>
            </w:r>
          </w:p>
        </w:tc>
        <w:tc>
          <w:tcPr>
            <w:tcW w:w="2371" w:type="dxa"/>
            <w:tcBorders>
              <w:top w:val="nil"/>
              <w:left w:val="nil"/>
              <w:bottom w:val="nil"/>
              <w:right w:val="nil"/>
            </w:tcBorders>
            <w:vAlign w:val="bottom"/>
          </w:tcPr>
          <w:p w:rsidR="00D36156" w:rsidRPr="00F816FC" w:rsidRDefault="00D36156" w:rsidP="00C05E1F">
            <w:pPr>
              <w:jc w:val="center"/>
            </w:pPr>
            <w:r w:rsidRPr="00F816FC">
              <w:t>0.28</w:t>
            </w:r>
          </w:p>
        </w:tc>
        <w:tc>
          <w:tcPr>
            <w:tcW w:w="2552" w:type="dxa"/>
            <w:tcBorders>
              <w:top w:val="nil"/>
              <w:left w:val="nil"/>
              <w:bottom w:val="nil"/>
              <w:right w:val="nil"/>
            </w:tcBorders>
            <w:vAlign w:val="bottom"/>
          </w:tcPr>
          <w:p w:rsidR="00D36156" w:rsidRPr="00F816FC" w:rsidRDefault="00D36156" w:rsidP="00C05E1F">
            <w:pPr>
              <w:jc w:val="center"/>
            </w:pPr>
            <w:r w:rsidRPr="00F816FC">
              <w:t>0.14-0.56</w:t>
            </w:r>
          </w:p>
        </w:tc>
        <w:tc>
          <w:tcPr>
            <w:tcW w:w="1417" w:type="dxa"/>
            <w:tcBorders>
              <w:top w:val="nil"/>
              <w:left w:val="nil"/>
              <w:bottom w:val="nil"/>
              <w:right w:val="nil"/>
            </w:tcBorders>
            <w:vAlign w:val="bottom"/>
          </w:tcPr>
          <w:p w:rsidR="00D36156" w:rsidRPr="00F816FC" w:rsidRDefault="00D36156" w:rsidP="00C05E1F">
            <w:pPr>
              <w:jc w:val="center"/>
            </w:pPr>
            <w:r w:rsidRPr="00F816FC">
              <w:t>&lt;0.001</w:t>
            </w:r>
          </w:p>
        </w:tc>
      </w:tr>
      <w:tr w:rsidR="00D36156" w:rsidRPr="00F816FC" w:rsidTr="00C05E1F">
        <w:tc>
          <w:tcPr>
            <w:tcW w:w="3407" w:type="dxa"/>
            <w:tcBorders>
              <w:top w:val="nil"/>
              <w:left w:val="nil"/>
              <w:bottom w:val="nil"/>
              <w:right w:val="nil"/>
            </w:tcBorders>
          </w:tcPr>
          <w:p w:rsidR="00D36156" w:rsidRPr="00F816FC" w:rsidRDefault="00D36156" w:rsidP="00C05E1F">
            <w:pPr>
              <w:rPr>
                <w:b/>
              </w:rPr>
            </w:pPr>
            <w:r w:rsidRPr="00F816FC">
              <w:rPr>
                <w:b/>
              </w:rPr>
              <w:t>The patient</w:t>
            </w:r>
          </w:p>
        </w:tc>
        <w:tc>
          <w:tcPr>
            <w:tcW w:w="2371" w:type="dxa"/>
            <w:tcBorders>
              <w:top w:val="nil"/>
              <w:left w:val="nil"/>
              <w:bottom w:val="nil"/>
              <w:right w:val="nil"/>
            </w:tcBorders>
            <w:vAlign w:val="bottom"/>
          </w:tcPr>
          <w:p w:rsidR="00D36156" w:rsidRPr="00F816FC" w:rsidRDefault="00D36156" w:rsidP="00C05E1F">
            <w:pPr>
              <w:jc w:val="center"/>
            </w:pP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r w:rsidRPr="00F816FC">
              <w:t>Age-group</w:t>
            </w:r>
          </w:p>
        </w:tc>
        <w:tc>
          <w:tcPr>
            <w:tcW w:w="2371" w:type="dxa"/>
            <w:tcBorders>
              <w:top w:val="nil"/>
              <w:left w:val="nil"/>
              <w:bottom w:val="nil"/>
              <w:right w:val="nil"/>
            </w:tcBorders>
            <w:vAlign w:val="bottom"/>
          </w:tcPr>
          <w:p w:rsidR="00D36156" w:rsidRPr="00F816FC" w:rsidRDefault="00D36156" w:rsidP="00C05E1F">
            <w:pPr>
              <w:jc w:val="center"/>
            </w:pP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Under 30</w:t>
            </w:r>
          </w:p>
        </w:tc>
        <w:tc>
          <w:tcPr>
            <w:tcW w:w="2371" w:type="dxa"/>
            <w:tcBorders>
              <w:top w:val="nil"/>
              <w:left w:val="nil"/>
              <w:bottom w:val="nil"/>
              <w:right w:val="nil"/>
            </w:tcBorders>
            <w:vAlign w:val="bottom"/>
          </w:tcPr>
          <w:p w:rsidR="00D36156" w:rsidRPr="00F816FC" w:rsidRDefault="00D36156" w:rsidP="00C05E1F">
            <w:pPr>
              <w:jc w:val="center"/>
            </w:pPr>
            <w:r w:rsidRPr="00F816FC">
              <w:t>1.00</w:t>
            </w: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30-50</w:t>
            </w:r>
          </w:p>
        </w:tc>
        <w:tc>
          <w:tcPr>
            <w:tcW w:w="2371" w:type="dxa"/>
            <w:tcBorders>
              <w:top w:val="nil"/>
              <w:left w:val="nil"/>
              <w:bottom w:val="nil"/>
              <w:right w:val="nil"/>
            </w:tcBorders>
            <w:vAlign w:val="bottom"/>
          </w:tcPr>
          <w:p w:rsidR="00D36156" w:rsidRPr="00F816FC" w:rsidRDefault="00D36156" w:rsidP="00C05E1F">
            <w:pPr>
              <w:jc w:val="center"/>
            </w:pPr>
            <w:r w:rsidRPr="00F816FC">
              <w:t>1.36</w:t>
            </w:r>
          </w:p>
        </w:tc>
        <w:tc>
          <w:tcPr>
            <w:tcW w:w="2552" w:type="dxa"/>
            <w:tcBorders>
              <w:top w:val="nil"/>
              <w:left w:val="nil"/>
              <w:bottom w:val="nil"/>
              <w:right w:val="nil"/>
            </w:tcBorders>
            <w:vAlign w:val="bottom"/>
          </w:tcPr>
          <w:p w:rsidR="00D36156" w:rsidRPr="00F816FC" w:rsidRDefault="00D36156" w:rsidP="00C05E1F">
            <w:pPr>
              <w:jc w:val="center"/>
            </w:pPr>
            <w:r w:rsidRPr="00F816FC">
              <w:t>0.98-1.89</w:t>
            </w:r>
          </w:p>
        </w:tc>
        <w:tc>
          <w:tcPr>
            <w:tcW w:w="1417" w:type="dxa"/>
            <w:tcBorders>
              <w:top w:val="nil"/>
              <w:left w:val="nil"/>
              <w:bottom w:val="nil"/>
              <w:right w:val="nil"/>
            </w:tcBorders>
            <w:vAlign w:val="bottom"/>
          </w:tcPr>
          <w:p w:rsidR="00D36156" w:rsidRPr="00F816FC" w:rsidRDefault="00D36156" w:rsidP="00C05E1F">
            <w:pPr>
              <w:jc w:val="center"/>
            </w:pPr>
            <w:r w:rsidRPr="00F816FC">
              <w:t>0.07</w:t>
            </w: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Over 50</w:t>
            </w:r>
          </w:p>
        </w:tc>
        <w:tc>
          <w:tcPr>
            <w:tcW w:w="2371" w:type="dxa"/>
            <w:tcBorders>
              <w:top w:val="nil"/>
              <w:left w:val="nil"/>
              <w:bottom w:val="nil"/>
              <w:right w:val="nil"/>
            </w:tcBorders>
            <w:vAlign w:val="bottom"/>
          </w:tcPr>
          <w:p w:rsidR="00D36156" w:rsidRPr="00F816FC" w:rsidRDefault="00D36156" w:rsidP="00C05E1F">
            <w:pPr>
              <w:jc w:val="center"/>
            </w:pPr>
            <w:r w:rsidRPr="00F816FC">
              <w:t>1.75</w:t>
            </w:r>
          </w:p>
        </w:tc>
        <w:tc>
          <w:tcPr>
            <w:tcW w:w="2552" w:type="dxa"/>
            <w:tcBorders>
              <w:top w:val="nil"/>
              <w:left w:val="nil"/>
              <w:bottom w:val="nil"/>
              <w:right w:val="nil"/>
            </w:tcBorders>
            <w:vAlign w:val="bottom"/>
          </w:tcPr>
          <w:p w:rsidR="00D36156" w:rsidRPr="00F816FC" w:rsidRDefault="00D36156" w:rsidP="00C05E1F">
            <w:pPr>
              <w:jc w:val="center"/>
            </w:pPr>
            <w:r w:rsidRPr="00F816FC">
              <w:t>1.17-2.62</w:t>
            </w:r>
          </w:p>
        </w:tc>
        <w:tc>
          <w:tcPr>
            <w:tcW w:w="1417" w:type="dxa"/>
            <w:tcBorders>
              <w:top w:val="nil"/>
              <w:left w:val="nil"/>
              <w:bottom w:val="nil"/>
              <w:right w:val="nil"/>
            </w:tcBorders>
            <w:vAlign w:val="bottom"/>
          </w:tcPr>
          <w:p w:rsidR="00D36156" w:rsidRPr="00F816FC" w:rsidRDefault="00D36156" w:rsidP="00C05E1F">
            <w:pPr>
              <w:jc w:val="center"/>
            </w:pPr>
            <w:r w:rsidRPr="00F816FC">
              <w:t>0.007</w:t>
            </w:r>
          </w:p>
        </w:tc>
      </w:tr>
      <w:tr w:rsidR="00D36156" w:rsidRPr="00F816FC" w:rsidTr="00C05E1F">
        <w:tc>
          <w:tcPr>
            <w:tcW w:w="3407" w:type="dxa"/>
            <w:tcBorders>
              <w:top w:val="nil"/>
              <w:left w:val="nil"/>
              <w:bottom w:val="nil"/>
              <w:right w:val="nil"/>
            </w:tcBorders>
          </w:tcPr>
          <w:p w:rsidR="00D36156" w:rsidRPr="00F816FC" w:rsidRDefault="00D36156" w:rsidP="00C05E1F">
            <w:r w:rsidRPr="00F816FC">
              <w:t>Living in one of most deprived 20% of neighbourhoods in country:</w:t>
            </w:r>
          </w:p>
        </w:tc>
        <w:tc>
          <w:tcPr>
            <w:tcW w:w="2371" w:type="dxa"/>
            <w:tcBorders>
              <w:top w:val="nil"/>
              <w:left w:val="nil"/>
              <w:bottom w:val="nil"/>
              <w:right w:val="nil"/>
            </w:tcBorders>
            <w:vAlign w:val="bottom"/>
          </w:tcPr>
          <w:p w:rsidR="00D36156" w:rsidRPr="00F816FC" w:rsidRDefault="00D36156" w:rsidP="00C05E1F">
            <w:pPr>
              <w:jc w:val="center"/>
            </w:pP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No</w:t>
            </w:r>
          </w:p>
        </w:tc>
        <w:tc>
          <w:tcPr>
            <w:tcW w:w="2371" w:type="dxa"/>
            <w:tcBorders>
              <w:top w:val="nil"/>
              <w:left w:val="nil"/>
              <w:bottom w:val="nil"/>
              <w:right w:val="nil"/>
            </w:tcBorders>
            <w:vAlign w:val="bottom"/>
          </w:tcPr>
          <w:p w:rsidR="00D36156" w:rsidRPr="00F816FC" w:rsidRDefault="00D36156" w:rsidP="00C05E1F">
            <w:pPr>
              <w:jc w:val="center"/>
            </w:pPr>
            <w:r w:rsidRPr="00F816FC">
              <w:t>1.00</w:t>
            </w: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Yes</w:t>
            </w:r>
          </w:p>
        </w:tc>
        <w:tc>
          <w:tcPr>
            <w:tcW w:w="2371" w:type="dxa"/>
            <w:tcBorders>
              <w:top w:val="nil"/>
              <w:left w:val="nil"/>
              <w:bottom w:val="nil"/>
              <w:right w:val="nil"/>
            </w:tcBorders>
            <w:vAlign w:val="bottom"/>
          </w:tcPr>
          <w:p w:rsidR="00D36156" w:rsidRPr="00F816FC" w:rsidRDefault="00D36156" w:rsidP="00C05E1F">
            <w:pPr>
              <w:jc w:val="center"/>
            </w:pPr>
            <w:r w:rsidRPr="00F816FC">
              <w:t>1.91</w:t>
            </w:r>
          </w:p>
        </w:tc>
        <w:tc>
          <w:tcPr>
            <w:tcW w:w="2552" w:type="dxa"/>
            <w:tcBorders>
              <w:top w:val="nil"/>
              <w:left w:val="nil"/>
              <w:bottom w:val="nil"/>
              <w:right w:val="nil"/>
            </w:tcBorders>
            <w:vAlign w:val="bottom"/>
          </w:tcPr>
          <w:p w:rsidR="00D36156" w:rsidRPr="00F816FC" w:rsidRDefault="00D36156" w:rsidP="00C05E1F">
            <w:pPr>
              <w:jc w:val="center"/>
            </w:pPr>
            <w:r w:rsidRPr="00F816FC">
              <w:t>1.30-2.80</w:t>
            </w:r>
          </w:p>
        </w:tc>
        <w:tc>
          <w:tcPr>
            <w:tcW w:w="1417" w:type="dxa"/>
            <w:tcBorders>
              <w:top w:val="nil"/>
              <w:left w:val="nil"/>
              <w:bottom w:val="nil"/>
              <w:right w:val="nil"/>
            </w:tcBorders>
            <w:vAlign w:val="bottom"/>
          </w:tcPr>
          <w:p w:rsidR="00D36156" w:rsidRPr="00F816FC" w:rsidRDefault="00D36156" w:rsidP="00C05E1F">
            <w:pPr>
              <w:jc w:val="center"/>
            </w:pPr>
            <w:r w:rsidRPr="00F816FC">
              <w:t>0.001</w:t>
            </w:r>
          </w:p>
        </w:tc>
      </w:tr>
      <w:tr w:rsidR="00D36156" w:rsidRPr="00F816FC" w:rsidTr="00C05E1F">
        <w:tc>
          <w:tcPr>
            <w:tcW w:w="3407" w:type="dxa"/>
            <w:tcBorders>
              <w:top w:val="nil"/>
              <w:left w:val="nil"/>
              <w:bottom w:val="nil"/>
              <w:right w:val="nil"/>
            </w:tcBorders>
          </w:tcPr>
          <w:p w:rsidR="00D36156" w:rsidRPr="00F816FC" w:rsidRDefault="00D36156" w:rsidP="00C05E1F">
            <w:pPr>
              <w:rPr>
                <w:b/>
              </w:rPr>
            </w:pPr>
            <w:r w:rsidRPr="00F816FC">
              <w:rPr>
                <w:b/>
              </w:rPr>
              <w:t>The general practice</w:t>
            </w:r>
          </w:p>
        </w:tc>
        <w:tc>
          <w:tcPr>
            <w:tcW w:w="2371" w:type="dxa"/>
            <w:tcBorders>
              <w:top w:val="nil"/>
              <w:left w:val="nil"/>
              <w:bottom w:val="nil"/>
              <w:right w:val="nil"/>
            </w:tcBorders>
            <w:vAlign w:val="bottom"/>
          </w:tcPr>
          <w:p w:rsidR="00D36156" w:rsidRPr="00F816FC" w:rsidRDefault="00D36156" w:rsidP="00C05E1F">
            <w:pPr>
              <w:jc w:val="center"/>
            </w:pP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r w:rsidRPr="00F816FC">
              <w:t>Patient list size</w:t>
            </w:r>
          </w:p>
        </w:tc>
        <w:tc>
          <w:tcPr>
            <w:tcW w:w="2371" w:type="dxa"/>
            <w:tcBorders>
              <w:top w:val="nil"/>
              <w:left w:val="nil"/>
              <w:bottom w:val="nil"/>
              <w:right w:val="nil"/>
            </w:tcBorders>
            <w:vAlign w:val="bottom"/>
          </w:tcPr>
          <w:p w:rsidR="00D36156" w:rsidRPr="00F816FC" w:rsidRDefault="00D36156" w:rsidP="00C05E1F">
            <w:pPr>
              <w:jc w:val="center"/>
            </w:pP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&lt;5000 patients</w:t>
            </w:r>
          </w:p>
        </w:tc>
        <w:tc>
          <w:tcPr>
            <w:tcW w:w="2371" w:type="dxa"/>
            <w:tcBorders>
              <w:top w:val="nil"/>
              <w:left w:val="nil"/>
              <w:bottom w:val="nil"/>
              <w:right w:val="nil"/>
            </w:tcBorders>
            <w:vAlign w:val="bottom"/>
          </w:tcPr>
          <w:p w:rsidR="00D36156" w:rsidRPr="00F816FC" w:rsidRDefault="00D36156" w:rsidP="00C05E1F">
            <w:pPr>
              <w:jc w:val="center"/>
            </w:pPr>
            <w:r w:rsidRPr="00F816FC">
              <w:t>1.00</w:t>
            </w: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5-10,000 patients</w:t>
            </w:r>
          </w:p>
        </w:tc>
        <w:tc>
          <w:tcPr>
            <w:tcW w:w="2371" w:type="dxa"/>
            <w:tcBorders>
              <w:top w:val="nil"/>
              <w:left w:val="nil"/>
              <w:bottom w:val="nil"/>
              <w:right w:val="nil"/>
            </w:tcBorders>
            <w:vAlign w:val="bottom"/>
          </w:tcPr>
          <w:p w:rsidR="00D36156" w:rsidRPr="00F816FC" w:rsidRDefault="00D36156" w:rsidP="00C05E1F">
            <w:pPr>
              <w:jc w:val="center"/>
            </w:pPr>
            <w:r w:rsidRPr="00F816FC">
              <w:t>0.56</w:t>
            </w:r>
          </w:p>
        </w:tc>
        <w:tc>
          <w:tcPr>
            <w:tcW w:w="2552" w:type="dxa"/>
            <w:tcBorders>
              <w:top w:val="nil"/>
              <w:left w:val="nil"/>
              <w:bottom w:val="nil"/>
              <w:right w:val="nil"/>
            </w:tcBorders>
            <w:vAlign w:val="bottom"/>
          </w:tcPr>
          <w:p w:rsidR="00D36156" w:rsidRPr="00F816FC" w:rsidRDefault="00D36156" w:rsidP="00C05E1F">
            <w:pPr>
              <w:jc w:val="center"/>
            </w:pPr>
            <w:r w:rsidRPr="00F816FC">
              <w:t>0.25-1.18</w:t>
            </w:r>
          </w:p>
        </w:tc>
        <w:tc>
          <w:tcPr>
            <w:tcW w:w="1417" w:type="dxa"/>
            <w:tcBorders>
              <w:top w:val="nil"/>
              <w:left w:val="nil"/>
              <w:bottom w:val="nil"/>
              <w:right w:val="nil"/>
            </w:tcBorders>
            <w:vAlign w:val="bottom"/>
          </w:tcPr>
          <w:p w:rsidR="00D36156" w:rsidRPr="00F816FC" w:rsidRDefault="00D36156" w:rsidP="00C05E1F">
            <w:pPr>
              <w:jc w:val="center"/>
            </w:pPr>
            <w:r w:rsidRPr="00F816FC">
              <w:t>0.13</w:t>
            </w: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Over 10,000 patients</w:t>
            </w:r>
          </w:p>
        </w:tc>
        <w:tc>
          <w:tcPr>
            <w:tcW w:w="2371" w:type="dxa"/>
            <w:tcBorders>
              <w:top w:val="nil"/>
              <w:left w:val="nil"/>
              <w:bottom w:val="nil"/>
              <w:right w:val="nil"/>
            </w:tcBorders>
            <w:vAlign w:val="bottom"/>
          </w:tcPr>
          <w:p w:rsidR="00D36156" w:rsidRPr="00F816FC" w:rsidRDefault="00D36156" w:rsidP="00C05E1F">
            <w:pPr>
              <w:jc w:val="center"/>
            </w:pPr>
            <w:r w:rsidRPr="00F816FC">
              <w:t>0.86</w:t>
            </w:r>
          </w:p>
        </w:tc>
        <w:tc>
          <w:tcPr>
            <w:tcW w:w="2552" w:type="dxa"/>
            <w:tcBorders>
              <w:top w:val="nil"/>
              <w:left w:val="nil"/>
              <w:bottom w:val="nil"/>
              <w:right w:val="nil"/>
            </w:tcBorders>
            <w:vAlign w:val="bottom"/>
          </w:tcPr>
          <w:p w:rsidR="00D36156" w:rsidRPr="00F816FC" w:rsidRDefault="00D36156" w:rsidP="00C05E1F">
            <w:pPr>
              <w:jc w:val="center"/>
            </w:pPr>
            <w:r w:rsidRPr="00F816FC">
              <w:t>0.37-1.99</w:t>
            </w:r>
          </w:p>
        </w:tc>
        <w:tc>
          <w:tcPr>
            <w:tcW w:w="1417" w:type="dxa"/>
            <w:tcBorders>
              <w:top w:val="nil"/>
              <w:left w:val="nil"/>
              <w:bottom w:val="nil"/>
              <w:right w:val="nil"/>
            </w:tcBorders>
            <w:vAlign w:val="bottom"/>
          </w:tcPr>
          <w:p w:rsidR="00D36156" w:rsidRPr="00F816FC" w:rsidRDefault="00D36156" w:rsidP="00C05E1F">
            <w:pPr>
              <w:jc w:val="center"/>
            </w:pPr>
            <w:r w:rsidRPr="00F816FC">
              <w:t>0.74</w:t>
            </w:r>
          </w:p>
        </w:tc>
      </w:tr>
      <w:tr w:rsidR="00D36156" w:rsidRPr="00F816FC" w:rsidTr="00C05E1F">
        <w:tc>
          <w:tcPr>
            <w:tcW w:w="3407" w:type="dxa"/>
            <w:tcBorders>
              <w:top w:val="nil"/>
              <w:left w:val="nil"/>
              <w:bottom w:val="nil"/>
              <w:right w:val="nil"/>
            </w:tcBorders>
          </w:tcPr>
          <w:p w:rsidR="00D36156" w:rsidRPr="00F816FC" w:rsidRDefault="00D36156" w:rsidP="00C05E1F">
            <w:r w:rsidRPr="00F816FC">
              <w:t>Location of practice</w:t>
            </w:r>
          </w:p>
        </w:tc>
        <w:tc>
          <w:tcPr>
            <w:tcW w:w="2371" w:type="dxa"/>
            <w:tcBorders>
              <w:top w:val="nil"/>
              <w:left w:val="nil"/>
              <w:bottom w:val="nil"/>
              <w:right w:val="nil"/>
            </w:tcBorders>
            <w:vAlign w:val="bottom"/>
          </w:tcPr>
          <w:p w:rsidR="00D36156" w:rsidRPr="00F816FC" w:rsidRDefault="00D36156" w:rsidP="00C05E1F">
            <w:pPr>
              <w:jc w:val="center"/>
            </w:pP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Rural</w:t>
            </w:r>
          </w:p>
        </w:tc>
        <w:tc>
          <w:tcPr>
            <w:tcW w:w="2371" w:type="dxa"/>
            <w:tcBorders>
              <w:top w:val="nil"/>
              <w:left w:val="nil"/>
              <w:bottom w:val="nil"/>
              <w:right w:val="nil"/>
            </w:tcBorders>
            <w:vAlign w:val="bottom"/>
          </w:tcPr>
          <w:p w:rsidR="00D36156" w:rsidRPr="00F816FC" w:rsidRDefault="00D36156" w:rsidP="00C05E1F">
            <w:pPr>
              <w:jc w:val="center"/>
            </w:pPr>
            <w:r w:rsidRPr="00F816FC">
              <w:t>1.00</w:t>
            </w: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Urban</w:t>
            </w:r>
          </w:p>
        </w:tc>
        <w:tc>
          <w:tcPr>
            <w:tcW w:w="2371" w:type="dxa"/>
            <w:tcBorders>
              <w:top w:val="nil"/>
              <w:left w:val="nil"/>
              <w:bottom w:val="nil"/>
              <w:right w:val="nil"/>
            </w:tcBorders>
            <w:vAlign w:val="bottom"/>
          </w:tcPr>
          <w:p w:rsidR="00D36156" w:rsidRPr="00F816FC" w:rsidRDefault="00D36156" w:rsidP="00C05E1F">
            <w:pPr>
              <w:jc w:val="center"/>
            </w:pPr>
            <w:r w:rsidRPr="00F816FC">
              <w:t>1.30</w:t>
            </w:r>
          </w:p>
        </w:tc>
        <w:tc>
          <w:tcPr>
            <w:tcW w:w="2552" w:type="dxa"/>
            <w:tcBorders>
              <w:top w:val="nil"/>
              <w:left w:val="nil"/>
              <w:bottom w:val="nil"/>
              <w:right w:val="nil"/>
            </w:tcBorders>
            <w:vAlign w:val="bottom"/>
          </w:tcPr>
          <w:p w:rsidR="00D36156" w:rsidRPr="00F816FC" w:rsidRDefault="00D36156" w:rsidP="00C05E1F">
            <w:pPr>
              <w:jc w:val="center"/>
            </w:pPr>
            <w:r w:rsidRPr="00F816FC">
              <w:t>0.70-2.42</w:t>
            </w:r>
          </w:p>
        </w:tc>
        <w:tc>
          <w:tcPr>
            <w:tcW w:w="1417" w:type="dxa"/>
            <w:tcBorders>
              <w:top w:val="nil"/>
              <w:left w:val="nil"/>
              <w:bottom w:val="nil"/>
              <w:right w:val="nil"/>
            </w:tcBorders>
            <w:vAlign w:val="bottom"/>
          </w:tcPr>
          <w:p w:rsidR="00D36156" w:rsidRPr="00F816FC" w:rsidRDefault="00D36156" w:rsidP="00C05E1F">
            <w:pPr>
              <w:jc w:val="center"/>
            </w:pPr>
            <w:r w:rsidRPr="00F816FC">
              <w:t>0.41</w:t>
            </w:r>
          </w:p>
        </w:tc>
      </w:tr>
      <w:tr w:rsidR="00D36156" w:rsidRPr="00F816FC" w:rsidTr="00C05E1F">
        <w:tc>
          <w:tcPr>
            <w:tcW w:w="3407" w:type="dxa"/>
            <w:tcBorders>
              <w:top w:val="nil"/>
              <w:left w:val="nil"/>
              <w:bottom w:val="nil"/>
              <w:right w:val="nil"/>
            </w:tcBorders>
          </w:tcPr>
          <w:p w:rsidR="00D36156" w:rsidRPr="00F816FC" w:rsidRDefault="00D36156" w:rsidP="00C05E1F">
            <w:r w:rsidRPr="00F816FC">
              <w:t>Deprivation of patient population</w:t>
            </w:r>
          </w:p>
        </w:tc>
        <w:tc>
          <w:tcPr>
            <w:tcW w:w="2371" w:type="dxa"/>
            <w:tcBorders>
              <w:top w:val="nil"/>
              <w:left w:val="nil"/>
              <w:bottom w:val="nil"/>
              <w:right w:val="nil"/>
            </w:tcBorders>
            <w:vAlign w:val="bottom"/>
          </w:tcPr>
          <w:p w:rsidR="00D36156" w:rsidRPr="00F816FC" w:rsidRDefault="00D36156" w:rsidP="00C05E1F">
            <w:pPr>
              <w:jc w:val="center"/>
            </w:pP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Low</w:t>
            </w:r>
          </w:p>
        </w:tc>
        <w:tc>
          <w:tcPr>
            <w:tcW w:w="2371" w:type="dxa"/>
            <w:tcBorders>
              <w:top w:val="nil"/>
              <w:left w:val="nil"/>
              <w:bottom w:val="nil"/>
              <w:right w:val="nil"/>
            </w:tcBorders>
            <w:vAlign w:val="bottom"/>
          </w:tcPr>
          <w:p w:rsidR="00D36156" w:rsidRPr="00F816FC" w:rsidRDefault="00D36156" w:rsidP="00C05E1F">
            <w:pPr>
              <w:jc w:val="center"/>
            </w:pPr>
            <w:r w:rsidRPr="00F816FC">
              <w:t>1.00</w:t>
            </w: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Moderate</w:t>
            </w:r>
          </w:p>
        </w:tc>
        <w:tc>
          <w:tcPr>
            <w:tcW w:w="2371" w:type="dxa"/>
            <w:tcBorders>
              <w:top w:val="nil"/>
              <w:left w:val="nil"/>
              <w:bottom w:val="nil"/>
              <w:right w:val="nil"/>
            </w:tcBorders>
            <w:vAlign w:val="bottom"/>
          </w:tcPr>
          <w:p w:rsidR="00D36156" w:rsidRPr="00F816FC" w:rsidRDefault="00D36156" w:rsidP="00C05E1F">
            <w:pPr>
              <w:jc w:val="center"/>
            </w:pPr>
            <w:r w:rsidRPr="00F816FC">
              <w:t>1.70</w:t>
            </w:r>
          </w:p>
        </w:tc>
        <w:tc>
          <w:tcPr>
            <w:tcW w:w="2552" w:type="dxa"/>
            <w:tcBorders>
              <w:top w:val="nil"/>
              <w:left w:val="nil"/>
              <w:bottom w:val="nil"/>
              <w:right w:val="nil"/>
            </w:tcBorders>
            <w:vAlign w:val="bottom"/>
          </w:tcPr>
          <w:p w:rsidR="00D36156" w:rsidRPr="00F816FC" w:rsidRDefault="00D36156" w:rsidP="00C05E1F">
            <w:pPr>
              <w:jc w:val="center"/>
            </w:pPr>
            <w:r w:rsidRPr="00F816FC">
              <w:t>0.84-3.42</w:t>
            </w:r>
          </w:p>
        </w:tc>
        <w:tc>
          <w:tcPr>
            <w:tcW w:w="1417" w:type="dxa"/>
            <w:tcBorders>
              <w:top w:val="nil"/>
              <w:left w:val="nil"/>
              <w:bottom w:val="nil"/>
              <w:right w:val="nil"/>
            </w:tcBorders>
            <w:vAlign w:val="bottom"/>
          </w:tcPr>
          <w:p w:rsidR="00D36156" w:rsidRPr="00F816FC" w:rsidRDefault="00D36156" w:rsidP="00C05E1F">
            <w:pPr>
              <w:jc w:val="center"/>
            </w:pPr>
            <w:r w:rsidRPr="00F816FC">
              <w:t>0.14</w:t>
            </w: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lastRenderedPageBreak/>
              <w:t>High</w:t>
            </w:r>
          </w:p>
        </w:tc>
        <w:tc>
          <w:tcPr>
            <w:tcW w:w="2371" w:type="dxa"/>
            <w:tcBorders>
              <w:top w:val="nil"/>
              <w:left w:val="nil"/>
              <w:bottom w:val="nil"/>
              <w:right w:val="nil"/>
            </w:tcBorders>
            <w:vAlign w:val="bottom"/>
          </w:tcPr>
          <w:p w:rsidR="00D36156" w:rsidRPr="00F816FC" w:rsidRDefault="00D36156" w:rsidP="00C05E1F">
            <w:pPr>
              <w:jc w:val="center"/>
            </w:pPr>
            <w:r w:rsidRPr="00F816FC">
              <w:t>3.17</w:t>
            </w:r>
          </w:p>
        </w:tc>
        <w:tc>
          <w:tcPr>
            <w:tcW w:w="2552" w:type="dxa"/>
            <w:tcBorders>
              <w:top w:val="nil"/>
              <w:left w:val="nil"/>
              <w:bottom w:val="nil"/>
              <w:right w:val="nil"/>
            </w:tcBorders>
            <w:vAlign w:val="bottom"/>
          </w:tcPr>
          <w:p w:rsidR="00D36156" w:rsidRPr="00F816FC" w:rsidRDefault="00D36156" w:rsidP="00C05E1F">
            <w:pPr>
              <w:jc w:val="center"/>
            </w:pPr>
            <w:r w:rsidRPr="00F816FC">
              <w:t>1.53-6.59</w:t>
            </w:r>
          </w:p>
        </w:tc>
        <w:tc>
          <w:tcPr>
            <w:tcW w:w="1417" w:type="dxa"/>
            <w:tcBorders>
              <w:top w:val="nil"/>
              <w:left w:val="nil"/>
              <w:bottom w:val="nil"/>
              <w:right w:val="nil"/>
            </w:tcBorders>
            <w:vAlign w:val="bottom"/>
          </w:tcPr>
          <w:p w:rsidR="00D36156" w:rsidRPr="00F816FC" w:rsidRDefault="00D36156" w:rsidP="00C05E1F">
            <w:pPr>
              <w:jc w:val="center"/>
            </w:pPr>
            <w:r w:rsidRPr="00F816FC">
              <w:t>0.002</w:t>
            </w:r>
          </w:p>
        </w:tc>
      </w:tr>
      <w:tr w:rsidR="00D36156" w:rsidRPr="00F816FC" w:rsidTr="00C05E1F">
        <w:tc>
          <w:tcPr>
            <w:tcW w:w="3407" w:type="dxa"/>
            <w:tcBorders>
              <w:top w:val="nil"/>
              <w:left w:val="nil"/>
              <w:bottom w:val="nil"/>
              <w:right w:val="nil"/>
            </w:tcBorders>
          </w:tcPr>
          <w:p w:rsidR="00D36156" w:rsidRPr="00F816FC" w:rsidRDefault="00D36156" w:rsidP="00C05E1F">
            <w:pPr>
              <w:rPr>
                <w:b/>
              </w:rPr>
            </w:pPr>
            <w:r w:rsidRPr="00F816FC">
              <w:rPr>
                <w:b/>
              </w:rPr>
              <w:t>The certifying GP</w:t>
            </w:r>
          </w:p>
        </w:tc>
        <w:tc>
          <w:tcPr>
            <w:tcW w:w="2371" w:type="dxa"/>
            <w:tcBorders>
              <w:top w:val="nil"/>
              <w:left w:val="nil"/>
              <w:bottom w:val="nil"/>
              <w:right w:val="nil"/>
            </w:tcBorders>
            <w:vAlign w:val="bottom"/>
          </w:tcPr>
          <w:p w:rsidR="00D36156" w:rsidRPr="00F816FC" w:rsidRDefault="00D36156" w:rsidP="00C05E1F">
            <w:pPr>
              <w:jc w:val="center"/>
            </w:pP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r w:rsidRPr="00F816FC">
              <w:t>Age-group</w:t>
            </w:r>
          </w:p>
        </w:tc>
        <w:tc>
          <w:tcPr>
            <w:tcW w:w="2371" w:type="dxa"/>
            <w:tcBorders>
              <w:top w:val="nil"/>
              <w:left w:val="nil"/>
              <w:bottom w:val="nil"/>
              <w:right w:val="nil"/>
            </w:tcBorders>
            <w:vAlign w:val="bottom"/>
          </w:tcPr>
          <w:p w:rsidR="00D36156" w:rsidRPr="00F816FC" w:rsidRDefault="00D36156" w:rsidP="00C05E1F">
            <w:pPr>
              <w:jc w:val="center"/>
            </w:pP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Under 35</w:t>
            </w:r>
          </w:p>
        </w:tc>
        <w:tc>
          <w:tcPr>
            <w:tcW w:w="2371" w:type="dxa"/>
            <w:tcBorders>
              <w:top w:val="nil"/>
              <w:left w:val="nil"/>
              <w:bottom w:val="nil"/>
              <w:right w:val="nil"/>
            </w:tcBorders>
            <w:vAlign w:val="bottom"/>
          </w:tcPr>
          <w:p w:rsidR="00D36156" w:rsidRPr="00F816FC" w:rsidRDefault="00D36156" w:rsidP="00C05E1F">
            <w:pPr>
              <w:jc w:val="center"/>
            </w:pPr>
            <w:r w:rsidRPr="00F816FC">
              <w:t>1.00</w:t>
            </w: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35-50</w:t>
            </w:r>
          </w:p>
        </w:tc>
        <w:tc>
          <w:tcPr>
            <w:tcW w:w="2371" w:type="dxa"/>
            <w:tcBorders>
              <w:top w:val="nil"/>
              <w:left w:val="nil"/>
              <w:bottom w:val="nil"/>
              <w:right w:val="nil"/>
            </w:tcBorders>
            <w:vAlign w:val="bottom"/>
          </w:tcPr>
          <w:p w:rsidR="00D36156" w:rsidRPr="00F816FC" w:rsidRDefault="00D36156" w:rsidP="00C05E1F">
            <w:pPr>
              <w:jc w:val="center"/>
            </w:pPr>
            <w:r w:rsidRPr="00F816FC">
              <w:t>1.36</w:t>
            </w:r>
          </w:p>
        </w:tc>
        <w:tc>
          <w:tcPr>
            <w:tcW w:w="2552" w:type="dxa"/>
            <w:tcBorders>
              <w:top w:val="nil"/>
              <w:left w:val="nil"/>
              <w:bottom w:val="nil"/>
              <w:right w:val="nil"/>
            </w:tcBorders>
            <w:vAlign w:val="bottom"/>
          </w:tcPr>
          <w:p w:rsidR="00D36156" w:rsidRPr="00F816FC" w:rsidRDefault="00D36156" w:rsidP="00C05E1F">
            <w:pPr>
              <w:jc w:val="center"/>
            </w:pPr>
            <w:r w:rsidRPr="00F816FC">
              <w:t>0.75-2.46</w:t>
            </w:r>
          </w:p>
        </w:tc>
        <w:tc>
          <w:tcPr>
            <w:tcW w:w="1417" w:type="dxa"/>
            <w:tcBorders>
              <w:top w:val="nil"/>
              <w:left w:val="nil"/>
              <w:bottom w:val="nil"/>
              <w:right w:val="nil"/>
            </w:tcBorders>
            <w:vAlign w:val="bottom"/>
          </w:tcPr>
          <w:p w:rsidR="00D36156" w:rsidRPr="00F816FC" w:rsidRDefault="00D36156" w:rsidP="00C05E1F">
            <w:pPr>
              <w:jc w:val="center"/>
            </w:pPr>
            <w:r w:rsidRPr="00F816FC">
              <w:t>0.31</w:t>
            </w: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Over 50</w:t>
            </w:r>
          </w:p>
        </w:tc>
        <w:tc>
          <w:tcPr>
            <w:tcW w:w="2371" w:type="dxa"/>
            <w:tcBorders>
              <w:top w:val="nil"/>
              <w:left w:val="nil"/>
              <w:bottom w:val="nil"/>
              <w:right w:val="nil"/>
            </w:tcBorders>
            <w:vAlign w:val="bottom"/>
          </w:tcPr>
          <w:p w:rsidR="00D36156" w:rsidRPr="00F816FC" w:rsidRDefault="00D36156" w:rsidP="00C05E1F">
            <w:pPr>
              <w:jc w:val="center"/>
            </w:pPr>
            <w:r w:rsidRPr="00F816FC">
              <w:t>0.99</w:t>
            </w:r>
          </w:p>
        </w:tc>
        <w:tc>
          <w:tcPr>
            <w:tcW w:w="2552" w:type="dxa"/>
            <w:tcBorders>
              <w:top w:val="nil"/>
              <w:left w:val="nil"/>
              <w:bottom w:val="nil"/>
              <w:right w:val="nil"/>
            </w:tcBorders>
            <w:vAlign w:val="bottom"/>
          </w:tcPr>
          <w:p w:rsidR="00D36156" w:rsidRPr="00F816FC" w:rsidRDefault="00D36156" w:rsidP="00C05E1F">
            <w:pPr>
              <w:jc w:val="center"/>
            </w:pPr>
            <w:r w:rsidRPr="00F816FC">
              <w:t>0.51-1.97</w:t>
            </w:r>
          </w:p>
        </w:tc>
        <w:tc>
          <w:tcPr>
            <w:tcW w:w="1417" w:type="dxa"/>
            <w:tcBorders>
              <w:top w:val="nil"/>
              <w:left w:val="nil"/>
              <w:bottom w:val="nil"/>
              <w:right w:val="nil"/>
            </w:tcBorders>
            <w:vAlign w:val="bottom"/>
          </w:tcPr>
          <w:p w:rsidR="00D36156" w:rsidRPr="00F816FC" w:rsidRDefault="00D36156" w:rsidP="00C05E1F">
            <w:pPr>
              <w:jc w:val="center"/>
            </w:pPr>
            <w:r w:rsidRPr="00F816FC">
              <w:t>0.99</w:t>
            </w:r>
          </w:p>
        </w:tc>
      </w:tr>
      <w:tr w:rsidR="00D36156" w:rsidRPr="00F816FC" w:rsidTr="00C05E1F">
        <w:tc>
          <w:tcPr>
            <w:tcW w:w="3407" w:type="dxa"/>
            <w:tcBorders>
              <w:top w:val="nil"/>
              <w:left w:val="nil"/>
              <w:bottom w:val="nil"/>
              <w:right w:val="nil"/>
            </w:tcBorders>
          </w:tcPr>
          <w:p w:rsidR="00D36156" w:rsidRPr="00F816FC" w:rsidRDefault="00D36156" w:rsidP="00C05E1F">
            <w:r w:rsidRPr="00F816FC">
              <w:t>Partner in practice</w:t>
            </w:r>
          </w:p>
        </w:tc>
        <w:tc>
          <w:tcPr>
            <w:tcW w:w="2371" w:type="dxa"/>
            <w:tcBorders>
              <w:top w:val="nil"/>
              <w:left w:val="nil"/>
              <w:bottom w:val="nil"/>
              <w:right w:val="nil"/>
            </w:tcBorders>
            <w:vAlign w:val="bottom"/>
          </w:tcPr>
          <w:p w:rsidR="00D36156" w:rsidRPr="00F816FC" w:rsidRDefault="00D36156" w:rsidP="00C05E1F">
            <w:pPr>
              <w:jc w:val="center"/>
            </w:pP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No</w:t>
            </w:r>
          </w:p>
        </w:tc>
        <w:tc>
          <w:tcPr>
            <w:tcW w:w="2371" w:type="dxa"/>
            <w:tcBorders>
              <w:top w:val="nil"/>
              <w:left w:val="nil"/>
              <w:bottom w:val="nil"/>
              <w:right w:val="nil"/>
            </w:tcBorders>
            <w:vAlign w:val="bottom"/>
          </w:tcPr>
          <w:p w:rsidR="00D36156" w:rsidRPr="00F816FC" w:rsidRDefault="00D36156" w:rsidP="00C05E1F">
            <w:pPr>
              <w:jc w:val="center"/>
            </w:pPr>
            <w:r w:rsidRPr="00F816FC">
              <w:t>1.00</w:t>
            </w: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Yes</w:t>
            </w:r>
          </w:p>
        </w:tc>
        <w:tc>
          <w:tcPr>
            <w:tcW w:w="2371" w:type="dxa"/>
            <w:tcBorders>
              <w:top w:val="nil"/>
              <w:left w:val="nil"/>
              <w:bottom w:val="nil"/>
              <w:right w:val="nil"/>
            </w:tcBorders>
            <w:vAlign w:val="bottom"/>
          </w:tcPr>
          <w:p w:rsidR="00D36156" w:rsidRPr="00F816FC" w:rsidRDefault="00D36156" w:rsidP="00C05E1F">
            <w:pPr>
              <w:jc w:val="center"/>
            </w:pPr>
            <w:r w:rsidRPr="00F816FC">
              <w:t>1.37</w:t>
            </w:r>
          </w:p>
        </w:tc>
        <w:tc>
          <w:tcPr>
            <w:tcW w:w="2552" w:type="dxa"/>
            <w:tcBorders>
              <w:top w:val="nil"/>
              <w:left w:val="nil"/>
              <w:bottom w:val="nil"/>
              <w:right w:val="nil"/>
            </w:tcBorders>
            <w:vAlign w:val="bottom"/>
          </w:tcPr>
          <w:p w:rsidR="00D36156" w:rsidRPr="00F816FC" w:rsidRDefault="00D36156" w:rsidP="00C05E1F">
            <w:pPr>
              <w:jc w:val="center"/>
            </w:pPr>
            <w:r w:rsidRPr="00F816FC">
              <w:t>0.81-2.34</w:t>
            </w:r>
          </w:p>
        </w:tc>
        <w:tc>
          <w:tcPr>
            <w:tcW w:w="1417" w:type="dxa"/>
            <w:tcBorders>
              <w:top w:val="nil"/>
              <w:left w:val="nil"/>
              <w:bottom w:val="nil"/>
              <w:right w:val="nil"/>
            </w:tcBorders>
            <w:vAlign w:val="bottom"/>
          </w:tcPr>
          <w:p w:rsidR="00D36156" w:rsidRPr="00F816FC" w:rsidRDefault="00D36156" w:rsidP="00C05E1F">
            <w:pPr>
              <w:jc w:val="center"/>
            </w:pPr>
            <w:r w:rsidRPr="00F816FC">
              <w:t>0.24</w:t>
            </w:r>
          </w:p>
        </w:tc>
      </w:tr>
      <w:tr w:rsidR="00D36156" w:rsidRPr="00F816FC" w:rsidTr="00C05E1F">
        <w:tc>
          <w:tcPr>
            <w:tcW w:w="3407" w:type="dxa"/>
            <w:tcBorders>
              <w:top w:val="nil"/>
              <w:left w:val="nil"/>
              <w:bottom w:val="nil"/>
              <w:right w:val="nil"/>
            </w:tcBorders>
          </w:tcPr>
          <w:p w:rsidR="00D36156" w:rsidRPr="00F816FC" w:rsidRDefault="00D36156" w:rsidP="00C05E1F">
            <w:r w:rsidRPr="00F816FC">
              <w:t>Works full-time</w:t>
            </w:r>
          </w:p>
        </w:tc>
        <w:tc>
          <w:tcPr>
            <w:tcW w:w="2371" w:type="dxa"/>
            <w:tcBorders>
              <w:top w:val="nil"/>
              <w:left w:val="nil"/>
              <w:bottom w:val="nil"/>
              <w:right w:val="nil"/>
            </w:tcBorders>
            <w:vAlign w:val="bottom"/>
          </w:tcPr>
          <w:p w:rsidR="00D36156" w:rsidRPr="00F816FC" w:rsidRDefault="00D36156" w:rsidP="00C05E1F">
            <w:pPr>
              <w:jc w:val="center"/>
            </w:pP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No</w:t>
            </w:r>
          </w:p>
        </w:tc>
        <w:tc>
          <w:tcPr>
            <w:tcW w:w="2371" w:type="dxa"/>
            <w:tcBorders>
              <w:top w:val="nil"/>
              <w:left w:val="nil"/>
              <w:bottom w:val="nil"/>
              <w:right w:val="nil"/>
            </w:tcBorders>
            <w:vAlign w:val="bottom"/>
          </w:tcPr>
          <w:p w:rsidR="00D36156" w:rsidRPr="00F816FC" w:rsidRDefault="00D36156" w:rsidP="00C05E1F">
            <w:pPr>
              <w:jc w:val="center"/>
            </w:pPr>
            <w:r w:rsidRPr="00F816FC">
              <w:t>1.00</w:t>
            </w: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Yes</w:t>
            </w:r>
          </w:p>
        </w:tc>
        <w:tc>
          <w:tcPr>
            <w:tcW w:w="2371" w:type="dxa"/>
            <w:tcBorders>
              <w:top w:val="nil"/>
              <w:left w:val="nil"/>
              <w:bottom w:val="nil"/>
              <w:right w:val="nil"/>
            </w:tcBorders>
            <w:vAlign w:val="bottom"/>
          </w:tcPr>
          <w:p w:rsidR="00D36156" w:rsidRPr="00F816FC" w:rsidRDefault="00D36156" w:rsidP="00C05E1F">
            <w:pPr>
              <w:jc w:val="center"/>
            </w:pPr>
            <w:r w:rsidRPr="00F816FC">
              <w:t>1.22</w:t>
            </w:r>
          </w:p>
        </w:tc>
        <w:tc>
          <w:tcPr>
            <w:tcW w:w="2552" w:type="dxa"/>
            <w:tcBorders>
              <w:top w:val="nil"/>
              <w:left w:val="nil"/>
              <w:bottom w:val="nil"/>
              <w:right w:val="nil"/>
            </w:tcBorders>
            <w:vAlign w:val="bottom"/>
          </w:tcPr>
          <w:p w:rsidR="00D36156" w:rsidRPr="00F816FC" w:rsidRDefault="00D36156" w:rsidP="00C05E1F">
            <w:pPr>
              <w:jc w:val="center"/>
            </w:pPr>
            <w:r w:rsidRPr="00F816FC">
              <w:t>0.76-1.97</w:t>
            </w:r>
          </w:p>
        </w:tc>
        <w:tc>
          <w:tcPr>
            <w:tcW w:w="1417" w:type="dxa"/>
            <w:tcBorders>
              <w:top w:val="nil"/>
              <w:left w:val="nil"/>
              <w:bottom w:val="nil"/>
              <w:right w:val="nil"/>
            </w:tcBorders>
            <w:vAlign w:val="bottom"/>
          </w:tcPr>
          <w:p w:rsidR="00D36156" w:rsidRPr="00F816FC" w:rsidRDefault="00D36156" w:rsidP="00C05E1F">
            <w:pPr>
              <w:jc w:val="center"/>
            </w:pPr>
            <w:r w:rsidRPr="00F816FC">
              <w:t>0.40</w:t>
            </w:r>
          </w:p>
        </w:tc>
      </w:tr>
      <w:tr w:rsidR="00D36156" w:rsidRPr="00F816FC" w:rsidTr="00C05E1F">
        <w:tc>
          <w:tcPr>
            <w:tcW w:w="3407" w:type="dxa"/>
            <w:tcBorders>
              <w:top w:val="nil"/>
              <w:left w:val="nil"/>
              <w:bottom w:val="nil"/>
              <w:right w:val="nil"/>
            </w:tcBorders>
          </w:tcPr>
          <w:p w:rsidR="00D36156" w:rsidRPr="00F816FC" w:rsidRDefault="00D36156" w:rsidP="00C05E1F">
            <w:pPr>
              <w:rPr>
                <w:b/>
              </w:rPr>
            </w:pPr>
            <w:r w:rsidRPr="00F816FC">
              <w:rPr>
                <w:b/>
              </w:rPr>
              <w:t>GP and patient gender</w:t>
            </w:r>
          </w:p>
        </w:tc>
        <w:tc>
          <w:tcPr>
            <w:tcW w:w="2371" w:type="dxa"/>
            <w:tcBorders>
              <w:top w:val="nil"/>
              <w:left w:val="nil"/>
              <w:bottom w:val="nil"/>
              <w:right w:val="nil"/>
            </w:tcBorders>
            <w:vAlign w:val="bottom"/>
          </w:tcPr>
          <w:p w:rsidR="00D36156" w:rsidRPr="00F816FC" w:rsidRDefault="00D36156" w:rsidP="00C05E1F">
            <w:pPr>
              <w:jc w:val="center"/>
            </w:pP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Male GP-male patient</w:t>
            </w:r>
          </w:p>
        </w:tc>
        <w:tc>
          <w:tcPr>
            <w:tcW w:w="2371" w:type="dxa"/>
            <w:tcBorders>
              <w:top w:val="nil"/>
              <w:left w:val="nil"/>
              <w:bottom w:val="nil"/>
              <w:right w:val="nil"/>
            </w:tcBorders>
            <w:vAlign w:val="bottom"/>
          </w:tcPr>
          <w:p w:rsidR="00D36156" w:rsidRPr="00F816FC" w:rsidRDefault="00D36156" w:rsidP="00C05E1F">
            <w:pPr>
              <w:jc w:val="center"/>
            </w:pPr>
            <w:r w:rsidRPr="00F816FC">
              <w:t>1.00</w:t>
            </w:r>
          </w:p>
        </w:tc>
        <w:tc>
          <w:tcPr>
            <w:tcW w:w="2552" w:type="dxa"/>
            <w:tcBorders>
              <w:top w:val="nil"/>
              <w:left w:val="nil"/>
              <w:bottom w:val="nil"/>
              <w:right w:val="nil"/>
            </w:tcBorders>
            <w:vAlign w:val="bottom"/>
          </w:tcPr>
          <w:p w:rsidR="00D36156" w:rsidRPr="00F816FC" w:rsidRDefault="00D36156" w:rsidP="00C05E1F">
            <w:pPr>
              <w:jc w:val="center"/>
            </w:pPr>
          </w:p>
        </w:tc>
        <w:tc>
          <w:tcPr>
            <w:tcW w:w="1417" w:type="dxa"/>
            <w:tcBorders>
              <w:top w:val="nil"/>
              <w:left w:val="nil"/>
              <w:bottom w:val="nil"/>
              <w:right w:val="nil"/>
            </w:tcBorders>
            <w:vAlign w:val="bottom"/>
          </w:tcPr>
          <w:p w:rsidR="00D36156" w:rsidRPr="00F816FC" w:rsidRDefault="00D36156" w:rsidP="00C05E1F">
            <w:pPr>
              <w:jc w:val="center"/>
            </w:pP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Male GP-female patient</w:t>
            </w:r>
          </w:p>
        </w:tc>
        <w:tc>
          <w:tcPr>
            <w:tcW w:w="2371" w:type="dxa"/>
            <w:tcBorders>
              <w:top w:val="nil"/>
              <w:left w:val="nil"/>
              <w:bottom w:val="nil"/>
              <w:right w:val="nil"/>
            </w:tcBorders>
            <w:vAlign w:val="bottom"/>
          </w:tcPr>
          <w:p w:rsidR="00D36156" w:rsidRPr="00F816FC" w:rsidRDefault="00D36156" w:rsidP="00C05E1F">
            <w:pPr>
              <w:jc w:val="center"/>
            </w:pPr>
            <w:r w:rsidRPr="00F816FC">
              <w:t>0.93</w:t>
            </w:r>
          </w:p>
        </w:tc>
        <w:tc>
          <w:tcPr>
            <w:tcW w:w="2552" w:type="dxa"/>
            <w:tcBorders>
              <w:top w:val="nil"/>
              <w:left w:val="nil"/>
              <w:bottom w:val="nil"/>
              <w:right w:val="nil"/>
            </w:tcBorders>
            <w:vAlign w:val="bottom"/>
          </w:tcPr>
          <w:p w:rsidR="00D36156" w:rsidRPr="00F816FC" w:rsidRDefault="00D36156" w:rsidP="00C05E1F">
            <w:pPr>
              <w:jc w:val="center"/>
            </w:pPr>
            <w:r w:rsidRPr="00F816FC">
              <w:t>0.66-1.31</w:t>
            </w:r>
          </w:p>
        </w:tc>
        <w:tc>
          <w:tcPr>
            <w:tcW w:w="1417" w:type="dxa"/>
            <w:tcBorders>
              <w:top w:val="nil"/>
              <w:left w:val="nil"/>
              <w:bottom w:val="nil"/>
              <w:right w:val="nil"/>
            </w:tcBorders>
            <w:vAlign w:val="bottom"/>
          </w:tcPr>
          <w:p w:rsidR="00D36156" w:rsidRPr="00F816FC" w:rsidRDefault="00D36156" w:rsidP="00C05E1F">
            <w:pPr>
              <w:jc w:val="center"/>
            </w:pPr>
            <w:r w:rsidRPr="00F816FC">
              <w:t>0.66</w:t>
            </w:r>
          </w:p>
        </w:tc>
      </w:tr>
      <w:tr w:rsidR="00D36156" w:rsidRPr="00F816FC" w:rsidTr="00C05E1F">
        <w:tc>
          <w:tcPr>
            <w:tcW w:w="3407" w:type="dxa"/>
            <w:tcBorders>
              <w:top w:val="nil"/>
              <w:left w:val="nil"/>
              <w:bottom w:val="nil"/>
              <w:right w:val="nil"/>
            </w:tcBorders>
          </w:tcPr>
          <w:p w:rsidR="00D36156" w:rsidRPr="00F816FC" w:rsidRDefault="00D36156" w:rsidP="00C05E1F">
            <w:pPr>
              <w:rPr>
                <w:i/>
              </w:rPr>
            </w:pPr>
            <w:r w:rsidRPr="00F816FC">
              <w:rPr>
                <w:i/>
              </w:rPr>
              <w:t>Female GP-male patient</w:t>
            </w:r>
          </w:p>
        </w:tc>
        <w:tc>
          <w:tcPr>
            <w:tcW w:w="2371" w:type="dxa"/>
            <w:tcBorders>
              <w:top w:val="nil"/>
              <w:left w:val="nil"/>
              <w:bottom w:val="nil"/>
              <w:right w:val="nil"/>
            </w:tcBorders>
            <w:vAlign w:val="bottom"/>
          </w:tcPr>
          <w:p w:rsidR="00D36156" w:rsidRPr="00F816FC" w:rsidRDefault="00D36156" w:rsidP="00C05E1F">
            <w:pPr>
              <w:jc w:val="center"/>
            </w:pPr>
            <w:r w:rsidRPr="00F816FC">
              <w:t>0.63</w:t>
            </w:r>
          </w:p>
        </w:tc>
        <w:tc>
          <w:tcPr>
            <w:tcW w:w="2552" w:type="dxa"/>
            <w:tcBorders>
              <w:top w:val="nil"/>
              <w:left w:val="nil"/>
              <w:bottom w:val="nil"/>
              <w:right w:val="nil"/>
            </w:tcBorders>
            <w:vAlign w:val="bottom"/>
          </w:tcPr>
          <w:p w:rsidR="00D36156" w:rsidRPr="00F816FC" w:rsidRDefault="00D36156" w:rsidP="00C05E1F">
            <w:pPr>
              <w:jc w:val="center"/>
            </w:pPr>
            <w:r w:rsidRPr="00F816FC">
              <w:t>0.36-1.09</w:t>
            </w:r>
          </w:p>
        </w:tc>
        <w:tc>
          <w:tcPr>
            <w:tcW w:w="1417" w:type="dxa"/>
            <w:tcBorders>
              <w:top w:val="nil"/>
              <w:left w:val="nil"/>
              <w:bottom w:val="nil"/>
              <w:right w:val="nil"/>
            </w:tcBorders>
            <w:vAlign w:val="bottom"/>
          </w:tcPr>
          <w:p w:rsidR="00D36156" w:rsidRPr="00F816FC" w:rsidRDefault="00D36156" w:rsidP="00C05E1F">
            <w:pPr>
              <w:jc w:val="center"/>
            </w:pPr>
            <w:r w:rsidRPr="00F816FC">
              <w:t>0.09</w:t>
            </w:r>
          </w:p>
        </w:tc>
      </w:tr>
      <w:tr w:rsidR="00D36156" w:rsidRPr="00F816FC" w:rsidTr="00C05E1F">
        <w:tc>
          <w:tcPr>
            <w:tcW w:w="3407" w:type="dxa"/>
            <w:tcBorders>
              <w:top w:val="nil"/>
              <w:left w:val="nil"/>
              <w:right w:val="nil"/>
            </w:tcBorders>
          </w:tcPr>
          <w:p w:rsidR="00D36156" w:rsidRPr="00F816FC" w:rsidRDefault="00D36156" w:rsidP="00C05E1F">
            <w:pPr>
              <w:rPr>
                <w:i/>
              </w:rPr>
            </w:pPr>
            <w:r w:rsidRPr="00F816FC">
              <w:rPr>
                <w:i/>
              </w:rPr>
              <w:t>Female GP-female patient</w:t>
            </w:r>
          </w:p>
        </w:tc>
        <w:tc>
          <w:tcPr>
            <w:tcW w:w="2371" w:type="dxa"/>
            <w:tcBorders>
              <w:top w:val="nil"/>
              <w:left w:val="nil"/>
              <w:right w:val="nil"/>
            </w:tcBorders>
            <w:vAlign w:val="bottom"/>
          </w:tcPr>
          <w:p w:rsidR="00D36156" w:rsidRPr="00F816FC" w:rsidRDefault="00D36156" w:rsidP="00C05E1F">
            <w:pPr>
              <w:jc w:val="center"/>
            </w:pPr>
            <w:r w:rsidRPr="00F816FC">
              <w:t>0.52</w:t>
            </w:r>
          </w:p>
        </w:tc>
        <w:tc>
          <w:tcPr>
            <w:tcW w:w="2552" w:type="dxa"/>
            <w:tcBorders>
              <w:top w:val="nil"/>
              <w:left w:val="nil"/>
              <w:right w:val="nil"/>
            </w:tcBorders>
            <w:vAlign w:val="bottom"/>
          </w:tcPr>
          <w:p w:rsidR="00D36156" w:rsidRPr="00F816FC" w:rsidRDefault="00D36156" w:rsidP="00C05E1F">
            <w:pPr>
              <w:jc w:val="center"/>
            </w:pPr>
            <w:r w:rsidRPr="00F816FC">
              <w:t>0.31-0.86</w:t>
            </w:r>
          </w:p>
        </w:tc>
        <w:tc>
          <w:tcPr>
            <w:tcW w:w="1417" w:type="dxa"/>
            <w:tcBorders>
              <w:top w:val="nil"/>
              <w:left w:val="nil"/>
              <w:right w:val="nil"/>
            </w:tcBorders>
            <w:vAlign w:val="bottom"/>
          </w:tcPr>
          <w:p w:rsidR="00D36156" w:rsidRPr="00F816FC" w:rsidRDefault="00D36156" w:rsidP="00C05E1F">
            <w:pPr>
              <w:jc w:val="center"/>
            </w:pPr>
            <w:r w:rsidRPr="00F816FC">
              <w:t>0.01</w:t>
            </w:r>
          </w:p>
        </w:tc>
      </w:tr>
    </w:tbl>
    <w:p w:rsidR="00D36156" w:rsidRPr="00F816FC" w:rsidRDefault="00D36156" w:rsidP="00D36156"/>
    <w:p w:rsidR="00D36156" w:rsidRDefault="00D36156" w:rsidP="00D36156">
      <w:r w:rsidRPr="00F816FC">
        <w:t>Random-intercept logistic regression model: Levels (i) fit note (ii) patient (iii) GP (iv) general practice</w:t>
      </w:r>
    </w:p>
    <w:p w:rsidR="00D36156" w:rsidRDefault="00D36156" w:rsidP="00892925">
      <w:pPr>
        <w:spacing w:line="360" w:lineRule="auto"/>
        <w:rPr>
          <w:color w:val="FF0000"/>
        </w:rPr>
      </w:pPr>
    </w:p>
    <w:p w:rsidR="00D36156" w:rsidRPr="00F816FC" w:rsidRDefault="00D36156" w:rsidP="00892925">
      <w:pPr>
        <w:spacing w:line="360" w:lineRule="auto"/>
        <w:rPr>
          <w:color w:val="FF0000"/>
        </w:rPr>
      </w:pPr>
    </w:p>
    <w:p w:rsidR="008034F2" w:rsidRPr="00F816FC" w:rsidRDefault="008034F2" w:rsidP="00892925">
      <w:pPr>
        <w:spacing w:line="360" w:lineRule="auto"/>
        <w:rPr>
          <w:b/>
          <w:sz w:val="28"/>
          <w:szCs w:val="28"/>
        </w:rPr>
      </w:pPr>
      <w:r w:rsidRPr="00F816FC">
        <w:rPr>
          <w:b/>
          <w:sz w:val="28"/>
          <w:szCs w:val="28"/>
        </w:rPr>
        <w:t>Discussion</w:t>
      </w:r>
    </w:p>
    <w:p w:rsidR="008034F2" w:rsidRPr="00F816FC" w:rsidRDefault="008034F2" w:rsidP="00892925">
      <w:pPr>
        <w:spacing w:line="360" w:lineRule="auto"/>
        <w:rPr>
          <w:i/>
        </w:rPr>
      </w:pPr>
      <w:r w:rsidRPr="00F816FC">
        <w:rPr>
          <w:i/>
        </w:rPr>
        <w:t>Summary of findings</w:t>
      </w:r>
    </w:p>
    <w:p w:rsidR="008F632F" w:rsidRPr="00F816FC" w:rsidRDefault="007360B2" w:rsidP="00892925">
      <w:pPr>
        <w:spacing w:line="360" w:lineRule="auto"/>
      </w:pPr>
      <w:r w:rsidRPr="00F816FC">
        <w:t xml:space="preserve">Over 35% of fit notes issued for depression (alone) </w:t>
      </w:r>
      <w:r w:rsidR="008F632F" w:rsidRPr="00F816FC">
        <w:t xml:space="preserve">were classed as long-term (over four weeks in duration). </w:t>
      </w:r>
      <w:r w:rsidRPr="00F816FC">
        <w:t>A higher proportion of long-te</w:t>
      </w:r>
      <w:r w:rsidR="008F632F" w:rsidRPr="00F816FC">
        <w:t>rm fit notes for depression was</w:t>
      </w:r>
      <w:r w:rsidRPr="00F816FC">
        <w:t xml:space="preserve"> found when the patient had received previous depression notes, </w:t>
      </w:r>
      <w:r w:rsidR="008F632F" w:rsidRPr="00F816FC">
        <w:t>was older, living in a socially deprived area, the general practice was larger, the location was urban, the practice patient population was deprived, the certifying GP was male, aged 35-50 and was full-time. Significantly lower proportions of long-term notes were found when the patient had received a prior note for another mental or physical health problem or the depression fit note included GP advice that the patient ‘may be fit’ to return to work.</w:t>
      </w:r>
    </w:p>
    <w:p w:rsidR="005273EE" w:rsidRPr="00F816FC" w:rsidRDefault="008F632F" w:rsidP="00892925">
      <w:pPr>
        <w:spacing w:line="360" w:lineRule="auto"/>
      </w:pPr>
      <w:r w:rsidRPr="00F816FC">
        <w:t>However</w:t>
      </w:r>
      <w:r w:rsidR="00515C1E" w:rsidRPr="00F816FC">
        <w:t>,</w:t>
      </w:r>
      <w:r w:rsidRPr="00F816FC">
        <w:t xml:space="preserve"> only a limited number of</w:t>
      </w:r>
      <w:r w:rsidR="00EC575A" w:rsidRPr="00F816FC">
        <w:t xml:space="preserve"> the</w:t>
      </w:r>
      <w:r w:rsidR="00515C1E" w:rsidRPr="00F816FC">
        <w:t xml:space="preserve"> measured variables were</w:t>
      </w:r>
      <w:r w:rsidR="00EC575A" w:rsidRPr="00F816FC">
        <w:t xml:space="preserve"> independently associat</w:t>
      </w:r>
      <w:r w:rsidR="00515C1E" w:rsidRPr="00F816FC">
        <w:t>ed with a higher risk of a long-term fit note outcome</w:t>
      </w:r>
      <w:r w:rsidR="00EC575A" w:rsidRPr="00F816FC">
        <w:t>.</w:t>
      </w:r>
      <w:r w:rsidR="00DA3F29" w:rsidRPr="00F816FC">
        <w:t xml:space="preserve"> Having previous fit notes for depression, not having ‘may be fit’ advice on the fit note, older patient age, the patient livi</w:t>
      </w:r>
      <w:r w:rsidR="00621BC5" w:rsidRPr="00F816FC">
        <w:t xml:space="preserve">ng in a deprived neighbourhood </w:t>
      </w:r>
      <w:r w:rsidR="006823F4" w:rsidRPr="00F816FC">
        <w:t>and</w:t>
      </w:r>
      <w:r w:rsidR="00DA3F29" w:rsidRPr="00F816FC">
        <w:t xml:space="preserve"> a higher practice deprivation status were all significant predictors of a long-term fit note. Depression fit notes issued by female GPs to female patients were less likely to be long-term.</w:t>
      </w:r>
      <w:r w:rsidR="004E47DD" w:rsidRPr="00F816FC">
        <w:t xml:space="preserve"> Other GP factors were not significant predictors of a long-term depression note.</w:t>
      </w:r>
    </w:p>
    <w:p w:rsidR="00FE66C5" w:rsidRPr="00F816FC" w:rsidRDefault="000567EC" w:rsidP="00892925">
      <w:pPr>
        <w:spacing w:line="360" w:lineRule="auto"/>
        <w:rPr>
          <w:i/>
        </w:rPr>
      </w:pPr>
      <w:r w:rsidRPr="00F816FC">
        <w:rPr>
          <w:i/>
        </w:rPr>
        <w:t>Strengths and l</w:t>
      </w:r>
      <w:r w:rsidR="00FE66C5" w:rsidRPr="00F816FC">
        <w:rPr>
          <w:i/>
        </w:rPr>
        <w:t>imitations</w:t>
      </w:r>
    </w:p>
    <w:p w:rsidR="000567EC" w:rsidRPr="00F816FC" w:rsidRDefault="000567EC" w:rsidP="00892925">
      <w:pPr>
        <w:spacing w:line="360" w:lineRule="auto"/>
      </w:pPr>
      <w:r w:rsidRPr="00F816FC">
        <w:lastRenderedPageBreak/>
        <w:t xml:space="preserve">The study had the benefit of being able to access data from the most comprehensive collection of sickness certification in the UK to data. The general practices collecting the fit note data were recruited from different regions of the country, and were representative in terms of location, size and social deprivation of their catchment populations. The main limitation of the study was the lack of access to </w:t>
      </w:r>
      <w:r w:rsidR="00890EE1" w:rsidRPr="00F816FC">
        <w:t>sources of information to support that found on the fit note itself. In particular, we were limited to patient information that is routinely recorded in general practices in the UK. Other patient data, such as that relating to employment a</w:t>
      </w:r>
      <w:r w:rsidR="00280918" w:rsidRPr="00F816FC">
        <w:t>nd occupation, would have increas</w:t>
      </w:r>
      <w:r w:rsidR="00890EE1" w:rsidRPr="00F816FC">
        <w:t>ed the robustness of analytical models. Unfortunately, occupational information is not routinely recorded in the patient record, even when the patient is a long-term sickness absentee.</w:t>
      </w:r>
      <w:r w:rsidR="00C636B1" w:rsidRPr="00F816FC">
        <w:t xml:space="preserve"> In fact, t</w:t>
      </w:r>
      <w:r w:rsidR="00700091" w:rsidRPr="00F816FC">
        <w:t>his is a limitation of all UK research in this substantive area</w:t>
      </w:r>
      <w:r w:rsidR="00C636B1" w:rsidRPr="00F816FC">
        <w:t>. Sickness certification researchers in other European countries have the advantage of access to large comprehensive social insurance systems (</w:t>
      </w:r>
      <w:r w:rsidR="00C636B1" w:rsidRPr="00F816FC">
        <w:rPr>
          <w:rFonts w:ascii="Arial" w:hAnsi="Arial" w:cs="Arial"/>
          <w:sz w:val="20"/>
          <w:szCs w:val="20"/>
        </w:rPr>
        <w:t>such as MiDAS in Sweden and NAV in Norway).</w:t>
      </w:r>
    </w:p>
    <w:p w:rsidR="008041E5" w:rsidRPr="00F816FC" w:rsidRDefault="00280918" w:rsidP="00892925">
      <w:pPr>
        <w:spacing w:line="360" w:lineRule="auto"/>
        <w:rPr>
          <w:i/>
        </w:rPr>
      </w:pPr>
      <w:r w:rsidRPr="00F816FC">
        <w:rPr>
          <w:i/>
        </w:rPr>
        <w:t>Relation to previous research</w:t>
      </w:r>
    </w:p>
    <w:p w:rsidR="0083299E" w:rsidRPr="00F816FC" w:rsidRDefault="008041E5" w:rsidP="00892925">
      <w:pPr>
        <w:spacing w:line="360" w:lineRule="auto"/>
      </w:pPr>
      <w:r w:rsidRPr="00F816FC">
        <w:t>The majority of studies investigating the association between common mental disorders and long-term sickness certification have focused on depression (even though other diagnoses, such as anxiety, may have similar negative implication</w:t>
      </w:r>
      <w:r w:rsidR="005E5A89" w:rsidRPr="00F816FC">
        <w:t>s</w:t>
      </w:r>
      <w:r w:rsidR="00B65AB7" w:rsidRPr="00F816FC">
        <w:t xml:space="preserve"> for work capacity)</w:t>
      </w:r>
      <w:r w:rsidR="00ED31F1" w:rsidRPr="00F816FC">
        <w:t xml:space="preserve"> </w:t>
      </w:r>
      <w:r w:rsidR="009E368E" w:rsidRPr="00F816FC">
        <w:rPr>
          <w:color w:val="365F91" w:themeColor="accent1" w:themeShade="BF"/>
        </w:rPr>
        <w:t>(</w:t>
      </w:r>
      <w:r w:rsidR="00621BC5" w:rsidRPr="00F816FC">
        <w:rPr>
          <w:color w:val="365F91" w:themeColor="accent1" w:themeShade="BF"/>
        </w:rPr>
        <w:t xml:space="preserve">Knudsen </w:t>
      </w:r>
      <w:r w:rsidR="00621BC5" w:rsidRPr="00F816FC">
        <w:rPr>
          <w:i/>
          <w:color w:val="365F91" w:themeColor="accent1" w:themeShade="BF"/>
        </w:rPr>
        <w:t>et al</w:t>
      </w:r>
      <w:r w:rsidR="00621BC5" w:rsidRPr="00F816FC">
        <w:rPr>
          <w:color w:val="365F91" w:themeColor="accent1" w:themeShade="BF"/>
        </w:rPr>
        <w:t>., 2013</w:t>
      </w:r>
      <w:r w:rsidR="009E368E" w:rsidRPr="00F816FC">
        <w:rPr>
          <w:color w:val="365F91" w:themeColor="accent1" w:themeShade="BF"/>
        </w:rPr>
        <w:t>)</w:t>
      </w:r>
      <w:r w:rsidRPr="00F816FC">
        <w:t>.</w:t>
      </w:r>
      <w:r w:rsidR="006159C1" w:rsidRPr="00F816FC">
        <w:t xml:space="preserve"> </w:t>
      </w:r>
      <w:r w:rsidR="0083299E" w:rsidRPr="00F816FC">
        <w:t>Fit notes issued for depression, while less prevalent than certificates issued for some other common mental disorders, have been reported to be relatively l</w:t>
      </w:r>
      <w:r w:rsidR="00B65AB7" w:rsidRPr="00F816FC">
        <w:t>onger in duration</w:t>
      </w:r>
      <w:r w:rsidR="00ED31F1" w:rsidRPr="00F816FC">
        <w:t xml:space="preserve"> </w:t>
      </w:r>
      <w:r w:rsidR="009E368E" w:rsidRPr="00F816FC">
        <w:rPr>
          <w:color w:val="365F91" w:themeColor="accent1" w:themeShade="BF"/>
        </w:rPr>
        <w:t>(</w:t>
      </w:r>
      <w:r w:rsidR="00621BC5" w:rsidRPr="00F816FC">
        <w:rPr>
          <w:color w:val="365F91" w:themeColor="accent1" w:themeShade="BF"/>
        </w:rPr>
        <w:t xml:space="preserve">Shiels </w:t>
      </w:r>
      <w:r w:rsidR="00621BC5" w:rsidRPr="00F816FC">
        <w:rPr>
          <w:i/>
          <w:color w:val="365F91" w:themeColor="accent1" w:themeShade="BF"/>
        </w:rPr>
        <w:t>et al</w:t>
      </w:r>
      <w:r w:rsidR="00621BC5" w:rsidRPr="00F816FC">
        <w:rPr>
          <w:color w:val="365F91" w:themeColor="accent1" w:themeShade="BF"/>
        </w:rPr>
        <w:t>., 2013</w:t>
      </w:r>
      <w:r w:rsidR="009E368E" w:rsidRPr="00F816FC">
        <w:rPr>
          <w:color w:val="365F91" w:themeColor="accent1" w:themeShade="BF"/>
        </w:rPr>
        <w:t>)</w:t>
      </w:r>
      <w:r w:rsidR="0083299E" w:rsidRPr="00F816FC">
        <w:t>.</w:t>
      </w:r>
      <w:r w:rsidR="006159C1" w:rsidRPr="00F816FC">
        <w:t xml:space="preserve"> </w:t>
      </w:r>
      <w:r w:rsidR="0083299E" w:rsidRPr="00F816FC">
        <w:t>In fact, it has been argued that the burden of depression, in relation to work incapacity, ma</w:t>
      </w:r>
      <w:r w:rsidR="00B65AB7" w:rsidRPr="00F816FC">
        <w:t>y have been underestimated</w:t>
      </w:r>
      <w:r w:rsidR="00ED31F1" w:rsidRPr="00F816FC">
        <w:t xml:space="preserve"> </w:t>
      </w:r>
      <w:r w:rsidR="009E368E" w:rsidRPr="00F816FC">
        <w:rPr>
          <w:color w:val="365F91" w:themeColor="accent1" w:themeShade="BF"/>
        </w:rPr>
        <w:t>(</w:t>
      </w:r>
      <w:r w:rsidR="00621BC5" w:rsidRPr="00F816FC">
        <w:rPr>
          <w:color w:val="365F91" w:themeColor="accent1" w:themeShade="BF"/>
        </w:rPr>
        <w:t>Soegaard, 2012</w:t>
      </w:r>
      <w:r w:rsidR="009E368E" w:rsidRPr="00F816FC">
        <w:rPr>
          <w:color w:val="365F91" w:themeColor="accent1" w:themeShade="BF"/>
        </w:rPr>
        <w:t>)</w:t>
      </w:r>
      <w:r w:rsidR="0083299E" w:rsidRPr="00F816FC">
        <w:t>.</w:t>
      </w:r>
      <w:r w:rsidR="006159C1" w:rsidRPr="00F816FC">
        <w:t xml:space="preserve"> </w:t>
      </w:r>
      <w:r w:rsidR="0083299E" w:rsidRPr="00F816FC">
        <w:t>For instance, it has been reported that up to a third of patients reporting with chronic pain symptoms may have a diagnosis of depressio</w:t>
      </w:r>
      <w:r w:rsidR="00B65AB7" w:rsidRPr="00F816FC">
        <w:t>n</w:t>
      </w:r>
      <w:r w:rsidR="00ED31F1" w:rsidRPr="00F816FC">
        <w:t xml:space="preserve"> </w:t>
      </w:r>
      <w:r w:rsidR="009E368E" w:rsidRPr="00F816FC">
        <w:rPr>
          <w:color w:val="365F91" w:themeColor="accent1" w:themeShade="BF"/>
        </w:rPr>
        <w:t>(</w:t>
      </w:r>
      <w:r w:rsidR="00621BC5" w:rsidRPr="00F816FC">
        <w:rPr>
          <w:color w:val="365F91" w:themeColor="accent1" w:themeShade="BF"/>
        </w:rPr>
        <w:t xml:space="preserve">Breivik </w:t>
      </w:r>
      <w:r w:rsidR="00621BC5" w:rsidRPr="00F816FC">
        <w:rPr>
          <w:i/>
          <w:color w:val="365F91" w:themeColor="accent1" w:themeShade="BF"/>
        </w:rPr>
        <w:t>et al</w:t>
      </w:r>
      <w:r w:rsidR="00621BC5" w:rsidRPr="00F816FC">
        <w:rPr>
          <w:color w:val="365F91" w:themeColor="accent1" w:themeShade="BF"/>
        </w:rPr>
        <w:t xml:space="preserve">., </w:t>
      </w:r>
      <w:r w:rsidR="009A0B51" w:rsidRPr="00F816FC">
        <w:rPr>
          <w:color w:val="365F91" w:themeColor="accent1" w:themeShade="BF"/>
        </w:rPr>
        <w:t>2006</w:t>
      </w:r>
      <w:r w:rsidR="009E368E" w:rsidRPr="00F816FC">
        <w:rPr>
          <w:color w:val="365F91" w:themeColor="accent1" w:themeShade="BF"/>
        </w:rPr>
        <w:t>)</w:t>
      </w:r>
      <w:r w:rsidR="001713DB" w:rsidRPr="00F816FC">
        <w:rPr>
          <w:color w:val="365F91" w:themeColor="accent1" w:themeShade="BF"/>
        </w:rPr>
        <w:t xml:space="preserve">. </w:t>
      </w:r>
      <w:r w:rsidR="001713DB" w:rsidRPr="00F816FC">
        <w:t xml:space="preserve">Other studies have reported that when the </w:t>
      </w:r>
      <w:r w:rsidR="00833F94" w:rsidRPr="00F816FC">
        <w:t>cause of pain is not known</w:t>
      </w:r>
      <w:r w:rsidR="001713DB" w:rsidRPr="00F816FC">
        <w:t xml:space="preserve">, the prevalence of unrecognized mental disorders may be as high as 80% </w:t>
      </w:r>
      <w:r w:rsidR="001713DB" w:rsidRPr="00F816FC">
        <w:rPr>
          <w:color w:val="365F91" w:themeColor="accent1" w:themeShade="BF"/>
        </w:rPr>
        <w:t>(</w:t>
      </w:r>
      <w:r w:rsidR="00833F94" w:rsidRPr="00F816FC">
        <w:rPr>
          <w:color w:val="365F91" w:themeColor="accent1" w:themeShade="BF"/>
        </w:rPr>
        <w:t xml:space="preserve">Kroenke </w:t>
      </w:r>
      <w:r w:rsidR="00833F94" w:rsidRPr="00F816FC">
        <w:rPr>
          <w:i/>
          <w:color w:val="365F91" w:themeColor="accent1" w:themeShade="BF"/>
        </w:rPr>
        <w:t>et al</w:t>
      </w:r>
      <w:r w:rsidR="00833F94" w:rsidRPr="00F816FC">
        <w:rPr>
          <w:color w:val="365F91" w:themeColor="accent1" w:themeShade="BF"/>
        </w:rPr>
        <w:t xml:space="preserve">., 2011; </w:t>
      </w:r>
      <w:r w:rsidR="00833F94" w:rsidRPr="00F816FC">
        <w:rPr>
          <w:rFonts w:eastAsia="Times New Roman" w:cstheme="minorHAnsi"/>
          <w:color w:val="365F91" w:themeColor="accent1" w:themeShade="BF"/>
          <w:lang w:eastAsia="en-GB"/>
        </w:rPr>
        <w:t>Ohayon &amp; Schatzberg, 2010</w:t>
      </w:r>
      <w:r w:rsidR="00833F94" w:rsidRPr="00F816FC">
        <w:rPr>
          <w:color w:val="365F91" w:themeColor="accent1" w:themeShade="BF"/>
        </w:rPr>
        <w:t>)</w:t>
      </w:r>
      <w:r w:rsidR="0083299E" w:rsidRPr="00F816FC">
        <w:t>.</w:t>
      </w:r>
      <w:r w:rsidR="006159C1" w:rsidRPr="00F816FC">
        <w:t xml:space="preserve"> </w:t>
      </w:r>
      <w:r w:rsidR="0083299E" w:rsidRPr="00F816FC">
        <w:t>Previous sickness certificates issued for depression increase the likelihood of further episodes. Patients with depression have one of the highest rates of recurrence</w:t>
      </w:r>
      <w:r w:rsidRPr="00F816FC">
        <w:t xml:space="preserve"> of a longer episode of certi</w:t>
      </w:r>
      <w:r w:rsidR="00B65AB7" w:rsidRPr="00F816FC">
        <w:t>fied sickness absence</w:t>
      </w:r>
      <w:r w:rsidR="00ED31F1" w:rsidRPr="00F816FC">
        <w:t xml:space="preserve"> </w:t>
      </w:r>
      <w:r w:rsidR="009E368E" w:rsidRPr="00F816FC">
        <w:rPr>
          <w:color w:val="365F91" w:themeColor="accent1" w:themeShade="BF"/>
        </w:rPr>
        <w:t>(</w:t>
      </w:r>
      <w:r w:rsidR="009A0B51" w:rsidRPr="00F816FC">
        <w:rPr>
          <w:color w:val="365F91" w:themeColor="accent1" w:themeShade="BF"/>
        </w:rPr>
        <w:t xml:space="preserve">Koopmans </w:t>
      </w:r>
      <w:r w:rsidR="009A0B51" w:rsidRPr="00F816FC">
        <w:rPr>
          <w:i/>
          <w:color w:val="365F91" w:themeColor="accent1" w:themeShade="BF"/>
        </w:rPr>
        <w:t>et al</w:t>
      </w:r>
      <w:r w:rsidR="009A0B51" w:rsidRPr="00F816FC">
        <w:rPr>
          <w:color w:val="365F91" w:themeColor="accent1" w:themeShade="BF"/>
        </w:rPr>
        <w:t>., 2011</w:t>
      </w:r>
      <w:r w:rsidR="009E368E" w:rsidRPr="00F816FC">
        <w:rPr>
          <w:color w:val="365F91" w:themeColor="accent1" w:themeShade="BF"/>
        </w:rPr>
        <w:t>)</w:t>
      </w:r>
      <w:r w:rsidRPr="00F816FC">
        <w:t>.</w:t>
      </w:r>
    </w:p>
    <w:p w:rsidR="008041E5" w:rsidRPr="00F816FC" w:rsidRDefault="008041E5" w:rsidP="00892925">
      <w:pPr>
        <w:spacing w:line="360" w:lineRule="auto"/>
      </w:pPr>
      <w:r w:rsidRPr="00F816FC">
        <w:t>Since the introduction of a new sickness certificate (fit note) in 2010</w:t>
      </w:r>
      <w:r w:rsidR="00D37193" w:rsidRPr="00F816FC">
        <w:t>,</w:t>
      </w:r>
      <w:r w:rsidRPr="00F816FC">
        <w:t xml:space="preserve"> GPs in the UK have be</w:t>
      </w:r>
      <w:r w:rsidR="00D37193" w:rsidRPr="00F816FC">
        <w:t>en able to include advice that the patient ‘may be fit’ to return to work provided appropriate support has been made available by the employer (such as amending normal work duties). The low prevalence of this type of advice found on depression fit notes appears to reflect the under-utilisation of the ‘may be fit’</w:t>
      </w:r>
      <w:r w:rsidR="005E5A89" w:rsidRPr="00F816FC">
        <w:t xml:space="preserve"> options in general</w:t>
      </w:r>
      <w:r w:rsidR="000E5E1D" w:rsidRPr="00F816FC">
        <w:t>, but particularly</w:t>
      </w:r>
      <w:r w:rsidR="00D37193" w:rsidRPr="00F816FC">
        <w:t xml:space="preserve"> within fit notes issued for mental rather than physical health problems. Fit notes including this type of advice appear to be more ‘transitional’ in nature, with a shorter duration</w:t>
      </w:r>
      <w:r w:rsidR="005E5A89" w:rsidRPr="00F816FC">
        <w:t xml:space="preserve"> than those including no retu</w:t>
      </w:r>
      <w:r w:rsidR="00D47A0E" w:rsidRPr="00F816FC">
        <w:t>rn-to-</w:t>
      </w:r>
      <w:r w:rsidR="0051679F" w:rsidRPr="00F816FC">
        <w:t>work ad</w:t>
      </w:r>
      <w:r w:rsidR="00B65AB7" w:rsidRPr="00F816FC">
        <w:t>vice</w:t>
      </w:r>
      <w:r w:rsidR="00ED31F1" w:rsidRPr="00F816FC">
        <w:t xml:space="preserve"> </w:t>
      </w:r>
      <w:r w:rsidR="009E368E" w:rsidRPr="00F816FC">
        <w:rPr>
          <w:color w:val="365F91" w:themeColor="accent1" w:themeShade="BF"/>
        </w:rPr>
        <w:t>(</w:t>
      </w:r>
      <w:r w:rsidR="009A0B51" w:rsidRPr="00F816FC">
        <w:rPr>
          <w:color w:val="365F91" w:themeColor="accent1" w:themeShade="BF"/>
        </w:rPr>
        <w:t xml:space="preserve">Shiels </w:t>
      </w:r>
      <w:r w:rsidR="009A0B51" w:rsidRPr="00F816FC">
        <w:rPr>
          <w:i/>
          <w:color w:val="365F91" w:themeColor="accent1" w:themeShade="BF"/>
        </w:rPr>
        <w:t>et al</w:t>
      </w:r>
      <w:r w:rsidR="009A0B51" w:rsidRPr="00F816FC">
        <w:rPr>
          <w:color w:val="365F91" w:themeColor="accent1" w:themeShade="BF"/>
        </w:rPr>
        <w:t>., 2013</w:t>
      </w:r>
      <w:r w:rsidR="009E368E" w:rsidRPr="00F816FC">
        <w:rPr>
          <w:color w:val="365F91" w:themeColor="accent1" w:themeShade="BF"/>
        </w:rPr>
        <w:t>)</w:t>
      </w:r>
      <w:r w:rsidR="005E5A89" w:rsidRPr="00F816FC">
        <w:t>.</w:t>
      </w:r>
    </w:p>
    <w:p w:rsidR="005450C3" w:rsidRPr="00F816FC" w:rsidRDefault="005E5A89" w:rsidP="00892925">
      <w:pPr>
        <w:spacing w:line="360" w:lineRule="auto"/>
      </w:pPr>
      <w:r w:rsidRPr="00F816FC">
        <w:lastRenderedPageBreak/>
        <w:t>Previous studies that have included patient socio-demographic characteristics</w:t>
      </w:r>
      <w:r w:rsidR="009A0B51" w:rsidRPr="00F816FC">
        <w:t xml:space="preserve"> as potential </w:t>
      </w:r>
      <w:r w:rsidR="0051679F" w:rsidRPr="00F816FC">
        <w:t xml:space="preserve">predictors </w:t>
      </w:r>
      <w:r w:rsidRPr="00F816FC">
        <w:t>of long-term sickness absence for mental disorders have reported conflicting findings</w:t>
      </w:r>
      <w:r w:rsidR="00ED31F1" w:rsidRPr="00F816FC">
        <w:t xml:space="preserve"> </w:t>
      </w:r>
      <w:r w:rsidR="009E368E" w:rsidRPr="00F816FC">
        <w:rPr>
          <w:color w:val="365F91" w:themeColor="accent1" w:themeShade="BF"/>
        </w:rPr>
        <w:t>(</w:t>
      </w:r>
      <w:r w:rsidR="009A0B51" w:rsidRPr="00F816FC">
        <w:rPr>
          <w:color w:val="365F91" w:themeColor="accent1" w:themeShade="BF"/>
        </w:rPr>
        <w:t xml:space="preserve">Nielsen </w:t>
      </w:r>
      <w:r w:rsidR="009A0B51" w:rsidRPr="00F816FC">
        <w:rPr>
          <w:i/>
          <w:color w:val="365F91" w:themeColor="accent1" w:themeShade="BF"/>
        </w:rPr>
        <w:t>et al</w:t>
      </w:r>
      <w:r w:rsidR="009A0B51" w:rsidRPr="00F816FC">
        <w:rPr>
          <w:color w:val="365F91" w:themeColor="accent1" w:themeShade="BF"/>
        </w:rPr>
        <w:t>., 2010</w:t>
      </w:r>
      <w:r w:rsidR="009E368E" w:rsidRPr="00F816FC">
        <w:rPr>
          <w:color w:val="365F91" w:themeColor="accent1" w:themeShade="BF"/>
        </w:rPr>
        <w:t>)</w:t>
      </w:r>
      <w:r w:rsidRPr="00F816FC">
        <w:t>.</w:t>
      </w:r>
      <w:r w:rsidR="006159C1" w:rsidRPr="00F816FC">
        <w:t xml:space="preserve"> </w:t>
      </w:r>
      <w:r w:rsidR="005450C3" w:rsidRPr="00F816FC">
        <w:t>However, there is relatively consistent evidence of an association between older age and longer sickness absence</w:t>
      </w:r>
      <w:r w:rsidR="00ED31F1" w:rsidRPr="00F816FC">
        <w:t xml:space="preserve"> </w:t>
      </w:r>
      <w:r w:rsidR="009E368E" w:rsidRPr="00F816FC">
        <w:rPr>
          <w:color w:val="365F91" w:themeColor="accent1" w:themeShade="BF"/>
        </w:rPr>
        <w:t>(</w:t>
      </w:r>
      <w:r w:rsidR="009A0B51" w:rsidRPr="00F816FC">
        <w:rPr>
          <w:color w:val="365F91" w:themeColor="accent1" w:themeShade="BF"/>
        </w:rPr>
        <w:t xml:space="preserve">Koopmans </w:t>
      </w:r>
      <w:r w:rsidR="009A0B51" w:rsidRPr="00F816FC">
        <w:rPr>
          <w:i/>
          <w:color w:val="365F91" w:themeColor="accent1" w:themeShade="BF"/>
        </w:rPr>
        <w:t>et al</w:t>
      </w:r>
      <w:r w:rsidR="009A0B51" w:rsidRPr="00F816FC">
        <w:rPr>
          <w:color w:val="365F91" w:themeColor="accent1" w:themeShade="BF"/>
        </w:rPr>
        <w:t xml:space="preserve">., 2008; Nieuwenhuijsen </w:t>
      </w:r>
      <w:r w:rsidR="009A0B51" w:rsidRPr="00F816FC">
        <w:rPr>
          <w:i/>
          <w:color w:val="365F91" w:themeColor="accent1" w:themeShade="BF"/>
        </w:rPr>
        <w:t>et al</w:t>
      </w:r>
      <w:r w:rsidR="009A0B51" w:rsidRPr="00F816FC">
        <w:rPr>
          <w:color w:val="365F91" w:themeColor="accent1" w:themeShade="BF"/>
        </w:rPr>
        <w:t xml:space="preserve">., 2006; Vaez </w:t>
      </w:r>
      <w:r w:rsidR="009A0B51" w:rsidRPr="00F816FC">
        <w:rPr>
          <w:i/>
          <w:color w:val="365F91" w:themeColor="accent1" w:themeShade="BF"/>
        </w:rPr>
        <w:t>et al</w:t>
      </w:r>
      <w:r w:rsidR="009A0B51" w:rsidRPr="00F816FC">
        <w:rPr>
          <w:color w:val="365F91" w:themeColor="accent1" w:themeShade="BF"/>
        </w:rPr>
        <w:t>.,2007</w:t>
      </w:r>
      <w:r w:rsidR="009E368E" w:rsidRPr="00F816FC">
        <w:rPr>
          <w:color w:val="365F91" w:themeColor="accent1" w:themeShade="BF"/>
        </w:rPr>
        <w:t>)</w:t>
      </w:r>
      <w:r w:rsidR="005450C3" w:rsidRPr="00F816FC">
        <w:t>.</w:t>
      </w:r>
      <w:r w:rsidR="006159C1" w:rsidRPr="00F816FC">
        <w:t xml:space="preserve"> </w:t>
      </w:r>
      <w:r w:rsidR="005450C3" w:rsidRPr="00F816FC">
        <w:t xml:space="preserve">While our study reports a significant association between social deprivation (of patient neighbourhood and general practice) and risk of a long-term depression note, no previous studies have included an area-based measure of deprivation. </w:t>
      </w:r>
      <w:r w:rsidR="00617AE6" w:rsidRPr="00F816FC">
        <w:t xml:space="preserve">We found that </w:t>
      </w:r>
      <w:r w:rsidR="005450C3" w:rsidRPr="00F816FC">
        <w:t xml:space="preserve">female GPs issuing fit notes to female patients with depression </w:t>
      </w:r>
      <w:r w:rsidR="00471BF9" w:rsidRPr="00F816FC">
        <w:t>had the lowe</w:t>
      </w:r>
      <w:r w:rsidR="005450C3" w:rsidRPr="00F816FC">
        <w:t>st rate of issuing ‘long-term’ sickness certificates. Male GPs cert</w:t>
      </w:r>
      <w:r w:rsidR="00471BF9" w:rsidRPr="00F816FC">
        <w:t>ifying male patients had the high</w:t>
      </w:r>
      <w:r w:rsidR="005450C3" w:rsidRPr="00F816FC">
        <w:t xml:space="preserve">est rate. Gender interaction in certifying sickness absence has received hardly </w:t>
      </w:r>
      <w:r w:rsidR="00471BF9" w:rsidRPr="00F816FC">
        <w:t xml:space="preserve">any </w:t>
      </w:r>
      <w:r w:rsidR="005450C3" w:rsidRPr="00F816FC">
        <w:t>attention</w:t>
      </w:r>
      <w:r w:rsidR="00A47283" w:rsidRPr="00F816FC">
        <w:t xml:space="preserve"> in previous research in the substantive area. One previous study, looking at gender of the GP and patient in sickness certification of all diagnoses, reported a similar trend in that duration of episodes of certified sickness absence tended to be shorter when both the certifying GP and the patient were female</w:t>
      </w:r>
      <w:r w:rsidR="00ED31F1" w:rsidRPr="00F816FC">
        <w:t xml:space="preserve"> </w:t>
      </w:r>
      <w:r w:rsidR="009E368E" w:rsidRPr="00F816FC">
        <w:rPr>
          <w:color w:val="365F91" w:themeColor="accent1" w:themeShade="BF"/>
        </w:rPr>
        <w:t>(</w:t>
      </w:r>
      <w:r w:rsidR="009A0B51" w:rsidRPr="00F816FC">
        <w:rPr>
          <w:color w:val="365F91" w:themeColor="accent1" w:themeShade="BF"/>
        </w:rPr>
        <w:t>Shiels &amp; Gabbay, 2006</w:t>
      </w:r>
      <w:r w:rsidR="009E368E" w:rsidRPr="00F816FC">
        <w:rPr>
          <w:color w:val="365F91" w:themeColor="accent1" w:themeShade="BF"/>
        </w:rPr>
        <w:t>)</w:t>
      </w:r>
      <w:r w:rsidR="00A47283" w:rsidRPr="00F816FC">
        <w:t>.</w:t>
      </w:r>
      <w:r w:rsidR="006159C1" w:rsidRPr="00F816FC">
        <w:t xml:space="preserve"> </w:t>
      </w:r>
      <w:r w:rsidR="00A47283" w:rsidRPr="00F816FC">
        <w:t xml:space="preserve">Some of the conclusions drawn by the authors then may be relevant to interpreting the findings of the present study of depression fit notes. The communication skills of doctors of different gender, and the presenting styles of male and female patients, may </w:t>
      </w:r>
      <w:r w:rsidR="00471BF9" w:rsidRPr="00F816FC">
        <w:t>both play a part. Female GPs may have better interpersonal skills in dealing with patients with depression, and may have a greater insight into the implications of long-term sick leave for a patient of the same gender. Male patients present psychological problems in a different way than do female patients, and this may impact on the level of negotiation involved in the certification proces</w:t>
      </w:r>
      <w:r w:rsidR="0009285B" w:rsidRPr="00F816FC">
        <w:t>s and the resulting l</w:t>
      </w:r>
      <w:r w:rsidR="000E5E1D" w:rsidRPr="00F816FC">
        <w:t>ength of the fit note</w:t>
      </w:r>
      <w:r w:rsidR="00471BF9" w:rsidRPr="00F816FC">
        <w:t>.</w:t>
      </w:r>
    </w:p>
    <w:p w:rsidR="005E5A89" w:rsidRPr="00F816FC" w:rsidRDefault="00471BF9" w:rsidP="00892925">
      <w:pPr>
        <w:spacing w:line="360" w:lineRule="auto"/>
      </w:pPr>
      <w:r w:rsidRPr="00F816FC">
        <w:t>No other measured GP characteristic was independently associated with the issue of a long-term fit note for depression. In previ</w:t>
      </w:r>
      <w:r w:rsidR="009420A3" w:rsidRPr="00F816FC">
        <w:t>ous studies comparing GP-based variables</w:t>
      </w:r>
      <w:r w:rsidRPr="00F816FC">
        <w:t xml:space="preserve"> with patient and other factors in predicting length of sickness certifica</w:t>
      </w:r>
      <w:r w:rsidR="009420A3" w:rsidRPr="00F816FC">
        <w:t xml:space="preserve">tion, the cumulative effect of the measured GP factors was found </w:t>
      </w:r>
      <w:r w:rsidRPr="00F816FC">
        <w:t>to be relativ</w:t>
      </w:r>
      <w:r w:rsidR="00B65AB7" w:rsidRPr="00F816FC">
        <w:t>ely unimportant</w:t>
      </w:r>
      <w:r w:rsidR="00E528F5" w:rsidRPr="00F816FC">
        <w:t xml:space="preserve"> </w:t>
      </w:r>
      <w:r w:rsidR="009E368E" w:rsidRPr="00F816FC">
        <w:rPr>
          <w:color w:val="365F91" w:themeColor="accent1" w:themeShade="BF"/>
        </w:rPr>
        <w:t>(</w:t>
      </w:r>
      <w:r w:rsidR="009A0B51" w:rsidRPr="00F816FC">
        <w:rPr>
          <w:color w:val="365F91" w:themeColor="accent1" w:themeShade="BF"/>
        </w:rPr>
        <w:t xml:space="preserve">Aakvik </w:t>
      </w:r>
      <w:r w:rsidR="009A0B51" w:rsidRPr="00F816FC">
        <w:rPr>
          <w:i/>
          <w:color w:val="365F91" w:themeColor="accent1" w:themeShade="BF"/>
        </w:rPr>
        <w:t>et al</w:t>
      </w:r>
      <w:r w:rsidR="009A0B51" w:rsidRPr="00F816FC">
        <w:rPr>
          <w:color w:val="365F91" w:themeColor="accent1" w:themeShade="BF"/>
        </w:rPr>
        <w:t>., 2010</w:t>
      </w:r>
      <w:r w:rsidR="009E368E" w:rsidRPr="00F816FC">
        <w:rPr>
          <w:color w:val="365F91" w:themeColor="accent1" w:themeShade="BF"/>
        </w:rPr>
        <w:t>)</w:t>
      </w:r>
      <w:r w:rsidRPr="00F816FC">
        <w:t>.</w:t>
      </w:r>
    </w:p>
    <w:p w:rsidR="00D66AF3" w:rsidRPr="00F816FC" w:rsidRDefault="004E47DD" w:rsidP="00892925">
      <w:pPr>
        <w:spacing w:line="360" w:lineRule="auto"/>
        <w:rPr>
          <w:i/>
        </w:rPr>
      </w:pPr>
      <w:r w:rsidRPr="00F816FC">
        <w:rPr>
          <w:i/>
        </w:rPr>
        <w:t>Implications of findings</w:t>
      </w:r>
      <w:r w:rsidR="00D227C6" w:rsidRPr="00F816FC">
        <w:rPr>
          <w:i/>
        </w:rPr>
        <w:t xml:space="preserve"> for policy and practice</w:t>
      </w:r>
    </w:p>
    <w:p w:rsidR="00D227C6" w:rsidRPr="00F816FC" w:rsidRDefault="00D227C6" w:rsidP="00892925">
      <w:pPr>
        <w:spacing w:line="360" w:lineRule="auto"/>
      </w:pPr>
      <w:r w:rsidRPr="00F816FC">
        <w:t xml:space="preserve">Any strategy aimed at </w:t>
      </w:r>
      <w:r w:rsidR="00162145" w:rsidRPr="00F816FC">
        <w:t>addressing the level of incapacity for work caused by depression (and other common mental health problems) needs to consider the existing variation in the length of individual sickness certificates.</w:t>
      </w:r>
      <w:r w:rsidR="002A0FD1" w:rsidRPr="00F816FC">
        <w:t xml:space="preserve"> While we found that the GP factors measured in our study had relatively little impact on the issuing of long-term fit notes, it has been reported elsewhere that patterns of certifying sickness differ widely across GPs and that recommendations relating to the duration of sick leave are far</w:t>
      </w:r>
      <w:r w:rsidR="00B65AB7" w:rsidRPr="00F816FC">
        <w:t xml:space="preserve"> from consistent</w:t>
      </w:r>
      <w:r w:rsidR="00E528F5" w:rsidRPr="00F816FC">
        <w:t xml:space="preserve"> </w:t>
      </w:r>
      <w:r w:rsidR="009E368E" w:rsidRPr="00F816FC">
        <w:rPr>
          <w:color w:val="365F91" w:themeColor="accent1" w:themeShade="BF"/>
        </w:rPr>
        <w:t>(</w:t>
      </w:r>
      <w:r w:rsidR="009A0B51" w:rsidRPr="00F816FC">
        <w:rPr>
          <w:color w:val="365F91" w:themeColor="accent1" w:themeShade="BF"/>
        </w:rPr>
        <w:t xml:space="preserve">Roope </w:t>
      </w:r>
      <w:r w:rsidR="009A0B51" w:rsidRPr="00F816FC">
        <w:rPr>
          <w:i/>
          <w:color w:val="365F91" w:themeColor="accent1" w:themeShade="BF"/>
        </w:rPr>
        <w:t>et al</w:t>
      </w:r>
      <w:r w:rsidR="009A0B51" w:rsidRPr="00F816FC">
        <w:rPr>
          <w:color w:val="365F91" w:themeColor="accent1" w:themeShade="BF"/>
        </w:rPr>
        <w:t>., 2009</w:t>
      </w:r>
      <w:r w:rsidR="009E368E" w:rsidRPr="00F816FC">
        <w:rPr>
          <w:color w:val="365F91" w:themeColor="accent1" w:themeShade="BF"/>
        </w:rPr>
        <w:t>)</w:t>
      </w:r>
      <w:r w:rsidR="002A0FD1" w:rsidRPr="00F816FC">
        <w:t>.</w:t>
      </w:r>
      <w:r w:rsidR="006159C1" w:rsidRPr="00F816FC">
        <w:t xml:space="preserve"> </w:t>
      </w:r>
      <w:r w:rsidR="004625AC" w:rsidRPr="00F816FC">
        <w:t>With respect to fit notes issued for depression, an underlying factor in variation may lie in a perceived shortage of skills in the diagnosis and treatment of depression in p</w:t>
      </w:r>
      <w:r w:rsidR="00AB5ACB" w:rsidRPr="00F816FC">
        <w:t>rimary care in the UK</w:t>
      </w:r>
      <w:r w:rsidR="00E528F5" w:rsidRPr="00F816FC">
        <w:t xml:space="preserve">. </w:t>
      </w:r>
      <w:r w:rsidR="003020A0" w:rsidRPr="00F816FC">
        <w:t>Many GPs acknowledge a lack of expertise in the management of common mental disorders</w:t>
      </w:r>
      <w:r w:rsidR="00E528F5" w:rsidRPr="00F816FC">
        <w:t xml:space="preserve"> </w:t>
      </w:r>
      <w:r w:rsidR="009E368E" w:rsidRPr="00F816FC">
        <w:rPr>
          <w:color w:val="365F91" w:themeColor="accent1" w:themeShade="BF"/>
        </w:rPr>
        <w:t>(</w:t>
      </w:r>
      <w:r w:rsidR="00F556E0" w:rsidRPr="00F816FC">
        <w:rPr>
          <w:color w:val="365F91" w:themeColor="accent1" w:themeShade="BF"/>
        </w:rPr>
        <w:t>OECD, 2014</w:t>
      </w:r>
      <w:r w:rsidR="009E368E" w:rsidRPr="00F816FC">
        <w:rPr>
          <w:color w:val="365F91" w:themeColor="accent1" w:themeShade="BF"/>
        </w:rPr>
        <w:t>)</w:t>
      </w:r>
      <w:r w:rsidR="003B7904" w:rsidRPr="00F816FC">
        <w:t>.</w:t>
      </w:r>
      <w:r w:rsidR="00E528F5" w:rsidRPr="00F816FC">
        <w:t xml:space="preserve"> </w:t>
      </w:r>
      <w:r w:rsidR="003B7904" w:rsidRPr="00F816FC">
        <w:t xml:space="preserve">In addition, GPs are unlikely to have </w:t>
      </w:r>
      <w:r w:rsidR="003B7904" w:rsidRPr="00F816FC">
        <w:lastRenderedPageBreak/>
        <w:t>sufficient knowledge of the patient’s working environment and the demands it may make on their mental health</w:t>
      </w:r>
      <w:r w:rsidR="003020A0" w:rsidRPr="00F816FC">
        <w:t>.</w:t>
      </w:r>
      <w:r w:rsidR="000068E9" w:rsidRPr="00F816FC">
        <w:t xml:space="preserve"> More training for GPs, both in </w:t>
      </w:r>
      <w:r w:rsidR="001E72B9" w:rsidRPr="00F816FC">
        <w:t xml:space="preserve">the process of </w:t>
      </w:r>
      <w:r w:rsidR="000068E9" w:rsidRPr="00F816FC">
        <w:t>certifying sickness (when to issue a fit note, how long it should be and what information has to be included) and the management of patients presenting with mental health problems, would be desirable.</w:t>
      </w:r>
    </w:p>
    <w:p w:rsidR="005F7E1D" w:rsidRPr="00F816FC" w:rsidRDefault="00FA1E53" w:rsidP="00892925">
      <w:pPr>
        <w:spacing w:line="360" w:lineRule="auto"/>
      </w:pPr>
      <w:r w:rsidRPr="00F816FC">
        <w:t>Patient-based i</w:t>
      </w:r>
      <w:r w:rsidR="007562D5" w:rsidRPr="00F816FC">
        <w:t>nitiatives are likely to be more</w:t>
      </w:r>
      <w:r w:rsidRPr="00F816FC">
        <w:t xml:space="preserve"> effective in any attempt to reduce the number of long-term notes issued for common mental health problems such as depression. UK welfare policy has been increasingly focused upon design of early interventions aimed at retaining people in employment or returning </w:t>
      </w:r>
      <w:r w:rsidR="00B65AB7" w:rsidRPr="00F816FC">
        <w:t>them to work sooner</w:t>
      </w:r>
      <w:r w:rsidR="00E528F5" w:rsidRPr="00F816FC">
        <w:t xml:space="preserve"> </w:t>
      </w:r>
      <w:r w:rsidR="009E368E" w:rsidRPr="00F816FC">
        <w:rPr>
          <w:color w:val="365F91" w:themeColor="accent1" w:themeShade="BF"/>
        </w:rPr>
        <w:t>(</w:t>
      </w:r>
      <w:r w:rsidR="00F556E0" w:rsidRPr="00F816FC">
        <w:rPr>
          <w:color w:val="365F91" w:themeColor="accent1" w:themeShade="BF"/>
        </w:rPr>
        <w:t>Black, 2008</w:t>
      </w:r>
      <w:r w:rsidR="009E368E" w:rsidRPr="00F816FC">
        <w:rPr>
          <w:color w:val="365F91" w:themeColor="accent1" w:themeShade="BF"/>
        </w:rPr>
        <w:t>)</w:t>
      </w:r>
      <w:r w:rsidR="00E528F5" w:rsidRPr="00F816FC">
        <w:t xml:space="preserve">. </w:t>
      </w:r>
      <w:r w:rsidRPr="00F816FC">
        <w:t xml:space="preserve">The large-scale </w:t>
      </w:r>
      <w:r w:rsidR="005F7E1D" w:rsidRPr="00F816FC">
        <w:t>Improving Access to Psychological Therapies (</w:t>
      </w:r>
      <w:r w:rsidRPr="00F816FC">
        <w:t>IAPT</w:t>
      </w:r>
      <w:r w:rsidR="005F7E1D" w:rsidRPr="00F816FC">
        <w:t>)</w:t>
      </w:r>
      <w:r w:rsidRPr="00F816FC">
        <w:t xml:space="preserve"> programme aims to significantly increase the availability of evidence-based psychological treatments for common mental disorders (particularly anxiety and depression) within the National Health Service in England.</w:t>
      </w:r>
      <w:r w:rsidR="005F7E1D" w:rsidRPr="00F816FC">
        <w:t xml:space="preserve"> While acknowledging that IAPT has significantly increased the capacity of psychological health therapies, the programme has been criticised for not keeping pace with the increasing demand for psychological therapies and for persisting regional inequalities in acc</w:t>
      </w:r>
      <w:r w:rsidR="00B65AB7" w:rsidRPr="00F816FC">
        <w:t>ess to its services</w:t>
      </w:r>
      <w:r w:rsidR="00E528F5" w:rsidRPr="00F816FC">
        <w:t xml:space="preserve"> </w:t>
      </w:r>
      <w:r w:rsidR="009E368E" w:rsidRPr="00F816FC">
        <w:rPr>
          <w:color w:val="365F91" w:themeColor="accent1" w:themeShade="BF"/>
        </w:rPr>
        <w:t>(</w:t>
      </w:r>
      <w:r w:rsidR="00F556E0" w:rsidRPr="00F816FC">
        <w:rPr>
          <w:color w:val="365F91" w:themeColor="accent1" w:themeShade="BF"/>
        </w:rPr>
        <w:t>OECD, 2014</w:t>
      </w:r>
      <w:r w:rsidR="009E368E" w:rsidRPr="00F816FC">
        <w:rPr>
          <w:color w:val="365F91" w:themeColor="accent1" w:themeShade="BF"/>
        </w:rPr>
        <w:t>)</w:t>
      </w:r>
      <w:r w:rsidR="005F7E1D" w:rsidRPr="00F816FC">
        <w:t>.</w:t>
      </w:r>
      <w:r w:rsidR="00E528F5" w:rsidRPr="00F816FC">
        <w:rPr>
          <w:color w:val="FF0000"/>
          <w:vertAlign w:val="superscript"/>
        </w:rPr>
        <w:t xml:space="preserve"> </w:t>
      </w:r>
      <w:r w:rsidR="005F7E1D" w:rsidRPr="00F816FC">
        <w:t>It is still unclear what sort of clinical intervention has the best outcome in terms of enabling the person with depression to remain in work.</w:t>
      </w:r>
      <w:r w:rsidR="002D7943" w:rsidRPr="00F816FC">
        <w:t xml:space="preserve"> There is moderate evidence that Cognitive Behavioural Therapy (CBT), delivered as part of a specific return-to-work programme, may have positive outcomes in terms of individual symptom reduction and shorter sickness absence</w:t>
      </w:r>
      <w:r w:rsidR="00E528F5" w:rsidRPr="00F816FC">
        <w:t xml:space="preserve"> </w:t>
      </w:r>
      <w:r w:rsidR="009E368E" w:rsidRPr="00F816FC">
        <w:rPr>
          <w:color w:val="365F91" w:themeColor="accent1" w:themeShade="BF"/>
        </w:rPr>
        <w:t>(</w:t>
      </w:r>
      <w:r w:rsidR="00F556E0" w:rsidRPr="00F816FC">
        <w:rPr>
          <w:color w:val="365F91" w:themeColor="accent1" w:themeShade="BF"/>
        </w:rPr>
        <w:t xml:space="preserve">Joyce </w:t>
      </w:r>
      <w:r w:rsidR="00F556E0" w:rsidRPr="00F816FC">
        <w:rPr>
          <w:i/>
          <w:color w:val="365F91" w:themeColor="accent1" w:themeShade="BF"/>
        </w:rPr>
        <w:t>et al</w:t>
      </w:r>
      <w:r w:rsidR="00F556E0" w:rsidRPr="00F816FC">
        <w:rPr>
          <w:color w:val="365F91" w:themeColor="accent1" w:themeShade="BF"/>
        </w:rPr>
        <w:t>., 2015</w:t>
      </w:r>
      <w:r w:rsidR="009E368E" w:rsidRPr="00F816FC">
        <w:rPr>
          <w:color w:val="365F91" w:themeColor="accent1" w:themeShade="BF"/>
        </w:rPr>
        <w:t>)</w:t>
      </w:r>
      <w:r w:rsidR="002D7943" w:rsidRPr="00F816FC">
        <w:t>.</w:t>
      </w:r>
      <w:r w:rsidR="00E528F5" w:rsidRPr="00F816FC">
        <w:rPr>
          <w:color w:val="FF0000"/>
          <w:vertAlign w:val="superscript"/>
        </w:rPr>
        <w:t xml:space="preserve"> </w:t>
      </w:r>
      <w:r w:rsidR="002D7943" w:rsidRPr="00F816FC">
        <w:t>A review of 14 studies looking at effectiveness of return-to-work programmes for people with anxiety and depression found that CBT was the most popular psychological intervention used for returning people to work, having potential to improve the function of the individual and having positive organisational goals in reducing duration of sick leave</w:t>
      </w:r>
      <w:r w:rsidR="00E528F5" w:rsidRPr="00F816FC">
        <w:t xml:space="preserve"> </w:t>
      </w:r>
      <w:r w:rsidR="009E368E" w:rsidRPr="00F816FC">
        <w:rPr>
          <w:color w:val="365F91" w:themeColor="accent1" w:themeShade="BF"/>
        </w:rPr>
        <w:t>(</w:t>
      </w:r>
      <w:r w:rsidR="00F556E0" w:rsidRPr="00F816FC">
        <w:rPr>
          <w:color w:val="365F91" w:themeColor="accent1" w:themeShade="BF"/>
        </w:rPr>
        <w:t>Corbiere &amp; Shen, 2006</w:t>
      </w:r>
      <w:r w:rsidR="009E368E" w:rsidRPr="00F816FC">
        <w:rPr>
          <w:color w:val="365F91" w:themeColor="accent1" w:themeShade="BF"/>
        </w:rPr>
        <w:t>)</w:t>
      </w:r>
      <w:r w:rsidR="002D7943" w:rsidRPr="00F816FC">
        <w:t>.</w:t>
      </w:r>
      <w:r w:rsidR="00371CB2" w:rsidRPr="00F816FC">
        <w:t xml:space="preserve"> A Cochrane review of return-to-work interventions for depressed people found “moderate quality evidence” for telephone or online CBT reducing sickness absence more than usual primary or occupational care </w:t>
      </w:r>
      <w:r w:rsidR="00371CB2" w:rsidRPr="00F816FC">
        <w:rPr>
          <w:color w:val="365F91" w:themeColor="accent1" w:themeShade="BF"/>
        </w:rPr>
        <w:t xml:space="preserve">(Nieuwenhuijsen </w:t>
      </w:r>
      <w:r w:rsidR="00371CB2" w:rsidRPr="00F816FC">
        <w:rPr>
          <w:i/>
          <w:color w:val="365F91" w:themeColor="accent1" w:themeShade="BF"/>
        </w:rPr>
        <w:t>et al</w:t>
      </w:r>
      <w:r w:rsidR="00371CB2" w:rsidRPr="00F816FC">
        <w:rPr>
          <w:color w:val="365F91" w:themeColor="accent1" w:themeShade="BF"/>
        </w:rPr>
        <w:t>., 2014)</w:t>
      </w:r>
      <w:r w:rsidR="00371CB2" w:rsidRPr="00F816FC">
        <w:t>.</w:t>
      </w:r>
    </w:p>
    <w:p w:rsidR="00C137D1" w:rsidRPr="00F816FC" w:rsidRDefault="00C137D1" w:rsidP="00892925">
      <w:pPr>
        <w:spacing w:line="360" w:lineRule="auto"/>
      </w:pPr>
      <w:r w:rsidRPr="00F816FC">
        <w:t>When the fit note was introduced in 2010 there were expectations that the new format of the certificate, enabling GPs to advise a</w:t>
      </w:r>
      <w:r w:rsidR="00285636" w:rsidRPr="00F816FC">
        <w:t xml:space="preserve"> return</w:t>
      </w:r>
      <w:r w:rsidR="00F65CFB" w:rsidRPr="00F816FC">
        <w:t xml:space="preserve"> </w:t>
      </w:r>
      <w:r w:rsidR="00285636" w:rsidRPr="00F816FC">
        <w:t>to</w:t>
      </w:r>
      <w:r w:rsidR="00F65CFB" w:rsidRPr="00F816FC">
        <w:t xml:space="preserve"> </w:t>
      </w:r>
      <w:r w:rsidR="00285636" w:rsidRPr="00F816FC">
        <w:t xml:space="preserve">work subject to specific adjustments in normal work conditions, would make a real impact on levels of work incapacity. However, the current evidence is disappointing, with the use of ‘may be fit’ options on the note being rarely used by GPs. When such advice is given, it tends to be more prevalent when physical health problems are the reason for the certification of sickness absence, and the patient is living in one of the </w:t>
      </w:r>
      <w:r w:rsidR="00285636" w:rsidRPr="00F816FC">
        <w:rPr>
          <w:i/>
        </w:rPr>
        <w:t>less</w:t>
      </w:r>
      <w:r w:rsidR="00285636" w:rsidRPr="00F816FC">
        <w:t xml:space="preserve"> socially deprived areas </w:t>
      </w:r>
      <w:r w:rsidR="00A1255D" w:rsidRPr="00F816FC">
        <w:rPr>
          <w:color w:val="365F91" w:themeColor="accent1" w:themeShade="BF"/>
        </w:rPr>
        <w:t xml:space="preserve">(Shiels </w:t>
      </w:r>
      <w:r w:rsidR="00A1255D" w:rsidRPr="00F816FC">
        <w:rPr>
          <w:i/>
          <w:color w:val="365F91" w:themeColor="accent1" w:themeShade="BF"/>
        </w:rPr>
        <w:t>et al</w:t>
      </w:r>
      <w:r w:rsidR="00A1255D" w:rsidRPr="00F816FC">
        <w:rPr>
          <w:color w:val="365F91" w:themeColor="accent1" w:themeShade="BF"/>
        </w:rPr>
        <w:t>., 2014)</w:t>
      </w:r>
      <w:r w:rsidR="00A1255D" w:rsidRPr="00F816FC">
        <w:t xml:space="preserve">. </w:t>
      </w:r>
      <w:r w:rsidR="00700091" w:rsidRPr="00F816FC">
        <w:t xml:space="preserve">Hence the socially deprived group we found at higher risk of receiving a long-term fit note also appear less likely to receive return-to-work advice. </w:t>
      </w:r>
      <w:r w:rsidR="00A1255D" w:rsidRPr="00F816FC">
        <w:t>Given the increasing importance of depression and other common mental disorders in sickness absence, it is particularly disappointing that the fit note is not being used more effectively in</w:t>
      </w:r>
      <w:r w:rsidR="00F65CFB" w:rsidRPr="00F816FC">
        <w:t xml:space="preserve"> facilitating a return to </w:t>
      </w:r>
      <w:r w:rsidR="00A1255D" w:rsidRPr="00F816FC">
        <w:t xml:space="preserve">work for </w:t>
      </w:r>
      <w:r w:rsidR="00A1255D" w:rsidRPr="00F816FC">
        <w:lastRenderedPageBreak/>
        <w:t xml:space="preserve">depressed patients. Why a recommendation such as </w:t>
      </w:r>
      <w:r w:rsidR="0055400B" w:rsidRPr="00F816FC">
        <w:t>‘</w:t>
      </w:r>
      <w:r w:rsidR="00A1255D" w:rsidRPr="00F816FC">
        <w:t>phasing</w:t>
      </w:r>
      <w:r w:rsidR="0055400B" w:rsidRPr="00F816FC">
        <w:t>’</w:t>
      </w:r>
      <w:r w:rsidR="00A1255D" w:rsidRPr="00F816FC">
        <w:t xml:space="preserve"> a return to normal work hours is appropriate for a patient with a musculoskeletal</w:t>
      </w:r>
      <w:r w:rsidR="0055400B" w:rsidRPr="00F816FC">
        <w:t xml:space="preserve"> problem, but not for one suffering from a psychological disorder, is not clear and warrants further investigation.</w:t>
      </w:r>
    </w:p>
    <w:p w:rsidR="00E63591" w:rsidRPr="00F816FC" w:rsidRDefault="0055400B" w:rsidP="00892925">
      <w:pPr>
        <w:spacing w:line="360" w:lineRule="auto"/>
      </w:pPr>
      <w:r w:rsidRPr="00F816FC">
        <w:t>Another avenue for facilitating a return to work for patients may lie in a referral to the recently introduced Fit for Work service (</w:t>
      </w:r>
      <w:r w:rsidRPr="00F816FC">
        <w:rPr>
          <w:i/>
        </w:rPr>
        <w:t>FfW</w:t>
      </w:r>
      <w:r w:rsidRPr="00F816FC">
        <w:t xml:space="preserve">).  </w:t>
      </w:r>
      <w:r w:rsidR="00E63591" w:rsidRPr="00F816FC">
        <w:t>An independent review of sickness absence in Great Britain was commissioned by the Department for Work and Pensions in 2009. One of the key recommendations of the subsequent report (published in 2011) was that the government should fund a new independent assessment service. This service would provide an in-depth assessment of an individual’s physical and/or mental function, and provide advice about how an individual on sickness absence could be supported to return to work. It was recommended that a sickness absentee should become eligible for a GP referral to the service after the absence spell had lasted around four weeks (including the 7 days of self-certification required in the UK before receipt of a sickness certificate)</w:t>
      </w:r>
      <w:r w:rsidR="00E528F5" w:rsidRPr="00F816FC">
        <w:t xml:space="preserve"> </w:t>
      </w:r>
      <w:r w:rsidR="009E368E" w:rsidRPr="00F816FC">
        <w:rPr>
          <w:color w:val="365F91" w:themeColor="accent1" w:themeShade="BF"/>
        </w:rPr>
        <w:t>(</w:t>
      </w:r>
      <w:r w:rsidR="00F556E0" w:rsidRPr="00F816FC">
        <w:rPr>
          <w:color w:val="365F91" w:themeColor="accent1" w:themeShade="BF"/>
        </w:rPr>
        <w:t>Black &amp; Frost, 2011</w:t>
      </w:r>
      <w:r w:rsidR="009E368E" w:rsidRPr="00F816FC">
        <w:t>)</w:t>
      </w:r>
      <w:r w:rsidR="00E63591" w:rsidRPr="00F816FC">
        <w:t>.</w:t>
      </w:r>
      <w:r w:rsidR="00E528F5" w:rsidRPr="00F816FC">
        <w:rPr>
          <w:vertAlign w:val="superscript"/>
        </w:rPr>
        <w:t xml:space="preserve"> </w:t>
      </w:r>
      <w:r w:rsidRPr="00F816FC">
        <w:t xml:space="preserve"> The </w:t>
      </w:r>
      <w:r w:rsidRPr="00F816FC">
        <w:rPr>
          <w:i/>
        </w:rPr>
        <w:t>FfW</w:t>
      </w:r>
      <w:r w:rsidRPr="00F816FC">
        <w:t xml:space="preserve"> </w:t>
      </w:r>
      <w:r w:rsidR="00E76C22" w:rsidRPr="00F816FC">
        <w:t xml:space="preserve">service </w:t>
      </w:r>
      <w:r w:rsidRPr="00F816FC">
        <w:t xml:space="preserve">is now </w:t>
      </w:r>
      <w:r w:rsidR="00F15C02" w:rsidRPr="00F816FC">
        <w:t xml:space="preserve">fully operational, and is open to </w:t>
      </w:r>
      <w:r w:rsidRPr="00F816FC">
        <w:t>referrals from all GPs (and employers) in England and Wales</w:t>
      </w:r>
      <w:r w:rsidR="00F15C02" w:rsidRPr="00F816FC">
        <w:t xml:space="preserve">. Whether the service can help reduce the number and length of depression fit notes remains to be seen. </w:t>
      </w:r>
      <w:r w:rsidR="00617AE6" w:rsidRPr="00F816FC">
        <w:t>G</w:t>
      </w:r>
      <w:r w:rsidR="00E63591" w:rsidRPr="00F816FC">
        <w:t xml:space="preserve">iven the importance of mental health problems such as depression in the duration of sickness certification, the service will need to take into account the specialised needs of patients taking sick leave for psychological disorders. Our study found that nearly 70% of depression fit notes issued were for a period of three weeks or more. While some patients will not be deemed to be suitable for referral by the GP, and others will not consent to be referred, there are still obvious resource implications for the </w:t>
      </w:r>
      <w:r w:rsidR="00E76C22" w:rsidRPr="00F816FC">
        <w:t>service</w:t>
      </w:r>
      <w:r w:rsidR="00E63591" w:rsidRPr="00F816FC">
        <w:t>. In particular</w:t>
      </w:r>
      <w:r w:rsidR="00F15C02" w:rsidRPr="00F816FC">
        <w:t>,</w:t>
      </w:r>
      <w:r w:rsidR="00E63591" w:rsidRPr="00F816FC">
        <w:t xml:space="preserve"> it will be important to provide the capacity for appropriate psychological assessment using valid measures, and to provide integrated work-related and psychological services</w:t>
      </w:r>
      <w:r w:rsidR="00E528F5" w:rsidRPr="00F816FC">
        <w:t xml:space="preserve"> </w:t>
      </w:r>
      <w:r w:rsidR="009E368E" w:rsidRPr="00F816FC">
        <w:rPr>
          <w:color w:val="365F91" w:themeColor="accent1" w:themeShade="BF"/>
        </w:rPr>
        <w:t>(</w:t>
      </w:r>
      <w:r w:rsidR="00F556E0" w:rsidRPr="00F816FC">
        <w:rPr>
          <w:color w:val="365F91" w:themeColor="accent1" w:themeShade="BF"/>
        </w:rPr>
        <w:t>OECD, 2014</w:t>
      </w:r>
      <w:r w:rsidR="009E368E" w:rsidRPr="00F816FC">
        <w:rPr>
          <w:color w:val="365F91" w:themeColor="accent1" w:themeShade="BF"/>
        </w:rPr>
        <w:t>)</w:t>
      </w:r>
      <w:r w:rsidR="00E63591" w:rsidRPr="00F816FC">
        <w:t>.</w:t>
      </w:r>
    </w:p>
    <w:p w:rsidR="00F15C02" w:rsidRPr="00F816FC" w:rsidRDefault="00F15C02" w:rsidP="00892925">
      <w:pPr>
        <w:spacing w:line="360" w:lineRule="auto"/>
      </w:pPr>
      <w:r w:rsidRPr="00F816FC">
        <w:t xml:space="preserve">In conclusion, this study has attempted to make a case for focusing on the issue and length of individual fit notes for depression, using data provided by 68 general practices in the UK. The reduction of ‘long-term’ fit notes </w:t>
      </w:r>
      <w:r w:rsidR="00010A6C" w:rsidRPr="00F816FC">
        <w:t>for depression may be a key component of any strategy to address the increasing burden that mental-health related incapacity places on the sickness certification system. Some factors associated with issue of long-term notes (eg.lack of ‘may be fit’ advice) are readily open to intervention and modification.</w:t>
      </w:r>
    </w:p>
    <w:p w:rsidR="001235C1" w:rsidRPr="00F816FC" w:rsidRDefault="001235C1" w:rsidP="00892925">
      <w:pPr>
        <w:autoSpaceDE w:val="0"/>
        <w:autoSpaceDN w:val="0"/>
        <w:adjustRightInd w:val="0"/>
        <w:spacing w:after="0" w:line="360" w:lineRule="auto"/>
        <w:rPr>
          <w:rFonts w:cs="AdvPTimes"/>
        </w:rPr>
      </w:pPr>
      <w:r w:rsidRPr="00F816FC">
        <w:br w:type="page"/>
      </w:r>
    </w:p>
    <w:p w:rsidR="004625AC" w:rsidRPr="00F816FC" w:rsidRDefault="004625AC"/>
    <w:p w:rsidR="002C1D47" w:rsidRPr="00F816FC" w:rsidRDefault="002C1D47">
      <w:pPr>
        <w:rPr>
          <w:b/>
          <w:sz w:val="28"/>
          <w:szCs w:val="28"/>
        </w:rPr>
      </w:pPr>
      <w:r w:rsidRPr="00F816FC">
        <w:rPr>
          <w:b/>
          <w:sz w:val="28"/>
          <w:szCs w:val="28"/>
        </w:rPr>
        <w:t>References</w:t>
      </w:r>
    </w:p>
    <w:p w:rsidR="00FD0AE0" w:rsidRPr="00F816FC" w:rsidRDefault="00FD0AE0" w:rsidP="00892925">
      <w:pPr>
        <w:spacing w:line="360" w:lineRule="auto"/>
        <w:rPr>
          <w:color w:val="000000"/>
          <w:shd w:val="clear" w:color="auto" w:fill="FFFFFF"/>
        </w:rPr>
      </w:pPr>
      <w:r w:rsidRPr="00F816FC">
        <w:rPr>
          <w:color w:val="000000"/>
          <w:shd w:val="clear" w:color="auto" w:fill="FFFFFF"/>
        </w:rPr>
        <w:t xml:space="preserve">Aakvik, A., Holmas, T.H. &amp; Islam, M.K. (2010). Does variation in general practitioner practice matter for the length of sick leave? A multilevel analysis based on Norwegian GP-patient data. </w:t>
      </w:r>
      <w:r w:rsidRPr="00F816FC">
        <w:rPr>
          <w:i/>
          <w:color w:val="000000"/>
          <w:shd w:val="clear" w:color="auto" w:fill="FFFFFF"/>
        </w:rPr>
        <w:t>Social Science and Medicine</w:t>
      </w:r>
      <w:r w:rsidRPr="00F816FC">
        <w:rPr>
          <w:color w:val="000000"/>
          <w:shd w:val="clear" w:color="auto" w:fill="FFFFFF"/>
        </w:rPr>
        <w:t xml:space="preserve">, </w:t>
      </w:r>
      <w:r w:rsidRPr="00F816FC">
        <w:rPr>
          <w:b/>
          <w:color w:val="000000"/>
          <w:shd w:val="clear" w:color="auto" w:fill="FFFFFF"/>
        </w:rPr>
        <w:t>70</w:t>
      </w:r>
      <w:r w:rsidRPr="00F816FC">
        <w:rPr>
          <w:color w:val="000000"/>
          <w:shd w:val="clear" w:color="auto" w:fill="FFFFFF"/>
        </w:rPr>
        <w:t>, 1590-1598.</w:t>
      </w:r>
    </w:p>
    <w:p w:rsidR="00FD0AE0" w:rsidRPr="00F816FC" w:rsidRDefault="00FD0AE0" w:rsidP="00892925">
      <w:pPr>
        <w:autoSpaceDE w:val="0"/>
        <w:autoSpaceDN w:val="0"/>
        <w:adjustRightInd w:val="0"/>
        <w:spacing w:after="0" w:line="360" w:lineRule="auto"/>
        <w:rPr>
          <w:rFonts w:cs="AdvTimes"/>
        </w:rPr>
      </w:pPr>
      <w:r w:rsidRPr="00F816FC">
        <w:rPr>
          <w:rFonts w:cs="AdvTIMES-SC"/>
        </w:rPr>
        <w:t>Bair, M.J.</w:t>
      </w:r>
      <w:r w:rsidRPr="00F816FC">
        <w:rPr>
          <w:rFonts w:cs="AdvTimes"/>
        </w:rPr>
        <w:t xml:space="preserve">, </w:t>
      </w:r>
      <w:r w:rsidRPr="00F816FC">
        <w:rPr>
          <w:rFonts w:cs="AdvTIMES-SC"/>
        </w:rPr>
        <w:t>Robinson, R.L.</w:t>
      </w:r>
      <w:r w:rsidRPr="00F816FC">
        <w:rPr>
          <w:rFonts w:cs="AdvTimes"/>
        </w:rPr>
        <w:t xml:space="preserve">, </w:t>
      </w:r>
      <w:r w:rsidRPr="00F816FC">
        <w:rPr>
          <w:rFonts w:cs="AdvTIMES-SC"/>
        </w:rPr>
        <w:t>Katon, W.</w:t>
      </w:r>
      <w:r w:rsidRPr="00F816FC">
        <w:rPr>
          <w:rFonts w:cs="AdvTimes"/>
        </w:rPr>
        <w:t xml:space="preserve"> &amp; </w:t>
      </w:r>
      <w:r w:rsidRPr="00F816FC">
        <w:rPr>
          <w:rFonts w:cs="AdvTIMES-SC"/>
        </w:rPr>
        <w:t>Kroenke, K</w:t>
      </w:r>
      <w:r w:rsidRPr="00F816FC">
        <w:rPr>
          <w:rFonts w:cs="AdvTimes"/>
        </w:rPr>
        <w:t xml:space="preserve">. (2003). Depression and pain comorbidity – a literature review. </w:t>
      </w:r>
      <w:r w:rsidRPr="00F816FC">
        <w:rPr>
          <w:rFonts w:cs="AdvTimes"/>
          <w:i/>
        </w:rPr>
        <w:t>Archives of Internal Medicine</w:t>
      </w:r>
      <w:r w:rsidRPr="00F816FC">
        <w:rPr>
          <w:rFonts w:cs="AdvTimes"/>
        </w:rPr>
        <w:t xml:space="preserve">, </w:t>
      </w:r>
      <w:r w:rsidRPr="00F816FC">
        <w:rPr>
          <w:rFonts w:cs="AdvTimes-b"/>
          <w:b/>
        </w:rPr>
        <w:t>163</w:t>
      </w:r>
      <w:r w:rsidRPr="00F816FC">
        <w:rPr>
          <w:rFonts w:cs="AdvTimes"/>
        </w:rPr>
        <w:t>, 2433–2445.</w:t>
      </w:r>
    </w:p>
    <w:p w:rsidR="00FD0AE0" w:rsidRPr="00F816FC" w:rsidRDefault="00FD0AE0" w:rsidP="00892925">
      <w:pPr>
        <w:autoSpaceDE w:val="0"/>
        <w:autoSpaceDN w:val="0"/>
        <w:adjustRightInd w:val="0"/>
        <w:spacing w:after="0" w:line="360" w:lineRule="auto"/>
      </w:pPr>
    </w:p>
    <w:p w:rsidR="00FD0AE0" w:rsidRPr="00F816FC" w:rsidRDefault="00FD0AE0" w:rsidP="00892925">
      <w:pPr>
        <w:autoSpaceDE w:val="0"/>
        <w:autoSpaceDN w:val="0"/>
        <w:adjustRightInd w:val="0"/>
        <w:spacing w:after="0" w:line="360" w:lineRule="auto"/>
      </w:pPr>
      <w:r w:rsidRPr="00F816FC">
        <w:t>Black, C. (2008). Working for a healthier tomorrow. London: The Stationery Office.</w:t>
      </w:r>
    </w:p>
    <w:p w:rsidR="00FD0AE0" w:rsidRPr="00F816FC" w:rsidRDefault="00FD0AE0" w:rsidP="00892925">
      <w:pPr>
        <w:autoSpaceDE w:val="0"/>
        <w:autoSpaceDN w:val="0"/>
        <w:adjustRightInd w:val="0"/>
        <w:spacing w:after="0" w:line="360" w:lineRule="auto"/>
      </w:pPr>
    </w:p>
    <w:p w:rsidR="00FD0AE0" w:rsidRPr="00F816FC" w:rsidRDefault="00FD0AE0" w:rsidP="00892925">
      <w:pPr>
        <w:autoSpaceDE w:val="0"/>
        <w:autoSpaceDN w:val="0"/>
        <w:adjustRightInd w:val="0"/>
        <w:spacing w:after="0" w:line="360" w:lineRule="auto"/>
      </w:pPr>
      <w:r w:rsidRPr="00F816FC">
        <w:t>Black, C. &amp; Frost, D. (2011). Health at Work: an Independent Review of Sickness Absence. London: The Stationery Office.</w:t>
      </w:r>
    </w:p>
    <w:p w:rsidR="00FD0AE0" w:rsidRPr="00F816FC" w:rsidRDefault="00FD0AE0" w:rsidP="00892925">
      <w:pPr>
        <w:autoSpaceDE w:val="0"/>
        <w:autoSpaceDN w:val="0"/>
        <w:adjustRightInd w:val="0"/>
        <w:spacing w:after="0" w:line="360" w:lineRule="auto"/>
      </w:pPr>
    </w:p>
    <w:p w:rsidR="00FD0AE0" w:rsidRPr="00F816FC" w:rsidRDefault="00FD0AE0" w:rsidP="00892925">
      <w:pPr>
        <w:autoSpaceDE w:val="0"/>
        <w:autoSpaceDN w:val="0"/>
        <w:adjustRightInd w:val="0"/>
        <w:spacing w:after="0" w:line="360" w:lineRule="auto"/>
        <w:rPr>
          <w:rFonts w:cs="Arial"/>
          <w:color w:val="000000"/>
          <w:shd w:val="clear" w:color="auto" w:fill="FFFFFF"/>
        </w:rPr>
      </w:pPr>
      <w:r w:rsidRPr="00F816FC">
        <w:rPr>
          <w:rStyle w:val="author"/>
          <w:rFonts w:cs="Arial"/>
          <w:color w:val="000000"/>
          <w:bdr w:val="none" w:sz="0" w:space="0" w:color="auto" w:frame="1"/>
          <w:shd w:val="clear" w:color="auto" w:fill="FFFFFF"/>
        </w:rPr>
        <w:t>Breivik, H.</w:t>
      </w:r>
      <w:r w:rsidRPr="00F816FC">
        <w:rPr>
          <w:rFonts w:cs="Arial"/>
          <w:color w:val="000000"/>
          <w:shd w:val="clear" w:color="auto" w:fill="FFFFFF"/>
        </w:rPr>
        <w:t>,</w:t>
      </w:r>
      <w:r w:rsidRPr="00F816FC">
        <w:rPr>
          <w:rStyle w:val="apple-converted-space"/>
          <w:rFonts w:cs="Arial"/>
          <w:color w:val="000000"/>
          <w:shd w:val="clear" w:color="auto" w:fill="FFFFFF"/>
        </w:rPr>
        <w:t> </w:t>
      </w:r>
      <w:r w:rsidRPr="00F816FC">
        <w:rPr>
          <w:rStyle w:val="author"/>
          <w:rFonts w:cs="Arial"/>
          <w:color w:val="000000"/>
          <w:bdr w:val="none" w:sz="0" w:space="0" w:color="auto" w:frame="1"/>
          <w:shd w:val="clear" w:color="auto" w:fill="FFFFFF"/>
        </w:rPr>
        <w:t>Collett, B.</w:t>
      </w:r>
      <w:r w:rsidRPr="00F816FC">
        <w:rPr>
          <w:rFonts w:cs="Arial"/>
          <w:color w:val="000000"/>
          <w:shd w:val="clear" w:color="auto" w:fill="FFFFFF"/>
        </w:rPr>
        <w:t>,</w:t>
      </w:r>
      <w:r w:rsidRPr="00F816FC">
        <w:rPr>
          <w:rStyle w:val="apple-converted-space"/>
          <w:rFonts w:cs="Arial"/>
          <w:color w:val="000000"/>
          <w:shd w:val="clear" w:color="auto" w:fill="FFFFFF"/>
        </w:rPr>
        <w:t> </w:t>
      </w:r>
      <w:r w:rsidRPr="00F816FC">
        <w:rPr>
          <w:rStyle w:val="author"/>
          <w:rFonts w:cs="Arial"/>
          <w:color w:val="000000"/>
          <w:bdr w:val="none" w:sz="0" w:space="0" w:color="auto" w:frame="1"/>
          <w:shd w:val="clear" w:color="auto" w:fill="FFFFFF"/>
        </w:rPr>
        <w:t>Ventafridda, V.</w:t>
      </w:r>
      <w:r w:rsidRPr="00F816FC">
        <w:rPr>
          <w:rFonts w:cs="Arial"/>
          <w:color w:val="000000"/>
          <w:shd w:val="clear" w:color="auto" w:fill="FFFFFF"/>
        </w:rPr>
        <w:t>,</w:t>
      </w:r>
      <w:r w:rsidRPr="00F816FC">
        <w:rPr>
          <w:rStyle w:val="apple-converted-space"/>
          <w:rFonts w:cs="Arial"/>
          <w:color w:val="000000"/>
          <w:shd w:val="clear" w:color="auto" w:fill="FFFFFF"/>
        </w:rPr>
        <w:t> </w:t>
      </w:r>
      <w:r w:rsidRPr="00F816FC">
        <w:rPr>
          <w:rStyle w:val="author"/>
          <w:rFonts w:cs="Arial"/>
          <w:color w:val="000000"/>
          <w:bdr w:val="none" w:sz="0" w:space="0" w:color="auto" w:frame="1"/>
          <w:shd w:val="clear" w:color="auto" w:fill="FFFFFF"/>
        </w:rPr>
        <w:t>Cohen, R.</w:t>
      </w:r>
      <w:r w:rsidRPr="00F816FC">
        <w:rPr>
          <w:rFonts w:cs="Arial"/>
          <w:color w:val="000000"/>
          <w:shd w:val="clear" w:color="auto" w:fill="FFFFFF"/>
        </w:rPr>
        <w:t xml:space="preserve"> &amp;</w:t>
      </w:r>
      <w:r w:rsidRPr="00F816FC">
        <w:rPr>
          <w:rStyle w:val="apple-converted-space"/>
          <w:rFonts w:cs="Arial"/>
          <w:color w:val="000000"/>
          <w:shd w:val="clear" w:color="auto" w:fill="FFFFFF"/>
        </w:rPr>
        <w:t> </w:t>
      </w:r>
      <w:r w:rsidRPr="00F816FC">
        <w:rPr>
          <w:rStyle w:val="author"/>
          <w:rFonts w:cs="Arial"/>
          <w:color w:val="000000"/>
          <w:bdr w:val="none" w:sz="0" w:space="0" w:color="auto" w:frame="1"/>
          <w:shd w:val="clear" w:color="auto" w:fill="FFFFFF"/>
        </w:rPr>
        <w:t xml:space="preserve">Gallacher, D. (2006). </w:t>
      </w:r>
      <w:r w:rsidRPr="00F816FC">
        <w:rPr>
          <w:rStyle w:val="articletitle"/>
          <w:rFonts w:cs="Arial"/>
          <w:color w:val="000000"/>
          <w:bdr w:val="none" w:sz="0" w:space="0" w:color="auto" w:frame="1"/>
          <w:shd w:val="clear" w:color="auto" w:fill="FFFFFF"/>
        </w:rPr>
        <w:t>Survey of chronic pain in Europe: Prevalence, impact on daily life, and treatment</w:t>
      </w:r>
      <w:r w:rsidRPr="00F816FC">
        <w:rPr>
          <w:rFonts w:cs="Arial"/>
          <w:i/>
          <w:color w:val="000000"/>
          <w:shd w:val="clear" w:color="auto" w:fill="FFFFFF"/>
        </w:rPr>
        <w:t>.</w:t>
      </w:r>
      <w:r w:rsidRPr="00F816FC">
        <w:rPr>
          <w:rStyle w:val="apple-converted-space"/>
          <w:rFonts w:cs="Arial"/>
          <w:i/>
          <w:color w:val="000000"/>
          <w:shd w:val="clear" w:color="auto" w:fill="FFFFFF"/>
        </w:rPr>
        <w:t> </w:t>
      </w:r>
      <w:r w:rsidRPr="00F816FC">
        <w:rPr>
          <w:rStyle w:val="journaltitle"/>
          <w:rFonts w:cs="Arial"/>
          <w:i/>
          <w:iCs/>
          <w:color w:val="000000"/>
          <w:bdr w:val="none" w:sz="0" w:space="0" w:color="auto" w:frame="1"/>
          <w:shd w:val="clear" w:color="auto" w:fill="FFFFFF"/>
        </w:rPr>
        <w:t>European Journal of Pain</w:t>
      </w:r>
      <w:r w:rsidRPr="00F816FC">
        <w:rPr>
          <w:rStyle w:val="journaltitle"/>
          <w:rFonts w:cs="Arial"/>
          <w:iCs/>
          <w:color w:val="000000"/>
          <w:bdr w:val="none" w:sz="0" w:space="0" w:color="auto" w:frame="1"/>
          <w:shd w:val="clear" w:color="auto" w:fill="FFFFFF"/>
        </w:rPr>
        <w:t>,</w:t>
      </w:r>
      <w:r w:rsidRPr="00F816FC">
        <w:rPr>
          <w:rStyle w:val="apple-converted-space"/>
          <w:rFonts w:cs="Arial"/>
          <w:color w:val="000000"/>
          <w:shd w:val="clear" w:color="auto" w:fill="FFFFFF"/>
        </w:rPr>
        <w:t> </w:t>
      </w:r>
      <w:r w:rsidRPr="00F816FC">
        <w:rPr>
          <w:rStyle w:val="vol"/>
          <w:rFonts w:cs="Arial"/>
          <w:b/>
          <w:bCs/>
          <w:color w:val="000000"/>
          <w:bdr w:val="none" w:sz="0" w:space="0" w:color="auto" w:frame="1"/>
          <w:shd w:val="clear" w:color="auto" w:fill="FFFFFF"/>
        </w:rPr>
        <w:t>10</w:t>
      </w:r>
      <w:r w:rsidRPr="00F816FC">
        <w:rPr>
          <w:rFonts w:cs="Arial"/>
          <w:color w:val="000000"/>
          <w:shd w:val="clear" w:color="auto" w:fill="FFFFFF"/>
        </w:rPr>
        <w:t>,</w:t>
      </w:r>
      <w:r w:rsidRPr="00F816FC">
        <w:rPr>
          <w:rStyle w:val="apple-converted-space"/>
          <w:rFonts w:cs="Arial"/>
          <w:color w:val="000000"/>
          <w:shd w:val="clear" w:color="auto" w:fill="FFFFFF"/>
        </w:rPr>
        <w:t> </w:t>
      </w:r>
      <w:r w:rsidRPr="00F816FC">
        <w:rPr>
          <w:rStyle w:val="pagefirst"/>
          <w:rFonts w:cs="Arial"/>
          <w:color w:val="000000"/>
          <w:bdr w:val="none" w:sz="0" w:space="0" w:color="auto" w:frame="1"/>
          <w:shd w:val="clear" w:color="auto" w:fill="FFFFFF"/>
        </w:rPr>
        <w:t>287</w:t>
      </w:r>
      <w:r w:rsidRPr="00F816FC">
        <w:rPr>
          <w:rFonts w:cs="Arial"/>
          <w:color w:val="000000"/>
          <w:shd w:val="clear" w:color="auto" w:fill="FFFFFF"/>
        </w:rPr>
        <w:t>–</w:t>
      </w:r>
      <w:r w:rsidRPr="00F816FC">
        <w:rPr>
          <w:rStyle w:val="pagelast"/>
          <w:rFonts w:cs="Arial"/>
          <w:color w:val="000000"/>
          <w:bdr w:val="none" w:sz="0" w:space="0" w:color="auto" w:frame="1"/>
          <w:shd w:val="clear" w:color="auto" w:fill="FFFFFF"/>
        </w:rPr>
        <w:t>333.</w:t>
      </w:r>
    </w:p>
    <w:p w:rsidR="00FD0AE0" w:rsidRPr="00F816FC" w:rsidRDefault="00FD0AE0" w:rsidP="00892925">
      <w:pPr>
        <w:autoSpaceDE w:val="0"/>
        <w:autoSpaceDN w:val="0"/>
        <w:adjustRightInd w:val="0"/>
        <w:spacing w:after="0" w:line="360" w:lineRule="auto"/>
      </w:pPr>
    </w:p>
    <w:p w:rsidR="00FD0AE0" w:rsidRPr="00F816FC" w:rsidRDefault="00FD0AE0" w:rsidP="00892925">
      <w:pPr>
        <w:autoSpaceDE w:val="0"/>
        <w:autoSpaceDN w:val="0"/>
        <w:adjustRightInd w:val="0"/>
        <w:spacing w:after="0" w:line="360" w:lineRule="auto"/>
        <w:rPr>
          <w:rFonts w:cs="MinionPro-Capt"/>
        </w:rPr>
      </w:pPr>
      <w:r w:rsidRPr="00F816FC">
        <w:rPr>
          <w:rFonts w:cs="MinionPro-Capt"/>
        </w:rPr>
        <w:t xml:space="preserve">Brown, J., Hanlon, P., Turok, I., Webster, D., Arnott, J. &amp; Macdonald, E.B. (2009). Mental health as a reason for claiming incapacity benefit–a comparison of national and local trends. </w:t>
      </w:r>
      <w:r w:rsidRPr="00F816FC">
        <w:rPr>
          <w:rFonts w:cs="MinionPro-Capt"/>
          <w:i/>
        </w:rPr>
        <w:t>Journal of Public Health</w:t>
      </w:r>
      <w:r w:rsidRPr="00F816FC">
        <w:rPr>
          <w:rFonts w:cs="MinionPro-Capt"/>
        </w:rPr>
        <w:t xml:space="preserve">, </w:t>
      </w:r>
      <w:r w:rsidRPr="00F816FC">
        <w:rPr>
          <w:rFonts w:cs="MinionPro-Capt"/>
          <w:b/>
        </w:rPr>
        <w:t>31</w:t>
      </w:r>
      <w:r w:rsidRPr="00F816FC">
        <w:rPr>
          <w:rFonts w:cs="MinionPro-Capt"/>
        </w:rPr>
        <w:t>, 74–80.</w:t>
      </w:r>
    </w:p>
    <w:p w:rsidR="00FD0AE0" w:rsidRPr="00F816FC" w:rsidRDefault="00FD0AE0" w:rsidP="00892925">
      <w:pPr>
        <w:autoSpaceDE w:val="0"/>
        <w:autoSpaceDN w:val="0"/>
        <w:adjustRightInd w:val="0"/>
        <w:spacing w:after="0" w:line="360" w:lineRule="auto"/>
        <w:rPr>
          <w:rFonts w:cs="MinionPro-Capt"/>
        </w:rPr>
      </w:pPr>
    </w:p>
    <w:p w:rsidR="00FD0AE0" w:rsidRPr="00F816FC" w:rsidRDefault="00FD0AE0" w:rsidP="00892925">
      <w:pPr>
        <w:autoSpaceDE w:val="0"/>
        <w:autoSpaceDN w:val="0"/>
        <w:adjustRightInd w:val="0"/>
        <w:spacing w:after="0" w:line="360" w:lineRule="auto"/>
      </w:pPr>
      <w:r w:rsidRPr="00F816FC">
        <w:t xml:space="preserve">Cattrell, A., Harris, E.C., Palmer, K.T., Kim, M., Aylward, M. &amp; Coggon, D. (2011). Regional trends in awards of incapacity benefit by cause. </w:t>
      </w:r>
      <w:r w:rsidRPr="00F816FC">
        <w:rPr>
          <w:i/>
        </w:rPr>
        <w:t>Occupational Medicine</w:t>
      </w:r>
      <w:r w:rsidRPr="00F816FC">
        <w:t xml:space="preserve">, </w:t>
      </w:r>
      <w:r w:rsidRPr="00F816FC">
        <w:rPr>
          <w:b/>
        </w:rPr>
        <w:t>61</w:t>
      </w:r>
      <w:r w:rsidRPr="00F816FC">
        <w:t>, 148–151.</w:t>
      </w:r>
    </w:p>
    <w:p w:rsidR="00FD0AE0" w:rsidRPr="00F816FC" w:rsidRDefault="00FD0AE0" w:rsidP="00892925">
      <w:pPr>
        <w:autoSpaceDE w:val="0"/>
        <w:autoSpaceDN w:val="0"/>
        <w:adjustRightInd w:val="0"/>
        <w:spacing w:after="0" w:line="360" w:lineRule="auto"/>
        <w:rPr>
          <w:rFonts w:cs="AGaramond-Regular"/>
        </w:rPr>
      </w:pPr>
    </w:p>
    <w:p w:rsidR="00FD0AE0" w:rsidRPr="00F816FC" w:rsidRDefault="00FD0AE0" w:rsidP="00892925">
      <w:pPr>
        <w:autoSpaceDE w:val="0"/>
        <w:autoSpaceDN w:val="0"/>
        <w:adjustRightInd w:val="0"/>
        <w:spacing w:after="0" w:line="360" w:lineRule="auto"/>
      </w:pPr>
      <w:r w:rsidRPr="00F816FC">
        <w:t xml:space="preserve">Corbiere, M. &amp; Shen, J. (2006). A systematic review of psychological return-to-work interventions for people with mental health problems and/or physical injuries.  </w:t>
      </w:r>
      <w:r w:rsidRPr="00F816FC">
        <w:rPr>
          <w:i/>
        </w:rPr>
        <w:t>Canadian Journal of Community Mental Health</w:t>
      </w:r>
      <w:r w:rsidRPr="00F816FC">
        <w:t xml:space="preserve">, </w:t>
      </w:r>
      <w:r w:rsidRPr="00F816FC">
        <w:rPr>
          <w:b/>
          <w:bCs/>
        </w:rPr>
        <w:t>25</w:t>
      </w:r>
      <w:r w:rsidRPr="00F816FC">
        <w:t>, 261-288.</w:t>
      </w:r>
    </w:p>
    <w:p w:rsidR="00FD0AE0" w:rsidRPr="00F816FC" w:rsidRDefault="00FD0AE0" w:rsidP="00892925">
      <w:pPr>
        <w:autoSpaceDE w:val="0"/>
        <w:autoSpaceDN w:val="0"/>
        <w:adjustRightInd w:val="0"/>
        <w:spacing w:after="0" w:line="360" w:lineRule="auto"/>
        <w:rPr>
          <w:rFonts w:cs="AGaramond-Regular"/>
        </w:rPr>
      </w:pPr>
    </w:p>
    <w:p w:rsidR="00FD0AE0" w:rsidRPr="00F816FC" w:rsidRDefault="00FD0AE0" w:rsidP="00892925">
      <w:pPr>
        <w:autoSpaceDE w:val="0"/>
        <w:autoSpaceDN w:val="0"/>
        <w:adjustRightInd w:val="0"/>
        <w:spacing w:after="0" w:line="360" w:lineRule="auto"/>
      </w:pPr>
      <w:r w:rsidRPr="00F816FC">
        <w:t xml:space="preserve">Cornelius, L.R., van der Klink, J.J., Groothoff, J.W. &amp; Brouwer, S. (2011). Prognostic factors of long term disability due to mental disorders: a systematic review. </w:t>
      </w:r>
      <w:r w:rsidRPr="00F816FC">
        <w:rPr>
          <w:i/>
        </w:rPr>
        <w:t>Journal of Occupational Rehabilitation,</w:t>
      </w:r>
      <w:r w:rsidRPr="00F816FC">
        <w:t xml:space="preserve"> </w:t>
      </w:r>
      <w:r w:rsidRPr="00F816FC">
        <w:rPr>
          <w:b/>
        </w:rPr>
        <w:t>21</w:t>
      </w:r>
      <w:r w:rsidRPr="00F816FC">
        <w:t>, 259–274.</w:t>
      </w:r>
    </w:p>
    <w:p w:rsidR="00FD0AE0" w:rsidRPr="00F816FC" w:rsidRDefault="00FD0AE0" w:rsidP="00892925">
      <w:pPr>
        <w:autoSpaceDE w:val="0"/>
        <w:autoSpaceDN w:val="0"/>
        <w:adjustRightInd w:val="0"/>
        <w:spacing w:after="0" w:line="360" w:lineRule="auto"/>
        <w:rPr>
          <w:b/>
          <w:sz w:val="28"/>
          <w:szCs w:val="28"/>
        </w:rPr>
      </w:pPr>
    </w:p>
    <w:p w:rsidR="00E30E85" w:rsidRPr="00F816FC" w:rsidRDefault="002C1D47" w:rsidP="00892925">
      <w:pPr>
        <w:autoSpaceDE w:val="0"/>
        <w:autoSpaceDN w:val="0"/>
        <w:adjustRightInd w:val="0"/>
        <w:spacing w:after="0" w:line="360" w:lineRule="auto"/>
        <w:rPr>
          <w:rFonts w:cs="AGaramond-Regular"/>
        </w:rPr>
      </w:pPr>
      <w:r w:rsidRPr="00F816FC">
        <w:rPr>
          <w:rFonts w:cs="AGaramond-Regular"/>
        </w:rPr>
        <w:t>Ferrari</w:t>
      </w:r>
      <w:r w:rsidR="00F305E9" w:rsidRPr="00F816FC">
        <w:rPr>
          <w:rFonts w:cs="AGaramond-Regular"/>
        </w:rPr>
        <w:t>,</w:t>
      </w:r>
      <w:r w:rsidRPr="00F816FC">
        <w:rPr>
          <w:rFonts w:cs="AGaramond-Regular"/>
        </w:rPr>
        <w:t xml:space="preserve"> A</w:t>
      </w:r>
      <w:r w:rsidR="00F305E9" w:rsidRPr="00F816FC">
        <w:rPr>
          <w:rFonts w:cs="AGaramond-Regular"/>
        </w:rPr>
        <w:t>.</w:t>
      </w:r>
      <w:r w:rsidRPr="00F816FC">
        <w:rPr>
          <w:rFonts w:cs="AGaramond-Regular"/>
        </w:rPr>
        <w:t>J, Charlson</w:t>
      </w:r>
      <w:r w:rsidR="00F305E9" w:rsidRPr="00F816FC">
        <w:rPr>
          <w:rFonts w:cs="AGaramond-Regular"/>
        </w:rPr>
        <w:t>,</w:t>
      </w:r>
      <w:r w:rsidRPr="00F816FC">
        <w:rPr>
          <w:rFonts w:cs="AGaramond-Regular"/>
        </w:rPr>
        <w:t xml:space="preserve"> F</w:t>
      </w:r>
      <w:r w:rsidR="00F305E9" w:rsidRPr="00F816FC">
        <w:rPr>
          <w:rFonts w:cs="AGaramond-Regular"/>
        </w:rPr>
        <w:t>.</w:t>
      </w:r>
      <w:r w:rsidRPr="00F816FC">
        <w:rPr>
          <w:rFonts w:cs="AGaramond-Regular"/>
        </w:rPr>
        <w:t>J</w:t>
      </w:r>
      <w:r w:rsidR="00DB1DA2" w:rsidRPr="00F816FC">
        <w:rPr>
          <w:rFonts w:cs="AGaramond-Regular"/>
        </w:rPr>
        <w:t>, Norman</w:t>
      </w:r>
      <w:r w:rsidR="00F305E9" w:rsidRPr="00F816FC">
        <w:rPr>
          <w:rFonts w:cs="AGaramond-Regular"/>
        </w:rPr>
        <w:t>,</w:t>
      </w:r>
      <w:r w:rsidR="00DB1DA2" w:rsidRPr="00F816FC">
        <w:rPr>
          <w:rFonts w:cs="AGaramond-Regular"/>
        </w:rPr>
        <w:t xml:space="preserve"> R</w:t>
      </w:r>
      <w:r w:rsidR="00F305E9" w:rsidRPr="00F816FC">
        <w:rPr>
          <w:rFonts w:cs="AGaramond-Regular"/>
        </w:rPr>
        <w:t>.</w:t>
      </w:r>
      <w:r w:rsidR="00DB1DA2" w:rsidRPr="00F816FC">
        <w:rPr>
          <w:rFonts w:cs="AGaramond-Regular"/>
        </w:rPr>
        <w:t>E</w:t>
      </w:r>
      <w:r w:rsidR="00ED1F38" w:rsidRPr="00F816FC">
        <w:rPr>
          <w:rFonts w:cs="AGaramond-Regular"/>
        </w:rPr>
        <w:t>.</w:t>
      </w:r>
      <w:r w:rsidR="00F305E9" w:rsidRPr="00F816FC">
        <w:rPr>
          <w:rFonts w:cs="AGaramond-Regular"/>
        </w:rPr>
        <w:t>,</w:t>
      </w:r>
      <w:r w:rsidR="00DB1DA2" w:rsidRPr="00F816FC">
        <w:rPr>
          <w:rFonts w:cs="AGaramond-Regular"/>
        </w:rPr>
        <w:t xml:space="preserve"> </w:t>
      </w:r>
      <w:r w:rsidRPr="00F816FC">
        <w:rPr>
          <w:rFonts w:cs="AGaramond-Regular"/>
          <w:i/>
        </w:rPr>
        <w:t>et al</w:t>
      </w:r>
      <w:r w:rsidR="00F305E9" w:rsidRPr="00F816FC">
        <w:rPr>
          <w:rFonts w:cs="AGaramond-Regular"/>
        </w:rPr>
        <w:t>.</w:t>
      </w:r>
      <w:r w:rsidR="00CA4B00" w:rsidRPr="00F816FC">
        <w:rPr>
          <w:rFonts w:cs="AGaramond-Regular"/>
        </w:rPr>
        <w:t xml:space="preserve"> (2013)</w:t>
      </w:r>
      <w:r w:rsidR="00ED1F38" w:rsidRPr="00F816FC">
        <w:rPr>
          <w:rFonts w:cs="AGaramond-Regular"/>
        </w:rPr>
        <w:t>.</w:t>
      </w:r>
      <w:r w:rsidR="00CA4B00" w:rsidRPr="00F816FC">
        <w:rPr>
          <w:rFonts w:cs="AGaramond-Regular"/>
        </w:rPr>
        <w:t xml:space="preserve"> </w:t>
      </w:r>
      <w:r w:rsidRPr="00F816FC">
        <w:rPr>
          <w:rFonts w:cs="AGaramond-Regular"/>
        </w:rPr>
        <w:t>The epidemiological modelling of major depressive disorder: application for the Global Burden of</w:t>
      </w:r>
      <w:r w:rsidR="00DB1DA2" w:rsidRPr="00F816FC">
        <w:rPr>
          <w:rFonts w:cs="AGaramond-Regular"/>
        </w:rPr>
        <w:t xml:space="preserve"> </w:t>
      </w:r>
      <w:r w:rsidRPr="00F816FC">
        <w:rPr>
          <w:rFonts w:cs="AGaramond-Regular"/>
        </w:rPr>
        <w:t>Disease Study 2010</w:t>
      </w:r>
      <w:r w:rsidRPr="00F816FC">
        <w:rPr>
          <w:rFonts w:cs="AGaramond-Regular"/>
          <w:i/>
        </w:rPr>
        <w:t xml:space="preserve">. </w:t>
      </w:r>
      <w:r w:rsidRPr="00F816FC">
        <w:rPr>
          <w:rFonts w:cs="AGaramond-Italic"/>
          <w:i/>
          <w:iCs/>
        </w:rPr>
        <w:t>PLoS One</w:t>
      </w:r>
      <w:r w:rsidR="00F305E9" w:rsidRPr="00F816FC">
        <w:rPr>
          <w:rFonts w:cs="AGaramond-Italic"/>
          <w:iCs/>
        </w:rPr>
        <w:t>,</w:t>
      </w:r>
      <w:r w:rsidR="00CA4B00" w:rsidRPr="00F816FC">
        <w:rPr>
          <w:rFonts w:cs="AGaramond-Regular"/>
        </w:rPr>
        <w:t xml:space="preserve"> </w:t>
      </w:r>
      <w:r w:rsidRPr="00F816FC">
        <w:rPr>
          <w:rFonts w:cs="AGaramond-Bold"/>
          <w:b/>
          <w:bCs/>
        </w:rPr>
        <w:t>8</w:t>
      </w:r>
      <w:r w:rsidR="00ED1F38" w:rsidRPr="00F816FC">
        <w:rPr>
          <w:rFonts w:cs="AGaramond-Regular"/>
        </w:rPr>
        <w:t>,</w:t>
      </w:r>
      <w:r w:rsidRPr="00F816FC">
        <w:rPr>
          <w:rFonts w:cs="AGaramond-Regular"/>
        </w:rPr>
        <w:t xml:space="preserve"> e69637</w:t>
      </w:r>
      <w:r w:rsidR="00E30E85" w:rsidRPr="00F816FC">
        <w:rPr>
          <w:rFonts w:cs="AGaramond-Regular"/>
        </w:rPr>
        <w:t>.</w:t>
      </w:r>
    </w:p>
    <w:p w:rsidR="00FD0AE0" w:rsidRPr="00F816FC" w:rsidRDefault="00FD0AE0" w:rsidP="00892925">
      <w:pPr>
        <w:autoSpaceDE w:val="0"/>
        <w:autoSpaceDN w:val="0"/>
        <w:adjustRightInd w:val="0"/>
        <w:spacing w:after="0" w:line="360" w:lineRule="auto"/>
        <w:rPr>
          <w:rFonts w:cs="AGaramond-Regular"/>
        </w:rPr>
      </w:pPr>
    </w:p>
    <w:p w:rsidR="00FD0AE0" w:rsidRPr="00F816FC" w:rsidRDefault="00FD0AE0" w:rsidP="00892925">
      <w:pPr>
        <w:autoSpaceDE w:val="0"/>
        <w:autoSpaceDN w:val="0"/>
        <w:adjustRightInd w:val="0"/>
        <w:spacing w:after="0" w:line="360" w:lineRule="auto"/>
      </w:pPr>
      <w:r w:rsidRPr="00F816FC">
        <w:lastRenderedPageBreak/>
        <w:t xml:space="preserve">Hansson, E., Hansson, T. &amp; Jonsson, R. (2006). Predictors for work ability and disability in men and women with low-back or neck problems. </w:t>
      </w:r>
      <w:r w:rsidRPr="00F816FC">
        <w:rPr>
          <w:i/>
        </w:rPr>
        <w:t>European Spine Journal,</w:t>
      </w:r>
      <w:r w:rsidRPr="00F816FC">
        <w:t xml:space="preserve"> </w:t>
      </w:r>
      <w:r w:rsidRPr="00F816FC">
        <w:rPr>
          <w:b/>
        </w:rPr>
        <w:t>15</w:t>
      </w:r>
      <w:r w:rsidRPr="00F816FC">
        <w:t>, 780–793.</w:t>
      </w:r>
    </w:p>
    <w:p w:rsidR="00FD0AE0" w:rsidRPr="00F816FC" w:rsidRDefault="00FD0AE0" w:rsidP="00892925">
      <w:pPr>
        <w:autoSpaceDE w:val="0"/>
        <w:autoSpaceDN w:val="0"/>
        <w:adjustRightInd w:val="0"/>
        <w:spacing w:after="0" w:line="360" w:lineRule="auto"/>
        <w:rPr>
          <w:rFonts w:cs="AGaramond-Regular"/>
        </w:rPr>
      </w:pPr>
    </w:p>
    <w:p w:rsidR="00FD0AE0" w:rsidRPr="00F816FC" w:rsidRDefault="00FD0AE0" w:rsidP="00892925">
      <w:pPr>
        <w:autoSpaceDE w:val="0"/>
        <w:autoSpaceDN w:val="0"/>
        <w:adjustRightInd w:val="0"/>
        <w:spacing w:after="0" w:line="360" w:lineRule="auto"/>
        <w:rPr>
          <w:rFonts w:cs="AdvTimes"/>
        </w:rPr>
      </w:pPr>
      <w:r w:rsidRPr="00F816FC">
        <w:rPr>
          <w:bCs/>
        </w:rPr>
        <w:t>Harvey,</w:t>
      </w:r>
      <w:r w:rsidRPr="00F816FC">
        <w:t xml:space="preserve"> S.B, Glozier, N., Henderson, M., Allaway, S., Litchfield, P., Holland-Elliott, K. &amp; Hotopf, M</w:t>
      </w:r>
      <w:r w:rsidRPr="00F816FC">
        <w:rPr>
          <w:rFonts w:cs="AdvTIMES-SC"/>
        </w:rPr>
        <w:t>. (2011).</w:t>
      </w:r>
      <w:r w:rsidRPr="00F816FC">
        <w:rPr>
          <w:rFonts w:cs="AdvTimes"/>
        </w:rPr>
        <w:t xml:space="preserve"> Depression and work performance: an ecological study using web-based screening. </w:t>
      </w:r>
      <w:r w:rsidRPr="00F816FC">
        <w:rPr>
          <w:rFonts w:cs="AdvTimes"/>
          <w:i/>
        </w:rPr>
        <w:t>Occupational Medicine,</w:t>
      </w:r>
      <w:r w:rsidRPr="00F816FC">
        <w:rPr>
          <w:rFonts w:cs="AdvTimes"/>
        </w:rPr>
        <w:t xml:space="preserve"> </w:t>
      </w:r>
      <w:r w:rsidRPr="00F816FC">
        <w:rPr>
          <w:rFonts w:cs="AdvTimes-b"/>
          <w:b/>
        </w:rPr>
        <w:t>61</w:t>
      </w:r>
      <w:r w:rsidRPr="00F816FC">
        <w:rPr>
          <w:rFonts w:cs="AdvTimes"/>
        </w:rPr>
        <w:t>, 209–211.</w:t>
      </w:r>
    </w:p>
    <w:p w:rsidR="00FD0AE0" w:rsidRPr="00F816FC" w:rsidRDefault="00FD0AE0" w:rsidP="00892925">
      <w:pPr>
        <w:autoSpaceDE w:val="0"/>
        <w:autoSpaceDN w:val="0"/>
        <w:adjustRightInd w:val="0"/>
        <w:spacing w:after="0" w:line="360" w:lineRule="auto"/>
        <w:rPr>
          <w:rFonts w:cs="AGaramond-Regular"/>
        </w:rPr>
      </w:pPr>
    </w:p>
    <w:p w:rsidR="00FD0AE0" w:rsidRPr="00F816FC" w:rsidRDefault="00FD0AE0" w:rsidP="00892925">
      <w:pPr>
        <w:autoSpaceDE w:val="0"/>
        <w:autoSpaceDN w:val="0"/>
        <w:adjustRightInd w:val="0"/>
        <w:spacing w:after="0" w:line="360" w:lineRule="auto"/>
      </w:pPr>
      <w:r w:rsidRPr="00F816FC">
        <w:t xml:space="preserve">Hensing, G., Andersson, L. &amp; Brage, S. (2006). Increase in sickness absence with psychiatric diagnosis in Norway: a general population-based epidemiologic study of age, gender and regional distribution. </w:t>
      </w:r>
      <w:r w:rsidRPr="00F816FC">
        <w:rPr>
          <w:i/>
        </w:rPr>
        <w:t>BMC Medicine,</w:t>
      </w:r>
      <w:r w:rsidRPr="00F816FC">
        <w:t xml:space="preserve"> </w:t>
      </w:r>
      <w:r w:rsidRPr="00F816FC">
        <w:rPr>
          <w:b/>
        </w:rPr>
        <w:t>4</w:t>
      </w:r>
      <w:r w:rsidRPr="00F816FC">
        <w:t>, 19–28.</w:t>
      </w:r>
    </w:p>
    <w:p w:rsidR="00F722E0" w:rsidRPr="00F816FC" w:rsidRDefault="00F722E0" w:rsidP="00892925">
      <w:pPr>
        <w:autoSpaceDE w:val="0"/>
        <w:autoSpaceDN w:val="0"/>
        <w:adjustRightInd w:val="0"/>
        <w:spacing w:after="0" w:line="360" w:lineRule="auto"/>
        <w:rPr>
          <w:rFonts w:cs="AGaramond-Regular"/>
        </w:rPr>
      </w:pPr>
    </w:p>
    <w:p w:rsidR="00FD0AE0" w:rsidRPr="00F816FC" w:rsidRDefault="00FD0AE0" w:rsidP="00892925">
      <w:pPr>
        <w:autoSpaceDE w:val="0"/>
        <w:autoSpaceDN w:val="0"/>
        <w:adjustRightInd w:val="0"/>
        <w:spacing w:after="0" w:line="360" w:lineRule="auto"/>
        <w:rPr>
          <w:rFonts w:cs="MinionPro-Capt"/>
        </w:rPr>
      </w:pPr>
      <w:r w:rsidRPr="00F816FC">
        <w:rPr>
          <w:rFonts w:cs="MinionPro-Capt"/>
        </w:rPr>
        <w:t xml:space="preserve">Hensing, G. &amp; Wahlström, R. (2007). Sickness absence and psychiatric disorders. </w:t>
      </w:r>
      <w:r w:rsidRPr="00F816FC">
        <w:rPr>
          <w:rFonts w:cs="MinionPro-Capt"/>
          <w:i/>
        </w:rPr>
        <w:t>Scandinavian Journal of Public Health</w:t>
      </w:r>
      <w:r w:rsidRPr="00F816FC">
        <w:rPr>
          <w:rFonts w:cs="MinionPro-Capt"/>
        </w:rPr>
        <w:t xml:space="preserve"> (Supplement), </w:t>
      </w:r>
      <w:r w:rsidRPr="00F816FC">
        <w:rPr>
          <w:rFonts w:cs="MinionPro-Capt"/>
          <w:b/>
        </w:rPr>
        <w:t>63</w:t>
      </w:r>
      <w:r w:rsidRPr="00F816FC">
        <w:rPr>
          <w:rFonts w:cs="MinionPro-Capt"/>
        </w:rPr>
        <w:t>, 152–180.</w:t>
      </w:r>
    </w:p>
    <w:p w:rsidR="00FD0AE0" w:rsidRPr="00F816FC" w:rsidRDefault="00FD0AE0" w:rsidP="00892925">
      <w:pPr>
        <w:autoSpaceDE w:val="0"/>
        <w:autoSpaceDN w:val="0"/>
        <w:adjustRightInd w:val="0"/>
        <w:spacing w:after="0" w:line="360" w:lineRule="auto"/>
        <w:rPr>
          <w:rFonts w:cs="AGaramond-Regular"/>
        </w:rPr>
      </w:pPr>
    </w:p>
    <w:p w:rsidR="00F722E0" w:rsidRPr="00F816FC" w:rsidRDefault="00F722E0" w:rsidP="00892925">
      <w:pPr>
        <w:autoSpaceDE w:val="0"/>
        <w:autoSpaceDN w:val="0"/>
        <w:adjustRightInd w:val="0"/>
        <w:spacing w:after="0" w:line="360" w:lineRule="auto"/>
        <w:rPr>
          <w:shd w:val="clear" w:color="auto" w:fill="FFFFFF"/>
        </w:rPr>
      </w:pPr>
      <w:r w:rsidRPr="00F816FC">
        <w:rPr>
          <w:shd w:val="clear" w:color="auto" w:fill="FFFFFF"/>
        </w:rPr>
        <w:t xml:space="preserve">Joyce, S., Modini, M., Christensen, H., </w:t>
      </w:r>
      <w:r w:rsidRPr="00F816FC">
        <w:t>Mykletun, A., Bryant, R., Mitchell, P.B. &amp; Harvey, S.B.</w:t>
      </w:r>
      <w:r w:rsidRPr="00F816FC">
        <w:rPr>
          <w:shd w:val="clear" w:color="auto" w:fill="FFFFFF"/>
        </w:rPr>
        <w:t xml:space="preserve"> (2015). Workplace interventions for common mental disorders: a systematic meta-review. </w:t>
      </w:r>
      <w:r w:rsidRPr="00F816FC">
        <w:rPr>
          <w:i/>
          <w:shd w:val="clear" w:color="auto" w:fill="FFFFFF"/>
        </w:rPr>
        <w:t>Psychological Medicine</w:t>
      </w:r>
      <w:r w:rsidRPr="00F816FC">
        <w:rPr>
          <w:shd w:val="clear" w:color="auto" w:fill="FFFFFF"/>
        </w:rPr>
        <w:t xml:space="preserve">, </w:t>
      </w:r>
      <w:r w:rsidRPr="00F816FC">
        <w:rPr>
          <w:b/>
          <w:shd w:val="clear" w:color="auto" w:fill="FFFFFF"/>
        </w:rPr>
        <w:t>1</w:t>
      </w:r>
      <w:r w:rsidRPr="00F816FC">
        <w:rPr>
          <w:shd w:val="clear" w:color="auto" w:fill="FFFFFF"/>
        </w:rPr>
        <w:t>, 1-15.</w:t>
      </w:r>
    </w:p>
    <w:p w:rsidR="00CA4B00" w:rsidRPr="00F816FC" w:rsidRDefault="00CA4B00" w:rsidP="00892925">
      <w:pPr>
        <w:autoSpaceDE w:val="0"/>
        <w:autoSpaceDN w:val="0"/>
        <w:adjustRightInd w:val="0"/>
        <w:spacing w:after="0" w:line="360" w:lineRule="auto"/>
        <w:rPr>
          <w:rFonts w:cs="AGaramond-Regular"/>
        </w:rPr>
      </w:pPr>
    </w:p>
    <w:p w:rsidR="00F722E0" w:rsidRPr="00F816FC" w:rsidRDefault="00F722E0" w:rsidP="00892925">
      <w:pPr>
        <w:autoSpaceDE w:val="0"/>
        <w:autoSpaceDN w:val="0"/>
        <w:adjustRightInd w:val="0"/>
        <w:spacing w:after="0" w:line="360" w:lineRule="auto"/>
        <w:rPr>
          <w:rFonts w:cs="Arial"/>
          <w:bCs/>
        </w:rPr>
      </w:pPr>
      <w:r w:rsidRPr="00F816FC">
        <w:rPr>
          <w:rFonts w:cs="Arial"/>
          <w:bCs/>
        </w:rPr>
        <w:t xml:space="preserve">Knudsen, A.K., Harvey, S.B., Mykletun, A., &amp; Øverland, S. (2013). Common mental disorders and long-term sickness absence in a general working population. The Hordaland Health Study.  </w:t>
      </w:r>
      <w:r w:rsidRPr="00F816FC">
        <w:rPr>
          <w:rFonts w:cs="Arial"/>
          <w:bCs/>
          <w:i/>
        </w:rPr>
        <w:t>Acta Psychiatrica Scandinavica</w:t>
      </w:r>
      <w:r w:rsidRPr="00F816FC">
        <w:rPr>
          <w:rFonts w:cs="Arial"/>
          <w:bCs/>
        </w:rPr>
        <w:t xml:space="preserve">, </w:t>
      </w:r>
      <w:r w:rsidRPr="00F816FC">
        <w:rPr>
          <w:rFonts w:cs="Arial"/>
          <w:b/>
          <w:bCs/>
        </w:rPr>
        <w:t>127</w:t>
      </w:r>
      <w:r w:rsidRPr="00F816FC">
        <w:rPr>
          <w:rFonts w:cs="Arial"/>
          <w:bCs/>
        </w:rPr>
        <w:t>, 287–297.</w:t>
      </w:r>
    </w:p>
    <w:p w:rsidR="00F722E0" w:rsidRPr="00F816FC" w:rsidRDefault="00F722E0" w:rsidP="00892925">
      <w:pPr>
        <w:autoSpaceDE w:val="0"/>
        <w:autoSpaceDN w:val="0"/>
        <w:adjustRightInd w:val="0"/>
        <w:spacing w:after="0" w:line="360" w:lineRule="auto"/>
        <w:rPr>
          <w:rFonts w:cs="Arial"/>
          <w:bCs/>
        </w:rPr>
      </w:pPr>
    </w:p>
    <w:p w:rsidR="00F722E0" w:rsidRPr="00F816FC" w:rsidRDefault="00F722E0" w:rsidP="00892925">
      <w:pPr>
        <w:autoSpaceDE w:val="0"/>
        <w:autoSpaceDN w:val="0"/>
        <w:adjustRightInd w:val="0"/>
        <w:spacing w:after="0" w:line="360" w:lineRule="auto"/>
        <w:rPr>
          <w:rFonts w:eastAsia="Times New Roman" w:cs="Arial"/>
          <w:bCs/>
          <w:color w:val="000000"/>
          <w:kern w:val="36"/>
          <w:lang w:eastAsia="en-GB"/>
        </w:rPr>
      </w:pPr>
      <w:r w:rsidRPr="00F816FC">
        <w:rPr>
          <w:rFonts w:eastAsia="Times New Roman" w:cs="Arial"/>
          <w:bCs/>
          <w:color w:val="000000"/>
          <w:kern w:val="36"/>
          <w:lang w:eastAsia="en-GB"/>
        </w:rPr>
        <w:t xml:space="preserve">Koopmans, P.C., Bultmann, U., Roelen, C.A.M., Hoedeman, R., van der Klink, J.J.L. &amp; Groothoff, J.W. (2011). Recurrence of sickness absence due to common mental disorders.  </w:t>
      </w:r>
      <w:r w:rsidRPr="00F816FC">
        <w:rPr>
          <w:rFonts w:eastAsia="Times New Roman" w:cs="Arial"/>
          <w:bCs/>
          <w:i/>
          <w:color w:val="000000"/>
          <w:kern w:val="36"/>
          <w:lang w:eastAsia="en-GB"/>
        </w:rPr>
        <w:t>International Archives of</w:t>
      </w:r>
      <w:r w:rsidRPr="00F816FC">
        <w:rPr>
          <w:rFonts w:eastAsia="Times New Roman" w:cs="Arial"/>
          <w:bCs/>
          <w:color w:val="000000"/>
          <w:kern w:val="36"/>
          <w:lang w:eastAsia="en-GB"/>
        </w:rPr>
        <w:t xml:space="preserve"> </w:t>
      </w:r>
      <w:r w:rsidRPr="00F816FC">
        <w:rPr>
          <w:rFonts w:eastAsia="Times New Roman" w:cs="Arial"/>
          <w:bCs/>
          <w:i/>
          <w:color w:val="000000"/>
          <w:kern w:val="36"/>
          <w:lang w:eastAsia="en-GB"/>
        </w:rPr>
        <w:t>Occupational and Environmental Health,</w:t>
      </w:r>
      <w:r w:rsidRPr="00F816FC">
        <w:rPr>
          <w:rFonts w:eastAsia="Times New Roman" w:cs="Arial"/>
          <w:bCs/>
          <w:color w:val="000000"/>
          <w:kern w:val="36"/>
          <w:lang w:eastAsia="en-GB"/>
        </w:rPr>
        <w:t xml:space="preserve"> </w:t>
      </w:r>
      <w:r w:rsidRPr="00F816FC">
        <w:rPr>
          <w:rFonts w:eastAsia="Times New Roman" w:cs="Arial"/>
          <w:b/>
          <w:bCs/>
          <w:color w:val="000000"/>
          <w:kern w:val="36"/>
          <w:lang w:eastAsia="en-GB"/>
        </w:rPr>
        <w:t>84</w:t>
      </w:r>
      <w:r w:rsidRPr="00F816FC">
        <w:rPr>
          <w:rFonts w:eastAsia="Times New Roman" w:cs="Arial"/>
          <w:bCs/>
          <w:color w:val="000000"/>
          <w:kern w:val="36"/>
          <w:lang w:eastAsia="en-GB"/>
        </w:rPr>
        <w:t>, 193-201.</w:t>
      </w:r>
    </w:p>
    <w:p w:rsidR="00F722E0" w:rsidRPr="00F816FC" w:rsidRDefault="00F722E0" w:rsidP="00892925">
      <w:pPr>
        <w:autoSpaceDE w:val="0"/>
        <w:autoSpaceDN w:val="0"/>
        <w:adjustRightInd w:val="0"/>
        <w:spacing w:after="0" w:line="360" w:lineRule="auto"/>
        <w:rPr>
          <w:rFonts w:cs="Arial"/>
          <w:bCs/>
        </w:rPr>
      </w:pPr>
    </w:p>
    <w:p w:rsidR="00F722E0" w:rsidRPr="00F816FC" w:rsidRDefault="00F722E0" w:rsidP="00892925">
      <w:pPr>
        <w:autoSpaceDE w:val="0"/>
        <w:autoSpaceDN w:val="0"/>
        <w:adjustRightInd w:val="0"/>
        <w:spacing w:after="0" w:line="360" w:lineRule="auto"/>
        <w:rPr>
          <w:rFonts w:cs="AdvTimes"/>
        </w:rPr>
      </w:pPr>
      <w:r w:rsidRPr="00F816FC">
        <w:rPr>
          <w:rFonts w:cs="AdvTIMES-SC"/>
        </w:rPr>
        <w:t>Koopmans, P.C.</w:t>
      </w:r>
      <w:r w:rsidRPr="00F816FC">
        <w:rPr>
          <w:rFonts w:cs="AdvTimes"/>
        </w:rPr>
        <w:t xml:space="preserve">, </w:t>
      </w:r>
      <w:r w:rsidRPr="00F816FC">
        <w:rPr>
          <w:rFonts w:cs="AdvTIMES-SC"/>
        </w:rPr>
        <w:t>Roelen, C.A.M.</w:t>
      </w:r>
      <w:r w:rsidRPr="00F816FC">
        <w:rPr>
          <w:rFonts w:cs="AdvTimes"/>
        </w:rPr>
        <w:t xml:space="preserve"> &amp; </w:t>
      </w:r>
      <w:r w:rsidRPr="00F816FC">
        <w:rPr>
          <w:rFonts w:cs="AdvTIMES-SC"/>
        </w:rPr>
        <w:t>Groothoff, J.W. (2008).</w:t>
      </w:r>
      <w:r w:rsidRPr="00F816FC">
        <w:rPr>
          <w:rFonts w:cs="AdvTimes"/>
        </w:rPr>
        <w:t xml:space="preserve"> Sickness absence due to depressive symptoms. </w:t>
      </w:r>
      <w:r w:rsidRPr="00F816FC">
        <w:rPr>
          <w:rFonts w:cs="AdvTimes"/>
          <w:i/>
        </w:rPr>
        <w:t>International Archives of Occupational and Environmental Health,</w:t>
      </w:r>
      <w:r w:rsidRPr="00F816FC">
        <w:rPr>
          <w:rFonts w:cs="AdvTimes"/>
        </w:rPr>
        <w:t xml:space="preserve"> </w:t>
      </w:r>
      <w:r w:rsidRPr="00F816FC">
        <w:rPr>
          <w:rFonts w:cs="AdvTimes-b"/>
          <w:b/>
        </w:rPr>
        <w:t>81</w:t>
      </w:r>
      <w:r w:rsidRPr="00F816FC">
        <w:rPr>
          <w:rFonts w:cs="AdvTimes"/>
        </w:rPr>
        <w:t>, 711–719.</w:t>
      </w:r>
    </w:p>
    <w:p w:rsidR="00FA1FAD" w:rsidRPr="00F816FC" w:rsidRDefault="00FA1FAD" w:rsidP="00892925">
      <w:pPr>
        <w:autoSpaceDE w:val="0"/>
        <w:autoSpaceDN w:val="0"/>
        <w:adjustRightInd w:val="0"/>
        <w:spacing w:after="0" w:line="360" w:lineRule="auto"/>
        <w:rPr>
          <w:rFonts w:cs="AdvTimes"/>
        </w:rPr>
      </w:pPr>
    </w:p>
    <w:p w:rsidR="00FA1FAD" w:rsidRPr="00F816FC" w:rsidRDefault="00FA1FAD" w:rsidP="00FA1FAD">
      <w:pPr>
        <w:spacing w:after="0" w:line="360" w:lineRule="auto"/>
        <w:rPr>
          <w:rFonts w:eastAsia="Times New Roman" w:cstheme="minorHAnsi"/>
          <w:lang w:eastAsia="en-GB"/>
        </w:rPr>
      </w:pPr>
      <w:r w:rsidRPr="00F816FC">
        <w:rPr>
          <w:rFonts w:eastAsia="Times New Roman" w:cstheme="minorHAnsi"/>
          <w:lang w:eastAsia="en-GB"/>
        </w:rPr>
        <w:t xml:space="preserve">Kroenke, K., Wu, J., Bair, M.J., Krebs, E.E., Damush, T.M. &amp; Tu, W. (2011). Reciprocal relationship between pain and depression: a 12-month longitudinal analysis in primary care. </w:t>
      </w:r>
      <w:r w:rsidRPr="00F816FC">
        <w:rPr>
          <w:rFonts w:eastAsia="Times New Roman" w:cstheme="minorHAnsi"/>
          <w:i/>
          <w:lang w:eastAsia="en-GB"/>
        </w:rPr>
        <w:t>Journal of Pain</w:t>
      </w:r>
      <w:r w:rsidRPr="00F816FC">
        <w:rPr>
          <w:rFonts w:eastAsia="Times New Roman" w:cstheme="minorHAnsi"/>
          <w:b/>
          <w:lang w:eastAsia="en-GB"/>
        </w:rPr>
        <w:t>, 12</w:t>
      </w:r>
      <w:r w:rsidRPr="00F816FC">
        <w:rPr>
          <w:rFonts w:eastAsia="Times New Roman" w:cstheme="minorHAnsi"/>
          <w:lang w:eastAsia="en-GB"/>
        </w:rPr>
        <w:t>, 964–973.</w:t>
      </w:r>
    </w:p>
    <w:p w:rsidR="00F722E0" w:rsidRPr="00F816FC" w:rsidRDefault="00F722E0" w:rsidP="00892925">
      <w:pPr>
        <w:autoSpaceDE w:val="0"/>
        <w:autoSpaceDN w:val="0"/>
        <w:adjustRightInd w:val="0"/>
        <w:spacing w:after="0" w:line="360" w:lineRule="auto"/>
        <w:rPr>
          <w:rFonts w:cs="Arial"/>
          <w:bCs/>
        </w:rPr>
      </w:pPr>
    </w:p>
    <w:p w:rsidR="00D66AF3" w:rsidRPr="00F816FC" w:rsidRDefault="002C1D47" w:rsidP="00892925">
      <w:pPr>
        <w:autoSpaceDE w:val="0"/>
        <w:autoSpaceDN w:val="0"/>
        <w:adjustRightInd w:val="0"/>
        <w:spacing w:after="0" w:line="360" w:lineRule="auto"/>
        <w:rPr>
          <w:rFonts w:cs="AGaramond-Regular"/>
        </w:rPr>
      </w:pPr>
      <w:r w:rsidRPr="00F816FC">
        <w:rPr>
          <w:rFonts w:cs="AGaramond-Regular"/>
        </w:rPr>
        <w:t>Lerner</w:t>
      </w:r>
      <w:r w:rsidR="00ED1F38" w:rsidRPr="00F816FC">
        <w:rPr>
          <w:rFonts w:cs="AGaramond-Regular"/>
        </w:rPr>
        <w:t>,</w:t>
      </w:r>
      <w:r w:rsidRPr="00F816FC">
        <w:rPr>
          <w:rFonts w:cs="AGaramond-Regular"/>
        </w:rPr>
        <w:t xml:space="preserve"> D</w:t>
      </w:r>
      <w:r w:rsidR="00ED1F38" w:rsidRPr="00F816FC">
        <w:rPr>
          <w:rFonts w:cs="AGaramond-Regular"/>
        </w:rPr>
        <w:t>. &amp;</w:t>
      </w:r>
      <w:r w:rsidRPr="00F816FC">
        <w:rPr>
          <w:rFonts w:cs="AGaramond-Regular"/>
        </w:rPr>
        <w:t xml:space="preserve"> Henke</w:t>
      </w:r>
      <w:r w:rsidR="00ED1F38" w:rsidRPr="00F816FC">
        <w:rPr>
          <w:rFonts w:cs="AGaramond-Regular"/>
        </w:rPr>
        <w:t>,</w:t>
      </w:r>
      <w:r w:rsidRPr="00F816FC">
        <w:rPr>
          <w:rFonts w:cs="AGaramond-Regular"/>
        </w:rPr>
        <w:t xml:space="preserve"> R</w:t>
      </w:r>
      <w:r w:rsidR="00ED1F38" w:rsidRPr="00F816FC">
        <w:rPr>
          <w:rFonts w:cs="AGaramond-Regular"/>
        </w:rPr>
        <w:t>.</w:t>
      </w:r>
      <w:r w:rsidRPr="00F816FC">
        <w:rPr>
          <w:rFonts w:cs="AGaramond-Regular"/>
        </w:rPr>
        <w:t>M</w:t>
      </w:r>
      <w:r w:rsidR="00ED1F38" w:rsidRPr="00F816FC">
        <w:rPr>
          <w:rFonts w:cs="AGaramond-Regular"/>
        </w:rPr>
        <w:t>.</w:t>
      </w:r>
      <w:r w:rsidR="00CA4B00" w:rsidRPr="00F816FC">
        <w:rPr>
          <w:rFonts w:cs="AGaramond-Regular"/>
        </w:rPr>
        <w:t xml:space="preserve"> (2008)</w:t>
      </w:r>
      <w:r w:rsidRPr="00F816FC">
        <w:rPr>
          <w:rFonts w:cs="AGaramond-Regular"/>
        </w:rPr>
        <w:t>. W</w:t>
      </w:r>
      <w:r w:rsidR="00E30E85" w:rsidRPr="00F816FC">
        <w:rPr>
          <w:rFonts w:cs="AGaramond-Regular"/>
        </w:rPr>
        <w:t xml:space="preserve">hat does research tell us about </w:t>
      </w:r>
      <w:r w:rsidRPr="00F816FC">
        <w:rPr>
          <w:rFonts w:cs="AGaramond-Regular"/>
        </w:rPr>
        <w:t>depression, job performanc</w:t>
      </w:r>
      <w:r w:rsidR="00E30E85" w:rsidRPr="00F816FC">
        <w:rPr>
          <w:rFonts w:cs="AGaramond-Regular"/>
        </w:rPr>
        <w:t>e, and work productivity?</w:t>
      </w:r>
      <w:r w:rsidR="006823F4" w:rsidRPr="00F816FC">
        <w:rPr>
          <w:rFonts w:cs="AGaramond-Regular"/>
        </w:rPr>
        <w:t xml:space="preserve"> </w:t>
      </w:r>
      <w:r w:rsidR="00CA4B00" w:rsidRPr="00F816FC">
        <w:rPr>
          <w:rFonts w:cs="AGaramond-Regular"/>
        </w:rPr>
        <w:t xml:space="preserve"> </w:t>
      </w:r>
      <w:r w:rsidRPr="00F816FC">
        <w:rPr>
          <w:rFonts w:cs="AGaramond-Italic"/>
          <w:i/>
          <w:iCs/>
        </w:rPr>
        <w:t>Journal of Occupational and Environmental Medicine</w:t>
      </w:r>
      <w:r w:rsidR="00122B4E" w:rsidRPr="00F816FC">
        <w:rPr>
          <w:rFonts w:cs="AGaramond-Italic"/>
          <w:i/>
          <w:iCs/>
        </w:rPr>
        <w:t>,</w:t>
      </w:r>
      <w:r w:rsidR="00CA4B00" w:rsidRPr="00F816FC">
        <w:rPr>
          <w:rFonts w:cs="AGaramond-Regular"/>
          <w:i/>
        </w:rPr>
        <w:t xml:space="preserve"> </w:t>
      </w:r>
      <w:r w:rsidRPr="00F816FC">
        <w:rPr>
          <w:rFonts w:cs="AGaramond-Bold"/>
          <w:b/>
          <w:bCs/>
        </w:rPr>
        <w:t>50</w:t>
      </w:r>
      <w:r w:rsidR="00ED1F38" w:rsidRPr="00F816FC">
        <w:rPr>
          <w:rFonts w:cs="AGaramond-Regular"/>
        </w:rPr>
        <w:t xml:space="preserve">, </w:t>
      </w:r>
      <w:r w:rsidR="00DB1DA2" w:rsidRPr="00F816FC">
        <w:rPr>
          <w:rFonts w:cs="AGaramond-Regular"/>
        </w:rPr>
        <w:t>401–</w:t>
      </w:r>
      <w:r w:rsidR="00CA4B00" w:rsidRPr="00F816FC">
        <w:rPr>
          <w:rFonts w:cs="AGaramond-Regular"/>
        </w:rPr>
        <w:t>4</w:t>
      </w:r>
      <w:r w:rsidR="00DB1DA2" w:rsidRPr="00F816FC">
        <w:rPr>
          <w:rFonts w:cs="AGaramond-Regular"/>
        </w:rPr>
        <w:t>10</w:t>
      </w:r>
      <w:r w:rsidR="00ED1F38" w:rsidRPr="00F816FC">
        <w:rPr>
          <w:rFonts w:cs="AGaramond-Regular"/>
        </w:rPr>
        <w:t>.</w:t>
      </w:r>
    </w:p>
    <w:p w:rsidR="00F722E0" w:rsidRPr="00F816FC" w:rsidRDefault="00F722E0" w:rsidP="00892925">
      <w:pPr>
        <w:autoSpaceDE w:val="0"/>
        <w:autoSpaceDN w:val="0"/>
        <w:adjustRightInd w:val="0"/>
        <w:spacing w:after="0" w:line="360" w:lineRule="auto"/>
        <w:rPr>
          <w:rFonts w:cs="AGaramond-Regular"/>
        </w:rPr>
      </w:pPr>
    </w:p>
    <w:p w:rsidR="00F722E0" w:rsidRPr="00F816FC" w:rsidRDefault="00F722E0" w:rsidP="00892925">
      <w:pPr>
        <w:autoSpaceDE w:val="0"/>
        <w:autoSpaceDN w:val="0"/>
        <w:adjustRightInd w:val="0"/>
        <w:spacing w:after="0" w:line="360" w:lineRule="auto"/>
        <w:rPr>
          <w:rFonts w:cs="Arial"/>
          <w:bCs/>
        </w:rPr>
      </w:pPr>
      <w:r w:rsidRPr="00F816FC">
        <w:rPr>
          <w:rFonts w:cs="Arial"/>
          <w:bCs/>
        </w:rPr>
        <w:t>Mallen, C.</w:t>
      </w:r>
      <w:r w:rsidRPr="00F816FC">
        <w:rPr>
          <w:rFonts w:cs="Arial"/>
        </w:rPr>
        <w:t xml:space="preserve">, </w:t>
      </w:r>
      <w:r w:rsidRPr="00F816FC">
        <w:rPr>
          <w:rFonts w:cs="Arial"/>
          <w:bCs/>
        </w:rPr>
        <w:t>Wynne-Jones, G.</w:t>
      </w:r>
      <w:r w:rsidRPr="00F816FC">
        <w:rPr>
          <w:rFonts w:cs="Arial"/>
        </w:rPr>
        <w:t xml:space="preserve"> &amp; </w:t>
      </w:r>
      <w:r w:rsidRPr="00F816FC">
        <w:rPr>
          <w:rFonts w:cs="Arial"/>
          <w:bCs/>
        </w:rPr>
        <w:t>Dunn, K.</w:t>
      </w:r>
      <w:r w:rsidRPr="00F816FC">
        <w:rPr>
          <w:rFonts w:ascii="Arial" w:hAnsi="Arial" w:cs="Arial"/>
          <w:bCs/>
          <w:sz w:val="20"/>
          <w:szCs w:val="20"/>
        </w:rPr>
        <w:t xml:space="preserve"> (2011).</w:t>
      </w:r>
      <w:r w:rsidRPr="00F816FC">
        <w:rPr>
          <w:rFonts w:cs="AdvTTe45e47d2"/>
        </w:rPr>
        <w:t xml:space="preserve"> </w:t>
      </w:r>
      <w:r w:rsidRPr="00F816FC">
        <w:rPr>
          <w:rFonts w:cs="Arial"/>
          <w:bCs/>
        </w:rPr>
        <w:t xml:space="preserve">Sickness certification for mental health problems: an analysis of a general practice consultation database. </w:t>
      </w:r>
      <w:r w:rsidRPr="00F816FC">
        <w:rPr>
          <w:rFonts w:cs="Arial"/>
          <w:bCs/>
          <w:i/>
        </w:rPr>
        <w:t>Primary Health Care Research and Development</w:t>
      </w:r>
      <w:r w:rsidRPr="00F816FC">
        <w:rPr>
          <w:rFonts w:cs="Arial"/>
          <w:bCs/>
        </w:rPr>
        <w:t xml:space="preserve">, </w:t>
      </w:r>
      <w:r w:rsidRPr="00F816FC">
        <w:rPr>
          <w:rFonts w:cs="Arial"/>
          <w:b/>
          <w:bCs/>
        </w:rPr>
        <w:t>12</w:t>
      </w:r>
      <w:r w:rsidRPr="00F816FC">
        <w:rPr>
          <w:rFonts w:cs="Arial"/>
          <w:bCs/>
        </w:rPr>
        <w:t>, 179-182.</w:t>
      </w:r>
    </w:p>
    <w:p w:rsidR="00E30E85" w:rsidRPr="00F816FC" w:rsidRDefault="00E30E85" w:rsidP="00892925">
      <w:pPr>
        <w:autoSpaceDE w:val="0"/>
        <w:autoSpaceDN w:val="0"/>
        <w:adjustRightInd w:val="0"/>
        <w:spacing w:after="0" w:line="360" w:lineRule="auto"/>
        <w:rPr>
          <w:rFonts w:cs="AGaramond-Regular"/>
        </w:rPr>
      </w:pPr>
    </w:p>
    <w:p w:rsidR="00B92AEA" w:rsidRPr="00F816FC" w:rsidRDefault="003A4AF2" w:rsidP="00892925">
      <w:pPr>
        <w:autoSpaceDE w:val="0"/>
        <w:autoSpaceDN w:val="0"/>
        <w:adjustRightInd w:val="0"/>
        <w:spacing w:after="0" w:line="360" w:lineRule="auto"/>
      </w:pPr>
      <w:r w:rsidRPr="00F816FC">
        <w:t>Nielsen</w:t>
      </w:r>
      <w:r w:rsidR="005A08DC" w:rsidRPr="00F816FC">
        <w:t>,</w:t>
      </w:r>
      <w:r w:rsidRPr="00F816FC">
        <w:t xml:space="preserve"> M</w:t>
      </w:r>
      <w:r w:rsidR="005A08DC" w:rsidRPr="00F816FC">
        <w:t>.</w:t>
      </w:r>
      <w:r w:rsidRPr="00F816FC">
        <w:t>B</w:t>
      </w:r>
      <w:r w:rsidR="005A08DC" w:rsidRPr="00F816FC">
        <w:t>.</w:t>
      </w:r>
      <w:r w:rsidRPr="00F816FC">
        <w:t>, Bu</w:t>
      </w:r>
      <w:r w:rsidR="00DB1DA2" w:rsidRPr="00F816FC">
        <w:t>ltmann</w:t>
      </w:r>
      <w:r w:rsidR="005A08DC" w:rsidRPr="00F816FC">
        <w:t>,</w:t>
      </w:r>
      <w:r w:rsidR="00DB1DA2" w:rsidRPr="00F816FC">
        <w:t xml:space="preserve"> U</w:t>
      </w:r>
      <w:r w:rsidR="005A08DC" w:rsidRPr="00F816FC">
        <w:t>., Madsen, I.E, Martin, M., Christensen, U., Diderichsen, F. &amp; Rugulies, R.</w:t>
      </w:r>
      <w:r w:rsidR="0074342A" w:rsidRPr="00F816FC">
        <w:t xml:space="preserve"> (2012)</w:t>
      </w:r>
      <w:r w:rsidR="005A08DC" w:rsidRPr="00F816FC">
        <w:t>.</w:t>
      </w:r>
      <w:r w:rsidRPr="00F816FC">
        <w:t xml:space="preserve"> </w:t>
      </w:r>
      <w:r w:rsidR="00B92AEA" w:rsidRPr="00F816FC">
        <w:t xml:space="preserve">Health, work, and personal-related predictors of time to return to work among employees with mental health problems. </w:t>
      </w:r>
      <w:r w:rsidR="00B92AEA" w:rsidRPr="00F816FC">
        <w:rPr>
          <w:i/>
        </w:rPr>
        <w:t>Disabil</w:t>
      </w:r>
      <w:r w:rsidRPr="00F816FC">
        <w:rPr>
          <w:i/>
        </w:rPr>
        <w:t>ity and</w:t>
      </w:r>
      <w:r w:rsidR="00B92AEA" w:rsidRPr="00F816FC">
        <w:rPr>
          <w:i/>
        </w:rPr>
        <w:t xml:space="preserve"> Rehabil</w:t>
      </w:r>
      <w:r w:rsidRPr="00F816FC">
        <w:rPr>
          <w:i/>
        </w:rPr>
        <w:t>itation</w:t>
      </w:r>
      <w:r w:rsidR="00122B4E" w:rsidRPr="00F816FC">
        <w:rPr>
          <w:i/>
        </w:rPr>
        <w:t>,</w:t>
      </w:r>
      <w:r w:rsidR="0074342A" w:rsidRPr="00F816FC">
        <w:t xml:space="preserve"> </w:t>
      </w:r>
      <w:r w:rsidR="005A08DC" w:rsidRPr="00F816FC">
        <w:rPr>
          <w:b/>
        </w:rPr>
        <w:t>34</w:t>
      </w:r>
      <w:r w:rsidR="005A08DC" w:rsidRPr="00F816FC">
        <w:t>,</w:t>
      </w:r>
      <w:r w:rsidR="0026307B" w:rsidRPr="00F816FC">
        <w:t xml:space="preserve"> 1311–</w:t>
      </w:r>
      <w:r w:rsidR="0074342A" w:rsidRPr="00F816FC">
        <w:t>13</w:t>
      </w:r>
      <w:r w:rsidR="00DB1DA2" w:rsidRPr="00F816FC">
        <w:t>16</w:t>
      </w:r>
      <w:r w:rsidR="005A08DC" w:rsidRPr="00F816FC">
        <w:t>.</w:t>
      </w:r>
    </w:p>
    <w:p w:rsidR="00F722E0" w:rsidRPr="00F816FC" w:rsidRDefault="00F722E0" w:rsidP="00892925">
      <w:pPr>
        <w:autoSpaceDE w:val="0"/>
        <w:autoSpaceDN w:val="0"/>
        <w:adjustRightInd w:val="0"/>
        <w:spacing w:after="0" w:line="360" w:lineRule="auto"/>
      </w:pPr>
    </w:p>
    <w:p w:rsidR="00F722E0" w:rsidRPr="00F816FC" w:rsidRDefault="00F722E0" w:rsidP="00892925">
      <w:pPr>
        <w:autoSpaceDE w:val="0"/>
        <w:autoSpaceDN w:val="0"/>
        <w:adjustRightInd w:val="0"/>
        <w:spacing w:after="0" w:line="360" w:lineRule="auto"/>
      </w:pPr>
      <w:r w:rsidRPr="00F816FC">
        <w:t xml:space="preserve">Nielsen, M.B., Bultmann, U., Amby, M., Christensen, U., Diderichsen, F. &amp; Rugulies, R. (2010). Return to work among employees with common mental disorders: Study design and baseline findings from a mixed-method follow-up study. </w:t>
      </w:r>
      <w:r w:rsidRPr="00F816FC">
        <w:rPr>
          <w:i/>
        </w:rPr>
        <w:t>Scandinavian Journal of Public Health</w:t>
      </w:r>
      <w:r w:rsidRPr="00F816FC">
        <w:t xml:space="preserve">, </w:t>
      </w:r>
      <w:r w:rsidRPr="00F816FC">
        <w:rPr>
          <w:b/>
        </w:rPr>
        <w:t>38</w:t>
      </w:r>
      <w:r w:rsidRPr="00F816FC">
        <w:t>, 864–87.</w:t>
      </w:r>
    </w:p>
    <w:p w:rsidR="00F722E0" w:rsidRPr="00F816FC" w:rsidRDefault="00F722E0" w:rsidP="00892925">
      <w:pPr>
        <w:autoSpaceDE w:val="0"/>
        <w:autoSpaceDN w:val="0"/>
        <w:adjustRightInd w:val="0"/>
        <w:spacing w:after="0" w:line="360" w:lineRule="auto"/>
      </w:pPr>
    </w:p>
    <w:p w:rsidR="00F722E0" w:rsidRPr="00F816FC" w:rsidRDefault="00F722E0" w:rsidP="00892925">
      <w:pPr>
        <w:autoSpaceDE w:val="0"/>
        <w:autoSpaceDN w:val="0"/>
        <w:adjustRightInd w:val="0"/>
        <w:spacing w:after="0" w:line="360" w:lineRule="auto"/>
      </w:pPr>
      <w:r w:rsidRPr="00F816FC">
        <w:t xml:space="preserve">Nieuwenhuijsen, K., Verbeek, J.H., de Boer, A.G., Blonk, R.W. &amp; van Dijk, F.J. (2006). Predicting the duration of sickness absence for patients with common mental disorders in occupational health care. </w:t>
      </w:r>
      <w:r w:rsidRPr="00F816FC">
        <w:rPr>
          <w:i/>
        </w:rPr>
        <w:t>Scandinavian Journal of Work and Environmental Health,</w:t>
      </w:r>
      <w:r w:rsidRPr="00F816FC">
        <w:t xml:space="preserve"> </w:t>
      </w:r>
      <w:r w:rsidRPr="00F816FC">
        <w:rPr>
          <w:b/>
        </w:rPr>
        <w:t>32</w:t>
      </w:r>
      <w:r w:rsidRPr="00F816FC">
        <w:t>, 67–74.</w:t>
      </w:r>
    </w:p>
    <w:p w:rsidR="00F32C19" w:rsidRPr="00F816FC" w:rsidRDefault="00F32C19" w:rsidP="00892925">
      <w:pPr>
        <w:autoSpaceDE w:val="0"/>
        <w:autoSpaceDN w:val="0"/>
        <w:adjustRightInd w:val="0"/>
        <w:spacing w:after="0" w:line="360" w:lineRule="auto"/>
      </w:pPr>
    </w:p>
    <w:p w:rsidR="00716F71" w:rsidRPr="00F816FC" w:rsidRDefault="00716F71" w:rsidP="00F32C19">
      <w:pPr>
        <w:autoSpaceDE w:val="0"/>
        <w:autoSpaceDN w:val="0"/>
        <w:adjustRightInd w:val="0"/>
        <w:spacing w:after="0" w:line="360" w:lineRule="auto"/>
        <w:rPr>
          <w:rFonts w:cstheme="minorHAnsi"/>
          <w:bCs/>
        </w:rPr>
      </w:pPr>
      <w:r w:rsidRPr="00F816FC">
        <w:rPr>
          <w:rFonts w:cstheme="minorHAnsi"/>
          <w:bCs/>
        </w:rPr>
        <w:t>Nieuwenhuijsen</w:t>
      </w:r>
      <w:r w:rsidR="00F32C19" w:rsidRPr="00F816FC">
        <w:rPr>
          <w:rFonts w:cstheme="minorHAnsi"/>
          <w:bCs/>
        </w:rPr>
        <w:t>,</w:t>
      </w:r>
      <w:r w:rsidRPr="00F816FC">
        <w:rPr>
          <w:rFonts w:cstheme="minorHAnsi"/>
          <w:bCs/>
        </w:rPr>
        <w:t xml:space="preserve"> K</w:t>
      </w:r>
      <w:r w:rsidR="00F32C19" w:rsidRPr="00F816FC">
        <w:rPr>
          <w:rFonts w:cstheme="minorHAnsi"/>
          <w:bCs/>
        </w:rPr>
        <w:t>.</w:t>
      </w:r>
      <w:r w:rsidRPr="00F816FC">
        <w:rPr>
          <w:rFonts w:cstheme="minorHAnsi"/>
          <w:bCs/>
        </w:rPr>
        <w:t>, Faber</w:t>
      </w:r>
      <w:r w:rsidR="00F32C19" w:rsidRPr="00F816FC">
        <w:rPr>
          <w:rFonts w:cstheme="minorHAnsi"/>
          <w:bCs/>
        </w:rPr>
        <w:t>,</w:t>
      </w:r>
      <w:r w:rsidRPr="00F816FC">
        <w:rPr>
          <w:rFonts w:cstheme="minorHAnsi"/>
          <w:bCs/>
        </w:rPr>
        <w:t xml:space="preserve"> B</w:t>
      </w:r>
      <w:r w:rsidR="00F32C19" w:rsidRPr="00F816FC">
        <w:rPr>
          <w:rFonts w:cstheme="minorHAnsi"/>
          <w:bCs/>
        </w:rPr>
        <w:t>.</w:t>
      </w:r>
      <w:r w:rsidRPr="00F816FC">
        <w:rPr>
          <w:rFonts w:cstheme="minorHAnsi"/>
          <w:bCs/>
        </w:rPr>
        <w:t>, Verbeek</w:t>
      </w:r>
      <w:r w:rsidR="00F32C19" w:rsidRPr="00F816FC">
        <w:rPr>
          <w:rFonts w:cstheme="minorHAnsi"/>
          <w:bCs/>
        </w:rPr>
        <w:t>,</w:t>
      </w:r>
      <w:r w:rsidRPr="00F816FC">
        <w:rPr>
          <w:rFonts w:cstheme="minorHAnsi"/>
          <w:bCs/>
        </w:rPr>
        <w:t xml:space="preserve"> J</w:t>
      </w:r>
      <w:r w:rsidR="00F32C19" w:rsidRPr="00F816FC">
        <w:rPr>
          <w:rFonts w:cstheme="minorHAnsi"/>
          <w:bCs/>
        </w:rPr>
        <w:t>.</w:t>
      </w:r>
      <w:r w:rsidRPr="00F816FC">
        <w:rPr>
          <w:rFonts w:cstheme="minorHAnsi"/>
          <w:bCs/>
        </w:rPr>
        <w:t>H</w:t>
      </w:r>
      <w:r w:rsidR="00F32C19" w:rsidRPr="00F816FC">
        <w:rPr>
          <w:rFonts w:cstheme="minorHAnsi"/>
          <w:bCs/>
        </w:rPr>
        <w:t>.</w:t>
      </w:r>
      <w:r w:rsidRPr="00F816FC">
        <w:rPr>
          <w:rFonts w:cstheme="minorHAnsi"/>
          <w:bCs/>
        </w:rPr>
        <w:t>, Neumeyer-Gromen</w:t>
      </w:r>
      <w:r w:rsidR="00F32C19" w:rsidRPr="00F816FC">
        <w:rPr>
          <w:rFonts w:cstheme="minorHAnsi"/>
          <w:bCs/>
        </w:rPr>
        <w:t>,</w:t>
      </w:r>
      <w:r w:rsidRPr="00F816FC">
        <w:rPr>
          <w:rFonts w:cstheme="minorHAnsi"/>
          <w:bCs/>
        </w:rPr>
        <w:t xml:space="preserve"> A</w:t>
      </w:r>
      <w:r w:rsidR="00F32C19" w:rsidRPr="00F816FC">
        <w:rPr>
          <w:rFonts w:cstheme="minorHAnsi"/>
          <w:bCs/>
        </w:rPr>
        <w:t>.</w:t>
      </w:r>
      <w:r w:rsidRPr="00F816FC">
        <w:rPr>
          <w:rFonts w:cstheme="minorHAnsi"/>
          <w:bCs/>
        </w:rPr>
        <w:t>, Hees</w:t>
      </w:r>
      <w:r w:rsidR="00F32C19" w:rsidRPr="00F816FC">
        <w:rPr>
          <w:rFonts w:cstheme="minorHAnsi"/>
          <w:bCs/>
        </w:rPr>
        <w:t>,</w:t>
      </w:r>
      <w:r w:rsidRPr="00F816FC">
        <w:rPr>
          <w:rFonts w:cstheme="minorHAnsi"/>
          <w:bCs/>
        </w:rPr>
        <w:t xml:space="preserve"> H</w:t>
      </w:r>
      <w:r w:rsidR="00F32C19" w:rsidRPr="00F816FC">
        <w:rPr>
          <w:rFonts w:cstheme="minorHAnsi"/>
          <w:bCs/>
        </w:rPr>
        <w:t>.</w:t>
      </w:r>
      <w:r w:rsidRPr="00F816FC">
        <w:rPr>
          <w:rFonts w:cstheme="minorHAnsi"/>
          <w:bCs/>
        </w:rPr>
        <w:t>L</w:t>
      </w:r>
      <w:r w:rsidR="00F32C19" w:rsidRPr="00F816FC">
        <w:rPr>
          <w:rFonts w:cstheme="minorHAnsi"/>
          <w:bCs/>
        </w:rPr>
        <w:t>.</w:t>
      </w:r>
      <w:r w:rsidRPr="00F816FC">
        <w:rPr>
          <w:rFonts w:cstheme="minorHAnsi"/>
          <w:bCs/>
        </w:rPr>
        <w:t>, Verhoeven</w:t>
      </w:r>
      <w:r w:rsidR="00F32C19" w:rsidRPr="00F816FC">
        <w:rPr>
          <w:rFonts w:cstheme="minorHAnsi"/>
          <w:bCs/>
        </w:rPr>
        <w:t>,</w:t>
      </w:r>
      <w:r w:rsidRPr="00F816FC">
        <w:rPr>
          <w:rFonts w:cstheme="minorHAnsi"/>
          <w:bCs/>
        </w:rPr>
        <w:t xml:space="preserve"> A</w:t>
      </w:r>
      <w:r w:rsidR="00F32C19" w:rsidRPr="00F816FC">
        <w:rPr>
          <w:rFonts w:cstheme="minorHAnsi"/>
          <w:bCs/>
        </w:rPr>
        <w:t>.</w:t>
      </w:r>
      <w:r w:rsidRPr="00F816FC">
        <w:rPr>
          <w:rFonts w:cstheme="minorHAnsi"/>
          <w:bCs/>
        </w:rPr>
        <w:t>C</w:t>
      </w:r>
      <w:r w:rsidR="00F32C19" w:rsidRPr="00F816FC">
        <w:rPr>
          <w:rFonts w:cstheme="minorHAnsi"/>
          <w:bCs/>
        </w:rPr>
        <w:t>.</w:t>
      </w:r>
      <w:r w:rsidRPr="00F816FC">
        <w:rPr>
          <w:rFonts w:cstheme="minorHAnsi"/>
          <w:bCs/>
        </w:rPr>
        <w:t>, van</w:t>
      </w:r>
    </w:p>
    <w:p w:rsidR="00F722E0" w:rsidRPr="00F816FC" w:rsidRDefault="00716F71" w:rsidP="00F32C19">
      <w:pPr>
        <w:autoSpaceDE w:val="0"/>
        <w:autoSpaceDN w:val="0"/>
        <w:adjustRightInd w:val="0"/>
        <w:spacing w:after="0" w:line="360" w:lineRule="auto"/>
        <w:rPr>
          <w:rFonts w:cstheme="minorHAnsi"/>
        </w:rPr>
      </w:pPr>
      <w:r w:rsidRPr="00F816FC">
        <w:rPr>
          <w:rFonts w:cstheme="minorHAnsi"/>
          <w:bCs/>
        </w:rPr>
        <w:t>der Feltz-Cornelis</w:t>
      </w:r>
      <w:r w:rsidR="00F32C19" w:rsidRPr="00F816FC">
        <w:rPr>
          <w:rFonts w:cstheme="minorHAnsi"/>
          <w:bCs/>
        </w:rPr>
        <w:t>,</w:t>
      </w:r>
      <w:r w:rsidRPr="00F816FC">
        <w:rPr>
          <w:rFonts w:cstheme="minorHAnsi"/>
          <w:bCs/>
        </w:rPr>
        <w:t xml:space="preserve"> C</w:t>
      </w:r>
      <w:r w:rsidR="00F32C19" w:rsidRPr="00F816FC">
        <w:rPr>
          <w:rFonts w:cstheme="minorHAnsi"/>
          <w:bCs/>
        </w:rPr>
        <w:t>.</w:t>
      </w:r>
      <w:r w:rsidRPr="00F816FC">
        <w:rPr>
          <w:rFonts w:cstheme="minorHAnsi"/>
          <w:bCs/>
        </w:rPr>
        <w:t>M</w:t>
      </w:r>
      <w:r w:rsidR="00F32C19" w:rsidRPr="00F816FC">
        <w:rPr>
          <w:rFonts w:cstheme="minorHAnsi"/>
          <w:bCs/>
        </w:rPr>
        <w:t>.</w:t>
      </w:r>
      <w:r w:rsidRPr="00F816FC">
        <w:rPr>
          <w:rFonts w:cstheme="minorHAnsi"/>
          <w:bCs/>
        </w:rPr>
        <w:t xml:space="preserve"> </w:t>
      </w:r>
      <w:r w:rsidR="00F32C19" w:rsidRPr="00F816FC">
        <w:rPr>
          <w:rFonts w:cstheme="minorHAnsi"/>
        </w:rPr>
        <w:t xml:space="preserve">&amp; </w:t>
      </w:r>
      <w:r w:rsidRPr="00F816FC">
        <w:rPr>
          <w:rFonts w:cstheme="minorHAnsi"/>
          <w:bCs/>
        </w:rPr>
        <w:t>Bültmann U</w:t>
      </w:r>
      <w:r w:rsidR="00F32C19" w:rsidRPr="00F816FC">
        <w:rPr>
          <w:rFonts w:cstheme="minorHAnsi"/>
          <w:bCs/>
        </w:rPr>
        <w:t>. (2014). Interventions to improve return to work in depressed people. C</w:t>
      </w:r>
      <w:r w:rsidR="00F32C19" w:rsidRPr="00F816FC">
        <w:rPr>
          <w:rFonts w:cstheme="minorHAnsi"/>
          <w:i/>
          <w:iCs/>
        </w:rPr>
        <w:t xml:space="preserve">ochrane Database of Systematic Reviews </w:t>
      </w:r>
      <w:r w:rsidR="00F32C19" w:rsidRPr="00F816FC">
        <w:rPr>
          <w:rFonts w:cstheme="minorHAnsi"/>
        </w:rPr>
        <w:t>2014, Issue 12. Art. No.: CD006237. DOI: 10.1002/14651858.CD006237.pub3.</w:t>
      </w:r>
    </w:p>
    <w:p w:rsidR="001713DB" w:rsidRPr="00F816FC" w:rsidRDefault="001713DB" w:rsidP="00FA1FAD">
      <w:pPr>
        <w:spacing w:after="0" w:line="360" w:lineRule="auto"/>
        <w:rPr>
          <w:rFonts w:eastAsia="Times New Roman" w:cstheme="minorHAnsi"/>
          <w:lang w:eastAsia="en-GB"/>
        </w:rPr>
      </w:pPr>
    </w:p>
    <w:p w:rsidR="00FA1FAD" w:rsidRPr="00F816FC" w:rsidRDefault="00FA1FAD" w:rsidP="00FA1FAD">
      <w:pPr>
        <w:spacing w:after="0" w:line="360" w:lineRule="auto"/>
        <w:rPr>
          <w:rFonts w:eastAsia="Times New Roman" w:cstheme="minorHAnsi"/>
          <w:lang w:eastAsia="en-GB"/>
        </w:rPr>
      </w:pPr>
      <w:r w:rsidRPr="00F816FC">
        <w:rPr>
          <w:rFonts w:eastAsia="Times New Roman" w:cstheme="minorHAnsi"/>
          <w:lang w:eastAsia="en-GB"/>
        </w:rPr>
        <w:t>Ohayon, M.M. &amp; Schatzberg, A.F.(2010)</w:t>
      </w:r>
      <w:r w:rsidR="001713DB" w:rsidRPr="00F816FC">
        <w:rPr>
          <w:rFonts w:eastAsia="Times New Roman" w:cstheme="minorHAnsi"/>
          <w:lang w:eastAsia="en-GB"/>
        </w:rPr>
        <w:t>.</w:t>
      </w:r>
      <w:r w:rsidRPr="00F816FC">
        <w:rPr>
          <w:rFonts w:eastAsia="Times New Roman" w:cstheme="minorHAnsi"/>
          <w:lang w:eastAsia="en-GB"/>
        </w:rPr>
        <w:t xml:space="preserve"> Chronic pain and major depressive disorder in the general population. </w:t>
      </w:r>
      <w:r w:rsidRPr="00F816FC">
        <w:rPr>
          <w:rFonts w:eastAsia="Times New Roman" w:cstheme="minorHAnsi"/>
          <w:i/>
          <w:lang w:eastAsia="en-GB"/>
        </w:rPr>
        <w:t>J</w:t>
      </w:r>
      <w:r w:rsidR="001713DB" w:rsidRPr="00F816FC">
        <w:rPr>
          <w:rFonts w:eastAsia="Times New Roman" w:cstheme="minorHAnsi"/>
          <w:i/>
          <w:lang w:eastAsia="en-GB"/>
        </w:rPr>
        <w:t>ournal of</w:t>
      </w:r>
      <w:r w:rsidRPr="00F816FC">
        <w:rPr>
          <w:rFonts w:eastAsia="Times New Roman" w:cstheme="minorHAnsi"/>
          <w:i/>
          <w:lang w:eastAsia="en-GB"/>
        </w:rPr>
        <w:t xml:space="preserve"> Psychiatric Research</w:t>
      </w:r>
      <w:r w:rsidRPr="00F816FC">
        <w:rPr>
          <w:rFonts w:eastAsia="Times New Roman" w:cstheme="minorHAnsi"/>
          <w:b/>
          <w:lang w:eastAsia="en-GB"/>
        </w:rPr>
        <w:t>, 44</w:t>
      </w:r>
      <w:r w:rsidRPr="00F816FC">
        <w:rPr>
          <w:rFonts w:eastAsia="Times New Roman" w:cstheme="minorHAnsi"/>
          <w:lang w:eastAsia="en-GB"/>
        </w:rPr>
        <w:t>,454–461</w:t>
      </w:r>
      <w:r w:rsidR="001713DB" w:rsidRPr="00F816FC">
        <w:rPr>
          <w:rFonts w:eastAsia="Times New Roman" w:cstheme="minorHAnsi"/>
          <w:lang w:eastAsia="en-GB"/>
        </w:rPr>
        <w:t>.</w:t>
      </w:r>
    </w:p>
    <w:p w:rsidR="00F32C19" w:rsidRPr="00F816FC" w:rsidRDefault="00F32C19" w:rsidP="00716F71">
      <w:pPr>
        <w:autoSpaceDE w:val="0"/>
        <w:autoSpaceDN w:val="0"/>
        <w:adjustRightInd w:val="0"/>
        <w:spacing w:after="0" w:line="360" w:lineRule="auto"/>
        <w:rPr>
          <w:rFonts w:cstheme="minorHAnsi"/>
        </w:rPr>
      </w:pPr>
    </w:p>
    <w:p w:rsidR="00F722E0" w:rsidRPr="00F816FC" w:rsidRDefault="00F722E0" w:rsidP="00892925">
      <w:pPr>
        <w:autoSpaceDE w:val="0"/>
        <w:autoSpaceDN w:val="0"/>
        <w:adjustRightInd w:val="0"/>
        <w:spacing w:after="0" w:line="360" w:lineRule="auto"/>
      </w:pPr>
      <w:r w:rsidRPr="00F816FC">
        <w:t xml:space="preserve">O’Neil, A., Sanderson, K. &amp; Oldenburg, B. (2010). Depression as a predictor of work resumption following myocardial infarction (MI): a review of recent research evidence. </w:t>
      </w:r>
      <w:r w:rsidRPr="00F816FC">
        <w:rPr>
          <w:i/>
        </w:rPr>
        <w:t>Health and Quality of Life Outcomes,</w:t>
      </w:r>
      <w:r w:rsidRPr="00F816FC">
        <w:t xml:space="preserve"> </w:t>
      </w:r>
      <w:r w:rsidRPr="00F816FC">
        <w:rPr>
          <w:b/>
        </w:rPr>
        <w:t>8</w:t>
      </w:r>
      <w:r w:rsidRPr="00F816FC">
        <w:t>, 95.</w:t>
      </w:r>
    </w:p>
    <w:p w:rsidR="00BF6113" w:rsidRPr="00F816FC" w:rsidRDefault="00BF6113" w:rsidP="00892925">
      <w:pPr>
        <w:autoSpaceDE w:val="0"/>
        <w:autoSpaceDN w:val="0"/>
        <w:adjustRightInd w:val="0"/>
        <w:spacing w:after="0" w:line="360" w:lineRule="auto"/>
      </w:pPr>
    </w:p>
    <w:p w:rsidR="00F722E0" w:rsidRPr="00F816FC" w:rsidRDefault="00BF6113" w:rsidP="00892925">
      <w:pPr>
        <w:spacing w:after="100" w:afterAutospacing="1" w:line="360" w:lineRule="auto"/>
      </w:pPr>
      <w:r w:rsidRPr="00F816FC">
        <w:t>Organisation for Economic Co-operation and Development (OECD). (2014). Mental Health and Work: United Kingdom. Paris: OECD Publishing.</w:t>
      </w:r>
    </w:p>
    <w:p w:rsidR="00F722E0" w:rsidRPr="00F816FC" w:rsidRDefault="00F722E0" w:rsidP="00892925">
      <w:pPr>
        <w:autoSpaceDE w:val="0"/>
        <w:autoSpaceDN w:val="0"/>
        <w:adjustRightInd w:val="0"/>
        <w:spacing w:after="0" w:line="360" w:lineRule="auto"/>
      </w:pPr>
      <w:r w:rsidRPr="00F816FC">
        <w:t xml:space="preserve">Reinhardt-Pedersen, C. &amp; Madsen, M. (2002). Parents' labour market participation as a predictor of children's health and wellbeing: a comparative study in five Nordic countries. </w:t>
      </w:r>
      <w:r w:rsidRPr="00F816FC">
        <w:rPr>
          <w:i/>
        </w:rPr>
        <w:t>Journal of Epidemiology and Community Health</w:t>
      </w:r>
      <w:r w:rsidRPr="00F816FC">
        <w:t xml:space="preserve">, </w:t>
      </w:r>
      <w:r w:rsidRPr="00F816FC">
        <w:rPr>
          <w:b/>
          <w:bCs/>
        </w:rPr>
        <w:t>56</w:t>
      </w:r>
      <w:r w:rsidRPr="00F816FC">
        <w:t>, 861-867.</w:t>
      </w:r>
    </w:p>
    <w:p w:rsidR="00F722E0" w:rsidRPr="00F816FC" w:rsidRDefault="00F722E0" w:rsidP="00892925">
      <w:pPr>
        <w:autoSpaceDE w:val="0"/>
        <w:autoSpaceDN w:val="0"/>
        <w:adjustRightInd w:val="0"/>
        <w:spacing w:after="0" w:line="360" w:lineRule="auto"/>
      </w:pPr>
    </w:p>
    <w:p w:rsidR="00B92AEA" w:rsidRPr="00F816FC" w:rsidRDefault="00B92AEA" w:rsidP="00892925">
      <w:pPr>
        <w:autoSpaceDE w:val="0"/>
        <w:autoSpaceDN w:val="0"/>
        <w:adjustRightInd w:val="0"/>
        <w:spacing w:after="0" w:line="360" w:lineRule="auto"/>
      </w:pPr>
      <w:r w:rsidRPr="00F816FC">
        <w:lastRenderedPageBreak/>
        <w:t>Roelen</w:t>
      </w:r>
      <w:r w:rsidR="005A08DC" w:rsidRPr="00F816FC">
        <w:t>,</w:t>
      </w:r>
      <w:r w:rsidRPr="00F816FC">
        <w:t xml:space="preserve"> C</w:t>
      </w:r>
      <w:r w:rsidR="005A08DC" w:rsidRPr="00F816FC">
        <w:t>.</w:t>
      </w:r>
      <w:r w:rsidRPr="00F816FC">
        <w:t>A</w:t>
      </w:r>
      <w:r w:rsidR="005A08DC" w:rsidRPr="00F816FC">
        <w:t>.</w:t>
      </w:r>
      <w:r w:rsidRPr="00F816FC">
        <w:t>, Norder</w:t>
      </w:r>
      <w:r w:rsidR="005A08DC" w:rsidRPr="00F816FC">
        <w:t>,</w:t>
      </w:r>
      <w:r w:rsidRPr="00F816FC">
        <w:t xml:space="preserve"> G</w:t>
      </w:r>
      <w:r w:rsidR="005A08DC" w:rsidRPr="00F816FC">
        <w:t>.</w:t>
      </w:r>
      <w:r w:rsidRPr="00F816FC">
        <w:t>, Koopmans</w:t>
      </w:r>
      <w:r w:rsidR="005A08DC" w:rsidRPr="00F816FC">
        <w:t>,</w:t>
      </w:r>
      <w:r w:rsidRPr="00F816FC">
        <w:t xml:space="preserve"> P</w:t>
      </w:r>
      <w:r w:rsidR="000079E5" w:rsidRPr="00F816FC">
        <w:t>.</w:t>
      </w:r>
      <w:r w:rsidRPr="00F816FC">
        <w:t>C</w:t>
      </w:r>
      <w:r w:rsidR="000079E5" w:rsidRPr="00F816FC">
        <w:t>.</w:t>
      </w:r>
      <w:r w:rsidRPr="00F816FC">
        <w:t>, van Rhenen</w:t>
      </w:r>
      <w:r w:rsidR="000079E5" w:rsidRPr="00F816FC">
        <w:t>,</w:t>
      </w:r>
      <w:r w:rsidRPr="00F816FC">
        <w:t xml:space="preserve"> W</w:t>
      </w:r>
      <w:r w:rsidR="000079E5" w:rsidRPr="00F816FC">
        <w:t>.</w:t>
      </w:r>
      <w:r w:rsidRPr="00F816FC">
        <w:t xml:space="preserve">, </w:t>
      </w:r>
      <w:r w:rsidR="003A4AF2" w:rsidRPr="00F816FC">
        <w:t>van der Klink</w:t>
      </w:r>
      <w:r w:rsidR="000079E5" w:rsidRPr="00F816FC">
        <w:t>,</w:t>
      </w:r>
      <w:r w:rsidR="003A4AF2" w:rsidRPr="00F816FC">
        <w:t xml:space="preserve"> J</w:t>
      </w:r>
      <w:r w:rsidR="000079E5" w:rsidRPr="00F816FC">
        <w:t>.</w:t>
      </w:r>
      <w:r w:rsidR="003A4AF2" w:rsidRPr="00F816FC">
        <w:t>J</w:t>
      </w:r>
      <w:r w:rsidR="000079E5" w:rsidRPr="00F816FC">
        <w:t xml:space="preserve">. &amp; </w:t>
      </w:r>
      <w:r w:rsidR="003A4AF2" w:rsidRPr="00F816FC">
        <w:t>Bultmann</w:t>
      </w:r>
      <w:r w:rsidR="000079E5" w:rsidRPr="00F816FC">
        <w:t>,</w:t>
      </w:r>
      <w:r w:rsidR="003A4AF2" w:rsidRPr="00F816FC">
        <w:t xml:space="preserve"> U</w:t>
      </w:r>
      <w:r w:rsidR="000079E5" w:rsidRPr="00F816FC">
        <w:t>.</w:t>
      </w:r>
      <w:r w:rsidR="0074342A" w:rsidRPr="00F816FC">
        <w:t xml:space="preserve"> (2012)</w:t>
      </w:r>
      <w:r w:rsidR="000079E5" w:rsidRPr="00F816FC">
        <w:t>.</w:t>
      </w:r>
      <w:r w:rsidR="003A4AF2" w:rsidRPr="00F816FC">
        <w:t xml:space="preserve"> </w:t>
      </w:r>
      <w:r w:rsidRPr="00F816FC">
        <w:t xml:space="preserve">Employees sick-listed with mental disorders: who returns to work and when? </w:t>
      </w:r>
      <w:r w:rsidRPr="00F816FC">
        <w:rPr>
          <w:i/>
        </w:rPr>
        <w:t>J</w:t>
      </w:r>
      <w:r w:rsidR="003A4AF2" w:rsidRPr="00F816FC">
        <w:rPr>
          <w:i/>
        </w:rPr>
        <w:t>ournal of</w:t>
      </w:r>
      <w:r w:rsidRPr="00F816FC">
        <w:rPr>
          <w:i/>
        </w:rPr>
        <w:t xml:space="preserve"> Occup</w:t>
      </w:r>
      <w:r w:rsidR="003A4AF2" w:rsidRPr="00F816FC">
        <w:rPr>
          <w:i/>
        </w:rPr>
        <w:t>ational</w:t>
      </w:r>
      <w:r w:rsidRPr="00F816FC">
        <w:rPr>
          <w:i/>
        </w:rPr>
        <w:t xml:space="preserve"> Rehabil</w:t>
      </w:r>
      <w:r w:rsidR="003A4AF2" w:rsidRPr="00F816FC">
        <w:rPr>
          <w:i/>
        </w:rPr>
        <w:t>itation</w:t>
      </w:r>
      <w:r w:rsidR="00122B4E" w:rsidRPr="00F816FC">
        <w:rPr>
          <w:i/>
        </w:rPr>
        <w:t>,</w:t>
      </w:r>
      <w:r w:rsidR="0074342A" w:rsidRPr="00F816FC">
        <w:rPr>
          <w:i/>
        </w:rPr>
        <w:t xml:space="preserve"> </w:t>
      </w:r>
      <w:r w:rsidR="000079E5" w:rsidRPr="00F816FC">
        <w:rPr>
          <w:b/>
        </w:rPr>
        <w:t>22</w:t>
      </w:r>
      <w:r w:rsidR="000079E5" w:rsidRPr="00F816FC">
        <w:t>,</w:t>
      </w:r>
      <w:r w:rsidR="0026307B" w:rsidRPr="00F816FC">
        <w:t xml:space="preserve"> 409–</w:t>
      </w:r>
      <w:r w:rsidR="0074342A" w:rsidRPr="00F816FC">
        <w:t>4</w:t>
      </w:r>
      <w:r w:rsidR="00DB1DA2" w:rsidRPr="00F816FC">
        <w:t>17</w:t>
      </w:r>
      <w:r w:rsidR="000079E5" w:rsidRPr="00F816FC">
        <w:t>.</w:t>
      </w:r>
    </w:p>
    <w:p w:rsidR="00BF6113" w:rsidRPr="00F816FC" w:rsidRDefault="00BF6113" w:rsidP="00892925">
      <w:pPr>
        <w:autoSpaceDE w:val="0"/>
        <w:autoSpaceDN w:val="0"/>
        <w:adjustRightInd w:val="0"/>
        <w:spacing w:after="0" w:line="360" w:lineRule="auto"/>
      </w:pPr>
    </w:p>
    <w:p w:rsidR="00BF6113" w:rsidRPr="00F816FC" w:rsidRDefault="00BF6113" w:rsidP="00892925">
      <w:pPr>
        <w:autoSpaceDE w:val="0"/>
        <w:autoSpaceDN w:val="0"/>
        <w:adjustRightInd w:val="0"/>
        <w:spacing w:after="0" w:line="360" w:lineRule="auto"/>
        <w:rPr>
          <w:rStyle w:val="element-citation"/>
          <w:rFonts w:ascii="Calibri" w:hAnsi="Calibri" w:cs="Calibri"/>
        </w:rPr>
      </w:pPr>
      <w:r w:rsidRPr="00F816FC">
        <w:rPr>
          <w:rFonts w:ascii="Calibri" w:hAnsi="Calibri" w:cs="Calibri"/>
        </w:rPr>
        <w:t xml:space="preserve">Roope, R., Parker, G. &amp; Turner, S. (2009). General practitioners’ use of sickness certificates. </w:t>
      </w:r>
      <w:r w:rsidRPr="00F816FC">
        <w:rPr>
          <w:rFonts w:ascii="Calibri" w:hAnsi="Calibri" w:cs="Calibri"/>
          <w:i/>
        </w:rPr>
        <w:t>Occupational Medicine</w:t>
      </w:r>
      <w:r w:rsidRPr="00F816FC">
        <w:rPr>
          <w:rFonts w:ascii="Calibri" w:hAnsi="Calibri" w:cs="Calibri"/>
        </w:rPr>
        <w:t>,</w:t>
      </w:r>
      <w:r w:rsidRPr="00F816FC">
        <w:rPr>
          <w:rFonts w:ascii="Calibri" w:hAnsi="Calibri" w:cs="Calibri"/>
          <w:b/>
        </w:rPr>
        <w:t xml:space="preserve"> 59</w:t>
      </w:r>
      <w:r w:rsidRPr="00F816FC">
        <w:rPr>
          <w:rFonts w:ascii="Calibri" w:hAnsi="Calibri" w:cs="Calibri"/>
        </w:rPr>
        <w:t>, 580 –585.</w:t>
      </w:r>
    </w:p>
    <w:p w:rsidR="00F722E0" w:rsidRPr="00F816FC" w:rsidRDefault="00F722E0" w:rsidP="00892925">
      <w:pPr>
        <w:autoSpaceDE w:val="0"/>
        <w:autoSpaceDN w:val="0"/>
        <w:adjustRightInd w:val="0"/>
        <w:spacing w:after="0" w:line="360" w:lineRule="auto"/>
      </w:pPr>
    </w:p>
    <w:p w:rsidR="00F722E0" w:rsidRPr="00F816FC" w:rsidRDefault="00F722E0" w:rsidP="00892925">
      <w:pPr>
        <w:autoSpaceDE w:val="0"/>
        <w:autoSpaceDN w:val="0"/>
        <w:adjustRightInd w:val="0"/>
        <w:spacing w:after="0" w:line="360" w:lineRule="auto"/>
      </w:pPr>
      <w:r w:rsidRPr="00F816FC">
        <w:rPr>
          <w:rStyle w:val="element-citation"/>
          <w:color w:val="000000"/>
          <w:shd w:val="clear" w:color="auto" w:fill="FFFFFF"/>
        </w:rPr>
        <w:t>Shiels, C. &amp; Gabbay, M. (2006). The influence of GP and patient gender interaction on the duration of certified sickness absence.</w:t>
      </w:r>
      <w:r w:rsidRPr="00F816FC">
        <w:rPr>
          <w:rStyle w:val="apple-converted-space"/>
          <w:color w:val="000000"/>
          <w:shd w:val="clear" w:color="auto" w:fill="FFFFFF"/>
        </w:rPr>
        <w:t> </w:t>
      </w:r>
      <w:r w:rsidRPr="00F816FC">
        <w:rPr>
          <w:rStyle w:val="ref-journal"/>
          <w:i/>
          <w:color w:val="000000"/>
          <w:shd w:val="clear" w:color="auto" w:fill="FFFFFF"/>
        </w:rPr>
        <w:t>Family Practice</w:t>
      </w:r>
      <w:r w:rsidRPr="00F816FC">
        <w:rPr>
          <w:rStyle w:val="ref-journal"/>
          <w:color w:val="000000"/>
          <w:shd w:val="clear" w:color="auto" w:fill="FFFFFF"/>
        </w:rPr>
        <w:t>,</w:t>
      </w:r>
      <w:r w:rsidRPr="00F816FC">
        <w:rPr>
          <w:rStyle w:val="apple-converted-space"/>
          <w:color w:val="000000"/>
          <w:shd w:val="clear" w:color="auto" w:fill="FFFFFF"/>
        </w:rPr>
        <w:t> </w:t>
      </w:r>
      <w:r w:rsidRPr="00F816FC">
        <w:rPr>
          <w:rStyle w:val="ref-vol"/>
          <w:b/>
          <w:color w:val="000000"/>
          <w:shd w:val="clear" w:color="auto" w:fill="FFFFFF"/>
        </w:rPr>
        <w:t>23</w:t>
      </w:r>
      <w:r w:rsidRPr="00F816FC">
        <w:rPr>
          <w:rStyle w:val="element-citation"/>
          <w:color w:val="000000"/>
          <w:shd w:val="clear" w:color="auto" w:fill="FFFFFF"/>
        </w:rPr>
        <w:t>, 246–252</w:t>
      </w:r>
    </w:p>
    <w:p w:rsidR="00F722E0" w:rsidRPr="00F816FC" w:rsidRDefault="00F722E0" w:rsidP="00892925">
      <w:pPr>
        <w:autoSpaceDE w:val="0"/>
        <w:autoSpaceDN w:val="0"/>
        <w:adjustRightInd w:val="0"/>
        <w:spacing w:after="0" w:line="360" w:lineRule="auto"/>
      </w:pPr>
    </w:p>
    <w:p w:rsidR="00F722E0" w:rsidRPr="00F816FC" w:rsidRDefault="00F722E0" w:rsidP="00892925">
      <w:pPr>
        <w:autoSpaceDE w:val="0"/>
        <w:autoSpaceDN w:val="0"/>
        <w:adjustRightInd w:val="0"/>
        <w:spacing w:after="0" w:line="360" w:lineRule="auto"/>
      </w:pPr>
      <w:r w:rsidRPr="00F816FC">
        <w:t xml:space="preserve">Shiels, C., Gabbay, M. &amp; Ford, F. (2004). Patient factors associated with duration of certified sickness absence and transition to long-term incapacity. </w:t>
      </w:r>
      <w:r w:rsidRPr="00F816FC">
        <w:rPr>
          <w:i/>
        </w:rPr>
        <w:t>British Journal of General Practice</w:t>
      </w:r>
      <w:r w:rsidRPr="00F816FC">
        <w:t xml:space="preserve">, </w:t>
      </w:r>
      <w:r w:rsidRPr="00F816FC">
        <w:rPr>
          <w:b/>
          <w:bCs/>
        </w:rPr>
        <w:t>54</w:t>
      </w:r>
      <w:r w:rsidRPr="00F816FC">
        <w:t>, 86-91.</w:t>
      </w:r>
    </w:p>
    <w:p w:rsidR="00F722E0" w:rsidRPr="00F816FC" w:rsidRDefault="00F722E0" w:rsidP="00892925">
      <w:pPr>
        <w:autoSpaceDE w:val="0"/>
        <w:autoSpaceDN w:val="0"/>
        <w:adjustRightInd w:val="0"/>
        <w:spacing w:after="0" w:line="360" w:lineRule="auto"/>
      </w:pPr>
    </w:p>
    <w:p w:rsidR="00F722E0" w:rsidRPr="00F816FC" w:rsidRDefault="00F722E0" w:rsidP="00892925">
      <w:pPr>
        <w:spacing w:line="360" w:lineRule="auto"/>
        <w:rPr>
          <w:color w:val="000000"/>
          <w:shd w:val="clear" w:color="auto" w:fill="FFFFFF"/>
        </w:rPr>
      </w:pPr>
      <w:r w:rsidRPr="00F816FC">
        <w:rPr>
          <w:color w:val="000000"/>
          <w:shd w:val="clear" w:color="auto" w:fill="FFFFFF"/>
        </w:rPr>
        <w:t>Shiels, C., Hillage, J., Pollard, E. &amp; Gabbay, M. (2013). National Evaluation of the Statement of Fitness for Work (Fit Note): Quantitative Survey of Fit Notes. DWP Research Report No 841. London: The Stationery Office.</w:t>
      </w:r>
    </w:p>
    <w:p w:rsidR="00A1255D" w:rsidRPr="00F816FC" w:rsidRDefault="00A1255D" w:rsidP="00A1255D">
      <w:pPr>
        <w:autoSpaceDE w:val="0"/>
        <w:autoSpaceDN w:val="0"/>
        <w:adjustRightInd w:val="0"/>
        <w:spacing w:after="100" w:afterAutospacing="1" w:line="360" w:lineRule="auto"/>
        <w:rPr>
          <w:rFonts w:cs="Arial"/>
          <w:bCs/>
        </w:rPr>
      </w:pPr>
      <w:r w:rsidRPr="00F816FC">
        <w:rPr>
          <w:rFonts w:cs="Arial"/>
          <w:bCs/>
        </w:rPr>
        <w:t xml:space="preserve">Shiels, C., Gabbay, M. </w:t>
      </w:r>
      <w:r w:rsidRPr="00F816FC">
        <w:rPr>
          <w:color w:val="000000"/>
          <w:shd w:val="clear" w:color="auto" w:fill="FFFFFF"/>
        </w:rPr>
        <w:t xml:space="preserve">&amp; </w:t>
      </w:r>
      <w:r w:rsidRPr="00F816FC">
        <w:rPr>
          <w:rFonts w:cs="Arial"/>
          <w:bCs/>
        </w:rPr>
        <w:t xml:space="preserve">Hillage, J. (2014). Factors associated with prevalence and types of ‘may be fit’ advice on fit notes: a cross-sectional primary care analysis. </w:t>
      </w:r>
      <w:r w:rsidRPr="00F816FC">
        <w:rPr>
          <w:rFonts w:cs="Arial"/>
          <w:bCs/>
          <w:i/>
        </w:rPr>
        <w:t>British Journal of General Practice,</w:t>
      </w:r>
      <w:r w:rsidRPr="00F816FC">
        <w:rPr>
          <w:rFonts w:cs="Arial"/>
          <w:bCs/>
        </w:rPr>
        <w:t xml:space="preserve"> </w:t>
      </w:r>
      <w:r w:rsidRPr="00F816FC">
        <w:rPr>
          <w:b/>
        </w:rPr>
        <w:t>64</w:t>
      </w:r>
      <w:r w:rsidRPr="00F816FC">
        <w:t>, 137–43.</w:t>
      </w:r>
    </w:p>
    <w:p w:rsidR="00F722E0" w:rsidRPr="00F816FC" w:rsidRDefault="00F722E0" w:rsidP="00892925">
      <w:pPr>
        <w:autoSpaceDE w:val="0"/>
        <w:autoSpaceDN w:val="0"/>
        <w:adjustRightInd w:val="0"/>
        <w:spacing w:after="0" w:line="360" w:lineRule="auto"/>
        <w:rPr>
          <w:rFonts w:cs="Minion-Black"/>
          <w:bCs/>
        </w:rPr>
      </w:pPr>
      <w:r w:rsidRPr="00F816FC">
        <w:rPr>
          <w:rFonts w:cs="Minion-Black"/>
          <w:bCs/>
        </w:rPr>
        <w:t xml:space="preserve">Soegaard, H.J. (2012). Undetected common mental disorders in long-term sickness absence. </w:t>
      </w:r>
      <w:r w:rsidRPr="00F816FC">
        <w:rPr>
          <w:rStyle w:val="ref-journal"/>
          <w:i/>
          <w:color w:val="000000"/>
          <w:shd w:val="clear" w:color="auto" w:fill="FFFFFF"/>
        </w:rPr>
        <w:t>International Journal of Family Medicine</w:t>
      </w:r>
      <w:r w:rsidRPr="00F816FC">
        <w:rPr>
          <w:color w:val="000000"/>
          <w:shd w:val="clear" w:color="auto" w:fill="FFFFFF"/>
        </w:rPr>
        <w:t>,  doi: 10.1155/2012/474989.</w:t>
      </w:r>
    </w:p>
    <w:p w:rsidR="00BF6113" w:rsidRPr="00F816FC" w:rsidRDefault="00BF6113" w:rsidP="00892925">
      <w:pPr>
        <w:shd w:val="clear" w:color="auto" w:fill="FFFFFF"/>
        <w:spacing w:before="90" w:after="90" w:line="360" w:lineRule="auto"/>
        <w:outlineLvl w:val="0"/>
        <w:rPr>
          <w:rFonts w:cs="Arial"/>
          <w:color w:val="000000"/>
          <w:shd w:val="clear" w:color="auto" w:fill="FFFFFF"/>
        </w:rPr>
      </w:pPr>
    </w:p>
    <w:p w:rsidR="00F722E0" w:rsidRPr="00F816FC" w:rsidRDefault="00F722E0" w:rsidP="00892925">
      <w:pPr>
        <w:shd w:val="clear" w:color="auto" w:fill="FFFFFF"/>
        <w:spacing w:before="90" w:after="90" w:line="360" w:lineRule="auto"/>
        <w:outlineLvl w:val="0"/>
        <w:rPr>
          <w:rFonts w:eastAsia="Times New Roman" w:cs="Arial"/>
          <w:bCs/>
          <w:color w:val="000000"/>
          <w:kern w:val="36"/>
          <w:lang w:eastAsia="en-GB"/>
        </w:rPr>
      </w:pPr>
      <w:r w:rsidRPr="00F816FC">
        <w:rPr>
          <w:rFonts w:cs="Arial"/>
          <w:color w:val="000000"/>
          <w:shd w:val="clear" w:color="auto" w:fill="FFFFFF"/>
        </w:rPr>
        <w:t xml:space="preserve">Starzmann, K., Hjerpe, P., Dalemo, S., Ohlsson, H., Björkelund. C. &amp; Bengtsson-Boström, K. (2015). </w:t>
      </w:r>
      <w:r w:rsidRPr="00F816FC">
        <w:rPr>
          <w:rFonts w:eastAsia="Times New Roman" w:cs="Arial"/>
          <w:bCs/>
          <w:color w:val="000000"/>
          <w:kern w:val="36"/>
          <w:lang w:eastAsia="en-GB"/>
        </w:rPr>
        <w:t xml:space="preserve">Diagnoses have the greatest impact on variation in sick-leave certification rate among primary-care patients in Sweden: A multilevel analysis including patient, physician and primary health-care centre levels. </w:t>
      </w:r>
      <w:r w:rsidRPr="00F816FC">
        <w:rPr>
          <w:rFonts w:eastAsia="Times New Roman" w:cs="Arial"/>
          <w:bCs/>
          <w:i/>
          <w:color w:val="000000"/>
          <w:kern w:val="36"/>
          <w:lang w:eastAsia="en-GB"/>
        </w:rPr>
        <w:t>Scandinavian Journal of Public Health</w:t>
      </w:r>
      <w:r w:rsidRPr="00F816FC">
        <w:rPr>
          <w:rFonts w:eastAsia="Times New Roman" w:cs="Arial"/>
          <w:b/>
          <w:bCs/>
          <w:color w:val="000000"/>
          <w:kern w:val="36"/>
          <w:lang w:eastAsia="en-GB"/>
        </w:rPr>
        <w:t>, 43</w:t>
      </w:r>
      <w:r w:rsidRPr="00F816FC">
        <w:rPr>
          <w:rFonts w:eastAsia="Times New Roman" w:cs="Arial"/>
          <w:bCs/>
          <w:color w:val="000000"/>
          <w:kern w:val="36"/>
          <w:lang w:eastAsia="en-GB"/>
        </w:rPr>
        <w:t>, 704-712.</w:t>
      </w:r>
    </w:p>
    <w:p w:rsidR="00BF6113" w:rsidRPr="00F816FC" w:rsidRDefault="00BF6113" w:rsidP="00892925">
      <w:pPr>
        <w:autoSpaceDE w:val="0"/>
        <w:autoSpaceDN w:val="0"/>
        <w:adjustRightInd w:val="0"/>
        <w:spacing w:after="0" w:line="360" w:lineRule="auto"/>
      </w:pPr>
    </w:p>
    <w:p w:rsidR="00BF6113" w:rsidRPr="00F816FC" w:rsidRDefault="00BF6113" w:rsidP="00892925">
      <w:pPr>
        <w:autoSpaceDE w:val="0"/>
        <w:autoSpaceDN w:val="0"/>
        <w:adjustRightInd w:val="0"/>
        <w:spacing w:after="0" w:line="360" w:lineRule="auto"/>
        <w:rPr>
          <w:rFonts w:cs="AGaramond-Regular"/>
        </w:rPr>
      </w:pPr>
      <w:r w:rsidRPr="00F816FC">
        <w:t xml:space="preserve">Vaez, M., Rylander, G., Nygren, A., Asberg, M. &amp; Alexanderson, K. (2007). Sickness absence and disability pension in a cohort of employees initially on long-term sick leave due to psychiatric disorders in Sweden. </w:t>
      </w:r>
      <w:r w:rsidRPr="00F816FC">
        <w:rPr>
          <w:i/>
        </w:rPr>
        <w:t>Social Psychiatry and Psychiatric Epidemiology</w:t>
      </w:r>
      <w:r w:rsidRPr="00F816FC">
        <w:t xml:space="preserve">, </w:t>
      </w:r>
      <w:r w:rsidRPr="00F816FC">
        <w:rPr>
          <w:b/>
        </w:rPr>
        <w:t>42</w:t>
      </w:r>
      <w:r w:rsidRPr="00F816FC">
        <w:t>, 381–388.</w:t>
      </w:r>
    </w:p>
    <w:p w:rsidR="00BF6113" w:rsidRPr="00F816FC" w:rsidRDefault="00BF6113" w:rsidP="00892925">
      <w:pPr>
        <w:autoSpaceDE w:val="0"/>
        <w:autoSpaceDN w:val="0"/>
        <w:adjustRightInd w:val="0"/>
        <w:spacing w:after="0" w:line="360" w:lineRule="auto"/>
      </w:pPr>
    </w:p>
    <w:p w:rsidR="00B10105" w:rsidRPr="00F816FC" w:rsidRDefault="00B10105" w:rsidP="00892925">
      <w:pPr>
        <w:autoSpaceDE w:val="0"/>
        <w:autoSpaceDN w:val="0"/>
        <w:adjustRightInd w:val="0"/>
        <w:spacing w:after="0" w:line="360" w:lineRule="auto"/>
      </w:pPr>
      <w:r w:rsidRPr="00F816FC">
        <w:t>Waddel</w:t>
      </w:r>
      <w:r w:rsidR="00122B4E" w:rsidRPr="00F816FC">
        <w:t>,</w:t>
      </w:r>
      <w:r w:rsidRPr="00F816FC">
        <w:t xml:space="preserve"> G</w:t>
      </w:r>
      <w:r w:rsidR="00122B4E" w:rsidRPr="00F816FC">
        <w:t>. &amp;</w:t>
      </w:r>
      <w:r w:rsidRPr="00F816FC">
        <w:t xml:space="preserve"> Burton</w:t>
      </w:r>
      <w:r w:rsidR="00122B4E" w:rsidRPr="00F816FC">
        <w:t>,</w:t>
      </w:r>
      <w:r w:rsidR="00897A10" w:rsidRPr="00F816FC">
        <w:t xml:space="preserve"> A</w:t>
      </w:r>
      <w:r w:rsidR="00122B4E" w:rsidRPr="00F816FC">
        <w:t>.</w:t>
      </w:r>
      <w:r w:rsidR="00BE4882" w:rsidRPr="00F816FC">
        <w:t xml:space="preserve"> (2006)</w:t>
      </w:r>
      <w:r w:rsidR="00122B4E" w:rsidRPr="00F816FC">
        <w:t>.</w:t>
      </w:r>
      <w:r w:rsidR="00897A10" w:rsidRPr="00F816FC">
        <w:t xml:space="preserve"> Is W</w:t>
      </w:r>
      <w:r w:rsidRPr="00F816FC">
        <w:t>or</w:t>
      </w:r>
      <w:r w:rsidR="00897A10" w:rsidRPr="00F816FC">
        <w:t>k G</w:t>
      </w:r>
      <w:r w:rsidRPr="00F816FC">
        <w:t>ood for</w:t>
      </w:r>
      <w:r w:rsidR="00897A10" w:rsidRPr="00F816FC">
        <w:t xml:space="preserve"> your Health and Well-being?. </w:t>
      </w:r>
      <w:r w:rsidR="00122B4E" w:rsidRPr="00F816FC">
        <w:t xml:space="preserve">London: </w:t>
      </w:r>
      <w:r w:rsidRPr="00F816FC">
        <w:t xml:space="preserve">The </w:t>
      </w:r>
      <w:r w:rsidR="00137676" w:rsidRPr="00F816FC">
        <w:t>Stationery</w:t>
      </w:r>
      <w:r w:rsidR="00BE4882" w:rsidRPr="00F816FC">
        <w:t xml:space="preserve"> Of</w:t>
      </w:r>
      <w:r w:rsidR="00122B4E" w:rsidRPr="00F816FC">
        <w:t>fice.</w:t>
      </w:r>
    </w:p>
    <w:p w:rsidR="00D013F5" w:rsidRPr="00F816FC" w:rsidRDefault="00D013F5" w:rsidP="00892925">
      <w:pPr>
        <w:autoSpaceDE w:val="0"/>
        <w:autoSpaceDN w:val="0"/>
        <w:adjustRightInd w:val="0"/>
        <w:spacing w:after="0" w:line="360" w:lineRule="auto"/>
      </w:pPr>
    </w:p>
    <w:p w:rsidR="00473A92" w:rsidRPr="00F816FC" w:rsidRDefault="00E02D54" w:rsidP="00D36156">
      <w:pPr>
        <w:rPr>
          <w:b/>
          <w:color w:val="000000"/>
          <w:shd w:val="clear" w:color="auto" w:fill="FFFFFF"/>
        </w:rPr>
      </w:pPr>
      <w:r w:rsidRPr="00F816FC">
        <w:lastRenderedPageBreak/>
        <w:br w:type="page"/>
      </w:r>
      <w:r w:rsidR="006823F4" w:rsidRPr="00F816FC">
        <w:rPr>
          <w:b/>
        </w:rPr>
        <w:lastRenderedPageBreak/>
        <w:t>Table 1</w:t>
      </w:r>
      <w:r w:rsidR="004B619A" w:rsidRPr="00F816FC">
        <w:rPr>
          <w:b/>
        </w:rPr>
        <w:t>:</w:t>
      </w:r>
      <w:r w:rsidR="00CD23B2" w:rsidRPr="00F816FC">
        <w:rPr>
          <w:b/>
        </w:rPr>
        <w:t xml:space="preserve"> </w:t>
      </w:r>
      <w:r w:rsidR="00473A92" w:rsidRPr="00F816FC">
        <w:rPr>
          <w:b/>
        </w:rPr>
        <w:t>Fit note and patient characteristics</w:t>
      </w:r>
      <w:r w:rsidR="00137F37" w:rsidRPr="00F816FC">
        <w:rPr>
          <w:b/>
        </w:rPr>
        <w:t>, and proportion of long-term (&gt; 4 week) depression fit notes issued.</w:t>
      </w:r>
    </w:p>
    <w:p w:rsidR="00473A92" w:rsidRPr="00F816FC" w:rsidRDefault="00473A92"/>
    <w:tbl>
      <w:tblPr>
        <w:tblStyle w:val="TableGrid"/>
        <w:tblW w:w="10314" w:type="dxa"/>
        <w:tblLook w:val="04A0" w:firstRow="1" w:lastRow="0" w:firstColumn="1" w:lastColumn="0" w:noHBand="0" w:noVBand="1"/>
      </w:tblPr>
      <w:tblGrid>
        <w:gridCol w:w="3794"/>
        <w:gridCol w:w="1984"/>
        <w:gridCol w:w="1843"/>
        <w:gridCol w:w="1559"/>
        <w:gridCol w:w="1134"/>
      </w:tblGrid>
      <w:tr w:rsidR="00BF7B7C" w:rsidRPr="00F816FC" w:rsidTr="009710BF">
        <w:tc>
          <w:tcPr>
            <w:tcW w:w="3794" w:type="dxa"/>
            <w:tcBorders>
              <w:left w:val="nil"/>
              <w:bottom w:val="single" w:sz="4" w:space="0" w:color="auto"/>
              <w:right w:val="nil"/>
            </w:tcBorders>
          </w:tcPr>
          <w:p w:rsidR="00BF7B7C" w:rsidRPr="00F816FC" w:rsidRDefault="00BF7B7C"/>
        </w:tc>
        <w:tc>
          <w:tcPr>
            <w:tcW w:w="1984" w:type="dxa"/>
            <w:tcBorders>
              <w:left w:val="nil"/>
              <w:bottom w:val="single" w:sz="4" w:space="0" w:color="auto"/>
              <w:right w:val="nil"/>
            </w:tcBorders>
            <w:vAlign w:val="bottom"/>
          </w:tcPr>
          <w:p w:rsidR="00BF7B7C" w:rsidRPr="00F816FC" w:rsidRDefault="00BF7B7C" w:rsidP="004635D5">
            <w:pPr>
              <w:jc w:val="center"/>
              <w:rPr>
                <w:b/>
              </w:rPr>
            </w:pPr>
            <w:r w:rsidRPr="00F816FC">
              <w:rPr>
                <w:b/>
              </w:rPr>
              <w:t>No of fit notes issued for depression</w:t>
            </w:r>
          </w:p>
        </w:tc>
        <w:tc>
          <w:tcPr>
            <w:tcW w:w="1843" w:type="dxa"/>
            <w:tcBorders>
              <w:left w:val="nil"/>
              <w:bottom w:val="single" w:sz="4" w:space="0" w:color="auto"/>
              <w:right w:val="nil"/>
            </w:tcBorders>
            <w:vAlign w:val="bottom"/>
          </w:tcPr>
          <w:p w:rsidR="00BF7B7C" w:rsidRPr="00F816FC" w:rsidRDefault="00BF7B7C" w:rsidP="00BF7B7C">
            <w:pPr>
              <w:jc w:val="center"/>
              <w:rPr>
                <w:b/>
              </w:rPr>
            </w:pPr>
            <w:r w:rsidRPr="00F816FC">
              <w:rPr>
                <w:b/>
              </w:rPr>
              <w:t>No of lo</w:t>
            </w:r>
            <w:r w:rsidR="004635D5" w:rsidRPr="00F816FC">
              <w:rPr>
                <w:b/>
              </w:rPr>
              <w:t xml:space="preserve">ng-term (&gt; 4 week) fit notes </w:t>
            </w:r>
          </w:p>
        </w:tc>
        <w:tc>
          <w:tcPr>
            <w:tcW w:w="1559" w:type="dxa"/>
            <w:tcBorders>
              <w:left w:val="nil"/>
              <w:bottom w:val="single" w:sz="4" w:space="0" w:color="auto"/>
              <w:right w:val="nil"/>
            </w:tcBorders>
            <w:vAlign w:val="bottom"/>
          </w:tcPr>
          <w:p w:rsidR="00BF7B7C" w:rsidRPr="00F816FC" w:rsidRDefault="00BF7B7C" w:rsidP="00BF7B7C">
            <w:pPr>
              <w:jc w:val="center"/>
              <w:rPr>
                <w:b/>
              </w:rPr>
            </w:pPr>
            <w:r w:rsidRPr="00F816FC">
              <w:rPr>
                <w:b/>
              </w:rPr>
              <w:t>Row Percent</w:t>
            </w:r>
          </w:p>
        </w:tc>
        <w:tc>
          <w:tcPr>
            <w:tcW w:w="1134" w:type="dxa"/>
            <w:tcBorders>
              <w:left w:val="nil"/>
              <w:bottom w:val="single" w:sz="4" w:space="0" w:color="auto"/>
              <w:right w:val="nil"/>
            </w:tcBorders>
            <w:vAlign w:val="bottom"/>
          </w:tcPr>
          <w:p w:rsidR="00BF7B7C" w:rsidRPr="00F816FC" w:rsidRDefault="00BF7B7C" w:rsidP="00BF7B7C">
            <w:pPr>
              <w:jc w:val="center"/>
              <w:rPr>
                <w:b/>
              </w:rPr>
            </w:pPr>
            <w:r w:rsidRPr="00F816FC">
              <w:rPr>
                <w:b/>
              </w:rPr>
              <w:t>P</w:t>
            </w:r>
          </w:p>
        </w:tc>
      </w:tr>
      <w:tr w:rsidR="00BF7B7C" w:rsidRPr="00F816FC" w:rsidTr="009710BF">
        <w:tc>
          <w:tcPr>
            <w:tcW w:w="3794" w:type="dxa"/>
            <w:tcBorders>
              <w:left w:val="nil"/>
              <w:bottom w:val="nil"/>
              <w:right w:val="nil"/>
            </w:tcBorders>
          </w:tcPr>
          <w:p w:rsidR="00BF7B7C" w:rsidRPr="00F816FC" w:rsidRDefault="00BF7B7C">
            <w:pPr>
              <w:rPr>
                <w:b/>
              </w:rPr>
            </w:pPr>
            <w:r w:rsidRPr="00F816FC">
              <w:rPr>
                <w:b/>
              </w:rPr>
              <w:t>The</w:t>
            </w:r>
            <w:r w:rsidR="00473A92" w:rsidRPr="00F816FC">
              <w:rPr>
                <w:b/>
              </w:rPr>
              <w:t xml:space="preserve"> depression</w:t>
            </w:r>
            <w:r w:rsidRPr="00F816FC">
              <w:rPr>
                <w:b/>
              </w:rPr>
              <w:t xml:space="preserve"> fit note</w:t>
            </w:r>
          </w:p>
        </w:tc>
        <w:tc>
          <w:tcPr>
            <w:tcW w:w="1984" w:type="dxa"/>
            <w:tcBorders>
              <w:left w:val="nil"/>
              <w:bottom w:val="nil"/>
              <w:right w:val="nil"/>
            </w:tcBorders>
            <w:vAlign w:val="bottom"/>
          </w:tcPr>
          <w:p w:rsidR="00BF7B7C" w:rsidRPr="00F816FC" w:rsidRDefault="00BF7B7C" w:rsidP="004635D5">
            <w:pPr>
              <w:jc w:val="center"/>
            </w:pPr>
          </w:p>
        </w:tc>
        <w:tc>
          <w:tcPr>
            <w:tcW w:w="1843" w:type="dxa"/>
            <w:tcBorders>
              <w:left w:val="nil"/>
              <w:bottom w:val="nil"/>
              <w:right w:val="nil"/>
            </w:tcBorders>
            <w:vAlign w:val="bottom"/>
          </w:tcPr>
          <w:p w:rsidR="00BF7B7C" w:rsidRPr="00F816FC" w:rsidRDefault="00BF7B7C" w:rsidP="00BF7B7C">
            <w:pPr>
              <w:jc w:val="center"/>
            </w:pPr>
          </w:p>
        </w:tc>
        <w:tc>
          <w:tcPr>
            <w:tcW w:w="1559" w:type="dxa"/>
            <w:tcBorders>
              <w:left w:val="nil"/>
              <w:bottom w:val="nil"/>
              <w:right w:val="nil"/>
            </w:tcBorders>
            <w:vAlign w:val="bottom"/>
          </w:tcPr>
          <w:p w:rsidR="00BF7B7C" w:rsidRPr="00F816FC" w:rsidRDefault="00BF7B7C" w:rsidP="00BF7B7C">
            <w:pPr>
              <w:jc w:val="center"/>
            </w:pPr>
          </w:p>
        </w:tc>
        <w:tc>
          <w:tcPr>
            <w:tcW w:w="1134" w:type="dxa"/>
            <w:tcBorders>
              <w:left w:val="nil"/>
              <w:bottom w:val="nil"/>
              <w:right w:val="nil"/>
            </w:tcBorders>
            <w:vAlign w:val="bottom"/>
          </w:tcPr>
          <w:p w:rsidR="00BF7B7C" w:rsidRPr="00F816FC" w:rsidRDefault="00BF7B7C" w:rsidP="00BF7B7C">
            <w:pPr>
              <w:jc w:val="center"/>
            </w:pPr>
          </w:p>
        </w:tc>
      </w:tr>
      <w:tr w:rsidR="00BF7B7C" w:rsidRPr="00F816FC" w:rsidTr="009710BF">
        <w:tc>
          <w:tcPr>
            <w:tcW w:w="3794" w:type="dxa"/>
            <w:tcBorders>
              <w:top w:val="nil"/>
              <w:left w:val="nil"/>
              <w:bottom w:val="nil"/>
              <w:right w:val="nil"/>
            </w:tcBorders>
          </w:tcPr>
          <w:p w:rsidR="00BF7B7C" w:rsidRPr="00F816FC" w:rsidRDefault="00B6474E">
            <w:r w:rsidRPr="00F816FC">
              <w:t>Number of previous fit notes issued for depression</w:t>
            </w:r>
            <w:r w:rsidR="004635D5" w:rsidRPr="00F816FC">
              <w:t>:</w:t>
            </w:r>
          </w:p>
        </w:tc>
        <w:tc>
          <w:tcPr>
            <w:tcW w:w="1984" w:type="dxa"/>
            <w:tcBorders>
              <w:top w:val="nil"/>
              <w:left w:val="nil"/>
              <w:bottom w:val="nil"/>
              <w:right w:val="nil"/>
            </w:tcBorders>
            <w:vAlign w:val="bottom"/>
          </w:tcPr>
          <w:p w:rsidR="00BF7B7C" w:rsidRPr="00F816FC" w:rsidRDefault="00BF7B7C" w:rsidP="004635D5">
            <w:pPr>
              <w:jc w:val="center"/>
            </w:pPr>
          </w:p>
        </w:tc>
        <w:tc>
          <w:tcPr>
            <w:tcW w:w="1843" w:type="dxa"/>
            <w:tcBorders>
              <w:top w:val="nil"/>
              <w:left w:val="nil"/>
              <w:bottom w:val="nil"/>
              <w:right w:val="nil"/>
            </w:tcBorders>
            <w:vAlign w:val="bottom"/>
          </w:tcPr>
          <w:p w:rsidR="00BF7B7C" w:rsidRPr="00F816FC" w:rsidRDefault="00BF7B7C" w:rsidP="00BF7B7C">
            <w:pPr>
              <w:jc w:val="center"/>
            </w:pPr>
          </w:p>
        </w:tc>
        <w:tc>
          <w:tcPr>
            <w:tcW w:w="1559" w:type="dxa"/>
            <w:tcBorders>
              <w:top w:val="nil"/>
              <w:left w:val="nil"/>
              <w:bottom w:val="nil"/>
              <w:right w:val="nil"/>
            </w:tcBorders>
            <w:vAlign w:val="bottom"/>
          </w:tcPr>
          <w:p w:rsidR="00BF7B7C" w:rsidRPr="00F816FC" w:rsidRDefault="00BF7B7C" w:rsidP="00BF7B7C">
            <w:pPr>
              <w:jc w:val="center"/>
            </w:pPr>
          </w:p>
        </w:tc>
        <w:tc>
          <w:tcPr>
            <w:tcW w:w="1134" w:type="dxa"/>
            <w:tcBorders>
              <w:top w:val="nil"/>
              <w:left w:val="nil"/>
              <w:bottom w:val="nil"/>
              <w:right w:val="nil"/>
            </w:tcBorders>
            <w:vAlign w:val="bottom"/>
          </w:tcPr>
          <w:p w:rsidR="00BF7B7C" w:rsidRPr="00F816FC" w:rsidRDefault="00BF7B7C" w:rsidP="00BF7B7C">
            <w:pPr>
              <w:jc w:val="center"/>
            </w:pPr>
          </w:p>
        </w:tc>
      </w:tr>
      <w:tr w:rsidR="00B6474E" w:rsidRPr="00F816FC" w:rsidTr="009710BF">
        <w:tc>
          <w:tcPr>
            <w:tcW w:w="3794" w:type="dxa"/>
            <w:tcBorders>
              <w:top w:val="nil"/>
              <w:left w:val="nil"/>
              <w:bottom w:val="nil"/>
              <w:right w:val="nil"/>
            </w:tcBorders>
          </w:tcPr>
          <w:p w:rsidR="00B6474E" w:rsidRPr="00F816FC" w:rsidRDefault="00B6474E">
            <w:pPr>
              <w:rPr>
                <w:i/>
              </w:rPr>
            </w:pPr>
            <w:r w:rsidRPr="00F816FC">
              <w:rPr>
                <w:i/>
              </w:rPr>
              <w:t>None</w:t>
            </w:r>
            <w:r w:rsidR="005D32A7" w:rsidRPr="00F816FC">
              <w:rPr>
                <w:i/>
              </w:rPr>
              <w:t xml:space="preserve"> (first issued to patient)</w:t>
            </w:r>
          </w:p>
        </w:tc>
        <w:tc>
          <w:tcPr>
            <w:tcW w:w="1984" w:type="dxa"/>
            <w:tcBorders>
              <w:top w:val="nil"/>
              <w:left w:val="nil"/>
              <w:bottom w:val="nil"/>
              <w:right w:val="nil"/>
            </w:tcBorders>
            <w:vAlign w:val="bottom"/>
          </w:tcPr>
          <w:p w:rsidR="00B6474E" w:rsidRPr="00F816FC" w:rsidRDefault="00177643" w:rsidP="004635D5">
            <w:pPr>
              <w:jc w:val="center"/>
            </w:pPr>
            <w:r w:rsidRPr="00F816FC">
              <w:t>3,631</w:t>
            </w:r>
          </w:p>
        </w:tc>
        <w:tc>
          <w:tcPr>
            <w:tcW w:w="1843" w:type="dxa"/>
            <w:tcBorders>
              <w:top w:val="nil"/>
              <w:left w:val="nil"/>
              <w:bottom w:val="nil"/>
              <w:right w:val="nil"/>
            </w:tcBorders>
            <w:vAlign w:val="bottom"/>
          </w:tcPr>
          <w:p w:rsidR="00B6474E" w:rsidRPr="00F816FC" w:rsidRDefault="00B6474E" w:rsidP="00BF7B7C">
            <w:pPr>
              <w:jc w:val="center"/>
            </w:pPr>
            <w:r w:rsidRPr="00F816FC">
              <w:t>1,215</w:t>
            </w:r>
          </w:p>
        </w:tc>
        <w:tc>
          <w:tcPr>
            <w:tcW w:w="1559" w:type="dxa"/>
            <w:tcBorders>
              <w:top w:val="nil"/>
              <w:left w:val="nil"/>
              <w:bottom w:val="nil"/>
              <w:right w:val="nil"/>
            </w:tcBorders>
            <w:vAlign w:val="bottom"/>
          </w:tcPr>
          <w:p w:rsidR="00B6474E" w:rsidRPr="00F816FC" w:rsidRDefault="00B6474E" w:rsidP="00BF7B7C">
            <w:pPr>
              <w:jc w:val="center"/>
            </w:pPr>
            <w:r w:rsidRPr="00F816FC">
              <w:t>33.5</w:t>
            </w:r>
          </w:p>
        </w:tc>
        <w:tc>
          <w:tcPr>
            <w:tcW w:w="1134" w:type="dxa"/>
            <w:vMerge w:val="restart"/>
            <w:tcBorders>
              <w:top w:val="nil"/>
              <w:left w:val="nil"/>
              <w:bottom w:val="nil"/>
              <w:right w:val="nil"/>
            </w:tcBorders>
            <w:vAlign w:val="center"/>
          </w:tcPr>
          <w:p w:rsidR="00B6474E" w:rsidRPr="00F816FC" w:rsidRDefault="00B6474E" w:rsidP="00D27505">
            <w:pPr>
              <w:jc w:val="center"/>
            </w:pPr>
            <w:r w:rsidRPr="00F816FC">
              <w:t>0.003</w:t>
            </w:r>
          </w:p>
        </w:tc>
      </w:tr>
      <w:tr w:rsidR="00B6474E" w:rsidRPr="00F816FC" w:rsidTr="009710BF">
        <w:tc>
          <w:tcPr>
            <w:tcW w:w="3794" w:type="dxa"/>
            <w:tcBorders>
              <w:top w:val="nil"/>
              <w:left w:val="nil"/>
              <w:bottom w:val="nil"/>
              <w:right w:val="nil"/>
            </w:tcBorders>
          </w:tcPr>
          <w:p w:rsidR="00B6474E" w:rsidRPr="00F816FC" w:rsidRDefault="00B6474E">
            <w:pPr>
              <w:rPr>
                <w:i/>
              </w:rPr>
            </w:pPr>
            <w:r w:rsidRPr="00F816FC">
              <w:rPr>
                <w:i/>
              </w:rPr>
              <w:t>One</w:t>
            </w:r>
          </w:p>
        </w:tc>
        <w:tc>
          <w:tcPr>
            <w:tcW w:w="1984" w:type="dxa"/>
            <w:tcBorders>
              <w:top w:val="nil"/>
              <w:left w:val="nil"/>
              <w:bottom w:val="nil"/>
              <w:right w:val="nil"/>
            </w:tcBorders>
            <w:vAlign w:val="bottom"/>
          </w:tcPr>
          <w:p w:rsidR="00B6474E" w:rsidRPr="00F816FC" w:rsidRDefault="00B6474E" w:rsidP="004635D5">
            <w:pPr>
              <w:jc w:val="center"/>
            </w:pPr>
            <w:r w:rsidRPr="00F816FC">
              <w:t>1,839</w:t>
            </w:r>
          </w:p>
        </w:tc>
        <w:tc>
          <w:tcPr>
            <w:tcW w:w="1843" w:type="dxa"/>
            <w:tcBorders>
              <w:top w:val="nil"/>
              <w:left w:val="nil"/>
              <w:bottom w:val="nil"/>
              <w:right w:val="nil"/>
            </w:tcBorders>
            <w:vAlign w:val="bottom"/>
          </w:tcPr>
          <w:p w:rsidR="00B6474E" w:rsidRPr="00F816FC" w:rsidRDefault="00B6474E" w:rsidP="00BF7B7C">
            <w:pPr>
              <w:jc w:val="center"/>
            </w:pPr>
            <w:r w:rsidRPr="00F816FC">
              <w:t>609</w:t>
            </w:r>
          </w:p>
        </w:tc>
        <w:tc>
          <w:tcPr>
            <w:tcW w:w="1559" w:type="dxa"/>
            <w:tcBorders>
              <w:top w:val="nil"/>
              <w:left w:val="nil"/>
              <w:bottom w:val="nil"/>
              <w:right w:val="nil"/>
            </w:tcBorders>
            <w:vAlign w:val="bottom"/>
          </w:tcPr>
          <w:p w:rsidR="00B6474E" w:rsidRPr="00F816FC" w:rsidRDefault="00CD23B2" w:rsidP="00BF7B7C">
            <w:pPr>
              <w:jc w:val="center"/>
            </w:pPr>
            <w:r w:rsidRPr="00F816FC">
              <w:t>33.1</w:t>
            </w:r>
          </w:p>
        </w:tc>
        <w:tc>
          <w:tcPr>
            <w:tcW w:w="1134" w:type="dxa"/>
            <w:vMerge/>
            <w:tcBorders>
              <w:top w:val="nil"/>
              <w:left w:val="nil"/>
              <w:bottom w:val="nil"/>
              <w:right w:val="nil"/>
            </w:tcBorders>
            <w:vAlign w:val="bottom"/>
          </w:tcPr>
          <w:p w:rsidR="00B6474E" w:rsidRPr="00F816FC" w:rsidRDefault="00B6474E" w:rsidP="00BF7B7C">
            <w:pPr>
              <w:jc w:val="center"/>
            </w:pPr>
          </w:p>
        </w:tc>
      </w:tr>
      <w:tr w:rsidR="00B6474E" w:rsidRPr="00F816FC" w:rsidTr="009710BF">
        <w:tc>
          <w:tcPr>
            <w:tcW w:w="3794" w:type="dxa"/>
            <w:tcBorders>
              <w:top w:val="nil"/>
              <w:left w:val="nil"/>
              <w:bottom w:val="nil"/>
              <w:right w:val="nil"/>
            </w:tcBorders>
          </w:tcPr>
          <w:p w:rsidR="00B6474E" w:rsidRPr="00F816FC" w:rsidRDefault="00B6474E">
            <w:pPr>
              <w:rPr>
                <w:i/>
              </w:rPr>
            </w:pPr>
            <w:r w:rsidRPr="00F816FC">
              <w:rPr>
                <w:i/>
              </w:rPr>
              <w:t>Two</w:t>
            </w:r>
          </w:p>
        </w:tc>
        <w:tc>
          <w:tcPr>
            <w:tcW w:w="1984" w:type="dxa"/>
            <w:tcBorders>
              <w:top w:val="nil"/>
              <w:left w:val="nil"/>
              <w:bottom w:val="nil"/>
              <w:right w:val="nil"/>
            </w:tcBorders>
            <w:vAlign w:val="bottom"/>
          </w:tcPr>
          <w:p w:rsidR="00B6474E" w:rsidRPr="00F816FC" w:rsidRDefault="00B6474E" w:rsidP="004635D5">
            <w:pPr>
              <w:jc w:val="center"/>
            </w:pPr>
            <w:r w:rsidRPr="00F816FC">
              <w:t>1,084</w:t>
            </w:r>
          </w:p>
        </w:tc>
        <w:tc>
          <w:tcPr>
            <w:tcW w:w="1843" w:type="dxa"/>
            <w:tcBorders>
              <w:top w:val="nil"/>
              <w:left w:val="nil"/>
              <w:bottom w:val="nil"/>
              <w:right w:val="nil"/>
            </w:tcBorders>
            <w:vAlign w:val="bottom"/>
          </w:tcPr>
          <w:p w:rsidR="00B6474E" w:rsidRPr="00F816FC" w:rsidRDefault="00B6474E" w:rsidP="00BF7B7C">
            <w:pPr>
              <w:jc w:val="center"/>
            </w:pPr>
            <w:r w:rsidRPr="00F816FC">
              <w:t>370</w:t>
            </w:r>
          </w:p>
        </w:tc>
        <w:tc>
          <w:tcPr>
            <w:tcW w:w="1559" w:type="dxa"/>
            <w:tcBorders>
              <w:top w:val="nil"/>
              <w:left w:val="nil"/>
              <w:bottom w:val="nil"/>
              <w:right w:val="nil"/>
            </w:tcBorders>
            <w:vAlign w:val="bottom"/>
          </w:tcPr>
          <w:p w:rsidR="00B6474E" w:rsidRPr="00F816FC" w:rsidRDefault="00B6474E" w:rsidP="00BF7B7C">
            <w:pPr>
              <w:jc w:val="center"/>
            </w:pPr>
            <w:r w:rsidRPr="00F816FC">
              <w:t>34.1</w:t>
            </w:r>
          </w:p>
        </w:tc>
        <w:tc>
          <w:tcPr>
            <w:tcW w:w="1134" w:type="dxa"/>
            <w:vMerge/>
            <w:tcBorders>
              <w:top w:val="nil"/>
              <w:left w:val="nil"/>
              <w:bottom w:val="nil"/>
              <w:right w:val="nil"/>
            </w:tcBorders>
            <w:vAlign w:val="bottom"/>
          </w:tcPr>
          <w:p w:rsidR="00B6474E" w:rsidRPr="00F816FC" w:rsidRDefault="00B6474E" w:rsidP="00BF7B7C">
            <w:pPr>
              <w:jc w:val="center"/>
            </w:pPr>
          </w:p>
        </w:tc>
      </w:tr>
      <w:tr w:rsidR="00B6474E" w:rsidRPr="00F816FC" w:rsidTr="009710BF">
        <w:tc>
          <w:tcPr>
            <w:tcW w:w="3794" w:type="dxa"/>
            <w:tcBorders>
              <w:top w:val="nil"/>
              <w:left w:val="nil"/>
              <w:bottom w:val="nil"/>
              <w:right w:val="nil"/>
            </w:tcBorders>
          </w:tcPr>
          <w:p w:rsidR="00B6474E" w:rsidRPr="00F816FC" w:rsidRDefault="00B6474E">
            <w:pPr>
              <w:rPr>
                <w:i/>
              </w:rPr>
            </w:pPr>
            <w:r w:rsidRPr="00F816FC">
              <w:rPr>
                <w:i/>
              </w:rPr>
              <w:t>More than two</w:t>
            </w:r>
          </w:p>
        </w:tc>
        <w:tc>
          <w:tcPr>
            <w:tcW w:w="1984" w:type="dxa"/>
            <w:tcBorders>
              <w:top w:val="nil"/>
              <w:left w:val="nil"/>
              <w:bottom w:val="nil"/>
              <w:right w:val="nil"/>
            </w:tcBorders>
            <w:vAlign w:val="bottom"/>
          </w:tcPr>
          <w:p w:rsidR="00B6474E" w:rsidRPr="00F816FC" w:rsidRDefault="005D32A7" w:rsidP="004635D5">
            <w:pPr>
              <w:jc w:val="center"/>
            </w:pPr>
            <w:r w:rsidRPr="00F816FC">
              <w:t>1,573</w:t>
            </w:r>
          </w:p>
        </w:tc>
        <w:tc>
          <w:tcPr>
            <w:tcW w:w="1843" w:type="dxa"/>
            <w:tcBorders>
              <w:top w:val="nil"/>
              <w:left w:val="nil"/>
              <w:bottom w:val="nil"/>
              <w:right w:val="nil"/>
            </w:tcBorders>
            <w:vAlign w:val="bottom"/>
          </w:tcPr>
          <w:p w:rsidR="00B6474E" w:rsidRPr="00F816FC" w:rsidRDefault="00B6474E" w:rsidP="00BF7B7C">
            <w:pPr>
              <w:jc w:val="center"/>
            </w:pPr>
            <w:r w:rsidRPr="00F816FC">
              <w:t>606</w:t>
            </w:r>
          </w:p>
        </w:tc>
        <w:tc>
          <w:tcPr>
            <w:tcW w:w="1559" w:type="dxa"/>
            <w:tcBorders>
              <w:top w:val="nil"/>
              <w:left w:val="nil"/>
              <w:bottom w:val="nil"/>
              <w:right w:val="nil"/>
            </w:tcBorders>
            <w:vAlign w:val="bottom"/>
          </w:tcPr>
          <w:p w:rsidR="00B6474E" w:rsidRPr="00F816FC" w:rsidRDefault="00B6474E" w:rsidP="00BF7B7C">
            <w:pPr>
              <w:jc w:val="center"/>
            </w:pPr>
            <w:r w:rsidRPr="00F816FC">
              <w:t>38.4</w:t>
            </w:r>
          </w:p>
        </w:tc>
        <w:tc>
          <w:tcPr>
            <w:tcW w:w="1134" w:type="dxa"/>
            <w:vMerge/>
            <w:tcBorders>
              <w:top w:val="nil"/>
              <w:left w:val="nil"/>
              <w:bottom w:val="nil"/>
              <w:right w:val="nil"/>
            </w:tcBorders>
            <w:vAlign w:val="bottom"/>
          </w:tcPr>
          <w:p w:rsidR="00B6474E" w:rsidRPr="00F816FC" w:rsidRDefault="00B6474E" w:rsidP="00BF7B7C">
            <w:pPr>
              <w:jc w:val="center"/>
            </w:pPr>
          </w:p>
        </w:tc>
      </w:tr>
      <w:tr w:rsidR="00BF7B7C" w:rsidRPr="00F816FC" w:rsidTr="009710BF">
        <w:tc>
          <w:tcPr>
            <w:tcW w:w="3794" w:type="dxa"/>
            <w:tcBorders>
              <w:top w:val="nil"/>
              <w:left w:val="nil"/>
              <w:bottom w:val="nil"/>
              <w:right w:val="nil"/>
            </w:tcBorders>
          </w:tcPr>
          <w:p w:rsidR="00BF7B7C" w:rsidRPr="00F816FC" w:rsidRDefault="00BF7B7C">
            <w:r w:rsidRPr="00F816FC">
              <w:t>Preceded by a fit note issued for another mental disorder</w:t>
            </w:r>
            <w:r w:rsidR="004635D5" w:rsidRPr="00F816FC">
              <w:t>:</w:t>
            </w:r>
          </w:p>
        </w:tc>
        <w:tc>
          <w:tcPr>
            <w:tcW w:w="1984" w:type="dxa"/>
            <w:tcBorders>
              <w:top w:val="nil"/>
              <w:left w:val="nil"/>
              <w:bottom w:val="nil"/>
              <w:right w:val="nil"/>
            </w:tcBorders>
            <w:vAlign w:val="bottom"/>
          </w:tcPr>
          <w:p w:rsidR="00BF7B7C" w:rsidRPr="00F816FC" w:rsidRDefault="00BF7B7C" w:rsidP="004635D5">
            <w:pPr>
              <w:jc w:val="center"/>
            </w:pPr>
          </w:p>
        </w:tc>
        <w:tc>
          <w:tcPr>
            <w:tcW w:w="1843" w:type="dxa"/>
            <w:tcBorders>
              <w:top w:val="nil"/>
              <w:left w:val="nil"/>
              <w:bottom w:val="nil"/>
              <w:right w:val="nil"/>
            </w:tcBorders>
            <w:vAlign w:val="bottom"/>
          </w:tcPr>
          <w:p w:rsidR="00BF7B7C" w:rsidRPr="00F816FC" w:rsidRDefault="00BF7B7C" w:rsidP="00BF7B7C">
            <w:pPr>
              <w:jc w:val="center"/>
            </w:pPr>
          </w:p>
        </w:tc>
        <w:tc>
          <w:tcPr>
            <w:tcW w:w="1559" w:type="dxa"/>
            <w:tcBorders>
              <w:top w:val="nil"/>
              <w:left w:val="nil"/>
              <w:bottom w:val="nil"/>
              <w:right w:val="nil"/>
            </w:tcBorders>
            <w:vAlign w:val="bottom"/>
          </w:tcPr>
          <w:p w:rsidR="00BF7B7C" w:rsidRPr="00F816FC" w:rsidRDefault="00BF7B7C" w:rsidP="00BF7B7C">
            <w:pPr>
              <w:jc w:val="center"/>
            </w:pPr>
          </w:p>
        </w:tc>
        <w:tc>
          <w:tcPr>
            <w:tcW w:w="1134" w:type="dxa"/>
            <w:tcBorders>
              <w:top w:val="nil"/>
              <w:left w:val="nil"/>
              <w:bottom w:val="nil"/>
              <w:right w:val="nil"/>
            </w:tcBorders>
            <w:vAlign w:val="bottom"/>
          </w:tcPr>
          <w:p w:rsidR="00BF7B7C" w:rsidRPr="00F816FC" w:rsidRDefault="00BF7B7C" w:rsidP="00BF7B7C">
            <w:pPr>
              <w:jc w:val="center"/>
            </w:pPr>
          </w:p>
        </w:tc>
      </w:tr>
      <w:tr w:rsidR="00D27505" w:rsidRPr="00F816FC" w:rsidTr="009710BF">
        <w:tc>
          <w:tcPr>
            <w:tcW w:w="3794" w:type="dxa"/>
            <w:tcBorders>
              <w:top w:val="nil"/>
              <w:left w:val="nil"/>
              <w:bottom w:val="nil"/>
              <w:right w:val="nil"/>
            </w:tcBorders>
          </w:tcPr>
          <w:p w:rsidR="00D27505" w:rsidRPr="00F816FC" w:rsidRDefault="00D27505">
            <w:pPr>
              <w:rPr>
                <w:i/>
              </w:rPr>
            </w:pPr>
            <w:r w:rsidRPr="00F816FC">
              <w:rPr>
                <w:i/>
              </w:rPr>
              <w:t>No</w:t>
            </w:r>
          </w:p>
        </w:tc>
        <w:tc>
          <w:tcPr>
            <w:tcW w:w="1984" w:type="dxa"/>
            <w:tcBorders>
              <w:top w:val="nil"/>
              <w:left w:val="nil"/>
              <w:bottom w:val="nil"/>
              <w:right w:val="nil"/>
            </w:tcBorders>
            <w:vAlign w:val="bottom"/>
          </w:tcPr>
          <w:p w:rsidR="00D27505" w:rsidRPr="00F816FC" w:rsidRDefault="00304E4B" w:rsidP="004635D5">
            <w:pPr>
              <w:jc w:val="center"/>
            </w:pPr>
            <w:r w:rsidRPr="00F816FC">
              <w:t>5,867</w:t>
            </w:r>
          </w:p>
        </w:tc>
        <w:tc>
          <w:tcPr>
            <w:tcW w:w="1843" w:type="dxa"/>
            <w:tcBorders>
              <w:top w:val="nil"/>
              <w:left w:val="nil"/>
              <w:bottom w:val="nil"/>
              <w:right w:val="nil"/>
            </w:tcBorders>
            <w:vAlign w:val="bottom"/>
          </w:tcPr>
          <w:p w:rsidR="00D27505" w:rsidRPr="00F816FC" w:rsidRDefault="00304E4B" w:rsidP="00BF7B7C">
            <w:pPr>
              <w:jc w:val="center"/>
            </w:pPr>
            <w:r w:rsidRPr="00F816FC">
              <w:t>2,074</w:t>
            </w:r>
          </w:p>
        </w:tc>
        <w:tc>
          <w:tcPr>
            <w:tcW w:w="1559" w:type="dxa"/>
            <w:tcBorders>
              <w:top w:val="nil"/>
              <w:left w:val="nil"/>
              <w:bottom w:val="nil"/>
              <w:right w:val="nil"/>
            </w:tcBorders>
            <w:vAlign w:val="bottom"/>
          </w:tcPr>
          <w:p w:rsidR="00D27505" w:rsidRPr="00F816FC" w:rsidRDefault="00304E4B" w:rsidP="00BF7B7C">
            <w:pPr>
              <w:jc w:val="center"/>
            </w:pPr>
            <w:r w:rsidRPr="00F816FC">
              <w:t>35.4</w:t>
            </w:r>
          </w:p>
        </w:tc>
        <w:tc>
          <w:tcPr>
            <w:tcW w:w="1134" w:type="dxa"/>
            <w:vMerge w:val="restart"/>
            <w:tcBorders>
              <w:top w:val="nil"/>
              <w:left w:val="nil"/>
              <w:bottom w:val="nil"/>
              <w:right w:val="nil"/>
            </w:tcBorders>
            <w:vAlign w:val="center"/>
          </w:tcPr>
          <w:p w:rsidR="00D27505" w:rsidRPr="00F816FC" w:rsidRDefault="00304E4B" w:rsidP="00D27505">
            <w:pPr>
              <w:jc w:val="center"/>
            </w:pPr>
            <w:r w:rsidRPr="00F816FC">
              <w:t>0.006</w:t>
            </w:r>
          </w:p>
        </w:tc>
      </w:tr>
      <w:tr w:rsidR="00D27505" w:rsidRPr="00F816FC" w:rsidTr="009710BF">
        <w:tc>
          <w:tcPr>
            <w:tcW w:w="3794" w:type="dxa"/>
            <w:tcBorders>
              <w:top w:val="nil"/>
              <w:left w:val="nil"/>
              <w:bottom w:val="nil"/>
              <w:right w:val="nil"/>
            </w:tcBorders>
          </w:tcPr>
          <w:p w:rsidR="00D27505" w:rsidRPr="00F816FC" w:rsidRDefault="00D27505">
            <w:pPr>
              <w:rPr>
                <w:i/>
              </w:rPr>
            </w:pPr>
            <w:r w:rsidRPr="00F816FC">
              <w:rPr>
                <w:i/>
              </w:rPr>
              <w:t>Yes</w:t>
            </w:r>
          </w:p>
        </w:tc>
        <w:tc>
          <w:tcPr>
            <w:tcW w:w="1984" w:type="dxa"/>
            <w:tcBorders>
              <w:top w:val="nil"/>
              <w:left w:val="nil"/>
              <w:bottom w:val="nil"/>
              <w:right w:val="nil"/>
            </w:tcBorders>
            <w:vAlign w:val="bottom"/>
          </w:tcPr>
          <w:p w:rsidR="00D27505" w:rsidRPr="00F816FC" w:rsidRDefault="00304E4B" w:rsidP="004635D5">
            <w:pPr>
              <w:jc w:val="center"/>
            </w:pPr>
            <w:r w:rsidRPr="00F816FC">
              <w:t>2,260</w:t>
            </w:r>
          </w:p>
        </w:tc>
        <w:tc>
          <w:tcPr>
            <w:tcW w:w="1843" w:type="dxa"/>
            <w:tcBorders>
              <w:top w:val="nil"/>
              <w:left w:val="nil"/>
              <w:bottom w:val="nil"/>
              <w:right w:val="nil"/>
            </w:tcBorders>
            <w:vAlign w:val="bottom"/>
          </w:tcPr>
          <w:p w:rsidR="00D27505" w:rsidRPr="00F816FC" w:rsidRDefault="00304E4B" w:rsidP="00BF7B7C">
            <w:pPr>
              <w:jc w:val="center"/>
            </w:pPr>
            <w:r w:rsidRPr="00F816FC">
              <w:t>726</w:t>
            </w:r>
          </w:p>
        </w:tc>
        <w:tc>
          <w:tcPr>
            <w:tcW w:w="1559" w:type="dxa"/>
            <w:tcBorders>
              <w:top w:val="nil"/>
              <w:left w:val="nil"/>
              <w:bottom w:val="nil"/>
              <w:right w:val="nil"/>
            </w:tcBorders>
            <w:vAlign w:val="bottom"/>
          </w:tcPr>
          <w:p w:rsidR="00D27505" w:rsidRPr="00F816FC" w:rsidRDefault="00304E4B" w:rsidP="00BF7B7C">
            <w:pPr>
              <w:jc w:val="center"/>
            </w:pPr>
            <w:r w:rsidRPr="00F816FC">
              <w:t>32.1</w:t>
            </w:r>
          </w:p>
        </w:tc>
        <w:tc>
          <w:tcPr>
            <w:tcW w:w="1134" w:type="dxa"/>
            <w:vMerge/>
            <w:tcBorders>
              <w:top w:val="nil"/>
              <w:left w:val="nil"/>
              <w:bottom w:val="nil"/>
              <w:right w:val="nil"/>
            </w:tcBorders>
            <w:vAlign w:val="bottom"/>
          </w:tcPr>
          <w:p w:rsidR="00D27505" w:rsidRPr="00F816FC" w:rsidRDefault="00D27505" w:rsidP="00BF7B7C">
            <w:pPr>
              <w:jc w:val="center"/>
            </w:pPr>
          </w:p>
        </w:tc>
      </w:tr>
      <w:tr w:rsidR="00BF7B7C" w:rsidRPr="00F816FC" w:rsidTr="009710BF">
        <w:tc>
          <w:tcPr>
            <w:tcW w:w="3794" w:type="dxa"/>
            <w:tcBorders>
              <w:top w:val="nil"/>
              <w:left w:val="nil"/>
              <w:bottom w:val="nil"/>
              <w:right w:val="nil"/>
            </w:tcBorders>
          </w:tcPr>
          <w:p w:rsidR="00BF7B7C" w:rsidRPr="00F816FC" w:rsidRDefault="00BF7B7C">
            <w:r w:rsidRPr="00F816FC">
              <w:t>Preceded by a fit note issued for a physical health problem</w:t>
            </w:r>
            <w:r w:rsidR="004635D5" w:rsidRPr="00F816FC">
              <w:t>:</w:t>
            </w:r>
          </w:p>
        </w:tc>
        <w:tc>
          <w:tcPr>
            <w:tcW w:w="1984" w:type="dxa"/>
            <w:tcBorders>
              <w:top w:val="nil"/>
              <w:left w:val="nil"/>
              <w:bottom w:val="nil"/>
              <w:right w:val="nil"/>
            </w:tcBorders>
            <w:vAlign w:val="bottom"/>
          </w:tcPr>
          <w:p w:rsidR="00BF7B7C" w:rsidRPr="00F816FC" w:rsidRDefault="00BF7B7C" w:rsidP="004635D5">
            <w:pPr>
              <w:jc w:val="center"/>
            </w:pPr>
          </w:p>
        </w:tc>
        <w:tc>
          <w:tcPr>
            <w:tcW w:w="1843" w:type="dxa"/>
            <w:tcBorders>
              <w:top w:val="nil"/>
              <w:left w:val="nil"/>
              <w:bottom w:val="nil"/>
              <w:right w:val="nil"/>
            </w:tcBorders>
            <w:vAlign w:val="bottom"/>
          </w:tcPr>
          <w:p w:rsidR="00BF7B7C" w:rsidRPr="00F816FC" w:rsidRDefault="00BF7B7C" w:rsidP="00BF7B7C">
            <w:pPr>
              <w:jc w:val="center"/>
            </w:pPr>
          </w:p>
        </w:tc>
        <w:tc>
          <w:tcPr>
            <w:tcW w:w="1559" w:type="dxa"/>
            <w:tcBorders>
              <w:top w:val="nil"/>
              <w:left w:val="nil"/>
              <w:bottom w:val="nil"/>
              <w:right w:val="nil"/>
            </w:tcBorders>
            <w:vAlign w:val="bottom"/>
          </w:tcPr>
          <w:p w:rsidR="00BF7B7C" w:rsidRPr="00F816FC" w:rsidRDefault="00BF7B7C" w:rsidP="00BF7B7C">
            <w:pPr>
              <w:jc w:val="center"/>
            </w:pPr>
          </w:p>
        </w:tc>
        <w:tc>
          <w:tcPr>
            <w:tcW w:w="1134" w:type="dxa"/>
            <w:tcBorders>
              <w:top w:val="nil"/>
              <w:left w:val="nil"/>
              <w:bottom w:val="nil"/>
              <w:right w:val="nil"/>
            </w:tcBorders>
            <w:vAlign w:val="bottom"/>
          </w:tcPr>
          <w:p w:rsidR="00BF7B7C" w:rsidRPr="00F816FC" w:rsidRDefault="00BF7B7C" w:rsidP="00BF7B7C">
            <w:pPr>
              <w:jc w:val="center"/>
            </w:pPr>
          </w:p>
        </w:tc>
      </w:tr>
      <w:tr w:rsidR="00D27505" w:rsidRPr="00F816FC" w:rsidTr="009710BF">
        <w:tc>
          <w:tcPr>
            <w:tcW w:w="3794" w:type="dxa"/>
            <w:tcBorders>
              <w:top w:val="nil"/>
              <w:left w:val="nil"/>
              <w:bottom w:val="nil"/>
              <w:right w:val="nil"/>
            </w:tcBorders>
          </w:tcPr>
          <w:p w:rsidR="00D27505" w:rsidRPr="00F816FC" w:rsidRDefault="00D27505">
            <w:pPr>
              <w:rPr>
                <w:i/>
              </w:rPr>
            </w:pPr>
            <w:r w:rsidRPr="00F816FC">
              <w:rPr>
                <w:i/>
              </w:rPr>
              <w:t>No</w:t>
            </w:r>
          </w:p>
        </w:tc>
        <w:tc>
          <w:tcPr>
            <w:tcW w:w="1984" w:type="dxa"/>
            <w:tcBorders>
              <w:top w:val="nil"/>
              <w:left w:val="nil"/>
              <w:bottom w:val="nil"/>
              <w:right w:val="nil"/>
            </w:tcBorders>
            <w:vAlign w:val="bottom"/>
          </w:tcPr>
          <w:p w:rsidR="00D27505" w:rsidRPr="00F816FC" w:rsidRDefault="00304E4B" w:rsidP="004635D5">
            <w:pPr>
              <w:jc w:val="center"/>
            </w:pPr>
            <w:r w:rsidRPr="00F816FC">
              <w:t>6,648</w:t>
            </w:r>
          </w:p>
        </w:tc>
        <w:tc>
          <w:tcPr>
            <w:tcW w:w="1843" w:type="dxa"/>
            <w:tcBorders>
              <w:top w:val="nil"/>
              <w:left w:val="nil"/>
              <w:bottom w:val="nil"/>
              <w:right w:val="nil"/>
            </w:tcBorders>
            <w:vAlign w:val="bottom"/>
          </w:tcPr>
          <w:p w:rsidR="00D27505" w:rsidRPr="00F816FC" w:rsidRDefault="00304E4B" w:rsidP="00BF7B7C">
            <w:pPr>
              <w:jc w:val="center"/>
            </w:pPr>
            <w:r w:rsidRPr="00F816FC">
              <w:t>2,383</w:t>
            </w:r>
          </w:p>
        </w:tc>
        <w:tc>
          <w:tcPr>
            <w:tcW w:w="1559" w:type="dxa"/>
            <w:tcBorders>
              <w:top w:val="nil"/>
              <w:left w:val="nil"/>
              <w:bottom w:val="nil"/>
              <w:right w:val="nil"/>
            </w:tcBorders>
            <w:vAlign w:val="bottom"/>
          </w:tcPr>
          <w:p w:rsidR="00D27505" w:rsidRPr="00F816FC" w:rsidRDefault="00304E4B" w:rsidP="00BF7B7C">
            <w:pPr>
              <w:jc w:val="center"/>
            </w:pPr>
            <w:r w:rsidRPr="00F816FC">
              <w:t>35.8</w:t>
            </w:r>
          </w:p>
        </w:tc>
        <w:tc>
          <w:tcPr>
            <w:tcW w:w="1134" w:type="dxa"/>
            <w:vMerge w:val="restart"/>
            <w:tcBorders>
              <w:top w:val="nil"/>
              <w:left w:val="nil"/>
              <w:bottom w:val="nil"/>
              <w:right w:val="nil"/>
            </w:tcBorders>
            <w:vAlign w:val="center"/>
          </w:tcPr>
          <w:p w:rsidR="00D27505" w:rsidRPr="00F816FC" w:rsidRDefault="00304E4B" w:rsidP="00D27505">
            <w:pPr>
              <w:jc w:val="center"/>
            </w:pPr>
            <w:r w:rsidRPr="00F816FC">
              <w:t>&lt;0.001</w:t>
            </w:r>
          </w:p>
        </w:tc>
      </w:tr>
      <w:tr w:rsidR="00D27505" w:rsidRPr="00F816FC" w:rsidTr="009710BF">
        <w:tc>
          <w:tcPr>
            <w:tcW w:w="3794" w:type="dxa"/>
            <w:tcBorders>
              <w:top w:val="nil"/>
              <w:left w:val="nil"/>
              <w:bottom w:val="nil"/>
              <w:right w:val="nil"/>
            </w:tcBorders>
          </w:tcPr>
          <w:p w:rsidR="00D27505" w:rsidRPr="00F816FC" w:rsidRDefault="00D27505">
            <w:pPr>
              <w:rPr>
                <w:i/>
              </w:rPr>
            </w:pPr>
            <w:r w:rsidRPr="00F816FC">
              <w:rPr>
                <w:i/>
              </w:rPr>
              <w:t>Yes</w:t>
            </w:r>
          </w:p>
        </w:tc>
        <w:tc>
          <w:tcPr>
            <w:tcW w:w="1984" w:type="dxa"/>
            <w:tcBorders>
              <w:top w:val="nil"/>
              <w:left w:val="nil"/>
              <w:bottom w:val="nil"/>
              <w:right w:val="nil"/>
            </w:tcBorders>
            <w:vAlign w:val="bottom"/>
          </w:tcPr>
          <w:p w:rsidR="00D27505" w:rsidRPr="00F816FC" w:rsidRDefault="00304E4B" w:rsidP="004635D5">
            <w:pPr>
              <w:jc w:val="center"/>
            </w:pPr>
            <w:r w:rsidRPr="00F816FC">
              <w:t>1,479</w:t>
            </w:r>
          </w:p>
        </w:tc>
        <w:tc>
          <w:tcPr>
            <w:tcW w:w="1843" w:type="dxa"/>
            <w:tcBorders>
              <w:top w:val="nil"/>
              <w:left w:val="nil"/>
              <w:bottom w:val="nil"/>
              <w:right w:val="nil"/>
            </w:tcBorders>
            <w:vAlign w:val="bottom"/>
          </w:tcPr>
          <w:p w:rsidR="00D27505" w:rsidRPr="00F816FC" w:rsidRDefault="00304E4B" w:rsidP="00BF7B7C">
            <w:pPr>
              <w:jc w:val="center"/>
            </w:pPr>
            <w:r w:rsidRPr="00F816FC">
              <w:t>417</w:t>
            </w:r>
          </w:p>
        </w:tc>
        <w:tc>
          <w:tcPr>
            <w:tcW w:w="1559" w:type="dxa"/>
            <w:tcBorders>
              <w:top w:val="nil"/>
              <w:left w:val="nil"/>
              <w:bottom w:val="nil"/>
              <w:right w:val="nil"/>
            </w:tcBorders>
            <w:vAlign w:val="bottom"/>
          </w:tcPr>
          <w:p w:rsidR="00D27505" w:rsidRPr="00F816FC" w:rsidRDefault="00304E4B" w:rsidP="00BF7B7C">
            <w:pPr>
              <w:jc w:val="center"/>
            </w:pPr>
            <w:r w:rsidRPr="00F816FC">
              <w:t>28.2</w:t>
            </w:r>
          </w:p>
        </w:tc>
        <w:tc>
          <w:tcPr>
            <w:tcW w:w="1134" w:type="dxa"/>
            <w:vMerge/>
            <w:tcBorders>
              <w:top w:val="nil"/>
              <w:left w:val="nil"/>
              <w:bottom w:val="nil"/>
              <w:right w:val="nil"/>
            </w:tcBorders>
            <w:vAlign w:val="center"/>
          </w:tcPr>
          <w:p w:rsidR="00D27505" w:rsidRPr="00F816FC" w:rsidRDefault="00D27505" w:rsidP="00D27505">
            <w:pPr>
              <w:jc w:val="center"/>
            </w:pPr>
          </w:p>
        </w:tc>
      </w:tr>
      <w:tr w:rsidR="00BF7B7C" w:rsidRPr="00F816FC" w:rsidTr="009710BF">
        <w:tc>
          <w:tcPr>
            <w:tcW w:w="3794" w:type="dxa"/>
            <w:tcBorders>
              <w:top w:val="nil"/>
              <w:left w:val="nil"/>
              <w:bottom w:val="nil"/>
              <w:right w:val="nil"/>
            </w:tcBorders>
          </w:tcPr>
          <w:p w:rsidR="00BF7B7C" w:rsidRPr="00F816FC" w:rsidRDefault="004635D5">
            <w:r w:rsidRPr="00F816FC">
              <w:t>Fit note includes ‘may be fit’ advice:</w:t>
            </w:r>
          </w:p>
        </w:tc>
        <w:tc>
          <w:tcPr>
            <w:tcW w:w="1984" w:type="dxa"/>
            <w:tcBorders>
              <w:top w:val="nil"/>
              <w:left w:val="nil"/>
              <w:bottom w:val="nil"/>
              <w:right w:val="nil"/>
            </w:tcBorders>
            <w:vAlign w:val="bottom"/>
          </w:tcPr>
          <w:p w:rsidR="00BF7B7C" w:rsidRPr="00F816FC" w:rsidRDefault="00BF7B7C" w:rsidP="004635D5">
            <w:pPr>
              <w:jc w:val="center"/>
            </w:pPr>
          </w:p>
        </w:tc>
        <w:tc>
          <w:tcPr>
            <w:tcW w:w="1843" w:type="dxa"/>
            <w:tcBorders>
              <w:top w:val="nil"/>
              <w:left w:val="nil"/>
              <w:bottom w:val="nil"/>
              <w:right w:val="nil"/>
            </w:tcBorders>
            <w:vAlign w:val="bottom"/>
          </w:tcPr>
          <w:p w:rsidR="00BF7B7C" w:rsidRPr="00F816FC" w:rsidRDefault="00BF7B7C" w:rsidP="00BF7B7C">
            <w:pPr>
              <w:jc w:val="center"/>
            </w:pPr>
          </w:p>
        </w:tc>
        <w:tc>
          <w:tcPr>
            <w:tcW w:w="1559" w:type="dxa"/>
            <w:tcBorders>
              <w:top w:val="nil"/>
              <w:left w:val="nil"/>
              <w:bottom w:val="nil"/>
              <w:right w:val="nil"/>
            </w:tcBorders>
            <w:vAlign w:val="bottom"/>
          </w:tcPr>
          <w:p w:rsidR="00BF7B7C" w:rsidRPr="00F816FC" w:rsidRDefault="00BF7B7C" w:rsidP="00BF7B7C">
            <w:pPr>
              <w:jc w:val="center"/>
            </w:pPr>
          </w:p>
        </w:tc>
        <w:tc>
          <w:tcPr>
            <w:tcW w:w="1134" w:type="dxa"/>
            <w:tcBorders>
              <w:top w:val="nil"/>
              <w:left w:val="nil"/>
              <w:bottom w:val="nil"/>
              <w:right w:val="nil"/>
            </w:tcBorders>
            <w:vAlign w:val="bottom"/>
          </w:tcPr>
          <w:p w:rsidR="00BF7B7C" w:rsidRPr="00F816FC" w:rsidRDefault="00BF7B7C" w:rsidP="00BF7B7C">
            <w:pPr>
              <w:jc w:val="center"/>
            </w:pPr>
          </w:p>
        </w:tc>
      </w:tr>
      <w:tr w:rsidR="00D27505" w:rsidRPr="00F816FC" w:rsidTr="009710BF">
        <w:tc>
          <w:tcPr>
            <w:tcW w:w="3794" w:type="dxa"/>
            <w:tcBorders>
              <w:top w:val="nil"/>
              <w:left w:val="nil"/>
              <w:bottom w:val="nil"/>
              <w:right w:val="nil"/>
            </w:tcBorders>
          </w:tcPr>
          <w:p w:rsidR="00D27505" w:rsidRPr="00F816FC" w:rsidRDefault="00D27505">
            <w:pPr>
              <w:rPr>
                <w:i/>
              </w:rPr>
            </w:pPr>
            <w:r w:rsidRPr="00F816FC">
              <w:rPr>
                <w:i/>
              </w:rPr>
              <w:t>No</w:t>
            </w:r>
          </w:p>
        </w:tc>
        <w:tc>
          <w:tcPr>
            <w:tcW w:w="1984" w:type="dxa"/>
            <w:tcBorders>
              <w:top w:val="nil"/>
              <w:left w:val="nil"/>
              <w:bottom w:val="nil"/>
              <w:right w:val="nil"/>
            </w:tcBorders>
            <w:vAlign w:val="bottom"/>
          </w:tcPr>
          <w:p w:rsidR="00D27505" w:rsidRPr="00F816FC" w:rsidRDefault="00304E4B" w:rsidP="004635D5">
            <w:pPr>
              <w:jc w:val="center"/>
            </w:pPr>
            <w:r w:rsidRPr="00F816FC">
              <w:t>7,841</w:t>
            </w:r>
          </w:p>
        </w:tc>
        <w:tc>
          <w:tcPr>
            <w:tcW w:w="1843" w:type="dxa"/>
            <w:tcBorders>
              <w:top w:val="nil"/>
              <w:left w:val="nil"/>
              <w:bottom w:val="nil"/>
              <w:right w:val="nil"/>
            </w:tcBorders>
            <w:vAlign w:val="bottom"/>
          </w:tcPr>
          <w:p w:rsidR="00D27505" w:rsidRPr="00F816FC" w:rsidRDefault="00304E4B" w:rsidP="00BF7B7C">
            <w:pPr>
              <w:jc w:val="center"/>
            </w:pPr>
            <w:r w:rsidRPr="00F816FC">
              <w:t>2,752</w:t>
            </w:r>
          </w:p>
        </w:tc>
        <w:tc>
          <w:tcPr>
            <w:tcW w:w="1559" w:type="dxa"/>
            <w:tcBorders>
              <w:top w:val="nil"/>
              <w:left w:val="nil"/>
              <w:bottom w:val="nil"/>
              <w:right w:val="nil"/>
            </w:tcBorders>
            <w:vAlign w:val="bottom"/>
          </w:tcPr>
          <w:p w:rsidR="00D27505" w:rsidRPr="00F816FC" w:rsidRDefault="00304E4B" w:rsidP="00BF7B7C">
            <w:pPr>
              <w:jc w:val="center"/>
            </w:pPr>
            <w:r w:rsidRPr="00F816FC">
              <w:t>35.1</w:t>
            </w:r>
          </w:p>
        </w:tc>
        <w:tc>
          <w:tcPr>
            <w:tcW w:w="1134" w:type="dxa"/>
            <w:vMerge w:val="restart"/>
            <w:tcBorders>
              <w:top w:val="nil"/>
              <w:left w:val="nil"/>
              <w:bottom w:val="nil"/>
              <w:right w:val="nil"/>
            </w:tcBorders>
            <w:vAlign w:val="center"/>
          </w:tcPr>
          <w:p w:rsidR="00D27505" w:rsidRPr="00F816FC" w:rsidRDefault="00304E4B" w:rsidP="00D27505">
            <w:pPr>
              <w:jc w:val="center"/>
            </w:pPr>
            <w:r w:rsidRPr="00F816FC">
              <w:t>&lt;0.001</w:t>
            </w:r>
          </w:p>
        </w:tc>
      </w:tr>
      <w:tr w:rsidR="00D27505" w:rsidRPr="00F816FC" w:rsidTr="009710BF">
        <w:tc>
          <w:tcPr>
            <w:tcW w:w="3794" w:type="dxa"/>
            <w:tcBorders>
              <w:top w:val="nil"/>
              <w:left w:val="nil"/>
              <w:bottom w:val="nil"/>
              <w:right w:val="nil"/>
            </w:tcBorders>
          </w:tcPr>
          <w:p w:rsidR="00D27505" w:rsidRPr="00F816FC" w:rsidRDefault="00D27505">
            <w:pPr>
              <w:rPr>
                <w:i/>
              </w:rPr>
            </w:pPr>
            <w:r w:rsidRPr="00F816FC">
              <w:rPr>
                <w:i/>
              </w:rPr>
              <w:t>Yes</w:t>
            </w:r>
          </w:p>
        </w:tc>
        <w:tc>
          <w:tcPr>
            <w:tcW w:w="1984" w:type="dxa"/>
            <w:tcBorders>
              <w:top w:val="nil"/>
              <w:left w:val="nil"/>
              <w:bottom w:val="nil"/>
              <w:right w:val="nil"/>
            </w:tcBorders>
            <w:vAlign w:val="bottom"/>
          </w:tcPr>
          <w:p w:rsidR="00D27505" w:rsidRPr="00F816FC" w:rsidRDefault="00304E4B" w:rsidP="004635D5">
            <w:pPr>
              <w:jc w:val="center"/>
            </w:pPr>
            <w:r w:rsidRPr="00F816FC">
              <w:t>286</w:t>
            </w:r>
          </w:p>
        </w:tc>
        <w:tc>
          <w:tcPr>
            <w:tcW w:w="1843" w:type="dxa"/>
            <w:tcBorders>
              <w:top w:val="nil"/>
              <w:left w:val="nil"/>
              <w:bottom w:val="nil"/>
              <w:right w:val="nil"/>
            </w:tcBorders>
            <w:vAlign w:val="bottom"/>
          </w:tcPr>
          <w:p w:rsidR="00D27505" w:rsidRPr="00F816FC" w:rsidRDefault="00304E4B" w:rsidP="00BF7B7C">
            <w:pPr>
              <w:jc w:val="center"/>
            </w:pPr>
            <w:r w:rsidRPr="00F816FC">
              <w:t>48</w:t>
            </w:r>
          </w:p>
        </w:tc>
        <w:tc>
          <w:tcPr>
            <w:tcW w:w="1559" w:type="dxa"/>
            <w:tcBorders>
              <w:top w:val="nil"/>
              <w:left w:val="nil"/>
              <w:bottom w:val="nil"/>
              <w:right w:val="nil"/>
            </w:tcBorders>
            <w:vAlign w:val="bottom"/>
          </w:tcPr>
          <w:p w:rsidR="00D27505" w:rsidRPr="00F816FC" w:rsidRDefault="00304E4B" w:rsidP="00BF7B7C">
            <w:pPr>
              <w:jc w:val="center"/>
            </w:pPr>
            <w:r w:rsidRPr="00F816FC">
              <w:t>16.8</w:t>
            </w:r>
          </w:p>
        </w:tc>
        <w:tc>
          <w:tcPr>
            <w:tcW w:w="1134" w:type="dxa"/>
            <w:vMerge/>
            <w:tcBorders>
              <w:top w:val="nil"/>
              <w:left w:val="nil"/>
              <w:bottom w:val="nil"/>
              <w:right w:val="nil"/>
            </w:tcBorders>
            <w:vAlign w:val="center"/>
          </w:tcPr>
          <w:p w:rsidR="00D27505" w:rsidRPr="00F816FC" w:rsidRDefault="00D27505" w:rsidP="00D27505">
            <w:pPr>
              <w:jc w:val="center"/>
            </w:pPr>
          </w:p>
        </w:tc>
      </w:tr>
      <w:tr w:rsidR="00BF7B7C" w:rsidRPr="00F816FC" w:rsidTr="009710BF">
        <w:tc>
          <w:tcPr>
            <w:tcW w:w="3794" w:type="dxa"/>
            <w:tcBorders>
              <w:top w:val="nil"/>
              <w:left w:val="nil"/>
              <w:bottom w:val="nil"/>
              <w:right w:val="nil"/>
            </w:tcBorders>
          </w:tcPr>
          <w:p w:rsidR="00BF7B7C" w:rsidRPr="00F816FC" w:rsidRDefault="00BF7B7C"/>
        </w:tc>
        <w:tc>
          <w:tcPr>
            <w:tcW w:w="1984" w:type="dxa"/>
            <w:tcBorders>
              <w:top w:val="nil"/>
              <w:left w:val="nil"/>
              <w:bottom w:val="nil"/>
              <w:right w:val="nil"/>
            </w:tcBorders>
            <w:vAlign w:val="bottom"/>
          </w:tcPr>
          <w:p w:rsidR="00BF7B7C" w:rsidRPr="00F816FC" w:rsidRDefault="00BF7B7C" w:rsidP="004635D5">
            <w:pPr>
              <w:jc w:val="center"/>
            </w:pPr>
          </w:p>
        </w:tc>
        <w:tc>
          <w:tcPr>
            <w:tcW w:w="1843" w:type="dxa"/>
            <w:tcBorders>
              <w:top w:val="nil"/>
              <w:left w:val="nil"/>
              <w:bottom w:val="nil"/>
              <w:right w:val="nil"/>
            </w:tcBorders>
            <w:vAlign w:val="bottom"/>
          </w:tcPr>
          <w:p w:rsidR="00BF7B7C" w:rsidRPr="00F816FC" w:rsidRDefault="00BF7B7C" w:rsidP="00BF7B7C">
            <w:pPr>
              <w:jc w:val="center"/>
            </w:pPr>
          </w:p>
        </w:tc>
        <w:tc>
          <w:tcPr>
            <w:tcW w:w="1559" w:type="dxa"/>
            <w:tcBorders>
              <w:top w:val="nil"/>
              <w:left w:val="nil"/>
              <w:bottom w:val="nil"/>
              <w:right w:val="nil"/>
            </w:tcBorders>
            <w:vAlign w:val="bottom"/>
          </w:tcPr>
          <w:p w:rsidR="00BF7B7C" w:rsidRPr="00F816FC" w:rsidRDefault="00BF7B7C" w:rsidP="00BF7B7C">
            <w:pPr>
              <w:jc w:val="center"/>
            </w:pPr>
          </w:p>
        </w:tc>
        <w:tc>
          <w:tcPr>
            <w:tcW w:w="1134" w:type="dxa"/>
            <w:tcBorders>
              <w:top w:val="nil"/>
              <w:left w:val="nil"/>
              <w:bottom w:val="nil"/>
              <w:right w:val="nil"/>
            </w:tcBorders>
            <w:vAlign w:val="bottom"/>
          </w:tcPr>
          <w:p w:rsidR="00BF7B7C" w:rsidRPr="00F816FC" w:rsidRDefault="00BF7B7C" w:rsidP="00BF7B7C">
            <w:pPr>
              <w:jc w:val="center"/>
            </w:pPr>
          </w:p>
        </w:tc>
      </w:tr>
      <w:tr w:rsidR="00810591" w:rsidRPr="00F816FC" w:rsidTr="009710BF">
        <w:tc>
          <w:tcPr>
            <w:tcW w:w="3794" w:type="dxa"/>
            <w:tcBorders>
              <w:top w:val="nil"/>
              <w:left w:val="nil"/>
              <w:bottom w:val="nil"/>
              <w:right w:val="nil"/>
            </w:tcBorders>
          </w:tcPr>
          <w:p w:rsidR="00810591" w:rsidRPr="00F816FC" w:rsidRDefault="00810591" w:rsidP="00497712">
            <w:pPr>
              <w:rPr>
                <w:b/>
              </w:rPr>
            </w:pPr>
            <w:r w:rsidRPr="00F816FC">
              <w:rPr>
                <w:b/>
              </w:rPr>
              <w:t>The patient</w:t>
            </w:r>
          </w:p>
        </w:tc>
        <w:tc>
          <w:tcPr>
            <w:tcW w:w="1984" w:type="dxa"/>
            <w:tcBorders>
              <w:top w:val="nil"/>
              <w:left w:val="nil"/>
              <w:bottom w:val="nil"/>
              <w:right w:val="nil"/>
            </w:tcBorders>
            <w:vAlign w:val="bottom"/>
          </w:tcPr>
          <w:p w:rsidR="00810591" w:rsidRPr="00F816FC" w:rsidRDefault="00810591" w:rsidP="00497712">
            <w:pPr>
              <w:jc w:val="center"/>
            </w:pPr>
          </w:p>
        </w:tc>
        <w:tc>
          <w:tcPr>
            <w:tcW w:w="1843" w:type="dxa"/>
            <w:tcBorders>
              <w:top w:val="nil"/>
              <w:left w:val="nil"/>
              <w:bottom w:val="nil"/>
              <w:right w:val="nil"/>
            </w:tcBorders>
            <w:vAlign w:val="bottom"/>
          </w:tcPr>
          <w:p w:rsidR="00810591" w:rsidRPr="00F816FC" w:rsidRDefault="00810591" w:rsidP="00497712">
            <w:pPr>
              <w:jc w:val="center"/>
            </w:pPr>
          </w:p>
        </w:tc>
        <w:tc>
          <w:tcPr>
            <w:tcW w:w="1559" w:type="dxa"/>
            <w:tcBorders>
              <w:top w:val="nil"/>
              <w:left w:val="nil"/>
              <w:bottom w:val="nil"/>
              <w:right w:val="nil"/>
            </w:tcBorders>
            <w:vAlign w:val="bottom"/>
          </w:tcPr>
          <w:p w:rsidR="00810591" w:rsidRPr="00F816FC" w:rsidRDefault="00810591" w:rsidP="00497712">
            <w:pPr>
              <w:jc w:val="center"/>
            </w:pPr>
          </w:p>
        </w:tc>
        <w:tc>
          <w:tcPr>
            <w:tcW w:w="1134" w:type="dxa"/>
            <w:tcBorders>
              <w:top w:val="nil"/>
              <w:left w:val="nil"/>
              <w:bottom w:val="nil"/>
              <w:right w:val="nil"/>
            </w:tcBorders>
            <w:vAlign w:val="bottom"/>
          </w:tcPr>
          <w:p w:rsidR="00810591" w:rsidRPr="00F816FC" w:rsidRDefault="00810591" w:rsidP="00497712">
            <w:pPr>
              <w:jc w:val="center"/>
            </w:pPr>
          </w:p>
        </w:tc>
      </w:tr>
      <w:tr w:rsidR="00810591" w:rsidRPr="00F816FC" w:rsidTr="009710BF">
        <w:tc>
          <w:tcPr>
            <w:tcW w:w="3794" w:type="dxa"/>
            <w:tcBorders>
              <w:top w:val="nil"/>
              <w:left w:val="nil"/>
              <w:bottom w:val="nil"/>
              <w:right w:val="nil"/>
            </w:tcBorders>
          </w:tcPr>
          <w:p w:rsidR="00810591" w:rsidRPr="00F816FC" w:rsidRDefault="00810591" w:rsidP="00497712">
            <w:r w:rsidRPr="00F816FC">
              <w:t>Gender</w:t>
            </w:r>
          </w:p>
        </w:tc>
        <w:tc>
          <w:tcPr>
            <w:tcW w:w="1984" w:type="dxa"/>
            <w:tcBorders>
              <w:top w:val="nil"/>
              <w:left w:val="nil"/>
              <w:bottom w:val="nil"/>
              <w:right w:val="nil"/>
            </w:tcBorders>
            <w:vAlign w:val="bottom"/>
          </w:tcPr>
          <w:p w:rsidR="00810591" w:rsidRPr="00F816FC" w:rsidRDefault="00810591" w:rsidP="00497712">
            <w:pPr>
              <w:jc w:val="center"/>
            </w:pPr>
          </w:p>
        </w:tc>
        <w:tc>
          <w:tcPr>
            <w:tcW w:w="1843" w:type="dxa"/>
            <w:tcBorders>
              <w:top w:val="nil"/>
              <w:left w:val="nil"/>
              <w:bottom w:val="nil"/>
              <w:right w:val="nil"/>
            </w:tcBorders>
            <w:vAlign w:val="bottom"/>
          </w:tcPr>
          <w:p w:rsidR="00810591" w:rsidRPr="00F816FC" w:rsidRDefault="00810591" w:rsidP="00497712">
            <w:pPr>
              <w:jc w:val="center"/>
            </w:pPr>
          </w:p>
        </w:tc>
        <w:tc>
          <w:tcPr>
            <w:tcW w:w="1559" w:type="dxa"/>
            <w:tcBorders>
              <w:top w:val="nil"/>
              <w:left w:val="nil"/>
              <w:bottom w:val="nil"/>
              <w:right w:val="nil"/>
            </w:tcBorders>
            <w:vAlign w:val="bottom"/>
          </w:tcPr>
          <w:p w:rsidR="00810591" w:rsidRPr="00F816FC" w:rsidRDefault="00810591" w:rsidP="00497712">
            <w:pPr>
              <w:jc w:val="center"/>
            </w:pPr>
          </w:p>
        </w:tc>
        <w:tc>
          <w:tcPr>
            <w:tcW w:w="1134" w:type="dxa"/>
            <w:tcBorders>
              <w:top w:val="nil"/>
              <w:left w:val="nil"/>
              <w:bottom w:val="nil"/>
              <w:right w:val="nil"/>
            </w:tcBorders>
            <w:vAlign w:val="bottom"/>
          </w:tcPr>
          <w:p w:rsidR="00810591" w:rsidRPr="00F816FC" w:rsidRDefault="00810591" w:rsidP="00497712">
            <w:pPr>
              <w:jc w:val="center"/>
            </w:pPr>
          </w:p>
        </w:tc>
      </w:tr>
      <w:tr w:rsidR="00810591" w:rsidRPr="00F816FC" w:rsidTr="009710BF">
        <w:tc>
          <w:tcPr>
            <w:tcW w:w="3794" w:type="dxa"/>
            <w:tcBorders>
              <w:top w:val="nil"/>
              <w:left w:val="nil"/>
              <w:bottom w:val="nil"/>
              <w:right w:val="nil"/>
            </w:tcBorders>
          </w:tcPr>
          <w:p w:rsidR="00810591" w:rsidRPr="00F816FC" w:rsidRDefault="00810591" w:rsidP="00497712">
            <w:pPr>
              <w:rPr>
                <w:i/>
              </w:rPr>
            </w:pPr>
            <w:r w:rsidRPr="00F816FC">
              <w:rPr>
                <w:i/>
              </w:rPr>
              <w:t>Male</w:t>
            </w:r>
          </w:p>
        </w:tc>
        <w:tc>
          <w:tcPr>
            <w:tcW w:w="1984" w:type="dxa"/>
            <w:tcBorders>
              <w:top w:val="nil"/>
              <w:left w:val="nil"/>
              <w:bottom w:val="nil"/>
              <w:right w:val="nil"/>
            </w:tcBorders>
            <w:vAlign w:val="bottom"/>
          </w:tcPr>
          <w:p w:rsidR="00810591" w:rsidRPr="00F816FC" w:rsidRDefault="00810591" w:rsidP="00497712">
            <w:pPr>
              <w:jc w:val="center"/>
            </w:pPr>
            <w:r w:rsidRPr="00F816FC">
              <w:t>4,630</w:t>
            </w:r>
          </w:p>
        </w:tc>
        <w:tc>
          <w:tcPr>
            <w:tcW w:w="1843" w:type="dxa"/>
            <w:tcBorders>
              <w:top w:val="nil"/>
              <w:left w:val="nil"/>
              <w:bottom w:val="nil"/>
              <w:right w:val="nil"/>
            </w:tcBorders>
            <w:vAlign w:val="bottom"/>
          </w:tcPr>
          <w:p w:rsidR="00810591" w:rsidRPr="00F816FC" w:rsidRDefault="00810591" w:rsidP="00497712">
            <w:pPr>
              <w:jc w:val="center"/>
            </w:pPr>
            <w:r w:rsidRPr="00F816FC">
              <w:t>1,569</w:t>
            </w:r>
          </w:p>
        </w:tc>
        <w:tc>
          <w:tcPr>
            <w:tcW w:w="1559" w:type="dxa"/>
            <w:tcBorders>
              <w:top w:val="nil"/>
              <w:left w:val="nil"/>
              <w:bottom w:val="nil"/>
              <w:right w:val="nil"/>
            </w:tcBorders>
            <w:vAlign w:val="bottom"/>
          </w:tcPr>
          <w:p w:rsidR="00810591" w:rsidRPr="00F816FC" w:rsidRDefault="00810591" w:rsidP="00497712">
            <w:pPr>
              <w:jc w:val="center"/>
            </w:pPr>
            <w:r w:rsidRPr="00F816FC">
              <w:t>33.9</w:t>
            </w:r>
          </w:p>
        </w:tc>
        <w:tc>
          <w:tcPr>
            <w:tcW w:w="1134" w:type="dxa"/>
            <w:vMerge w:val="restart"/>
            <w:tcBorders>
              <w:top w:val="nil"/>
              <w:left w:val="nil"/>
              <w:bottom w:val="nil"/>
              <w:right w:val="nil"/>
            </w:tcBorders>
            <w:vAlign w:val="center"/>
          </w:tcPr>
          <w:p w:rsidR="00810591" w:rsidRPr="00F816FC" w:rsidRDefault="00810591" w:rsidP="00497712">
            <w:pPr>
              <w:jc w:val="center"/>
            </w:pPr>
            <w:r w:rsidRPr="00F816FC">
              <w:t>0.22</w:t>
            </w:r>
          </w:p>
        </w:tc>
      </w:tr>
      <w:tr w:rsidR="00810591" w:rsidRPr="00F816FC" w:rsidTr="009710BF">
        <w:tc>
          <w:tcPr>
            <w:tcW w:w="3794" w:type="dxa"/>
            <w:tcBorders>
              <w:top w:val="nil"/>
              <w:left w:val="nil"/>
              <w:bottom w:val="nil"/>
              <w:right w:val="nil"/>
            </w:tcBorders>
          </w:tcPr>
          <w:p w:rsidR="00810591" w:rsidRPr="00F816FC" w:rsidRDefault="00810591" w:rsidP="00497712">
            <w:pPr>
              <w:rPr>
                <w:i/>
              </w:rPr>
            </w:pPr>
            <w:r w:rsidRPr="00F816FC">
              <w:rPr>
                <w:i/>
              </w:rPr>
              <w:t>Female</w:t>
            </w:r>
          </w:p>
        </w:tc>
        <w:tc>
          <w:tcPr>
            <w:tcW w:w="1984" w:type="dxa"/>
            <w:tcBorders>
              <w:top w:val="nil"/>
              <w:left w:val="nil"/>
              <w:bottom w:val="nil"/>
              <w:right w:val="nil"/>
            </w:tcBorders>
            <w:vAlign w:val="bottom"/>
          </w:tcPr>
          <w:p w:rsidR="00810591" w:rsidRPr="00F816FC" w:rsidRDefault="00810591" w:rsidP="00497712">
            <w:pPr>
              <w:jc w:val="center"/>
            </w:pPr>
            <w:r w:rsidRPr="00F816FC">
              <w:t>3,495</w:t>
            </w:r>
          </w:p>
        </w:tc>
        <w:tc>
          <w:tcPr>
            <w:tcW w:w="1843" w:type="dxa"/>
            <w:tcBorders>
              <w:top w:val="nil"/>
              <w:left w:val="nil"/>
              <w:bottom w:val="nil"/>
              <w:right w:val="nil"/>
            </w:tcBorders>
            <w:vAlign w:val="bottom"/>
          </w:tcPr>
          <w:p w:rsidR="00810591" w:rsidRPr="00F816FC" w:rsidRDefault="00810591" w:rsidP="00497712">
            <w:pPr>
              <w:jc w:val="center"/>
            </w:pPr>
            <w:r w:rsidRPr="00F816FC">
              <w:t>1,230</w:t>
            </w:r>
          </w:p>
        </w:tc>
        <w:tc>
          <w:tcPr>
            <w:tcW w:w="1559" w:type="dxa"/>
            <w:tcBorders>
              <w:top w:val="nil"/>
              <w:left w:val="nil"/>
              <w:bottom w:val="nil"/>
              <w:right w:val="nil"/>
            </w:tcBorders>
            <w:vAlign w:val="bottom"/>
          </w:tcPr>
          <w:p w:rsidR="00810591" w:rsidRPr="00F816FC" w:rsidRDefault="00810591" w:rsidP="00497712">
            <w:pPr>
              <w:jc w:val="center"/>
            </w:pPr>
            <w:r w:rsidRPr="00F816FC">
              <w:t>35.2</w:t>
            </w:r>
          </w:p>
        </w:tc>
        <w:tc>
          <w:tcPr>
            <w:tcW w:w="1134" w:type="dxa"/>
            <w:vMerge/>
            <w:tcBorders>
              <w:top w:val="nil"/>
              <w:left w:val="nil"/>
              <w:bottom w:val="nil"/>
              <w:right w:val="nil"/>
            </w:tcBorders>
            <w:vAlign w:val="bottom"/>
          </w:tcPr>
          <w:p w:rsidR="00810591" w:rsidRPr="00F816FC" w:rsidRDefault="00810591" w:rsidP="00497712">
            <w:pPr>
              <w:jc w:val="center"/>
            </w:pPr>
          </w:p>
        </w:tc>
      </w:tr>
      <w:tr w:rsidR="00810591" w:rsidRPr="00F816FC" w:rsidTr="009710BF">
        <w:tc>
          <w:tcPr>
            <w:tcW w:w="3794" w:type="dxa"/>
            <w:tcBorders>
              <w:top w:val="nil"/>
              <w:left w:val="nil"/>
              <w:bottom w:val="nil"/>
              <w:right w:val="nil"/>
            </w:tcBorders>
          </w:tcPr>
          <w:p w:rsidR="00810591" w:rsidRPr="00F816FC" w:rsidRDefault="00810591" w:rsidP="00497712">
            <w:r w:rsidRPr="00F816FC">
              <w:t>Age-group</w:t>
            </w:r>
          </w:p>
        </w:tc>
        <w:tc>
          <w:tcPr>
            <w:tcW w:w="1984" w:type="dxa"/>
            <w:tcBorders>
              <w:top w:val="nil"/>
              <w:left w:val="nil"/>
              <w:bottom w:val="nil"/>
              <w:right w:val="nil"/>
            </w:tcBorders>
            <w:vAlign w:val="bottom"/>
          </w:tcPr>
          <w:p w:rsidR="00810591" w:rsidRPr="00F816FC" w:rsidRDefault="00810591" w:rsidP="00497712">
            <w:pPr>
              <w:jc w:val="center"/>
            </w:pPr>
          </w:p>
        </w:tc>
        <w:tc>
          <w:tcPr>
            <w:tcW w:w="1843" w:type="dxa"/>
            <w:tcBorders>
              <w:top w:val="nil"/>
              <w:left w:val="nil"/>
              <w:bottom w:val="nil"/>
              <w:right w:val="nil"/>
            </w:tcBorders>
            <w:vAlign w:val="bottom"/>
          </w:tcPr>
          <w:p w:rsidR="00810591" w:rsidRPr="00F816FC" w:rsidRDefault="00810591" w:rsidP="00497712">
            <w:pPr>
              <w:jc w:val="center"/>
            </w:pPr>
          </w:p>
        </w:tc>
        <w:tc>
          <w:tcPr>
            <w:tcW w:w="1559" w:type="dxa"/>
            <w:tcBorders>
              <w:top w:val="nil"/>
              <w:left w:val="nil"/>
              <w:bottom w:val="nil"/>
              <w:right w:val="nil"/>
            </w:tcBorders>
            <w:vAlign w:val="bottom"/>
          </w:tcPr>
          <w:p w:rsidR="00810591" w:rsidRPr="00F816FC" w:rsidRDefault="00810591" w:rsidP="00497712">
            <w:pPr>
              <w:jc w:val="center"/>
            </w:pPr>
          </w:p>
        </w:tc>
        <w:tc>
          <w:tcPr>
            <w:tcW w:w="1134" w:type="dxa"/>
            <w:tcBorders>
              <w:top w:val="nil"/>
              <w:left w:val="nil"/>
              <w:bottom w:val="nil"/>
              <w:right w:val="nil"/>
            </w:tcBorders>
            <w:vAlign w:val="bottom"/>
          </w:tcPr>
          <w:p w:rsidR="00810591" w:rsidRPr="00F816FC" w:rsidRDefault="00810591" w:rsidP="00497712">
            <w:pPr>
              <w:jc w:val="center"/>
            </w:pPr>
          </w:p>
        </w:tc>
      </w:tr>
      <w:tr w:rsidR="00810591" w:rsidRPr="00F816FC" w:rsidTr="009710BF">
        <w:tc>
          <w:tcPr>
            <w:tcW w:w="3794" w:type="dxa"/>
            <w:tcBorders>
              <w:top w:val="nil"/>
              <w:left w:val="nil"/>
              <w:bottom w:val="nil"/>
              <w:right w:val="nil"/>
            </w:tcBorders>
          </w:tcPr>
          <w:p w:rsidR="00810591" w:rsidRPr="00F816FC" w:rsidRDefault="00810591" w:rsidP="00497712">
            <w:pPr>
              <w:rPr>
                <w:i/>
              </w:rPr>
            </w:pPr>
            <w:r w:rsidRPr="00F816FC">
              <w:rPr>
                <w:i/>
              </w:rPr>
              <w:t>Under 30</w:t>
            </w:r>
          </w:p>
        </w:tc>
        <w:tc>
          <w:tcPr>
            <w:tcW w:w="1984" w:type="dxa"/>
            <w:tcBorders>
              <w:top w:val="nil"/>
              <w:left w:val="nil"/>
              <w:bottom w:val="nil"/>
              <w:right w:val="nil"/>
            </w:tcBorders>
            <w:vAlign w:val="bottom"/>
          </w:tcPr>
          <w:p w:rsidR="00810591" w:rsidRPr="00F816FC" w:rsidRDefault="00810591" w:rsidP="00497712">
            <w:pPr>
              <w:jc w:val="center"/>
            </w:pPr>
            <w:r w:rsidRPr="00F816FC">
              <w:t>1,870</w:t>
            </w:r>
          </w:p>
        </w:tc>
        <w:tc>
          <w:tcPr>
            <w:tcW w:w="1843" w:type="dxa"/>
            <w:tcBorders>
              <w:top w:val="nil"/>
              <w:left w:val="nil"/>
              <w:bottom w:val="nil"/>
              <w:right w:val="nil"/>
            </w:tcBorders>
            <w:vAlign w:val="bottom"/>
          </w:tcPr>
          <w:p w:rsidR="00810591" w:rsidRPr="00F816FC" w:rsidRDefault="00810591" w:rsidP="00497712">
            <w:pPr>
              <w:jc w:val="center"/>
            </w:pPr>
            <w:r w:rsidRPr="00F816FC">
              <w:t>586</w:t>
            </w:r>
          </w:p>
        </w:tc>
        <w:tc>
          <w:tcPr>
            <w:tcW w:w="1559" w:type="dxa"/>
            <w:tcBorders>
              <w:top w:val="nil"/>
              <w:left w:val="nil"/>
              <w:bottom w:val="nil"/>
              <w:right w:val="nil"/>
            </w:tcBorders>
            <w:vAlign w:val="bottom"/>
          </w:tcPr>
          <w:p w:rsidR="00810591" w:rsidRPr="00F816FC" w:rsidRDefault="00810591" w:rsidP="00497712">
            <w:pPr>
              <w:jc w:val="center"/>
            </w:pPr>
            <w:r w:rsidRPr="00F816FC">
              <w:t>31.3</w:t>
            </w:r>
          </w:p>
        </w:tc>
        <w:tc>
          <w:tcPr>
            <w:tcW w:w="1134" w:type="dxa"/>
            <w:vMerge w:val="restart"/>
            <w:tcBorders>
              <w:top w:val="nil"/>
              <w:left w:val="nil"/>
              <w:bottom w:val="nil"/>
              <w:right w:val="nil"/>
            </w:tcBorders>
            <w:vAlign w:val="center"/>
          </w:tcPr>
          <w:p w:rsidR="00810591" w:rsidRPr="00F816FC" w:rsidRDefault="00810591" w:rsidP="00497712">
            <w:pPr>
              <w:jc w:val="center"/>
            </w:pPr>
            <w:r w:rsidRPr="00F816FC">
              <w:t>0.001</w:t>
            </w:r>
          </w:p>
        </w:tc>
      </w:tr>
      <w:tr w:rsidR="00810591" w:rsidRPr="00F816FC" w:rsidTr="009710BF">
        <w:tc>
          <w:tcPr>
            <w:tcW w:w="3794" w:type="dxa"/>
            <w:tcBorders>
              <w:top w:val="nil"/>
              <w:left w:val="nil"/>
              <w:bottom w:val="nil"/>
              <w:right w:val="nil"/>
            </w:tcBorders>
          </w:tcPr>
          <w:p w:rsidR="00810591" w:rsidRPr="00F816FC" w:rsidRDefault="00810591" w:rsidP="00497712">
            <w:pPr>
              <w:rPr>
                <w:i/>
              </w:rPr>
            </w:pPr>
            <w:r w:rsidRPr="00F816FC">
              <w:rPr>
                <w:i/>
              </w:rPr>
              <w:t>30-50</w:t>
            </w:r>
          </w:p>
        </w:tc>
        <w:tc>
          <w:tcPr>
            <w:tcW w:w="1984" w:type="dxa"/>
            <w:tcBorders>
              <w:top w:val="nil"/>
              <w:left w:val="nil"/>
              <w:bottom w:val="nil"/>
              <w:right w:val="nil"/>
            </w:tcBorders>
            <w:vAlign w:val="bottom"/>
          </w:tcPr>
          <w:p w:rsidR="00810591" w:rsidRPr="00F816FC" w:rsidRDefault="00810591" w:rsidP="00497712">
            <w:pPr>
              <w:jc w:val="center"/>
            </w:pPr>
            <w:r w:rsidRPr="00F816FC">
              <w:t>4,600</w:t>
            </w:r>
          </w:p>
        </w:tc>
        <w:tc>
          <w:tcPr>
            <w:tcW w:w="1843" w:type="dxa"/>
            <w:tcBorders>
              <w:top w:val="nil"/>
              <w:left w:val="nil"/>
              <w:bottom w:val="nil"/>
              <w:right w:val="nil"/>
            </w:tcBorders>
            <w:vAlign w:val="bottom"/>
          </w:tcPr>
          <w:p w:rsidR="00810591" w:rsidRPr="00F816FC" w:rsidRDefault="00810591" w:rsidP="00497712">
            <w:pPr>
              <w:jc w:val="center"/>
            </w:pPr>
            <w:r w:rsidRPr="00F816FC">
              <w:t>1,598</w:t>
            </w:r>
          </w:p>
        </w:tc>
        <w:tc>
          <w:tcPr>
            <w:tcW w:w="1559" w:type="dxa"/>
            <w:tcBorders>
              <w:top w:val="nil"/>
              <w:left w:val="nil"/>
              <w:bottom w:val="nil"/>
              <w:right w:val="nil"/>
            </w:tcBorders>
            <w:vAlign w:val="bottom"/>
          </w:tcPr>
          <w:p w:rsidR="00810591" w:rsidRPr="00F816FC" w:rsidRDefault="00810591" w:rsidP="00497712">
            <w:pPr>
              <w:jc w:val="center"/>
            </w:pPr>
            <w:r w:rsidRPr="00F816FC">
              <w:t>34.7</w:t>
            </w:r>
          </w:p>
        </w:tc>
        <w:tc>
          <w:tcPr>
            <w:tcW w:w="1134" w:type="dxa"/>
            <w:vMerge/>
            <w:tcBorders>
              <w:top w:val="nil"/>
              <w:left w:val="nil"/>
              <w:bottom w:val="nil"/>
              <w:right w:val="nil"/>
            </w:tcBorders>
            <w:vAlign w:val="bottom"/>
          </w:tcPr>
          <w:p w:rsidR="00810591" w:rsidRPr="00F816FC" w:rsidRDefault="00810591" w:rsidP="00497712">
            <w:pPr>
              <w:jc w:val="center"/>
            </w:pPr>
          </w:p>
        </w:tc>
      </w:tr>
      <w:tr w:rsidR="00810591" w:rsidRPr="00F816FC" w:rsidTr="009710BF">
        <w:tc>
          <w:tcPr>
            <w:tcW w:w="3794" w:type="dxa"/>
            <w:tcBorders>
              <w:top w:val="nil"/>
              <w:left w:val="nil"/>
              <w:bottom w:val="nil"/>
              <w:right w:val="nil"/>
            </w:tcBorders>
          </w:tcPr>
          <w:p w:rsidR="00810591" w:rsidRPr="00F816FC" w:rsidRDefault="00810591" w:rsidP="00497712">
            <w:pPr>
              <w:rPr>
                <w:i/>
              </w:rPr>
            </w:pPr>
            <w:r w:rsidRPr="00F816FC">
              <w:rPr>
                <w:i/>
              </w:rPr>
              <w:t>Over 50</w:t>
            </w:r>
          </w:p>
        </w:tc>
        <w:tc>
          <w:tcPr>
            <w:tcW w:w="1984" w:type="dxa"/>
            <w:tcBorders>
              <w:top w:val="nil"/>
              <w:left w:val="nil"/>
              <w:bottom w:val="nil"/>
              <w:right w:val="nil"/>
            </w:tcBorders>
            <w:vAlign w:val="bottom"/>
          </w:tcPr>
          <w:p w:rsidR="00810591" w:rsidRPr="00F816FC" w:rsidRDefault="00810591" w:rsidP="00497712">
            <w:pPr>
              <w:jc w:val="center"/>
            </w:pPr>
            <w:r w:rsidRPr="00F816FC">
              <w:t>1,654</w:t>
            </w:r>
          </w:p>
        </w:tc>
        <w:tc>
          <w:tcPr>
            <w:tcW w:w="1843" w:type="dxa"/>
            <w:tcBorders>
              <w:top w:val="nil"/>
              <w:left w:val="nil"/>
              <w:bottom w:val="nil"/>
              <w:right w:val="nil"/>
            </w:tcBorders>
            <w:vAlign w:val="bottom"/>
          </w:tcPr>
          <w:p w:rsidR="00810591" w:rsidRPr="00F816FC" w:rsidRDefault="00810591" w:rsidP="00497712">
            <w:pPr>
              <w:jc w:val="center"/>
            </w:pPr>
            <w:r w:rsidRPr="00F816FC">
              <w:t>614</w:t>
            </w:r>
          </w:p>
        </w:tc>
        <w:tc>
          <w:tcPr>
            <w:tcW w:w="1559" w:type="dxa"/>
            <w:tcBorders>
              <w:top w:val="nil"/>
              <w:left w:val="nil"/>
              <w:bottom w:val="nil"/>
              <w:right w:val="nil"/>
            </w:tcBorders>
            <w:vAlign w:val="bottom"/>
          </w:tcPr>
          <w:p w:rsidR="00810591" w:rsidRPr="00F816FC" w:rsidRDefault="00810591" w:rsidP="00497712">
            <w:pPr>
              <w:jc w:val="center"/>
            </w:pPr>
            <w:r w:rsidRPr="00F816FC">
              <w:t>37.1</w:t>
            </w:r>
          </w:p>
        </w:tc>
        <w:tc>
          <w:tcPr>
            <w:tcW w:w="1134" w:type="dxa"/>
            <w:tcBorders>
              <w:top w:val="nil"/>
              <w:left w:val="nil"/>
              <w:bottom w:val="nil"/>
              <w:right w:val="nil"/>
            </w:tcBorders>
            <w:vAlign w:val="bottom"/>
          </w:tcPr>
          <w:p w:rsidR="00810591" w:rsidRPr="00F816FC" w:rsidRDefault="00810591" w:rsidP="00497712">
            <w:pPr>
              <w:jc w:val="center"/>
            </w:pPr>
          </w:p>
        </w:tc>
      </w:tr>
      <w:tr w:rsidR="00810591" w:rsidRPr="00F816FC" w:rsidTr="009710BF">
        <w:tc>
          <w:tcPr>
            <w:tcW w:w="3794" w:type="dxa"/>
            <w:tcBorders>
              <w:top w:val="nil"/>
              <w:left w:val="nil"/>
              <w:bottom w:val="nil"/>
              <w:right w:val="nil"/>
            </w:tcBorders>
          </w:tcPr>
          <w:p w:rsidR="00810591" w:rsidRPr="00F816FC" w:rsidRDefault="00810591" w:rsidP="00497712">
            <w:r w:rsidRPr="00F816FC">
              <w:t>Living in one of most deprived 20% of neighbourhoods in country:</w:t>
            </w:r>
          </w:p>
        </w:tc>
        <w:tc>
          <w:tcPr>
            <w:tcW w:w="1984" w:type="dxa"/>
            <w:tcBorders>
              <w:top w:val="nil"/>
              <w:left w:val="nil"/>
              <w:bottom w:val="nil"/>
              <w:right w:val="nil"/>
            </w:tcBorders>
            <w:vAlign w:val="bottom"/>
          </w:tcPr>
          <w:p w:rsidR="00810591" w:rsidRPr="00F816FC" w:rsidRDefault="00810591" w:rsidP="00497712">
            <w:pPr>
              <w:jc w:val="center"/>
            </w:pPr>
          </w:p>
        </w:tc>
        <w:tc>
          <w:tcPr>
            <w:tcW w:w="1843" w:type="dxa"/>
            <w:tcBorders>
              <w:top w:val="nil"/>
              <w:left w:val="nil"/>
              <w:bottom w:val="nil"/>
              <w:right w:val="nil"/>
            </w:tcBorders>
            <w:vAlign w:val="bottom"/>
          </w:tcPr>
          <w:p w:rsidR="00810591" w:rsidRPr="00F816FC" w:rsidRDefault="00810591" w:rsidP="00497712">
            <w:pPr>
              <w:jc w:val="center"/>
            </w:pPr>
          </w:p>
        </w:tc>
        <w:tc>
          <w:tcPr>
            <w:tcW w:w="1559" w:type="dxa"/>
            <w:tcBorders>
              <w:top w:val="nil"/>
              <w:left w:val="nil"/>
              <w:bottom w:val="nil"/>
              <w:right w:val="nil"/>
            </w:tcBorders>
            <w:vAlign w:val="bottom"/>
          </w:tcPr>
          <w:p w:rsidR="00810591" w:rsidRPr="00F816FC" w:rsidRDefault="00810591" w:rsidP="00497712">
            <w:pPr>
              <w:jc w:val="center"/>
            </w:pPr>
          </w:p>
        </w:tc>
        <w:tc>
          <w:tcPr>
            <w:tcW w:w="1134" w:type="dxa"/>
            <w:tcBorders>
              <w:top w:val="nil"/>
              <w:left w:val="nil"/>
              <w:bottom w:val="nil"/>
              <w:right w:val="nil"/>
            </w:tcBorders>
            <w:vAlign w:val="bottom"/>
          </w:tcPr>
          <w:p w:rsidR="00810591" w:rsidRPr="00F816FC" w:rsidRDefault="00810591" w:rsidP="00497712">
            <w:pPr>
              <w:jc w:val="center"/>
            </w:pPr>
          </w:p>
        </w:tc>
      </w:tr>
      <w:tr w:rsidR="00810591" w:rsidRPr="00F816FC" w:rsidTr="009710BF">
        <w:tc>
          <w:tcPr>
            <w:tcW w:w="3794" w:type="dxa"/>
            <w:tcBorders>
              <w:top w:val="nil"/>
              <w:left w:val="nil"/>
              <w:bottom w:val="nil"/>
              <w:right w:val="nil"/>
            </w:tcBorders>
          </w:tcPr>
          <w:p w:rsidR="00810591" w:rsidRPr="00F816FC" w:rsidRDefault="00810591" w:rsidP="00497712">
            <w:pPr>
              <w:rPr>
                <w:i/>
              </w:rPr>
            </w:pPr>
            <w:r w:rsidRPr="00F816FC">
              <w:rPr>
                <w:i/>
              </w:rPr>
              <w:t>No</w:t>
            </w:r>
          </w:p>
        </w:tc>
        <w:tc>
          <w:tcPr>
            <w:tcW w:w="1984" w:type="dxa"/>
            <w:tcBorders>
              <w:top w:val="nil"/>
              <w:left w:val="nil"/>
              <w:bottom w:val="nil"/>
              <w:right w:val="nil"/>
            </w:tcBorders>
            <w:vAlign w:val="bottom"/>
          </w:tcPr>
          <w:p w:rsidR="00810591" w:rsidRPr="00F816FC" w:rsidRDefault="00810591" w:rsidP="00497712">
            <w:pPr>
              <w:jc w:val="center"/>
            </w:pPr>
            <w:r w:rsidRPr="00F816FC">
              <w:t>5,300</w:t>
            </w:r>
          </w:p>
        </w:tc>
        <w:tc>
          <w:tcPr>
            <w:tcW w:w="1843" w:type="dxa"/>
            <w:tcBorders>
              <w:top w:val="nil"/>
              <w:left w:val="nil"/>
              <w:bottom w:val="nil"/>
              <w:right w:val="nil"/>
            </w:tcBorders>
            <w:vAlign w:val="bottom"/>
          </w:tcPr>
          <w:p w:rsidR="00810591" w:rsidRPr="00F816FC" w:rsidRDefault="00810591" w:rsidP="00497712">
            <w:pPr>
              <w:jc w:val="center"/>
            </w:pPr>
            <w:r w:rsidRPr="00F816FC">
              <w:t>1,593</w:t>
            </w:r>
          </w:p>
        </w:tc>
        <w:tc>
          <w:tcPr>
            <w:tcW w:w="1559" w:type="dxa"/>
            <w:tcBorders>
              <w:top w:val="nil"/>
              <w:left w:val="nil"/>
              <w:bottom w:val="nil"/>
              <w:right w:val="nil"/>
            </w:tcBorders>
            <w:vAlign w:val="bottom"/>
          </w:tcPr>
          <w:p w:rsidR="00810591" w:rsidRPr="00F816FC" w:rsidRDefault="00810591" w:rsidP="00497712">
            <w:pPr>
              <w:jc w:val="center"/>
            </w:pPr>
            <w:r w:rsidRPr="00F816FC">
              <w:t>30.1</w:t>
            </w:r>
          </w:p>
        </w:tc>
        <w:tc>
          <w:tcPr>
            <w:tcW w:w="1134" w:type="dxa"/>
            <w:vMerge w:val="restart"/>
            <w:tcBorders>
              <w:top w:val="nil"/>
              <w:left w:val="nil"/>
              <w:bottom w:val="nil"/>
              <w:right w:val="nil"/>
            </w:tcBorders>
            <w:vAlign w:val="center"/>
          </w:tcPr>
          <w:p w:rsidR="00810591" w:rsidRPr="00F816FC" w:rsidRDefault="00810591" w:rsidP="00497712">
            <w:pPr>
              <w:jc w:val="center"/>
            </w:pPr>
            <w:r w:rsidRPr="00F816FC">
              <w:t>&lt;0.001</w:t>
            </w:r>
          </w:p>
        </w:tc>
      </w:tr>
      <w:tr w:rsidR="00810591" w:rsidRPr="00F816FC" w:rsidTr="009710BF">
        <w:tc>
          <w:tcPr>
            <w:tcW w:w="3794" w:type="dxa"/>
            <w:tcBorders>
              <w:top w:val="nil"/>
              <w:left w:val="nil"/>
              <w:bottom w:val="nil"/>
              <w:right w:val="nil"/>
            </w:tcBorders>
          </w:tcPr>
          <w:p w:rsidR="00810591" w:rsidRPr="00F816FC" w:rsidRDefault="00810591" w:rsidP="00497712">
            <w:pPr>
              <w:rPr>
                <w:i/>
              </w:rPr>
            </w:pPr>
            <w:r w:rsidRPr="00F816FC">
              <w:rPr>
                <w:i/>
              </w:rPr>
              <w:t>Yes</w:t>
            </w:r>
          </w:p>
        </w:tc>
        <w:tc>
          <w:tcPr>
            <w:tcW w:w="1984" w:type="dxa"/>
            <w:tcBorders>
              <w:top w:val="nil"/>
              <w:left w:val="nil"/>
              <w:bottom w:val="nil"/>
              <w:right w:val="nil"/>
            </w:tcBorders>
            <w:vAlign w:val="bottom"/>
          </w:tcPr>
          <w:p w:rsidR="00810591" w:rsidRPr="00F816FC" w:rsidRDefault="00810591" w:rsidP="00497712">
            <w:pPr>
              <w:jc w:val="center"/>
            </w:pPr>
            <w:r w:rsidRPr="00F816FC">
              <w:t>2,723</w:t>
            </w:r>
          </w:p>
        </w:tc>
        <w:tc>
          <w:tcPr>
            <w:tcW w:w="1843" w:type="dxa"/>
            <w:tcBorders>
              <w:top w:val="nil"/>
              <w:left w:val="nil"/>
              <w:bottom w:val="nil"/>
              <w:right w:val="nil"/>
            </w:tcBorders>
            <w:vAlign w:val="bottom"/>
          </w:tcPr>
          <w:p w:rsidR="00810591" w:rsidRPr="00F816FC" w:rsidRDefault="00810591" w:rsidP="00497712">
            <w:pPr>
              <w:jc w:val="center"/>
            </w:pPr>
            <w:r w:rsidRPr="00F816FC">
              <w:t>1,178</w:t>
            </w:r>
          </w:p>
        </w:tc>
        <w:tc>
          <w:tcPr>
            <w:tcW w:w="1559" w:type="dxa"/>
            <w:tcBorders>
              <w:top w:val="nil"/>
              <w:left w:val="nil"/>
              <w:bottom w:val="nil"/>
              <w:right w:val="nil"/>
            </w:tcBorders>
            <w:vAlign w:val="bottom"/>
          </w:tcPr>
          <w:p w:rsidR="00810591" w:rsidRPr="00F816FC" w:rsidRDefault="00810591" w:rsidP="00497712">
            <w:pPr>
              <w:jc w:val="center"/>
            </w:pPr>
            <w:r w:rsidRPr="00F816FC">
              <w:t>43.3</w:t>
            </w:r>
          </w:p>
        </w:tc>
        <w:tc>
          <w:tcPr>
            <w:tcW w:w="1134" w:type="dxa"/>
            <w:vMerge/>
            <w:tcBorders>
              <w:top w:val="nil"/>
              <w:left w:val="nil"/>
              <w:bottom w:val="nil"/>
              <w:right w:val="nil"/>
            </w:tcBorders>
            <w:vAlign w:val="bottom"/>
          </w:tcPr>
          <w:p w:rsidR="00810591" w:rsidRPr="00F816FC" w:rsidRDefault="00810591" w:rsidP="00497712">
            <w:pPr>
              <w:jc w:val="center"/>
            </w:pPr>
          </w:p>
        </w:tc>
      </w:tr>
      <w:tr w:rsidR="00810591" w:rsidRPr="00F816FC" w:rsidTr="009710BF">
        <w:tc>
          <w:tcPr>
            <w:tcW w:w="3794" w:type="dxa"/>
            <w:tcBorders>
              <w:top w:val="nil"/>
              <w:left w:val="nil"/>
              <w:right w:val="nil"/>
            </w:tcBorders>
          </w:tcPr>
          <w:p w:rsidR="00810591" w:rsidRPr="00F816FC" w:rsidRDefault="00810591" w:rsidP="00497712">
            <w:pPr>
              <w:rPr>
                <w:b/>
              </w:rPr>
            </w:pPr>
          </w:p>
        </w:tc>
        <w:tc>
          <w:tcPr>
            <w:tcW w:w="1984" w:type="dxa"/>
            <w:tcBorders>
              <w:top w:val="nil"/>
              <w:left w:val="nil"/>
              <w:right w:val="nil"/>
            </w:tcBorders>
            <w:vAlign w:val="bottom"/>
          </w:tcPr>
          <w:p w:rsidR="00810591" w:rsidRPr="00F816FC" w:rsidRDefault="00810591" w:rsidP="00497712">
            <w:pPr>
              <w:jc w:val="center"/>
            </w:pPr>
          </w:p>
        </w:tc>
        <w:tc>
          <w:tcPr>
            <w:tcW w:w="1843" w:type="dxa"/>
            <w:tcBorders>
              <w:top w:val="nil"/>
              <w:left w:val="nil"/>
              <w:right w:val="nil"/>
            </w:tcBorders>
            <w:vAlign w:val="bottom"/>
          </w:tcPr>
          <w:p w:rsidR="00810591" w:rsidRPr="00F816FC" w:rsidRDefault="00810591" w:rsidP="00497712">
            <w:pPr>
              <w:jc w:val="center"/>
            </w:pPr>
          </w:p>
        </w:tc>
        <w:tc>
          <w:tcPr>
            <w:tcW w:w="1559" w:type="dxa"/>
            <w:tcBorders>
              <w:top w:val="nil"/>
              <w:left w:val="nil"/>
              <w:right w:val="nil"/>
            </w:tcBorders>
            <w:vAlign w:val="bottom"/>
          </w:tcPr>
          <w:p w:rsidR="00810591" w:rsidRPr="00F816FC" w:rsidRDefault="00810591" w:rsidP="00497712">
            <w:pPr>
              <w:jc w:val="center"/>
            </w:pPr>
          </w:p>
        </w:tc>
        <w:tc>
          <w:tcPr>
            <w:tcW w:w="1134" w:type="dxa"/>
            <w:tcBorders>
              <w:top w:val="nil"/>
              <w:left w:val="nil"/>
              <w:right w:val="nil"/>
            </w:tcBorders>
            <w:vAlign w:val="bottom"/>
          </w:tcPr>
          <w:p w:rsidR="00810591" w:rsidRPr="00F816FC" w:rsidRDefault="00810591" w:rsidP="00497712">
            <w:pPr>
              <w:jc w:val="center"/>
            </w:pPr>
          </w:p>
        </w:tc>
      </w:tr>
    </w:tbl>
    <w:p w:rsidR="00497712" w:rsidRPr="00F816FC" w:rsidRDefault="00497712"/>
    <w:p w:rsidR="00473A92" w:rsidRPr="00F816FC" w:rsidRDefault="00473A92"/>
    <w:p w:rsidR="006823F4" w:rsidRPr="00F816FC" w:rsidRDefault="006823F4" w:rsidP="00137F37"/>
    <w:p w:rsidR="006823F4" w:rsidRPr="00F816FC" w:rsidRDefault="006823F4" w:rsidP="00137F37"/>
    <w:p w:rsidR="006823F4" w:rsidRPr="00F816FC" w:rsidRDefault="006823F4" w:rsidP="00137F37"/>
    <w:p w:rsidR="006823F4" w:rsidRPr="00F816FC" w:rsidRDefault="006823F4" w:rsidP="00137F37"/>
    <w:p w:rsidR="006823F4" w:rsidRPr="00F816FC" w:rsidRDefault="006823F4" w:rsidP="00137F37"/>
    <w:p w:rsidR="00137F37" w:rsidRPr="00F816FC" w:rsidRDefault="006823F4" w:rsidP="00137F37">
      <w:pPr>
        <w:rPr>
          <w:b/>
        </w:rPr>
      </w:pPr>
      <w:r w:rsidRPr="00F816FC">
        <w:rPr>
          <w:b/>
        </w:rPr>
        <w:lastRenderedPageBreak/>
        <w:t>Table 2:</w:t>
      </w:r>
      <w:r w:rsidR="002E05A6" w:rsidRPr="00F816FC">
        <w:rPr>
          <w:b/>
        </w:rPr>
        <w:t xml:space="preserve"> </w:t>
      </w:r>
      <w:r w:rsidR="00137F37" w:rsidRPr="00F816FC">
        <w:rPr>
          <w:b/>
        </w:rPr>
        <w:t>General practice and certifying GP characteristics, and proportion of long-term (&gt; 4 week) depression fit notes issued.</w:t>
      </w:r>
    </w:p>
    <w:p w:rsidR="00473A92" w:rsidRPr="00F816FC" w:rsidRDefault="00473A92"/>
    <w:p w:rsidR="00C25815" w:rsidRPr="00F816FC" w:rsidRDefault="00C25815"/>
    <w:tbl>
      <w:tblPr>
        <w:tblStyle w:val="TableGrid"/>
        <w:tblW w:w="10314" w:type="dxa"/>
        <w:tblLook w:val="04A0" w:firstRow="1" w:lastRow="0" w:firstColumn="1" w:lastColumn="0" w:noHBand="0" w:noVBand="1"/>
      </w:tblPr>
      <w:tblGrid>
        <w:gridCol w:w="3794"/>
        <w:gridCol w:w="1984"/>
        <w:gridCol w:w="1843"/>
        <w:gridCol w:w="1559"/>
        <w:gridCol w:w="1134"/>
      </w:tblGrid>
      <w:tr w:rsidR="00225E2C" w:rsidRPr="00F816FC" w:rsidTr="009710BF">
        <w:tc>
          <w:tcPr>
            <w:tcW w:w="3794" w:type="dxa"/>
            <w:tcBorders>
              <w:left w:val="nil"/>
              <w:bottom w:val="single" w:sz="4" w:space="0" w:color="auto"/>
              <w:right w:val="nil"/>
            </w:tcBorders>
          </w:tcPr>
          <w:p w:rsidR="00225E2C" w:rsidRPr="00F816FC" w:rsidRDefault="00225E2C" w:rsidP="00497712"/>
        </w:tc>
        <w:tc>
          <w:tcPr>
            <w:tcW w:w="1984" w:type="dxa"/>
            <w:tcBorders>
              <w:left w:val="nil"/>
              <w:bottom w:val="single" w:sz="4" w:space="0" w:color="auto"/>
              <w:right w:val="nil"/>
            </w:tcBorders>
            <w:vAlign w:val="bottom"/>
          </w:tcPr>
          <w:p w:rsidR="00225E2C" w:rsidRPr="00F816FC" w:rsidRDefault="00225E2C" w:rsidP="00497712">
            <w:pPr>
              <w:jc w:val="center"/>
              <w:rPr>
                <w:b/>
              </w:rPr>
            </w:pPr>
            <w:r w:rsidRPr="00F816FC">
              <w:rPr>
                <w:b/>
              </w:rPr>
              <w:t>No of fit notes issued for depression</w:t>
            </w:r>
          </w:p>
        </w:tc>
        <w:tc>
          <w:tcPr>
            <w:tcW w:w="1843" w:type="dxa"/>
            <w:tcBorders>
              <w:left w:val="nil"/>
              <w:bottom w:val="single" w:sz="4" w:space="0" w:color="auto"/>
              <w:right w:val="nil"/>
            </w:tcBorders>
            <w:vAlign w:val="bottom"/>
          </w:tcPr>
          <w:p w:rsidR="00225E2C" w:rsidRPr="00F816FC" w:rsidRDefault="00225E2C" w:rsidP="00497712">
            <w:pPr>
              <w:jc w:val="center"/>
              <w:rPr>
                <w:b/>
              </w:rPr>
            </w:pPr>
            <w:r w:rsidRPr="00F816FC">
              <w:rPr>
                <w:b/>
              </w:rPr>
              <w:t xml:space="preserve">No of long-term (&gt; 4 week) fit notes </w:t>
            </w:r>
          </w:p>
        </w:tc>
        <w:tc>
          <w:tcPr>
            <w:tcW w:w="1559" w:type="dxa"/>
            <w:tcBorders>
              <w:left w:val="nil"/>
              <w:bottom w:val="single" w:sz="4" w:space="0" w:color="auto"/>
              <w:right w:val="nil"/>
            </w:tcBorders>
            <w:vAlign w:val="bottom"/>
          </w:tcPr>
          <w:p w:rsidR="00225E2C" w:rsidRPr="00F816FC" w:rsidRDefault="00225E2C" w:rsidP="00497712">
            <w:pPr>
              <w:jc w:val="center"/>
              <w:rPr>
                <w:b/>
              </w:rPr>
            </w:pPr>
            <w:r w:rsidRPr="00F816FC">
              <w:rPr>
                <w:b/>
              </w:rPr>
              <w:t>Row Percent</w:t>
            </w:r>
          </w:p>
        </w:tc>
        <w:tc>
          <w:tcPr>
            <w:tcW w:w="1134" w:type="dxa"/>
            <w:tcBorders>
              <w:left w:val="nil"/>
              <w:bottom w:val="single" w:sz="4" w:space="0" w:color="auto"/>
              <w:right w:val="nil"/>
            </w:tcBorders>
            <w:vAlign w:val="bottom"/>
          </w:tcPr>
          <w:p w:rsidR="00225E2C" w:rsidRPr="00F816FC" w:rsidRDefault="00225E2C" w:rsidP="00497712">
            <w:pPr>
              <w:jc w:val="center"/>
              <w:rPr>
                <w:b/>
              </w:rPr>
            </w:pPr>
            <w:r w:rsidRPr="00F816FC">
              <w:rPr>
                <w:b/>
              </w:rPr>
              <w:t>P</w:t>
            </w:r>
          </w:p>
        </w:tc>
      </w:tr>
      <w:tr w:rsidR="00225E2C" w:rsidRPr="00F816FC" w:rsidTr="009710BF">
        <w:tc>
          <w:tcPr>
            <w:tcW w:w="3794" w:type="dxa"/>
            <w:tcBorders>
              <w:left w:val="nil"/>
              <w:bottom w:val="nil"/>
              <w:right w:val="nil"/>
            </w:tcBorders>
          </w:tcPr>
          <w:p w:rsidR="00225E2C" w:rsidRPr="00F816FC" w:rsidRDefault="00225E2C" w:rsidP="00497712">
            <w:pPr>
              <w:rPr>
                <w:b/>
              </w:rPr>
            </w:pPr>
            <w:r w:rsidRPr="00F816FC">
              <w:rPr>
                <w:b/>
              </w:rPr>
              <w:t>The general practice</w:t>
            </w:r>
          </w:p>
        </w:tc>
        <w:tc>
          <w:tcPr>
            <w:tcW w:w="1984" w:type="dxa"/>
            <w:tcBorders>
              <w:left w:val="nil"/>
              <w:bottom w:val="nil"/>
              <w:right w:val="nil"/>
            </w:tcBorders>
            <w:vAlign w:val="bottom"/>
          </w:tcPr>
          <w:p w:rsidR="00225E2C" w:rsidRPr="00F816FC" w:rsidRDefault="00225E2C" w:rsidP="00497712">
            <w:pPr>
              <w:jc w:val="center"/>
            </w:pPr>
          </w:p>
        </w:tc>
        <w:tc>
          <w:tcPr>
            <w:tcW w:w="1843" w:type="dxa"/>
            <w:tcBorders>
              <w:left w:val="nil"/>
              <w:bottom w:val="nil"/>
              <w:right w:val="nil"/>
            </w:tcBorders>
            <w:vAlign w:val="bottom"/>
          </w:tcPr>
          <w:p w:rsidR="00225E2C" w:rsidRPr="00F816FC" w:rsidRDefault="00225E2C" w:rsidP="00497712">
            <w:pPr>
              <w:jc w:val="center"/>
            </w:pPr>
          </w:p>
        </w:tc>
        <w:tc>
          <w:tcPr>
            <w:tcW w:w="1559" w:type="dxa"/>
            <w:tcBorders>
              <w:left w:val="nil"/>
              <w:bottom w:val="nil"/>
              <w:right w:val="nil"/>
            </w:tcBorders>
            <w:vAlign w:val="bottom"/>
          </w:tcPr>
          <w:p w:rsidR="00225E2C" w:rsidRPr="00F816FC" w:rsidRDefault="00225E2C" w:rsidP="00497712">
            <w:pPr>
              <w:jc w:val="center"/>
            </w:pPr>
          </w:p>
        </w:tc>
        <w:tc>
          <w:tcPr>
            <w:tcW w:w="1134" w:type="dxa"/>
            <w:tcBorders>
              <w:left w:val="nil"/>
              <w:bottom w:val="nil"/>
              <w:right w:val="nil"/>
            </w:tcBorders>
            <w:vAlign w:val="bottom"/>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r w:rsidRPr="00F816FC">
              <w:t>Patient list size</w:t>
            </w:r>
          </w:p>
        </w:tc>
        <w:tc>
          <w:tcPr>
            <w:tcW w:w="1984" w:type="dxa"/>
            <w:tcBorders>
              <w:top w:val="nil"/>
              <w:left w:val="nil"/>
              <w:bottom w:val="nil"/>
              <w:right w:val="nil"/>
            </w:tcBorders>
            <w:vAlign w:val="bottom"/>
          </w:tcPr>
          <w:p w:rsidR="00225E2C" w:rsidRPr="00F816FC" w:rsidRDefault="00225E2C" w:rsidP="00497712">
            <w:pPr>
              <w:jc w:val="center"/>
            </w:pPr>
          </w:p>
        </w:tc>
        <w:tc>
          <w:tcPr>
            <w:tcW w:w="1843" w:type="dxa"/>
            <w:tcBorders>
              <w:top w:val="nil"/>
              <w:left w:val="nil"/>
              <w:bottom w:val="nil"/>
              <w:right w:val="nil"/>
            </w:tcBorders>
            <w:vAlign w:val="bottom"/>
          </w:tcPr>
          <w:p w:rsidR="00225E2C" w:rsidRPr="00F816FC" w:rsidRDefault="00225E2C" w:rsidP="00497712">
            <w:pPr>
              <w:jc w:val="center"/>
            </w:pPr>
          </w:p>
        </w:tc>
        <w:tc>
          <w:tcPr>
            <w:tcW w:w="1559" w:type="dxa"/>
            <w:tcBorders>
              <w:top w:val="nil"/>
              <w:left w:val="nil"/>
              <w:bottom w:val="nil"/>
              <w:right w:val="nil"/>
            </w:tcBorders>
            <w:vAlign w:val="bottom"/>
          </w:tcPr>
          <w:p w:rsidR="00225E2C" w:rsidRPr="00F816FC" w:rsidRDefault="00225E2C" w:rsidP="00497712">
            <w:pPr>
              <w:jc w:val="center"/>
            </w:pPr>
          </w:p>
        </w:tc>
        <w:tc>
          <w:tcPr>
            <w:tcW w:w="1134"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pPr>
              <w:rPr>
                <w:i/>
              </w:rPr>
            </w:pPr>
            <w:r w:rsidRPr="00F816FC">
              <w:rPr>
                <w:i/>
              </w:rPr>
              <w:t>&lt;5000 patients</w:t>
            </w:r>
          </w:p>
        </w:tc>
        <w:tc>
          <w:tcPr>
            <w:tcW w:w="1984" w:type="dxa"/>
            <w:tcBorders>
              <w:top w:val="nil"/>
              <w:left w:val="nil"/>
              <w:bottom w:val="nil"/>
              <w:right w:val="nil"/>
            </w:tcBorders>
            <w:vAlign w:val="bottom"/>
          </w:tcPr>
          <w:p w:rsidR="00225E2C" w:rsidRPr="00F816FC" w:rsidRDefault="00225E2C" w:rsidP="00497712">
            <w:pPr>
              <w:jc w:val="center"/>
            </w:pPr>
            <w:r w:rsidRPr="00F816FC">
              <w:t>1,252</w:t>
            </w:r>
          </w:p>
        </w:tc>
        <w:tc>
          <w:tcPr>
            <w:tcW w:w="1843" w:type="dxa"/>
            <w:tcBorders>
              <w:top w:val="nil"/>
              <w:left w:val="nil"/>
              <w:bottom w:val="nil"/>
              <w:right w:val="nil"/>
            </w:tcBorders>
            <w:vAlign w:val="bottom"/>
          </w:tcPr>
          <w:p w:rsidR="00225E2C" w:rsidRPr="00F816FC" w:rsidRDefault="00225E2C" w:rsidP="00497712">
            <w:pPr>
              <w:jc w:val="center"/>
            </w:pPr>
            <w:r w:rsidRPr="00F816FC">
              <w:t>415</w:t>
            </w:r>
          </w:p>
        </w:tc>
        <w:tc>
          <w:tcPr>
            <w:tcW w:w="1559" w:type="dxa"/>
            <w:tcBorders>
              <w:top w:val="nil"/>
              <w:left w:val="nil"/>
              <w:bottom w:val="nil"/>
              <w:right w:val="nil"/>
            </w:tcBorders>
            <w:vAlign w:val="bottom"/>
          </w:tcPr>
          <w:p w:rsidR="00225E2C" w:rsidRPr="00F816FC" w:rsidRDefault="00225E2C" w:rsidP="00497712">
            <w:pPr>
              <w:jc w:val="center"/>
            </w:pPr>
            <w:r w:rsidRPr="00F816FC">
              <w:t>33.1</w:t>
            </w:r>
          </w:p>
        </w:tc>
        <w:tc>
          <w:tcPr>
            <w:tcW w:w="1134" w:type="dxa"/>
            <w:vMerge w:val="restart"/>
            <w:tcBorders>
              <w:top w:val="nil"/>
              <w:left w:val="nil"/>
              <w:bottom w:val="nil"/>
              <w:right w:val="nil"/>
            </w:tcBorders>
            <w:vAlign w:val="center"/>
          </w:tcPr>
          <w:p w:rsidR="00225E2C" w:rsidRPr="00F816FC" w:rsidRDefault="00225E2C" w:rsidP="00497712">
            <w:pPr>
              <w:jc w:val="center"/>
            </w:pPr>
            <w:r w:rsidRPr="00F816FC">
              <w:t>&lt;0.001</w:t>
            </w:r>
          </w:p>
        </w:tc>
      </w:tr>
      <w:tr w:rsidR="00225E2C" w:rsidRPr="00F816FC" w:rsidTr="009710BF">
        <w:tc>
          <w:tcPr>
            <w:tcW w:w="3794" w:type="dxa"/>
            <w:tcBorders>
              <w:top w:val="nil"/>
              <w:left w:val="nil"/>
              <w:bottom w:val="nil"/>
              <w:right w:val="nil"/>
            </w:tcBorders>
          </w:tcPr>
          <w:p w:rsidR="00225E2C" w:rsidRPr="00F816FC" w:rsidRDefault="00225E2C" w:rsidP="00497712">
            <w:pPr>
              <w:rPr>
                <w:i/>
              </w:rPr>
            </w:pPr>
            <w:r w:rsidRPr="00F816FC">
              <w:rPr>
                <w:i/>
              </w:rPr>
              <w:t>5-10,000 patients</w:t>
            </w:r>
          </w:p>
        </w:tc>
        <w:tc>
          <w:tcPr>
            <w:tcW w:w="1984" w:type="dxa"/>
            <w:tcBorders>
              <w:top w:val="nil"/>
              <w:left w:val="nil"/>
              <w:bottom w:val="nil"/>
              <w:right w:val="nil"/>
            </w:tcBorders>
            <w:vAlign w:val="bottom"/>
          </w:tcPr>
          <w:p w:rsidR="00225E2C" w:rsidRPr="00F816FC" w:rsidRDefault="00225E2C" w:rsidP="00497712">
            <w:pPr>
              <w:jc w:val="center"/>
            </w:pPr>
            <w:r w:rsidRPr="00F816FC">
              <w:t>3,575</w:t>
            </w:r>
          </w:p>
        </w:tc>
        <w:tc>
          <w:tcPr>
            <w:tcW w:w="1843" w:type="dxa"/>
            <w:tcBorders>
              <w:top w:val="nil"/>
              <w:left w:val="nil"/>
              <w:bottom w:val="nil"/>
              <w:right w:val="nil"/>
            </w:tcBorders>
            <w:vAlign w:val="bottom"/>
          </w:tcPr>
          <w:p w:rsidR="00225E2C" w:rsidRPr="00F816FC" w:rsidRDefault="00225E2C" w:rsidP="00497712">
            <w:pPr>
              <w:jc w:val="center"/>
            </w:pPr>
            <w:r w:rsidRPr="00F816FC">
              <w:t>1,109</w:t>
            </w:r>
          </w:p>
        </w:tc>
        <w:tc>
          <w:tcPr>
            <w:tcW w:w="1559" w:type="dxa"/>
            <w:tcBorders>
              <w:top w:val="nil"/>
              <w:left w:val="nil"/>
              <w:bottom w:val="nil"/>
              <w:right w:val="nil"/>
            </w:tcBorders>
            <w:vAlign w:val="bottom"/>
          </w:tcPr>
          <w:p w:rsidR="00225E2C" w:rsidRPr="00F816FC" w:rsidRDefault="00225E2C" w:rsidP="00497712">
            <w:pPr>
              <w:jc w:val="center"/>
            </w:pPr>
            <w:r w:rsidRPr="00F816FC">
              <w:t>31.0</w:t>
            </w:r>
          </w:p>
        </w:tc>
        <w:tc>
          <w:tcPr>
            <w:tcW w:w="1134" w:type="dxa"/>
            <w:vMerge/>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pPr>
              <w:rPr>
                <w:i/>
              </w:rPr>
            </w:pPr>
            <w:r w:rsidRPr="00F816FC">
              <w:rPr>
                <w:i/>
              </w:rPr>
              <w:t>Over 10,000 patients</w:t>
            </w:r>
          </w:p>
        </w:tc>
        <w:tc>
          <w:tcPr>
            <w:tcW w:w="1984" w:type="dxa"/>
            <w:tcBorders>
              <w:top w:val="nil"/>
              <w:left w:val="nil"/>
              <w:bottom w:val="nil"/>
              <w:right w:val="nil"/>
            </w:tcBorders>
            <w:vAlign w:val="bottom"/>
          </w:tcPr>
          <w:p w:rsidR="00225E2C" w:rsidRPr="00F816FC" w:rsidRDefault="00225E2C" w:rsidP="00497712">
            <w:pPr>
              <w:jc w:val="center"/>
            </w:pPr>
            <w:r w:rsidRPr="00F816FC">
              <w:t>3,300</w:t>
            </w:r>
          </w:p>
        </w:tc>
        <w:tc>
          <w:tcPr>
            <w:tcW w:w="1843" w:type="dxa"/>
            <w:tcBorders>
              <w:top w:val="nil"/>
              <w:left w:val="nil"/>
              <w:bottom w:val="nil"/>
              <w:right w:val="nil"/>
            </w:tcBorders>
            <w:vAlign w:val="bottom"/>
          </w:tcPr>
          <w:p w:rsidR="00225E2C" w:rsidRPr="00F816FC" w:rsidRDefault="00225E2C" w:rsidP="00497712">
            <w:pPr>
              <w:jc w:val="center"/>
            </w:pPr>
            <w:r w:rsidRPr="00F816FC">
              <w:t>1,276</w:t>
            </w:r>
          </w:p>
        </w:tc>
        <w:tc>
          <w:tcPr>
            <w:tcW w:w="1559" w:type="dxa"/>
            <w:tcBorders>
              <w:top w:val="nil"/>
              <w:left w:val="nil"/>
              <w:bottom w:val="nil"/>
              <w:right w:val="nil"/>
            </w:tcBorders>
            <w:vAlign w:val="bottom"/>
          </w:tcPr>
          <w:p w:rsidR="00225E2C" w:rsidRPr="00F816FC" w:rsidRDefault="00225E2C" w:rsidP="00497712">
            <w:pPr>
              <w:jc w:val="center"/>
            </w:pPr>
            <w:r w:rsidRPr="00F816FC">
              <w:t>38.7</w:t>
            </w:r>
          </w:p>
        </w:tc>
        <w:tc>
          <w:tcPr>
            <w:tcW w:w="1134" w:type="dxa"/>
            <w:vMerge/>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r w:rsidRPr="00F816FC">
              <w:t>Location of practice</w:t>
            </w:r>
          </w:p>
        </w:tc>
        <w:tc>
          <w:tcPr>
            <w:tcW w:w="1984" w:type="dxa"/>
            <w:tcBorders>
              <w:top w:val="nil"/>
              <w:left w:val="nil"/>
              <w:bottom w:val="nil"/>
              <w:right w:val="nil"/>
            </w:tcBorders>
            <w:vAlign w:val="bottom"/>
          </w:tcPr>
          <w:p w:rsidR="00225E2C" w:rsidRPr="00F816FC" w:rsidRDefault="00225E2C" w:rsidP="00497712">
            <w:pPr>
              <w:jc w:val="center"/>
            </w:pPr>
          </w:p>
        </w:tc>
        <w:tc>
          <w:tcPr>
            <w:tcW w:w="1843" w:type="dxa"/>
            <w:tcBorders>
              <w:top w:val="nil"/>
              <w:left w:val="nil"/>
              <w:bottom w:val="nil"/>
              <w:right w:val="nil"/>
            </w:tcBorders>
            <w:vAlign w:val="bottom"/>
          </w:tcPr>
          <w:p w:rsidR="00225E2C" w:rsidRPr="00F816FC" w:rsidRDefault="00225E2C" w:rsidP="00497712">
            <w:pPr>
              <w:jc w:val="center"/>
            </w:pPr>
          </w:p>
        </w:tc>
        <w:tc>
          <w:tcPr>
            <w:tcW w:w="1559" w:type="dxa"/>
            <w:tcBorders>
              <w:top w:val="nil"/>
              <w:left w:val="nil"/>
              <w:bottom w:val="nil"/>
              <w:right w:val="nil"/>
            </w:tcBorders>
            <w:vAlign w:val="bottom"/>
          </w:tcPr>
          <w:p w:rsidR="00225E2C" w:rsidRPr="00F816FC" w:rsidRDefault="00225E2C" w:rsidP="00497712">
            <w:pPr>
              <w:jc w:val="center"/>
            </w:pPr>
          </w:p>
        </w:tc>
        <w:tc>
          <w:tcPr>
            <w:tcW w:w="1134" w:type="dxa"/>
            <w:tcBorders>
              <w:top w:val="nil"/>
              <w:left w:val="nil"/>
              <w:bottom w:val="nil"/>
              <w:right w:val="nil"/>
            </w:tcBorders>
            <w:vAlign w:val="center"/>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pPr>
              <w:rPr>
                <w:i/>
              </w:rPr>
            </w:pPr>
            <w:r w:rsidRPr="00F816FC">
              <w:rPr>
                <w:i/>
              </w:rPr>
              <w:t>Rural</w:t>
            </w:r>
          </w:p>
        </w:tc>
        <w:tc>
          <w:tcPr>
            <w:tcW w:w="1984" w:type="dxa"/>
            <w:tcBorders>
              <w:top w:val="nil"/>
              <w:left w:val="nil"/>
              <w:bottom w:val="nil"/>
              <w:right w:val="nil"/>
            </w:tcBorders>
            <w:vAlign w:val="bottom"/>
          </w:tcPr>
          <w:p w:rsidR="00225E2C" w:rsidRPr="00F816FC" w:rsidRDefault="00225E2C" w:rsidP="00497712">
            <w:pPr>
              <w:jc w:val="center"/>
            </w:pPr>
            <w:r w:rsidRPr="00F816FC">
              <w:t>2,273</w:t>
            </w:r>
          </w:p>
        </w:tc>
        <w:tc>
          <w:tcPr>
            <w:tcW w:w="1843" w:type="dxa"/>
            <w:tcBorders>
              <w:top w:val="nil"/>
              <w:left w:val="nil"/>
              <w:bottom w:val="nil"/>
              <w:right w:val="nil"/>
            </w:tcBorders>
            <w:vAlign w:val="bottom"/>
          </w:tcPr>
          <w:p w:rsidR="00225E2C" w:rsidRPr="00F816FC" w:rsidRDefault="00225E2C" w:rsidP="00497712">
            <w:pPr>
              <w:jc w:val="center"/>
            </w:pPr>
            <w:r w:rsidRPr="00F816FC">
              <w:t>647</w:t>
            </w:r>
          </w:p>
        </w:tc>
        <w:tc>
          <w:tcPr>
            <w:tcW w:w="1559" w:type="dxa"/>
            <w:tcBorders>
              <w:top w:val="nil"/>
              <w:left w:val="nil"/>
              <w:bottom w:val="nil"/>
              <w:right w:val="nil"/>
            </w:tcBorders>
            <w:vAlign w:val="bottom"/>
          </w:tcPr>
          <w:p w:rsidR="00225E2C" w:rsidRPr="00F816FC" w:rsidRDefault="00225E2C" w:rsidP="00497712">
            <w:pPr>
              <w:jc w:val="center"/>
            </w:pPr>
            <w:r w:rsidRPr="00F816FC">
              <w:t>28.5</w:t>
            </w:r>
          </w:p>
        </w:tc>
        <w:tc>
          <w:tcPr>
            <w:tcW w:w="1134" w:type="dxa"/>
            <w:vMerge w:val="restart"/>
            <w:tcBorders>
              <w:top w:val="nil"/>
              <w:left w:val="nil"/>
              <w:bottom w:val="nil"/>
              <w:right w:val="nil"/>
            </w:tcBorders>
            <w:vAlign w:val="center"/>
          </w:tcPr>
          <w:p w:rsidR="00225E2C" w:rsidRPr="00F816FC" w:rsidRDefault="00225E2C" w:rsidP="00497712">
            <w:pPr>
              <w:jc w:val="center"/>
            </w:pPr>
            <w:r w:rsidRPr="00F816FC">
              <w:t>&lt;0.001</w:t>
            </w:r>
          </w:p>
        </w:tc>
      </w:tr>
      <w:tr w:rsidR="00225E2C" w:rsidRPr="00F816FC" w:rsidTr="009710BF">
        <w:tc>
          <w:tcPr>
            <w:tcW w:w="3794" w:type="dxa"/>
            <w:tcBorders>
              <w:top w:val="nil"/>
              <w:left w:val="nil"/>
              <w:bottom w:val="nil"/>
              <w:right w:val="nil"/>
            </w:tcBorders>
          </w:tcPr>
          <w:p w:rsidR="00225E2C" w:rsidRPr="00F816FC" w:rsidRDefault="00225E2C" w:rsidP="00497712">
            <w:pPr>
              <w:rPr>
                <w:i/>
              </w:rPr>
            </w:pPr>
            <w:r w:rsidRPr="00F816FC">
              <w:rPr>
                <w:i/>
              </w:rPr>
              <w:t>Urban</w:t>
            </w:r>
          </w:p>
        </w:tc>
        <w:tc>
          <w:tcPr>
            <w:tcW w:w="1984" w:type="dxa"/>
            <w:tcBorders>
              <w:top w:val="nil"/>
              <w:left w:val="nil"/>
              <w:bottom w:val="nil"/>
              <w:right w:val="nil"/>
            </w:tcBorders>
            <w:vAlign w:val="bottom"/>
          </w:tcPr>
          <w:p w:rsidR="00225E2C" w:rsidRPr="00F816FC" w:rsidRDefault="00225E2C" w:rsidP="00497712">
            <w:pPr>
              <w:jc w:val="center"/>
            </w:pPr>
            <w:r w:rsidRPr="00F816FC">
              <w:t>5,854</w:t>
            </w:r>
          </w:p>
        </w:tc>
        <w:tc>
          <w:tcPr>
            <w:tcW w:w="1843" w:type="dxa"/>
            <w:tcBorders>
              <w:top w:val="nil"/>
              <w:left w:val="nil"/>
              <w:bottom w:val="nil"/>
              <w:right w:val="nil"/>
            </w:tcBorders>
            <w:vAlign w:val="bottom"/>
          </w:tcPr>
          <w:p w:rsidR="00225E2C" w:rsidRPr="00F816FC" w:rsidRDefault="00225E2C" w:rsidP="00497712">
            <w:pPr>
              <w:jc w:val="center"/>
            </w:pPr>
            <w:r w:rsidRPr="00F816FC">
              <w:t>2,153</w:t>
            </w:r>
          </w:p>
        </w:tc>
        <w:tc>
          <w:tcPr>
            <w:tcW w:w="1559" w:type="dxa"/>
            <w:tcBorders>
              <w:top w:val="nil"/>
              <w:left w:val="nil"/>
              <w:bottom w:val="nil"/>
              <w:right w:val="nil"/>
            </w:tcBorders>
            <w:vAlign w:val="bottom"/>
          </w:tcPr>
          <w:p w:rsidR="00225E2C" w:rsidRPr="00F816FC" w:rsidRDefault="00225E2C" w:rsidP="00497712">
            <w:pPr>
              <w:jc w:val="center"/>
            </w:pPr>
            <w:r w:rsidRPr="00F816FC">
              <w:t>36.8</w:t>
            </w:r>
          </w:p>
        </w:tc>
        <w:tc>
          <w:tcPr>
            <w:tcW w:w="1134" w:type="dxa"/>
            <w:vMerge/>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r w:rsidRPr="00F816FC">
              <w:t>Deprivation of patient population</w:t>
            </w:r>
          </w:p>
        </w:tc>
        <w:tc>
          <w:tcPr>
            <w:tcW w:w="1984" w:type="dxa"/>
            <w:tcBorders>
              <w:top w:val="nil"/>
              <w:left w:val="nil"/>
              <w:bottom w:val="nil"/>
              <w:right w:val="nil"/>
            </w:tcBorders>
            <w:vAlign w:val="bottom"/>
          </w:tcPr>
          <w:p w:rsidR="00225E2C" w:rsidRPr="00F816FC" w:rsidRDefault="00225E2C" w:rsidP="00497712">
            <w:pPr>
              <w:jc w:val="center"/>
            </w:pPr>
          </w:p>
        </w:tc>
        <w:tc>
          <w:tcPr>
            <w:tcW w:w="1843" w:type="dxa"/>
            <w:tcBorders>
              <w:top w:val="nil"/>
              <w:left w:val="nil"/>
              <w:bottom w:val="nil"/>
              <w:right w:val="nil"/>
            </w:tcBorders>
            <w:vAlign w:val="bottom"/>
          </w:tcPr>
          <w:p w:rsidR="00225E2C" w:rsidRPr="00F816FC" w:rsidRDefault="00225E2C" w:rsidP="00497712">
            <w:pPr>
              <w:jc w:val="center"/>
            </w:pPr>
          </w:p>
        </w:tc>
        <w:tc>
          <w:tcPr>
            <w:tcW w:w="1559" w:type="dxa"/>
            <w:tcBorders>
              <w:top w:val="nil"/>
              <w:left w:val="nil"/>
              <w:bottom w:val="nil"/>
              <w:right w:val="nil"/>
            </w:tcBorders>
            <w:vAlign w:val="bottom"/>
          </w:tcPr>
          <w:p w:rsidR="00225E2C" w:rsidRPr="00F816FC" w:rsidRDefault="00225E2C" w:rsidP="00497712">
            <w:pPr>
              <w:jc w:val="center"/>
            </w:pPr>
          </w:p>
        </w:tc>
        <w:tc>
          <w:tcPr>
            <w:tcW w:w="1134"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pPr>
              <w:rPr>
                <w:i/>
              </w:rPr>
            </w:pPr>
            <w:r w:rsidRPr="00F816FC">
              <w:rPr>
                <w:i/>
              </w:rPr>
              <w:t>Low</w:t>
            </w:r>
          </w:p>
        </w:tc>
        <w:tc>
          <w:tcPr>
            <w:tcW w:w="1984" w:type="dxa"/>
            <w:tcBorders>
              <w:top w:val="nil"/>
              <w:left w:val="nil"/>
              <w:bottom w:val="nil"/>
              <w:right w:val="nil"/>
            </w:tcBorders>
            <w:vAlign w:val="bottom"/>
          </w:tcPr>
          <w:p w:rsidR="00225E2C" w:rsidRPr="00F816FC" w:rsidRDefault="00225E2C" w:rsidP="00497712">
            <w:pPr>
              <w:jc w:val="center"/>
            </w:pPr>
            <w:r w:rsidRPr="00F816FC">
              <w:t>1,721</w:t>
            </w:r>
          </w:p>
        </w:tc>
        <w:tc>
          <w:tcPr>
            <w:tcW w:w="1843" w:type="dxa"/>
            <w:tcBorders>
              <w:top w:val="nil"/>
              <w:left w:val="nil"/>
              <w:bottom w:val="nil"/>
              <w:right w:val="nil"/>
            </w:tcBorders>
            <w:vAlign w:val="bottom"/>
          </w:tcPr>
          <w:p w:rsidR="00225E2C" w:rsidRPr="00F816FC" w:rsidRDefault="00225E2C" w:rsidP="00497712">
            <w:pPr>
              <w:jc w:val="center"/>
            </w:pPr>
            <w:r w:rsidRPr="00F816FC">
              <w:t>463</w:t>
            </w:r>
          </w:p>
        </w:tc>
        <w:tc>
          <w:tcPr>
            <w:tcW w:w="1559" w:type="dxa"/>
            <w:tcBorders>
              <w:top w:val="nil"/>
              <w:left w:val="nil"/>
              <w:bottom w:val="nil"/>
              <w:right w:val="nil"/>
            </w:tcBorders>
            <w:vAlign w:val="bottom"/>
          </w:tcPr>
          <w:p w:rsidR="00225E2C" w:rsidRPr="00F816FC" w:rsidRDefault="00225E2C" w:rsidP="00497712">
            <w:pPr>
              <w:jc w:val="center"/>
            </w:pPr>
            <w:r w:rsidRPr="00F816FC">
              <w:t>26.9</w:t>
            </w:r>
          </w:p>
        </w:tc>
        <w:tc>
          <w:tcPr>
            <w:tcW w:w="1134" w:type="dxa"/>
            <w:vMerge w:val="restart"/>
            <w:tcBorders>
              <w:top w:val="nil"/>
              <w:left w:val="nil"/>
              <w:bottom w:val="nil"/>
              <w:right w:val="nil"/>
            </w:tcBorders>
            <w:vAlign w:val="center"/>
          </w:tcPr>
          <w:p w:rsidR="00225E2C" w:rsidRPr="00F816FC" w:rsidRDefault="00225E2C" w:rsidP="00497712">
            <w:pPr>
              <w:jc w:val="center"/>
            </w:pPr>
            <w:r w:rsidRPr="00F816FC">
              <w:t>&lt;0.001</w:t>
            </w:r>
          </w:p>
        </w:tc>
      </w:tr>
      <w:tr w:rsidR="00225E2C" w:rsidRPr="00F816FC" w:rsidTr="009710BF">
        <w:tc>
          <w:tcPr>
            <w:tcW w:w="3794" w:type="dxa"/>
            <w:tcBorders>
              <w:top w:val="nil"/>
              <w:left w:val="nil"/>
              <w:bottom w:val="nil"/>
              <w:right w:val="nil"/>
            </w:tcBorders>
          </w:tcPr>
          <w:p w:rsidR="00225E2C" w:rsidRPr="00F816FC" w:rsidRDefault="00225E2C" w:rsidP="00497712">
            <w:pPr>
              <w:rPr>
                <w:i/>
              </w:rPr>
            </w:pPr>
            <w:r w:rsidRPr="00F816FC">
              <w:rPr>
                <w:i/>
              </w:rPr>
              <w:t>Moderate</w:t>
            </w:r>
          </w:p>
        </w:tc>
        <w:tc>
          <w:tcPr>
            <w:tcW w:w="1984" w:type="dxa"/>
            <w:tcBorders>
              <w:top w:val="nil"/>
              <w:left w:val="nil"/>
              <w:bottom w:val="nil"/>
              <w:right w:val="nil"/>
            </w:tcBorders>
            <w:vAlign w:val="bottom"/>
          </w:tcPr>
          <w:p w:rsidR="00225E2C" w:rsidRPr="00F816FC" w:rsidRDefault="00225E2C" w:rsidP="00497712">
            <w:pPr>
              <w:jc w:val="center"/>
            </w:pPr>
            <w:r w:rsidRPr="00F816FC">
              <w:t>2,576</w:t>
            </w:r>
          </w:p>
        </w:tc>
        <w:tc>
          <w:tcPr>
            <w:tcW w:w="1843" w:type="dxa"/>
            <w:tcBorders>
              <w:top w:val="nil"/>
              <w:left w:val="nil"/>
              <w:bottom w:val="nil"/>
              <w:right w:val="nil"/>
            </w:tcBorders>
            <w:vAlign w:val="bottom"/>
          </w:tcPr>
          <w:p w:rsidR="00225E2C" w:rsidRPr="00F816FC" w:rsidRDefault="00225E2C" w:rsidP="00497712">
            <w:pPr>
              <w:jc w:val="center"/>
            </w:pPr>
            <w:r w:rsidRPr="00F816FC">
              <w:t>843</w:t>
            </w:r>
          </w:p>
        </w:tc>
        <w:tc>
          <w:tcPr>
            <w:tcW w:w="1559" w:type="dxa"/>
            <w:tcBorders>
              <w:top w:val="nil"/>
              <w:left w:val="nil"/>
              <w:bottom w:val="nil"/>
              <w:right w:val="nil"/>
            </w:tcBorders>
            <w:vAlign w:val="bottom"/>
          </w:tcPr>
          <w:p w:rsidR="00225E2C" w:rsidRPr="00F816FC" w:rsidRDefault="00225E2C" w:rsidP="00497712">
            <w:pPr>
              <w:jc w:val="center"/>
            </w:pPr>
            <w:r w:rsidRPr="00F816FC">
              <w:t>32.7</w:t>
            </w:r>
          </w:p>
        </w:tc>
        <w:tc>
          <w:tcPr>
            <w:tcW w:w="1134" w:type="dxa"/>
            <w:vMerge/>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pPr>
              <w:rPr>
                <w:i/>
              </w:rPr>
            </w:pPr>
            <w:r w:rsidRPr="00F816FC">
              <w:rPr>
                <w:i/>
              </w:rPr>
              <w:t>High</w:t>
            </w:r>
          </w:p>
        </w:tc>
        <w:tc>
          <w:tcPr>
            <w:tcW w:w="1984" w:type="dxa"/>
            <w:tcBorders>
              <w:top w:val="nil"/>
              <w:left w:val="nil"/>
              <w:bottom w:val="nil"/>
              <w:right w:val="nil"/>
            </w:tcBorders>
            <w:vAlign w:val="bottom"/>
          </w:tcPr>
          <w:p w:rsidR="00225E2C" w:rsidRPr="00F816FC" w:rsidRDefault="00225E2C" w:rsidP="00497712">
            <w:pPr>
              <w:jc w:val="center"/>
            </w:pPr>
            <w:r w:rsidRPr="00F816FC">
              <w:t>3,830</w:t>
            </w:r>
          </w:p>
        </w:tc>
        <w:tc>
          <w:tcPr>
            <w:tcW w:w="1843" w:type="dxa"/>
            <w:tcBorders>
              <w:top w:val="nil"/>
              <w:left w:val="nil"/>
              <w:bottom w:val="nil"/>
              <w:right w:val="nil"/>
            </w:tcBorders>
            <w:vAlign w:val="bottom"/>
          </w:tcPr>
          <w:p w:rsidR="00225E2C" w:rsidRPr="00F816FC" w:rsidRDefault="00225E2C" w:rsidP="00497712">
            <w:pPr>
              <w:jc w:val="center"/>
            </w:pPr>
            <w:r w:rsidRPr="00F816FC">
              <w:t>1,494</w:t>
            </w:r>
          </w:p>
        </w:tc>
        <w:tc>
          <w:tcPr>
            <w:tcW w:w="1559" w:type="dxa"/>
            <w:tcBorders>
              <w:top w:val="nil"/>
              <w:left w:val="nil"/>
              <w:bottom w:val="nil"/>
              <w:right w:val="nil"/>
            </w:tcBorders>
            <w:vAlign w:val="bottom"/>
          </w:tcPr>
          <w:p w:rsidR="00225E2C" w:rsidRPr="00F816FC" w:rsidRDefault="00225E2C" w:rsidP="00497712">
            <w:pPr>
              <w:jc w:val="center"/>
            </w:pPr>
            <w:r w:rsidRPr="00F816FC">
              <w:t>39.0</w:t>
            </w:r>
          </w:p>
        </w:tc>
        <w:tc>
          <w:tcPr>
            <w:tcW w:w="1134" w:type="dxa"/>
            <w:vMerge/>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tc>
        <w:tc>
          <w:tcPr>
            <w:tcW w:w="1984" w:type="dxa"/>
            <w:tcBorders>
              <w:top w:val="nil"/>
              <w:left w:val="nil"/>
              <w:bottom w:val="nil"/>
              <w:right w:val="nil"/>
            </w:tcBorders>
            <w:vAlign w:val="bottom"/>
          </w:tcPr>
          <w:p w:rsidR="00225E2C" w:rsidRPr="00F816FC" w:rsidRDefault="00225E2C" w:rsidP="00497712">
            <w:pPr>
              <w:jc w:val="center"/>
            </w:pPr>
          </w:p>
        </w:tc>
        <w:tc>
          <w:tcPr>
            <w:tcW w:w="1843" w:type="dxa"/>
            <w:tcBorders>
              <w:top w:val="nil"/>
              <w:left w:val="nil"/>
              <w:bottom w:val="nil"/>
              <w:right w:val="nil"/>
            </w:tcBorders>
            <w:vAlign w:val="bottom"/>
          </w:tcPr>
          <w:p w:rsidR="00225E2C" w:rsidRPr="00F816FC" w:rsidRDefault="00225E2C" w:rsidP="00497712">
            <w:pPr>
              <w:jc w:val="center"/>
            </w:pPr>
          </w:p>
        </w:tc>
        <w:tc>
          <w:tcPr>
            <w:tcW w:w="1559" w:type="dxa"/>
            <w:tcBorders>
              <w:top w:val="nil"/>
              <w:left w:val="nil"/>
              <w:bottom w:val="nil"/>
              <w:right w:val="nil"/>
            </w:tcBorders>
            <w:vAlign w:val="bottom"/>
          </w:tcPr>
          <w:p w:rsidR="00225E2C" w:rsidRPr="00F816FC" w:rsidRDefault="00225E2C" w:rsidP="00497712">
            <w:pPr>
              <w:jc w:val="center"/>
            </w:pPr>
          </w:p>
        </w:tc>
        <w:tc>
          <w:tcPr>
            <w:tcW w:w="1134"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pPr>
              <w:rPr>
                <w:b/>
              </w:rPr>
            </w:pPr>
            <w:r w:rsidRPr="00F816FC">
              <w:rPr>
                <w:b/>
              </w:rPr>
              <w:t>The certifying GP</w:t>
            </w:r>
          </w:p>
        </w:tc>
        <w:tc>
          <w:tcPr>
            <w:tcW w:w="1984" w:type="dxa"/>
            <w:tcBorders>
              <w:top w:val="nil"/>
              <w:left w:val="nil"/>
              <w:bottom w:val="nil"/>
              <w:right w:val="nil"/>
            </w:tcBorders>
            <w:vAlign w:val="bottom"/>
          </w:tcPr>
          <w:p w:rsidR="00225E2C" w:rsidRPr="00F816FC" w:rsidRDefault="00225E2C" w:rsidP="00497712">
            <w:pPr>
              <w:jc w:val="center"/>
            </w:pPr>
          </w:p>
        </w:tc>
        <w:tc>
          <w:tcPr>
            <w:tcW w:w="1843" w:type="dxa"/>
            <w:tcBorders>
              <w:top w:val="nil"/>
              <w:left w:val="nil"/>
              <w:bottom w:val="nil"/>
              <w:right w:val="nil"/>
            </w:tcBorders>
            <w:vAlign w:val="bottom"/>
          </w:tcPr>
          <w:p w:rsidR="00225E2C" w:rsidRPr="00F816FC" w:rsidRDefault="00225E2C" w:rsidP="00497712">
            <w:pPr>
              <w:jc w:val="center"/>
            </w:pPr>
          </w:p>
        </w:tc>
        <w:tc>
          <w:tcPr>
            <w:tcW w:w="1559" w:type="dxa"/>
            <w:tcBorders>
              <w:top w:val="nil"/>
              <w:left w:val="nil"/>
              <w:bottom w:val="nil"/>
              <w:right w:val="nil"/>
            </w:tcBorders>
            <w:vAlign w:val="bottom"/>
          </w:tcPr>
          <w:p w:rsidR="00225E2C" w:rsidRPr="00F816FC" w:rsidRDefault="00225E2C" w:rsidP="00497712">
            <w:pPr>
              <w:jc w:val="center"/>
            </w:pPr>
          </w:p>
        </w:tc>
        <w:tc>
          <w:tcPr>
            <w:tcW w:w="1134" w:type="dxa"/>
            <w:vMerge w:val="restart"/>
            <w:tcBorders>
              <w:top w:val="nil"/>
              <w:left w:val="nil"/>
              <w:bottom w:val="nil"/>
              <w:right w:val="nil"/>
            </w:tcBorders>
            <w:vAlign w:val="center"/>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r w:rsidRPr="00F816FC">
              <w:t>Gender</w:t>
            </w:r>
          </w:p>
        </w:tc>
        <w:tc>
          <w:tcPr>
            <w:tcW w:w="1984" w:type="dxa"/>
            <w:tcBorders>
              <w:top w:val="nil"/>
              <w:left w:val="nil"/>
              <w:bottom w:val="nil"/>
              <w:right w:val="nil"/>
            </w:tcBorders>
            <w:vAlign w:val="bottom"/>
          </w:tcPr>
          <w:p w:rsidR="00225E2C" w:rsidRPr="00F816FC" w:rsidRDefault="00225E2C" w:rsidP="00497712">
            <w:pPr>
              <w:jc w:val="center"/>
            </w:pPr>
          </w:p>
        </w:tc>
        <w:tc>
          <w:tcPr>
            <w:tcW w:w="1843" w:type="dxa"/>
            <w:tcBorders>
              <w:top w:val="nil"/>
              <w:left w:val="nil"/>
              <w:bottom w:val="nil"/>
              <w:right w:val="nil"/>
            </w:tcBorders>
            <w:vAlign w:val="bottom"/>
          </w:tcPr>
          <w:p w:rsidR="00225E2C" w:rsidRPr="00F816FC" w:rsidRDefault="00225E2C" w:rsidP="00497712">
            <w:pPr>
              <w:jc w:val="center"/>
            </w:pPr>
          </w:p>
        </w:tc>
        <w:tc>
          <w:tcPr>
            <w:tcW w:w="1559" w:type="dxa"/>
            <w:tcBorders>
              <w:top w:val="nil"/>
              <w:left w:val="nil"/>
              <w:bottom w:val="nil"/>
              <w:right w:val="nil"/>
            </w:tcBorders>
            <w:vAlign w:val="bottom"/>
          </w:tcPr>
          <w:p w:rsidR="00225E2C" w:rsidRPr="00F816FC" w:rsidRDefault="00225E2C" w:rsidP="00497712">
            <w:pPr>
              <w:jc w:val="center"/>
            </w:pPr>
          </w:p>
        </w:tc>
        <w:tc>
          <w:tcPr>
            <w:tcW w:w="1134" w:type="dxa"/>
            <w:vMerge/>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pPr>
              <w:rPr>
                <w:i/>
              </w:rPr>
            </w:pPr>
            <w:r w:rsidRPr="00F816FC">
              <w:rPr>
                <w:i/>
              </w:rPr>
              <w:t>Male</w:t>
            </w:r>
          </w:p>
        </w:tc>
        <w:tc>
          <w:tcPr>
            <w:tcW w:w="1984" w:type="dxa"/>
            <w:tcBorders>
              <w:top w:val="nil"/>
              <w:left w:val="nil"/>
              <w:bottom w:val="nil"/>
              <w:right w:val="nil"/>
            </w:tcBorders>
            <w:vAlign w:val="bottom"/>
          </w:tcPr>
          <w:p w:rsidR="00225E2C" w:rsidRPr="00F816FC" w:rsidRDefault="00225E2C" w:rsidP="00497712">
            <w:pPr>
              <w:jc w:val="center"/>
            </w:pPr>
            <w:r w:rsidRPr="00F816FC">
              <w:t>4,273</w:t>
            </w:r>
          </w:p>
        </w:tc>
        <w:tc>
          <w:tcPr>
            <w:tcW w:w="1843" w:type="dxa"/>
            <w:tcBorders>
              <w:top w:val="nil"/>
              <w:left w:val="nil"/>
              <w:bottom w:val="nil"/>
              <w:right w:val="nil"/>
            </w:tcBorders>
            <w:vAlign w:val="bottom"/>
          </w:tcPr>
          <w:p w:rsidR="00225E2C" w:rsidRPr="00F816FC" w:rsidRDefault="00225E2C" w:rsidP="00497712">
            <w:pPr>
              <w:jc w:val="center"/>
            </w:pPr>
            <w:r w:rsidRPr="00F816FC">
              <w:t>1,676</w:t>
            </w:r>
          </w:p>
        </w:tc>
        <w:tc>
          <w:tcPr>
            <w:tcW w:w="1559" w:type="dxa"/>
            <w:tcBorders>
              <w:top w:val="nil"/>
              <w:left w:val="nil"/>
              <w:bottom w:val="nil"/>
              <w:right w:val="nil"/>
            </w:tcBorders>
            <w:vAlign w:val="bottom"/>
          </w:tcPr>
          <w:p w:rsidR="00225E2C" w:rsidRPr="00F816FC" w:rsidRDefault="00225E2C" w:rsidP="00497712">
            <w:pPr>
              <w:jc w:val="center"/>
            </w:pPr>
            <w:r w:rsidRPr="00F816FC">
              <w:t>39.2</w:t>
            </w:r>
          </w:p>
        </w:tc>
        <w:tc>
          <w:tcPr>
            <w:tcW w:w="1134" w:type="dxa"/>
            <w:vMerge w:val="restart"/>
            <w:tcBorders>
              <w:top w:val="nil"/>
              <w:left w:val="nil"/>
              <w:bottom w:val="nil"/>
              <w:right w:val="nil"/>
            </w:tcBorders>
            <w:vAlign w:val="center"/>
          </w:tcPr>
          <w:p w:rsidR="00225E2C" w:rsidRPr="00F816FC" w:rsidRDefault="00225E2C" w:rsidP="00497712">
            <w:pPr>
              <w:jc w:val="center"/>
            </w:pPr>
            <w:r w:rsidRPr="00F816FC">
              <w:t>&lt;0.001</w:t>
            </w:r>
          </w:p>
        </w:tc>
      </w:tr>
      <w:tr w:rsidR="00225E2C" w:rsidRPr="00F816FC" w:rsidTr="009710BF">
        <w:tc>
          <w:tcPr>
            <w:tcW w:w="3794" w:type="dxa"/>
            <w:tcBorders>
              <w:top w:val="nil"/>
              <w:left w:val="nil"/>
              <w:bottom w:val="nil"/>
              <w:right w:val="nil"/>
            </w:tcBorders>
          </w:tcPr>
          <w:p w:rsidR="00225E2C" w:rsidRPr="00F816FC" w:rsidRDefault="00225E2C" w:rsidP="00497712">
            <w:pPr>
              <w:rPr>
                <w:i/>
              </w:rPr>
            </w:pPr>
            <w:r w:rsidRPr="00F816FC">
              <w:rPr>
                <w:i/>
              </w:rPr>
              <w:t>Female</w:t>
            </w:r>
          </w:p>
        </w:tc>
        <w:tc>
          <w:tcPr>
            <w:tcW w:w="1984" w:type="dxa"/>
            <w:tcBorders>
              <w:top w:val="nil"/>
              <w:left w:val="nil"/>
              <w:bottom w:val="nil"/>
              <w:right w:val="nil"/>
            </w:tcBorders>
            <w:vAlign w:val="bottom"/>
          </w:tcPr>
          <w:p w:rsidR="00225E2C" w:rsidRPr="00F816FC" w:rsidRDefault="00225E2C" w:rsidP="00497712">
            <w:pPr>
              <w:jc w:val="center"/>
            </w:pPr>
            <w:r w:rsidRPr="00F816FC">
              <w:t>3,829</w:t>
            </w:r>
          </w:p>
        </w:tc>
        <w:tc>
          <w:tcPr>
            <w:tcW w:w="1843" w:type="dxa"/>
            <w:tcBorders>
              <w:top w:val="nil"/>
              <w:left w:val="nil"/>
              <w:bottom w:val="nil"/>
              <w:right w:val="nil"/>
            </w:tcBorders>
            <w:vAlign w:val="bottom"/>
          </w:tcPr>
          <w:p w:rsidR="00225E2C" w:rsidRPr="00F816FC" w:rsidRDefault="00225E2C" w:rsidP="00497712">
            <w:pPr>
              <w:jc w:val="center"/>
            </w:pPr>
            <w:r w:rsidRPr="00F816FC">
              <w:t>1,222</w:t>
            </w:r>
          </w:p>
        </w:tc>
        <w:tc>
          <w:tcPr>
            <w:tcW w:w="1559" w:type="dxa"/>
            <w:tcBorders>
              <w:top w:val="nil"/>
              <w:left w:val="nil"/>
              <w:bottom w:val="nil"/>
              <w:right w:val="nil"/>
            </w:tcBorders>
            <w:vAlign w:val="bottom"/>
          </w:tcPr>
          <w:p w:rsidR="00225E2C" w:rsidRPr="00F816FC" w:rsidRDefault="00225E2C" w:rsidP="00497712">
            <w:pPr>
              <w:jc w:val="center"/>
            </w:pPr>
            <w:r w:rsidRPr="00F816FC">
              <w:t>31.9</w:t>
            </w:r>
          </w:p>
        </w:tc>
        <w:tc>
          <w:tcPr>
            <w:tcW w:w="1134" w:type="dxa"/>
            <w:vMerge/>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r w:rsidRPr="00F816FC">
              <w:t>Age-group</w:t>
            </w:r>
          </w:p>
        </w:tc>
        <w:tc>
          <w:tcPr>
            <w:tcW w:w="1984" w:type="dxa"/>
            <w:tcBorders>
              <w:top w:val="nil"/>
              <w:left w:val="nil"/>
              <w:bottom w:val="nil"/>
              <w:right w:val="nil"/>
            </w:tcBorders>
            <w:vAlign w:val="bottom"/>
          </w:tcPr>
          <w:p w:rsidR="00225E2C" w:rsidRPr="00F816FC" w:rsidRDefault="00225E2C" w:rsidP="00497712">
            <w:pPr>
              <w:jc w:val="center"/>
            </w:pPr>
          </w:p>
        </w:tc>
        <w:tc>
          <w:tcPr>
            <w:tcW w:w="1843" w:type="dxa"/>
            <w:tcBorders>
              <w:top w:val="nil"/>
              <w:left w:val="nil"/>
              <w:bottom w:val="nil"/>
              <w:right w:val="nil"/>
            </w:tcBorders>
            <w:vAlign w:val="bottom"/>
          </w:tcPr>
          <w:p w:rsidR="00225E2C" w:rsidRPr="00F816FC" w:rsidRDefault="00225E2C" w:rsidP="00497712">
            <w:pPr>
              <w:jc w:val="center"/>
            </w:pPr>
          </w:p>
        </w:tc>
        <w:tc>
          <w:tcPr>
            <w:tcW w:w="1559" w:type="dxa"/>
            <w:tcBorders>
              <w:top w:val="nil"/>
              <w:left w:val="nil"/>
              <w:bottom w:val="nil"/>
              <w:right w:val="nil"/>
            </w:tcBorders>
            <w:vAlign w:val="bottom"/>
          </w:tcPr>
          <w:p w:rsidR="00225E2C" w:rsidRPr="00F816FC" w:rsidRDefault="00225E2C" w:rsidP="00497712">
            <w:pPr>
              <w:jc w:val="center"/>
            </w:pPr>
          </w:p>
        </w:tc>
        <w:tc>
          <w:tcPr>
            <w:tcW w:w="1134"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pPr>
              <w:rPr>
                <w:i/>
              </w:rPr>
            </w:pPr>
            <w:r w:rsidRPr="00F816FC">
              <w:rPr>
                <w:i/>
              </w:rPr>
              <w:t>Under 35</w:t>
            </w:r>
          </w:p>
        </w:tc>
        <w:tc>
          <w:tcPr>
            <w:tcW w:w="1984" w:type="dxa"/>
            <w:tcBorders>
              <w:top w:val="nil"/>
              <w:left w:val="nil"/>
              <w:bottom w:val="nil"/>
              <w:right w:val="nil"/>
            </w:tcBorders>
            <w:vAlign w:val="bottom"/>
          </w:tcPr>
          <w:p w:rsidR="00225E2C" w:rsidRPr="00F816FC" w:rsidRDefault="00225E2C" w:rsidP="00497712">
            <w:pPr>
              <w:jc w:val="center"/>
            </w:pPr>
            <w:r w:rsidRPr="00F816FC">
              <w:t>1,772</w:t>
            </w:r>
          </w:p>
        </w:tc>
        <w:tc>
          <w:tcPr>
            <w:tcW w:w="1843" w:type="dxa"/>
            <w:tcBorders>
              <w:top w:val="nil"/>
              <w:left w:val="nil"/>
              <w:bottom w:val="nil"/>
              <w:right w:val="nil"/>
            </w:tcBorders>
            <w:vAlign w:val="bottom"/>
          </w:tcPr>
          <w:p w:rsidR="00225E2C" w:rsidRPr="00F816FC" w:rsidRDefault="00225E2C" w:rsidP="00497712">
            <w:pPr>
              <w:jc w:val="center"/>
            </w:pPr>
            <w:r w:rsidRPr="00F816FC">
              <w:t>597</w:t>
            </w:r>
          </w:p>
        </w:tc>
        <w:tc>
          <w:tcPr>
            <w:tcW w:w="1559" w:type="dxa"/>
            <w:tcBorders>
              <w:top w:val="nil"/>
              <w:left w:val="nil"/>
              <w:bottom w:val="nil"/>
              <w:right w:val="nil"/>
            </w:tcBorders>
            <w:vAlign w:val="bottom"/>
          </w:tcPr>
          <w:p w:rsidR="00225E2C" w:rsidRPr="00F816FC" w:rsidRDefault="00225E2C" w:rsidP="00497712">
            <w:pPr>
              <w:jc w:val="center"/>
            </w:pPr>
            <w:r w:rsidRPr="00F816FC">
              <w:t>33.7</w:t>
            </w:r>
          </w:p>
        </w:tc>
        <w:tc>
          <w:tcPr>
            <w:tcW w:w="1134" w:type="dxa"/>
            <w:vMerge w:val="restart"/>
            <w:tcBorders>
              <w:top w:val="nil"/>
              <w:left w:val="nil"/>
              <w:bottom w:val="nil"/>
              <w:right w:val="nil"/>
            </w:tcBorders>
            <w:vAlign w:val="center"/>
          </w:tcPr>
          <w:p w:rsidR="00225E2C" w:rsidRPr="00F816FC" w:rsidRDefault="00225E2C" w:rsidP="00497712">
            <w:pPr>
              <w:jc w:val="center"/>
            </w:pPr>
            <w:r w:rsidRPr="00F816FC">
              <w:t>&lt;0.001</w:t>
            </w:r>
          </w:p>
        </w:tc>
      </w:tr>
      <w:tr w:rsidR="00225E2C" w:rsidRPr="00F816FC" w:rsidTr="009710BF">
        <w:tc>
          <w:tcPr>
            <w:tcW w:w="3794" w:type="dxa"/>
            <w:tcBorders>
              <w:top w:val="nil"/>
              <w:left w:val="nil"/>
              <w:bottom w:val="nil"/>
              <w:right w:val="nil"/>
            </w:tcBorders>
          </w:tcPr>
          <w:p w:rsidR="00225E2C" w:rsidRPr="00F816FC" w:rsidRDefault="00225E2C" w:rsidP="00497712">
            <w:pPr>
              <w:rPr>
                <w:i/>
              </w:rPr>
            </w:pPr>
            <w:r w:rsidRPr="00F816FC">
              <w:rPr>
                <w:i/>
              </w:rPr>
              <w:t>35-50</w:t>
            </w:r>
          </w:p>
        </w:tc>
        <w:tc>
          <w:tcPr>
            <w:tcW w:w="1984" w:type="dxa"/>
            <w:tcBorders>
              <w:top w:val="nil"/>
              <w:left w:val="nil"/>
              <w:bottom w:val="nil"/>
              <w:right w:val="nil"/>
            </w:tcBorders>
            <w:vAlign w:val="bottom"/>
          </w:tcPr>
          <w:p w:rsidR="00225E2C" w:rsidRPr="00F816FC" w:rsidRDefault="00225E2C" w:rsidP="00497712">
            <w:pPr>
              <w:jc w:val="center"/>
            </w:pPr>
            <w:r w:rsidRPr="00F816FC">
              <w:t>4,080</w:t>
            </w:r>
          </w:p>
        </w:tc>
        <w:tc>
          <w:tcPr>
            <w:tcW w:w="1843" w:type="dxa"/>
            <w:tcBorders>
              <w:top w:val="nil"/>
              <w:left w:val="nil"/>
              <w:bottom w:val="nil"/>
              <w:right w:val="nil"/>
            </w:tcBorders>
            <w:vAlign w:val="bottom"/>
          </w:tcPr>
          <w:p w:rsidR="00225E2C" w:rsidRPr="00F816FC" w:rsidRDefault="00225E2C" w:rsidP="00497712">
            <w:pPr>
              <w:jc w:val="center"/>
            </w:pPr>
            <w:r w:rsidRPr="00F816FC">
              <w:t>1,658</w:t>
            </w:r>
          </w:p>
        </w:tc>
        <w:tc>
          <w:tcPr>
            <w:tcW w:w="1559" w:type="dxa"/>
            <w:tcBorders>
              <w:top w:val="nil"/>
              <w:left w:val="nil"/>
              <w:bottom w:val="nil"/>
              <w:right w:val="nil"/>
            </w:tcBorders>
            <w:vAlign w:val="bottom"/>
          </w:tcPr>
          <w:p w:rsidR="00225E2C" w:rsidRPr="00F816FC" w:rsidRDefault="00225E2C" w:rsidP="00497712">
            <w:pPr>
              <w:jc w:val="center"/>
            </w:pPr>
            <w:r w:rsidRPr="00F816FC">
              <w:t>40.6</w:t>
            </w:r>
          </w:p>
        </w:tc>
        <w:tc>
          <w:tcPr>
            <w:tcW w:w="1134" w:type="dxa"/>
            <w:vMerge/>
            <w:tcBorders>
              <w:top w:val="nil"/>
              <w:left w:val="nil"/>
              <w:bottom w:val="nil"/>
              <w:right w:val="nil"/>
            </w:tcBorders>
            <w:vAlign w:val="center"/>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pPr>
              <w:rPr>
                <w:i/>
              </w:rPr>
            </w:pPr>
            <w:r w:rsidRPr="00F816FC">
              <w:rPr>
                <w:i/>
              </w:rPr>
              <w:t>Over 50</w:t>
            </w:r>
          </w:p>
        </w:tc>
        <w:tc>
          <w:tcPr>
            <w:tcW w:w="1984" w:type="dxa"/>
            <w:tcBorders>
              <w:top w:val="nil"/>
              <w:left w:val="nil"/>
              <w:bottom w:val="nil"/>
              <w:right w:val="nil"/>
            </w:tcBorders>
            <w:vAlign w:val="bottom"/>
          </w:tcPr>
          <w:p w:rsidR="00225E2C" w:rsidRPr="00F816FC" w:rsidRDefault="00225E2C" w:rsidP="00497712">
            <w:pPr>
              <w:jc w:val="center"/>
            </w:pPr>
            <w:r w:rsidRPr="00F816FC">
              <w:t>2,275</w:t>
            </w:r>
          </w:p>
        </w:tc>
        <w:tc>
          <w:tcPr>
            <w:tcW w:w="1843" w:type="dxa"/>
            <w:tcBorders>
              <w:top w:val="nil"/>
              <w:left w:val="nil"/>
              <w:bottom w:val="nil"/>
              <w:right w:val="nil"/>
            </w:tcBorders>
            <w:vAlign w:val="bottom"/>
          </w:tcPr>
          <w:p w:rsidR="00225E2C" w:rsidRPr="00F816FC" w:rsidRDefault="00225E2C" w:rsidP="00497712">
            <w:pPr>
              <w:jc w:val="center"/>
            </w:pPr>
            <w:r w:rsidRPr="00F816FC">
              <w:t>787</w:t>
            </w:r>
          </w:p>
        </w:tc>
        <w:tc>
          <w:tcPr>
            <w:tcW w:w="1559" w:type="dxa"/>
            <w:tcBorders>
              <w:top w:val="nil"/>
              <w:left w:val="nil"/>
              <w:bottom w:val="nil"/>
              <w:right w:val="nil"/>
            </w:tcBorders>
            <w:vAlign w:val="bottom"/>
          </w:tcPr>
          <w:p w:rsidR="00225E2C" w:rsidRPr="00F816FC" w:rsidRDefault="00225E2C" w:rsidP="00497712">
            <w:pPr>
              <w:jc w:val="center"/>
            </w:pPr>
            <w:r w:rsidRPr="00F816FC">
              <w:t>34.6</w:t>
            </w:r>
          </w:p>
        </w:tc>
        <w:tc>
          <w:tcPr>
            <w:tcW w:w="1134" w:type="dxa"/>
            <w:vMerge/>
            <w:tcBorders>
              <w:top w:val="nil"/>
              <w:left w:val="nil"/>
              <w:bottom w:val="nil"/>
              <w:right w:val="nil"/>
            </w:tcBorders>
            <w:vAlign w:val="center"/>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r w:rsidRPr="00F816FC">
              <w:t>Partner in practice</w:t>
            </w:r>
          </w:p>
        </w:tc>
        <w:tc>
          <w:tcPr>
            <w:tcW w:w="1984" w:type="dxa"/>
            <w:tcBorders>
              <w:top w:val="nil"/>
              <w:left w:val="nil"/>
              <w:bottom w:val="nil"/>
              <w:right w:val="nil"/>
            </w:tcBorders>
            <w:vAlign w:val="bottom"/>
          </w:tcPr>
          <w:p w:rsidR="00225E2C" w:rsidRPr="00F816FC" w:rsidRDefault="00225E2C" w:rsidP="00497712">
            <w:pPr>
              <w:jc w:val="center"/>
            </w:pPr>
          </w:p>
        </w:tc>
        <w:tc>
          <w:tcPr>
            <w:tcW w:w="1843" w:type="dxa"/>
            <w:tcBorders>
              <w:top w:val="nil"/>
              <w:left w:val="nil"/>
              <w:bottom w:val="nil"/>
              <w:right w:val="nil"/>
            </w:tcBorders>
            <w:vAlign w:val="bottom"/>
          </w:tcPr>
          <w:p w:rsidR="00225E2C" w:rsidRPr="00F816FC" w:rsidRDefault="00225E2C" w:rsidP="00497712">
            <w:pPr>
              <w:jc w:val="center"/>
            </w:pPr>
          </w:p>
        </w:tc>
        <w:tc>
          <w:tcPr>
            <w:tcW w:w="1559" w:type="dxa"/>
            <w:tcBorders>
              <w:top w:val="nil"/>
              <w:left w:val="nil"/>
              <w:bottom w:val="nil"/>
              <w:right w:val="nil"/>
            </w:tcBorders>
            <w:vAlign w:val="bottom"/>
          </w:tcPr>
          <w:p w:rsidR="00225E2C" w:rsidRPr="00F816FC" w:rsidRDefault="00225E2C" w:rsidP="00497712">
            <w:pPr>
              <w:jc w:val="center"/>
            </w:pPr>
          </w:p>
        </w:tc>
        <w:tc>
          <w:tcPr>
            <w:tcW w:w="1134"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pPr>
              <w:rPr>
                <w:i/>
              </w:rPr>
            </w:pPr>
            <w:r w:rsidRPr="00F816FC">
              <w:rPr>
                <w:i/>
              </w:rPr>
              <w:t>No</w:t>
            </w:r>
          </w:p>
        </w:tc>
        <w:tc>
          <w:tcPr>
            <w:tcW w:w="1984" w:type="dxa"/>
            <w:tcBorders>
              <w:top w:val="nil"/>
              <w:left w:val="nil"/>
              <w:bottom w:val="nil"/>
              <w:right w:val="nil"/>
            </w:tcBorders>
            <w:vAlign w:val="bottom"/>
          </w:tcPr>
          <w:p w:rsidR="00225E2C" w:rsidRPr="00F816FC" w:rsidRDefault="00225E2C" w:rsidP="00497712">
            <w:pPr>
              <w:jc w:val="center"/>
            </w:pPr>
            <w:r w:rsidRPr="00F816FC">
              <w:t>2,368</w:t>
            </w:r>
          </w:p>
        </w:tc>
        <w:tc>
          <w:tcPr>
            <w:tcW w:w="1843" w:type="dxa"/>
            <w:tcBorders>
              <w:top w:val="nil"/>
              <w:left w:val="nil"/>
              <w:bottom w:val="nil"/>
              <w:right w:val="nil"/>
            </w:tcBorders>
            <w:vAlign w:val="bottom"/>
          </w:tcPr>
          <w:p w:rsidR="00225E2C" w:rsidRPr="00F816FC" w:rsidRDefault="00225E2C" w:rsidP="00497712">
            <w:pPr>
              <w:jc w:val="center"/>
            </w:pPr>
            <w:r w:rsidRPr="00F816FC">
              <w:t>853</w:t>
            </w:r>
          </w:p>
        </w:tc>
        <w:tc>
          <w:tcPr>
            <w:tcW w:w="1559" w:type="dxa"/>
            <w:tcBorders>
              <w:top w:val="nil"/>
              <w:left w:val="nil"/>
              <w:bottom w:val="nil"/>
              <w:right w:val="nil"/>
            </w:tcBorders>
            <w:vAlign w:val="bottom"/>
          </w:tcPr>
          <w:p w:rsidR="00225E2C" w:rsidRPr="00F816FC" w:rsidRDefault="00225E2C" w:rsidP="00497712">
            <w:pPr>
              <w:jc w:val="center"/>
            </w:pPr>
            <w:r w:rsidRPr="00F816FC">
              <w:t>36.0</w:t>
            </w:r>
          </w:p>
        </w:tc>
        <w:tc>
          <w:tcPr>
            <w:tcW w:w="1134" w:type="dxa"/>
            <w:vMerge w:val="restart"/>
            <w:tcBorders>
              <w:top w:val="nil"/>
              <w:left w:val="nil"/>
              <w:bottom w:val="nil"/>
              <w:right w:val="nil"/>
            </w:tcBorders>
            <w:vAlign w:val="center"/>
          </w:tcPr>
          <w:p w:rsidR="00225E2C" w:rsidRPr="00F816FC" w:rsidRDefault="00225E2C" w:rsidP="00497712">
            <w:pPr>
              <w:jc w:val="center"/>
            </w:pPr>
            <w:r w:rsidRPr="00F816FC">
              <w:t>0.18</w:t>
            </w:r>
          </w:p>
        </w:tc>
      </w:tr>
      <w:tr w:rsidR="00225E2C" w:rsidRPr="00F816FC" w:rsidTr="009710BF">
        <w:tc>
          <w:tcPr>
            <w:tcW w:w="3794" w:type="dxa"/>
            <w:tcBorders>
              <w:top w:val="nil"/>
              <w:left w:val="nil"/>
              <w:bottom w:val="nil"/>
              <w:right w:val="nil"/>
            </w:tcBorders>
          </w:tcPr>
          <w:p w:rsidR="00225E2C" w:rsidRPr="00F816FC" w:rsidRDefault="00225E2C" w:rsidP="00497712">
            <w:pPr>
              <w:rPr>
                <w:i/>
              </w:rPr>
            </w:pPr>
            <w:r w:rsidRPr="00F816FC">
              <w:rPr>
                <w:i/>
              </w:rPr>
              <w:t>Yes</w:t>
            </w:r>
          </w:p>
        </w:tc>
        <w:tc>
          <w:tcPr>
            <w:tcW w:w="1984" w:type="dxa"/>
            <w:tcBorders>
              <w:top w:val="nil"/>
              <w:left w:val="nil"/>
              <w:bottom w:val="nil"/>
              <w:right w:val="nil"/>
            </w:tcBorders>
            <w:vAlign w:val="bottom"/>
          </w:tcPr>
          <w:p w:rsidR="00225E2C" w:rsidRPr="00F816FC" w:rsidRDefault="00225E2C" w:rsidP="00497712">
            <w:pPr>
              <w:jc w:val="center"/>
            </w:pPr>
            <w:r w:rsidRPr="00F816FC">
              <w:t>5,759</w:t>
            </w:r>
          </w:p>
        </w:tc>
        <w:tc>
          <w:tcPr>
            <w:tcW w:w="1843" w:type="dxa"/>
            <w:tcBorders>
              <w:top w:val="nil"/>
              <w:left w:val="nil"/>
              <w:bottom w:val="nil"/>
              <w:right w:val="nil"/>
            </w:tcBorders>
            <w:vAlign w:val="bottom"/>
          </w:tcPr>
          <w:p w:rsidR="00225E2C" w:rsidRPr="00F816FC" w:rsidRDefault="00225E2C" w:rsidP="00497712">
            <w:pPr>
              <w:jc w:val="center"/>
            </w:pPr>
            <w:r w:rsidRPr="00F816FC">
              <w:t>2,189</w:t>
            </w:r>
          </w:p>
        </w:tc>
        <w:tc>
          <w:tcPr>
            <w:tcW w:w="1559" w:type="dxa"/>
            <w:tcBorders>
              <w:top w:val="nil"/>
              <w:left w:val="nil"/>
              <w:bottom w:val="nil"/>
              <w:right w:val="nil"/>
            </w:tcBorders>
            <w:vAlign w:val="bottom"/>
          </w:tcPr>
          <w:p w:rsidR="00225E2C" w:rsidRPr="00F816FC" w:rsidRDefault="00225E2C" w:rsidP="00497712">
            <w:pPr>
              <w:jc w:val="center"/>
            </w:pPr>
            <w:r w:rsidRPr="00F816FC">
              <w:t>38.0</w:t>
            </w:r>
          </w:p>
        </w:tc>
        <w:tc>
          <w:tcPr>
            <w:tcW w:w="1134" w:type="dxa"/>
            <w:vMerge/>
            <w:tcBorders>
              <w:top w:val="nil"/>
              <w:left w:val="nil"/>
              <w:bottom w:val="nil"/>
              <w:right w:val="nil"/>
            </w:tcBorders>
            <w:vAlign w:val="center"/>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r w:rsidRPr="00F816FC">
              <w:t>Works full-time</w:t>
            </w:r>
          </w:p>
        </w:tc>
        <w:tc>
          <w:tcPr>
            <w:tcW w:w="1984" w:type="dxa"/>
            <w:tcBorders>
              <w:top w:val="nil"/>
              <w:left w:val="nil"/>
              <w:bottom w:val="nil"/>
              <w:right w:val="nil"/>
            </w:tcBorders>
            <w:vAlign w:val="bottom"/>
          </w:tcPr>
          <w:p w:rsidR="00225E2C" w:rsidRPr="00F816FC" w:rsidRDefault="00225E2C" w:rsidP="00497712">
            <w:pPr>
              <w:jc w:val="center"/>
            </w:pPr>
          </w:p>
        </w:tc>
        <w:tc>
          <w:tcPr>
            <w:tcW w:w="1843" w:type="dxa"/>
            <w:tcBorders>
              <w:top w:val="nil"/>
              <w:left w:val="nil"/>
              <w:bottom w:val="nil"/>
              <w:right w:val="nil"/>
            </w:tcBorders>
            <w:vAlign w:val="bottom"/>
          </w:tcPr>
          <w:p w:rsidR="00225E2C" w:rsidRPr="00F816FC" w:rsidRDefault="00225E2C" w:rsidP="00497712">
            <w:pPr>
              <w:jc w:val="center"/>
            </w:pPr>
          </w:p>
        </w:tc>
        <w:tc>
          <w:tcPr>
            <w:tcW w:w="1559" w:type="dxa"/>
            <w:tcBorders>
              <w:top w:val="nil"/>
              <w:left w:val="nil"/>
              <w:bottom w:val="nil"/>
              <w:right w:val="nil"/>
            </w:tcBorders>
            <w:vAlign w:val="bottom"/>
          </w:tcPr>
          <w:p w:rsidR="00225E2C" w:rsidRPr="00F816FC" w:rsidRDefault="00225E2C" w:rsidP="00497712">
            <w:pPr>
              <w:jc w:val="center"/>
            </w:pPr>
          </w:p>
        </w:tc>
        <w:tc>
          <w:tcPr>
            <w:tcW w:w="1134"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794" w:type="dxa"/>
            <w:tcBorders>
              <w:top w:val="nil"/>
              <w:left w:val="nil"/>
              <w:bottom w:val="nil"/>
              <w:right w:val="nil"/>
            </w:tcBorders>
          </w:tcPr>
          <w:p w:rsidR="00225E2C" w:rsidRPr="00F816FC" w:rsidRDefault="00225E2C" w:rsidP="00497712">
            <w:pPr>
              <w:rPr>
                <w:i/>
              </w:rPr>
            </w:pPr>
            <w:r w:rsidRPr="00F816FC">
              <w:rPr>
                <w:i/>
              </w:rPr>
              <w:t>No</w:t>
            </w:r>
          </w:p>
        </w:tc>
        <w:tc>
          <w:tcPr>
            <w:tcW w:w="1984" w:type="dxa"/>
            <w:tcBorders>
              <w:top w:val="nil"/>
              <w:left w:val="nil"/>
              <w:bottom w:val="nil"/>
              <w:right w:val="nil"/>
            </w:tcBorders>
            <w:vAlign w:val="bottom"/>
          </w:tcPr>
          <w:p w:rsidR="00225E2C" w:rsidRPr="00F816FC" w:rsidRDefault="00225E2C" w:rsidP="00497712">
            <w:pPr>
              <w:jc w:val="center"/>
            </w:pPr>
            <w:r w:rsidRPr="00F816FC">
              <w:t>3,065</w:t>
            </w:r>
          </w:p>
        </w:tc>
        <w:tc>
          <w:tcPr>
            <w:tcW w:w="1843" w:type="dxa"/>
            <w:tcBorders>
              <w:top w:val="nil"/>
              <w:left w:val="nil"/>
              <w:bottom w:val="nil"/>
              <w:right w:val="nil"/>
            </w:tcBorders>
            <w:vAlign w:val="bottom"/>
          </w:tcPr>
          <w:p w:rsidR="00225E2C" w:rsidRPr="00F816FC" w:rsidRDefault="00225E2C" w:rsidP="00497712">
            <w:pPr>
              <w:jc w:val="center"/>
            </w:pPr>
            <w:r w:rsidRPr="00F816FC">
              <w:t>1,002</w:t>
            </w:r>
          </w:p>
        </w:tc>
        <w:tc>
          <w:tcPr>
            <w:tcW w:w="1559" w:type="dxa"/>
            <w:tcBorders>
              <w:top w:val="nil"/>
              <w:left w:val="nil"/>
              <w:bottom w:val="nil"/>
              <w:right w:val="nil"/>
            </w:tcBorders>
            <w:vAlign w:val="bottom"/>
          </w:tcPr>
          <w:p w:rsidR="00225E2C" w:rsidRPr="00F816FC" w:rsidRDefault="00225E2C" w:rsidP="00497712">
            <w:pPr>
              <w:jc w:val="center"/>
            </w:pPr>
            <w:r w:rsidRPr="00F816FC">
              <w:t>32.7</w:t>
            </w:r>
          </w:p>
        </w:tc>
        <w:tc>
          <w:tcPr>
            <w:tcW w:w="1134" w:type="dxa"/>
            <w:vMerge w:val="restart"/>
            <w:tcBorders>
              <w:top w:val="nil"/>
              <w:left w:val="nil"/>
              <w:bottom w:val="nil"/>
              <w:right w:val="nil"/>
            </w:tcBorders>
            <w:vAlign w:val="center"/>
          </w:tcPr>
          <w:p w:rsidR="00225E2C" w:rsidRPr="00F816FC" w:rsidRDefault="00225E2C" w:rsidP="00497712">
            <w:pPr>
              <w:jc w:val="center"/>
            </w:pPr>
            <w:r w:rsidRPr="00F816FC">
              <w:t>&lt;0.001</w:t>
            </w:r>
          </w:p>
        </w:tc>
      </w:tr>
      <w:tr w:rsidR="00225E2C" w:rsidRPr="00F816FC" w:rsidTr="009710BF">
        <w:tc>
          <w:tcPr>
            <w:tcW w:w="3794" w:type="dxa"/>
            <w:tcBorders>
              <w:top w:val="nil"/>
              <w:left w:val="nil"/>
              <w:right w:val="nil"/>
            </w:tcBorders>
          </w:tcPr>
          <w:p w:rsidR="00225E2C" w:rsidRPr="00F816FC" w:rsidRDefault="00225E2C" w:rsidP="00497712">
            <w:pPr>
              <w:rPr>
                <w:i/>
              </w:rPr>
            </w:pPr>
            <w:r w:rsidRPr="00F816FC">
              <w:rPr>
                <w:i/>
              </w:rPr>
              <w:t>Yes</w:t>
            </w:r>
          </w:p>
        </w:tc>
        <w:tc>
          <w:tcPr>
            <w:tcW w:w="1984" w:type="dxa"/>
            <w:tcBorders>
              <w:top w:val="nil"/>
              <w:left w:val="nil"/>
              <w:right w:val="nil"/>
            </w:tcBorders>
            <w:vAlign w:val="bottom"/>
          </w:tcPr>
          <w:p w:rsidR="00225E2C" w:rsidRPr="00F816FC" w:rsidRDefault="00225E2C" w:rsidP="00497712">
            <w:pPr>
              <w:jc w:val="center"/>
            </w:pPr>
            <w:r w:rsidRPr="00F816FC">
              <w:t>5,058</w:t>
            </w:r>
          </w:p>
        </w:tc>
        <w:tc>
          <w:tcPr>
            <w:tcW w:w="1843" w:type="dxa"/>
            <w:tcBorders>
              <w:top w:val="nil"/>
              <w:left w:val="nil"/>
              <w:right w:val="nil"/>
            </w:tcBorders>
            <w:vAlign w:val="bottom"/>
          </w:tcPr>
          <w:p w:rsidR="00225E2C" w:rsidRPr="00F816FC" w:rsidRDefault="00225E2C" w:rsidP="00497712">
            <w:pPr>
              <w:jc w:val="center"/>
            </w:pPr>
            <w:r w:rsidRPr="00F816FC">
              <w:t>2,040</w:t>
            </w:r>
          </w:p>
        </w:tc>
        <w:tc>
          <w:tcPr>
            <w:tcW w:w="1559" w:type="dxa"/>
            <w:tcBorders>
              <w:top w:val="nil"/>
              <w:left w:val="nil"/>
              <w:right w:val="nil"/>
            </w:tcBorders>
            <w:vAlign w:val="bottom"/>
          </w:tcPr>
          <w:p w:rsidR="00225E2C" w:rsidRPr="00F816FC" w:rsidRDefault="00225E2C" w:rsidP="00497712">
            <w:pPr>
              <w:jc w:val="center"/>
            </w:pPr>
            <w:r w:rsidRPr="00F816FC">
              <w:t>40.3</w:t>
            </w:r>
          </w:p>
        </w:tc>
        <w:tc>
          <w:tcPr>
            <w:tcW w:w="1134" w:type="dxa"/>
            <w:vMerge/>
            <w:tcBorders>
              <w:top w:val="nil"/>
              <w:left w:val="nil"/>
              <w:right w:val="nil"/>
            </w:tcBorders>
            <w:vAlign w:val="bottom"/>
          </w:tcPr>
          <w:p w:rsidR="00225E2C" w:rsidRPr="00F816FC" w:rsidRDefault="00225E2C" w:rsidP="00497712">
            <w:pPr>
              <w:jc w:val="center"/>
            </w:pPr>
          </w:p>
        </w:tc>
      </w:tr>
    </w:tbl>
    <w:p w:rsidR="00225E2C" w:rsidRPr="00F816FC" w:rsidRDefault="00225E2C" w:rsidP="00225E2C"/>
    <w:p w:rsidR="00C25815" w:rsidRPr="00F816FC" w:rsidRDefault="00C25815"/>
    <w:p w:rsidR="00C25815" w:rsidRPr="00F816FC" w:rsidRDefault="00C25815"/>
    <w:p w:rsidR="00C25815" w:rsidRPr="00F816FC" w:rsidRDefault="00C25815"/>
    <w:p w:rsidR="0034565B" w:rsidRPr="00F816FC" w:rsidRDefault="0034565B">
      <w:pPr>
        <w:sectPr w:rsidR="0034565B" w:rsidRPr="00F816FC" w:rsidSect="0034565B">
          <w:headerReference w:type="default" r:id="rId8"/>
          <w:footerReference w:type="default" r:id="rId9"/>
          <w:pgSz w:w="11906" w:h="16838"/>
          <w:pgMar w:top="737" w:right="1440" w:bottom="737" w:left="1440" w:header="708" w:footer="708" w:gutter="0"/>
          <w:cols w:space="708"/>
          <w:docGrid w:linePitch="360"/>
        </w:sectPr>
      </w:pPr>
    </w:p>
    <w:p w:rsidR="00C25815" w:rsidRPr="00F816FC" w:rsidRDefault="006823F4">
      <w:pPr>
        <w:rPr>
          <w:b/>
        </w:rPr>
      </w:pPr>
      <w:r w:rsidRPr="00F816FC">
        <w:rPr>
          <w:b/>
        </w:rPr>
        <w:lastRenderedPageBreak/>
        <w:t>Table 3:</w:t>
      </w:r>
      <w:r w:rsidR="00790B93" w:rsidRPr="00F816FC">
        <w:rPr>
          <w:b/>
        </w:rPr>
        <w:t xml:space="preserve"> </w:t>
      </w:r>
      <w:r w:rsidR="00137F37" w:rsidRPr="00F816FC">
        <w:rPr>
          <w:b/>
        </w:rPr>
        <w:t xml:space="preserve">Fit note, patient, GP and general practice factors independently associated with risk of </w:t>
      </w:r>
      <w:r w:rsidR="002002E4" w:rsidRPr="00F816FC">
        <w:rPr>
          <w:b/>
        </w:rPr>
        <w:t>the issue of</w:t>
      </w:r>
      <w:r w:rsidR="00137F37" w:rsidRPr="00F816FC">
        <w:rPr>
          <w:b/>
        </w:rPr>
        <w:t xml:space="preserve"> a long-term (&gt; 4 week) fit note for depression.</w:t>
      </w:r>
    </w:p>
    <w:p w:rsidR="00137F37" w:rsidRPr="00F816FC" w:rsidRDefault="00137F37"/>
    <w:tbl>
      <w:tblPr>
        <w:tblStyle w:val="TableGrid"/>
        <w:tblW w:w="9747" w:type="dxa"/>
        <w:tblLook w:val="04A0" w:firstRow="1" w:lastRow="0" w:firstColumn="1" w:lastColumn="0" w:noHBand="0" w:noVBand="1"/>
      </w:tblPr>
      <w:tblGrid>
        <w:gridCol w:w="3407"/>
        <w:gridCol w:w="2371"/>
        <w:gridCol w:w="2552"/>
        <w:gridCol w:w="1417"/>
      </w:tblGrid>
      <w:tr w:rsidR="00225E2C" w:rsidRPr="00F816FC" w:rsidTr="009710BF">
        <w:trPr>
          <w:tblHeader/>
        </w:trPr>
        <w:tc>
          <w:tcPr>
            <w:tcW w:w="3407" w:type="dxa"/>
            <w:tcBorders>
              <w:left w:val="nil"/>
              <w:bottom w:val="single" w:sz="4" w:space="0" w:color="auto"/>
              <w:right w:val="nil"/>
            </w:tcBorders>
          </w:tcPr>
          <w:p w:rsidR="00225E2C" w:rsidRPr="00F816FC" w:rsidRDefault="00225E2C" w:rsidP="00497712"/>
        </w:tc>
        <w:tc>
          <w:tcPr>
            <w:tcW w:w="2371" w:type="dxa"/>
            <w:tcBorders>
              <w:left w:val="nil"/>
              <w:bottom w:val="single" w:sz="4" w:space="0" w:color="auto"/>
              <w:right w:val="nil"/>
            </w:tcBorders>
            <w:vAlign w:val="bottom"/>
          </w:tcPr>
          <w:p w:rsidR="00225E2C" w:rsidRPr="00F816FC" w:rsidRDefault="00225E2C" w:rsidP="00497712">
            <w:pPr>
              <w:jc w:val="center"/>
              <w:rPr>
                <w:b/>
              </w:rPr>
            </w:pPr>
            <w:r w:rsidRPr="00F816FC">
              <w:rPr>
                <w:b/>
              </w:rPr>
              <w:t>Odds Ratio</w:t>
            </w:r>
          </w:p>
        </w:tc>
        <w:tc>
          <w:tcPr>
            <w:tcW w:w="2552" w:type="dxa"/>
            <w:tcBorders>
              <w:left w:val="nil"/>
              <w:bottom w:val="single" w:sz="4" w:space="0" w:color="auto"/>
              <w:right w:val="nil"/>
            </w:tcBorders>
            <w:vAlign w:val="bottom"/>
          </w:tcPr>
          <w:p w:rsidR="00225E2C" w:rsidRPr="00F816FC" w:rsidRDefault="00225E2C" w:rsidP="00497712">
            <w:pPr>
              <w:jc w:val="center"/>
              <w:rPr>
                <w:b/>
              </w:rPr>
            </w:pPr>
            <w:r w:rsidRPr="00F816FC">
              <w:rPr>
                <w:b/>
              </w:rPr>
              <w:t>95% CI</w:t>
            </w:r>
          </w:p>
        </w:tc>
        <w:tc>
          <w:tcPr>
            <w:tcW w:w="1417" w:type="dxa"/>
            <w:tcBorders>
              <w:left w:val="nil"/>
              <w:bottom w:val="single" w:sz="4" w:space="0" w:color="auto"/>
              <w:right w:val="nil"/>
            </w:tcBorders>
            <w:vAlign w:val="bottom"/>
          </w:tcPr>
          <w:p w:rsidR="00225E2C" w:rsidRPr="00F816FC" w:rsidRDefault="0034565B" w:rsidP="00497712">
            <w:pPr>
              <w:jc w:val="center"/>
              <w:rPr>
                <w:b/>
              </w:rPr>
            </w:pPr>
            <w:r w:rsidRPr="00F816FC">
              <w:rPr>
                <w:b/>
              </w:rPr>
              <w:t>P</w:t>
            </w:r>
          </w:p>
        </w:tc>
      </w:tr>
      <w:tr w:rsidR="00225E2C" w:rsidRPr="00F816FC" w:rsidTr="009710BF">
        <w:tc>
          <w:tcPr>
            <w:tcW w:w="3407" w:type="dxa"/>
            <w:tcBorders>
              <w:left w:val="nil"/>
              <w:bottom w:val="nil"/>
              <w:right w:val="nil"/>
            </w:tcBorders>
          </w:tcPr>
          <w:p w:rsidR="00225E2C" w:rsidRPr="00F816FC" w:rsidRDefault="00225E2C" w:rsidP="00497712">
            <w:pPr>
              <w:rPr>
                <w:b/>
              </w:rPr>
            </w:pPr>
            <w:r w:rsidRPr="00F816FC">
              <w:rPr>
                <w:b/>
              </w:rPr>
              <w:t>The</w:t>
            </w:r>
            <w:r w:rsidR="00473A92" w:rsidRPr="00F816FC">
              <w:rPr>
                <w:b/>
              </w:rPr>
              <w:t xml:space="preserve"> depression</w:t>
            </w:r>
            <w:r w:rsidRPr="00F816FC">
              <w:rPr>
                <w:b/>
              </w:rPr>
              <w:t xml:space="preserve"> fit note</w:t>
            </w:r>
          </w:p>
        </w:tc>
        <w:tc>
          <w:tcPr>
            <w:tcW w:w="2371" w:type="dxa"/>
            <w:tcBorders>
              <w:left w:val="nil"/>
              <w:bottom w:val="nil"/>
              <w:right w:val="nil"/>
            </w:tcBorders>
            <w:vAlign w:val="bottom"/>
          </w:tcPr>
          <w:p w:rsidR="00225E2C" w:rsidRPr="00F816FC" w:rsidRDefault="00225E2C" w:rsidP="00497712">
            <w:pPr>
              <w:jc w:val="center"/>
            </w:pPr>
          </w:p>
        </w:tc>
        <w:tc>
          <w:tcPr>
            <w:tcW w:w="2552" w:type="dxa"/>
            <w:tcBorders>
              <w:left w:val="nil"/>
              <w:bottom w:val="nil"/>
              <w:right w:val="nil"/>
            </w:tcBorders>
            <w:vAlign w:val="bottom"/>
          </w:tcPr>
          <w:p w:rsidR="00225E2C" w:rsidRPr="00F816FC" w:rsidRDefault="00225E2C" w:rsidP="00497712">
            <w:pPr>
              <w:jc w:val="center"/>
            </w:pPr>
          </w:p>
        </w:tc>
        <w:tc>
          <w:tcPr>
            <w:tcW w:w="1417" w:type="dxa"/>
            <w:tcBorders>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r w:rsidRPr="00F816FC">
              <w:t>Number of previous fit notes issued for depression:</w:t>
            </w:r>
          </w:p>
        </w:tc>
        <w:tc>
          <w:tcPr>
            <w:tcW w:w="2371" w:type="dxa"/>
            <w:tcBorders>
              <w:top w:val="nil"/>
              <w:left w:val="nil"/>
              <w:bottom w:val="nil"/>
              <w:right w:val="nil"/>
            </w:tcBorders>
            <w:vAlign w:val="bottom"/>
          </w:tcPr>
          <w:p w:rsidR="00225E2C" w:rsidRPr="00F816FC" w:rsidRDefault="00225E2C" w:rsidP="00497712">
            <w:pPr>
              <w:jc w:val="center"/>
            </w:pP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None</w:t>
            </w:r>
            <w:r w:rsidR="005D32A7" w:rsidRPr="00F816FC">
              <w:rPr>
                <w:i/>
              </w:rPr>
              <w:t xml:space="preserve"> (first issued to patient)</w:t>
            </w:r>
          </w:p>
        </w:tc>
        <w:tc>
          <w:tcPr>
            <w:tcW w:w="2371" w:type="dxa"/>
            <w:tcBorders>
              <w:top w:val="nil"/>
              <w:left w:val="nil"/>
              <w:bottom w:val="nil"/>
              <w:right w:val="nil"/>
            </w:tcBorders>
            <w:vAlign w:val="bottom"/>
          </w:tcPr>
          <w:p w:rsidR="00225E2C" w:rsidRPr="00F816FC" w:rsidRDefault="0034565B" w:rsidP="00497712">
            <w:pPr>
              <w:jc w:val="center"/>
            </w:pPr>
            <w:r w:rsidRPr="00F816FC">
              <w:t>1.00</w:t>
            </w: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One</w:t>
            </w:r>
          </w:p>
        </w:tc>
        <w:tc>
          <w:tcPr>
            <w:tcW w:w="2371" w:type="dxa"/>
            <w:tcBorders>
              <w:top w:val="nil"/>
              <w:left w:val="nil"/>
              <w:bottom w:val="nil"/>
              <w:right w:val="nil"/>
            </w:tcBorders>
            <w:vAlign w:val="bottom"/>
          </w:tcPr>
          <w:p w:rsidR="00225E2C" w:rsidRPr="00F816FC" w:rsidRDefault="00650B97" w:rsidP="00497712">
            <w:pPr>
              <w:jc w:val="center"/>
            </w:pPr>
            <w:r w:rsidRPr="00F816FC">
              <w:t>1.21</w:t>
            </w:r>
          </w:p>
        </w:tc>
        <w:tc>
          <w:tcPr>
            <w:tcW w:w="2552" w:type="dxa"/>
            <w:tcBorders>
              <w:top w:val="nil"/>
              <w:left w:val="nil"/>
              <w:bottom w:val="nil"/>
              <w:right w:val="nil"/>
            </w:tcBorders>
            <w:vAlign w:val="bottom"/>
          </w:tcPr>
          <w:p w:rsidR="00225E2C" w:rsidRPr="00F816FC" w:rsidRDefault="00650B97" w:rsidP="00497712">
            <w:pPr>
              <w:jc w:val="center"/>
            </w:pPr>
            <w:r w:rsidRPr="00F816FC">
              <w:t>0.94-1.56</w:t>
            </w:r>
          </w:p>
        </w:tc>
        <w:tc>
          <w:tcPr>
            <w:tcW w:w="1417" w:type="dxa"/>
            <w:tcBorders>
              <w:top w:val="nil"/>
              <w:left w:val="nil"/>
              <w:bottom w:val="nil"/>
              <w:right w:val="nil"/>
            </w:tcBorders>
            <w:vAlign w:val="bottom"/>
          </w:tcPr>
          <w:p w:rsidR="00225E2C" w:rsidRPr="00F816FC" w:rsidRDefault="00650B97" w:rsidP="00497712">
            <w:pPr>
              <w:jc w:val="center"/>
            </w:pPr>
            <w:r w:rsidRPr="00F816FC">
              <w:t>0.15</w:t>
            </w: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Two</w:t>
            </w:r>
          </w:p>
        </w:tc>
        <w:tc>
          <w:tcPr>
            <w:tcW w:w="2371" w:type="dxa"/>
            <w:tcBorders>
              <w:top w:val="nil"/>
              <w:left w:val="nil"/>
              <w:bottom w:val="nil"/>
              <w:right w:val="nil"/>
            </w:tcBorders>
            <w:vAlign w:val="bottom"/>
          </w:tcPr>
          <w:p w:rsidR="00225E2C" w:rsidRPr="00F816FC" w:rsidRDefault="00650B97" w:rsidP="00497712">
            <w:pPr>
              <w:jc w:val="center"/>
            </w:pPr>
            <w:r w:rsidRPr="00F816FC">
              <w:t>1.41</w:t>
            </w:r>
          </w:p>
        </w:tc>
        <w:tc>
          <w:tcPr>
            <w:tcW w:w="2552" w:type="dxa"/>
            <w:tcBorders>
              <w:top w:val="nil"/>
              <w:left w:val="nil"/>
              <w:bottom w:val="nil"/>
              <w:right w:val="nil"/>
            </w:tcBorders>
            <w:vAlign w:val="bottom"/>
          </w:tcPr>
          <w:p w:rsidR="00225E2C" w:rsidRPr="00F816FC" w:rsidRDefault="00650B97" w:rsidP="00497712">
            <w:pPr>
              <w:jc w:val="center"/>
            </w:pPr>
            <w:r w:rsidRPr="00F816FC">
              <w:t>1.03-1.92</w:t>
            </w:r>
          </w:p>
        </w:tc>
        <w:tc>
          <w:tcPr>
            <w:tcW w:w="1417" w:type="dxa"/>
            <w:tcBorders>
              <w:top w:val="nil"/>
              <w:left w:val="nil"/>
              <w:bottom w:val="nil"/>
              <w:right w:val="nil"/>
            </w:tcBorders>
            <w:vAlign w:val="bottom"/>
          </w:tcPr>
          <w:p w:rsidR="00225E2C" w:rsidRPr="00F816FC" w:rsidRDefault="00650B97" w:rsidP="00497712">
            <w:pPr>
              <w:jc w:val="center"/>
            </w:pPr>
            <w:r w:rsidRPr="00F816FC">
              <w:t>0.03</w:t>
            </w: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More than two</w:t>
            </w:r>
          </w:p>
        </w:tc>
        <w:tc>
          <w:tcPr>
            <w:tcW w:w="2371" w:type="dxa"/>
            <w:tcBorders>
              <w:top w:val="nil"/>
              <w:left w:val="nil"/>
              <w:bottom w:val="nil"/>
              <w:right w:val="nil"/>
            </w:tcBorders>
            <w:vAlign w:val="bottom"/>
          </w:tcPr>
          <w:p w:rsidR="00225E2C" w:rsidRPr="00F816FC" w:rsidRDefault="00650B97" w:rsidP="00497712">
            <w:pPr>
              <w:jc w:val="center"/>
            </w:pPr>
            <w:r w:rsidRPr="00F816FC">
              <w:t>2.85</w:t>
            </w:r>
          </w:p>
        </w:tc>
        <w:tc>
          <w:tcPr>
            <w:tcW w:w="2552" w:type="dxa"/>
            <w:tcBorders>
              <w:top w:val="nil"/>
              <w:left w:val="nil"/>
              <w:bottom w:val="nil"/>
              <w:right w:val="nil"/>
            </w:tcBorders>
            <w:vAlign w:val="bottom"/>
          </w:tcPr>
          <w:p w:rsidR="00225E2C" w:rsidRPr="00F816FC" w:rsidRDefault="00650B97" w:rsidP="00497712">
            <w:pPr>
              <w:jc w:val="center"/>
            </w:pPr>
            <w:r w:rsidRPr="00F816FC">
              <w:t>2.06-3.93</w:t>
            </w:r>
          </w:p>
        </w:tc>
        <w:tc>
          <w:tcPr>
            <w:tcW w:w="1417" w:type="dxa"/>
            <w:tcBorders>
              <w:top w:val="nil"/>
              <w:left w:val="nil"/>
              <w:bottom w:val="nil"/>
              <w:right w:val="nil"/>
            </w:tcBorders>
            <w:vAlign w:val="bottom"/>
          </w:tcPr>
          <w:p w:rsidR="00225E2C" w:rsidRPr="00F816FC" w:rsidRDefault="00650B97" w:rsidP="00497712">
            <w:pPr>
              <w:jc w:val="center"/>
            </w:pPr>
            <w:r w:rsidRPr="00F816FC">
              <w:t>&lt;0.001</w:t>
            </w:r>
          </w:p>
        </w:tc>
      </w:tr>
      <w:tr w:rsidR="00225E2C" w:rsidRPr="00F816FC" w:rsidTr="009710BF">
        <w:tc>
          <w:tcPr>
            <w:tcW w:w="3407" w:type="dxa"/>
            <w:tcBorders>
              <w:top w:val="nil"/>
              <w:left w:val="nil"/>
              <w:bottom w:val="nil"/>
              <w:right w:val="nil"/>
            </w:tcBorders>
          </w:tcPr>
          <w:p w:rsidR="00225E2C" w:rsidRPr="00F816FC" w:rsidRDefault="00225E2C" w:rsidP="00497712">
            <w:r w:rsidRPr="00F816FC">
              <w:t>Preceded by a fit note issued for another mental disorder:</w:t>
            </w:r>
          </w:p>
        </w:tc>
        <w:tc>
          <w:tcPr>
            <w:tcW w:w="2371" w:type="dxa"/>
            <w:tcBorders>
              <w:top w:val="nil"/>
              <w:left w:val="nil"/>
              <w:bottom w:val="nil"/>
              <w:right w:val="nil"/>
            </w:tcBorders>
            <w:vAlign w:val="bottom"/>
          </w:tcPr>
          <w:p w:rsidR="00225E2C" w:rsidRPr="00F816FC" w:rsidRDefault="00225E2C" w:rsidP="00497712">
            <w:pPr>
              <w:jc w:val="center"/>
            </w:pP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No</w:t>
            </w:r>
          </w:p>
        </w:tc>
        <w:tc>
          <w:tcPr>
            <w:tcW w:w="2371" w:type="dxa"/>
            <w:tcBorders>
              <w:top w:val="nil"/>
              <w:left w:val="nil"/>
              <w:bottom w:val="nil"/>
              <w:right w:val="nil"/>
            </w:tcBorders>
            <w:vAlign w:val="bottom"/>
          </w:tcPr>
          <w:p w:rsidR="00225E2C" w:rsidRPr="00F816FC" w:rsidRDefault="0034565B" w:rsidP="00497712">
            <w:pPr>
              <w:jc w:val="center"/>
            </w:pPr>
            <w:r w:rsidRPr="00F816FC">
              <w:t>1.00</w:t>
            </w: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Yes</w:t>
            </w:r>
          </w:p>
        </w:tc>
        <w:tc>
          <w:tcPr>
            <w:tcW w:w="2371" w:type="dxa"/>
            <w:tcBorders>
              <w:top w:val="nil"/>
              <w:left w:val="nil"/>
              <w:bottom w:val="nil"/>
              <w:right w:val="nil"/>
            </w:tcBorders>
            <w:vAlign w:val="bottom"/>
          </w:tcPr>
          <w:p w:rsidR="00225E2C" w:rsidRPr="00F816FC" w:rsidRDefault="00650B97" w:rsidP="00497712">
            <w:pPr>
              <w:jc w:val="center"/>
            </w:pPr>
            <w:r w:rsidRPr="00F816FC">
              <w:t>0.87</w:t>
            </w:r>
          </w:p>
        </w:tc>
        <w:tc>
          <w:tcPr>
            <w:tcW w:w="2552" w:type="dxa"/>
            <w:tcBorders>
              <w:top w:val="nil"/>
              <w:left w:val="nil"/>
              <w:bottom w:val="nil"/>
              <w:right w:val="nil"/>
            </w:tcBorders>
            <w:vAlign w:val="bottom"/>
          </w:tcPr>
          <w:p w:rsidR="00225E2C" w:rsidRPr="00F816FC" w:rsidRDefault="00650B97" w:rsidP="00497712">
            <w:pPr>
              <w:jc w:val="center"/>
            </w:pPr>
            <w:r w:rsidRPr="00F816FC">
              <w:t>0.64-1.17</w:t>
            </w:r>
          </w:p>
        </w:tc>
        <w:tc>
          <w:tcPr>
            <w:tcW w:w="1417" w:type="dxa"/>
            <w:tcBorders>
              <w:top w:val="nil"/>
              <w:left w:val="nil"/>
              <w:bottom w:val="nil"/>
              <w:right w:val="nil"/>
            </w:tcBorders>
            <w:vAlign w:val="bottom"/>
          </w:tcPr>
          <w:p w:rsidR="00225E2C" w:rsidRPr="00F816FC" w:rsidRDefault="00650B97" w:rsidP="00497712">
            <w:pPr>
              <w:jc w:val="center"/>
            </w:pPr>
            <w:r w:rsidRPr="00F816FC">
              <w:t>0.36</w:t>
            </w:r>
          </w:p>
        </w:tc>
      </w:tr>
      <w:tr w:rsidR="00225E2C" w:rsidRPr="00F816FC" w:rsidTr="009710BF">
        <w:tc>
          <w:tcPr>
            <w:tcW w:w="3407" w:type="dxa"/>
            <w:tcBorders>
              <w:top w:val="nil"/>
              <w:left w:val="nil"/>
              <w:bottom w:val="nil"/>
              <w:right w:val="nil"/>
            </w:tcBorders>
          </w:tcPr>
          <w:p w:rsidR="00225E2C" w:rsidRPr="00F816FC" w:rsidRDefault="00225E2C" w:rsidP="00497712">
            <w:r w:rsidRPr="00F816FC">
              <w:t>Preceded by a fit note issued for a physical health problem:</w:t>
            </w:r>
          </w:p>
        </w:tc>
        <w:tc>
          <w:tcPr>
            <w:tcW w:w="2371" w:type="dxa"/>
            <w:tcBorders>
              <w:top w:val="nil"/>
              <w:left w:val="nil"/>
              <w:bottom w:val="nil"/>
              <w:right w:val="nil"/>
            </w:tcBorders>
            <w:vAlign w:val="bottom"/>
          </w:tcPr>
          <w:p w:rsidR="00225E2C" w:rsidRPr="00F816FC" w:rsidRDefault="00225E2C" w:rsidP="00497712">
            <w:pPr>
              <w:jc w:val="center"/>
            </w:pP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No</w:t>
            </w:r>
          </w:p>
        </w:tc>
        <w:tc>
          <w:tcPr>
            <w:tcW w:w="2371" w:type="dxa"/>
            <w:tcBorders>
              <w:top w:val="nil"/>
              <w:left w:val="nil"/>
              <w:bottom w:val="nil"/>
              <w:right w:val="nil"/>
            </w:tcBorders>
            <w:vAlign w:val="bottom"/>
          </w:tcPr>
          <w:p w:rsidR="00225E2C" w:rsidRPr="00F816FC" w:rsidRDefault="0034565B" w:rsidP="00497712">
            <w:pPr>
              <w:jc w:val="center"/>
            </w:pPr>
            <w:r w:rsidRPr="00F816FC">
              <w:t>1.00</w:t>
            </w: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Yes</w:t>
            </w:r>
          </w:p>
        </w:tc>
        <w:tc>
          <w:tcPr>
            <w:tcW w:w="2371" w:type="dxa"/>
            <w:tcBorders>
              <w:top w:val="nil"/>
              <w:left w:val="nil"/>
              <w:bottom w:val="nil"/>
              <w:right w:val="nil"/>
            </w:tcBorders>
            <w:vAlign w:val="bottom"/>
          </w:tcPr>
          <w:p w:rsidR="00225E2C" w:rsidRPr="00F816FC" w:rsidRDefault="00650B97" w:rsidP="00497712">
            <w:pPr>
              <w:jc w:val="center"/>
            </w:pPr>
            <w:r w:rsidRPr="00F816FC">
              <w:t>0.77</w:t>
            </w:r>
          </w:p>
        </w:tc>
        <w:tc>
          <w:tcPr>
            <w:tcW w:w="2552" w:type="dxa"/>
            <w:tcBorders>
              <w:top w:val="nil"/>
              <w:left w:val="nil"/>
              <w:bottom w:val="nil"/>
              <w:right w:val="nil"/>
            </w:tcBorders>
            <w:vAlign w:val="bottom"/>
          </w:tcPr>
          <w:p w:rsidR="00225E2C" w:rsidRPr="00F816FC" w:rsidRDefault="00650B97" w:rsidP="00497712">
            <w:pPr>
              <w:jc w:val="center"/>
            </w:pPr>
            <w:r w:rsidRPr="00F816FC">
              <w:t>0.54-1.09</w:t>
            </w:r>
          </w:p>
        </w:tc>
        <w:tc>
          <w:tcPr>
            <w:tcW w:w="1417" w:type="dxa"/>
            <w:tcBorders>
              <w:top w:val="nil"/>
              <w:left w:val="nil"/>
              <w:bottom w:val="nil"/>
              <w:right w:val="nil"/>
            </w:tcBorders>
            <w:vAlign w:val="bottom"/>
          </w:tcPr>
          <w:p w:rsidR="00225E2C" w:rsidRPr="00F816FC" w:rsidRDefault="00650B97" w:rsidP="00497712">
            <w:pPr>
              <w:jc w:val="center"/>
            </w:pPr>
            <w:r w:rsidRPr="00F816FC">
              <w:t>0.14</w:t>
            </w:r>
          </w:p>
        </w:tc>
      </w:tr>
      <w:tr w:rsidR="00225E2C" w:rsidRPr="00F816FC" w:rsidTr="009710BF">
        <w:tc>
          <w:tcPr>
            <w:tcW w:w="3407" w:type="dxa"/>
            <w:tcBorders>
              <w:top w:val="nil"/>
              <w:left w:val="nil"/>
              <w:bottom w:val="nil"/>
              <w:right w:val="nil"/>
            </w:tcBorders>
          </w:tcPr>
          <w:p w:rsidR="00225E2C" w:rsidRPr="00F816FC" w:rsidRDefault="00225E2C" w:rsidP="00497712">
            <w:r w:rsidRPr="00F816FC">
              <w:t>Fit note includes ‘may be fit’ advice:</w:t>
            </w:r>
          </w:p>
        </w:tc>
        <w:tc>
          <w:tcPr>
            <w:tcW w:w="2371" w:type="dxa"/>
            <w:tcBorders>
              <w:top w:val="nil"/>
              <w:left w:val="nil"/>
              <w:bottom w:val="nil"/>
              <w:right w:val="nil"/>
            </w:tcBorders>
            <w:vAlign w:val="bottom"/>
          </w:tcPr>
          <w:p w:rsidR="00225E2C" w:rsidRPr="00F816FC" w:rsidRDefault="00225E2C" w:rsidP="00497712">
            <w:pPr>
              <w:jc w:val="center"/>
            </w:pP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No</w:t>
            </w:r>
          </w:p>
        </w:tc>
        <w:tc>
          <w:tcPr>
            <w:tcW w:w="2371" w:type="dxa"/>
            <w:tcBorders>
              <w:top w:val="nil"/>
              <w:left w:val="nil"/>
              <w:bottom w:val="nil"/>
              <w:right w:val="nil"/>
            </w:tcBorders>
            <w:vAlign w:val="bottom"/>
          </w:tcPr>
          <w:p w:rsidR="00225E2C" w:rsidRPr="00F816FC" w:rsidRDefault="0034565B" w:rsidP="00497712">
            <w:pPr>
              <w:jc w:val="center"/>
            </w:pPr>
            <w:r w:rsidRPr="00F816FC">
              <w:t>1.00</w:t>
            </w: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Yes</w:t>
            </w:r>
          </w:p>
        </w:tc>
        <w:tc>
          <w:tcPr>
            <w:tcW w:w="2371" w:type="dxa"/>
            <w:tcBorders>
              <w:top w:val="nil"/>
              <w:left w:val="nil"/>
              <w:bottom w:val="nil"/>
              <w:right w:val="nil"/>
            </w:tcBorders>
            <w:vAlign w:val="bottom"/>
          </w:tcPr>
          <w:p w:rsidR="00225E2C" w:rsidRPr="00F816FC" w:rsidRDefault="00650B97" w:rsidP="00497712">
            <w:pPr>
              <w:jc w:val="center"/>
            </w:pPr>
            <w:r w:rsidRPr="00F816FC">
              <w:t>0.28</w:t>
            </w:r>
          </w:p>
        </w:tc>
        <w:tc>
          <w:tcPr>
            <w:tcW w:w="2552" w:type="dxa"/>
            <w:tcBorders>
              <w:top w:val="nil"/>
              <w:left w:val="nil"/>
              <w:bottom w:val="nil"/>
              <w:right w:val="nil"/>
            </w:tcBorders>
            <w:vAlign w:val="bottom"/>
          </w:tcPr>
          <w:p w:rsidR="00225E2C" w:rsidRPr="00F816FC" w:rsidRDefault="00650B97" w:rsidP="00497712">
            <w:pPr>
              <w:jc w:val="center"/>
            </w:pPr>
            <w:r w:rsidRPr="00F816FC">
              <w:t>0.14-0.56</w:t>
            </w:r>
          </w:p>
        </w:tc>
        <w:tc>
          <w:tcPr>
            <w:tcW w:w="1417" w:type="dxa"/>
            <w:tcBorders>
              <w:top w:val="nil"/>
              <w:left w:val="nil"/>
              <w:bottom w:val="nil"/>
              <w:right w:val="nil"/>
            </w:tcBorders>
            <w:vAlign w:val="bottom"/>
          </w:tcPr>
          <w:p w:rsidR="00225E2C" w:rsidRPr="00F816FC" w:rsidRDefault="00650B97" w:rsidP="00497712">
            <w:pPr>
              <w:jc w:val="center"/>
            </w:pPr>
            <w:r w:rsidRPr="00F816FC">
              <w:t>&lt;0.001</w:t>
            </w:r>
          </w:p>
        </w:tc>
      </w:tr>
      <w:tr w:rsidR="00225E2C" w:rsidRPr="00F816FC" w:rsidTr="009710BF">
        <w:tc>
          <w:tcPr>
            <w:tcW w:w="3407" w:type="dxa"/>
            <w:tcBorders>
              <w:top w:val="nil"/>
              <w:left w:val="nil"/>
              <w:bottom w:val="nil"/>
              <w:right w:val="nil"/>
            </w:tcBorders>
          </w:tcPr>
          <w:p w:rsidR="00225E2C" w:rsidRPr="00F816FC" w:rsidRDefault="00225E2C" w:rsidP="00497712">
            <w:pPr>
              <w:rPr>
                <w:b/>
              </w:rPr>
            </w:pPr>
            <w:r w:rsidRPr="00F816FC">
              <w:rPr>
                <w:b/>
              </w:rPr>
              <w:t>The patient</w:t>
            </w:r>
          </w:p>
        </w:tc>
        <w:tc>
          <w:tcPr>
            <w:tcW w:w="2371" w:type="dxa"/>
            <w:tcBorders>
              <w:top w:val="nil"/>
              <w:left w:val="nil"/>
              <w:bottom w:val="nil"/>
              <w:right w:val="nil"/>
            </w:tcBorders>
            <w:vAlign w:val="bottom"/>
          </w:tcPr>
          <w:p w:rsidR="00225E2C" w:rsidRPr="00F816FC" w:rsidRDefault="00225E2C" w:rsidP="00497712">
            <w:pPr>
              <w:jc w:val="center"/>
            </w:pP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r w:rsidRPr="00F816FC">
              <w:t>Age-group</w:t>
            </w:r>
          </w:p>
        </w:tc>
        <w:tc>
          <w:tcPr>
            <w:tcW w:w="2371" w:type="dxa"/>
            <w:tcBorders>
              <w:top w:val="nil"/>
              <w:left w:val="nil"/>
              <w:bottom w:val="nil"/>
              <w:right w:val="nil"/>
            </w:tcBorders>
            <w:vAlign w:val="bottom"/>
          </w:tcPr>
          <w:p w:rsidR="00225E2C" w:rsidRPr="00F816FC" w:rsidRDefault="00225E2C" w:rsidP="00497712">
            <w:pPr>
              <w:jc w:val="center"/>
            </w:pP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Under 30</w:t>
            </w:r>
          </w:p>
        </w:tc>
        <w:tc>
          <w:tcPr>
            <w:tcW w:w="2371" w:type="dxa"/>
            <w:tcBorders>
              <w:top w:val="nil"/>
              <w:left w:val="nil"/>
              <w:bottom w:val="nil"/>
              <w:right w:val="nil"/>
            </w:tcBorders>
            <w:vAlign w:val="bottom"/>
          </w:tcPr>
          <w:p w:rsidR="00225E2C" w:rsidRPr="00F816FC" w:rsidRDefault="0034565B" w:rsidP="00497712">
            <w:pPr>
              <w:jc w:val="center"/>
            </w:pPr>
            <w:r w:rsidRPr="00F816FC">
              <w:t>1.00</w:t>
            </w: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30-50</w:t>
            </w:r>
          </w:p>
        </w:tc>
        <w:tc>
          <w:tcPr>
            <w:tcW w:w="2371" w:type="dxa"/>
            <w:tcBorders>
              <w:top w:val="nil"/>
              <w:left w:val="nil"/>
              <w:bottom w:val="nil"/>
              <w:right w:val="nil"/>
            </w:tcBorders>
            <w:vAlign w:val="bottom"/>
          </w:tcPr>
          <w:p w:rsidR="00225E2C" w:rsidRPr="00F816FC" w:rsidRDefault="00650B97" w:rsidP="00497712">
            <w:pPr>
              <w:jc w:val="center"/>
            </w:pPr>
            <w:r w:rsidRPr="00F816FC">
              <w:t>1.36</w:t>
            </w:r>
          </w:p>
        </w:tc>
        <w:tc>
          <w:tcPr>
            <w:tcW w:w="2552" w:type="dxa"/>
            <w:tcBorders>
              <w:top w:val="nil"/>
              <w:left w:val="nil"/>
              <w:bottom w:val="nil"/>
              <w:right w:val="nil"/>
            </w:tcBorders>
            <w:vAlign w:val="bottom"/>
          </w:tcPr>
          <w:p w:rsidR="00225E2C" w:rsidRPr="00F816FC" w:rsidRDefault="00650B97" w:rsidP="00497712">
            <w:pPr>
              <w:jc w:val="center"/>
            </w:pPr>
            <w:r w:rsidRPr="00F816FC">
              <w:t>0.98-1.89</w:t>
            </w:r>
          </w:p>
        </w:tc>
        <w:tc>
          <w:tcPr>
            <w:tcW w:w="1417" w:type="dxa"/>
            <w:tcBorders>
              <w:top w:val="nil"/>
              <w:left w:val="nil"/>
              <w:bottom w:val="nil"/>
              <w:right w:val="nil"/>
            </w:tcBorders>
            <w:vAlign w:val="bottom"/>
          </w:tcPr>
          <w:p w:rsidR="00225E2C" w:rsidRPr="00F816FC" w:rsidRDefault="00650B97" w:rsidP="00497712">
            <w:pPr>
              <w:jc w:val="center"/>
            </w:pPr>
            <w:r w:rsidRPr="00F816FC">
              <w:t>0.07</w:t>
            </w: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Over 50</w:t>
            </w:r>
          </w:p>
        </w:tc>
        <w:tc>
          <w:tcPr>
            <w:tcW w:w="2371" w:type="dxa"/>
            <w:tcBorders>
              <w:top w:val="nil"/>
              <w:left w:val="nil"/>
              <w:bottom w:val="nil"/>
              <w:right w:val="nil"/>
            </w:tcBorders>
            <w:vAlign w:val="bottom"/>
          </w:tcPr>
          <w:p w:rsidR="00225E2C" w:rsidRPr="00F816FC" w:rsidRDefault="00650B97" w:rsidP="00497712">
            <w:pPr>
              <w:jc w:val="center"/>
            </w:pPr>
            <w:r w:rsidRPr="00F816FC">
              <w:t>1.75</w:t>
            </w:r>
          </w:p>
        </w:tc>
        <w:tc>
          <w:tcPr>
            <w:tcW w:w="2552" w:type="dxa"/>
            <w:tcBorders>
              <w:top w:val="nil"/>
              <w:left w:val="nil"/>
              <w:bottom w:val="nil"/>
              <w:right w:val="nil"/>
            </w:tcBorders>
            <w:vAlign w:val="bottom"/>
          </w:tcPr>
          <w:p w:rsidR="00225E2C" w:rsidRPr="00F816FC" w:rsidRDefault="00650B97" w:rsidP="00497712">
            <w:pPr>
              <w:jc w:val="center"/>
            </w:pPr>
            <w:r w:rsidRPr="00F816FC">
              <w:t>1.17-2.62</w:t>
            </w:r>
          </w:p>
        </w:tc>
        <w:tc>
          <w:tcPr>
            <w:tcW w:w="1417" w:type="dxa"/>
            <w:tcBorders>
              <w:top w:val="nil"/>
              <w:left w:val="nil"/>
              <w:bottom w:val="nil"/>
              <w:right w:val="nil"/>
            </w:tcBorders>
            <w:vAlign w:val="bottom"/>
          </w:tcPr>
          <w:p w:rsidR="00225E2C" w:rsidRPr="00F816FC" w:rsidRDefault="00650B97" w:rsidP="00497712">
            <w:pPr>
              <w:jc w:val="center"/>
            </w:pPr>
            <w:r w:rsidRPr="00F816FC">
              <w:t>0.007</w:t>
            </w:r>
          </w:p>
        </w:tc>
      </w:tr>
      <w:tr w:rsidR="00225E2C" w:rsidRPr="00F816FC" w:rsidTr="009710BF">
        <w:tc>
          <w:tcPr>
            <w:tcW w:w="3407" w:type="dxa"/>
            <w:tcBorders>
              <w:top w:val="nil"/>
              <w:left w:val="nil"/>
              <w:bottom w:val="nil"/>
              <w:right w:val="nil"/>
            </w:tcBorders>
          </w:tcPr>
          <w:p w:rsidR="00225E2C" w:rsidRPr="00F816FC" w:rsidRDefault="00225E2C" w:rsidP="00497712">
            <w:r w:rsidRPr="00F816FC">
              <w:t>Living in one of most deprived 20% of neighbourhoods in country:</w:t>
            </w:r>
          </w:p>
        </w:tc>
        <w:tc>
          <w:tcPr>
            <w:tcW w:w="2371" w:type="dxa"/>
            <w:tcBorders>
              <w:top w:val="nil"/>
              <w:left w:val="nil"/>
              <w:bottom w:val="nil"/>
              <w:right w:val="nil"/>
            </w:tcBorders>
            <w:vAlign w:val="bottom"/>
          </w:tcPr>
          <w:p w:rsidR="00225E2C" w:rsidRPr="00F816FC" w:rsidRDefault="00225E2C" w:rsidP="00497712">
            <w:pPr>
              <w:jc w:val="center"/>
            </w:pP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No</w:t>
            </w:r>
          </w:p>
        </w:tc>
        <w:tc>
          <w:tcPr>
            <w:tcW w:w="2371" w:type="dxa"/>
            <w:tcBorders>
              <w:top w:val="nil"/>
              <w:left w:val="nil"/>
              <w:bottom w:val="nil"/>
              <w:right w:val="nil"/>
            </w:tcBorders>
            <w:vAlign w:val="bottom"/>
          </w:tcPr>
          <w:p w:rsidR="00225E2C" w:rsidRPr="00F816FC" w:rsidRDefault="0034565B" w:rsidP="00497712">
            <w:pPr>
              <w:jc w:val="center"/>
            </w:pPr>
            <w:r w:rsidRPr="00F816FC">
              <w:t>1.00</w:t>
            </w: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Yes</w:t>
            </w:r>
          </w:p>
        </w:tc>
        <w:tc>
          <w:tcPr>
            <w:tcW w:w="2371" w:type="dxa"/>
            <w:tcBorders>
              <w:top w:val="nil"/>
              <w:left w:val="nil"/>
              <w:bottom w:val="nil"/>
              <w:right w:val="nil"/>
            </w:tcBorders>
            <w:vAlign w:val="bottom"/>
          </w:tcPr>
          <w:p w:rsidR="00225E2C" w:rsidRPr="00F816FC" w:rsidRDefault="00650B97" w:rsidP="00497712">
            <w:pPr>
              <w:jc w:val="center"/>
            </w:pPr>
            <w:r w:rsidRPr="00F816FC">
              <w:t>1.91</w:t>
            </w:r>
          </w:p>
        </w:tc>
        <w:tc>
          <w:tcPr>
            <w:tcW w:w="2552" w:type="dxa"/>
            <w:tcBorders>
              <w:top w:val="nil"/>
              <w:left w:val="nil"/>
              <w:bottom w:val="nil"/>
              <w:right w:val="nil"/>
            </w:tcBorders>
            <w:vAlign w:val="bottom"/>
          </w:tcPr>
          <w:p w:rsidR="00225E2C" w:rsidRPr="00F816FC" w:rsidRDefault="00650B97" w:rsidP="00497712">
            <w:pPr>
              <w:jc w:val="center"/>
            </w:pPr>
            <w:r w:rsidRPr="00F816FC">
              <w:t>1.30-2.80</w:t>
            </w:r>
          </w:p>
        </w:tc>
        <w:tc>
          <w:tcPr>
            <w:tcW w:w="1417" w:type="dxa"/>
            <w:tcBorders>
              <w:top w:val="nil"/>
              <w:left w:val="nil"/>
              <w:bottom w:val="nil"/>
              <w:right w:val="nil"/>
            </w:tcBorders>
            <w:vAlign w:val="bottom"/>
          </w:tcPr>
          <w:p w:rsidR="00225E2C" w:rsidRPr="00F816FC" w:rsidRDefault="00650B97" w:rsidP="00497712">
            <w:pPr>
              <w:jc w:val="center"/>
            </w:pPr>
            <w:r w:rsidRPr="00F816FC">
              <w:t>0.001</w:t>
            </w:r>
          </w:p>
        </w:tc>
      </w:tr>
      <w:tr w:rsidR="00225E2C" w:rsidRPr="00F816FC" w:rsidTr="009710BF">
        <w:tc>
          <w:tcPr>
            <w:tcW w:w="3407" w:type="dxa"/>
            <w:tcBorders>
              <w:top w:val="nil"/>
              <w:left w:val="nil"/>
              <w:bottom w:val="nil"/>
              <w:right w:val="nil"/>
            </w:tcBorders>
          </w:tcPr>
          <w:p w:rsidR="00225E2C" w:rsidRPr="00F816FC" w:rsidRDefault="00225E2C" w:rsidP="00497712">
            <w:pPr>
              <w:rPr>
                <w:b/>
              </w:rPr>
            </w:pPr>
            <w:r w:rsidRPr="00F816FC">
              <w:rPr>
                <w:b/>
              </w:rPr>
              <w:t>The general practice</w:t>
            </w:r>
          </w:p>
        </w:tc>
        <w:tc>
          <w:tcPr>
            <w:tcW w:w="2371" w:type="dxa"/>
            <w:tcBorders>
              <w:top w:val="nil"/>
              <w:left w:val="nil"/>
              <w:bottom w:val="nil"/>
              <w:right w:val="nil"/>
            </w:tcBorders>
            <w:vAlign w:val="bottom"/>
          </w:tcPr>
          <w:p w:rsidR="00225E2C" w:rsidRPr="00F816FC" w:rsidRDefault="00225E2C" w:rsidP="00497712">
            <w:pPr>
              <w:jc w:val="center"/>
            </w:pP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r w:rsidRPr="00F816FC">
              <w:t>Patient list size</w:t>
            </w:r>
          </w:p>
        </w:tc>
        <w:tc>
          <w:tcPr>
            <w:tcW w:w="2371" w:type="dxa"/>
            <w:tcBorders>
              <w:top w:val="nil"/>
              <w:left w:val="nil"/>
              <w:bottom w:val="nil"/>
              <w:right w:val="nil"/>
            </w:tcBorders>
            <w:vAlign w:val="bottom"/>
          </w:tcPr>
          <w:p w:rsidR="00225E2C" w:rsidRPr="00F816FC" w:rsidRDefault="00225E2C" w:rsidP="00497712">
            <w:pPr>
              <w:jc w:val="center"/>
            </w:pP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&lt;5000 patients</w:t>
            </w:r>
          </w:p>
        </w:tc>
        <w:tc>
          <w:tcPr>
            <w:tcW w:w="2371" w:type="dxa"/>
            <w:tcBorders>
              <w:top w:val="nil"/>
              <w:left w:val="nil"/>
              <w:bottom w:val="nil"/>
              <w:right w:val="nil"/>
            </w:tcBorders>
            <w:vAlign w:val="bottom"/>
          </w:tcPr>
          <w:p w:rsidR="00225E2C" w:rsidRPr="00F816FC" w:rsidRDefault="0034565B" w:rsidP="00497712">
            <w:pPr>
              <w:jc w:val="center"/>
            </w:pPr>
            <w:r w:rsidRPr="00F816FC">
              <w:t>1.00</w:t>
            </w: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5-10,000 patients</w:t>
            </w:r>
          </w:p>
        </w:tc>
        <w:tc>
          <w:tcPr>
            <w:tcW w:w="2371" w:type="dxa"/>
            <w:tcBorders>
              <w:top w:val="nil"/>
              <w:left w:val="nil"/>
              <w:bottom w:val="nil"/>
              <w:right w:val="nil"/>
            </w:tcBorders>
            <w:vAlign w:val="bottom"/>
          </w:tcPr>
          <w:p w:rsidR="00225E2C" w:rsidRPr="00F816FC" w:rsidRDefault="00650B97" w:rsidP="00497712">
            <w:pPr>
              <w:jc w:val="center"/>
            </w:pPr>
            <w:r w:rsidRPr="00F816FC">
              <w:t>0.56</w:t>
            </w:r>
          </w:p>
        </w:tc>
        <w:tc>
          <w:tcPr>
            <w:tcW w:w="2552" w:type="dxa"/>
            <w:tcBorders>
              <w:top w:val="nil"/>
              <w:left w:val="nil"/>
              <w:bottom w:val="nil"/>
              <w:right w:val="nil"/>
            </w:tcBorders>
            <w:vAlign w:val="bottom"/>
          </w:tcPr>
          <w:p w:rsidR="00225E2C" w:rsidRPr="00F816FC" w:rsidRDefault="00650B97" w:rsidP="00497712">
            <w:pPr>
              <w:jc w:val="center"/>
            </w:pPr>
            <w:r w:rsidRPr="00F816FC">
              <w:t>0.25-1.18</w:t>
            </w:r>
          </w:p>
        </w:tc>
        <w:tc>
          <w:tcPr>
            <w:tcW w:w="1417" w:type="dxa"/>
            <w:tcBorders>
              <w:top w:val="nil"/>
              <w:left w:val="nil"/>
              <w:bottom w:val="nil"/>
              <w:right w:val="nil"/>
            </w:tcBorders>
            <w:vAlign w:val="bottom"/>
          </w:tcPr>
          <w:p w:rsidR="00225E2C" w:rsidRPr="00F816FC" w:rsidRDefault="00650B97" w:rsidP="00497712">
            <w:pPr>
              <w:jc w:val="center"/>
            </w:pPr>
            <w:r w:rsidRPr="00F816FC">
              <w:t>0.13</w:t>
            </w: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Over 10,000 patients</w:t>
            </w:r>
          </w:p>
        </w:tc>
        <w:tc>
          <w:tcPr>
            <w:tcW w:w="2371" w:type="dxa"/>
            <w:tcBorders>
              <w:top w:val="nil"/>
              <w:left w:val="nil"/>
              <w:bottom w:val="nil"/>
              <w:right w:val="nil"/>
            </w:tcBorders>
            <w:vAlign w:val="bottom"/>
          </w:tcPr>
          <w:p w:rsidR="00225E2C" w:rsidRPr="00F816FC" w:rsidRDefault="00650B97" w:rsidP="00497712">
            <w:pPr>
              <w:jc w:val="center"/>
            </w:pPr>
            <w:r w:rsidRPr="00F816FC">
              <w:t>0.86</w:t>
            </w:r>
          </w:p>
        </w:tc>
        <w:tc>
          <w:tcPr>
            <w:tcW w:w="2552" w:type="dxa"/>
            <w:tcBorders>
              <w:top w:val="nil"/>
              <w:left w:val="nil"/>
              <w:bottom w:val="nil"/>
              <w:right w:val="nil"/>
            </w:tcBorders>
            <w:vAlign w:val="bottom"/>
          </w:tcPr>
          <w:p w:rsidR="00225E2C" w:rsidRPr="00F816FC" w:rsidRDefault="00650B97" w:rsidP="00497712">
            <w:pPr>
              <w:jc w:val="center"/>
            </w:pPr>
            <w:r w:rsidRPr="00F816FC">
              <w:t>0.37-1.99</w:t>
            </w:r>
          </w:p>
        </w:tc>
        <w:tc>
          <w:tcPr>
            <w:tcW w:w="1417" w:type="dxa"/>
            <w:tcBorders>
              <w:top w:val="nil"/>
              <w:left w:val="nil"/>
              <w:bottom w:val="nil"/>
              <w:right w:val="nil"/>
            </w:tcBorders>
            <w:vAlign w:val="bottom"/>
          </w:tcPr>
          <w:p w:rsidR="00225E2C" w:rsidRPr="00F816FC" w:rsidRDefault="00650B97" w:rsidP="00497712">
            <w:pPr>
              <w:jc w:val="center"/>
            </w:pPr>
            <w:r w:rsidRPr="00F816FC">
              <w:t>0.74</w:t>
            </w:r>
          </w:p>
        </w:tc>
      </w:tr>
      <w:tr w:rsidR="00225E2C" w:rsidRPr="00F816FC" w:rsidTr="009710BF">
        <w:tc>
          <w:tcPr>
            <w:tcW w:w="3407" w:type="dxa"/>
            <w:tcBorders>
              <w:top w:val="nil"/>
              <w:left w:val="nil"/>
              <w:bottom w:val="nil"/>
              <w:right w:val="nil"/>
            </w:tcBorders>
          </w:tcPr>
          <w:p w:rsidR="00225E2C" w:rsidRPr="00F816FC" w:rsidRDefault="00225E2C" w:rsidP="00497712">
            <w:r w:rsidRPr="00F816FC">
              <w:t>Location of practice</w:t>
            </w:r>
          </w:p>
        </w:tc>
        <w:tc>
          <w:tcPr>
            <w:tcW w:w="2371" w:type="dxa"/>
            <w:tcBorders>
              <w:top w:val="nil"/>
              <w:left w:val="nil"/>
              <w:bottom w:val="nil"/>
              <w:right w:val="nil"/>
            </w:tcBorders>
            <w:vAlign w:val="bottom"/>
          </w:tcPr>
          <w:p w:rsidR="00225E2C" w:rsidRPr="00F816FC" w:rsidRDefault="00225E2C" w:rsidP="00497712">
            <w:pPr>
              <w:jc w:val="center"/>
            </w:pP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Rural</w:t>
            </w:r>
          </w:p>
        </w:tc>
        <w:tc>
          <w:tcPr>
            <w:tcW w:w="2371" w:type="dxa"/>
            <w:tcBorders>
              <w:top w:val="nil"/>
              <w:left w:val="nil"/>
              <w:bottom w:val="nil"/>
              <w:right w:val="nil"/>
            </w:tcBorders>
            <w:vAlign w:val="bottom"/>
          </w:tcPr>
          <w:p w:rsidR="00225E2C" w:rsidRPr="00F816FC" w:rsidRDefault="0034565B" w:rsidP="00497712">
            <w:pPr>
              <w:jc w:val="center"/>
            </w:pPr>
            <w:r w:rsidRPr="00F816FC">
              <w:t>1.00</w:t>
            </w: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Urban</w:t>
            </w:r>
          </w:p>
        </w:tc>
        <w:tc>
          <w:tcPr>
            <w:tcW w:w="2371" w:type="dxa"/>
            <w:tcBorders>
              <w:top w:val="nil"/>
              <w:left w:val="nil"/>
              <w:bottom w:val="nil"/>
              <w:right w:val="nil"/>
            </w:tcBorders>
            <w:vAlign w:val="bottom"/>
          </w:tcPr>
          <w:p w:rsidR="00225E2C" w:rsidRPr="00F816FC" w:rsidRDefault="00650B97" w:rsidP="00497712">
            <w:pPr>
              <w:jc w:val="center"/>
            </w:pPr>
            <w:r w:rsidRPr="00F816FC">
              <w:t>1.30</w:t>
            </w:r>
          </w:p>
        </w:tc>
        <w:tc>
          <w:tcPr>
            <w:tcW w:w="2552" w:type="dxa"/>
            <w:tcBorders>
              <w:top w:val="nil"/>
              <w:left w:val="nil"/>
              <w:bottom w:val="nil"/>
              <w:right w:val="nil"/>
            </w:tcBorders>
            <w:vAlign w:val="bottom"/>
          </w:tcPr>
          <w:p w:rsidR="00225E2C" w:rsidRPr="00F816FC" w:rsidRDefault="00650B97" w:rsidP="00497712">
            <w:pPr>
              <w:jc w:val="center"/>
            </w:pPr>
            <w:r w:rsidRPr="00F816FC">
              <w:t>0.70-2.42</w:t>
            </w:r>
          </w:p>
        </w:tc>
        <w:tc>
          <w:tcPr>
            <w:tcW w:w="1417" w:type="dxa"/>
            <w:tcBorders>
              <w:top w:val="nil"/>
              <w:left w:val="nil"/>
              <w:bottom w:val="nil"/>
              <w:right w:val="nil"/>
            </w:tcBorders>
            <w:vAlign w:val="bottom"/>
          </w:tcPr>
          <w:p w:rsidR="00225E2C" w:rsidRPr="00F816FC" w:rsidRDefault="00650B97" w:rsidP="00497712">
            <w:pPr>
              <w:jc w:val="center"/>
            </w:pPr>
            <w:r w:rsidRPr="00F816FC">
              <w:t>0.41</w:t>
            </w:r>
          </w:p>
        </w:tc>
      </w:tr>
      <w:tr w:rsidR="00225E2C" w:rsidRPr="00F816FC" w:rsidTr="009710BF">
        <w:tc>
          <w:tcPr>
            <w:tcW w:w="3407" w:type="dxa"/>
            <w:tcBorders>
              <w:top w:val="nil"/>
              <w:left w:val="nil"/>
              <w:bottom w:val="nil"/>
              <w:right w:val="nil"/>
            </w:tcBorders>
          </w:tcPr>
          <w:p w:rsidR="00225E2C" w:rsidRPr="00F816FC" w:rsidRDefault="00225E2C" w:rsidP="00497712">
            <w:r w:rsidRPr="00F816FC">
              <w:t>Deprivation of patient population</w:t>
            </w:r>
          </w:p>
        </w:tc>
        <w:tc>
          <w:tcPr>
            <w:tcW w:w="2371" w:type="dxa"/>
            <w:tcBorders>
              <w:top w:val="nil"/>
              <w:left w:val="nil"/>
              <w:bottom w:val="nil"/>
              <w:right w:val="nil"/>
            </w:tcBorders>
            <w:vAlign w:val="bottom"/>
          </w:tcPr>
          <w:p w:rsidR="00225E2C" w:rsidRPr="00F816FC" w:rsidRDefault="00225E2C" w:rsidP="00497712">
            <w:pPr>
              <w:jc w:val="center"/>
            </w:pP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Low</w:t>
            </w:r>
          </w:p>
        </w:tc>
        <w:tc>
          <w:tcPr>
            <w:tcW w:w="2371" w:type="dxa"/>
            <w:tcBorders>
              <w:top w:val="nil"/>
              <w:left w:val="nil"/>
              <w:bottom w:val="nil"/>
              <w:right w:val="nil"/>
            </w:tcBorders>
            <w:vAlign w:val="bottom"/>
          </w:tcPr>
          <w:p w:rsidR="00225E2C" w:rsidRPr="00F816FC" w:rsidRDefault="0034565B" w:rsidP="00497712">
            <w:pPr>
              <w:jc w:val="center"/>
            </w:pPr>
            <w:r w:rsidRPr="00F816FC">
              <w:t>1.00</w:t>
            </w: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Moderate</w:t>
            </w:r>
          </w:p>
        </w:tc>
        <w:tc>
          <w:tcPr>
            <w:tcW w:w="2371" w:type="dxa"/>
            <w:tcBorders>
              <w:top w:val="nil"/>
              <w:left w:val="nil"/>
              <w:bottom w:val="nil"/>
              <w:right w:val="nil"/>
            </w:tcBorders>
            <w:vAlign w:val="bottom"/>
          </w:tcPr>
          <w:p w:rsidR="00225E2C" w:rsidRPr="00F816FC" w:rsidRDefault="00650B97" w:rsidP="00497712">
            <w:pPr>
              <w:jc w:val="center"/>
            </w:pPr>
            <w:r w:rsidRPr="00F816FC">
              <w:t>1.70</w:t>
            </w:r>
          </w:p>
        </w:tc>
        <w:tc>
          <w:tcPr>
            <w:tcW w:w="2552" w:type="dxa"/>
            <w:tcBorders>
              <w:top w:val="nil"/>
              <w:left w:val="nil"/>
              <w:bottom w:val="nil"/>
              <w:right w:val="nil"/>
            </w:tcBorders>
            <w:vAlign w:val="bottom"/>
          </w:tcPr>
          <w:p w:rsidR="00225E2C" w:rsidRPr="00F816FC" w:rsidRDefault="00650B97" w:rsidP="00497712">
            <w:pPr>
              <w:jc w:val="center"/>
            </w:pPr>
            <w:r w:rsidRPr="00F816FC">
              <w:t>0.84-3.42</w:t>
            </w:r>
          </w:p>
        </w:tc>
        <w:tc>
          <w:tcPr>
            <w:tcW w:w="1417" w:type="dxa"/>
            <w:tcBorders>
              <w:top w:val="nil"/>
              <w:left w:val="nil"/>
              <w:bottom w:val="nil"/>
              <w:right w:val="nil"/>
            </w:tcBorders>
            <w:vAlign w:val="bottom"/>
          </w:tcPr>
          <w:p w:rsidR="00225E2C" w:rsidRPr="00F816FC" w:rsidRDefault="00650B97" w:rsidP="00497712">
            <w:pPr>
              <w:jc w:val="center"/>
            </w:pPr>
            <w:r w:rsidRPr="00F816FC">
              <w:t>0.14</w:t>
            </w: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High</w:t>
            </w:r>
          </w:p>
        </w:tc>
        <w:tc>
          <w:tcPr>
            <w:tcW w:w="2371" w:type="dxa"/>
            <w:tcBorders>
              <w:top w:val="nil"/>
              <w:left w:val="nil"/>
              <w:bottom w:val="nil"/>
              <w:right w:val="nil"/>
            </w:tcBorders>
            <w:vAlign w:val="bottom"/>
          </w:tcPr>
          <w:p w:rsidR="00225E2C" w:rsidRPr="00F816FC" w:rsidRDefault="00650B97" w:rsidP="00497712">
            <w:pPr>
              <w:jc w:val="center"/>
            </w:pPr>
            <w:r w:rsidRPr="00F816FC">
              <w:t>3.17</w:t>
            </w:r>
          </w:p>
        </w:tc>
        <w:tc>
          <w:tcPr>
            <w:tcW w:w="2552" w:type="dxa"/>
            <w:tcBorders>
              <w:top w:val="nil"/>
              <w:left w:val="nil"/>
              <w:bottom w:val="nil"/>
              <w:right w:val="nil"/>
            </w:tcBorders>
            <w:vAlign w:val="bottom"/>
          </w:tcPr>
          <w:p w:rsidR="00225E2C" w:rsidRPr="00F816FC" w:rsidRDefault="00650B97" w:rsidP="00497712">
            <w:pPr>
              <w:jc w:val="center"/>
            </w:pPr>
            <w:r w:rsidRPr="00F816FC">
              <w:t>1.53-6.59</w:t>
            </w:r>
          </w:p>
        </w:tc>
        <w:tc>
          <w:tcPr>
            <w:tcW w:w="1417" w:type="dxa"/>
            <w:tcBorders>
              <w:top w:val="nil"/>
              <w:left w:val="nil"/>
              <w:bottom w:val="nil"/>
              <w:right w:val="nil"/>
            </w:tcBorders>
            <w:vAlign w:val="bottom"/>
          </w:tcPr>
          <w:p w:rsidR="00225E2C" w:rsidRPr="00F816FC" w:rsidRDefault="00650B97" w:rsidP="00497712">
            <w:pPr>
              <w:jc w:val="center"/>
            </w:pPr>
            <w:r w:rsidRPr="00F816FC">
              <w:t>0.002</w:t>
            </w:r>
          </w:p>
        </w:tc>
      </w:tr>
      <w:tr w:rsidR="00225E2C" w:rsidRPr="00F816FC" w:rsidTr="009710BF">
        <w:tc>
          <w:tcPr>
            <w:tcW w:w="3407" w:type="dxa"/>
            <w:tcBorders>
              <w:top w:val="nil"/>
              <w:left w:val="nil"/>
              <w:bottom w:val="nil"/>
              <w:right w:val="nil"/>
            </w:tcBorders>
          </w:tcPr>
          <w:p w:rsidR="00225E2C" w:rsidRPr="00F816FC" w:rsidRDefault="00225E2C" w:rsidP="00497712">
            <w:pPr>
              <w:rPr>
                <w:b/>
              </w:rPr>
            </w:pPr>
            <w:r w:rsidRPr="00F816FC">
              <w:rPr>
                <w:b/>
              </w:rPr>
              <w:t>The certifying GP</w:t>
            </w:r>
          </w:p>
        </w:tc>
        <w:tc>
          <w:tcPr>
            <w:tcW w:w="2371" w:type="dxa"/>
            <w:tcBorders>
              <w:top w:val="nil"/>
              <w:left w:val="nil"/>
              <w:bottom w:val="nil"/>
              <w:right w:val="nil"/>
            </w:tcBorders>
            <w:vAlign w:val="bottom"/>
          </w:tcPr>
          <w:p w:rsidR="00225E2C" w:rsidRPr="00F816FC" w:rsidRDefault="00225E2C" w:rsidP="00497712">
            <w:pPr>
              <w:jc w:val="center"/>
            </w:pP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r w:rsidRPr="00F816FC">
              <w:t>Age-group</w:t>
            </w:r>
          </w:p>
        </w:tc>
        <w:tc>
          <w:tcPr>
            <w:tcW w:w="2371" w:type="dxa"/>
            <w:tcBorders>
              <w:top w:val="nil"/>
              <w:left w:val="nil"/>
              <w:bottom w:val="nil"/>
              <w:right w:val="nil"/>
            </w:tcBorders>
            <w:vAlign w:val="bottom"/>
          </w:tcPr>
          <w:p w:rsidR="00225E2C" w:rsidRPr="00F816FC" w:rsidRDefault="00225E2C" w:rsidP="00497712">
            <w:pPr>
              <w:jc w:val="center"/>
            </w:pP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Under 35</w:t>
            </w:r>
          </w:p>
        </w:tc>
        <w:tc>
          <w:tcPr>
            <w:tcW w:w="2371" w:type="dxa"/>
            <w:tcBorders>
              <w:top w:val="nil"/>
              <w:left w:val="nil"/>
              <w:bottom w:val="nil"/>
              <w:right w:val="nil"/>
            </w:tcBorders>
            <w:vAlign w:val="bottom"/>
          </w:tcPr>
          <w:p w:rsidR="00225E2C" w:rsidRPr="00F816FC" w:rsidRDefault="0034565B" w:rsidP="00497712">
            <w:pPr>
              <w:jc w:val="center"/>
            </w:pPr>
            <w:r w:rsidRPr="00F816FC">
              <w:t>1.00</w:t>
            </w: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35-50</w:t>
            </w:r>
          </w:p>
        </w:tc>
        <w:tc>
          <w:tcPr>
            <w:tcW w:w="2371" w:type="dxa"/>
            <w:tcBorders>
              <w:top w:val="nil"/>
              <w:left w:val="nil"/>
              <w:bottom w:val="nil"/>
              <w:right w:val="nil"/>
            </w:tcBorders>
            <w:vAlign w:val="bottom"/>
          </w:tcPr>
          <w:p w:rsidR="00225E2C" w:rsidRPr="00F816FC" w:rsidRDefault="00650B97" w:rsidP="00497712">
            <w:pPr>
              <w:jc w:val="center"/>
            </w:pPr>
            <w:r w:rsidRPr="00F816FC">
              <w:t>1.36</w:t>
            </w:r>
          </w:p>
        </w:tc>
        <w:tc>
          <w:tcPr>
            <w:tcW w:w="2552" w:type="dxa"/>
            <w:tcBorders>
              <w:top w:val="nil"/>
              <w:left w:val="nil"/>
              <w:bottom w:val="nil"/>
              <w:right w:val="nil"/>
            </w:tcBorders>
            <w:vAlign w:val="bottom"/>
          </w:tcPr>
          <w:p w:rsidR="00225E2C" w:rsidRPr="00F816FC" w:rsidRDefault="00650B97" w:rsidP="00497712">
            <w:pPr>
              <w:jc w:val="center"/>
            </w:pPr>
            <w:r w:rsidRPr="00F816FC">
              <w:t>0.75-2.46</w:t>
            </w:r>
          </w:p>
        </w:tc>
        <w:tc>
          <w:tcPr>
            <w:tcW w:w="1417" w:type="dxa"/>
            <w:tcBorders>
              <w:top w:val="nil"/>
              <w:left w:val="nil"/>
              <w:bottom w:val="nil"/>
              <w:right w:val="nil"/>
            </w:tcBorders>
            <w:vAlign w:val="bottom"/>
          </w:tcPr>
          <w:p w:rsidR="00225E2C" w:rsidRPr="00F816FC" w:rsidRDefault="00650B97" w:rsidP="00497712">
            <w:pPr>
              <w:jc w:val="center"/>
            </w:pPr>
            <w:r w:rsidRPr="00F816FC">
              <w:t>0.31</w:t>
            </w: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Over 50</w:t>
            </w:r>
          </w:p>
        </w:tc>
        <w:tc>
          <w:tcPr>
            <w:tcW w:w="2371" w:type="dxa"/>
            <w:tcBorders>
              <w:top w:val="nil"/>
              <w:left w:val="nil"/>
              <w:bottom w:val="nil"/>
              <w:right w:val="nil"/>
            </w:tcBorders>
            <w:vAlign w:val="bottom"/>
          </w:tcPr>
          <w:p w:rsidR="00225E2C" w:rsidRPr="00F816FC" w:rsidRDefault="00650B97" w:rsidP="00497712">
            <w:pPr>
              <w:jc w:val="center"/>
            </w:pPr>
            <w:r w:rsidRPr="00F816FC">
              <w:t>0.99</w:t>
            </w:r>
          </w:p>
        </w:tc>
        <w:tc>
          <w:tcPr>
            <w:tcW w:w="2552" w:type="dxa"/>
            <w:tcBorders>
              <w:top w:val="nil"/>
              <w:left w:val="nil"/>
              <w:bottom w:val="nil"/>
              <w:right w:val="nil"/>
            </w:tcBorders>
            <w:vAlign w:val="bottom"/>
          </w:tcPr>
          <w:p w:rsidR="00225E2C" w:rsidRPr="00F816FC" w:rsidRDefault="00C63E05" w:rsidP="00497712">
            <w:pPr>
              <w:jc w:val="center"/>
            </w:pPr>
            <w:r w:rsidRPr="00F816FC">
              <w:t>0.51-1.97</w:t>
            </w:r>
          </w:p>
        </w:tc>
        <w:tc>
          <w:tcPr>
            <w:tcW w:w="1417" w:type="dxa"/>
            <w:tcBorders>
              <w:top w:val="nil"/>
              <w:left w:val="nil"/>
              <w:bottom w:val="nil"/>
              <w:right w:val="nil"/>
            </w:tcBorders>
            <w:vAlign w:val="bottom"/>
          </w:tcPr>
          <w:p w:rsidR="00225E2C" w:rsidRPr="00F816FC" w:rsidRDefault="00C63E05" w:rsidP="00497712">
            <w:pPr>
              <w:jc w:val="center"/>
            </w:pPr>
            <w:r w:rsidRPr="00F816FC">
              <w:t>0.99</w:t>
            </w:r>
          </w:p>
        </w:tc>
      </w:tr>
      <w:tr w:rsidR="00225E2C" w:rsidRPr="00F816FC" w:rsidTr="009710BF">
        <w:tc>
          <w:tcPr>
            <w:tcW w:w="3407" w:type="dxa"/>
            <w:tcBorders>
              <w:top w:val="nil"/>
              <w:left w:val="nil"/>
              <w:bottom w:val="nil"/>
              <w:right w:val="nil"/>
            </w:tcBorders>
          </w:tcPr>
          <w:p w:rsidR="00225E2C" w:rsidRPr="00F816FC" w:rsidRDefault="00225E2C" w:rsidP="00497712">
            <w:r w:rsidRPr="00F816FC">
              <w:t>Partner in practice</w:t>
            </w:r>
          </w:p>
        </w:tc>
        <w:tc>
          <w:tcPr>
            <w:tcW w:w="2371" w:type="dxa"/>
            <w:tcBorders>
              <w:top w:val="nil"/>
              <w:left w:val="nil"/>
              <w:bottom w:val="nil"/>
              <w:right w:val="nil"/>
            </w:tcBorders>
            <w:vAlign w:val="bottom"/>
          </w:tcPr>
          <w:p w:rsidR="00225E2C" w:rsidRPr="00F816FC" w:rsidRDefault="00225E2C" w:rsidP="00497712">
            <w:pPr>
              <w:jc w:val="center"/>
            </w:pP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No</w:t>
            </w:r>
          </w:p>
        </w:tc>
        <w:tc>
          <w:tcPr>
            <w:tcW w:w="2371" w:type="dxa"/>
            <w:tcBorders>
              <w:top w:val="nil"/>
              <w:left w:val="nil"/>
              <w:bottom w:val="nil"/>
              <w:right w:val="nil"/>
            </w:tcBorders>
            <w:vAlign w:val="bottom"/>
          </w:tcPr>
          <w:p w:rsidR="00225E2C" w:rsidRPr="00F816FC" w:rsidRDefault="0034565B" w:rsidP="00497712">
            <w:pPr>
              <w:jc w:val="center"/>
            </w:pPr>
            <w:r w:rsidRPr="00F816FC">
              <w:t>1.00</w:t>
            </w: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lastRenderedPageBreak/>
              <w:t>Yes</w:t>
            </w:r>
          </w:p>
        </w:tc>
        <w:tc>
          <w:tcPr>
            <w:tcW w:w="2371" w:type="dxa"/>
            <w:tcBorders>
              <w:top w:val="nil"/>
              <w:left w:val="nil"/>
              <w:bottom w:val="nil"/>
              <w:right w:val="nil"/>
            </w:tcBorders>
            <w:vAlign w:val="bottom"/>
          </w:tcPr>
          <w:p w:rsidR="00225E2C" w:rsidRPr="00F816FC" w:rsidRDefault="00C63E05" w:rsidP="00497712">
            <w:pPr>
              <w:jc w:val="center"/>
            </w:pPr>
            <w:r w:rsidRPr="00F816FC">
              <w:t>1.37</w:t>
            </w:r>
          </w:p>
        </w:tc>
        <w:tc>
          <w:tcPr>
            <w:tcW w:w="2552" w:type="dxa"/>
            <w:tcBorders>
              <w:top w:val="nil"/>
              <w:left w:val="nil"/>
              <w:bottom w:val="nil"/>
              <w:right w:val="nil"/>
            </w:tcBorders>
            <w:vAlign w:val="bottom"/>
          </w:tcPr>
          <w:p w:rsidR="00225E2C" w:rsidRPr="00F816FC" w:rsidRDefault="00C63E05" w:rsidP="00497712">
            <w:pPr>
              <w:jc w:val="center"/>
            </w:pPr>
            <w:r w:rsidRPr="00F816FC">
              <w:t>0.81-2.34</w:t>
            </w:r>
          </w:p>
        </w:tc>
        <w:tc>
          <w:tcPr>
            <w:tcW w:w="1417" w:type="dxa"/>
            <w:tcBorders>
              <w:top w:val="nil"/>
              <w:left w:val="nil"/>
              <w:bottom w:val="nil"/>
              <w:right w:val="nil"/>
            </w:tcBorders>
            <w:vAlign w:val="bottom"/>
          </w:tcPr>
          <w:p w:rsidR="00225E2C" w:rsidRPr="00F816FC" w:rsidRDefault="00C63E05" w:rsidP="00497712">
            <w:pPr>
              <w:jc w:val="center"/>
            </w:pPr>
            <w:r w:rsidRPr="00F816FC">
              <w:t>0.24</w:t>
            </w:r>
          </w:p>
        </w:tc>
      </w:tr>
      <w:tr w:rsidR="00225E2C" w:rsidRPr="00F816FC" w:rsidTr="009710BF">
        <w:tc>
          <w:tcPr>
            <w:tcW w:w="3407" w:type="dxa"/>
            <w:tcBorders>
              <w:top w:val="nil"/>
              <w:left w:val="nil"/>
              <w:bottom w:val="nil"/>
              <w:right w:val="nil"/>
            </w:tcBorders>
          </w:tcPr>
          <w:p w:rsidR="00225E2C" w:rsidRPr="00F816FC" w:rsidRDefault="00225E2C" w:rsidP="00497712">
            <w:r w:rsidRPr="00F816FC">
              <w:t>Works full-time</w:t>
            </w:r>
          </w:p>
        </w:tc>
        <w:tc>
          <w:tcPr>
            <w:tcW w:w="2371" w:type="dxa"/>
            <w:tcBorders>
              <w:top w:val="nil"/>
              <w:left w:val="nil"/>
              <w:bottom w:val="nil"/>
              <w:right w:val="nil"/>
            </w:tcBorders>
            <w:vAlign w:val="bottom"/>
          </w:tcPr>
          <w:p w:rsidR="00225E2C" w:rsidRPr="00F816FC" w:rsidRDefault="00225E2C" w:rsidP="00497712">
            <w:pPr>
              <w:jc w:val="center"/>
            </w:pP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No</w:t>
            </w:r>
          </w:p>
        </w:tc>
        <w:tc>
          <w:tcPr>
            <w:tcW w:w="2371" w:type="dxa"/>
            <w:tcBorders>
              <w:top w:val="nil"/>
              <w:left w:val="nil"/>
              <w:bottom w:val="nil"/>
              <w:right w:val="nil"/>
            </w:tcBorders>
            <w:vAlign w:val="bottom"/>
          </w:tcPr>
          <w:p w:rsidR="00225E2C" w:rsidRPr="00F816FC" w:rsidRDefault="0034565B" w:rsidP="00497712">
            <w:pPr>
              <w:jc w:val="center"/>
            </w:pPr>
            <w:r w:rsidRPr="00F816FC">
              <w:t>1.00</w:t>
            </w: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Yes</w:t>
            </w:r>
          </w:p>
        </w:tc>
        <w:tc>
          <w:tcPr>
            <w:tcW w:w="2371" w:type="dxa"/>
            <w:tcBorders>
              <w:top w:val="nil"/>
              <w:left w:val="nil"/>
              <w:bottom w:val="nil"/>
              <w:right w:val="nil"/>
            </w:tcBorders>
            <w:vAlign w:val="bottom"/>
          </w:tcPr>
          <w:p w:rsidR="00225E2C" w:rsidRPr="00F816FC" w:rsidRDefault="00C63E05" w:rsidP="00497712">
            <w:pPr>
              <w:jc w:val="center"/>
            </w:pPr>
            <w:r w:rsidRPr="00F816FC">
              <w:t>1.22</w:t>
            </w:r>
          </w:p>
        </w:tc>
        <w:tc>
          <w:tcPr>
            <w:tcW w:w="2552" w:type="dxa"/>
            <w:tcBorders>
              <w:top w:val="nil"/>
              <w:left w:val="nil"/>
              <w:bottom w:val="nil"/>
              <w:right w:val="nil"/>
            </w:tcBorders>
            <w:vAlign w:val="bottom"/>
          </w:tcPr>
          <w:p w:rsidR="00225E2C" w:rsidRPr="00F816FC" w:rsidRDefault="00C63E05" w:rsidP="00497712">
            <w:pPr>
              <w:jc w:val="center"/>
            </w:pPr>
            <w:r w:rsidRPr="00F816FC">
              <w:t>0.76-1.97</w:t>
            </w:r>
          </w:p>
        </w:tc>
        <w:tc>
          <w:tcPr>
            <w:tcW w:w="1417" w:type="dxa"/>
            <w:tcBorders>
              <w:top w:val="nil"/>
              <w:left w:val="nil"/>
              <w:bottom w:val="nil"/>
              <w:right w:val="nil"/>
            </w:tcBorders>
            <w:vAlign w:val="bottom"/>
          </w:tcPr>
          <w:p w:rsidR="00225E2C" w:rsidRPr="00F816FC" w:rsidRDefault="00C63E05" w:rsidP="00497712">
            <w:pPr>
              <w:jc w:val="center"/>
            </w:pPr>
            <w:r w:rsidRPr="00F816FC">
              <w:t>0.40</w:t>
            </w:r>
          </w:p>
        </w:tc>
      </w:tr>
      <w:tr w:rsidR="00225E2C" w:rsidRPr="00F816FC" w:rsidTr="009710BF">
        <w:tc>
          <w:tcPr>
            <w:tcW w:w="3407" w:type="dxa"/>
            <w:tcBorders>
              <w:top w:val="nil"/>
              <w:left w:val="nil"/>
              <w:bottom w:val="nil"/>
              <w:right w:val="nil"/>
            </w:tcBorders>
          </w:tcPr>
          <w:p w:rsidR="00225E2C" w:rsidRPr="00F816FC" w:rsidRDefault="0034565B" w:rsidP="00497712">
            <w:pPr>
              <w:rPr>
                <w:b/>
              </w:rPr>
            </w:pPr>
            <w:r w:rsidRPr="00F816FC">
              <w:rPr>
                <w:b/>
              </w:rPr>
              <w:t xml:space="preserve">GP and </w:t>
            </w:r>
            <w:r w:rsidR="00225E2C" w:rsidRPr="00F816FC">
              <w:rPr>
                <w:b/>
              </w:rPr>
              <w:t>patient gender</w:t>
            </w:r>
          </w:p>
        </w:tc>
        <w:tc>
          <w:tcPr>
            <w:tcW w:w="2371" w:type="dxa"/>
            <w:tcBorders>
              <w:top w:val="nil"/>
              <w:left w:val="nil"/>
              <w:bottom w:val="nil"/>
              <w:right w:val="nil"/>
            </w:tcBorders>
            <w:vAlign w:val="bottom"/>
          </w:tcPr>
          <w:p w:rsidR="00225E2C" w:rsidRPr="00F816FC" w:rsidRDefault="00225E2C" w:rsidP="00497712">
            <w:pPr>
              <w:jc w:val="center"/>
            </w:pP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225E2C" w:rsidP="00497712">
            <w:pPr>
              <w:rPr>
                <w:i/>
              </w:rPr>
            </w:pPr>
            <w:r w:rsidRPr="00F816FC">
              <w:rPr>
                <w:i/>
              </w:rPr>
              <w:t>Male GP-male patient</w:t>
            </w:r>
          </w:p>
        </w:tc>
        <w:tc>
          <w:tcPr>
            <w:tcW w:w="2371" w:type="dxa"/>
            <w:tcBorders>
              <w:top w:val="nil"/>
              <w:left w:val="nil"/>
              <w:bottom w:val="nil"/>
              <w:right w:val="nil"/>
            </w:tcBorders>
            <w:vAlign w:val="bottom"/>
          </w:tcPr>
          <w:p w:rsidR="00225E2C" w:rsidRPr="00F816FC" w:rsidRDefault="0034565B" w:rsidP="00497712">
            <w:pPr>
              <w:jc w:val="center"/>
            </w:pPr>
            <w:r w:rsidRPr="00F816FC">
              <w:t>1.00</w:t>
            </w:r>
          </w:p>
        </w:tc>
        <w:tc>
          <w:tcPr>
            <w:tcW w:w="2552" w:type="dxa"/>
            <w:tcBorders>
              <w:top w:val="nil"/>
              <w:left w:val="nil"/>
              <w:bottom w:val="nil"/>
              <w:right w:val="nil"/>
            </w:tcBorders>
            <w:vAlign w:val="bottom"/>
          </w:tcPr>
          <w:p w:rsidR="00225E2C" w:rsidRPr="00F816FC" w:rsidRDefault="00225E2C" w:rsidP="00497712">
            <w:pPr>
              <w:jc w:val="center"/>
            </w:pPr>
          </w:p>
        </w:tc>
        <w:tc>
          <w:tcPr>
            <w:tcW w:w="1417" w:type="dxa"/>
            <w:tcBorders>
              <w:top w:val="nil"/>
              <w:left w:val="nil"/>
              <w:bottom w:val="nil"/>
              <w:right w:val="nil"/>
            </w:tcBorders>
            <w:vAlign w:val="bottom"/>
          </w:tcPr>
          <w:p w:rsidR="00225E2C" w:rsidRPr="00F816FC" w:rsidRDefault="00225E2C" w:rsidP="00497712">
            <w:pPr>
              <w:jc w:val="center"/>
            </w:pPr>
          </w:p>
        </w:tc>
      </w:tr>
      <w:tr w:rsidR="00225E2C" w:rsidRPr="00F816FC" w:rsidTr="009710BF">
        <w:tc>
          <w:tcPr>
            <w:tcW w:w="3407" w:type="dxa"/>
            <w:tcBorders>
              <w:top w:val="nil"/>
              <w:left w:val="nil"/>
              <w:bottom w:val="nil"/>
              <w:right w:val="nil"/>
            </w:tcBorders>
          </w:tcPr>
          <w:p w:rsidR="00225E2C" w:rsidRPr="00F816FC" w:rsidRDefault="0034565B" w:rsidP="00497712">
            <w:pPr>
              <w:rPr>
                <w:i/>
              </w:rPr>
            </w:pPr>
            <w:r w:rsidRPr="00F816FC">
              <w:rPr>
                <w:i/>
              </w:rPr>
              <w:t>Male GP-female patient</w:t>
            </w:r>
          </w:p>
        </w:tc>
        <w:tc>
          <w:tcPr>
            <w:tcW w:w="2371" w:type="dxa"/>
            <w:tcBorders>
              <w:top w:val="nil"/>
              <w:left w:val="nil"/>
              <w:bottom w:val="nil"/>
              <w:right w:val="nil"/>
            </w:tcBorders>
            <w:vAlign w:val="bottom"/>
          </w:tcPr>
          <w:p w:rsidR="00225E2C" w:rsidRPr="00F816FC" w:rsidRDefault="00C63E05" w:rsidP="00497712">
            <w:pPr>
              <w:jc w:val="center"/>
            </w:pPr>
            <w:r w:rsidRPr="00F816FC">
              <w:t>0.93</w:t>
            </w:r>
          </w:p>
        </w:tc>
        <w:tc>
          <w:tcPr>
            <w:tcW w:w="2552" w:type="dxa"/>
            <w:tcBorders>
              <w:top w:val="nil"/>
              <w:left w:val="nil"/>
              <w:bottom w:val="nil"/>
              <w:right w:val="nil"/>
            </w:tcBorders>
            <w:vAlign w:val="bottom"/>
          </w:tcPr>
          <w:p w:rsidR="00225E2C" w:rsidRPr="00F816FC" w:rsidRDefault="00C63E05" w:rsidP="00497712">
            <w:pPr>
              <w:jc w:val="center"/>
            </w:pPr>
            <w:r w:rsidRPr="00F816FC">
              <w:t>0.66-1.31</w:t>
            </w:r>
          </w:p>
        </w:tc>
        <w:tc>
          <w:tcPr>
            <w:tcW w:w="1417" w:type="dxa"/>
            <w:tcBorders>
              <w:top w:val="nil"/>
              <w:left w:val="nil"/>
              <w:bottom w:val="nil"/>
              <w:right w:val="nil"/>
            </w:tcBorders>
            <w:vAlign w:val="bottom"/>
          </w:tcPr>
          <w:p w:rsidR="00225E2C" w:rsidRPr="00F816FC" w:rsidRDefault="00C63E05" w:rsidP="00497712">
            <w:pPr>
              <w:jc w:val="center"/>
            </w:pPr>
            <w:r w:rsidRPr="00F816FC">
              <w:t>0.66</w:t>
            </w:r>
          </w:p>
        </w:tc>
      </w:tr>
      <w:tr w:rsidR="00225E2C" w:rsidRPr="00F816FC" w:rsidTr="009710BF">
        <w:tc>
          <w:tcPr>
            <w:tcW w:w="3407" w:type="dxa"/>
            <w:tcBorders>
              <w:top w:val="nil"/>
              <w:left w:val="nil"/>
              <w:bottom w:val="nil"/>
              <w:right w:val="nil"/>
            </w:tcBorders>
          </w:tcPr>
          <w:p w:rsidR="00225E2C" w:rsidRPr="00F816FC" w:rsidRDefault="0034565B" w:rsidP="00497712">
            <w:pPr>
              <w:rPr>
                <w:i/>
              </w:rPr>
            </w:pPr>
            <w:r w:rsidRPr="00F816FC">
              <w:rPr>
                <w:i/>
              </w:rPr>
              <w:t>Female GP-male patient</w:t>
            </w:r>
          </w:p>
        </w:tc>
        <w:tc>
          <w:tcPr>
            <w:tcW w:w="2371" w:type="dxa"/>
            <w:tcBorders>
              <w:top w:val="nil"/>
              <w:left w:val="nil"/>
              <w:bottom w:val="nil"/>
              <w:right w:val="nil"/>
            </w:tcBorders>
            <w:vAlign w:val="bottom"/>
          </w:tcPr>
          <w:p w:rsidR="00225E2C" w:rsidRPr="00F816FC" w:rsidRDefault="00C63E05" w:rsidP="00497712">
            <w:pPr>
              <w:jc w:val="center"/>
            </w:pPr>
            <w:r w:rsidRPr="00F816FC">
              <w:t>0.63</w:t>
            </w:r>
          </w:p>
        </w:tc>
        <w:tc>
          <w:tcPr>
            <w:tcW w:w="2552" w:type="dxa"/>
            <w:tcBorders>
              <w:top w:val="nil"/>
              <w:left w:val="nil"/>
              <w:bottom w:val="nil"/>
              <w:right w:val="nil"/>
            </w:tcBorders>
            <w:vAlign w:val="bottom"/>
          </w:tcPr>
          <w:p w:rsidR="00225E2C" w:rsidRPr="00F816FC" w:rsidRDefault="00C63E05" w:rsidP="00497712">
            <w:pPr>
              <w:jc w:val="center"/>
            </w:pPr>
            <w:r w:rsidRPr="00F816FC">
              <w:t>0.36-1.09</w:t>
            </w:r>
          </w:p>
        </w:tc>
        <w:tc>
          <w:tcPr>
            <w:tcW w:w="1417" w:type="dxa"/>
            <w:tcBorders>
              <w:top w:val="nil"/>
              <w:left w:val="nil"/>
              <w:bottom w:val="nil"/>
              <w:right w:val="nil"/>
            </w:tcBorders>
            <w:vAlign w:val="bottom"/>
          </w:tcPr>
          <w:p w:rsidR="00225E2C" w:rsidRPr="00F816FC" w:rsidRDefault="00C63E05" w:rsidP="00497712">
            <w:pPr>
              <w:jc w:val="center"/>
            </w:pPr>
            <w:r w:rsidRPr="00F816FC">
              <w:t>0.09</w:t>
            </w:r>
          </w:p>
        </w:tc>
      </w:tr>
      <w:tr w:rsidR="00225E2C" w:rsidRPr="00F816FC" w:rsidTr="009710BF">
        <w:tc>
          <w:tcPr>
            <w:tcW w:w="3407" w:type="dxa"/>
            <w:tcBorders>
              <w:top w:val="nil"/>
              <w:left w:val="nil"/>
              <w:right w:val="nil"/>
            </w:tcBorders>
          </w:tcPr>
          <w:p w:rsidR="00225E2C" w:rsidRPr="00F816FC" w:rsidRDefault="0034565B" w:rsidP="00497712">
            <w:pPr>
              <w:rPr>
                <w:i/>
              </w:rPr>
            </w:pPr>
            <w:r w:rsidRPr="00F816FC">
              <w:rPr>
                <w:i/>
              </w:rPr>
              <w:t>Female GP-female patient</w:t>
            </w:r>
          </w:p>
        </w:tc>
        <w:tc>
          <w:tcPr>
            <w:tcW w:w="2371" w:type="dxa"/>
            <w:tcBorders>
              <w:top w:val="nil"/>
              <w:left w:val="nil"/>
              <w:right w:val="nil"/>
            </w:tcBorders>
            <w:vAlign w:val="bottom"/>
          </w:tcPr>
          <w:p w:rsidR="00225E2C" w:rsidRPr="00F816FC" w:rsidRDefault="00C63E05" w:rsidP="00497712">
            <w:pPr>
              <w:jc w:val="center"/>
            </w:pPr>
            <w:r w:rsidRPr="00F816FC">
              <w:t>0.52</w:t>
            </w:r>
          </w:p>
        </w:tc>
        <w:tc>
          <w:tcPr>
            <w:tcW w:w="2552" w:type="dxa"/>
            <w:tcBorders>
              <w:top w:val="nil"/>
              <w:left w:val="nil"/>
              <w:right w:val="nil"/>
            </w:tcBorders>
            <w:vAlign w:val="bottom"/>
          </w:tcPr>
          <w:p w:rsidR="00225E2C" w:rsidRPr="00F816FC" w:rsidRDefault="00C63E05" w:rsidP="00497712">
            <w:pPr>
              <w:jc w:val="center"/>
            </w:pPr>
            <w:r w:rsidRPr="00F816FC">
              <w:t>0.31-0.86</w:t>
            </w:r>
          </w:p>
        </w:tc>
        <w:tc>
          <w:tcPr>
            <w:tcW w:w="1417" w:type="dxa"/>
            <w:tcBorders>
              <w:top w:val="nil"/>
              <w:left w:val="nil"/>
              <w:right w:val="nil"/>
            </w:tcBorders>
            <w:vAlign w:val="bottom"/>
          </w:tcPr>
          <w:p w:rsidR="00225E2C" w:rsidRPr="00F816FC" w:rsidRDefault="00C63E05" w:rsidP="00497712">
            <w:pPr>
              <w:jc w:val="center"/>
            </w:pPr>
            <w:r w:rsidRPr="00F816FC">
              <w:t>0.01</w:t>
            </w:r>
          </w:p>
        </w:tc>
      </w:tr>
    </w:tbl>
    <w:p w:rsidR="00810591" w:rsidRPr="00F816FC" w:rsidRDefault="00810591" w:rsidP="00810591"/>
    <w:p w:rsidR="00C25815" w:rsidRDefault="0034565B">
      <w:r w:rsidRPr="00F816FC">
        <w:t>Random-inte</w:t>
      </w:r>
      <w:r w:rsidR="00473A92" w:rsidRPr="00F816FC">
        <w:t xml:space="preserve">rcept logistic regression model: </w:t>
      </w:r>
      <w:r w:rsidRPr="00F816FC">
        <w:t>Levels (i) fit note (ii) patient (iii) GP (iv) general practice</w:t>
      </w:r>
    </w:p>
    <w:p w:rsidR="00497712" w:rsidRDefault="00497712"/>
    <w:p w:rsidR="00497712" w:rsidRDefault="00497712" w:rsidP="00497712"/>
    <w:sectPr w:rsidR="00497712" w:rsidSect="0034565B">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08" w:rsidRDefault="00387208" w:rsidP="008809C6">
      <w:pPr>
        <w:spacing w:after="0" w:line="240" w:lineRule="auto"/>
      </w:pPr>
      <w:r>
        <w:separator/>
      </w:r>
    </w:p>
  </w:endnote>
  <w:endnote w:type="continuationSeparator" w:id="0">
    <w:p w:rsidR="00387208" w:rsidRDefault="00387208" w:rsidP="0088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Cap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PTimes">
    <w:panose1 w:val="00000000000000000000"/>
    <w:charset w:val="00"/>
    <w:family w:val="roman"/>
    <w:notTrueType/>
    <w:pitch w:val="default"/>
    <w:sig w:usb0="00000003" w:usb1="00000000" w:usb2="00000000" w:usb3="00000000" w:csb0="00000001" w:csb1="00000000"/>
  </w:font>
  <w:font w:name="AdvTIMES-SC">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AGaramond-Italic">
    <w:altName w:val="Cambria"/>
    <w:panose1 w:val="00000000000000000000"/>
    <w:charset w:val="00"/>
    <w:family w:val="roman"/>
    <w:notTrueType/>
    <w:pitch w:val="default"/>
    <w:sig w:usb0="00000003" w:usb1="00000000" w:usb2="00000000" w:usb3="00000000" w:csb0="00000001" w:csb1="00000000"/>
  </w:font>
  <w:font w:name="AGaramond-Bold">
    <w:altName w:val="Cambria"/>
    <w:panose1 w:val="00000000000000000000"/>
    <w:charset w:val="00"/>
    <w:family w:val="roman"/>
    <w:notTrueType/>
    <w:pitch w:val="default"/>
    <w:sig w:usb0="00000003" w:usb1="00000000" w:usb2="00000000" w:usb3="00000000" w:csb0="00000001" w:csb1="00000000"/>
  </w:font>
  <w:font w:name="AdvTTe45e47d2">
    <w:panose1 w:val="00000000000000000000"/>
    <w:charset w:val="00"/>
    <w:family w:val="swiss"/>
    <w:notTrueType/>
    <w:pitch w:val="default"/>
    <w:sig w:usb0="00000003" w:usb1="00000000" w:usb2="00000000" w:usb3="00000000" w:csb0="00000001" w:csb1="00000000"/>
  </w:font>
  <w:font w:name="Minion-Blac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008883"/>
      <w:docPartObj>
        <w:docPartGallery w:val="Page Numbers (Bottom of Page)"/>
        <w:docPartUnique/>
      </w:docPartObj>
    </w:sdtPr>
    <w:sdtEndPr>
      <w:rPr>
        <w:noProof/>
      </w:rPr>
    </w:sdtEndPr>
    <w:sdtContent>
      <w:p w:rsidR="001713DB" w:rsidRDefault="001713DB">
        <w:pPr>
          <w:pStyle w:val="Footer"/>
          <w:jc w:val="center"/>
        </w:pPr>
        <w:r>
          <w:fldChar w:fldCharType="begin"/>
        </w:r>
        <w:r>
          <w:instrText xml:space="preserve"> PAGE   \* MERGEFORMAT </w:instrText>
        </w:r>
        <w:r>
          <w:fldChar w:fldCharType="separate"/>
        </w:r>
        <w:r w:rsidR="004E75BE">
          <w:rPr>
            <w:noProof/>
          </w:rPr>
          <w:t>1</w:t>
        </w:r>
        <w:r>
          <w:rPr>
            <w:noProof/>
          </w:rPr>
          <w:fldChar w:fldCharType="end"/>
        </w:r>
      </w:p>
    </w:sdtContent>
  </w:sdt>
  <w:p w:rsidR="001713DB" w:rsidRDefault="00171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08" w:rsidRDefault="00387208" w:rsidP="008809C6">
      <w:pPr>
        <w:spacing w:after="0" w:line="240" w:lineRule="auto"/>
      </w:pPr>
      <w:r>
        <w:separator/>
      </w:r>
    </w:p>
  </w:footnote>
  <w:footnote w:type="continuationSeparator" w:id="0">
    <w:p w:rsidR="00387208" w:rsidRDefault="00387208" w:rsidP="00880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DB" w:rsidRDefault="001713DB" w:rsidP="00BF6113">
    <w:pPr>
      <w:pStyle w:val="Header"/>
      <w:jc w:val="center"/>
    </w:pPr>
    <w:r>
      <w:t>Long-term fit notes for depression</w:t>
    </w:r>
  </w:p>
  <w:p w:rsidR="001713DB" w:rsidRDefault="00171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7C"/>
    <w:rsid w:val="000068E9"/>
    <w:rsid w:val="000079E5"/>
    <w:rsid w:val="00010A6C"/>
    <w:rsid w:val="00014A31"/>
    <w:rsid w:val="00016913"/>
    <w:rsid w:val="00040634"/>
    <w:rsid w:val="00047D93"/>
    <w:rsid w:val="000567EC"/>
    <w:rsid w:val="0006201F"/>
    <w:rsid w:val="000704D4"/>
    <w:rsid w:val="000733D4"/>
    <w:rsid w:val="0008219B"/>
    <w:rsid w:val="0009285B"/>
    <w:rsid w:val="000B203B"/>
    <w:rsid w:val="000E5E1D"/>
    <w:rsid w:val="000F0D28"/>
    <w:rsid w:val="000F2FD9"/>
    <w:rsid w:val="001076AE"/>
    <w:rsid w:val="00122B4E"/>
    <w:rsid w:val="001235C1"/>
    <w:rsid w:val="00130A97"/>
    <w:rsid w:val="00137676"/>
    <w:rsid w:val="0013768E"/>
    <w:rsid w:val="00137877"/>
    <w:rsid w:val="00137F37"/>
    <w:rsid w:val="00146E38"/>
    <w:rsid w:val="00162145"/>
    <w:rsid w:val="0016230E"/>
    <w:rsid w:val="001679A9"/>
    <w:rsid w:val="001713DB"/>
    <w:rsid w:val="00176FEF"/>
    <w:rsid w:val="00177643"/>
    <w:rsid w:val="001848A4"/>
    <w:rsid w:val="001B1276"/>
    <w:rsid w:val="001B240D"/>
    <w:rsid w:val="001B61A6"/>
    <w:rsid w:val="001C61C3"/>
    <w:rsid w:val="001E07B4"/>
    <w:rsid w:val="001E235C"/>
    <w:rsid w:val="001E4D0D"/>
    <w:rsid w:val="001E72B9"/>
    <w:rsid w:val="002002E4"/>
    <w:rsid w:val="00220F03"/>
    <w:rsid w:val="00225E2C"/>
    <w:rsid w:val="00227D29"/>
    <w:rsid w:val="00244D87"/>
    <w:rsid w:val="002504A3"/>
    <w:rsid w:val="00253A74"/>
    <w:rsid w:val="00255ADA"/>
    <w:rsid w:val="00256AA6"/>
    <w:rsid w:val="0026307B"/>
    <w:rsid w:val="00280918"/>
    <w:rsid w:val="00285636"/>
    <w:rsid w:val="002A0FD1"/>
    <w:rsid w:val="002A2F87"/>
    <w:rsid w:val="002B6D78"/>
    <w:rsid w:val="002C1D47"/>
    <w:rsid w:val="002C7E2E"/>
    <w:rsid w:val="002D6AC6"/>
    <w:rsid w:val="002D7943"/>
    <w:rsid w:val="002E05A6"/>
    <w:rsid w:val="002E269E"/>
    <w:rsid w:val="002E49DF"/>
    <w:rsid w:val="002F2BB4"/>
    <w:rsid w:val="003020A0"/>
    <w:rsid w:val="00304E4B"/>
    <w:rsid w:val="00314047"/>
    <w:rsid w:val="00343488"/>
    <w:rsid w:val="0034565B"/>
    <w:rsid w:val="00346B79"/>
    <w:rsid w:val="003640FB"/>
    <w:rsid w:val="00367E73"/>
    <w:rsid w:val="00371CB2"/>
    <w:rsid w:val="00387208"/>
    <w:rsid w:val="003A4AF2"/>
    <w:rsid w:val="003A7514"/>
    <w:rsid w:val="003B59A5"/>
    <w:rsid w:val="003B7904"/>
    <w:rsid w:val="003D203B"/>
    <w:rsid w:val="003D5D7F"/>
    <w:rsid w:val="003F17A9"/>
    <w:rsid w:val="00413649"/>
    <w:rsid w:val="00436205"/>
    <w:rsid w:val="00457430"/>
    <w:rsid w:val="004625AC"/>
    <w:rsid w:val="004635D5"/>
    <w:rsid w:val="00471BF9"/>
    <w:rsid w:val="00473A92"/>
    <w:rsid w:val="004915C1"/>
    <w:rsid w:val="00497712"/>
    <w:rsid w:val="004A4188"/>
    <w:rsid w:val="004B619A"/>
    <w:rsid w:val="004E46CE"/>
    <w:rsid w:val="004E47DD"/>
    <w:rsid w:val="004E5CE0"/>
    <w:rsid w:val="004E75BE"/>
    <w:rsid w:val="004E7AAB"/>
    <w:rsid w:val="0050311D"/>
    <w:rsid w:val="00511520"/>
    <w:rsid w:val="00515C1E"/>
    <w:rsid w:val="005162FB"/>
    <w:rsid w:val="0051679F"/>
    <w:rsid w:val="005273EE"/>
    <w:rsid w:val="005350D7"/>
    <w:rsid w:val="00537B89"/>
    <w:rsid w:val="00537CB8"/>
    <w:rsid w:val="005450C3"/>
    <w:rsid w:val="00547164"/>
    <w:rsid w:val="00551B2B"/>
    <w:rsid w:val="00553A18"/>
    <w:rsid w:val="0055400B"/>
    <w:rsid w:val="005A08DC"/>
    <w:rsid w:val="005B21E9"/>
    <w:rsid w:val="005D32A7"/>
    <w:rsid w:val="005D6ADD"/>
    <w:rsid w:val="005E498B"/>
    <w:rsid w:val="005E5A89"/>
    <w:rsid w:val="005F7DD1"/>
    <w:rsid w:val="005F7E1D"/>
    <w:rsid w:val="006069A5"/>
    <w:rsid w:val="006159C1"/>
    <w:rsid w:val="00617AE6"/>
    <w:rsid w:val="00621BC5"/>
    <w:rsid w:val="006246DD"/>
    <w:rsid w:val="006412DA"/>
    <w:rsid w:val="00650B97"/>
    <w:rsid w:val="00657F6D"/>
    <w:rsid w:val="00676F4C"/>
    <w:rsid w:val="006823F4"/>
    <w:rsid w:val="006A0983"/>
    <w:rsid w:val="006D7D71"/>
    <w:rsid w:val="006E0F62"/>
    <w:rsid w:val="006E7DC7"/>
    <w:rsid w:val="006F4C7E"/>
    <w:rsid w:val="006F6FDF"/>
    <w:rsid w:val="00700055"/>
    <w:rsid w:val="00700091"/>
    <w:rsid w:val="00707517"/>
    <w:rsid w:val="00716F71"/>
    <w:rsid w:val="007360B2"/>
    <w:rsid w:val="0074342A"/>
    <w:rsid w:val="007562D5"/>
    <w:rsid w:val="00790B93"/>
    <w:rsid w:val="007A1034"/>
    <w:rsid w:val="007B65FB"/>
    <w:rsid w:val="007E0B04"/>
    <w:rsid w:val="007F33B2"/>
    <w:rsid w:val="008034F2"/>
    <w:rsid w:val="008041E5"/>
    <w:rsid w:val="00807DAC"/>
    <w:rsid w:val="00810591"/>
    <w:rsid w:val="0081149B"/>
    <w:rsid w:val="00814E0B"/>
    <w:rsid w:val="0081593B"/>
    <w:rsid w:val="00825B7E"/>
    <w:rsid w:val="0083299E"/>
    <w:rsid w:val="00833F94"/>
    <w:rsid w:val="0084303E"/>
    <w:rsid w:val="00856740"/>
    <w:rsid w:val="00857F64"/>
    <w:rsid w:val="008809C6"/>
    <w:rsid w:val="00890081"/>
    <w:rsid w:val="00890EE1"/>
    <w:rsid w:val="00892925"/>
    <w:rsid w:val="00897A10"/>
    <w:rsid w:val="008A41A7"/>
    <w:rsid w:val="008A665B"/>
    <w:rsid w:val="008C702F"/>
    <w:rsid w:val="008F51F6"/>
    <w:rsid w:val="008F632F"/>
    <w:rsid w:val="00920474"/>
    <w:rsid w:val="00921CA3"/>
    <w:rsid w:val="009420A3"/>
    <w:rsid w:val="00943157"/>
    <w:rsid w:val="009443EE"/>
    <w:rsid w:val="00952114"/>
    <w:rsid w:val="009710BF"/>
    <w:rsid w:val="00997F42"/>
    <w:rsid w:val="009A0B51"/>
    <w:rsid w:val="009A1503"/>
    <w:rsid w:val="009C157E"/>
    <w:rsid w:val="009C6134"/>
    <w:rsid w:val="009E368E"/>
    <w:rsid w:val="00A1255D"/>
    <w:rsid w:val="00A21B6C"/>
    <w:rsid w:val="00A232FD"/>
    <w:rsid w:val="00A41127"/>
    <w:rsid w:val="00A43FB4"/>
    <w:rsid w:val="00A47283"/>
    <w:rsid w:val="00A47A91"/>
    <w:rsid w:val="00A50FA3"/>
    <w:rsid w:val="00A56B98"/>
    <w:rsid w:val="00A73AE7"/>
    <w:rsid w:val="00A93DAD"/>
    <w:rsid w:val="00AA7D06"/>
    <w:rsid w:val="00AB5ACB"/>
    <w:rsid w:val="00AD538E"/>
    <w:rsid w:val="00AD54C3"/>
    <w:rsid w:val="00AF2FA6"/>
    <w:rsid w:val="00B042EA"/>
    <w:rsid w:val="00B10105"/>
    <w:rsid w:val="00B22C8F"/>
    <w:rsid w:val="00B353BF"/>
    <w:rsid w:val="00B61B82"/>
    <w:rsid w:val="00B6474E"/>
    <w:rsid w:val="00B65AB7"/>
    <w:rsid w:val="00B865C0"/>
    <w:rsid w:val="00B92AEA"/>
    <w:rsid w:val="00B95396"/>
    <w:rsid w:val="00B9693C"/>
    <w:rsid w:val="00BA292B"/>
    <w:rsid w:val="00BA5C7A"/>
    <w:rsid w:val="00BB4E8B"/>
    <w:rsid w:val="00BD36E1"/>
    <w:rsid w:val="00BE4882"/>
    <w:rsid w:val="00BF379F"/>
    <w:rsid w:val="00BF6113"/>
    <w:rsid w:val="00BF7B7C"/>
    <w:rsid w:val="00C137D1"/>
    <w:rsid w:val="00C25815"/>
    <w:rsid w:val="00C352B7"/>
    <w:rsid w:val="00C636B1"/>
    <w:rsid w:val="00C63E05"/>
    <w:rsid w:val="00C84422"/>
    <w:rsid w:val="00C90D6C"/>
    <w:rsid w:val="00C9366B"/>
    <w:rsid w:val="00CA4B00"/>
    <w:rsid w:val="00CB4AD1"/>
    <w:rsid w:val="00CC31E8"/>
    <w:rsid w:val="00CD23B2"/>
    <w:rsid w:val="00CF5A00"/>
    <w:rsid w:val="00D013F5"/>
    <w:rsid w:val="00D03B2D"/>
    <w:rsid w:val="00D21DF5"/>
    <w:rsid w:val="00D227C6"/>
    <w:rsid w:val="00D27505"/>
    <w:rsid w:val="00D36156"/>
    <w:rsid w:val="00D37193"/>
    <w:rsid w:val="00D47A0E"/>
    <w:rsid w:val="00D541BF"/>
    <w:rsid w:val="00D6145E"/>
    <w:rsid w:val="00D66AF3"/>
    <w:rsid w:val="00D673B6"/>
    <w:rsid w:val="00D8121D"/>
    <w:rsid w:val="00D86267"/>
    <w:rsid w:val="00DA0AF5"/>
    <w:rsid w:val="00DA226C"/>
    <w:rsid w:val="00DA3F29"/>
    <w:rsid w:val="00DB1DA2"/>
    <w:rsid w:val="00DB5B57"/>
    <w:rsid w:val="00DF2B24"/>
    <w:rsid w:val="00DF6F0A"/>
    <w:rsid w:val="00E02D54"/>
    <w:rsid w:val="00E05B6E"/>
    <w:rsid w:val="00E1537C"/>
    <w:rsid w:val="00E23C6F"/>
    <w:rsid w:val="00E30E85"/>
    <w:rsid w:val="00E42C7D"/>
    <w:rsid w:val="00E528F5"/>
    <w:rsid w:val="00E57874"/>
    <w:rsid w:val="00E63591"/>
    <w:rsid w:val="00E65A48"/>
    <w:rsid w:val="00E66687"/>
    <w:rsid w:val="00E76C22"/>
    <w:rsid w:val="00EB3900"/>
    <w:rsid w:val="00EC575A"/>
    <w:rsid w:val="00ED035B"/>
    <w:rsid w:val="00ED0D9E"/>
    <w:rsid w:val="00ED1F38"/>
    <w:rsid w:val="00ED31F1"/>
    <w:rsid w:val="00EE039D"/>
    <w:rsid w:val="00F15C02"/>
    <w:rsid w:val="00F1602D"/>
    <w:rsid w:val="00F305E9"/>
    <w:rsid w:val="00F32C19"/>
    <w:rsid w:val="00F4161E"/>
    <w:rsid w:val="00F45A57"/>
    <w:rsid w:val="00F556E0"/>
    <w:rsid w:val="00F65CFB"/>
    <w:rsid w:val="00F722E0"/>
    <w:rsid w:val="00F816FC"/>
    <w:rsid w:val="00F92652"/>
    <w:rsid w:val="00F9574B"/>
    <w:rsid w:val="00FA1E53"/>
    <w:rsid w:val="00FA1FAD"/>
    <w:rsid w:val="00FA35FF"/>
    <w:rsid w:val="00FB5626"/>
    <w:rsid w:val="00FB5804"/>
    <w:rsid w:val="00FC318D"/>
    <w:rsid w:val="00FD0AE0"/>
    <w:rsid w:val="00FD3118"/>
    <w:rsid w:val="00FE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7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3F17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7D29"/>
    <w:rPr>
      <w:rFonts w:ascii="Times New Roman" w:eastAsia="Times New Roman" w:hAnsi="Times New Roman" w:cs="Times New Roman"/>
      <w:b/>
      <w:bCs/>
      <w:kern w:val="36"/>
      <w:sz w:val="48"/>
      <w:szCs w:val="48"/>
      <w:lang w:eastAsia="en-GB"/>
    </w:rPr>
  </w:style>
  <w:style w:type="character" w:customStyle="1" w:styleId="ref-journal">
    <w:name w:val="ref-journal"/>
    <w:basedOn w:val="DefaultParagraphFont"/>
    <w:rsid w:val="00700055"/>
  </w:style>
  <w:style w:type="character" w:customStyle="1" w:styleId="ref-vol">
    <w:name w:val="ref-vol"/>
    <w:basedOn w:val="DefaultParagraphFont"/>
    <w:rsid w:val="00700055"/>
  </w:style>
  <w:style w:type="character" w:customStyle="1" w:styleId="author">
    <w:name w:val="author"/>
    <w:basedOn w:val="DefaultParagraphFont"/>
    <w:rsid w:val="00F92652"/>
  </w:style>
  <w:style w:type="character" w:customStyle="1" w:styleId="apple-converted-space">
    <w:name w:val="apple-converted-space"/>
    <w:basedOn w:val="DefaultParagraphFont"/>
    <w:rsid w:val="00F92652"/>
  </w:style>
  <w:style w:type="character" w:customStyle="1" w:styleId="pubyear">
    <w:name w:val="pubyear"/>
    <w:basedOn w:val="DefaultParagraphFont"/>
    <w:rsid w:val="00F92652"/>
  </w:style>
  <w:style w:type="character" w:customStyle="1" w:styleId="articletitle">
    <w:name w:val="articletitle"/>
    <w:basedOn w:val="DefaultParagraphFont"/>
    <w:rsid w:val="00F92652"/>
  </w:style>
  <w:style w:type="character" w:customStyle="1" w:styleId="journaltitle">
    <w:name w:val="journaltitle"/>
    <w:basedOn w:val="DefaultParagraphFont"/>
    <w:rsid w:val="00F92652"/>
  </w:style>
  <w:style w:type="character" w:customStyle="1" w:styleId="vol">
    <w:name w:val="vol"/>
    <w:basedOn w:val="DefaultParagraphFont"/>
    <w:rsid w:val="00F92652"/>
  </w:style>
  <w:style w:type="character" w:customStyle="1" w:styleId="pagefirst">
    <w:name w:val="pagefirst"/>
    <w:basedOn w:val="DefaultParagraphFont"/>
    <w:rsid w:val="00F92652"/>
  </w:style>
  <w:style w:type="character" w:customStyle="1" w:styleId="pagelast">
    <w:name w:val="pagelast"/>
    <w:basedOn w:val="DefaultParagraphFont"/>
    <w:rsid w:val="00F92652"/>
  </w:style>
  <w:style w:type="character" w:customStyle="1" w:styleId="element-citation">
    <w:name w:val="element-citation"/>
    <w:basedOn w:val="DefaultParagraphFont"/>
    <w:rsid w:val="00920474"/>
  </w:style>
  <w:style w:type="paragraph" w:styleId="BalloonText">
    <w:name w:val="Balloon Text"/>
    <w:basedOn w:val="Normal"/>
    <w:link w:val="BalloonTextChar"/>
    <w:uiPriority w:val="99"/>
    <w:semiHidden/>
    <w:unhideWhenUsed/>
    <w:rsid w:val="00137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76"/>
    <w:rPr>
      <w:rFonts w:ascii="Tahoma" w:hAnsi="Tahoma" w:cs="Tahoma"/>
      <w:sz w:val="16"/>
      <w:szCs w:val="16"/>
    </w:rPr>
  </w:style>
  <w:style w:type="character" w:styleId="Hyperlink">
    <w:name w:val="Hyperlink"/>
    <w:rsid w:val="003F17A9"/>
    <w:rPr>
      <w:rFonts w:cs="Times New Roman"/>
      <w:color w:val="0000FF"/>
      <w:u w:val="single"/>
    </w:rPr>
  </w:style>
  <w:style w:type="character" w:customStyle="1" w:styleId="Heading3Char">
    <w:name w:val="Heading 3 Char"/>
    <w:basedOn w:val="DefaultParagraphFont"/>
    <w:link w:val="Heading3"/>
    <w:uiPriority w:val="9"/>
    <w:semiHidden/>
    <w:rsid w:val="003F17A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0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9C6"/>
  </w:style>
  <w:style w:type="paragraph" w:styleId="Footer">
    <w:name w:val="footer"/>
    <w:basedOn w:val="Normal"/>
    <w:link w:val="FooterChar"/>
    <w:uiPriority w:val="99"/>
    <w:unhideWhenUsed/>
    <w:rsid w:val="00880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7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3F17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7D29"/>
    <w:rPr>
      <w:rFonts w:ascii="Times New Roman" w:eastAsia="Times New Roman" w:hAnsi="Times New Roman" w:cs="Times New Roman"/>
      <w:b/>
      <w:bCs/>
      <w:kern w:val="36"/>
      <w:sz w:val="48"/>
      <w:szCs w:val="48"/>
      <w:lang w:eastAsia="en-GB"/>
    </w:rPr>
  </w:style>
  <w:style w:type="character" w:customStyle="1" w:styleId="ref-journal">
    <w:name w:val="ref-journal"/>
    <w:basedOn w:val="DefaultParagraphFont"/>
    <w:rsid w:val="00700055"/>
  </w:style>
  <w:style w:type="character" w:customStyle="1" w:styleId="ref-vol">
    <w:name w:val="ref-vol"/>
    <w:basedOn w:val="DefaultParagraphFont"/>
    <w:rsid w:val="00700055"/>
  </w:style>
  <w:style w:type="character" w:customStyle="1" w:styleId="author">
    <w:name w:val="author"/>
    <w:basedOn w:val="DefaultParagraphFont"/>
    <w:rsid w:val="00F92652"/>
  </w:style>
  <w:style w:type="character" w:customStyle="1" w:styleId="apple-converted-space">
    <w:name w:val="apple-converted-space"/>
    <w:basedOn w:val="DefaultParagraphFont"/>
    <w:rsid w:val="00F92652"/>
  </w:style>
  <w:style w:type="character" w:customStyle="1" w:styleId="pubyear">
    <w:name w:val="pubyear"/>
    <w:basedOn w:val="DefaultParagraphFont"/>
    <w:rsid w:val="00F92652"/>
  </w:style>
  <w:style w:type="character" w:customStyle="1" w:styleId="articletitle">
    <w:name w:val="articletitle"/>
    <w:basedOn w:val="DefaultParagraphFont"/>
    <w:rsid w:val="00F92652"/>
  </w:style>
  <w:style w:type="character" w:customStyle="1" w:styleId="journaltitle">
    <w:name w:val="journaltitle"/>
    <w:basedOn w:val="DefaultParagraphFont"/>
    <w:rsid w:val="00F92652"/>
  </w:style>
  <w:style w:type="character" w:customStyle="1" w:styleId="vol">
    <w:name w:val="vol"/>
    <w:basedOn w:val="DefaultParagraphFont"/>
    <w:rsid w:val="00F92652"/>
  </w:style>
  <w:style w:type="character" w:customStyle="1" w:styleId="pagefirst">
    <w:name w:val="pagefirst"/>
    <w:basedOn w:val="DefaultParagraphFont"/>
    <w:rsid w:val="00F92652"/>
  </w:style>
  <w:style w:type="character" w:customStyle="1" w:styleId="pagelast">
    <w:name w:val="pagelast"/>
    <w:basedOn w:val="DefaultParagraphFont"/>
    <w:rsid w:val="00F92652"/>
  </w:style>
  <w:style w:type="character" w:customStyle="1" w:styleId="element-citation">
    <w:name w:val="element-citation"/>
    <w:basedOn w:val="DefaultParagraphFont"/>
    <w:rsid w:val="00920474"/>
  </w:style>
  <w:style w:type="paragraph" w:styleId="BalloonText">
    <w:name w:val="Balloon Text"/>
    <w:basedOn w:val="Normal"/>
    <w:link w:val="BalloonTextChar"/>
    <w:uiPriority w:val="99"/>
    <w:semiHidden/>
    <w:unhideWhenUsed/>
    <w:rsid w:val="00137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76"/>
    <w:rPr>
      <w:rFonts w:ascii="Tahoma" w:hAnsi="Tahoma" w:cs="Tahoma"/>
      <w:sz w:val="16"/>
      <w:szCs w:val="16"/>
    </w:rPr>
  </w:style>
  <w:style w:type="character" w:styleId="Hyperlink">
    <w:name w:val="Hyperlink"/>
    <w:rsid w:val="003F17A9"/>
    <w:rPr>
      <w:rFonts w:cs="Times New Roman"/>
      <w:color w:val="0000FF"/>
      <w:u w:val="single"/>
    </w:rPr>
  </w:style>
  <w:style w:type="character" w:customStyle="1" w:styleId="Heading3Char">
    <w:name w:val="Heading 3 Char"/>
    <w:basedOn w:val="DefaultParagraphFont"/>
    <w:link w:val="Heading3"/>
    <w:uiPriority w:val="9"/>
    <w:semiHidden/>
    <w:rsid w:val="003F17A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0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9C6"/>
  </w:style>
  <w:style w:type="paragraph" w:styleId="Footer">
    <w:name w:val="footer"/>
    <w:basedOn w:val="Normal"/>
    <w:link w:val="FooterChar"/>
    <w:uiPriority w:val="99"/>
    <w:unhideWhenUsed/>
    <w:rsid w:val="00880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g@liv.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7047</Words>
  <Characters>40170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Shiels, Christopher</dc:creator>
  <cp:lastModifiedBy>Gabbay, Mark</cp:lastModifiedBy>
  <cp:revision>2</cp:revision>
  <cp:lastPrinted>2015-11-06T13:35:00Z</cp:lastPrinted>
  <dcterms:created xsi:type="dcterms:W3CDTF">2017-06-22T09:20:00Z</dcterms:created>
  <dcterms:modified xsi:type="dcterms:W3CDTF">2017-06-22T09:20:00Z</dcterms:modified>
</cp:coreProperties>
</file>